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rPr>
        <w:id w:val="1684867735"/>
        <w:docPartObj>
          <w:docPartGallery w:val="Cover Pages"/>
          <w:docPartUnique/>
        </w:docPartObj>
      </w:sdtPr>
      <w:sdtEndPr/>
      <w:sdtContent>
        <w:tbl>
          <w:tblPr>
            <w:tblW w:w="0" w:type="auto"/>
            <w:tblLook w:val="04A0" w:firstRow="1" w:lastRow="0" w:firstColumn="1" w:lastColumn="0" w:noHBand="0" w:noVBand="1"/>
          </w:tblPr>
          <w:tblGrid>
            <w:gridCol w:w="9026"/>
          </w:tblGrid>
          <w:tr w:rsidR="00882445" w14:paraId="35E126AB" w14:textId="77777777" w:rsidTr="00E63064">
            <w:trPr>
              <w:cantSplit/>
              <w:trHeight w:val="1418"/>
            </w:trPr>
            <w:tc>
              <w:tcPr>
                <w:tcW w:w="9242" w:type="dxa"/>
              </w:tcPr>
              <w:p w14:paraId="35E126AA" w14:textId="0920625E" w:rsidR="00882445" w:rsidRDefault="00BF6B96" w:rsidP="00E63064">
                <w:pPr>
                  <w:pStyle w:val="CoverNormal"/>
                </w:pPr>
                <w:r>
                  <w:rPr>
                    <w:noProof/>
                    <w:lang w:eastAsia="en-AU"/>
                  </w:rPr>
                  <w:drawing>
                    <wp:inline distT="0" distB="0" distL="0" distR="0" wp14:anchorId="2BBA14AD" wp14:editId="1CB80063">
                      <wp:extent cx="3165895" cy="498478"/>
                      <wp:effectExtent l="0" t="0" r="0" b="0"/>
                      <wp:docPr id="14" name="Picture 14" descr="Picture contains the Office of the Chief Economist logo" title="Picture contains the 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1383" cy="505640"/>
                              </a:xfrm>
                              <a:prstGeom prst="rect">
                                <a:avLst/>
                              </a:prstGeom>
                            </pic:spPr>
                          </pic:pic>
                        </a:graphicData>
                      </a:graphic>
                    </wp:inline>
                  </w:drawing>
                </w:r>
                <w:r>
                  <w:rPr>
                    <w:rFonts w:ascii="Arial" w:hAnsi="Arial"/>
                    <w:noProof/>
                    <w:lang w:eastAsia="en-AU"/>
                  </w:rPr>
                  <w:drawing>
                    <wp:inline distT="0" distB="0" distL="0" distR="0" wp14:anchorId="3A6A669F" wp14:editId="01387228">
                      <wp:extent cx="2281555" cy="579120"/>
                      <wp:effectExtent l="0" t="0" r="4445" b="0"/>
                      <wp:docPr id="2" name="Picture 2" descr="EDAN is the Economic data and analysis network." title="This table contains the logo for ED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3099"/>
                              <a:stretch/>
                            </pic:blipFill>
                            <pic:spPr bwMode="auto">
                              <a:xfrm>
                                <a:off x="0" y="0"/>
                                <a:ext cx="2281555" cy="5791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2445" w14:paraId="35E126AD" w14:textId="77777777" w:rsidTr="00E63064">
            <w:trPr>
              <w:cantSplit/>
              <w:trHeight w:hRule="exact" w:val="1417"/>
            </w:trPr>
            <w:tc>
              <w:tcPr>
                <w:tcW w:w="9242" w:type="dxa"/>
                <w:vAlign w:val="bottom"/>
              </w:tcPr>
              <w:p w14:paraId="35E126AC" w14:textId="12D6EAAF" w:rsidR="00882445" w:rsidRDefault="00882445" w:rsidP="00E63064">
                <w:pPr>
                  <w:pStyle w:val="ResearchPaper"/>
                </w:pPr>
                <w:r>
                  <w:t xml:space="preserve">Research Paper </w:t>
                </w:r>
                <w:r w:rsidR="003E4494">
                  <w:t>8/</w:t>
                </w:r>
                <w:r w:rsidR="007307B1">
                  <w:t>2019</w:t>
                </w:r>
              </w:p>
            </w:tc>
          </w:tr>
          <w:tr w:rsidR="00882445" w:rsidRPr="00CF654B" w14:paraId="35E126AF" w14:textId="77777777" w:rsidTr="00E63064">
            <w:trPr>
              <w:cantSplit/>
            </w:trPr>
            <w:sdt>
              <w:sdtPr>
                <w:rPr>
                  <w:rStyle w:val="TitleHeadingChar"/>
                  <w:b/>
                </w:rPr>
                <w:alias w:val="Research Paper Title"/>
                <w:tag w:val="Research Paper Title"/>
                <w:id w:val="803742244"/>
                <w:placeholder>
                  <w:docPart w:val="26950C6FD3F043AFA21B39738BB1B900"/>
                </w:placeholder>
              </w:sdtPr>
              <w:sdtEndPr>
                <w:rPr>
                  <w:rStyle w:val="DefaultParagraphFont"/>
                </w:rPr>
              </w:sdtEndPr>
              <w:sdtContent>
                <w:tc>
                  <w:tcPr>
                    <w:tcW w:w="9242" w:type="dxa"/>
                  </w:tcPr>
                  <w:p w14:paraId="35E126AE" w14:textId="77777777" w:rsidR="00882445" w:rsidRPr="00E018A4" w:rsidRDefault="00882445" w:rsidP="00E63064">
                    <w:pPr>
                      <w:pStyle w:val="TitleHeading"/>
                      <w:rPr>
                        <w:b/>
                      </w:rPr>
                    </w:pPr>
                    <w:r>
                      <w:rPr>
                        <w:rStyle w:val="TitleHeadingChar"/>
                      </w:rPr>
                      <w:t>Trends in Market Concentration of Australian Industries</w:t>
                    </w:r>
                  </w:p>
                </w:tc>
              </w:sdtContent>
            </w:sdt>
          </w:tr>
          <w:tr w:rsidR="00882445" w14:paraId="35E126B1" w14:textId="77777777" w:rsidTr="00E63064">
            <w:trPr>
              <w:cantSplit/>
            </w:trPr>
            <w:tc>
              <w:tcPr>
                <w:tcW w:w="9242" w:type="dxa"/>
                <w:vAlign w:val="center"/>
              </w:tcPr>
              <w:p w14:paraId="35E126B0" w14:textId="77777777" w:rsidR="00882445" w:rsidRDefault="00882445" w:rsidP="00E63064">
                <w:pPr>
                  <w:pStyle w:val="Author"/>
                </w:pPr>
                <w:r>
                  <w:t>Sasan Bakhtiari</w:t>
                </w:r>
              </w:p>
            </w:tc>
          </w:tr>
          <w:tr w:rsidR="00882445" w14:paraId="35E126B3" w14:textId="77777777" w:rsidTr="00E63064">
            <w:trPr>
              <w:cantSplit/>
            </w:trPr>
            <w:tc>
              <w:tcPr>
                <w:tcW w:w="9242" w:type="dxa"/>
                <w:vAlign w:val="center"/>
              </w:tcPr>
              <w:p w14:paraId="35E126B2" w14:textId="1D8FC6B8" w:rsidR="00882445" w:rsidRDefault="00882445" w:rsidP="00B07512">
                <w:pPr>
                  <w:pStyle w:val="MonthYear"/>
                </w:pPr>
                <w:r>
                  <w:fldChar w:fldCharType="begin"/>
                </w:r>
                <w:r>
                  <w:instrText xml:space="preserve"> DATE  \@ "MMMM yyyy"  \* MERGEFORMAT </w:instrText>
                </w:r>
                <w:r>
                  <w:fldChar w:fldCharType="separate"/>
                </w:r>
                <w:r w:rsidR="00A20DE7">
                  <w:rPr>
                    <w:noProof/>
                  </w:rPr>
                  <w:t>September 2019</w:t>
                </w:r>
                <w:r>
                  <w:fldChar w:fldCharType="end"/>
                </w:r>
              </w:p>
            </w:tc>
          </w:tr>
          <w:tr w:rsidR="00882445" w14:paraId="35E126B5" w14:textId="77777777" w:rsidTr="00E63064">
            <w:trPr>
              <w:cantSplit/>
              <w:trHeight w:val="765"/>
            </w:trPr>
            <w:tc>
              <w:tcPr>
                <w:tcW w:w="9242" w:type="dxa"/>
              </w:tcPr>
              <w:p w14:paraId="35E126B4" w14:textId="77777777" w:rsidR="00882445" w:rsidRDefault="00882445" w:rsidP="00E63064">
                <w:pPr>
                  <w:pStyle w:val="AbstractHeader"/>
                </w:pPr>
                <w:r w:rsidRPr="002054C2">
                  <w:t>Abstract</w:t>
                </w:r>
              </w:p>
            </w:tc>
          </w:tr>
          <w:tr w:rsidR="00882445" w14:paraId="35E126B7" w14:textId="77777777" w:rsidTr="00E63064">
            <w:trPr>
              <w:cantSplit/>
              <w:trHeight w:val="1125"/>
            </w:trPr>
            <w:tc>
              <w:tcPr>
                <w:tcW w:w="9242" w:type="dxa"/>
              </w:tcPr>
              <w:p w14:paraId="608D20EF" w14:textId="7B9B2AF7" w:rsidR="00882445" w:rsidRDefault="00882445" w:rsidP="000A5946">
                <w:pPr>
                  <w:pStyle w:val="AbstractText"/>
                  <w:jc w:val="both"/>
                </w:pPr>
                <w:r>
                  <w:t>Market concentration has been</w:t>
                </w:r>
                <w:r w:rsidR="00A15B2D">
                  <w:t xml:space="preserve"> increasing in many industrialis</w:t>
                </w:r>
                <w:r>
                  <w:t>ed countries raising concerns about falling competition. This paper explores how market concentration has evolved across Australian industries from 2002 to 2016. The results show that market concentration is on average increasing. However, most of the increase is happening within industries that are already more conc</w:t>
                </w:r>
                <w:r w:rsidR="00785E00">
                  <w:t>entrated</w:t>
                </w:r>
                <w:r>
                  <w:t xml:space="preserve">. </w:t>
                </w:r>
                <w:r w:rsidR="000A5946" w:rsidRPr="000A5946">
                  <w:t>This is especially true if the industry is export oriented. Digital maturity and the presence of high-performing firms in addition to export intensity accelerate the pace of concentration. Importantly, productivity is growing within exp</w:t>
                </w:r>
                <w:r w:rsidR="00552C08">
                  <w:t>ort intensive industries that</w:t>
                </w:r>
                <w:r w:rsidR="000A5946" w:rsidRPr="000A5946">
                  <w:t xml:space="preserve"> are getting more concentrated, </w:t>
                </w:r>
                <w:r w:rsidR="00470759">
                  <w:t>hinting that a fall in competition may not be the cause. The same thing c</w:t>
                </w:r>
                <w:r w:rsidR="000A5946" w:rsidRPr="000A5946">
                  <w:t>annot be said about the other concentrating industries.</w:t>
                </w:r>
              </w:p>
              <w:p w14:paraId="35E126B6" w14:textId="7F627A6B" w:rsidR="003108EF" w:rsidRPr="00C63547" w:rsidRDefault="003108EF" w:rsidP="000A5946">
                <w:pPr>
                  <w:pStyle w:val="AbstractText"/>
                  <w:jc w:val="both"/>
                </w:pPr>
              </w:p>
            </w:tc>
          </w:tr>
          <w:tr w:rsidR="00882445" w14:paraId="35E126BB" w14:textId="77777777" w:rsidTr="00E63064">
            <w:trPr>
              <w:cantSplit/>
              <w:trHeight w:val="1125"/>
            </w:trPr>
            <w:tc>
              <w:tcPr>
                <w:tcW w:w="9242" w:type="dxa"/>
              </w:tcPr>
              <w:p w14:paraId="35E126B8" w14:textId="77777777" w:rsidR="00882445" w:rsidRPr="00116A9D" w:rsidRDefault="00882445" w:rsidP="00E63064">
                <w:pPr>
                  <w:pStyle w:val="JELCodeheader"/>
                  <w:rPr>
                    <w:b w:val="0"/>
                  </w:rPr>
                </w:pPr>
                <w:r w:rsidRPr="000502F2">
                  <w:rPr>
                    <w:color w:val="005CAF"/>
                  </w:rPr>
                  <w:t>JEL Codes:</w:t>
                </w:r>
                <w:r w:rsidRPr="000502F2">
                  <w:rPr>
                    <w:b w:val="0"/>
                    <w:color w:val="005CAF"/>
                  </w:rPr>
                  <w:t xml:space="preserve"> </w:t>
                </w:r>
                <w:r>
                  <w:rPr>
                    <w:b w:val="0"/>
                  </w:rPr>
                  <w:t>K21</w:t>
                </w:r>
                <w:r w:rsidRPr="00116A9D">
                  <w:rPr>
                    <w:b w:val="0"/>
                  </w:rPr>
                  <w:t xml:space="preserve">, </w:t>
                </w:r>
                <w:r>
                  <w:rPr>
                    <w:b w:val="0"/>
                  </w:rPr>
                  <w:t>L13, L5</w:t>
                </w:r>
              </w:p>
              <w:p w14:paraId="35E126B9" w14:textId="77777777" w:rsidR="00882445" w:rsidRDefault="00882445" w:rsidP="00E63064">
                <w:pPr>
                  <w:pStyle w:val="JELCodeheader"/>
                  <w:rPr>
                    <w:b w:val="0"/>
                  </w:rPr>
                </w:pPr>
                <w:r w:rsidRPr="000502F2">
                  <w:rPr>
                    <w:color w:val="005CAF"/>
                  </w:rPr>
                  <w:t>Keywords:</w:t>
                </w:r>
                <w:r w:rsidRPr="00116A9D">
                  <w:rPr>
                    <w:b w:val="0"/>
                  </w:rPr>
                  <w:t xml:space="preserve"> </w:t>
                </w:r>
                <w:r>
                  <w:t>Market Concentration, Competition, Digital Maturity, Exporting, Productivity</w:t>
                </w:r>
              </w:p>
              <w:p w14:paraId="35E126BA" w14:textId="77777777" w:rsidR="00882445" w:rsidRPr="002054C2" w:rsidRDefault="00882445" w:rsidP="00E63064">
                <w:pPr>
                  <w:pStyle w:val="JELCodeheader"/>
                </w:pPr>
              </w:p>
            </w:tc>
          </w:tr>
        </w:tbl>
        <w:p w14:paraId="35E126BC" w14:textId="77777777" w:rsidR="00882445" w:rsidRDefault="00882445" w:rsidP="00E63064">
          <w:pPr>
            <w:pStyle w:val="CoverNormal"/>
          </w:pPr>
        </w:p>
        <w:p w14:paraId="35E126BD" w14:textId="77777777" w:rsidR="00882445" w:rsidRDefault="00882445" w:rsidP="00E63064">
          <w:r>
            <w:br w:type="page"/>
          </w:r>
        </w:p>
        <w:p w14:paraId="35E126BE" w14:textId="5398B7EB" w:rsidR="00882445" w:rsidRDefault="00BF6B96" w:rsidP="00E63064">
          <w:pPr>
            <w:pStyle w:val="CoverNormal"/>
          </w:pPr>
          <w:r>
            <w:rPr>
              <w:noProof/>
              <w:lang w:eastAsia="en-AU"/>
            </w:rPr>
            <w:lastRenderedPageBreak/>
            <w:drawing>
              <wp:anchor distT="0" distB="0" distL="114300" distR="114300" simplePos="0" relativeHeight="251672576" behindDoc="0" locked="0" layoutInCell="1" allowOverlap="1" wp14:anchorId="095B9050" wp14:editId="18BBF4DA">
                <wp:simplePos x="0" y="0"/>
                <wp:positionH relativeFrom="column">
                  <wp:posOffset>0</wp:posOffset>
                </wp:positionH>
                <wp:positionV relativeFrom="paragraph">
                  <wp:posOffset>148590</wp:posOffset>
                </wp:positionV>
                <wp:extent cx="3260725" cy="513080"/>
                <wp:effectExtent l="0" t="0" r="0" b="1270"/>
                <wp:wrapSquare wrapText="bothSides"/>
                <wp:docPr id="15" name="Picture 15" descr="Picture contains the Office of the Chief Economist logo" title="Picture contains the 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60725" cy="513080"/>
                        </a:xfrm>
                        <a:prstGeom prst="rect">
                          <a:avLst/>
                        </a:prstGeom>
                      </pic:spPr>
                    </pic:pic>
                  </a:graphicData>
                </a:graphic>
                <wp14:sizeRelH relativeFrom="margin">
                  <wp14:pctWidth>0</wp14:pctWidth>
                </wp14:sizeRelH>
                <wp14:sizeRelV relativeFrom="margin">
                  <wp14:pctHeight>0</wp14:pctHeight>
                </wp14:sizeRelV>
              </wp:anchor>
            </w:drawing>
          </w:r>
          <w:r w:rsidR="00882445">
            <w:br/>
          </w:r>
          <w:r>
            <w:rPr>
              <w:noProof/>
              <w:lang w:eastAsia="en-AU"/>
            </w:rPr>
            <w:drawing>
              <wp:inline distT="0" distB="0" distL="0" distR="0" wp14:anchorId="24D48E4F" wp14:editId="096441AC">
                <wp:extent cx="2212975" cy="579120"/>
                <wp:effectExtent l="0" t="0" r="0" b="0"/>
                <wp:docPr id="3" name="Picture 3" descr="EDAN is the Economic data and analysis network." title="This table contains the logo for 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975" cy="579120"/>
                        </a:xfrm>
                        <a:prstGeom prst="rect">
                          <a:avLst/>
                        </a:prstGeom>
                        <a:noFill/>
                      </pic:spPr>
                    </pic:pic>
                  </a:graphicData>
                </a:graphic>
              </wp:inline>
            </w:drawing>
          </w:r>
        </w:p>
        <w:p w14:paraId="35E126BF" w14:textId="77777777" w:rsidR="00882445" w:rsidRDefault="00882445" w:rsidP="00E63064">
          <w:pPr>
            <w:pStyle w:val="CoverNormal"/>
          </w:pPr>
        </w:p>
        <w:p w14:paraId="05F68B62" w14:textId="5DC5394E" w:rsidR="00D05F3F" w:rsidRPr="00D05F3F" w:rsidRDefault="00D05F3F" w:rsidP="00BF6B96">
          <w:pPr>
            <w:pStyle w:val="DisclaimerHeading"/>
            <w:ind w:left="0"/>
          </w:pPr>
          <w:r w:rsidRPr="00D05F3F">
            <w:t xml:space="preserve">For further information on this research paper please contact: </w:t>
          </w:r>
        </w:p>
        <w:p w14:paraId="35E126C7" w14:textId="67B03C1B" w:rsidR="00882445" w:rsidRPr="00D05F3F" w:rsidRDefault="004B7BB8" w:rsidP="00BF6B96">
          <w:pPr>
            <w:pStyle w:val="DisclaimerandAcknowledgement"/>
            <w:ind w:left="0"/>
          </w:pPr>
          <w:r w:rsidRPr="00D05F3F">
            <w:t>Sasan Bakhtiari</w:t>
          </w:r>
          <w:r w:rsidR="00D05F3F">
            <w:br/>
          </w:r>
          <w:r w:rsidRPr="00D05F3F">
            <w:t>Industry and Firm Analysis</w:t>
          </w:r>
          <w:r w:rsidR="00D05F3F">
            <w:br/>
          </w:r>
          <w:r w:rsidR="00882445" w:rsidRPr="00D05F3F">
            <w:t>Department of Industry, Innovation and Science</w:t>
          </w:r>
          <w:r w:rsidR="00D05F3F">
            <w:br/>
          </w:r>
          <w:r w:rsidR="00882445" w:rsidRPr="00D05F3F">
            <w:t>GPO Box 9839</w:t>
          </w:r>
          <w:r w:rsidR="00D05F3F">
            <w:br/>
          </w:r>
          <w:r w:rsidR="00882445" w:rsidRPr="00D05F3F">
            <w:t>Canberra ACT 2601</w:t>
          </w:r>
          <w:r w:rsidR="00D05F3F">
            <w:br/>
          </w:r>
          <w:r w:rsidR="00882445" w:rsidRPr="00D05F3F">
            <w:t>Phone :</w:t>
          </w:r>
          <w:r w:rsidR="000D07B6" w:rsidRPr="00D05F3F">
            <w:t xml:space="preserve"> +61 2 9397 1639</w:t>
          </w:r>
          <w:r w:rsidR="00D05F3F">
            <w:br/>
          </w:r>
          <w:r w:rsidR="00882445" w:rsidRPr="00D05F3F">
            <w:t xml:space="preserve">Email: </w:t>
          </w:r>
          <w:r w:rsidR="00922A46" w:rsidRPr="00D05F3F">
            <w:t>sasab.bakhtiari</w:t>
          </w:r>
          <w:r w:rsidR="00882445" w:rsidRPr="00D05F3F">
            <w:t>@industry.gov.au</w:t>
          </w:r>
        </w:p>
        <w:p w14:paraId="35E126C8" w14:textId="77777777" w:rsidR="00882445" w:rsidRPr="00EC76AE" w:rsidRDefault="00882445" w:rsidP="00BF6B96">
          <w:pPr>
            <w:pStyle w:val="DisclaimerHeading"/>
            <w:keepNext/>
            <w:numPr>
              <w:ilvl w:val="7"/>
              <w:numId w:val="3"/>
            </w:numPr>
            <w:spacing w:before="600"/>
            <w:outlineLvl w:val="7"/>
          </w:pPr>
          <w:r w:rsidRPr="00EC76AE">
            <w:t>Disclaimer</w:t>
          </w:r>
        </w:p>
        <w:p w14:paraId="35E126C9" w14:textId="77777777" w:rsidR="00882445" w:rsidRDefault="00882445" w:rsidP="00BF6B96">
          <w:pPr>
            <w:pStyle w:val="DisclaimerandAcknowledgement"/>
            <w:ind w:left="0"/>
          </w:pPr>
          <w:r>
            <w:t xml:space="preserve">The views expressed in this report are those of the author(s) and do not necessarily reflect those of the Australian Government or the Department of </w:t>
          </w:r>
          <w:r w:rsidRPr="00B91524">
            <w:t>Industry</w:t>
          </w:r>
          <w:r>
            <w:t>, Innovation and Science.</w:t>
          </w:r>
        </w:p>
        <w:p w14:paraId="35E126CA" w14:textId="77777777" w:rsidR="00882445" w:rsidRPr="00EC76AE" w:rsidRDefault="00882445" w:rsidP="00BF6B96">
          <w:pPr>
            <w:pStyle w:val="DisclaimerandAcknowledgement"/>
            <w:ind w:left="0"/>
          </w:pPr>
          <w:r w:rsidRPr="00EC76AE">
            <w:sym w:font="Symbol" w:char="F0D3"/>
          </w:r>
          <w:r w:rsidRPr="00EC76AE">
            <w:t xml:space="preserve"> Commonwealth of Australia</w:t>
          </w:r>
          <w:r>
            <w:t xml:space="preserve"> </w:t>
          </w:r>
          <w:r>
            <w:fldChar w:fldCharType="begin"/>
          </w:r>
          <w:r>
            <w:instrText xml:space="preserve"> DATE  \@ "yyyy"  \* MERGEFORMAT </w:instrText>
          </w:r>
          <w:r>
            <w:fldChar w:fldCharType="separate"/>
          </w:r>
          <w:r w:rsidR="00A20DE7">
            <w:rPr>
              <w:noProof/>
            </w:rPr>
            <w:t>2019</w:t>
          </w:r>
          <w:r>
            <w:fldChar w:fldCharType="end"/>
          </w:r>
          <w:r>
            <w:t>.</w:t>
          </w:r>
          <w:r w:rsidRPr="00EC76AE">
            <w:t xml:space="preserve"> </w:t>
          </w:r>
        </w:p>
        <w:p w14:paraId="35E126CB" w14:textId="00407590" w:rsidR="00882445" w:rsidRDefault="00882445" w:rsidP="00BF6B96">
          <w:pPr>
            <w:pStyle w:val="DisclaimerandAcknowledgement"/>
            <w:ind w:left="0"/>
            <w:rPr>
              <w:rStyle w:val="HyperlinkStyleChar"/>
              <w:sz w:val="18"/>
            </w:rPr>
          </w:pP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4" w:history="1">
            <w:r w:rsidRPr="001B6EF9">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5" w:history="1">
            <w:r w:rsidRPr="001B6EF9">
              <w:rPr>
                <w:rStyle w:val="Hyperlink"/>
              </w:rPr>
              <w:t>www.industry.gov.au/OCE</w:t>
            </w:r>
          </w:hyperlink>
        </w:p>
        <w:p w14:paraId="35E126CC" w14:textId="43EAC052" w:rsidR="00882445" w:rsidRDefault="00BF6B96" w:rsidP="00BF6B96">
          <w:pPr>
            <w:pStyle w:val="DisclaimerandAcknowledgement"/>
            <w:ind w:left="0"/>
            <w:rPr>
              <w:rStyle w:val="HyperlinkStyleChar"/>
              <w:sz w:val="18"/>
            </w:rPr>
          </w:pPr>
          <w:r>
            <w:rPr>
              <w:rFonts w:ascii="inherit" w:hAnsi="inherit"/>
              <w:noProof/>
              <w:sz w:val="20"/>
              <w:szCs w:val="20"/>
              <w:lang w:val="en-AU" w:eastAsia="en-AU"/>
            </w:rPr>
            <w:drawing>
              <wp:anchor distT="0" distB="0" distL="114300" distR="114300" simplePos="0" relativeHeight="251659264" behindDoc="0" locked="0" layoutInCell="1" allowOverlap="1" wp14:anchorId="35E12D7E" wp14:editId="16F9A9E4">
                <wp:simplePos x="0" y="0"/>
                <wp:positionH relativeFrom="margin">
                  <wp:align>left</wp:align>
                </wp:positionH>
                <wp:positionV relativeFrom="paragraph">
                  <wp:posOffset>113030</wp:posOffset>
                </wp:positionV>
                <wp:extent cx="1189355" cy="407035"/>
                <wp:effectExtent l="0" t="0" r="0" b="0"/>
                <wp:wrapSquare wrapText="bothSides"/>
                <wp:docPr id="16" name="Picture 1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126CD" w14:textId="77777777" w:rsidR="00882445" w:rsidRDefault="00882445" w:rsidP="00BF6B96">
          <w:pPr>
            <w:ind w:left="0"/>
            <w:rPr>
              <w:rStyle w:val="HyperlinkStyleChar"/>
              <w:rFonts w:cs="Arial"/>
              <w:b/>
              <w:color w:val="595A5B"/>
              <w:sz w:val="18"/>
            </w:rPr>
          </w:pPr>
        </w:p>
        <w:p w14:paraId="35E126CE" w14:textId="77777777" w:rsidR="00882445" w:rsidRPr="004D7A11" w:rsidRDefault="00882445" w:rsidP="00BF6B96">
          <w:pPr>
            <w:pStyle w:val="DisclaimerHeading"/>
            <w:keepNext/>
            <w:numPr>
              <w:ilvl w:val="7"/>
              <w:numId w:val="3"/>
            </w:numPr>
            <w:spacing w:before="600"/>
            <w:outlineLvl w:val="7"/>
            <w:rPr>
              <w:rFonts w:eastAsia="Calibri"/>
            </w:rPr>
          </w:pPr>
          <w:r w:rsidRPr="004D7A11">
            <w:t>Creative Commons Licence</w:t>
          </w:r>
        </w:p>
        <w:p w14:paraId="35E126CF" w14:textId="77777777" w:rsidR="00882445" w:rsidRPr="00A1774F" w:rsidRDefault="00882445" w:rsidP="00BF6B96">
          <w:pPr>
            <w:pStyle w:val="DisclaimerandAcknowledgement"/>
            <w:ind w:left="0"/>
          </w:pPr>
          <w:r w:rsidRPr="00A1774F">
            <w:t>With the exception of the Coat of Arms, this publication is licensed under a Creative Commons Attribution 3.0 Australia Licence.</w:t>
          </w:r>
        </w:p>
        <w:p w14:paraId="35E126D0" w14:textId="77777777" w:rsidR="00882445" w:rsidRPr="00A1774F" w:rsidRDefault="00882445" w:rsidP="00BF6B96">
          <w:pPr>
            <w:pStyle w:val="DisclaimerandAcknowledgement"/>
            <w:ind w:left="0"/>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terms is available from http://</w:t>
          </w:r>
          <w:r w:rsidRPr="00A1774F">
            <w:t>creativecommons.org/licenses/by/3.0/au/deed.en. The full licence terms are available from http://creativecommons.org/lic</w:t>
          </w:r>
          <w:r>
            <w:t>enses/</w:t>
          </w:r>
          <w:r w:rsidRPr="00A1774F">
            <w:t>by/3.0/au/legalcode.</w:t>
          </w:r>
        </w:p>
        <w:p w14:paraId="35E126D1" w14:textId="77777777" w:rsidR="00882445" w:rsidRPr="00A1774F" w:rsidRDefault="00882445" w:rsidP="00BF6B96">
          <w:pPr>
            <w:pStyle w:val="DisclaimerandAcknowledgement"/>
            <w:ind w:left="0"/>
          </w:pPr>
          <w:r w:rsidRPr="00A1774F">
            <w:t>The Commonwealth’s preference is that you attribute this publication (and any material sourc</w:t>
          </w:r>
          <w:r>
            <w:t xml:space="preserve">ed from it) using the following </w:t>
          </w:r>
          <w:r w:rsidRPr="00A1774F">
            <w:t>wording:</w:t>
          </w:r>
        </w:p>
        <w:p w14:paraId="35E126D2" w14:textId="77777777" w:rsidR="00882445" w:rsidRDefault="00882445" w:rsidP="00BF6B96">
          <w:pPr>
            <w:pStyle w:val="DisclaimerandAcknowledgement"/>
            <w:ind w:left="0"/>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14:paraId="35E126D3" w14:textId="77777777" w:rsidR="00882445" w:rsidRDefault="00A20DE7" w:rsidP="00E63064">
          <w:pPr>
            <w:sectPr w:rsidR="00882445" w:rsidSect="00E63064">
              <w:pgSz w:w="11906" w:h="16838" w:code="9"/>
              <w:pgMar w:top="1440" w:right="1440" w:bottom="1440" w:left="1440" w:header="709" w:footer="709" w:gutter="0"/>
              <w:pgNumType w:start="0"/>
              <w:cols w:space="708"/>
              <w:titlePg/>
              <w:docGrid w:linePitch="360"/>
            </w:sectPr>
          </w:pPr>
        </w:p>
      </w:sdtContent>
    </w:sdt>
    <w:tbl>
      <w:tblPr>
        <w:tblW w:w="0" w:type="auto"/>
        <w:tblInd w:w="57" w:type="dxa"/>
        <w:shd w:val="clear" w:color="auto" w:fill="DEE8F1"/>
        <w:tblLayout w:type="fixed"/>
        <w:tblLook w:val="04A0" w:firstRow="1" w:lastRow="0" w:firstColumn="1" w:lastColumn="0" w:noHBand="0" w:noVBand="1"/>
      </w:tblPr>
      <w:tblGrid>
        <w:gridCol w:w="7007"/>
      </w:tblGrid>
      <w:tr w:rsidR="009814A3" w14:paraId="35E126DA" w14:textId="77777777" w:rsidTr="00E63064">
        <w:tc>
          <w:tcPr>
            <w:tcW w:w="7007" w:type="dxa"/>
            <w:shd w:val="clear" w:color="auto" w:fill="DEE8F1"/>
          </w:tcPr>
          <w:p w14:paraId="35E126D4" w14:textId="77777777" w:rsidR="009814A3" w:rsidRPr="001835DD" w:rsidRDefault="009814A3" w:rsidP="00E63064">
            <w:pPr>
              <w:pStyle w:val="Keypointsheader"/>
            </w:pPr>
            <w:r w:rsidRPr="00AC3DDE">
              <w:lastRenderedPageBreak/>
              <w:t>Key points</w:t>
            </w:r>
          </w:p>
          <w:p w14:paraId="35E126D5" w14:textId="77777777" w:rsidR="00384E81" w:rsidRDefault="00384E81" w:rsidP="00E63064">
            <w:pPr>
              <w:pStyle w:val="Keypointsbullet"/>
              <w:ind w:left="317" w:right="155" w:hanging="252"/>
            </w:pPr>
            <w:r>
              <w:t>Market concentration is increasing, but mostly among industries that are already more concentrated.</w:t>
            </w:r>
          </w:p>
          <w:p w14:paraId="35E126D6" w14:textId="77777777" w:rsidR="009814A3" w:rsidRDefault="00384E81" w:rsidP="00E63064">
            <w:pPr>
              <w:pStyle w:val="Keypointsbullet"/>
              <w:ind w:left="317" w:right="155" w:hanging="252"/>
            </w:pPr>
            <w:r>
              <w:t>Export intensive industries are one group where market concentration is increasing fast.</w:t>
            </w:r>
          </w:p>
          <w:p w14:paraId="35E126D7" w14:textId="77777777" w:rsidR="00384E81" w:rsidRDefault="00384E81" w:rsidP="00E63064">
            <w:pPr>
              <w:pStyle w:val="Keypointsbullet"/>
              <w:ind w:left="317" w:right="155" w:hanging="252"/>
            </w:pPr>
            <w:r>
              <w:t>If export intensive industries are digitally mature or have skewed productivity dispersion, their concentration is increasing faster.</w:t>
            </w:r>
          </w:p>
          <w:p w14:paraId="35E126D9" w14:textId="032FFAAF" w:rsidR="009814A3" w:rsidRDefault="00384E81" w:rsidP="00E63064">
            <w:pPr>
              <w:pStyle w:val="Keypointsbullet"/>
              <w:ind w:left="317" w:right="155" w:hanging="252"/>
            </w:pPr>
            <w:r>
              <w:t>Labour productivity is also increasing in export intensive industries, suggesting that the increasing market concentration is not caused by a fall in competition.</w:t>
            </w:r>
          </w:p>
        </w:tc>
      </w:tr>
    </w:tbl>
    <w:p w14:paraId="35E126DB" w14:textId="77777777" w:rsidR="009814A3" w:rsidRDefault="009814A3" w:rsidP="009814A3">
      <w:pPr>
        <w:pStyle w:val="Heading1"/>
        <w:numPr>
          <w:ilvl w:val="0"/>
          <w:numId w:val="0"/>
        </w:numPr>
        <w:ind w:left="709"/>
      </w:pPr>
    </w:p>
    <w:p w14:paraId="35E126DC" w14:textId="77777777" w:rsidR="009814A3" w:rsidRDefault="009814A3">
      <w:pPr>
        <w:spacing w:after="200" w:line="276" w:lineRule="auto"/>
        <w:ind w:left="0"/>
        <w:jc w:val="left"/>
        <w:rPr>
          <w:rFonts w:asciiTheme="majorHAnsi" w:eastAsia="Times New Roman" w:hAnsiTheme="majorHAnsi" w:cs="Arial"/>
          <w:b/>
          <w:bCs/>
          <w:color w:val="005CAF"/>
          <w:kern w:val="32"/>
          <w:sz w:val="32"/>
          <w:szCs w:val="32"/>
        </w:rPr>
      </w:pPr>
      <w:r>
        <w:br w:type="page"/>
      </w:r>
    </w:p>
    <w:p w14:paraId="35E126DD" w14:textId="77777777" w:rsidR="00DC5EFA" w:rsidRDefault="009814A3" w:rsidP="009814A3">
      <w:pPr>
        <w:pStyle w:val="Heading1"/>
      </w:pPr>
      <w:r>
        <w:lastRenderedPageBreak/>
        <w:t>Introduction</w:t>
      </w:r>
    </w:p>
    <w:p w14:paraId="35E126DE" w14:textId="77777777" w:rsidR="009814A3" w:rsidRDefault="009814A3" w:rsidP="009814A3">
      <w:pPr>
        <w:spacing w:before="60" w:line="270" w:lineRule="exact"/>
        <w:ind w:left="0"/>
      </w:pPr>
      <w:r>
        <w:t xml:space="preserve">Business dynamics in the form of entry, exit and the reallocation of resources from large incumbents to younger and more productive firms has been shown to play a significant role in the aggregate productivity growth (See Bartelsman &amp; Doms, 2000, for a survey). These growing young firms are also a major contributor to net job creation (Haltiwanger et al., 2013). Bakhtiari (2017) shows that about 80 per cent of jobs added to the Australian economy over the period from 2002 to 2014 have been created by small young firms. As such, any change to the detriment of competition and firm entry raises concern for the future of growth and job creation in the economy. </w:t>
      </w:r>
    </w:p>
    <w:p w14:paraId="35E126DF" w14:textId="77777777" w:rsidR="009814A3" w:rsidRDefault="009814A3" w:rsidP="00F05816">
      <w:pPr>
        <w:spacing w:line="270" w:lineRule="exact"/>
        <w:ind w:left="0"/>
      </w:pPr>
      <w:r>
        <w:t>Accordingly, much concern has been raised over the recent evidence showing that</w:t>
      </w:r>
      <w:r w:rsidR="00F21E62">
        <w:t xml:space="preserve"> industries in many industrialis</w:t>
      </w:r>
      <w:r>
        <w:t xml:space="preserve">ed countries are becoming more concentrated in the hands of fewer firms. Autor et al. (2017) show an increasing trend in market concentration in the United States and use it to explain the falling labour share of production. Their argument centres around the rise of </w:t>
      </w:r>
      <w:r>
        <w:rPr>
          <w:i/>
          <w:iCs/>
        </w:rPr>
        <w:t>superstar</w:t>
      </w:r>
      <w:r w:rsidR="00F21E62">
        <w:t xml:space="preserve"> firms – firms characteris</w:t>
      </w:r>
      <w:r>
        <w:t>ed by high productivity and innovation activity. These firms can grow fast and dominate markets. Other works have also documented increases in market concentration in the United States (Shambaugh et al., 2018), North America and Europe (Bajgar et al., 2019) and across the OECD countries (Guschanski &amp; Onaran, 2018).</w:t>
      </w:r>
    </w:p>
    <w:p w14:paraId="35E126E0" w14:textId="77777777" w:rsidR="009814A3" w:rsidRDefault="009814A3" w:rsidP="00F05816">
      <w:pPr>
        <w:spacing w:line="270" w:lineRule="exact"/>
        <w:ind w:left="0"/>
      </w:pPr>
      <w:r>
        <w:t>In this study, I focus on the trends in market concentration in Australia using an Australian micro-dataset on firms and their operation. Using the Hirschman–Herfindahl Index (HHI), I find that market concentration in Australia has on average been falling before 2007. However, from 2007 or thereabouts the average market concentration shows an increasing trend. Further scrutiny shows that almost all of the increase in concentration has happened among the industries whose HHI is above the median. For industries with HHI below the median there has not been any noticeable change in concentration.</w:t>
      </w:r>
    </w:p>
    <w:p w14:paraId="35E126E1" w14:textId="77777777" w:rsidR="009814A3" w:rsidRDefault="009814A3" w:rsidP="00F05816">
      <w:pPr>
        <w:spacing w:line="270" w:lineRule="exact"/>
        <w:ind w:left="0"/>
      </w:pPr>
      <w:r>
        <w:t>I further explore these d</w:t>
      </w:r>
      <w:r w:rsidR="00F21E62">
        <w:t>ynamics by trying to characteris</w:t>
      </w:r>
      <w:r>
        <w:t xml:space="preserve">e industries that experience an increase in their HHI. I use digital maturity, productivity dispersion, the skewness of productivity distribution, and export intensity – all within the industries – as indicators of the potential for </w:t>
      </w:r>
      <w:r>
        <w:rPr>
          <w:i/>
          <w:iCs/>
        </w:rPr>
        <w:t>star</w:t>
      </w:r>
      <w:r>
        <w:t xml:space="preserve"> or apt firms driving the increase in market concentration.</w:t>
      </w:r>
    </w:p>
    <w:p w14:paraId="48039752" w14:textId="1A72C121" w:rsidR="00EF7150" w:rsidRDefault="00F9775C" w:rsidP="00F05816">
      <w:pPr>
        <w:spacing w:line="270" w:lineRule="exact"/>
        <w:ind w:left="0"/>
      </w:pPr>
      <w:r w:rsidRPr="00F9775C">
        <w:t>Overall, the results suggest very little role for innovation and stellar performance contributing to the increasing market concentration. The only exception is when the industry is export intensive. The evidence suggests t</w:t>
      </w:r>
      <w:r w:rsidR="00471582">
        <w:t>hat export intensive industrie</w:t>
      </w:r>
      <w:r w:rsidR="008519CE">
        <w:t>s</w:t>
      </w:r>
      <w:r w:rsidR="00AC445F">
        <w:t xml:space="preserve"> </w:t>
      </w:r>
      <w:r w:rsidRPr="00F9775C">
        <w:t>are</w:t>
      </w:r>
      <w:r w:rsidR="008E19B1">
        <w:t xml:space="preserve"> more concentrated and also</w:t>
      </w:r>
      <w:r w:rsidRPr="00F9775C">
        <w:t xml:space="preserve"> one group where market concentration is increasing. The effect becomes even stronger when the industry is additionally characterized as being digitally mature or as having a skewed productivity distribution. </w:t>
      </w:r>
    </w:p>
    <w:p w14:paraId="7CC4B5B6" w14:textId="4CD10C6A" w:rsidR="00F9775C" w:rsidRDefault="00F9775C" w:rsidP="00F05816">
      <w:pPr>
        <w:spacing w:line="270" w:lineRule="exact"/>
        <w:ind w:left="0"/>
      </w:pPr>
      <w:r w:rsidRPr="00F9775C">
        <w:t>Further, it is possible to show that the industry's average productivity is also increasing within this group, where productivity is unchanged or falling elsewhere that concentration is rising. The findings put the onus for the increasing market concentration in export intensive industries on the more productive, or star, firms</w:t>
      </w:r>
      <w:r w:rsidR="00EF7150">
        <w:t xml:space="preserve"> and not on falling competition</w:t>
      </w:r>
      <w:r w:rsidRPr="00F9775C">
        <w:t>.</w:t>
      </w:r>
    </w:p>
    <w:p w14:paraId="35E126E3" w14:textId="67728C31" w:rsidR="009814A3" w:rsidRDefault="00066F10" w:rsidP="00F05816">
      <w:pPr>
        <w:spacing w:line="270" w:lineRule="exact"/>
        <w:ind w:left="0"/>
      </w:pPr>
      <w:r w:rsidRPr="00066F10">
        <w:lastRenderedPageBreak/>
        <w:t xml:space="preserve">The last results </w:t>
      </w:r>
      <w:r w:rsidR="009B7D03">
        <w:t>confirm</w:t>
      </w:r>
      <w:r w:rsidRPr="00066F10">
        <w:t xml:space="preserve"> that the domestic market in Australia is comparably small.</w:t>
      </w:r>
      <w:r>
        <w:t xml:space="preserve"> </w:t>
      </w:r>
      <w:r w:rsidR="009814A3">
        <w:t>For productive and innovative firms to thrive and grow to dominant levels, a larger market is required</w:t>
      </w:r>
      <w:r w:rsidR="008519CE">
        <w:t xml:space="preserve"> (Bakhtiari</w:t>
      </w:r>
      <w:r w:rsidR="002D5B73">
        <w:t>, 20</w:t>
      </w:r>
      <w:r w:rsidR="008519CE">
        <w:t>12)</w:t>
      </w:r>
      <w:r w:rsidR="009814A3">
        <w:t>. Access to export markets is the crucial element. The findings are also in line with the argument by De Loecker &amp; Warzynski (2012) that exporting firms in general have higher market powers than other firms.</w:t>
      </w:r>
    </w:p>
    <w:p w14:paraId="35E126E4" w14:textId="7A954103" w:rsidR="009814A3" w:rsidRDefault="009814A3" w:rsidP="00F05816">
      <w:pPr>
        <w:spacing w:line="270" w:lineRule="exact"/>
        <w:ind w:left="0"/>
      </w:pPr>
      <w:r>
        <w:t>The remainder of the paper is composed as follows: The next section describes the data used for the study. Sections </w:t>
      </w:r>
      <w:r w:rsidR="001C16D9">
        <w:t>3</w:t>
      </w:r>
      <w:r>
        <w:t xml:space="preserve"> and </w:t>
      </w:r>
      <w:r w:rsidR="001C16D9">
        <w:t xml:space="preserve">4 </w:t>
      </w:r>
      <w:r>
        <w:t>illustrate the distribution and dynamics of market concentration. A taxonomy of industries experiencing changes to their market concentration is offered in Section </w:t>
      </w:r>
      <w:r w:rsidR="00007FE3">
        <w:t>5</w:t>
      </w:r>
      <w:r>
        <w:t>. In Section </w:t>
      </w:r>
      <w:r w:rsidR="00007FE3">
        <w:t>6</w:t>
      </w:r>
      <w:r>
        <w:t>, I show that average productivity is increasing where star firms are supposed to be driving the increase in market concentration. Some robustness tests follow in Section </w:t>
      </w:r>
      <w:r w:rsidR="00007FE3">
        <w:t>7</w:t>
      </w:r>
      <w:r>
        <w:t>. The paper is concluded in Section </w:t>
      </w:r>
      <w:r w:rsidR="00007FE3">
        <w:t>8</w:t>
      </w:r>
      <w:r>
        <w:t>.</w:t>
      </w:r>
    </w:p>
    <w:p w14:paraId="35E126E6" w14:textId="77777777" w:rsidR="00E67D07" w:rsidRDefault="00E67D07" w:rsidP="00E67D07">
      <w:pPr>
        <w:pStyle w:val="Heading1"/>
      </w:pPr>
      <w:r>
        <w:t>Data</w:t>
      </w:r>
    </w:p>
    <w:p w14:paraId="35E126E7" w14:textId="77777777" w:rsidR="00E67D07" w:rsidRDefault="00E67D07" w:rsidP="00E67D07">
      <w:pPr>
        <w:spacing w:before="60" w:line="270" w:lineRule="exact"/>
        <w:ind w:left="0"/>
      </w:pPr>
      <w:r>
        <w:t xml:space="preserve">The study relies on the Business Longitudinal Analysis Data Environment (BLADE) from the Australian Bureau of Statistics (ABS). Hansell &amp; Rafi (2018) describe the production and composition of the data in full details. The most recent version of the BLADE covers fiscal years 2001–02 to 2015–16 and the universe spans all firms that have been registered for the Goods and Services Tax (GST) at some point in time. </w:t>
      </w:r>
    </w:p>
    <w:p w14:paraId="35E126E8" w14:textId="77777777" w:rsidR="00E67D07" w:rsidRDefault="00E67D07" w:rsidP="00F05816">
      <w:pPr>
        <w:spacing w:line="270" w:lineRule="exact"/>
        <w:ind w:left="0"/>
      </w:pPr>
      <w:r>
        <w:t>The data provides information on firms’ income statement and balance sheet (from Business Income Tax reports and Business Activity Statements), and also on wages and employment (from Pay-As-You-Go reports). In particular, I use the provided information on turnover, exports income, Australia and New Zealand Standard Industry Classification (ANZSIC), and employment.</w:t>
      </w:r>
    </w:p>
    <w:p w14:paraId="35E126E9" w14:textId="77777777" w:rsidR="00E67D07" w:rsidRDefault="00E67D07" w:rsidP="00F05816">
      <w:pPr>
        <w:spacing w:line="270" w:lineRule="exact"/>
        <w:ind w:left="0"/>
      </w:pPr>
      <w:r>
        <w:t xml:space="preserve">Using wage reports and other supplementary data, the ABS also estimates and adds Full-Time equivalent Employment (FTE) to the BLADE. I will use the reported FTE in the computing of labour productivity. The FTE estimate is missing for a number of firms either because they are non-employers or because the data is missing. I impute those missing values using the methodology described in Bakhtiari (2017, Section 2). Specifically, where wages are zero, I set FTE to zero too. Elsewhere, I estimate a linear regression of the log of FTE on the log of wages and year and industry dummies. The </w:t>
      </w:r>
      <w:r>
        <w:fldChar w:fldCharType="begin"/>
      </w:r>
      <w:r>
        <w:instrText xml:space="preserve"> EQ </w:instrText>
      </w:r>
      <w:r>
        <w:rPr>
          <w:i/>
          <w:iCs/>
        </w:rPr>
        <w:instrText>R</w:instrText>
      </w:r>
      <w:r>
        <w:instrText>\s\up5(</w:instrText>
      </w:r>
      <w:r>
        <w:rPr>
          <w:sz w:val="16"/>
          <w:szCs w:val="16"/>
        </w:rPr>
        <w:instrText>2</w:instrText>
      </w:r>
      <w:r>
        <w:instrText>)</w:instrText>
      </w:r>
      <w:r>
        <w:fldChar w:fldCharType="end"/>
      </w:r>
      <w:r>
        <w:t xml:space="preserve"> of the estimated model is close to 0.9. I then use the estimated model to predict FTE where it is missing but wages are reported.</w:t>
      </w:r>
    </w:p>
    <w:p w14:paraId="35E126EA" w14:textId="77777777" w:rsidR="00E67D07" w:rsidRDefault="00E67D07" w:rsidP="00F05816">
      <w:pPr>
        <w:spacing w:line="270" w:lineRule="exact"/>
        <w:ind w:left="0"/>
      </w:pPr>
      <w:r>
        <w:t>There are still observations that report non-zero turnover but have missing FTE. To account for these firms when computing aggregate employment, I further weight the observations with non-missing FTE, including the imputed ones, with an inverse propensity weight computed in the same way as in Bakhtiari (2017, Section 2). The method estimates the probability that the FTE is known, including the imputed ones, by estimating a Probit function with log of turnover, whether the firm is three years or younger and year and industry dummies as explanatory variables. The inverse of predicted probabilities are then used to weight observations where FTE is known.</w:t>
      </w:r>
    </w:p>
    <w:p w14:paraId="35E126EB" w14:textId="77777777" w:rsidR="00E67D07" w:rsidRDefault="00E67D07" w:rsidP="00F05816">
      <w:pPr>
        <w:spacing w:line="270" w:lineRule="exact"/>
        <w:ind w:left="0"/>
      </w:pPr>
      <w:r>
        <w:t xml:space="preserve">The unit of observation in the BLADE is Type-of-Activity-Unit (TAU) which pertains to “a producing unit comprising one or more legal entities, sub-entities </w:t>
      </w:r>
      <w:r>
        <w:lastRenderedPageBreak/>
        <w:t>or branches of a legal entity that can report productive and employment activities via a minimum set of data items” (ABS Cat.No.1292.0). For the majority of firms in the BLADE, TAU and the Australian Business Number (ABN) are the same. For firms with complex structures and multiple ABNs, a TAU covers the operation of firm comprising of all the related ABNs. In the case of holding companies, a TAU signifies the operation of each subsidiary firm under the same parenthood. Consequently, a firm is uniquely identified by its TAU, which is invariant over time for a firm.</w:t>
      </w:r>
    </w:p>
    <w:p w14:paraId="35E126EC" w14:textId="77777777" w:rsidR="00E67D07" w:rsidRDefault="00E67D07" w:rsidP="00F05816">
      <w:pPr>
        <w:spacing w:before="120" w:line="270" w:lineRule="exact"/>
        <w:ind w:left="0"/>
      </w:pPr>
      <w:r>
        <w:t>To properly focus on market-based industries, I drop sectors related to the operation of government. Specifically, I am dropping sectors in Public Administration and Safety (ANZSIC 751–772) which encompass the operation of federal, state and local governments, and that of the defence forces. I am also dropping Central Banking (ANZSIC 621).</w:t>
      </w:r>
    </w:p>
    <w:p w14:paraId="35E126EE" w14:textId="77777777" w:rsidR="00FC33C9" w:rsidRDefault="00FC33C9" w:rsidP="00FC33C9">
      <w:pPr>
        <w:pStyle w:val="Heading1"/>
      </w:pPr>
      <w:r>
        <w:t>Industry Concentration</w:t>
      </w:r>
    </w:p>
    <w:p w14:paraId="35E126EF" w14:textId="77777777" w:rsidR="00FC33C9" w:rsidRDefault="00FC33C9" w:rsidP="00FC33C9">
      <w:pPr>
        <w:spacing w:before="60" w:line="270" w:lineRule="exact"/>
        <w:ind w:left="0"/>
      </w:pPr>
      <w:r>
        <w:t xml:space="preserve">I investigate the extent to which large firms are dominant in various industries in Australia using HHI. Formally, the index is defined as </w:t>
      </w:r>
    </w:p>
    <w:p w14:paraId="35E126F0" w14:textId="77777777" w:rsidR="00FC33C9" w:rsidRDefault="00FC33C9" w:rsidP="00FC33C9">
      <w:pPr>
        <w:pStyle w:val="equationNum"/>
        <w:tabs>
          <w:tab w:val="center" w:pos="4019"/>
          <w:tab w:val="right" w:pos="8038"/>
        </w:tabs>
        <w:spacing w:line="360" w:lineRule="exact"/>
      </w:pPr>
      <w:r>
        <w:tab/>
      </w:r>
      <w:r>
        <w:fldChar w:fldCharType="begin"/>
      </w:r>
      <w:r>
        <w:instrText xml:space="preserve"> EQ </w:instrText>
      </w:r>
      <w:r>
        <w:rPr>
          <w:i/>
          <w:iCs/>
        </w:rPr>
        <w:instrText>H</w:instrText>
      </w:r>
      <w:r>
        <w:instrText>\s\do5(</w:instrText>
      </w:r>
      <w:r>
        <w:rPr>
          <w:i/>
          <w:iCs/>
          <w:sz w:val="16"/>
          <w:szCs w:val="16"/>
        </w:rPr>
        <w:instrText>it</w:instrText>
      </w:r>
      <w:r>
        <w:instrText>)= \i \su(</w:instrText>
      </w:r>
      <w:r>
        <w:rPr>
          <w:i/>
          <w:iCs/>
        </w:rPr>
        <w:instrText>j</w:instrText>
      </w:r>
      <w:r>
        <w:instrText>,, )</w:instrText>
      </w:r>
      <w:r>
        <w:rPr>
          <w:i/>
          <w:iCs/>
        </w:rPr>
        <w:instrText>s</w:instrText>
      </w:r>
      <w:r>
        <w:instrText>\s\up(</w:instrText>
      </w:r>
      <w:r>
        <w:rPr>
          <w:sz w:val="16"/>
          <w:szCs w:val="16"/>
        </w:rPr>
        <w:instrText>2,</w:instrText>
      </w:r>
      <w:r>
        <w:rPr>
          <w:i/>
          <w:iCs/>
          <w:sz w:val="16"/>
          <w:szCs w:val="16"/>
        </w:rPr>
        <w:instrText>jit</w:instrText>
      </w:r>
      <w:r>
        <w:instrText>).</w:instrText>
      </w:r>
      <w:r>
        <w:fldChar w:fldCharType="end"/>
      </w:r>
      <w:r>
        <w:tab/>
        <w:t>(</w:t>
      </w:r>
      <w:bookmarkStart w:id="1" w:name="BMeq_H"/>
      <w:r>
        <w:t>1</w:t>
      </w:r>
      <w:bookmarkEnd w:id="1"/>
      <w:r>
        <w:t>)</w:t>
      </w:r>
    </w:p>
    <w:p w14:paraId="35E126F1" w14:textId="77777777" w:rsidR="00FC33C9" w:rsidRDefault="00FC33C9" w:rsidP="00FC33C9">
      <w:pPr>
        <w:spacing w:line="270" w:lineRule="exact"/>
        <w:ind w:left="0"/>
      </w:pPr>
      <w:r>
        <w:t>In (</w:t>
      </w:r>
      <w:fldSimple w:instr="REF BMeq_H \* MERGEFORMAT ">
        <w:r w:rsidR="00A20DE7">
          <w:t>1</w:t>
        </w:r>
      </w:fldSimple>
      <w:r>
        <w:t xml:space="preserve">), </w:t>
      </w:r>
      <w:r>
        <w:rPr>
          <w:i/>
        </w:rPr>
        <w:t>s</w:t>
      </w:r>
      <w:r>
        <w:rPr>
          <w:i/>
          <w:vertAlign w:val="subscript"/>
        </w:rPr>
        <w:t>ijt</w:t>
      </w:r>
      <w:r>
        <w:t xml:space="preserve"> is the share of turnover by firm </w:t>
      </w:r>
      <w:r>
        <w:rPr>
          <w:i/>
          <w:iCs/>
        </w:rPr>
        <w:t>j</w:t>
      </w:r>
      <w:r>
        <w:t xml:space="preserve"> from the total in industry </w:t>
      </w:r>
      <w:r>
        <w:rPr>
          <w:i/>
          <w:iCs/>
        </w:rPr>
        <w:t>i</w:t>
      </w:r>
      <w:r>
        <w:t xml:space="preserve"> at time </w:t>
      </w:r>
      <w:r>
        <w:rPr>
          <w:i/>
          <w:iCs/>
        </w:rPr>
        <w:t>t</w:t>
      </w:r>
      <w:r>
        <w:t xml:space="preserve">. An industry is defined as a 3-digit ANZSIC. </w:t>
      </w:r>
    </w:p>
    <w:p w14:paraId="35E126F2" w14:textId="77777777" w:rsidR="00FC33C9" w:rsidRDefault="00FC33C9" w:rsidP="00F05816">
      <w:pPr>
        <w:spacing w:before="120" w:line="270" w:lineRule="exact"/>
        <w:ind w:left="0"/>
      </w:pPr>
      <w:r>
        <w:t>The distribution of HHI when pooling all industry–years is illustrated in Figure </w:t>
      </w:r>
      <w:r w:rsidR="00CA121A">
        <w:t>3.1</w:t>
      </w:r>
      <w:r>
        <w:t xml:space="preserve">. The bulk of observations have an index of 0.3 and lower. There are a few industry–years with HHI higher than 0.5. Only a handful of observations have HHI larger than 0.8. The skewness of this distribution confirms that very few Australian industries are dominated and controlled by a small number of large firms. </w:t>
      </w:r>
    </w:p>
    <w:p w14:paraId="35E126F4" w14:textId="13D2AA67" w:rsidR="00FC33C9" w:rsidRDefault="00FC33C9" w:rsidP="00E63064">
      <w:pPr>
        <w:pStyle w:val="Caption"/>
      </w:pPr>
      <w:r>
        <w:t>Figure</w:t>
      </w:r>
      <w:r w:rsidRPr="000618FB">
        <w:t xml:space="preserve"> </w:t>
      </w:r>
      <w:r>
        <w:rPr>
          <w:noProof/>
        </w:rPr>
        <w:fldChar w:fldCharType="begin"/>
      </w:r>
      <w:r>
        <w:rPr>
          <w:noProof/>
        </w:rPr>
        <w:instrText xml:space="preserve"> STYLEREF 1 \s </w:instrText>
      </w:r>
      <w:r>
        <w:rPr>
          <w:noProof/>
        </w:rPr>
        <w:fldChar w:fldCharType="separate"/>
      </w:r>
      <w:r w:rsidR="00A20DE7">
        <w:rPr>
          <w:noProof/>
        </w:rPr>
        <w:t>3</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A20DE7">
        <w:rPr>
          <w:noProof/>
        </w:rPr>
        <w:t>1</w:t>
      </w:r>
      <w:r w:rsidRPr="000618FB">
        <w:fldChar w:fldCharType="end"/>
      </w:r>
      <w:r>
        <w:t>: The distribution of HHI.</w:t>
      </w:r>
    </w:p>
    <w:p w14:paraId="374CAE97" w14:textId="1267F3D2" w:rsidR="00E25059" w:rsidRPr="00E25059" w:rsidRDefault="00E25059" w:rsidP="00E25059">
      <w:pPr>
        <w:pStyle w:val="Placeholder"/>
        <w:jc w:val="left"/>
      </w:pPr>
      <w:r>
        <w:rPr>
          <w:noProof/>
          <w:lang w:eastAsia="en-AU"/>
        </w:rPr>
        <w:drawing>
          <wp:inline distT="0" distB="0" distL="0" distR="0" wp14:anchorId="39016E0C" wp14:editId="332AEF14">
            <wp:extent cx="4005080" cy="2709678"/>
            <wp:effectExtent l="0" t="0" r="0" b="0"/>
            <wp:docPr id="1" name="Picture 1" descr="There is a very large density close to zero. The density drops very fast with increasing HHI and practically hits zero for HHI larger than 0.4." title="The distribution of H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_3.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5080" cy="2709678"/>
                    </a:xfrm>
                    <a:prstGeom prst="rect">
                      <a:avLst/>
                    </a:prstGeom>
                  </pic:spPr>
                </pic:pic>
              </a:graphicData>
            </a:graphic>
          </wp:inline>
        </w:drawing>
      </w:r>
    </w:p>
    <w:p w14:paraId="35E126F5" w14:textId="77777777" w:rsidR="00FC33C9" w:rsidRPr="00C62F3A" w:rsidRDefault="00FC33C9" w:rsidP="00E63064">
      <w:pPr>
        <w:pStyle w:val="Note"/>
      </w:pPr>
      <w:r>
        <w:t>Notes: Pooling all industry–years</w:t>
      </w:r>
    </w:p>
    <w:p w14:paraId="35E126F6" w14:textId="77777777" w:rsidR="00FC33C9" w:rsidRDefault="00FC33C9" w:rsidP="00E63064">
      <w:pPr>
        <w:pStyle w:val="Source"/>
      </w:pPr>
      <w:r>
        <w:t>Source: Department of Industry, Innovation and Science (2019)</w:t>
      </w:r>
    </w:p>
    <w:p w14:paraId="35E126F7" w14:textId="77777777" w:rsidR="00141F95" w:rsidRDefault="00141F95" w:rsidP="00F05816">
      <w:pPr>
        <w:spacing w:before="240" w:line="270" w:lineRule="exact"/>
        <w:ind w:left="0"/>
      </w:pPr>
      <w:r>
        <w:lastRenderedPageBreak/>
        <w:t>These features also show up in the descriptive statistics of HHI, which are reported in Table </w:t>
      </w:r>
      <w:r w:rsidR="00CA121A">
        <w:t>3.1</w:t>
      </w:r>
      <w:r>
        <w:t>. The table, additionally, reports the descriptive statistics for the firm population of the industry (</w:t>
      </w:r>
      <w:r>
        <w:rPr>
          <w:i/>
          <w:iCs/>
        </w:rPr>
        <w:t>N</w:t>
      </w:r>
      <w:r>
        <w:t xml:space="preserve">) as in most cases HHI and firm population go hand-in-hand. </w:t>
      </w:r>
    </w:p>
    <w:p w14:paraId="35E126F9" w14:textId="77777777" w:rsidR="00836280" w:rsidRDefault="00836280" w:rsidP="00E63064">
      <w:pPr>
        <w:pStyle w:val="Caption"/>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3</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1</w:t>
      </w:r>
      <w:r>
        <w:rPr>
          <w:noProof/>
        </w:rPr>
        <w:fldChar w:fldCharType="end"/>
      </w:r>
      <w:r w:rsidRPr="000618FB">
        <w:t xml:space="preserve">: </w:t>
      </w:r>
      <w:r>
        <w:t>The descriptive statistics for HHI and firm population.</w:t>
      </w:r>
    </w:p>
    <w:tbl>
      <w:tblPr>
        <w:tblStyle w:val="OCETable"/>
        <w:tblW w:w="3804" w:type="pct"/>
        <w:tblLook w:val="04A0" w:firstRow="1" w:lastRow="0" w:firstColumn="1" w:lastColumn="0" w:noHBand="0" w:noVBand="1"/>
        <w:tblCaption w:val="Table 3.1"/>
        <w:tblDescription w:val="The average and most percentiles of HHI are very small in value, the median being 0.036. The statistics for N show that firm population can range from hundreds to thousands per industry."/>
      </w:tblPr>
      <w:tblGrid>
        <w:gridCol w:w="2268"/>
        <w:gridCol w:w="1419"/>
        <w:gridCol w:w="1558"/>
      </w:tblGrid>
      <w:tr w:rsidR="00141F95" w14:paraId="35E126FD" w14:textId="77777777" w:rsidTr="008677CA">
        <w:trPr>
          <w:cnfStyle w:val="100000000000" w:firstRow="1" w:lastRow="0" w:firstColumn="0" w:lastColumn="0" w:oddVBand="0" w:evenVBand="0" w:oddHBand="0" w:evenHBand="0" w:firstRowFirstColumn="0" w:firstRowLastColumn="0" w:lastRowFirstColumn="0" w:lastRowLastColumn="0"/>
          <w:tblHeader/>
        </w:trPr>
        <w:tc>
          <w:tcPr>
            <w:tcW w:w="2162" w:type="pct"/>
          </w:tcPr>
          <w:p w14:paraId="35E126FA" w14:textId="77777777" w:rsidR="00141F95" w:rsidRDefault="00141F95" w:rsidP="00141F95">
            <w:pPr>
              <w:pStyle w:val="Tableheadertext"/>
            </w:pPr>
            <w:r>
              <w:t xml:space="preserve"> Statistic</w:t>
            </w:r>
          </w:p>
        </w:tc>
        <w:tc>
          <w:tcPr>
            <w:tcW w:w="1353" w:type="pct"/>
          </w:tcPr>
          <w:p w14:paraId="35E126FB" w14:textId="77777777" w:rsidR="00141F95" w:rsidRDefault="00141F95" w:rsidP="00836280">
            <w:pPr>
              <w:pStyle w:val="Tableheadertext"/>
              <w:jc w:val="center"/>
            </w:pPr>
            <w:r>
              <w:rPr>
                <w:i/>
                <w:iCs/>
              </w:rPr>
              <w:t>H</w:t>
            </w:r>
          </w:p>
        </w:tc>
        <w:tc>
          <w:tcPr>
            <w:tcW w:w="1485" w:type="pct"/>
          </w:tcPr>
          <w:p w14:paraId="35E126FC" w14:textId="77777777" w:rsidR="00141F95" w:rsidRDefault="00141F95" w:rsidP="00836280">
            <w:pPr>
              <w:pStyle w:val="Tableheadertext"/>
              <w:jc w:val="center"/>
            </w:pPr>
            <w:r>
              <w:rPr>
                <w:i/>
                <w:iCs/>
              </w:rPr>
              <w:t>N</w:t>
            </w:r>
          </w:p>
        </w:tc>
      </w:tr>
      <w:tr w:rsidR="00141F95" w14:paraId="35E12701" w14:textId="77777777" w:rsidTr="00141F95">
        <w:trPr>
          <w:cnfStyle w:val="000000100000" w:firstRow="0" w:lastRow="0" w:firstColumn="0" w:lastColumn="0" w:oddVBand="0" w:evenVBand="0" w:oddHBand="1" w:evenHBand="0" w:firstRowFirstColumn="0" w:firstRowLastColumn="0" w:lastRowFirstColumn="0" w:lastRowLastColumn="0"/>
        </w:trPr>
        <w:tc>
          <w:tcPr>
            <w:tcW w:w="2162" w:type="pct"/>
          </w:tcPr>
          <w:p w14:paraId="35E126FE" w14:textId="77777777" w:rsidR="00141F95" w:rsidRDefault="00141F95" w:rsidP="00141F95">
            <w:pPr>
              <w:pStyle w:val="Tablebodytext"/>
            </w:pPr>
            <w:r>
              <w:t xml:space="preserve"> Mean</w:t>
            </w:r>
          </w:p>
        </w:tc>
        <w:tc>
          <w:tcPr>
            <w:tcW w:w="1353" w:type="pct"/>
          </w:tcPr>
          <w:p w14:paraId="35E126FF" w14:textId="77777777" w:rsidR="00141F95" w:rsidRDefault="00141F95" w:rsidP="00836280">
            <w:pPr>
              <w:pStyle w:val="Tablebodytext"/>
              <w:jc w:val="center"/>
            </w:pPr>
            <w:r>
              <w:t>0.087</w:t>
            </w:r>
          </w:p>
        </w:tc>
        <w:tc>
          <w:tcPr>
            <w:tcW w:w="1485" w:type="pct"/>
          </w:tcPr>
          <w:p w14:paraId="35E12700" w14:textId="77777777" w:rsidR="00141F95" w:rsidRDefault="00141F95" w:rsidP="00836280">
            <w:pPr>
              <w:pStyle w:val="Tablebodytext"/>
              <w:jc w:val="center"/>
            </w:pPr>
            <w:r>
              <w:t>10,006.8</w:t>
            </w:r>
          </w:p>
        </w:tc>
      </w:tr>
      <w:tr w:rsidR="00141F95" w14:paraId="35E12705" w14:textId="77777777" w:rsidTr="00141F95">
        <w:trPr>
          <w:cnfStyle w:val="000000010000" w:firstRow="0" w:lastRow="0" w:firstColumn="0" w:lastColumn="0" w:oddVBand="0" w:evenVBand="0" w:oddHBand="0" w:evenHBand="1" w:firstRowFirstColumn="0" w:firstRowLastColumn="0" w:lastRowFirstColumn="0" w:lastRowLastColumn="0"/>
        </w:trPr>
        <w:tc>
          <w:tcPr>
            <w:tcW w:w="2162" w:type="pct"/>
          </w:tcPr>
          <w:p w14:paraId="35E12702" w14:textId="77777777" w:rsidR="00141F95" w:rsidRDefault="00141F95" w:rsidP="00141F95">
            <w:pPr>
              <w:pStyle w:val="Tablebodytext"/>
            </w:pPr>
            <w:r>
              <w:t>Std.Dev.</w:t>
            </w:r>
          </w:p>
        </w:tc>
        <w:tc>
          <w:tcPr>
            <w:tcW w:w="1353" w:type="pct"/>
          </w:tcPr>
          <w:p w14:paraId="35E12703" w14:textId="77777777" w:rsidR="00141F95" w:rsidRDefault="00141F95" w:rsidP="00836280">
            <w:pPr>
              <w:pStyle w:val="Tablebodytext"/>
              <w:jc w:val="center"/>
            </w:pPr>
            <w:r>
              <w:t>0.134</w:t>
            </w:r>
          </w:p>
        </w:tc>
        <w:tc>
          <w:tcPr>
            <w:tcW w:w="1485" w:type="pct"/>
          </w:tcPr>
          <w:p w14:paraId="35E12704" w14:textId="77777777" w:rsidR="00141F95" w:rsidRDefault="00141F95" w:rsidP="00836280">
            <w:pPr>
              <w:pStyle w:val="Tablebodytext"/>
              <w:jc w:val="center"/>
            </w:pPr>
            <w:r>
              <w:t>19,525.3</w:t>
            </w:r>
          </w:p>
        </w:tc>
      </w:tr>
      <w:tr w:rsidR="00141F95" w14:paraId="35E12709" w14:textId="77777777" w:rsidTr="00141F95">
        <w:trPr>
          <w:cnfStyle w:val="000000100000" w:firstRow="0" w:lastRow="0" w:firstColumn="0" w:lastColumn="0" w:oddVBand="0" w:evenVBand="0" w:oddHBand="1" w:evenHBand="0" w:firstRowFirstColumn="0" w:firstRowLastColumn="0" w:lastRowFirstColumn="0" w:lastRowLastColumn="0"/>
        </w:trPr>
        <w:tc>
          <w:tcPr>
            <w:tcW w:w="2162" w:type="pct"/>
          </w:tcPr>
          <w:p w14:paraId="35E12706" w14:textId="77777777" w:rsidR="00141F95" w:rsidRDefault="00141F95" w:rsidP="00141F95">
            <w:pPr>
              <w:pStyle w:val="Tablebodytext"/>
            </w:pPr>
            <w:r>
              <w:t>10th Percentile</w:t>
            </w:r>
          </w:p>
        </w:tc>
        <w:tc>
          <w:tcPr>
            <w:tcW w:w="1353" w:type="pct"/>
          </w:tcPr>
          <w:p w14:paraId="35E12707" w14:textId="77777777" w:rsidR="00141F95" w:rsidRDefault="00141F95" w:rsidP="00836280">
            <w:pPr>
              <w:pStyle w:val="Tablebodytext"/>
              <w:jc w:val="center"/>
            </w:pPr>
            <w:r>
              <w:t>0.003</w:t>
            </w:r>
          </w:p>
        </w:tc>
        <w:tc>
          <w:tcPr>
            <w:tcW w:w="1485" w:type="pct"/>
          </w:tcPr>
          <w:p w14:paraId="35E12708" w14:textId="77777777" w:rsidR="00141F95" w:rsidRDefault="00141F95" w:rsidP="00836280">
            <w:pPr>
              <w:pStyle w:val="Tablebodytext"/>
              <w:jc w:val="center"/>
            </w:pPr>
            <w:r>
              <w:t>247</w:t>
            </w:r>
          </w:p>
        </w:tc>
      </w:tr>
      <w:tr w:rsidR="00141F95" w14:paraId="35E1270D" w14:textId="77777777" w:rsidTr="00141F95">
        <w:trPr>
          <w:cnfStyle w:val="000000010000" w:firstRow="0" w:lastRow="0" w:firstColumn="0" w:lastColumn="0" w:oddVBand="0" w:evenVBand="0" w:oddHBand="0" w:evenHBand="1" w:firstRowFirstColumn="0" w:firstRowLastColumn="0" w:lastRowFirstColumn="0" w:lastRowLastColumn="0"/>
        </w:trPr>
        <w:tc>
          <w:tcPr>
            <w:tcW w:w="2162" w:type="pct"/>
          </w:tcPr>
          <w:p w14:paraId="35E1270A" w14:textId="77777777" w:rsidR="00141F95" w:rsidRDefault="00141F95" w:rsidP="00141F95">
            <w:pPr>
              <w:pStyle w:val="Tablebodytext"/>
            </w:pPr>
            <w:r>
              <w:t>1st Quartile</w:t>
            </w:r>
          </w:p>
        </w:tc>
        <w:tc>
          <w:tcPr>
            <w:tcW w:w="1353" w:type="pct"/>
          </w:tcPr>
          <w:p w14:paraId="35E1270B" w14:textId="77777777" w:rsidR="00141F95" w:rsidRDefault="00141F95" w:rsidP="00836280">
            <w:pPr>
              <w:pStyle w:val="Tablebodytext"/>
              <w:jc w:val="center"/>
            </w:pPr>
            <w:r>
              <w:t>0.009</w:t>
            </w:r>
          </w:p>
        </w:tc>
        <w:tc>
          <w:tcPr>
            <w:tcW w:w="1485" w:type="pct"/>
          </w:tcPr>
          <w:p w14:paraId="35E1270C" w14:textId="77777777" w:rsidR="00141F95" w:rsidRDefault="00141F95" w:rsidP="00836280">
            <w:pPr>
              <w:pStyle w:val="Tablebodytext"/>
              <w:jc w:val="center"/>
            </w:pPr>
            <w:r>
              <w:t>660.5</w:t>
            </w:r>
          </w:p>
        </w:tc>
      </w:tr>
      <w:tr w:rsidR="00141F95" w14:paraId="35E12711" w14:textId="77777777" w:rsidTr="00141F95">
        <w:trPr>
          <w:cnfStyle w:val="000000100000" w:firstRow="0" w:lastRow="0" w:firstColumn="0" w:lastColumn="0" w:oddVBand="0" w:evenVBand="0" w:oddHBand="1" w:evenHBand="0" w:firstRowFirstColumn="0" w:firstRowLastColumn="0" w:lastRowFirstColumn="0" w:lastRowLastColumn="0"/>
        </w:trPr>
        <w:tc>
          <w:tcPr>
            <w:tcW w:w="2162" w:type="pct"/>
          </w:tcPr>
          <w:p w14:paraId="35E1270E" w14:textId="77777777" w:rsidR="00141F95" w:rsidRDefault="00141F95" w:rsidP="00141F95">
            <w:pPr>
              <w:pStyle w:val="Tablebodytext"/>
            </w:pPr>
            <w:r>
              <w:t>Median</w:t>
            </w:r>
          </w:p>
        </w:tc>
        <w:tc>
          <w:tcPr>
            <w:tcW w:w="1353" w:type="pct"/>
          </w:tcPr>
          <w:p w14:paraId="35E1270F" w14:textId="77777777" w:rsidR="00141F95" w:rsidRDefault="00141F95" w:rsidP="00836280">
            <w:pPr>
              <w:pStyle w:val="Tablebodytext"/>
              <w:jc w:val="center"/>
            </w:pPr>
            <w:r>
              <w:t>0.036</w:t>
            </w:r>
          </w:p>
        </w:tc>
        <w:tc>
          <w:tcPr>
            <w:tcW w:w="1485" w:type="pct"/>
          </w:tcPr>
          <w:p w14:paraId="35E12710" w14:textId="77777777" w:rsidR="00141F95" w:rsidRDefault="00141F95" w:rsidP="00836280">
            <w:pPr>
              <w:pStyle w:val="Tablebodytext"/>
              <w:jc w:val="center"/>
            </w:pPr>
            <w:r>
              <w:t>2,682.0</w:t>
            </w:r>
          </w:p>
        </w:tc>
      </w:tr>
      <w:tr w:rsidR="00141F95" w14:paraId="35E12715" w14:textId="77777777" w:rsidTr="00141F95">
        <w:trPr>
          <w:cnfStyle w:val="000000010000" w:firstRow="0" w:lastRow="0" w:firstColumn="0" w:lastColumn="0" w:oddVBand="0" w:evenVBand="0" w:oddHBand="0" w:evenHBand="1" w:firstRowFirstColumn="0" w:firstRowLastColumn="0" w:lastRowFirstColumn="0" w:lastRowLastColumn="0"/>
        </w:trPr>
        <w:tc>
          <w:tcPr>
            <w:tcW w:w="2162" w:type="pct"/>
          </w:tcPr>
          <w:p w14:paraId="35E12712" w14:textId="77777777" w:rsidR="00141F95" w:rsidRDefault="00141F95" w:rsidP="00141F95">
            <w:pPr>
              <w:pStyle w:val="Tablebodytext"/>
            </w:pPr>
            <w:r>
              <w:t>3rd Quartile</w:t>
            </w:r>
          </w:p>
        </w:tc>
        <w:tc>
          <w:tcPr>
            <w:tcW w:w="1353" w:type="pct"/>
          </w:tcPr>
          <w:p w14:paraId="35E12713" w14:textId="77777777" w:rsidR="00141F95" w:rsidRDefault="00141F95" w:rsidP="00836280">
            <w:pPr>
              <w:pStyle w:val="Tablebodytext"/>
              <w:jc w:val="center"/>
            </w:pPr>
            <w:r>
              <w:t>0.103</w:t>
            </w:r>
          </w:p>
        </w:tc>
        <w:tc>
          <w:tcPr>
            <w:tcW w:w="1485" w:type="pct"/>
          </w:tcPr>
          <w:p w14:paraId="35E12714" w14:textId="77777777" w:rsidR="00141F95" w:rsidRDefault="00141F95" w:rsidP="00836280">
            <w:pPr>
              <w:pStyle w:val="Tablebodytext"/>
              <w:jc w:val="center"/>
            </w:pPr>
            <w:r>
              <w:t>9,569.0</w:t>
            </w:r>
          </w:p>
        </w:tc>
      </w:tr>
      <w:tr w:rsidR="00141F95" w14:paraId="35E12719" w14:textId="77777777" w:rsidTr="00141F95">
        <w:trPr>
          <w:cnfStyle w:val="000000100000" w:firstRow="0" w:lastRow="0" w:firstColumn="0" w:lastColumn="0" w:oddVBand="0" w:evenVBand="0" w:oddHBand="1" w:evenHBand="0" w:firstRowFirstColumn="0" w:firstRowLastColumn="0" w:lastRowFirstColumn="0" w:lastRowLastColumn="0"/>
        </w:trPr>
        <w:tc>
          <w:tcPr>
            <w:tcW w:w="2162" w:type="pct"/>
          </w:tcPr>
          <w:p w14:paraId="35E12716" w14:textId="77777777" w:rsidR="00141F95" w:rsidRDefault="00141F95" w:rsidP="00141F95">
            <w:pPr>
              <w:pStyle w:val="Tablebodytext"/>
            </w:pPr>
            <w:r>
              <w:t>90th Percentile</w:t>
            </w:r>
          </w:p>
        </w:tc>
        <w:tc>
          <w:tcPr>
            <w:tcW w:w="1353" w:type="pct"/>
          </w:tcPr>
          <w:p w14:paraId="35E12717" w14:textId="77777777" w:rsidR="00141F95" w:rsidRDefault="00141F95" w:rsidP="00836280">
            <w:pPr>
              <w:pStyle w:val="Tablebodytext"/>
              <w:jc w:val="center"/>
            </w:pPr>
            <w:r>
              <w:t>0.226</w:t>
            </w:r>
          </w:p>
        </w:tc>
        <w:tc>
          <w:tcPr>
            <w:tcW w:w="1485" w:type="pct"/>
          </w:tcPr>
          <w:p w14:paraId="35E12718" w14:textId="77777777" w:rsidR="00141F95" w:rsidRDefault="00141F95" w:rsidP="00836280">
            <w:pPr>
              <w:pStyle w:val="Tablebodytext"/>
              <w:jc w:val="center"/>
            </w:pPr>
            <w:r>
              <w:t>30,825.2</w:t>
            </w:r>
          </w:p>
        </w:tc>
      </w:tr>
      <w:tr w:rsidR="00141F95" w14:paraId="35E1271D" w14:textId="77777777" w:rsidTr="00141F95">
        <w:trPr>
          <w:cnfStyle w:val="000000010000" w:firstRow="0" w:lastRow="0" w:firstColumn="0" w:lastColumn="0" w:oddVBand="0" w:evenVBand="0" w:oddHBand="0" w:evenHBand="1" w:firstRowFirstColumn="0" w:firstRowLastColumn="0" w:lastRowFirstColumn="0" w:lastRowLastColumn="0"/>
        </w:trPr>
        <w:tc>
          <w:tcPr>
            <w:tcW w:w="2162" w:type="pct"/>
          </w:tcPr>
          <w:p w14:paraId="35E1271A" w14:textId="77777777" w:rsidR="00141F95" w:rsidRDefault="00141F95" w:rsidP="00141F95">
            <w:pPr>
              <w:pStyle w:val="Tablebodytext"/>
            </w:pPr>
            <w:r>
              <w:t>#Obs</w:t>
            </w:r>
          </w:p>
        </w:tc>
        <w:tc>
          <w:tcPr>
            <w:tcW w:w="1353" w:type="pct"/>
          </w:tcPr>
          <w:p w14:paraId="35E1271B" w14:textId="77777777" w:rsidR="00141F95" w:rsidRDefault="00141F95" w:rsidP="00836280">
            <w:pPr>
              <w:pStyle w:val="Tablebodytext"/>
              <w:jc w:val="center"/>
            </w:pPr>
            <w:r>
              <w:t>3,075</w:t>
            </w:r>
          </w:p>
        </w:tc>
        <w:tc>
          <w:tcPr>
            <w:tcW w:w="1485" w:type="pct"/>
          </w:tcPr>
          <w:p w14:paraId="35E1271C" w14:textId="77777777" w:rsidR="00141F95" w:rsidRDefault="00141F95" w:rsidP="00836280">
            <w:pPr>
              <w:pStyle w:val="Tablebodytext"/>
              <w:jc w:val="center"/>
            </w:pPr>
            <w:r>
              <w:t>3,075</w:t>
            </w:r>
          </w:p>
        </w:tc>
      </w:tr>
    </w:tbl>
    <w:p w14:paraId="35E1271E" w14:textId="77777777" w:rsidR="00836280" w:rsidRPr="00C62F3A" w:rsidRDefault="00836280" w:rsidP="00E63064">
      <w:pPr>
        <w:pStyle w:val="Note"/>
      </w:pPr>
      <w:r>
        <w:t>Notes: Statistics pool over all industry–years</w:t>
      </w:r>
    </w:p>
    <w:p w14:paraId="35E1271F" w14:textId="77777777" w:rsidR="00836280" w:rsidRDefault="00836280" w:rsidP="00E63064">
      <w:pPr>
        <w:pStyle w:val="Source"/>
      </w:pPr>
      <w:r>
        <w:t>Source: Department of Industry, Innovation and Science (2019)</w:t>
      </w:r>
    </w:p>
    <w:p w14:paraId="35E12721" w14:textId="77777777" w:rsidR="0090646F" w:rsidRDefault="0090646F" w:rsidP="00F05816">
      <w:pPr>
        <w:spacing w:before="240" w:line="270" w:lineRule="exact"/>
        <w:ind w:left="0"/>
      </w:pPr>
      <w:r>
        <w:t xml:space="preserve">As these statistics show, HHI is smaller than 0.23 for more than 90 per cent of industry–years in the data. HHI is lower than 0.04 for more than half of the industry–years. The statistics point to some disparity across industries in terms of market concentration. Still, as noted before, there is no indication of oligopolistic dominance as a common feature of Australian industries. </w:t>
      </w:r>
    </w:p>
    <w:p w14:paraId="35E12722" w14:textId="33DDFFBE" w:rsidR="0090646F" w:rsidRDefault="0090646F" w:rsidP="00F05816">
      <w:pPr>
        <w:spacing w:line="270" w:lineRule="exact"/>
        <w:ind w:left="0"/>
      </w:pPr>
      <w:r>
        <w:t>The last column in Table 3.</w:t>
      </w:r>
      <w:r w:rsidR="009A0478">
        <w:t>1</w:t>
      </w:r>
      <w:r>
        <w:t xml:space="preserve"> further confirms that most industries in Australia are populated by a fair number of firms ranging from hundreds to thousands of firms – with industry defined as 3-digit ANZSIC. However, the relationship between HHI and firm population is negative: more concentrated industries tend to be populated by a smaller number of firms and vice versa. This inverse relationship especially manifests itself in the correlation coefficient between the two variables which is -0.224. </w:t>
      </w:r>
    </w:p>
    <w:p w14:paraId="35E12723" w14:textId="77777777" w:rsidR="0090646F" w:rsidRDefault="0090646F" w:rsidP="00F05816">
      <w:pPr>
        <w:spacing w:line="270" w:lineRule="exact"/>
        <w:ind w:left="0"/>
      </w:pPr>
      <w:r>
        <w:t>The inverse relation is generally associated with large firms in concentrated industries using their market power to prevent the entry and survival of rival firms, thus, keeping competition at bay. There are exceptions too; not every concentrated industry is populated by a small number of firms. This imperfect relationship follows a related line of debate that argue that a larger market is not synonymous with market power (Donismoni et al., 1984).</w:t>
      </w:r>
    </w:p>
    <w:p w14:paraId="35E12724" w14:textId="77777777" w:rsidR="0090646F" w:rsidRDefault="0090646F" w:rsidP="00F05816">
      <w:pPr>
        <w:spacing w:line="270" w:lineRule="exact"/>
        <w:ind w:left="0"/>
      </w:pPr>
      <w:r>
        <w:t>It is also helpful to put a few names behind the industries that create the observed picture above for further quality check. In Table </w:t>
      </w:r>
      <w:r w:rsidR="00E24CB8">
        <w:t>3.2</w:t>
      </w:r>
      <w:r>
        <w:t>, I am listing industries with the lowest and the highest average HHI along with the average number of firms populating each industry, where industry averages are taken over the years. Note that, for confidentiality protection, all industries with fewer than 10 firms are dropped from the listing.</w:t>
      </w:r>
    </w:p>
    <w:p w14:paraId="35E12726" w14:textId="77777777" w:rsidR="00700679" w:rsidRDefault="00700679" w:rsidP="00E63064">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A20DE7">
        <w:rPr>
          <w:noProof/>
        </w:rPr>
        <w:t>3</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2</w:t>
      </w:r>
      <w:r>
        <w:rPr>
          <w:noProof/>
        </w:rPr>
        <w:fldChar w:fldCharType="end"/>
      </w:r>
      <w:r w:rsidRPr="000618FB">
        <w:t xml:space="preserve">: </w:t>
      </w:r>
      <w:r>
        <w:t>The least and most concentrated industries.</w:t>
      </w:r>
    </w:p>
    <w:tbl>
      <w:tblPr>
        <w:tblStyle w:val="OCETable"/>
        <w:tblW w:w="5042" w:type="pct"/>
        <w:tblLayout w:type="fixed"/>
        <w:tblLook w:val="04A0" w:firstRow="1" w:lastRow="0" w:firstColumn="1" w:lastColumn="0" w:noHBand="0" w:noVBand="1"/>
        <w:tblCaption w:val="Table 3.2"/>
        <w:tblDescription w:val="The least concentrated firms are Dairy Cattle Farming, Building Installation Services, Medical Services, Automotive Repair, and Perosnal Care. Each has tens of thousands of firms. The most concentrated are Telecommunication, Printing, Iron and Steel Forging, Educational Support, and Electricity Transmission. Each has from tens to a few thousand firms."/>
      </w:tblPr>
      <w:tblGrid>
        <w:gridCol w:w="885"/>
        <w:gridCol w:w="851"/>
        <w:gridCol w:w="2948"/>
        <w:gridCol w:w="1134"/>
        <w:gridCol w:w="1128"/>
        <w:gridCol w:w="6"/>
      </w:tblGrid>
      <w:tr w:rsidR="00700679" w:rsidRPr="00700679" w14:paraId="35E12728" w14:textId="77777777" w:rsidTr="007307B1">
        <w:trPr>
          <w:gridAfter w:val="1"/>
          <w:cnfStyle w:val="100000000000" w:firstRow="1" w:lastRow="0" w:firstColumn="0" w:lastColumn="0" w:oddVBand="0" w:evenVBand="0" w:oddHBand="0" w:evenHBand="0" w:firstRowFirstColumn="0" w:firstRowLastColumn="0" w:lastRowFirstColumn="0" w:lastRowLastColumn="0"/>
          <w:wAfter w:w="6" w:type="dxa"/>
          <w:tblHeader/>
        </w:trPr>
        <w:tc>
          <w:tcPr>
            <w:tcW w:w="6946" w:type="dxa"/>
            <w:gridSpan w:val="5"/>
          </w:tcPr>
          <w:p w14:paraId="35E12727" w14:textId="77777777" w:rsidR="00700679" w:rsidRPr="00700679" w:rsidRDefault="00700679" w:rsidP="00700679">
            <w:pPr>
              <w:pStyle w:val="Tableheadertext"/>
              <w:rPr>
                <w:color w:val="FFFFFF" w:themeColor="background2"/>
              </w:rPr>
            </w:pPr>
            <w:r w:rsidRPr="00700679">
              <w:rPr>
                <w:color w:val="FFFFFF" w:themeColor="background2"/>
              </w:rPr>
              <w:t xml:space="preserve"> Panel A: Least Concentrated</w:t>
            </w:r>
          </w:p>
        </w:tc>
      </w:tr>
      <w:tr w:rsidR="00700679" w:rsidRPr="00700679" w14:paraId="35E1272E" w14:textId="77777777" w:rsidTr="007307B1">
        <w:trPr>
          <w:cnfStyle w:val="000000100000" w:firstRow="0" w:lastRow="0" w:firstColumn="0" w:lastColumn="0" w:oddVBand="0" w:evenVBand="0" w:oddHBand="1" w:evenHBand="0" w:firstRowFirstColumn="0" w:firstRowLastColumn="0" w:lastRowFirstColumn="0" w:lastRowLastColumn="0"/>
        </w:trPr>
        <w:tc>
          <w:tcPr>
            <w:tcW w:w="885" w:type="dxa"/>
            <w:shd w:val="clear" w:color="auto" w:fill="005CAF"/>
          </w:tcPr>
          <w:p w14:paraId="35E12729" w14:textId="77777777" w:rsidR="00700679" w:rsidRPr="00700679" w:rsidRDefault="00700679" w:rsidP="00700679">
            <w:pPr>
              <w:pStyle w:val="Tablebodytext"/>
              <w:rPr>
                <w:color w:val="FFFFFF" w:themeColor="background2"/>
              </w:rPr>
            </w:pPr>
            <w:r w:rsidRPr="00700679">
              <w:rPr>
                <w:color w:val="FFFFFF" w:themeColor="background2"/>
              </w:rPr>
              <w:t>ANZSIC</w:t>
            </w:r>
          </w:p>
        </w:tc>
        <w:tc>
          <w:tcPr>
            <w:tcW w:w="851" w:type="dxa"/>
            <w:shd w:val="clear" w:color="auto" w:fill="005CAF"/>
          </w:tcPr>
          <w:p w14:paraId="35E1272A" w14:textId="77777777" w:rsidR="00700679" w:rsidRPr="00700679" w:rsidRDefault="00700679" w:rsidP="00700679">
            <w:pPr>
              <w:pStyle w:val="Tablebodytext"/>
              <w:rPr>
                <w:color w:val="FFFFFF" w:themeColor="background2"/>
              </w:rPr>
            </w:pPr>
            <w:r w:rsidRPr="00700679">
              <w:rPr>
                <w:color w:val="FFFFFF" w:themeColor="background2"/>
              </w:rPr>
              <w:t>Division</w:t>
            </w:r>
          </w:p>
        </w:tc>
        <w:tc>
          <w:tcPr>
            <w:tcW w:w="2948" w:type="dxa"/>
            <w:shd w:val="clear" w:color="auto" w:fill="005CAF"/>
          </w:tcPr>
          <w:p w14:paraId="35E1272B" w14:textId="77777777" w:rsidR="00700679" w:rsidRPr="00700679" w:rsidRDefault="00700679" w:rsidP="00700679">
            <w:pPr>
              <w:pStyle w:val="Tablebodytext"/>
              <w:rPr>
                <w:color w:val="FFFFFF" w:themeColor="background2"/>
              </w:rPr>
            </w:pPr>
            <w:r w:rsidRPr="00700679">
              <w:rPr>
                <w:color w:val="FFFFFF" w:themeColor="background2"/>
              </w:rPr>
              <w:t>Description</w:t>
            </w:r>
          </w:p>
        </w:tc>
        <w:tc>
          <w:tcPr>
            <w:tcW w:w="1134" w:type="dxa"/>
            <w:shd w:val="clear" w:color="auto" w:fill="005CAF"/>
          </w:tcPr>
          <w:p w14:paraId="35E1272C" w14:textId="77777777" w:rsidR="00700679" w:rsidRPr="00700679" w:rsidRDefault="00700679" w:rsidP="00700679">
            <w:pPr>
              <w:pStyle w:val="Tablebodytext"/>
              <w:rPr>
                <w:color w:val="FFFFFF" w:themeColor="background2"/>
              </w:rPr>
            </w:pPr>
            <w:r w:rsidRPr="00700679">
              <w:rPr>
                <w:color w:val="FFFFFF" w:themeColor="background2"/>
              </w:rPr>
              <w:t xml:space="preserve">Average </w:t>
            </w:r>
            <w:r w:rsidRPr="00700679">
              <w:rPr>
                <w:i/>
                <w:iCs/>
                <w:color w:val="FFFFFF" w:themeColor="background2"/>
              </w:rPr>
              <w:t>H</w:t>
            </w:r>
          </w:p>
        </w:tc>
        <w:tc>
          <w:tcPr>
            <w:tcW w:w="1134" w:type="dxa"/>
            <w:gridSpan w:val="2"/>
            <w:shd w:val="clear" w:color="auto" w:fill="005CAF"/>
          </w:tcPr>
          <w:p w14:paraId="35E1272D" w14:textId="77777777" w:rsidR="00700679" w:rsidRPr="00700679" w:rsidRDefault="00700679" w:rsidP="00700679">
            <w:pPr>
              <w:pStyle w:val="Tablebodytext"/>
              <w:rPr>
                <w:color w:val="FFFFFF" w:themeColor="background2"/>
              </w:rPr>
            </w:pPr>
            <w:r w:rsidRPr="00700679">
              <w:rPr>
                <w:color w:val="FFFFFF" w:themeColor="background2"/>
              </w:rPr>
              <w:t xml:space="preserve">Average </w:t>
            </w:r>
            <w:r w:rsidRPr="00700679">
              <w:rPr>
                <w:i/>
                <w:iCs/>
                <w:color w:val="FFFFFF" w:themeColor="background2"/>
              </w:rPr>
              <w:t>N</w:t>
            </w:r>
          </w:p>
        </w:tc>
      </w:tr>
      <w:tr w:rsidR="00700679" w14:paraId="35E12734" w14:textId="77777777" w:rsidTr="007307B1">
        <w:trPr>
          <w:cnfStyle w:val="000000010000" w:firstRow="0" w:lastRow="0" w:firstColumn="0" w:lastColumn="0" w:oddVBand="0" w:evenVBand="0" w:oddHBand="0" w:evenHBand="1" w:firstRowFirstColumn="0" w:firstRowLastColumn="0" w:lastRowFirstColumn="0" w:lastRowLastColumn="0"/>
        </w:trPr>
        <w:tc>
          <w:tcPr>
            <w:tcW w:w="885" w:type="dxa"/>
          </w:tcPr>
          <w:p w14:paraId="35E1272F" w14:textId="77777777" w:rsidR="00700679" w:rsidRDefault="00700679" w:rsidP="00700679">
            <w:pPr>
              <w:pStyle w:val="Tablebodytext"/>
            </w:pPr>
            <w:r>
              <w:t xml:space="preserve"> 16</w:t>
            </w:r>
          </w:p>
        </w:tc>
        <w:tc>
          <w:tcPr>
            <w:tcW w:w="851" w:type="dxa"/>
          </w:tcPr>
          <w:p w14:paraId="35E12730" w14:textId="77777777" w:rsidR="00700679" w:rsidRDefault="00700679" w:rsidP="00700679">
            <w:pPr>
              <w:pStyle w:val="Tablebodytext"/>
            </w:pPr>
            <w:r>
              <w:t>A</w:t>
            </w:r>
          </w:p>
        </w:tc>
        <w:tc>
          <w:tcPr>
            <w:tcW w:w="2948" w:type="dxa"/>
          </w:tcPr>
          <w:p w14:paraId="35E12731" w14:textId="77777777" w:rsidR="00700679" w:rsidRDefault="00700679" w:rsidP="00700679">
            <w:pPr>
              <w:pStyle w:val="Tablebodytext"/>
            </w:pPr>
            <w:r>
              <w:t>Dairy Cattle Farming</w:t>
            </w:r>
          </w:p>
        </w:tc>
        <w:tc>
          <w:tcPr>
            <w:tcW w:w="1134" w:type="dxa"/>
          </w:tcPr>
          <w:p w14:paraId="35E12732" w14:textId="77777777" w:rsidR="00700679" w:rsidRDefault="00700679" w:rsidP="00700679">
            <w:pPr>
              <w:pStyle w:val="Tablebodytext"/>
            </w:pPr>
            <w:r>
              <w:t>0.001</w:t>
            </w:r>
          </w:p>
        </w:tc>
        <w:tc>
          <w:tcPr>
            <w:tcW w:w="1134" w:type="dxa"/>
            <w:gridSpan w:val="2"/>
          </w:tcPr>
          <w:p w14:paraId="35E12733" w14:textId="77777777" w:rsidR="00700679" w:rsidRDefault="00700679" w:rsidP="00700679">
            <w:pPr>
              <w:pStyle w:val="Tablebodytext"/>
            </w:pPr>
            <w:r>
              <w:t>13,323</w:t>
            </w:r>
          </w:p>
        </w:tc>
      </w:tr>
      <w:tr w:rsidR="00700679" w14:paraId="35E1273A" w14:textId="77777777" w:rsidTr="007307B1">
        <w:trPr>
          <w:cnfStyle w:val="000000100000" w:firstRow="0" w:lastRow="0" w:firstColumn="0" w:lastColumn="0" w:oddVBand="0" w:evenVBand="0" w:oddHBand="1" w:evenHBand="0" w:firstRowFirstColumn="0" w:firstRowLastColumn="0" w:lastRowFirstColumn="0" w:lastRowLastColumn="0"/>
        </w:trPr>
        <w:tc>
          <w:tcPr>
            <w:tcW w:w="885" w:type="dxa"/>
          </w:tcPr>
          <w:p w14:paraId="35E12735" w14:textId="77777777" w:rsidR="00700679" w:rsidRDefault="00700679" w:rsidP="00700679">
            <w:pPr>
              <w:pStyle w:val="Tablebodytext"/>
            </w:pPr>
            <w:r>
              <w:t>323</w:t>
            </w:r>
          </w:p>
        </w:tc>
        <w:tc>
          <w:tcPr>
            <w:tcW w:w="851" w:type="dxa"/>
          </w:tcPr>
          <w:p w14:paraId="35E12736" w14:textId="77777777" w:rsidR="00700679" w:rsidRDefault="00700679" w:rsidP="00700679">
            <w:pPr>
              <w:pStyle w:val="Tablebodytext"/>
            </w:pPr>
            <w:r>
              <w:t>E</w:t>
            </w:r>
          </w:p>
        </w:tc>
        <w:tc>
          <w:tcPr>
            <w:tcW w:w="2948" w:type="dxa"/>
          </w:tcPr>
          <w:p w14:paraId="35E12737" w14:textId="77777777" w:rsidR="00700679" w:rsidRDefault="00700679" w:rsidP="00700679">
            <w:pPr>
              <w:pStyle w:val="Tablebodytext"/>
            </w:pPr>
            <w:r>
              <w:t>Building Installation Services</w:t>
            </w:r>
          </w:p>
        </w:tc>
        <w:tc>
          <w:tcPr>
            <w:tcW w:w="1134" w:type="dxa"/>
          </w:tcPr>
          <w:p w14:paraId="35E12738" w14:textId="77777777" w:rsidR="00700679" w:rsidRDefault="00700679" w:rsidP="00700679">
            <w:pPr>
              <w:pStyle w:val="Tablebodytext"/>
            </w:pPr>
            <w:r>
              <w:t>0.001</w:t>
            </w:r>
          </w:p>
        </w:tc>
        <w:tc>
          <w:tcPr>
            <w:tcW w:w="1134" w:type="dxa"/>
            <w:gridSpan w:val="2"/>
          </w:tcPr>
          <w:p w14:paraId="35E12739" w14:textId="77777777" w:rsidR="00700679" w:rsidRDefault="00700679" w:rsidP="00700679">
            <w:pPr>
              <w:pStyle w:val="Tablebodytext"/>
            </w:pPr>
            <w:r>
              <w:t>72,797</w:t>
            </w:r>
          </w:p>
        </w:tc>
      </w:tr>
      <w:tr w:rsidR="00700679" w14:paraId="35E12740" w14:textId="77777777" w:rsidTr="007307B1">
        <w:trPr>
          <w:cnfStyle w:val="000000010000" w:firstRow="0" w:lastRow="0" w:firstColumn="0" w:lastColumn="0" w:oddVBand="0" w:evenVBand="0" w:oddHBand="0" w:evenHBand="1" w:firstRowFirstColumn="0" w:firstRowLastColumn="0" w:lastRowFirstColumn="0" w:lastRowLastColumn="0"/>
        </w:trPr>
        <w:tc>
          <w:tcPr>
            <w:tcW w:w="885" w:type="dxa"/>
          </w:tcPr>
          <w:p w14:paraId="35E1273B" w14:textId="77777777" w:rsidR="00700679" w:rsidRDefault="00700679" w:rsidP="00700679">
            <w:pPr>
              <w:pStyle w:val="Tablebodytext"/>
            </w:pPr>
            <w:r>
              <w:t>851</w:t>
            </w:r>
          </w:p>
        </w:tc>
        <w:tc>
          <w:tcPr>
            <w:tcW w:w="851" w:type="dxa"/>
          </w:tcPr>
          <w:p w14:paraId="35E1273C" w14:textId="77777777" w:rsidR="00700679" w:rsidRDefault="00700679" w:rsidP="00700679">
            <w:pPr>
              <w:pStyle w:val="Tablebodytext"/>
            </w:pPr>
            <w:r>
              <w:t>Q</w:t>
            </w:r>
          </w:p>
        </w:tc>
        <w:tc>
          <w:tcPr>
            <w:tcW w:w="2948" w:type="dxa"/>
          </w:tcPr>
          <w:p w14:paraId="35E1273D" w14:textId="77777777" w:rsidR="00700679" w:rsidRDefault="00700679" w:rsidP="00700679">
            <w:pPr>
              <w:pStyle w:val="Tablebodytext"/>
            </w:pPr>
            <w:r>
              <w:t>Medical Services</w:t>
            </w:r>
          </w:p>
        </w:tc>
        <w:tc>
          <w:tcPr>
            <w:tcW w:w="1134" w:type="dxa"/>
          </w:tcPr>
          <w:p w14:paraId="35E1273E" w14:textId="77777777" w:rsidR="00700679" w:rsidRDefault="00700679" w:rsidP="00700679">
            <w:pPr>
              <w:pStyle w:val="Tablebodytext"/>
            </w:pPr>
            <w:r>
              <w:t>0.001</w:t>
            </w:r>
          </w:p>
        </w:tc>
        <w:tc>
          <w:tcPr>
            <w:tcW w:w="1134" w:type="dxa"/>
            <w:gridSpan w:val="2"/>
          </w:tcPr>
          <w:p w14:paraId="35E1273F" w14:textId="77777777" w:rsidR="00700679" w:rsidRDefault="00700679" w:rsidP="00700679">
            <w:pPr>
              <w:pStyle w:val="Tablebodytext"/>
            </w:pPr>
            <w:r>
              <w:t>44,160</w:t>
            </w:r>
          </w:p>
        </w:tc>
      </w:tr>
      <w:tr w:rsidR="00700679" w14:paraId="35E12746" w14:textId="77777777" w:rsidTr="007307B1">
        <w:trPr>
          <w:cnfStyle w:val="000000100000" w:firstRow="0" w:lastRow="0" w:firstColumn="0" w:lastColumn="0" w:oddVBand="0" w:evenVBand="0" w:oddHBand="1" w:evenHBand="0" w:firstRowFirstColumn="0" w:firstRowLastColumn="0" w:lastRowFirstColumn="0" w:lastRowLastColumn="0"/>
        </w:trPr>
        <w:tc>
          <w:tcPr>
            <w:tcW w:w="885" w:type="dxa"/>
          </w:tcPr>
          <w:p w14:paraId="35E12741" w14:textId="77777777" w:rsidR="00700679" w:rsidRDefault="00700679" w:rsidP="00700679">
            <w:pPr>
              <w:pStyle w:val="Tablebodytext"/>
            </w:pPr>
            <w:r>
              <w:t>941</w:t>
            </w:r>
          </w:p>
        </w:tc>
        <w:tc>
          <w:tcPr>
            <w:tcW w:w="851" w:type="dxa"/>
          </w:tcPr>
          <w:p w14:paraId="35E12742" w14:textId="77777777" w:rsidR="00700679" w:rsidRDefault="00700679" w:rsidP="00700679">
            <w:pPr>
              <w:pStyle w:val="Tablebodytext"/>
            </w:pPr>
            <w:r>
              <w:t>S</w:t>
            </w:r>
          </w:p>
        </w:tc>
        <w:tc>
          <w:tcPr>
            <w:tcW w:w="2948" w:type="dxa"/>
          </w:tcPr>
          <w:p w14:paraId="35E12743" w14:textId="77777777" w:rsidR="00700679" w:rsidRDefault="00700679" w:rsidP="00700679">
            <w:pPr>
              <w:pStyle w:val="Tablebodytext"/>
            </w:pPr>
            <w:r>
              <w:t>Automotive Repair and Maintenance</w:t>
            </w:r>
          </w:p>
        </w:tc>
        <w:tc>
          <w:tcPr>
            <w:tcW w:w="1134" w:type="dxa"/>
          </w:tcPr>
          <w:p w14:paraId="35E12744" w14:textId="77777777" w:rsidR="00700679" w:rsidRDefault="00700679" w:rsidP="00700679">
            <w:pPr>
              <w:pStyle w:val="Tablebodytext"/>
            </w:pPr>
            <w:r>
              <w:t>0.001</w:t>
            </w:r>
          </w:p>
        </w:tc>
        <w:tc>
          <w:tcPr>
            <w:tcW w:w="1134" w:type="dxa"/>
            <w:gridSpan w:val="2"/>
          </w:tcPr>
          <w:p w14:paraId="35E12745" w14:textId="77777777" w:rsidR="00700679" w:rsidRDefault="00700679" w:rsidP="00700679">
            <w:pPr>
              <w:pStyle w:val="Tablebodytext"/>
            </w:pPr>
            <w:r>
              <w:t>38,254</w:t>
            </w:r>
          </w:p>
        </w:tc>
      </w:tr>
      <w:tr w:rsidR="00700679" w14:paraId="35E1274C" w14:textId="77777777" w:rsidTr="007307B1">
        <w:trPr>
          <w:cnfStyle w:val="000000010000" w:firstRow="0" w:lastRow="0" w:firstColumn="0" w:lastColumn="0" w:oddVBand="0" w:evenVBand="0" w:oddHBand="0" w:evenHBand="1" w:firstRowFirstColumn="0" w:firstRowLastColumn="0" w:lastRowFirstColumn="0" w:lastRowLastColumn="0"/>
        </w:trPr>
        <w:tc>
          <w:tcPr>
            <w:tcW w:w="885" w:type="dxa"/>
          </w:tcPr>
          <w:p w14:paraId="35E12747" w14:textId="77777777" w:rsidR="00700679" w:rsidRDefault="00700679" w:rsidP="00700679">
            <w:pPr>
              <w:pStyle w:val="Tablebodytext"/>
            </w:pPr>
            <w:r>
              <w:t>951</w:t>
            </w:r>
          </w:p>
        </w:tc>
        <w:tc>
          <w:tcPr>
            <w:tcW w:w="851" w:type="dxa"/>
          </w:tcPr>
          <w:p w14:paraId="35E12748" w14:textId="77777777" w:rsidR="00700679" w:rsidRDefault="00700679" w:rsidP="00700679">
            <w:pPr>
              <w:pStyle w:val="Tablebodytext"/>
            </w:pPr>
            <w:r>
              <w:t>S</w:t>
            </w:r>
          </w:p>
        </w:tc>
        <w:tc>
          <w:tcPr>
            <w:tcW w:w="2948" w:type="dxa"/>
          </w:tcPr>
          <w:p w14:paraId="35E12749" w14:textId="77777777" w:rsidR="00700679" w:rsidRDefault="00700679" w:rsidP="00700679">
            <w:pPr>
              <w:pStyle w:val="Tablebodytext"/>
            </w:pPr>
            <w:r>
              <w:t>Personal Care Services</w:t>
            </w:r>
          </w:p>
        </w:tc>
        <w:tc>
          <w:tcPr>
            <w:tcW w:w="1134" w:type="dxa"/>
          </w:tcPr>
          <w:p w14:paraId="35E1274A" w14:textId="77777777" w:rsidR="00700679" w:rsidRDefault="00700679" w:rsidP="00700679">
            <w:pPr>
              <w:pStyle w:val="Tablebodytext"/>
            </w:pPr>
            <w:r>
              <w:t>0.001</w:t>
            </w:r>
          </w:p>
        </w:tc>
        <w:tc>
          <w:tcPr>
            <w:tcW w:w="1134" w:type="dxa"/>
            <w:gridSpan w:val="2"/>
          </w:tcPr>
          <w:p w14:paraId="35E1274B" w14:textId="77777777" w:rsidR="00700679" w:rsidRDefault="00700679" w:rsidP="00700679">
            <w:pPr>
              <w:pStyle w:val="Tablebodytext"/>
            </w:pPr>
            <w:r>
              <w:t>21,524</w:t>
            </w:r>
          </w:p>
        </w:tc>
      </w:tr>
      <w:tr w:rsidR="00700679" w14:paraId="35E12752" w14:textId="77777777" w:rsidTr="007307B1">
        <w:trPr>
          <w:cnfStyle w:val="000000100000" w:firstRow="0" w:lastRow="0" w:firstColumn="0" w:lastColumn="0" w:oddVBand="0" w:evenVBand="0" w:oddHBand="1" w:evenHBand="0" w:firstRowFirstColumn="0" w:firstRowLastColumn="0" w:lastRowFirstColumn="0" w:lastRowLastColumn="0"/>
        </w:trPr>
        <w:tc>
          <w:tcPr>
            <w:tcW w:w="885" w:type="dxa"/>
          </w:tcPr>
          <w:p w14:paraId="35E1274D" w14:textId="77777777" w:rsidR="00700679" w:rsidRDefault="00700679" w:rsidP="00700679">
            <w:pPr>
              <w:pStyle w:val="Tablebodytext"/>
            </w:pPr>
          </w:p>
        </w:tc>
        <w:tc>
          <w:tcPr>
            <w:tcW w:w="851" w:type="dxa"/>
          </w:tcPr>
          <w:p w14:paraId="35E1274E" w14:textId="77777777" w:rsidR="00700679" w:rsidRDefault="00700679" w:rsidP="00700679">
            <w:pPr>
              <w:pStyle w:val="Tablebodytext"/>
            </w:pPr>
          </w:p>
        </w:tc>
        <w:tc>
          <w:tcPr>
            <w:tcW w:w="2948" w:type="dxa"/>
          </w:tcPr>
          <w:p w14:paraId="35E1274F" w14:textId="77777777" w:rsidR="00700679" w:rsidRDefault="00700679" w:rsidP="00700679">
            <w:pPr>
              <w:pStyle w:val="Tablebodytext"/>
            </w:pPr>
          </w:p>
        </w:tc>
        <w:tc>
          <w:tcPr>
            <w:tcW w:w="1134" w:type="dxa"/>
          </w:tcPr>
          <w:p w14:paraId="35E12750" w14:textId="77777777" w:rsidR="00700679" w:rsidRDefault="00700679" w:rsidP="00700679">
            <w:pPr>
              <w:pStyle w:val="Tablebodytext"/>
            </w:pPr>
          </w:p>
        </w:tc>
        <w:tc>
          <w:tcPr>
            <w:tcW w:w="1134" w:type="dxa"/>
            <w:gridSpan w:val="2"/>
          </w:tcPr>
          <w:p w14:paraId="35E12751" w14:textId="77777777" w:rsidR="00700679" w:rsidRDefault="00700679" w:rsidP="00700679">
            <w:pPr>
              <w:pStyle w:val="Tablebodytext"/>
            </w:pPr>
          </w:p>
        </w:tc>
      </w:tr>
      <w:tr w:rsidR="00700679" w14:paraId="35E12754" w14:textId="77777777" w:rsidTr="007307B1">
        <w:trPr>
          <w:gridAfter w:val="1"/>
          <w:cnfStyle w:val="000000010000" w:firstRow="0" w:lastRow="0" w:firstColumn="0" w:lastColumn="0" w:oddVBand="0" w:evenVBand="0" w:oddHBand="0" w:evenHBand="1" w:firstRowFirstColumn="0" w:firstRowLastColumn="0" w:lastRowFirstColumn="0" w:lastRowLastColumn="0"/>
          <w:wAfter w:w="6" w:type="dxa"/>
        </w:trPr>
        <w:tc>
          <w:tcPr>
            <w:tcW w:w="6946" w:type="dxa"/>
            <w:gridSpan w:val="5"/>
            <w:shd w:val="clear" w:color="auto" w:fill="005CAF"/>
          </w:tcPr>
          <w:p w14:paraId="35E12753" w14:textId="77777777" w:rsidR="00700679" w:rsidRPr="00700679" w:rsidRDefault="00700679" w:rsidP="00700679">
            <w:pPr>
              <w:pStyle w:val="Tablebodytext"/>
              <w:rPr>
                <w:color w:val="FFFFFF" w:themeColor="background2"/>
              </w:rPr>
            </w:pPr>
            <w:r w:rsidRPr="00700679">
              <w:rPr>
                <w:color w:val="FFFFFF" w:themeColor="background2"/>
              </w:rPr>
              <w:t>Panel B: Most Concentrated</w:t>
            </w:r>
          </w:p>
        </w:tc>
      </w:tr>
      <w:tr w:rsidR="00700679" w14:paraId="35E1275A" w14:textId="77777777" w:rsidTr="007307B1">
        <w:trPr>
          <w:cnfStyle w:val="000000100000" w:firstRow="0" w:lastRow="0" w:firstColumn="0" w:lastColumn="0" w:oddVBand="0" w:evenVBand="0" w:oddHBand="1" w:evenHBand="0" w:firstRowFirstColumn="0" w:firstRowLastColumn="0" w:lastRowFirstColumn="0" w:lastRowLastColumn="0"/>
        </w:trPr>
        <w:tc>
          <w:tcPr>
            <w:tcW w:w="885" w:type="dxa"/>
            <w:shd w:val="clear" w:color="auto" w:fill="005CAF"/>
          </w:tcPr>
          <w:p w14:paraId="35E12755" w14:textId="77777777" w:rsidR="00700679" w:rsidRPr="00700679" w:rsidRDefault="00700679" w:rsidP="00700679">
            <w:pPr>
              <w:pStyle w:val="Tablebodytext"/>
              <w:rPr>
                <w:color w:val="FFFFFF" w:themeColor="background2"/>
              </w:rPr>
            </w:pPr>
            <w:r w:rsidRPr="00700679">
              <w:rPr>
                <w:color w:val="FFFFFF" w:themeColor="background2"/>
              </w:rPr>
              <w:t>ANZSIC</w:t>
            </w:r>
          </w:p>
        </w:tc>
        <w:tc>
          <w:tcPr>
            <w:tcW w:w="851" w:type="dxa"/>
            <w:shd w:val="clear" w:color="auto" w:fill="005CAF"/>
          </w:tcPr>
          <w:p w14:paraId="35E12756" w14:textId="77777777" w:rsidR="00700679" w:rsidRPr="00700679" w:rsidRDefault="00700679" w:rsidP="00700679">
            <w:pPr>
              <w:pStyle w:val="Tablebodytext"/>
              <w:rPr>
                <w:color w:val="FFFFFF" w:themeColor="background2"/>
              </w:rPr>
            </w:pPr>
            <w:r w:rsidRPr="00700679">
              <w:rPr>
                <w:color w:val="FFFFFF" w:themeColor="background2"/>
              </w:rPr>
              <w:t>Division</w:t>
            </w:r>
          </w:p>
        </w:tc>
        <w:tc>
          <w:tcPr>
            <w:tcW w:w="2948" w:type="dxa"/>
            <w:shd w:val="clear" w:color="auto" w:fill="005CAF"/>
          </w:tcPr>
          <w:p w14:paraId="35E12757" w14:textId="77777777" w:rsidR="00700679" w:rsidRPr="00700679" w:rsidRDefault="00700679" w:rsidP="00700679">
            <w:pPr>
              <w:pStyle w:val="Tablebodytext"/>
              <w:rPr>
                <w:color w:val="FFFFFF" w:themeColor="background2"/>
              </w:rPr>
            </w:pPr>
            <w:r w:rsidRPr="00700679">
              <w:rPr>
                <w:color w:val="FFFFFF" w:themeColor="background2"/>
              </w:rPr>
              <w:t>Description</w:t>
            </w:r>
          </w:p>
        </w:tc>
        <w:tc>
          <w:tcPr>
            <w:tcW w:w="1134" w:type="dxa"/>
            <w:shd w:val="clear" w:color="auto" w:fill="005CAF"/>
          </w:tcPr>
          <w:p w14:paraId="35E12758" w14:textId="77777777" w:rsidR="00700679" w:rsidRPr="00700679" w:rsidRDefault="00700679" w:rsidP="00700679">
            <w:pPr>
              <w:pStyle w:val="Tablebodytext"/>
              <w:rPr>
                <w:color w:val="FFFFFF" w:themeColor="background2"/>
              </w:rPr>
            </w:pPr>
            <w:r w:rsidRPr="00700679">
              <w:rPr>
                <w:color w:val="FFFFFF" w:themeColor="background2"/>
              </w:rPr>
              <w:t xml:space="preserve">Average </w:t>
            </w:r>
            <w:r w:rsidRPr="00700679">
              <w:rPr>
                <w:i/>
                <w:iCs/>
                <w:color w:val="FFFFFF" w:themeColor="background2"/>
              </w:rPr>
              <w:t>H</w:t>
            </w:r>
          </w:p>
        </w:tc>
        <w:tc>
          <w:tcPr>
            <w:tcW w:w="1134" w:type="dxa"/>
            <w:gridSpan w:val="2"/>
            <w:shd w:val="clear" w:color="auto" w:fill="005CAF"/>
          </w:tcPr>
          <w:p w14:paraId="35E12759" w14:textId="77777777" w:rsidR="00700679" w:rsidRPr="00700679" w:rsidRDefault="00700679" w:rsidP="00700679">
            <w:pPr>
              <w:pStyle w:val="Tablebodytext"/>
              <w:rPr>
                <w:color w:val="FFFFFF" w:themeColor="background2"/>
              </w:rPr>
            </w:pPr>
            <w:r w:rsidRPr="00700679">
              <w:rPr>
                <w:color w:val="FFFFFF" w:themeColor="background2"/>
              </w:rPr>
              <w:t xml:space="preserve">Average </w:t>
            </w:r>
            <w:r w:rsidRPr="00700679">
              <w:rPr>
                <w:i/>
                <w:iCs/>
                <w:color w:val="FFFFFF" w:themeColor="background2"/>
              </w:rPr>
              <w:t>N</w:t>
            </w:r>
          </w:p>
        </w:tc>
      </w:tr>
      <w:tr w:rsidR="00700679" w14:paraId="35E12760" w14:textId="77777777" w:rsidTr="007307B1">
        <w:trPr>
          <w:cnfStyle w:val="000000010000" w:firstRow="0" w:lastRow="0" w:firstColumn="0" w:lastColumn="0" w:oddVBand="0" w:evenVBand="0" w:oddHBand="0" w:evenHBand="1" w:firstRowFirstColumn="0" w:firstRowLastColumn="0" w:lastRowFirstColumn="0" w:lastRowLastColumn="0"/>
        </w:trPr>
        <w:tc>
          <w:tcPr>
            <w:tcW w:w="885" w:type="dxa"/>
          </w:tcPr>
          <w:p w14:paraId="35E1275B" w14:textId="77777777" w:rsidR="00700679" w:rsidRDefault="00700679" w:rsidP="00700679">
            <w:pPr>
              <w:pStyle w:val="Tablebodytext"/>
            </w:pPr>
            <w:r>
              <w:t xml:space="preserve"> 580</w:t>
            </w:r>
          </w:p>
        </w:tc>
        <w:tc>
          <w:tcPr>
            <w:tcW w:w="851" w:type="dxa"/>
          </w:tcPr>
          <w:p w14:paraId="35E1275C" w14:textId="77777777" w:rsidR="00700679" w:rsidRDefault="00700679" w:rsidP="00700679">
            <w:pPr>
              <w:pStyle w:val="Tablebodytext"/>
            </w:pPr>
            <w:r>
              <w:t>J</w:t>
            </w:r>
          </w:p>
        </w:tc>
        <w:tc>
          <w:tcPr>
            <w:tcW w:w="2948" w:type="dxa"/>
          </w:tcPr>
          <w:p w14:paraId="35E1275D" w14:textId="77777777" w:rsidR="00700679" w:rsidRDefault="00700679" w:rsidP="00700679">
            <w:pPr>
              <w:pStyle w:val="Tablebodytext"/>
            </w:pPr>
            <w:r>
              <w:t>Telecommunication Services</w:t>
            </w:r>
          </w:p>
        </w:tc>
        <w:tc>
          <w:tcPr>
            <w:tcW w:w="1134" w:type="dxa"/>
          </w:tcPr>
          <w:p w14:paraId="35E1275E" w14:textId="77777777" w:rsidR="00700679" w:rsidRDefault="00700679" w:rsidP="00700679">
            <w:pPr>
              <w:pStyle w:val="Tablebodytext"/>
            </w:pPr>
            <w:r>
              <w:t>0.389</w:t>
            </w:r>
          </w:p>
        </w:tc>
        <w:tc>
          <w:tcPr>
            <w:tcW w:w="1134" w:type="dxa"/>
            <w:gridSpan w:val="2"/>
          </w:tcPr>
          <w:p w14:paraId="35E1275F" w14:textId="77777777" w:rsidR="00700679" w:rsidRDefault="00700679" w:rsidP="00700679">
            <w:pPr>
              <w:pStyle w:val="Tablebodytext"/>
            </w:pPr>
            <w:r>
              <w:t>1,252</w:t>
            </w:r>
          </w:p>
        </w:tc>
      </w:tr>
      <w:tr w:rsidR="00700679" w14:paraId="35E12766" w14:textId="77777777" w:rsidTr="007307B1">
        <w:trPr>
          <w:cnfStyle w:val="000000100000" w:firstRow="0" w:lastRow="0" w:firstColumn="0" w:lastColumn="0" w:oddVBand="0" w:evenVBand="0" w:oddHBand="1" w:evenHBand="0" w:firstRowFirstColumn="0" w:firstRowLastColumn="0" w:lastRowFirstColumn="0" w:lastRowLastColumn="0"/>
        </w:trPr>
        <w:tc>
          <w:tcPr>
            <w:tcW w:w="885" w:type="dxa"/>
          </w:tcPr>
          <w:p w14:paraId="35E12761" w14:textId="77777777" w:rsidR="00700679" w:rsidRDefault="00700679" w:rsidP="00700679">
            <w:pPr>
              <w:pStyle w:val="Tablebodytext"/>
            </w:pPr>
            <w:r>
              <w:t>161</w:t>
            </w:r>
          </w:p>
        </w:tc>
        <w:tc>
          <w:tcPr>
            <w:tcW w:w="851" w:type="dxa"/>
          </w:tcPr>
          <w:p w14:paraId="35E12762" w14:textId="77777777" w:rsidR="00700679" w:rsidRDefault="00700679" w:rsidP="00700679">
            <w:pPr>
              <w:pStyle w:val="Tablebodytext"/>
            </w:pPr>
            <w:r>
              <w:t>C</w:t>
            </w:r>
          </w:p>
        </w:tc>
        <w:tc>
          <w:tcPr>
            <w:tcW w:w="2948" w:type="dxa"/>
          </w:tcPr>
          <w:p w14:paraId="35E12763" w14:textId="77777777" w:rsidR="00700679" w:rsidRDefault="00700679" w:rsidP="00700679">
            <w:pPr>
              <w:pStyle w:val="Tablebodytext"/>
            </w:pPr>
            <w:r>
              <w:t>Printing and Support Services</w:t>
            </w:r>
          </w:p>
        </w:tc>
        <w:tc>
          <w:tcPr>
            <w:tcW w:w="1134" w:type="dxa"/>
          </w:tcPr>
          <w:p w14:paraId="35E12764" w14:textId="77777777" w:rsidR="00700679" w:rsidRDefault="00700679" w:rsidP="00700679">
            <w:pPr>
              <w:pStyle w:val="Tablebodytext"/>
            </w:pPr>
            <w:r>
              <w:t>0.421</w:t>
            </w:r>
          </w:p>
        </w:tc>
        <w:tc>
          <w:tcPr>
            <w:tcW w:w="1134" w:type="dxa"/>
            <w:gridSpan w:val="2"/>
          </w:tcPr>
          <w:p w14:paraId="35E12765" w14:textId="77777777" w:rsidR="00700679" w:rsidRDefault="00700679" w:rsidP="00700679">
            <w:pPr>
              <w:pStyle w:val="Tablebodytext"/>
            </w:pPr>
            <w:r>
              <w:t>7,042</w:t>
            </w:r>
          </w:p>
        </w:tc>
      </w:tr>
      <w:tr w:rsidR="00700679" w14:paraId="35E1276C" w14:textId="77777777" w:rsidTr="007307B1">
        <w:trPr>
          <w:cnfStyle w:val="000000010000" w:firstRow="0" w:lastRow="0" w:firstColumn="0" w:lastColumn="0" w:oddVBand="0" w:evenVBand="0" w:oddHBand="0" w:evenHBand="1" w:firstRowFirstColumn="0" w:firstRowLastColumn="0" w:lastRowFirstColumn="0" w:lastRowLastColumn="0"/>
        </w:trPr>
        <w:tc>
          <w:tcPr>
            <w:tcW w:w="885" w:type="dxa"/>
          </w:tcPr>
          <w:p w14:paraId="35E12767" w14:textId="77777777" w:rsidR="00700679" w:rsidRDefault="00700679" w:rsidP="00700679">
            <w:pPr>
              <w:pStyle w:val="Tablebodytext"/>
            </w:pPr>
            <w:r>
              <w:t>221</w:t>
            </w:r>
          </w:p>
        </w:tc>
        <w:tc>
          <w:tcPr>
            <w:tcW w:w="851" w:type="dxa"/>
          </w:tcPr>
          <w:p w14:paraId="35E12768" w14:textId="77777777" w:rsidR="00700679" w:rsidRDefault="00700679" w:rsidP="00700679">
            <w:pPr>
              <w:pStyle w:val="Tablebodytext"/>
            </w:pPr>
            <w:r>
              <w:t>C</w:t>
            </w:r>
          </w:p>
        </w:tc>
        <w:tc>
          <w:tcPr>
            <w:tcW w:w="2948" w:type="dxa"/>
          </w:tcPr>
          <w:p w14:paraId="35E12769" w14:textId="77777777" w:rsidR="00700679" w:rsidRDefault="00700679" w:rsidP="00700679">
            <w:pPr>
              <w:pStyle w:val="Tablebodytext"/>
            </w:pPr>
            <w:r>
              <w:t>Iron and Steel Forging</w:t>
            </w:r>
          </w:p>
        </w:tc>
        <w:tc>
          <w:tcPr>
            <w:tcW w:w="1134" w:type="dxa"/>
          </w:tcPr>
          <w:p w14:paraId="35E1276A" w14:textId="77777777" w:rsidR="00700679" w:rsidRDefault="00700679" w:rsidP="00700679">
            <w:pPr>
              <w:pStyle w:val="Tablebodytext"/>
            </w:pPr>
            <w:r>
              <w:t>0.435</w:t>
            </w:r>
          </w:p>
        </w:tc>
        <w:tc>
          <w:tcPr>
            <w:tcW w:w="1134" w:type="dxa"/>
            <w:gridSpan w:val="2"/>
          </w:tcPr>
          <w:p w14:paraId="35E1276B" w14:textId="77777777" w:rsidR="00700679" w:rsidRDefault="00700679" w:rsidP="00700679">
            <w:pPr>
              <w:pStyle w:val="Tablebodytext"/>
            </w:pPr>
            <w:r>
              <w:t>114</w:t>
            </w:r>
          </w:p>
        </w:tc>
      </w:tr>
      <w:tr w:rsidR="00700679" w14:paraId="35E12772" w14:textId="77777777" w:rsidTr="007307B1">
        <w:trPr>
          <w:cnfStyle w:val="000000100000" w:firstRow="0" w:lastRow="0" w:firstColumn="0" w:lastColumn="0" w:oddVBand="0" w:evenVBand="0" w:oddHBand="1" w:evenHBand="0" w:firstRowFirstColumn="0" w:firstRowLastColumn="0" w:lastRowFirstColumn="0" w:lastRowLastColumn="0"/>
        </w:trPr>
        <w:tc>
          <w:tcPr>
            <w:tcW w:w="885" w:type="dxa"/>
          </w:tcPr>
          <w:p w14:paraId="35E1276D" w14:textId="77777777" w:rsidR="00700679" w:rsidRDefault="00700679" w:rsidP="00700679">
            <w:pPr>
              <w:pStyle w:val="Tablebodytext"/>
            </w:pPr>
            <w:r>
              <w:t>822</w:t>
            </w:r>
          </w:p>
        </w:tc>
        <w:tc>
          <w:tcPr>
            <w:tcW w:w="851" w:type="dxa"/>
          </w:tcPr>
          <w:p w14:paraId="35E1276E" w14:textId="77777777" w:rsidR="00700679" w:rsidRDefault="00700679" w:rsidP="00700679">
            <w:pPr>
              <w:pStyle w:val="Tablebodytext"/>
            </w:pPr>
            <w:r>
              <w:t>P</w:t>
            </w:r>
          </w:p>
        </w:tc>
        <w:tc>
          <w:tcPr>
            <w:tcW w:w="2948" w:type="dxa"/>
          </w:tcPr>
          <w:p w14:paraId="35E1276F" w14:textId="77777777" w:rsidR="00700679" w:rsidRDefault="00700679" w:rsidP="00700679">
            <w:pPr>
              <w:pStyle w:val="Tablebodytext"/>
            </w:pPr>
            <w:r>
              <w:t>Educational Support Services</w:t>
            </w:r>
          </w:p>
        </w:tc>
        <w:tc>
          <w:tcPr>
            <w:tcW w:w="1134" w:type="dxa"/>
          </w:tcPr>
          <w:p w14:paraId="35E12770" w14:textId="77777777" w:rsidR="00700679" w:rsidRDefault="00700679" w:rsidP="00700679">
            <w:pPr>
              <w:pStyle w:val="Tablebodytext"/>
            </w:pPr>
            <w:r>
              <w:t>0.491</w:t>
            </w:r>
          </w:p>
        </w:tc>
        <w:tc>
          <w:tcPr>
            <w:tcW w:w="1134" w:type="dxa"/>
            <w:gridSpan w:val="2"/>
          </w:tcPr>
          <w:p w14:paraId="35E12771" w14:textId="77777777" w:rsidR="00700679" w:rsidRDefault="00700679" w:rsidP="00700679">
            <w:pPr>
              <w:pStyle w:val="Tablebodytext"/>
            </w:pPr>
            <w:r>
              <w:t>930</w:t>
            </w:r>
          </w:p>
        </w:tc>
      </w:tr>
      <w:tr w:rsidR="00700679" w14:paraId="35E12778" w14:textId="77777777" w:rsidTr="007307B1">
        <w:trPr>
          <w:cnfStyle w:val="000000010000" w:firstRow="0" w:lastRow="0" w:firstColumn="0" w:lastColumn="0" w:oddVBand="0" w:evenVBand="0" w:oddHBand="0" w:evenHBand="1" w:firstRowFirstColumn="0" w:firstRowLastColumn="0" w:lastRowFirstColumn="0" w:lastRowLastColumn="0"/>
        </w:trPr>
        <w:tc>
          <w:tcPr>
            <w:tcW w:w="885" w:type="dxa"/>
          </w:tcPr>
          <w:p w14:paraId="35E12773" w14:textId="77777777" w:rsidR="00700679" w:rsidRDefault="00700679" w:rsidP="00700679">
            <w:pPr>
              <w:pStyle w:val="Tablebodytext"/>
            </w:pPr>
            <w:r>
              <w:t>262</w:t>
            </w:r>
          </w:p>
        </w:tc>
        <w:tc>
          <w:tcPr>
            <w:tcW w:w="851" w:type="dxa"/>
          </w:tcPr>
          <w:p w14:paraId="35E12774" w14:textId="77777777" w:rsidR="00700679" w:rsidRDefault="00700679" w:rsidP="00700679">
            <w:pPr>
              <w:pStyle w:val="Tablebodytext"/>
            </w:pPr>
            <w:r>
              <w:t>D</w:t>
            </w:r>
          </w:p>
        </w:tc>
        <w:tc>
          <w:tcPr>
            <w:tcW w:w="2948" w:type="dxa"/>
          </w:tcPr>
          <w:p w14:paraId="35E12775" w14:textId="77777777" w:rsidR="00700679" w:rsidRDefault="00700679" w:rsidP="00700679">
            <w:pPr>
              <w:pStyle w:val="Tablebodytext"/>
            </w:pPr>
            <w:r>
              <w:t>Electricity Transmission</w:t>
            </w:r>
          </w:p>
        </w:tc>
        <w:tc>
          <w:tcPr>
            <w:tcW w:w="1134" w:type="dxa"/>
          </w:tcPr>
          <w:p w14:paraId="35E12776" w14:textId="77777777" w:rsidR="00700679" w:rsidRDefault="00700679" w:rsidP="00700679">
            <w:pPr>
              <w:pStyle w:val="Tablebodytext"/>
            </w:pPr>
            <w:r>
              <w:t>0.568</w:t>
            </w:r>
          </w:p>
        </w:tc>
        <w:tc>
          <w:tcPr>
            <w:tcW w:w="1134" w:type="dxa"/>
            <w:gridSpan w:val="2"/>
          </w:tcPr>
          <w:p w14:paraId="35E12777" w14:textId="77777777" w:rsidR="00700679" w:rsidRDefault="00700679" w:rsidP="00700679">
            <w:pPr>
              <w:pStyle w:val="Tablebodytext"/>
            </w:pPr>
            <w:r>
              <w:t>31</w:t>
            </w:r>
          </w:p>
        </w:tc>
      </w:tr>
    </w:tbl>
    <w:p w14:paraId="35E12779" w14:textId="7F6B2A6D" w:rsidR="00700679" w:rsidRPr="00C62F3A" w:rsidRDefault="00700679" w:rsidP="00E63064">
      <w:pPr>
        <w:pStyle w:val="Note"/>
      </w:pPr>
      <w:r>
        <w:t>Notes: Industries with fewer than 10 firms are excluded for confidentiality protection</w:t>
      </w:r>
      <w:r w:rsidR="00697FD7">
        <w:t>. Averages are taken for each industry over the years.</w:t>
      </w:r>
    </w:p>
    <w:p w14:paraId="35E1277A" w14:textId="77777777" w:rsidR="00700679" w:rsidRDefault="00700679" w:rsidP="00E63064">
      <w:pPr>
        <w:pStyle w:val="Source"/>
      </w:pPr>
      <w:r>
        <w:t>Source: Department of Industry, Innovation and Science (2019)</w:t>
      </w:r>
    </w:p>
    <w:p w14:paraId="35E1277B" w14:textId="46A7B28E" w:rsidR="00144378" w:rsidRDefault="00144378" w:rsidP="00F05816">
      <w:pPr>
        <w:spacing w:before="240" w:line="270" w:lineRule="exact"/>
        <w:ind w:left="0"/>
      </w:pPr>
      <w:r>
        <w:t xml:space="preserve">In both groups, a mix of major divisions such as Manufacturing, Telecommunication, Education, and Health Care Services can be observed. However, the least concentrated industries are mostly in the services area. </w:t>
      </w:r>
    </w:p>
    <w:p w14:paraId="35E1277C" w14:textId="580EBF41" w:rsidR="00144378" w:rsidRDefault="00144378" w:rsidP="00F05816">
      <w:pPr>
        <w:spacing w:line="270" w:lineRule="exact"/>
        <w:ind w:left="0"/>
      </w:pPr>
      <w:r>
        <w:t>On the other hand, Gas, Electricity, and Utilities (Division D), Manufacturing (Division C), and Information Media and Telecommunication (Division J) constitute the bulk of the most concentrated industries. See Appendix</w:t>
      </w:r>
      <w:r w:rsidR="00813A01">
        <w:t xml:space="preserve"> A</w:t>
      </w:r>
      <w:r>
        <w:t xml:space="preserve"> for a longer list of industries with concentrated markets, including a few industries that have taken the spotlight for the lack of competition.</w:t>
      </w:r>
    </w:p>
    <w:p w14:paraId="35E1277D" w14:textId="77777777" w:rsidR="00144378" w:rsidRDefault="00144378" w:rsidP="00F05816">
      <w:pPr>
        <w:spacing w:line="270" w:lineRule="exact"/>
        <w:ind w:left="0"/>
      </w:pPr>
      <w:r>
        <w:t xml:space="preserve">The number of firms listed for each industry further affirms that the least concentrated industries tend to be populated by a larger number of firms, whereas the most concentrated industries generally have a smaller number of firms. Printing and Support services, however, is one exception related to the earlier discussed: despite the industry being concentrated, it is populated by a fairly large number of firms. </w:t>
      </w:r>
    </w:p>
    <w:p w14:paraId="35E1277F" w14:textId="77777777" w:rsidR="00FC33C9" w:rsidRDefault="002858C1" w:rsidP="002858C1">
      <w:pPr>
        <w:pStyle w:val="Heading1"/>
      </w:pPr>
      <w:r>
        <w:t>Changing Market Concentration</w:t>
      </w:r>
    </w:p>
    <w:p w14:paraId="35E12780" w14:textId="77777777" w:rsidR="002858C1" w:rsidRDefault="002858C1" w:rsidP="002858C1">
      <w:pPr>
        <w:pStyle w:val="Heading2"/>
      </w:pPr>
      <w:r>
        <w:t>Time Trend</w:t>
      </w:r>
    </w:p>
    <w:p w14:paraId="35E12781" w14:textId="77777777" w:rsidR="002858C1" w:rsidRDefault="002858C1" w:rsidP="002858C1">
      <w:pPr>
        <w:spacing w:before="60" w:line="270" w:lineRule="exact"/>
        <w:ind w:left="0"/>
      </w:pPr>
      <w:r>
        <w:t>The overview of the previous section underlines the fact that, apart from a few exceptions, the majority of industries in Australia are quite competitive and large firms do not generally dominate industries. However</w:t>
      </w:r>
      <w:r w:rsidR="00A15B2D">
        <w:t>, as shown in other industrialis</w:t>
      </w:r>
      <w:r>
        <w:t xml:space="preserve">ed countries, this situation need not hold over time and could </w:t>
      </w:r>
      <w:r>
        <w:lastRenderedPageBreak/>
        <w:t xml:space="preserve">gradually degenerate owing to various reasons. The increasing concentration could, in turn, spill into competition and firm entry with detrimental impact. </w:t>
      </w:r>
    </w:p>
    <w:p w14:paraId="35E12782" w14:textId="77777777" w:rsidR="002858C1" w:rsidRDefault="002858C1" w:rsidP="00F05816">
      <w:pPr>
        <w:spacing w:line="270" w:lineRule="exact"/>
        <w:ind w:left="0"/>
      </w:pPr>
      <w:r>
        <w:t xml:space="preserve">One way to test whether there has been a long-term shift in the distribution of HHI is to compare the empirical Cumulative Distribution Function (CDF) of HHI in 2002 and 2016. An order of stochastic dominance determines whether the distribution has been shifting in any particular direction. </w:t>
      </w:r>
    </w:p>
    <w:p w14:paraId="35E12783" w14:textId="77777777" w:rsidR="002858C1" w:rsidRDefault="002858C1" w:rsidP="00F05816">
      <w:pPr>
        <w:spacing w:line="270" w:lineRule="exact"/>
        <w:ind w:left="0"/>
      </w:pPr>
      <w:r>
        <w:t>These CDFs are illustrated in Figure </w:t>
      </w:r>
      <w:r w:rsidR="00C11496">
        <w:t>4.1</w:t>
      </w:r>
      <w:r>
        <w:t>. The CDFs in the picture cross at multiple points and do not exhibit any order of stochastic dominance of the CDF in one year over that of the other. On its face, the evidence points to a mixed pattern where, moving from 2002 to 2016, some industries have become more concentrated, whereas some other have done the opposite.</w:t>
      </w:r>
    </w:p>
    <w:p w14:paraId="35E12784" w14:textId="77777777" w:rsidR="002858C1" w:rsidRDefault="002858C1" w:rsidP="002858C1">
      <w:pPr>
        <w:pStyle w:val="BodyText"/>
      </w:pPr>
    </w:p>
    <w:p w14:paraId="35E12785" w14:textId="226D64E5" w:rsidR="002858C1" w:rsidRDefault="002858C1" w:rsidP="00E63064">
      <w:pPr>
        <w:pStyle w:val="Caption"/>
      </w:pPr>
      <w:r>
        <w:t>Figure</w:t>
      </w:r>
      <w:r w:rsidRPr="000618FB">
        <w:t xml:space="preserve"> </w:t>
      </w:r>
      <w:r>
        <w:rPr>
          <w:noProof/>
        </w:rPr>
        <w:fldChar w:fldCharType="begin"/>
      </w:r>
      <w:r>
        <w:rPr>
          <w:noProof/>
        </w:rPr>
        <w:instrText xml:space="preserve"> STYLEREF 1 \s </w:instrText>
      </w:r>
      <w:r>
        <w:rPr>
          <w:noProof/>
        </w:rPr>
        <w:fldChar w:fldCharType="separate"/>
      </w:r>
      <w:r w:rsidR="00A20DE7">
        <w:rPr>
          <w:noProof/>
        </w:rPr>
        <w:t>4</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A20DE7">
        <w:rPr>
          <w:noProof/>
        </w:rPr>
        <w:t>1</w:t>
      </w:r>
      <w:r w:rsidRPr="000618FB">
        <w:fldChar w:fldCharType="end"/>
      </w:r>
      <w:r>
        <w:t>: The</w:t>
      </w:r>
      <w:r w:rsidR="008B5677">
        <w:t xml:space="preserve"> cumulative distribution function of HHI in 2003 and in 2016.</w:t>
      </w:r>
    </w:p>
    <w:p w14:paraId="25F0D022" w14:textId="59C4760A" w:rsidR="00E25059" w:rsidRPr="00E25059" w:rsidRDefault="00E25059" w:rsidP="00E25059">
      <w:pPr>
        <w:pStyle w:val="Placeholder"/>
      </w:pPr>
      <w:r>
        <w:rPr>
          <w:noProof/>
          <w:lang w:eastAsia="en-AU"/>
        </w:rPr>
        <w:drawing>
          <wp:inline distT="0" distB="0" distL="0" distR="0" wp14:anchorId="60F13718" wp14:editId="625CCD75">
            <wp:extent cx="4377690" cy="3035935"/>
            <wp:effectExtent l="0" t="0" r="3810" b="0"/>
            <wp:docPr id="4" name="Picture 4" descr="As is the case with CDFs, both CDS start from zero at H=0 and converge to 1 for H=1. The CDF for 2016 is initially below that of 2003 but then creeps above it for H larger than 0.25. " title="The cumulative distribution og HHI in 2003 a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_3.1 copy.png"/>
                    <pic:cNvPicPr/>
                  </pic:nvPicPr>
                  <pic:blipFill rotWithShape="1">
                    <a:blip r:embed="rId18" cstate="print">
                      <a:extLst>
                        <a:ext uri="{28A0092B-C50C-407E-A947-70E740481C1C}">
                          <a14:useLocalDpi xmlns:a14="http://schemas.microsoft.com/office/drawing/2010/main" val="0"/>
                        </a:ext>
                      </a:extLst>
                    </a:blip>
                    <a:srcRect t="4780"/>
                    <a:stretch/>
                  </pic:blipFill>
                  <pic:spPr bwMode="auto">
                    <a:xfrm>
                      <a:off x="0" y="0"/>
                      <a:ext cx="4377690" cy="3035935"/>
                    </a:xfrm>
                    <a:prstGeom prst="rect">
                      <a:avLst/>
                    </a:prstGeom>
                    <a:ln>
                      <a:noFill/>
                    </a:ln>
                    <a:extLst>
                      <a:ext uri="{53640926-AAD7-44D8-BBD7-CCE9431645EC}">
                        <a14:shadowObscured xmlns:a14="http://schemas.microsoft.com/office/drawing/2010/main"/>
                      </a:ext>
                    </a:extLst>
                  </pic:spPr>
                </pic:pic>
              </a:graphicData>
            </a:graphic>
          </wp:inline>
        </w:drawing>
      </w:r>
    </w:p>
    <w:p w14:paraId="35E12786" w14:textId="73F31F04" w:rsidR="003654F7" w:rsidRDefault="003654F7" w:rsidP="00E63064">
      <w:pPr>
        <w:pStyle w:val="Source"/>
      </w:pPr>
      <w:r>
        <w:t>Source: Department of Industry, Innovation and Science (2019)</w:t>
      </w:r>
    </w:p>
    <w:p w14:paraId="35E12787" w14:textId="77777777" w:rsidR="00A11803" w:rsidRDefault="00A11803" w:rsidP="00F05816">
      <w:pPr>
        <w:spacing w:before="360" w:line="270" w:lineRule="exact"/>
        <w:ind w:left="0"/>
      </w:pPr>
      <w:r>
        <w:t>To check this trend in more details, I illustrate a few descriptive statistics of HHI by year in Figure </w:t>
      </w:r>
      <w:r w:rsidR="008A5DBC">
        <w:t>4.2</w:t>
      </w:r>
      <w:r>
        <w:t>. The statistics include the mean, median, and quartiles of HHI by year. Together, these statistics track how the distribution of HHI has shifted over time and which part of the distribution has shifted the most.</w:t>
      </w:r>
    </w:p>
    <w:p w14:paraId="35E12789" w14:textId="649B9F95" w:rsidR="00A11803" w:rsidRDefault="00E25059" w:rsidP="00E63064">
      <w:pPr>
        <w:pStyle w:val="Caption"/>
      </w:pPr>
      <w:r>
        <w:rPr>
          <w:noProof/>
          <w:lang w:eastAsia="en-AU"/>
        </w:rPr>
        <w:lastRenderedPageBreak/>
        <w:drawing>
          <wp:anchor distT="0" distB="0" distL="114300" distR="114300" simplePos="0" relativeHeight="251667456" behindDoc="0" locked="0" layoutInCell="1" allowOverlap="1" wp14:anchorId="043AA264" wp14:editId="6E601557">
            <wp:simplePos x="0" y="0"/>
            <wp:positionH relativeFrom="column">
              <wp:posOffset>-115570</wp:posOffset>
            </wp:positionH>
            <wp:positionV relativeFrom="paragraph">
              <wp:posOffset>434340</wp:posOffset>
            </wp:positionV>
            <wp:extent cx="4377690" cy="2700020"/>
            <wp:effectExtent l="0" t="0" r="3810" b="5080"/>
            <wp:wrapTopAndBottom/>
            <wp:docPr id="5" name="Picture 5" descr="The 1st quartile stay svery much the same over the years. The median increases by a small amount in 2007 and stays almost the same for the rest of the years. The mean and 3rd quartile, both drop a bit from 2002 to 2005, then increase from 2005 to 2012 and after that are rather flat." title="The time trend for H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_4.2.png"/>
                    <pic:cNvPicPr/>
                  </pic:nvPicPr>
                  <pic:blipFill rotWithShape="1">
                    <a:blip r:embed="rId19" cstate="print">
                      <a:extLst>
                        <a:ext uri="{28A0092B-C50C-407E-A947-70E740481C1C}">
                          <a14:useLocalDpi xmlns:a14="http://schemas.microsoft.com/office/drawing/2010/main" val="0"/>
                        </a:ext>
                      </a:extLst>
                    </a:blip>
                    <a:srcRect t="4385"/>
                    <a:stretch/>
                  </pic:blipFill>
                  <pic:spPr bwMode="auto">
                    <a:xfrm>
                      <a:off x="0" y="0"/>
                      <a:ext cx="4377690" cy="2700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1803">
        <w:t>Figure</w:t>
      </w:r>
      <w:r w:rsidR="00A11803" w:rsidRPr="000618FB">
        <w:t xml:space="preserve"> </w:t>
      </w:r>
      <w:r w:rsidR="00A11803">
        <w:rPr>
          <w:noProof/>
        </w:rPr>
        <w:fldChar w:fldCharType="begin"/>
      </w:r>
      <w:r w:rsidR="00A11803">
        <w:rPr>
          <w:noProof/>
        </w:rPr>
        <w:instrText xml:space="preserve"> STYLEREF 1 \s </w:instrText>
      </w:r>
      <w:r w:rsidR="00A11803">
        <w:rPr>
          <w:noProof/>
        </w:rPr>
        <w:fldChar w:fldCharType="separate"/>
      </w:r>
      <w:r w:rsidR="00A20DE7">
        <w:rPr>
          <w:noProof/>
        </w:rPr>
        <w:t>4</w:t>
      </w:r>
      <w:r w:rsidR="00A11803">
        <w:rPr>
          <w:noProof/>
        </w:rPr>
        <w:fldChar w:fldCharType="end"/>
      </w:r>
      <w:r w:rsidR="00A11803" w:rsidRPr="000618FB">
        <w:t>.</w:t>
      </w:r>
      <w:r w:rsidR="00A11803" w:rsidRPr="000618FB">
        <w:fldChar w:fldCharType="begin"/>
      </w:r>
      <w:r w:rsidR="00A11803" w:rsidRPr="000618FB">
        <w:instrText xml:space="preserve"> SEQ </w:instrText>
      </w:r>
      <w:r w:rsidR="00A11803">
        <w:instrText>Figure</w:instrText>
      </w:r>
      <w:r w:rsidR="00A11803" w:rsidRPr="000618FB">
        <w:instrText xml:space="preserve"> \* ARABIC \s 1 </w:instrText>
      </w:r>
      <w:r w:rsidR="00A11803" w:rsidRPr="000618FB">
        <w:fldChar w:fldCharType="separate"/>
      </w:r>
      <w:r w:rsidR="00A20DE7">
        <w:rPr>
          <w:noProof/>
        </w:rPr>
        <w:t>2</w:t>
      </w:r>
      <w:r w:rsidR="00A11803" w:rsidRPr="000618FB">
        <w:fldChar w:fldCharType="end"/>
      </w:r>
      <w:r w:rsidR="00A11803">
        <w:t>: The time trend for HHI across 3-digit ANZSICs.</w:t>
      </w:r>
    </w:p>
    <w:p w14:paraId="35E1278A" w14:textId="7738B568" w:rsidR="00A11803" w:rsidRDefault="00A11803" w:rsidP="00E63064">
      <w:pPr>
        <w:pStyle w:val="Source"/>
      </w:pPr>
      <w:r>
        <w:t>Source: Department of Industry, Innovation and Science (2019)</w:t>
      </w:r>
    </w:p>
    <w:p w14:paraId="35E1278B" w14:textId="0B54444B" w:rsidR="00B23B14" w:rsidRDefault="00B23B14" w:rsidP="00F05816">
      <w:pPr>
        <w:spacing w:before="240" w:line="270" w:lineRule="exact"/>
        <w:ind w:left="0"/>
      </w:pPr>
      <w:r>
        <w:t xml:space="preserve">Looking at the average HHI, one distinguishes three episodes. First, the average HHI slightly drops over the years prior to 2007. Around 2007 the trend reverses and the average HHI starts increasing. The increasing trend continues until 2012. After 2012, the average HHI is by and large stable. </w:t>
      </w:r>
    </w:p>
    <w:p w14:paraId="35E1278C" w14:textId="46BEA512" w:rsidR="00B23B14" w:rsidRDefault="00B23B14" w:rsidP="00F05816">
      <w:pPr>
        <w:spacing w:line="270" w:lineRule="exact"/>
        <w:ind w:left="0"/>
      </w:pPr>
      <w:r>
        <w:t xml:space="preserve">Comparing the trends in average HHI to those in HHI quartiles reveals that the changes observed in the mean are not uniformly taking place across all industries. The movements of the average HHI are mostly in line with that of the third quartile. </w:t>
      </w:r>
    </w:p>
    <w:p w14:paraId="35E1278D" w14:textId="4EFAB3BF" w:rsidR="00B23B14" w:rsidRDefault="00B23B14" w:rsidP="00F05816">
      <w:pPr>
        <w:spacing w:line="270" w:lineRule="exact"/>
        <w:ind w:left="0"/>
      </w:pPr>
      <w:r>
        <w:t>The median HHI is also increasing but much more slowly than the third quartile. The first quartile of HHI barely changes from 2002 to 2016. These movements suggest that most of the increase in HHI over the last years took place within industries that are in the upper tail of the HHI distribution. Industries in the lower tail of the HHI distribution experienced little if any change in their concentration.</w:t>
      </w:r>
    </w:p>
    <w:p w14:paraId="35E1278E" w14:textId="687FA164" w:rsidR="00B23B14" w:rsidRDefault="00B23B14" w:rsidP="00F05816">
      <w:pPr>
        <w:spacing w:line="270" w:lineRule="exact"/>
        <w:ind w:left="0"/>
      </w:pPr>
      <w:r>
        <w:t>This conjecture is further corroborated by Figure </w:t>
      </w:r>
      <w:r w:rsidR="00267323">
        <w:t>4.3</w:t>
      </w:r>
      <w:r>
        <w:t>. This figure illustrates the average change in HHI from 2002 to 2016 as a function of the HHI in 2002. The picture also shows the 90 per cent confidence interval for the averages. One observes that the average change for industries whose HHI in 2002 is below the median is very small. The average change rises almost monotonically for the deciles above the median. The main exception is the top two deciles where market concentration falls by a substantial amount. These are Australia’s most concentrated industries, almost monopolies.</w:t>
      </w:r>
    </w:p>
    <w:p w14:paraId="35E12792" w14:textId="6A61D10D" w:rsidR="009C30C8" w:rsidRDefault="00E25059" w:rsidP="00E63064">
      <w:pPr>
        <w:pStyle w:val="Caption"/>
      </w:pPr>
      <w:r>
        <w:rPr>
          <w:noProof/>
          <w:lang w:eastAsia="en-AU"/>
        </w:rPr>
        <w:lastRenderedPageBreak/>
        <w:drawing>
          <wp:anchor distT="0" distB="0" distL="114300" distR="114300" simplePos="0" relativeHeight="251668480" behindDoc="0" locked="0" layoutInCell="1" allowOverlap="1" wp14:anchorId="40394A65" wp14:editId="4267E370">
            <wp:simplePos x="0" y="0"/>
            <wp:positionH relativeFrom="column">
              <wp:posOffset>-58420</wp:posOffset>
            </wp:positionH>
            <wp:positionV relativeFrom="paragraph">
              <wp:posOffset>314325</wp:posOffset>
            </wp:positionV>
            <wp:extent cx="4377690" cy="3369310"/>
            <wp:effectExtent l="0" t="0" r="3810" b="2540"/>
            <wp:wrapTopAndBottom/>
            <wp:docPr id="10" name="Picture 10" descr="For industries whose HHI was in 1st to 3rd decile in 2002, the change is very small.The average change in HHI increases almost monotonically for the 4th decile to 8the decile. Industries in the 9th and top decile in 2002, see an average drop in HHI." title="Average change in HHI for each decile of HHI in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rt_4.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77690" cy="3369310"/>
                    </a:xfrm>
                    <a:prstGeom prst="rect">
                      <a:avLst/>
                    </a:prstGeom>
                  </pic:spPr>
                </pic:pic>
              </a:graphicData>
            </a:graphic>
            <wp14:sizeRelH relativeFrom="page">
              <wp14:pctWidth>0</wp14:pctWidth>
            </wp14:sizeRelH>
            <wp14:sizeRelV relativeFrom="page">
              <wp14:pctHeight>0</wp14:pctHeight>
            </wp14:sizeRelV>
          </wp:anchor>
        </w:drawing>
      </w:r>
      <w:r w:rsidR="009C30C8">
        <w:t>Figure</w:t>
      </w:r>
      <w:r w:rsidR="009C30C8" w:rsidRPr="000618FB">
        <w:t xml:space="preserve"> </w:t>
      </w:r>
      <w:r w:rsidR="009C30C8">
        <w:rPr>
          <w:noProof/>
        </w:rPr>
        <w:fldChar w:fldCharType="begin"/>
      </w:r>
      <w:r w:rsidR="009C30C8">
        <w:rPr>
          <w:noProof/>
        </w:rPr>
        <w:instrText xml:space="preserve"> STYLEREF 1 \s </w:instrText>
      </w:r>
      <w:r w:rsidR="009C30C8">
        <w:rPr>
          <w:noProof/>
        </w:rPr>
        <w:fldChar w:fldCharType="separate"/>
      </w:r>
      <w:r w:rsidR="00A20DE7">
        <w:rPr>
          <w:noProof/>
        </w:rPr>
        <w:t>4</w:t>
      </w:r>
      <w:r w:rsidR="009C30C8">
        <w:rPr>
          <w:noProof/>
        </w:rPr>
        <w:fldChar w:fldCharType="end"/>
      </w:r>
      <w:r w:rsidR="009C30C8" w:rsidRPr="000618FB">
        <w:t>.</w:t>
      </w:r>
      <w:r w:rsidR="009C30C8" w:rsidRPr="000618FB">
        <w:fldChar w:fldCharType="begin"/>
      </w:r>
      <w:r w:rsidR="009C30C8" w:rsidRPr="000618FB">
        <w:instrText xml:space="preserve"> SEQ </w:instrText>
      </w:r>
      <w:r w:rsidR="009C30C8">
        <w:instrText>Figure</w:instrText>
      </w:r>
      <w:r w:rsidR="009C30C8" w:rsidRPr="000618FB">
        <w:instrText xml:space="preserve"> \* ARABIC \s 1 </w:instrText>
      </w:r>
      <w:r w:rsidR="009C30C8" w:rsidRPr="000618FB">
        <w:fldChar w:fldCharType="separate"/>
      </w:r>
      <w:r w:rsidR="00A20DE7">
        <w:rPr>
          <w:noProof/>
        </w:rPr>
        <w:t>3</w:t>
      </w:r>
      <w:r w:rsidR="009C30C8" w:rsidRPr="000618FB">
        <w:fldChar w:fldCharType="end"/>
      </w:r>
      <w:r w:rsidR="009C30C8">
        <w:t>: Average change in HHI for each decile of HHI in 2002.</w:t>
      </w:r>
    </w:p>
    <w:p w14:paraId="35E12793" w14:textId="3DD35C6B" w:rsidR="009C30C8" w:rsidRDefault="009C30C8" w:rsidP="00E63064">
      <w:pPr>
        <w:pStyle w:val="Source"/>
      </w:pPr>
      <w:r>
        <w:t>Source: Department of Industry, Innovation and Science (2019)</w:t>
      </w:r>
    </w:p>
    <w:p w14:paraId="35E12795" w14:textId="1A177080" w:rsidR="00B23B14" w:rsidRDefault="00847791" w:rsidP="004B17CD">
      <w:pPr>
        <w:pStyle w:val="Heading2"/>
        <w:rPr>
          <w:lang w:val="en"/>
        </w:rPr>
      </w:pPr>
      <w:r>
        <w:rPr>
          <w:lang w:val="en"/>
        </w:rPr>
        <w:t>Trends by Industry</w:t>
      </w:r>
    </w:p>
    <w:p w14:paraId="35E12796" w14:textId="2C19A175" w:rsidR="00847791" w:rsidRDefault="00847791" w:rsidP="00847791">
      <w:pPr>
        <w:spacing w:before="60" w:line="270" w:lineRule="exact"/>
        <w:ind w:left="0"/>
      </w:pPr>
      <w:r>
        <w:t>Market concentration did not increase uniformly across all industries; most of the increase happened in the upper median. Table 3.2 suggests that industries that make up the upper and the lower median of the HHI distribution can be from different ANZSIC divisions. It is likely that the change in the concentration is linked to the industrial composition of the ANZSIC division.</w:t>
      </w:r>
    </w:p>
    <w:p w14:paraId="35E12797" w14:textId="70D5916B" w:rsidR="00847791" w:rsidRDefault="00847791" w:rsidP="00F05816">
      <w:pPr>
        <w:spacing w:line="270" w:lineRule="exact"/>
        <w:ind w:left="0"/>
      </w:pPr>
      <w:r>
        <w:t>Figure </w:t>
      </w:r>
      <w:r w:rsidR="00411DCA">
        <w:t>4.4</w:t>
      </w:r>
      <w:r>
        <w:t xml:space="preserve"> shows the HHI of an ANZSIC division in 2016 versus that of the same division in 2002. In each year, the HHI is averaged over all 3-digit ANZSICs belonging to the same division. The position of each point in the graph relative to the 45 degree line indicates whether HHI for that division increased or dropped (or did not change) from 2002 to 2016. </w:t>
      </w:r>
    </w:p>
    <w:p w14:paraId="35E1279A" w14:textId="4C38A2D1" w:rsidR="004B17CD" w:rsidRDefault="00E25059" w:rsidP="00E25059">
      <w:pPr>
        <w:pStyle w:val="Caption"/>
        <w:spacing w:after="120"/>
      </w:pPr>
      <w:r>
        <w:rPr>
          <w:noProof/>
          <w:lang w:eastAsia="en-AU"/>
        </w:rPr>
        <w:lastRenderedPageBreak/>
        <w:drawing>
          <wp:anchor distT="0" distB="0" distL="114300" distR="114300" simplePos="0" relativeHeight="251669504" behindDoc="0" locked="0" layoutInCell="1" allowOverlap="1" wp14:anchorId="782DC93C" wp14:editId="72D2F077">
            <wp:simplePos x="0" y="0"/>
            <wp:positionH relativeFrom="margin">
              <wp:posOffset>-1270</wp:posOffset>
            </wp:positionH>
            <wp:positionV relativeFrom="paragraph">
              <wp:posOffset>354965</wp:posOffset>
            </wp:positionV>
            <wp:extent cx="4377690" cy="2980055"/>
            <wp:effectExtent l="0" t="0" r="3810" b="0"/>
            <wp:wrapTopAndBottom/>
            <wp:docPr id="11" name="Picture 11" descr="For most divisions the HHI in 2002 and 2016 are almost the same (they fall close to the 45 degree line). Manufacturing, Professional and Technical Services, Healthcare, Retail and Agriculture see an increase in concentration. Information and Telecommunication, Education, Finance, Mining, and Accommodation see a fall in concentration." title="Change in HHI from 2002 to 2016 by ANZSIC div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art_4.4.png"/>
                    <pic:cNvPicPr/>
                  </pic:nvPicPr>
                  <pic:blipFill rotWithShape="1">
                    <a:blip r:embed="rId21" cstate="print">
                      <a:extLst>
                        <a:ext uri="{28A0092B-C50C-407E-A947-70E740481C1C}">
                          <a14:useLocalDpi xmlns:a14="http://schemas.microsoft.com/office/drawing/2010/main" val="0"/>
                        </a:ext>
                      </a:extLst>
                    </a:blip>
                    <a:srcRect t="3990"/>
                    <a:stretch/>
                  </pic:blipFill>
                  <pic:spPr bwMode="auto">
                    <a:xfrm>
                      <a:off x="0" y="0"/>
                      <a:ext cx="4377690" cy="2980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17CD">
        <w:t>Figure</w:t>
      </w:r>
      <w:r w:rsidR="004B17CD" w:rsidRPr="000618FB">
        <w:t xml:space="preserve"> </w:t>
      </w:r>
      <w:r w:rsidR="004B17CD">
        <w:rPr>
          <w:noProof/>
        </w:rPr>
        <w:fldChar w:fldCharType="begin"/>
      </w:r>
      <w:r w:rsidR="004B17CD">
        <w:rPr>
          <w:noProof/>
        </w:rPr>
        <w:instrText xml:space="preserve"> STYLEREF 1 \s </w:instrText>
      </w:r>
      <w:r w:rsidR="004B17CD">
        <w:rPr>
          <w:noProof/>
        </w:rPr>
        <w:fldChar w:fldCharType="separate"/>
      </w:r>
      <w:r w:rsidR="00A20DE7">
        <w:rPr>
          <w:noProof/>
        </w:rPr>
        <w:t>4</w:t>
      </w:r>
      <w:r w:rsidR="004B17CD">
        <w:rPr>
          <w:noProof/>
        </w:rPr>
        <w:fldChar w:fldCharType="end"/>
      </w:r>
      <w:r w:rsidR="004B17CD" w:rsidRPr="000618FB">
        <w:t>.</w:t>
      </w:r>
      <w:r w:rsidR="004B17CD" w:rsidRPr="000618FB">
        <w:fldChar w:fldCharType="begin"/>
      </w:r>
      <w:r w:rsidR="004B17CD" w:rsidRPr="000618FB">
        <w:instrText xml:space="preserve"> SEQ </w:instrText>
      </w:r>
      <w:r w:rsidR="004B17CD">
        <w:instrText>Figure</w:instrText>
      </w:r>
      <w:r w:rsidR="004B17CD" w:rsidRPr="000618FB">
        <w:instrText xml:space="preserve"> \* ARABIC \s 1 </w:instrText>
      </w:r>
      <w:r w:rsidR="004B17CD" w:rsidRPr="000618FB">
        <w:fldChar w:fldCharType="separate"/>
      </w:r>
      <w:r w:rsidR="00A20DE7">
        <w:rPr>
          <w:noProof/>
        </w:rPr>
        <w:t>4</w:t>
      </w:r>
      <w:r w:rsidR="004B17CD" w:rsidRPr="000618FB">
        <w:fldChar w:fldCharType="end"/>
      </w:r>
      <w:r w:rsidR="004B17CD">
        <w:t>: The change in HHI from 2202 to 2016 by ANZSIC divisions.</w:t>
      </w:r>
    </w:p>
    <w:p w14:paraId="35E1279B" w14:textId="77C6E7D4" w:rsidR="006F4A7F" w:rsidRPr="00C62F3A" w:rsidRDefault="006F4A7F" w:rsidP="00E63064">
      <w:pPr>
        <w:pStyle w:val="Note"/>
      </w:pPr>
      <w:r>
        <w:t xml:space="preserve">Notes: </w:t>
      </w:r>
      <w:r w:rsidR="0054575E">
        <w:t>Indexes in each division are the averages over all 3-digit ANZSICs belonging to the division.</w:t>
      </w:r>
    </w:p>
    <w:p w14:paraId="35E1279C" w14:textId="6BCF3A7C" w:rsidR="006F4A7F" w:rsidRDefault="0054575E" w:rsidP="00E63064">
      <w:pPr>
        <w:pStyle w:val="Source"/>
      </w:pPr>
      <w:r>
        <w:t>Source: Department of Industry, Innovation and Science (2019)</w:t>
      </w:r>
    </w:p>
    <w:p w14:paraId="35E1279D" w14:textId="77777777" w:rsidR="008C35E5" w:rsidRDefault="008C35E5" w:rsidP="00F05816">
      <w:pPr>
        <w:spacing w:before="240" w:line="270" w:lineRule="exact"/>
        <w:ind w:left="0"/>
      </w:pPr>
      <w:r>
        <w:t xml:space="preserve">A few industry divisions fall above the 45 degree line, that is, concentration in those industries increased. Manufacturing is the most notable one. The market concentration of Manufacturing also starts with quite high concentration in 2002 as compared to most other industries. Health Care and Professional, Scientific and Technical Services are two other examples; however, they are much less concentrated overall than Manufacturing. </w:t>
      </w:r>
    </w:p>
    <w:p w14:paraId="35E1279E" w14:textId="77777777" w:rsidR="008C35E5" w:rsidRDefault="008C35E5" w:rsidP="00F05816">
      <w:pPr>
        <w:spacing w:line="270" w:lineRule="exact"/>
        <w:ind w:left="0"/>
      </w:pPr>
      <w:r>
        <w:t xml:space="preserve">On the other hand, several divisions are positioned below the 45 degree line, which means they experience a drop in market concentration. Information Media and Telecommunication is one notable case. This division is host to a few of the most concentrated industries in Australia including Telecommunication Services (for instance, ANZSIC 580 in Table 3.2). Accommodation and Food Services, Education, Mining, and Finance and Insurance are also experiencing a sizable drop in market concentration. </w:t>
      </w:r>
    </w:p>
    <w:p w14:paraId="35E1279F" w14:textId="77777777" w:rsidR="008C35E5" w:rsidRDefault="008C35E5" w:rsidP="00F05816">
      <w:pPr>
        <w:spacing w:line="270" w:lineRule="exact"/>
        <w:ind w:left="0"/>
      </w:pPr>
      <w:r>
        <w:t>Market concentration in most other divisions does not change by much from 2002 to 2016.</w:t>
      </w:r>
    </w:p>
    <w:p w14:paraId="35E127A0" w14:textId="77777777" w:rsidR="008C35E5" w:rsidRDefault="008C35E5" w:rsidP="00F05816">
      <w:pPr>
        <w:pStyle w:val="BodyText"/>
      </w:pPr>
      <w:r>
        <w:t>For more specifics, I list industries that experienced the largest or smallest change in their HHI in Table </w:t>
      </w:r>
      <w:r w:rsidR="00411DCA">
        <w:t>4</w:t>
      </w:r>
      <w:r w:rsidR="00B64EE0">
        <w:t>.1</w:t>
      </w:r>
      <w:r>
        <w:t>. Note that industries with fewer than 10 firms are, again, excluded from the listing for confidentiality protection.</w:t>
      </w:r>
    </w:p>
    <w:p w14:paraId="35E127A2" w14:textId="77777777" w:rsidR="00CF51DE" w:rsidRDefault="00CF51DE" w:rsidP="008C35E5">
      <w:pPr>
        <w:pStyle w:val="BodyText"/>
      </w:pPr>
    </w:p>
    <w:p w14:paraId="35E127A3" w14:textId="77777777" w:rsidR="00CF51DE" w:rsidRDefault="006A2248" w:rsidP="00E63064">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A20DE7">
        <w:rPr>
          <w:noProof/>
        </w:rPr>
        <w:t>4</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1</w:t>
      </w:r>
      <w:r>
        <w:rPr>
          <w:noProof/>
        </w:rPr>
        <w:fldChar w:fldCharType="end"/>
      </w:r>
      <w:r w:rsidRPr="000618FB">
        <w:t xml:space="preserve">: </w:t>
      </w:r>
      <w:r>
        <w:t>I</w:t>
      </w:r>
      <w:r w:rsidR="00CF51DE">
        <w:t>ndustries that experienced the largest increase or drop in concentration and those that had the smallest change.</w:t>
      </w:r>
    </w:p>
    <w:tbl>
      <w:tblPr>
        <w:tblStyle w:val="OCETable"/>
        <w:tblW w:w="5165" w:type="pct"/>
        <w:tblLayout w:type="fixed"/>
        <w:tblLook w:val="04A0" w:firstRow="1" w:lastRow="0" w:firstColumn="1" w:lastColumn="0" w:noHBand="0" w:noVBand="1"/>
        <w:tblCaption w:val="Table 4.1"/>
        <w:tblDescription w:val="Most notable industry with largest drop in concentration is Telecommunication, but also data storage, life insurance, etc. The largest increase happened in Printing, Other Manufacturing, Warehousing amongst others. Most industries with very little change in concentration are in construction plus dairy product manufacturing."/>
      </w:tblPr>
      <w:tblGrid>
        <w:gridCol w:w="884"/>
        <w:gridCol w:w="993"/>
        <w:gridCol w:w="3261"/>
        <w:gridCol w:w="992"/>
        <w:gridCol w:w="992"/>
      </w:tblGrid>
      <w:tr w:rsidR="008C35E5" w14:paraId="35E127A6" w14:textId="77777777" w:rsidTr="00E25059">
        <w:trPr>
          <w:cnfStyle w:val="100000000000" w:firstRow="1" w:lastRow="0" w:firstColumn="0" w:lastColumn="0" w:oddVBand="0" w:evenVBand="0" w:oddHBand="0" w:evenHBand="0" w:firstRowFirstColumn="0" w:firstRowLastColumn="0" w:lastRowFirstColumn="0" w:lastRowLastColumn="0"/>
          <w:tblHeader/>
        </w:trPr>
        <w:tc>
          <w:tcPr>
            <w:tcW w:w="6130" w:type="dxa"/>
            <w:gridSpan w:val="4"/>
          </w:tcPr>
          <w:p w14:paraId="35E127A4" w14:textId="77777777" w:rsidR="008C35E5" w:rsidRDefault="008C35E5" w:rsidP="008C35E5">
            <w:pPr>
              <w:pStyle w:val="Tableheadertext"/>
            </w:pPr>
            <w:r>
              <w:t>Panel A: Largest drop in concentration</w:t>
            </w:r>
          </w:p>
        </w:tc>
        <w:tc>
          <w:tcPr>
            <w:tcW w:w="992" w:type="dxa"/>
          </w:tcPr>
          <w:p w14:paraId="35E127A5" w14:textId="77777777" w:rsidR="008C35E5" w:rsidRDefault="008C35E5" w:rsidP="008C35E5">
            <w:pPr>
              <w:pStyle w:val="Tableheadertext"/>
            </w:pPr>
          </w:p>
        </w:tc>
      </w:tr>
      <w:tr w:rsidR="001C25AC" w14:paraId="35E127AC"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tcPr>
          <w:p w14:paraId="35E127A7" w14:textId="77777777" w:rsidR="008C35E5" w:rsidRDefault="008C35E5" w:rsidP="001C25AC">
            <w:pPr>
              <w:pStyle w:val="Tablebodytext"/>
              <w:jc w:val="center"/>
            </w:pPr>
            <w:r>
              <w:t>ANZSIC</w:t>
            </w:r>
          </w:p>
        </w:tc>
        <w:tc>
          <w:tcPr>
            <w:tcW w:w="993" w:type="dxa"/>
          </w:tcPr>
          <w:p w14:paraId="35E127A8" w14:textId="77777777" w:rsidR="008C35E5" w:rsidRDefault="008C35E5" w:rsidP="001C25AC">
            <w:pPr>
              <w:pStyle w:val="Tablebodytext"/>
              <w:jc w:val="center"/>
            </w:pPr>
            <w:r>
              <w:t>Division</w:t>
            </w:r>
          </w:p>
        </w:tc>
        <w:tc>
          <w:tcPr>
            <w:tcW w:w="3261" w:type="dxa"/>
          </w:tcPr>
          <w:p w14:paraId="35E127A9" w14:textId="77777777" w:rsidR="008C35E5" w:rsidRDefault="008C35E5" w:rsidP="008C35E5">
            <w:pPr>
              <w:pStyle w:val="Tablebodytext"/>
            </w:pPr>
            <w:r>
              <w:t>Description</w:t>
            </w:r>
          </w:p>
        </w:tc>
        <w:tc>
          <w:tcPr>
            <w:tcW w:w="992" w:type="dxa"/>
          </w:tcPr>
          <w:p w14:paraId="35E127AA" w14:textId="77777777" w:rsidR="008C35E5" w:rsidRDefault="008C35E5" w:rsidP="001C25AC">
            <w:pPr>
              <w:pStyle w:val="Tablebodytext"/>
              <w:jc w:val="center"/>
            </w:pPr>
            <w:r>
              <w:rPr>
                <w:i/>
                <w:iCs/>
              </w:rPr>
              <w:t>H</w:t>
            </w:r>
            <w:r>
              <w:t>(2002)</w:t>
            </w:r>
          </w:p>
        </w:tc>
        <w:tc>
          <w:tcPr>
            <w:tcW w:w="992" w:type="dxa"/>
          </w:tcPr>
          <w:p w14:paraId="35E127AB" w14:textId="77777777" w:rsidR="008C35E5" w:rsidRDefault="008C35E5" w:rsidP="001C25AC">
            <w:pPr>
              <w:pStyle w:val="Tablebodytext"/>
              <w:jc w:val="center"/>
            </w:pPr>
            <w:r>
              <w:rPr>
                <w:i/>
                <w:iCs/>
              </w:rPr>
              <w:t>H</w:t>
            </w:r>
            <w:r>
              <w:t>(2016)</w:t>
            </w:r>
          </w:p>
        </w:tc>
      </w:tr>
      <w:tr w:rsidR="001C25AC" w14:paraId="35E127B2" w14:textId="77777777" w:rsidTr="00CF51DE">
        <w:trPr>
          <w:cnfStyle w:val="000000010000" w:firstRow="0" w:lastRow="0" w:firstColumn="0" w:lastColumn="0" w:oddVBand="0" w:evenVBand="0" w:oddHBand="0" w:evenHBand="1" w:firstRowFirstColumn="0" w:firstRowLastColumn="0" w:lastRowFirstColumn="0" w:lastRowLastColumn="0"/>
        </w:trPr>
        <w:tc>
          <w:tcPr>
            <w:tcW w:w="884" w:type="dxa"/>
          </w:tcPr>
          <w:p w14:paraId="35E127AD" w14:textId="77777777" w:rsidR="008C35E5" w:rsidRDefault="008C35E5" w:rsidP="001C25AC">
            <w:pPr>
              <w:pStyle w:val="Tablebodytext"/>
              <w:jc w:val="center"/>
            </w:pPr>
            <w:r>
              <w:t>472</w:t>
            </w:r>
          </w:p>
        </w:tc>
        <w:tc>
          <w:tcPr>
            <w:tcW w:w="993" w:type="dxa"/>
          </w:tcPr>
          <w:p w14:paraId="35E127AE" w14:textId="77777777" w:rsidR="008C35E5" w:rsidRDefault="008C35E5" w:rsidP="001C25AC">
            <w:pPr>
              <w:pStyle w:val="Tablebodytext"/>
              <w:jc w:val="center"/>
            </w:pPr>
            <w:r>
              <w:t>I</w:t>
            </w:r>
          </w:p>
        </w:tc>
        <w:tc>
          <w:tcPr>
            <w:tcW w:w="3261" w:type="dxa"/>
          </w:tcPr>
          <w:p w14:paraId="35E127AF" w14:textId="77777777" w:rsidR="008C35E5" w:rsidRDefault="008C35E5" w:rsidP="008C35E5">
            <w:pPr>
              <w:pStyle w:val="Tablebodytext"/>
            </w:pPr>
            <w:r>
              <w:t>Rail Passenger Transport</w:t>
            </w:r>
          </w:p>
        </w:tc>
        <w:tc>
          <w:tcPr>
            <w:tcW w:w="992" w:type="dxa"/>
          </w:tcPr>
          <w:p w14:paraId="35E127B0" w14:textId="77777777" w:rsidR="008C35E5" w:rsidRDefault="008C35E5" w:rsidP="001C25AC">
            <w:pPr>
              <w:pStyle w:val="Tablebodytext"/>
              <w:jc w:val="center"/>
            </w:pPr>
            <w:r>
              <w:t>0.707</w:t>
            </w:r>
          </w:p>
        </w:tc>
        <w:tc>
          <w:tcPr>
            <w:tcW w:w="992" w:type="dxa"/>
          </w:tcPr>
          <w:p w14:paraId="35E127B1" w14:textId="77777777" w:rsidR="008C35E5" w:rsidRDefault="008C35E5" w:rsidP="001C25AC">
            <w:pPr>
              <w:pStyle w:val="Tablebodytext"/>
              <w:jc w:val="center"/>
            </w:pPr>
            <w:r>
              <w:t>0.234</w:t>
            </w:r>
          </w:p>
        </w:tc>
      </w:tr>
      <w:tr w:rsidR="001C25AC" w14:paraId="35E127B8"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tcPr>
          <w:p w14:paraId="35E127B3" w14:textId="77777777" w:rsidR="008C35E5" w:rsidRDefault="008C35E5" w:rsidP="001C25AC">
            <w:pPr>
              <w:pStyle w:val="Tablebodytext"/>
              <w:jc w:val="center"/>
            </w:pPr>
            <w:r>
              <w:t>631</w:t>
            </w:r>
          </w:p>
        </w:tc>
        <w:tc>
          <w:tcPr>
            <w:tcW w:w="993" w:type="dxa"/>
          </w:tcPr>
          <w:p w14:paraId="35E127B4" w14:textId="77777777" w:rsidR="008C35E5" w:rsidRDefault="008C35E5" w:rsidP="001C25AC">
            <w:pPr>
              <w:pStyle w:val="Tablebodytext"/>
              <w:jc w:val="center"/>
            </w:pPr>
            <w:r>
              <w:t>K</w:t>
            </w:r>
          </w:p>
        </w:tc>
        <w:tc>
          <w:tcPr>
            <w:tcW w:w="3261" w:type="dxa"/>
          </w:tcPr>
          <w:p w14:paraId="35E127B5" w14:textId="77777777" w:rsidR="008C35E5" w:rsidRDefault="008C35E5" w:rsidP="008C35E5">
            <w:pPr>
              <w:pStyle w:val="Tablebodytext"/>
            </w:pPr>
            <w:r>
              <w:t>Life Insurance</w:t>
            </w:r>
          </w:p>
        </w:tc>
        <w:tc>
          <w:tcPr>
            <w:tcW w:w="992" w:type="dxa"/>
          </w:tcPr>
          <w:p w14:paraId="35E127B6" w14:textId="77777777" w:rsidR="008C35E5" w:rsidRDefault="008C35E5" w:rsidP="001C25AC">
            <w:pPr>
              <w:pStyle w:val="Tablebodytext"/>
              <w:jc w:val="center"/>
            </w:pPr>
            <w:r>
              <w:t>0.594</w:t>
            </w:r>
          </w:p>
        </w:tc>
        <w:tc>
          <w:tcPr>
            <w:tcW w:w="992" w:type="dxa"/>
          </w:tcPr>
          <w:p w14:paraId="35E127B7" w14:textId="77777777" w:rsidR="008C35E5" w:rsidRDefault="008C35E5" w:rsidP="001C25AC">
            <w:pPr>
              <w:pStyle w:val="Tablebodytext"/>
              <w:jc w:val="center"/>
            </w:pPr>
            <w:r>
              <w:t>0.128</w:t>
            </w:r>
          </w:p>
        </w:tc>
      </w:tr>
      <w:tr w:rsidR="001C25AC" w14:paraId="35E127BE" w14:textId="77777777" w:rsidTr="00CF51DE">
        <w:trPr>
          <w:cnfStyle w:val="000000010000" w:firstRow="0" w:lastRow="0" w:firstColumn="0" w:lastColumn="0" w:oddVBand="0" w:evenVBand="0" w:oddHBand="0" w:evenHBand="1" w:firstRowFirstColumn="0" w:firstRowLastColumn="0" w:lastRowFirstColumn="0" w:lastRowLastColumn="0"/>
        </w:trPr>
        <w:tc>
          <w:tcPr>
            <w:tcW w:w="884" w:type="dxa"/>
          </w:tcPr>
          <w:p w14:paraId="35E127B9" w14:textId="77777777" w:rsidR="008C35E5" w:rsidRDefault="008C35E5" w:rsidP="001C25AC">
            <w:pPr>
              <w:pStyle w:val="Tablebodytext"/>
              <w:jc w:val="center"/>
            </w:pPr>
            <w:r>
              <w:t>592</w:t>
            </w:r>
          </w:p>
        </w:tc>
        <w:tc>
          <w:tcPr>
            <w:tcW w:w="993" w:type="dxa"/>
          </w:tcPr>
          <w:p w14:paraId="35E127BA" w14:textId="77777777" w:rsidR="008C35E5" w:rsidRDefault="008C35E5" w:rsidP="001C25AC">
            <w:pPr>
              <w:pStyle w:val="Tablebodytext"/>
              <w:jc w:val="center"/>
            </w:pPr>
            <w:r>
              <w:t>J</w:t>
            </w:r>
          </w:p>
        </w:tc>
        <w:tc>
          <w:tcPr>
            <w:tcW w:w="3261" w:type="dxa"/>
          </w:tcPr>
          <w:p w14:paraId="35E127BB" w14:textId="77777777" w:rsidR="008C35E5" w:rsidRDefault="008C35E5" w:rsidP="008C35E5">
            <w:pPr>
              <w:pStyle w:val="Tablebodytext"/>
            </w:pPr>
            <w:r>
              <w:t>Data Processing and Storage Services</w:t>
            </w:r>
          </w:p>
        </w:tc>
        <w:tc>
          <w:tcPr>
            <w:tcW w:w="992" w:type="dxa"/>
          </w:tcPr>
          <w:p w14:paraId="35E127BC" w14:textId="77777777" w:rsidR="008C35E5" w:rsidRDefault="008C35E5" w:rsidP="001C25AC">
            <w:pPr>
              <w:pStyle w:val="Tablebodytext"/>
              <w:jc w:val="center"/>
            </w:pPr>
            <w:r>
              <w:t>0.446</w:t>
            </w:r>
          </w:p>
        </w:tc>
        <w:tc>
          <w:tcPr>
            <w:tcW w:w="992" w:type="dxa"/>
          </w:tcPr>
          <w:p w14:paraId="35E127BD" w14:textId="77777777" w:rsidR="008C35E5" w:rsidRDefault="008C35E5" w:rsidP="001C25AC">
            <w:pPr>
              <w:pStyle w:val="Tablebodytext"/>
              <w:jc w:val="center"/>
            </w:pPr>
            <w:r>
              <w:t>0.036</w:t>
            </w:r>
          </w:p>
        </w:tc>
      </w:tr>
      <w:tr w:rsidR="001C25AC" w14:paraId="35E127C4"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tcPr>
          <w:p w14:paraId="35E127BF" w14:textId="77777777" w:rsidR="008C35E5" w:rsidRDefault="008C35E5" w:rsidP="001C25AC">
            <w:pPr>
              <w:pStyle w:val="Tablebodytext"/>
              <w:jc w:val="center"/>
            </w:pPr>
            <w:r>
              <w:t>602</w:t>
            </w:r>
          </w:p>
        </w:tc>
        <w:tc>
          <w:tcPr>
            <w:tcW w:w="993" w:type="dxa"/>
          </w:tcPr>
          <w:p w14:paraId="35E127C0" w14:textId="77777777" w:rsidR="008C35E5" w:rsidRDefault="008C35E5" w:rsidP="001C25AC">
            <w:pPr>
              <w:pStyle w:val="Tablebodytext"/>
              <w:jc w:val="center"/>
            </w:pPr>
            <w:r>
              <w:t>J</w:t>
            </w:r>
          </w:p>
        </w:tc>
        <w:tc>
          <w:tcPr>
            <w:tcW w:w="3261" w:type="dxa"/>
          </w:tcPr>
          <w:p w14:paraId="35E127C1" w14:textId="77777777" w:rsidR="008C35E5" w:rsidRDefault="008C35E5" w:rsidP="008C35E5">
            <w:pPr>
              <w:pStyle w:val="Tablebodytext"/>
            </w:pPr>
            <w:r>
              <w:t>Other Information Services</w:t>
            </w:r>
          </w:p>
        </w:tc>
        <w:tc>
          <w:tcPr>
            <w:tcW w:w="992" w:type="dxa"/>
          </w:tcPr>
          <w:p w14:paraId="35E127C2" w14:textId="77777777" w:rsidR="008C35E5" w:rsidRDefault="008C35E5" w:rsidP="001C25AC">
            <w:pPr>
              <w:pStyle w:val="Tablebodytext"/>
              <w:jc w:val="center"/>
            </w:pPr>
            <w:r>
              <w:t>0.459</w:t>
            </w:r>
          </w:p>
        </w:tc>
        <w:tc>
          <w:tcPr>
            <w:tcW w:w="992" w:type="dxa"/>
          </w:tcPr>
          <w:p w14:paraId="35E127C3" w14:textId="77777777" w:rsidR="008C35E5" w:rsidRDefault="008C35E5" w:rsidP="001C25AC">
            <w:pPr>
              <w:pStyle w:val="Tablebodytext"/>
              <w:jc w:val="center"/>
            </w:pPr>
            <w:r>
              <w:t>0.132</w:t>
            </w:r>
          </w:p>
        </w:tc>
      </w:tr>
      <w:tr w:rsidR="001C25AC" w14:paraId="35E127CA" w14:textId="77777777" w:rsidTr="00CF51DE">
        <w:trPr>
          <w:cnfStyle w:val="000000010000" w:firstRow="0" w:lastRow="0" w:firstColumn="0" w:lastColumn="0" w:oddVBand="0" w:evenVBand="0" w:oddHBand="0" w:evenHBand="1" w:firstRowFirstColumn="0" w:firstRowLastColumn="0" w:lastRowFirstColumn="0" w:lastRowLastColumn="0"/>
        </w:trPr>
        <w:tc>
          <w:tcPr>
            <w:tcW w:w="884" w:type="dxa"/>
          </w:tcPr>
          <w:p w14:paraId="35E127C5" w14:textId="77777777" w:rsidR="008C35E5" w:rsidRDefault="008C35E5" w:rsidP="001C25AC">
            <w:pPr>
              <w:pStyle w:val="Tablebodytext"/>
              <w:jc w:val="center"/>
            </w:pPr>
            <w:r>
              <w:t>822</w:t>
            </w:r>
          </w:p>
        </w:tc>
        <w:tc>
          <w:tcPr>
            <w:tcW w:w="993" w:type="dxa"/>
          </w:tcPr>
          <w:p w14:paraId="35E127C6" w14:textId="77777777" w:rsidR="008C35E5" w:rsidRDefault="008C35E5" w:rsidP="001C25AC">
            <w:pPr>
              <w:pStyle w:val="Tablebodytext"/>
              <w:jc w:val="center"/>
            </w:pPr>
            <w:r>
              <w:t>P</w:t>
            </w:r>
          </w:p>
        </w:tc>
        <w:tc>
          <w:tcPr>
            <w:tcW w:w="3261" w:type="dxa"/>
          </w:tcPr>
          <w:p w14:paraId="35E127C7" w14:textId="77777777" w:rsidR="008C35E5" w:rsidRDefault="008C35E5" w:rsidP="008C35E5">
            <w:pPr>
              <w:pStyle w:val="Tablebodytext"/>
            </w:pPr>
            <w:r>
              <w:t>Educational Support Services</w:t>
            </w:r>
          </w:p>
        </w:tc>
        <w:tc>
          <w:tcPr>
            <w:tcW w:w="992" w:type="dxa"/>
          </w:tcPr>
          <w:p w14:paraId="35E127C8" w14:textId="77777777" w:rsidR="008C35E5" w:rsidRDefault="008C35E5" w:rsidP="001C25AC">
            <w:pPr>
              <w:pStyle w:val="Tablebodytext"/>
              <w:jc w:val="center"/>
            </w:pPr>
            <w:r>
              <w:t>0.666</w:t>
            </w:r>
          </w:p>
        </w:tc>
        <w:tc>
          <w:tcPr>
            <w:tcW w:w="992" w:type="dxa"/>
          </w:tcPr>
          <w:p w14:paraId="35E127C9" w14:textId="77777777" w:rsidR="008C35E5" w:rsidRDefault="008C35E5" w:rsidP="001C25AC">
            <w:pPr>
              <w:pStyle w:val="Tablebodytext"/>
              <w:jc w:val="center"/>
            </w:pPr>
            <w:r>
              <w:t>0.349</w:t>
            </w:r>
          </w:p>
        </w:tc>
      </w:tr>
      <w:tr w:rsidR="001C25AC" w14:paraId="35E127D0"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tcPr>
          <w:p w14:paraId="35E127CB" w14:textId="77777777" w:rsidR="008C35E5" w:rsidRDefault="008C35E5" w:rsidP="001C25AC">
            <w:pPr>
              <w:pStyle w:val="Tablebodytext"/>
              <w:jc w:val="center"/>
            </w:pPr>
          </w:p>
        </w:tc>
        <w:tc>
          <w:tcPr>
            <w:tcW w:w="993" w:type="dxa"/>
          </w:tcPr>
          <w:p w14:paraId="35E127CC" w14:textId="77777777" w:rsidR="008C35E5" w:rsidRDefault="008C35E5" w:rsidP="001C25AC">
            <w:pPr>
              <w:pStyle w:val="Tablebodytext"/>
              <w:jc w:val="center"/>
            </w:pPr>
          </w:p>
        </w:tc>
        <w:tc>
          <w:tcPr>
            <w:tcW w:w="3261" w:type="dxa"/>
          </w:tcPr>
          <w:p w14:paraId="35E127CD" w14:textId="77777777" w:rsidR="008C35E5" w:rsidRDefault="008C35E5" w:rsidP="008C35E5">
            <w:pPr>
              <w:pStyle w:val="Tablebodytext"/>
            </w:pPr>
          </w:p>
        </w:tc>
        <w:tc>
          <w:tcPr>
            <w:tcW w:w="992" w:type="dxa"/>
          </w:tcPr>
          <w:p w14:paraId="35E127CE" w14:textId="77777777" w:rsidR="008C35E5" w:rsidRDefault="008C35E5" w:rsidP="001C25AC">
            <w:pPr>
              <w:pStyle w:val="Tablebodytext"/>
              <w:jc w:val="center"/>
            </w:pPr>
          </w:p>
        </w:tc>
        <w:tc>
          <w:tcPr>
            <w:tcW w:w="992" w:type="dxa"/>
          </w:tcPr>
          <w:p w14:paraId="35E127CF" w14:textId="77777777" w:rsidR="008C35E5" w:rsidRDefault="008C35E5" w:rsidP="001C25AC">
            <w:pPr>
              <w:pStyle w:val="Tablebodytext"/>
              <w:jc w:val="center"/>
            </w:pPr>
          </w:p>
        </w:tc>
      </w:tr>
      <w:tr w:rsidR="001C25AC" w:rsidRPr="001C25AC" w14:paraId="35E127D3" w14:textId="77777777" w:rsidTr="00CF51DE">
        <w:trPr>
          <w:cnfStyle w:val="000000010000" w:firstRow="0" w:lastRow="0" w:firstColumn="0" w:lastColumn="0" w:oddVBand="0" w:evenVBand="0" w:oddHBand="0" w:evenHBand="1" w:firstRowFirstColumn="0" w:firstRowLastColumn="0" w:lastRowFirstColumn="0" w:lastRowLastColumn="0"/>
        </w:trPr>
        <w:tc>
          <w:tcPr>
            <w:tcW w:w="6130" w:type="dxa"/>
            <w:gridSpan w:val="4"/>
            <w:shd w:val="clear" w:color="auto" w:fill="005CAF"/>
          </w:tcPr>
          <w:p w14:paraId="35E127D1" w14:textId="77777777" w:rsidR="001C25AC" w:rsidRPr="001C25AC" w:rsidRDefault="001C25AC" w:rsidP="001C25AC">
            <w:pPr>
              <w:pStyle w:val="Tablebodytext"/>
              <w:rPr>
                <w:color w:val="FFFFFF" w:themeColor="background2"/>
              </w:rPr>
            </w:pPr>
            <w:r w:rsidRPr="001C25AC">
              <w:rPr>
                <w:color w:val="FFFFFF" w:themeColor="background2"/>
              </w:rPr>
              <w:t>Panel B: Largest increase in concentration</w:t>
            </w:r>
          </w:p>
        </w:tc>
        <w:tc>
          <w:tcPr>
            <w:tcW w:w="992" w:type="dxa"/>
            <w:shd w:val="clear" w:color="auto" w:fill="005CAF"/>
          </w:tcPr>
          <w:p w14:paraId="35E127D2" w14:textId="77777777" w:rsidR="001C25AC" w:rsidRPr="001C25AC" w:rsidRDefault="001C25AC" w:rsidP="001C25AC">
            <w:pPr>
              <w:pStyle w:val="Tablebodytext"/>
              <w:jc w:val="center"/>
              <w:rPr>
                <w:color w:val="FFFFFF" w:themeColor="background2"/>
              </w:rPr>
            </w:pPr>
          </w:p>
        </w:tc>
      </w:tr>
      <w:tr w:rsidR="001C25AC" w:rsidRPr="001C25AC" w14:paraId="35E127D9"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shd w:val="clear" w:color="auto" w:fill="005CAF"/>
          </w:tcPr>
          <w:p w14:paraId="35E127D4" w14:textId="77777777" w:rsidR="008C35E5" w:rsidRPr="001C25AC" w:rsidRDefault="008C35E5" w:rsidP="001C25AC">
            <w:pPr>
              <w:pStyle w:val="Tablebodytext"/>
              <w:jc w:val="center"/>
              <w:rPr>
                <w:color w:val="FFFFFF" w:themeColor="background2"/>
              </w:rPr>
            </w:pPr>
            <w:r w:rsidRPr="001C25AC">
              <w:rPr>
                <w:color w:val="FFFFFF" w:themeColor="background2"/>
              </w:rPr>
              <w:t>ANZSIC</w:t>
            </w:r>
          </w:p>
        </w:tc>
        <w:tc>
          <w:tcPr>
            <w:tcW w:w="993" w:type="dxa"/>
            <w:shd w:val="clear" w:color="auto" w:fill="005CAF"/>
          </w:tcPr>
          <w:p w14:paraId="35E127D5" w14:textId="77777777" w:rsidR="008C35E5" w:rsidRPr="001C25AC" w:rsidRDefault="008C35E5" w:rsidP="001C25AC">
            <w:pPr>
              <w:pStyle w:val="Tablebodytext"/>
              <w:jc w:val="center"/>
              <w:rPr>
                <w:color w:val="FFFFFF" w:themeColor="background2"/>
              </w:rPr>
            </w:pPr>
            <w:r w:rsidRPr="001C25AC">
              <w:rPr>
                <w:color w:val="FFFFFF" w:themeColor="background2"/>
              </w:rPr>
              <w:t>Division</w:t>
            </w:r>
          </w:p>
        </w:tc>
        <w:tc>
          <w:tcPr>
            <w:tcW w:w="3261" w:type="dxa"/>
            <w:shd w:val="clear" w:color="auto" w:fill="005CAF"/>
          </w:tcPr>
          <w:p w14:paraId="35E127D6" w14:textId="77777777" w:rsidR="008C35E5" w:rsidRPr="001C25AC" w:rsidRDefault="008C35E5" w:rsidP="008C35E5">
            <w:pPr>
              <w:pStyle w:val="Tablebodytext"/>
              <w:rPr>
                <w:color w:val="FFFFFF" w:themeColor="background2"/>
              </w:rPr>
            </w:pPr>
            <w:r w:rsidRPr="001C25AC">
              <w:rPr>
                <w:color w:val="FFFFFF" w:themeColor="background2"/>
              </w:rPr>
              <w:t>Description</w:t>
            </w:r>
          </w:p>
        </w:tc>
        <w:tc>
          <w:tcPr>
            <w:tcW w:w="992" w:type="dxa"/>
            <w:shd w:val="clear" w:color="auto" w:fill="005CAF"/>
          </w:tcPr>
          <w:p w14:paraId="35E127D7" w14:textId="77777777" w:rsidR="008C35E5" w:rsidRPr="001C25AC" w:rsidRDefault="008C35E5" w:rsidP="001C25AC">
            <w:pPr>
              <w:pStyle w:val="Tablebodytext"/>
              <w:jc w:val="center"/>
              <w:rPr>
                <w:color w:val="FFFFFF" w:themeColor="background2"/>
              </w:rPr>
            </w:pPr>
            <w:r w:rsidRPr="001C25AC">
              <w:rPr>
                <w:i/>
                <w:iCs/>
                <w:color w:val="FFFFFF" w:themeColor="background2"/>
              </w:rPr>
              <w:t>H</w:t>
            </w:r>
            <w:r w:rsidRPr="001C25AC">
              <w:rPr>
                <w:color w:val="FFFFFF" w:themeColor="background2"/>
              </w:rPr>
              <w:t>(2002)</w:t>
            </w:r>
          </w:p>
        </w:tc>
        <w:tc>
          <w:tcPr>
            <w:tcW w:w="992" w:type="dxa"/>
            <w:shd w:val="clear" w:color="auto" w:fill="005CAF"/>
          </w:tcPr>
          <w:p w14:paraId="35E127D8" w14:textId="77777777" w:rsidR="008C35E5" w:rsidRPr="001C25AC" w:rsidRDefault="008C35E5" w:rsidP="001C25AC">
            <w:pPr>
              <w:pStyle w:val="Tablebodytext"/>
              <w:jc w:val="center"/>
              <w:rPr>
                <w:color w:val="FFFFFF" w:themeColor="background2"/>
              </w:rPr>
            </w:pPr>
            <w:r w:rsidRPr="001C25AC">
              <w:rPr>
                <w:i/>
                <w:iCs/>
                <w:color w:val="FFFFFF" w:themeColor="background2"/>
              </w:rPr>
              <w:t>H</w:t>
            </w:r>
            <w:r w:rsidRPr="001C25AC">
              <w:rPr>
                <w:color w:val="FFFFFF" w:themeColor="background2"/>
              </w:rPr>
              <w:t>(2016)</w:t>
            </w:r>
          </w:p>
        </w:tc>
      </w:tr>
      <w:tr w:rsidR="001C25AC" w14:paraId="35E127DF" w14:textId="77777777" w:rsidTr="00CF51DE">
        <w:trPr>
          <w:cnfStyle w:val="000000010000" w:firstRow="0" w:lastRow="0" w:firstColumn="0" w:lastColumn="0" w:oddVBand="0" w:evenVBand="0" w:oddHBand="0" w:evenHBand="1" w:firstRowFirstColumn="0" w:firstRowLastColumn="0" w:lastRowFirstColumn="0" w:lastRowLastColumn="0"/>
        </w:trPr>
        <w:tc>
          <w:tcPr>
            <w:tcW w:w="884" w:type="dxa"/>
          </w:tcPr>
          <w:p w14:paraId="35E127DA" w14:textId="77777777" w:rsidR="008C35E5" w:rsidRDefault="008C35E5" w:rsidP="001C25AC">
            <w:pPr>
              <w:pStyle w:val="Tablebodytext"/>
              <w:jc w:val="center"/>
            </w:pPr>
            <w:r>
              <w:t>562</w:t>
            </w:r>
          </w:p>
        </w:tc>
        <w:tc>
          <w:tcPr>
            <w:tcW w:w="993" w:type="dxa"/>
          </w:tcPr>
          <w:p w14:paraId="35E127DB" w14:textId="77777777" w:rsidR="008C35E5" w:rsidRDefault="008C35E5" w:rsidP="001C25AC">
            <w:pPr>
              <w:pStyle w:val="Tablebodytext"/>
              <w:jc w:val="center"/>
            </w:pPr>
            <w:r>
              <w:t>J</w:t>
            </w:r>
          </w:p>
        </w:tc>
        <w:tc>
          <w:tcPr>
            <w:tcW w:w="3261" w:type="dxa"/>
          </w:tcPr>
          <w:p w14:paraId="35E127DC" w14:textId="77777777" w:rsidR="008C35E5" w:rsidRDefault="008C35E5" w:rsidP="008C35E5">
            <w:pPr>
              <w:pStyle w:val="Tablebodytext"/>
            </w:pPr>
            <w:r>
              <w:t>Television Broadcasting</w:t>
            </w:r>
          </w:p>
        </w:tc>
        <w:tc>
          <w:tcPr>
            <w:tcW w:w="992" w:type="dxa"/>
          </w:tcPr>
          <w:p w14:paraId="35E127DD" w14:textId="77777777" w:rsidR="008C35E5" w:rsidRDefault="008C35E5" w:rsidP="001C25AC">
            <w:pPr>
              <w:pStyle w:val="Tablebodytext"/>
              <w:jc w:val="center"/>
            </w:pPr>
            <w:r>
              <w:t>0.124</w:t>
            </w:r>
          </w:p>
        </w:tc>
        <w:tc>
          <w:tcPr>
            <w:tcW w:w="992" w:type="dxa"/>
          </w:tcPr>
          <w:p w14:paraId="35E127DE" w14:textId="77777777" w:rsidR="008C35E5" w:rsidRDefault="008C35E5" w:rsidP="001C25AC">
            <w:pPr>
              <w:pStyle w:val="Tablebodytext"/>
              <w:jc w:val="center"/>
            </w:pPr>
            <w:r>
              <w:t>0.369</w:t>
            </w:r>
          </w:p>
        </w:tc>
      </w:tr>
      <w:tr w:rsidR="001C25AC" w14:paraId="35E127E5"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tcPr>
          <w:p w14:paraId="35E127E0" w14:textId="77777777" w:rsidR="008C35E5" w:rsidRDefault="008C35E5" w:rsidP="001C25AC">
            <w:pPr>
              <w:pStyle w:val="Tablebodytext"/>
              <w:jc w:val="center"/>
            </w:pPr>
            <w:r>
              <w:t>530</w:t>
            </w:r>
          </w:p>
        </w:tc>
        <w:tc>
          <w:tcPr>
            <w:tcW w:w="993" w:type="dxa"/>
          </w:tcPr>
          <w:p w14:paraId="35E127E1" w14:textId="77777777" w:rsidR="008C35E5" w:rsidRDefault="008C35E5" w:rsidP="001C25AC">
            <w:pPr>
              <w:pStyle w:val="Tablebodytext"/>
              <w:jc w:val="center"/>
            </w:pPr>
            <w:r>
              <w:t>I</w:t>
            </w:r>
          </w:p>
        </w:tc>
        <w:tc>
          <w:tcPr>
            <w:tcW w:w="3261" w:type="dxa"/>
          </w:tcPr>
          <w:p w14:paraId="35E127E2" w14:textId="77777777" w:rsidR="008C35E5" w:rsidRDefault="008C35E5" w:rsidP="008C35E5">
            <w:pPr>
              <w:pStyle w:val="Tablebodytext"/>
            </w:pPr>
            <w:r>
              <w:t>Warehousing and Storage Services</w:t>
            </w:r>
          </w:p>
        </w:tc>
        <w:tc>
          <w:tcPr>
            <w:tcW w:w="992" w:type="dxa"/>
          </w:tcPr>
          <w:p w14:paraId="35E127E3" w14:textId="77777777" w:rsidR="008C35E5" w:rsidRDefault="008C35E5" w:rsidP="001C25AC">
            <w:pPr>
              <w:pStyle w:val="Tablebodytext"/>
              <w:jc w:val="center"/>
            </w:pPr>
            <w:r>
              <w:t>0.055</w:t>
            </w:r>
          </w:p>
        </w:tc>
        <w:tc>
          <w:tcPr>
            <w:tcW w:w="992" w:type="dxa"/>
          </w:tcPr>
          <w:p w14:paraId="35E127E4" w14:textId="77777777" w:rsidR="008C35E5" w:rsidRDefault="008C35E5" w:rsidP="001C25AC">
            <w:pPr>
              <w:pStyle w:val="Tablebodytext"/>
              <w:jc w:val="center"/>
            </w:pPr>
            <w:r>
              <w:t>0.315</w:t>
            </w:r>
          </w:p>
        </w:tc>
      </w:tr>
      <w:tr w:rsidR="001C25AC" w14:paraId="35E127EB" w14:textId="77777777" w:rsidTr="00CF51DE">
        <w:trPr>
          <w:cnfStyle w:val="000000010000" w:firstRow="0" w:lastRow="0" w:firstColumn="0" w:lastColumn="0" w:oddVBand="0" w:evenVBand="0" w:oddHBand="0" w:evenHBand="1" w:firstRowFirstColumn="0" w:firstRowLastColumn="0" w:lastRowFirstColumn="0" w:lastRowLastColumn="0"/>
        </w:trPr>
        <w:tc>
          <w:tcPr>
            <w:tcW w:w="884" w:type="dxa"/>
          </w:tcPr>
          <w:p w14:paraId="35E127E6" w14:textId="77777777" w:rsidR="008C35E5" w:rsidRDefault="008C35E5" w:rsidP="001C25AC">
            <w:pPr>
              <w:pStyle w:val="Tablebodytext"/>
              <w:jc w:val="center"/>
            </w:pPr>
            <w:r>
              <w:t>259</w:t>
            </w:r>
          </w:p>
        </w:tc>
        <w:tc>
          <w:tcPr>
            <w:tcW w:w="993" w:type="dxa"/>
          </w:tcPr>
          <w:p w14:paraId="35E127E7" w14:textId="77777777" w:rsidR="008C35E5" w:rsidRDefault="008C35E5" w:rsidP="001C25AC">
            <w:pPr>
              <w:pStyle w:val="Tablebodytext"/>
              <w:jc w:val="center"/>
            </w:pPr>
            <w:r>
              <w:t>C</w:t>
            </w:r>
          </w:p>
        </w:tc>
        <w:tc>
          <w:tcPr>
            <w:tcW w:w="3261" w:type="dxa"/>
          </w:tcPr>
          <w:p w14:paraId="35E127E8" w14:textId="77777777" w:rsidR="008C35E5" w:rsidRDefault="008C35E5" w:rsidP="008C35E5">
            <w:pPr>
              <w:pStyle w:val="Tablebodytext"/>
            </w:pPr>
            <w:r>
              <w:t>Other Manufacturing</w:t>
            </w:r>
          </w:p>
        </w:tc>
        <w:tc>
          <w:tcPr>
            <w:tcW w:w="992" w:type="dxa"/>
          </w:tcPr>
          <w:p w14:paraId="35E127E9" w14:textId="77777777" w:rsidR="008C35E5" w:rsidRDefault="008C35E5" w:rsidP="001C25AC">
            <w:pPr>
              <w:pStyle w:val="Tablebodytext"/>
              <w:jc w:val="center"/>
            </w:pPr>
            <w:r>
              <w:t>0.301</w:t>
            </w:r>
          </w:p>
        </w:tc>
        <w:tc>
          <w:tcPr>
            <w:tcW w:w="992" w:type="dxa"/>
          </w:tcPr>
          <w:p w14:paraId="35E127EA" w14:textId="77777777" w:rsidR="008C35E5" w:rsidRDefault="008C35E5" w:rsidP="001C25AC">
            <w:pPr>
              <w:pStyle w:val="Tablebodytext"/>
              <w:jc w:val="center"/>
            </w:pPr>
            <w:r>
              <w:t>0.727</w:t>
            </w:r>
          </w:p>
        </w:tc>
      </w:tr>
      <w:tr w:rsidR="001C25AC" w14:paraId="35E127F1"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tcPr>
          <w:p w14:paraId="35E127EC" w14:textId="77777777" w:rsidR="008C35E5" w:rsidRDefault="008C35E5" w:rsidP="001C25AC">
            <w:pPr>
              <w:pStyle w:val="Tablebodytext"/>
              <w:jc w:val="center"/>
            </w:pPr>
            <w:r>
              <w:t>694</w:t>
            </w:r>
          </w:p>
        </w:tc>
        <w:tc>
          <w:tcPr>
            <w:tcW w:w="993" w:type="dxa"/>
          </w:tcPr>
          <w:p w14:paraId="35E127ED" w14:textId="77777777" w:rsidR="008C35E5" w:rsidRDefault="008C35E5" w:rsidP="001C25AC">
            <w:pPr>
              <w:pStyle w:val="Tablebodytext"/>
              <w:jc w:val="center"/>
            </w:pPr>
            <w:r>
              <w:t>M</w:t>
            </w:r>
          </w:p>
        </w:tc>
        <w:tc>
          <w:tcPr>
            <w:tcW w:w="3261" w:type="dxa"/>
          </w:tcPr>
          <w:p w14:paraId="35E127EE" w14:textId="77777777" w:rsidR="008C35E5" w:rsidRDefault="008C35E5" w:rsidP="008C35E5">
            <w:pPr>
              <w:pStyle w:val="Tablebodytext"/>
            </w:pPr>
            <w:r>
              <w:t>Advertising Services</w:t>
            </w:r>
          </w:p>
        </w:tc>
        <w:tc>
          <w:tcPr>
            <w:tcW w:w="992" w:type="dxa"/>
          </w:tcPr>
          <w:p w14:paraId="35E127EF" w14:textId="77777777" w:rsidR="008C35E5" w:rsidRDefault="008C35E5" w:rsidP="001C25AC">
            <w:pPr>
              <w:pStyle w:val="Tablebodytext"/>
              <w:jc w:val="center"/>
            </w:pPr>
            <w:r>
              <w:t>0.012</w:t>
            </w:r>
          </w:p>
        </w:tc>
        <w:tc>
          <w:tcPr>
            <w:tcW w:w="992" w:type="dxa"/>
          </w:tcPr>
          <w:p w14:paraId="35E127F0" w14:textId="77777777" w:rsidR="008C35E5" w:rsidRDefault="008C35E5" w:rsidP="001C25AC">
            <w:pPr>
              <w:pStyle w:val="Tablebodytext"/>
              <w:jc w:val="center"/>
            </w:pPr>
            <w:r>
              <w:t>0.456</w:t>
            </w:r>
          </w:p>
        </w:tc>
      </w:tr>
      <w:tr w:rsidR="001C25AC" w14:paraId="35E127F7" w14:textId="77777777" w:rsidTr="00CF51DE">
        <w:trPr>
          <w:cnfStyle w:val="000000010000" w:firstRow="0" w:lastRow="0" w:firstColumn="0" w:lastColumn="0" w:oddVBand="0" w:evenVBand="0" w:oddHBand="0" w:evenHBand="1" w:firstRowFirstColumn="0" w:firstRowLastColumn="0" w:lastRowFirstColumn="0" w:lastRowLastColumn="0"/>
        </w:trPr>
        <w:tc>
          <w:tcPr>
            <w:tcW w:w="884" w:type="dxa"/>
          </w:tcPr>
          <w:p w14:paraId="35E127F2" w14:textId="77777777" w:rsidR="008C35E5" w:rsidRDefault="008C35E5" w:rsidP="001C25AC">
            <w:pPr>
              <w:pStyle w:val="Tablebodytext"/>
              <w:jc w:val="center"/>
            </w:pPr>
            <w:r>
              <w:t>161</w:t>
            </w:r>
          </w:p>
        </w:tc>
        <w:tc>
          <w:tcPr>
            <w:tcW w:w="993" w:type="dxa"/>
          </w:tcPr>
          <w:p w14:paraId="35E127F3" w14:textId="77777777" w:rsidR="008C35E5" w:rsidRDefault="008C35E5" w:rsidP="001C25AC">
            <w:pPr>
              <w:pStyle w:val="Tablebodytext"/>
              <w:jc w:val="center"/>
            </w:pPr>
            <w:r>
              <w:t>C</w:t>
            </w:r>
          </w:p>
        </w:tc>
        <w:tc>
          <w:tcPr>
            <w:tcW w:w="3261" w:type="dxa"/>
          </w:tcPr>
          <w:p w14:paraId="35E127F4" w14:textId="77777777" w:rsidR="008C35E5" w:rsidRDefault="008C35E5" w:rsidP="008C35E5">
            <w:pPr>
              <w:pStyle w:val="Tablebodytext"/>
            </w:pPr>
            <w:r>
              <w:t>Printing and Support Services</w:t>
            </w:r>
          </w:p>
        </w:tc>
        <w:tc>
          <w:tcPr>
            <w:tcW w:w="992" w:type="dxa"/>
          </w:tcPr>
          <w:p w14:paraId="35E127F5" w14:textId="77777777" w:rsidR="008C35E5" w:rsidRDefault="008C35E5" w:rsidP="001C25AC">
            <w:pPr>
              <w:pStyle w:val="Tablebodytext"/>
              <w:jc w:val="center"/>
            </w:pPr>
            <w:r>
              <w:t>0.016</w:t>
            </w:r>
          </w:p>
        </w:tc>
        <w:tc>
          <w:tcPr>
            <w:tcW w:w="992" w:type="dxa"/>
          </w:tcPr>
          <w:p w14:paraId="35E127F6" w14:textId="77777777" w:rsidR="008C35E5" w:rsidRDefault="008C35E5" w:rsidP="001C25AC">
            <w:pPr>
              <w:pStyle w:val="Tablebodytext"/>
              <w:jc w:val="center"/>
            </w:pPr>
            <w:r>
              <w:t>0.912</w:t>
            </w:r>
          </w:p>
        </w:tc>
      </w:tr>
      <w:tr w:rsidR="001C25AC" w14:paraId="35E127FD"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tcPr>
          <w:p w14:paraId="35E127F8" w14:textId="77777777" w:rsidR="001C25AC" w:rsidRDefault="001C25AC" w:rsidP="001C25AC">
            <w:pPr>
              <w:pStyle w:val="Tablebodytext"/>
              <w:jc w:val="center"/>
            </w:pPr>
          </w:p>
        </w:tc>
        <w:tc>
          <w:tcPr>
            <w:tcW w:w="993" w:type="dxa"/>
          </w:tcPr>
          <w:p w14:paraId="35E127F9" w14:textId="77777777" w:rsidR="001C25AC" w:rsidRDefault="001C25AC" w:rsidP="001C25AC">
            <w:pPr>
              <w:pStyle w:val="Tablebodytext"/>
              <w:jc w:val="center"/>
            </w:pPr>
          </w:p>
        </w:tc>
        <w:tc>
          <w:tcPr>
            <w:tcW w:w="3261" w:type="dxa"/>
          </w:tcPr>
          <w:p w14:paraId="35E127FA" w14:textId="77777777" w:rsidR="001C25AC" w:rsidRDefault="001C25AC" w:rsidP="008C35E5">
            <w:pPr>
              <w:pStyle w:val="Tablebodytext"/>
            </w:pPr>
          </w:p>
        </w:tc>
        <w:tc>
          <w:tcPr>
            <w:tcW w:w="992" w:type="dxa"/>
          </w:tcPr>
          <w:p w14:paraId="35E127FB" w14:textId="77777777" w:rsidR="001C25AC" w:rsidRDefault="001C25AC" w:rsidP="001C25AC">
            <w:pPr>
              <w:pStyle w:val="Tablebodytext"/>
              <w:jc w:val="center"/>
            </w:pPr>
          </w:p>
        </w:tc>
        <w:tc>
          <w:tcPr>
            <w:tcW w:w="992" w:type="dxa"/>
          </w:tcPr>
          <w:p w14:paraId="35E127FC" w14:textId="77777777" w:rsidR="001C25AC" w:rsidRDefault="001C25AC" w:rsidP="001C25AC">
            <w:pPr>
              <w:pStyle w:val="Tablebodytext"/>
              <w:jc w:val="center"/>
            </w:pPr>
          </w:p>
        </w:tc>
      </w:tr>
      <w:tr w:rsidR="001C25AC" w:rsidRPr="001C25AC" w14:paraId="35E12800" w14:textId="77777777" w:rsidTr="00CF51DE">
        <w:trPr>
          <w:cnfStyle w:val="000000010000" w:firstRow="0" w:lastRow="0" w:firstColumn="0" w:lastColumn="0" w:oddVBand="0" w:evenVBand="0" w:oddHBand="0" w:evenHBand="1" w:firstRowFirstColumn="0" w:firstRowLastColumn="0" w:lastRowFirstColumn="0" w:lastRowLastColumn="0"/>
        </w:trPr>
        <w:tc>
          <w:tcPr>
            <w:tcW w:w="6130" w:type="dxa"/>
            <w:gridSpan w:val="4"/>
            <w:shd w:val="clear" w:color="auto" w:fill="005CAF"/>
          </w:tcPr>
          <w:p w14:paraId="35E127FE" w14:textId="77777777" w:rsidR="001C25AC" w:rsidRPr="001C25AC" w:rsidRDefault="001C25AC" w:rsidP="001C25AC">
            <w:pPr>
              <w:pStyle w:val="Tablebodytext"/>
              <w:rPr>
                <w:color w:val="FFFFFF" w:themeColor="background2"/>
              </w:rPr>
            </w:pPr>
            <w:r w:rsidRPr="001C25AC">
              <w:rPr>
                <w:color w:val="FFFFFF" w:themeColor="background2"/>
              </w:rPr>
              <w:t>Panel C: Smallest change in concentration</w:t>
            </w:r>
          </w:p>
        </w:tc>
        <w:tc>
          <w:tcPr>
            <w:tcW w:w="992" w:type="dxa"/>
            <w:shd w:val="clear" w:color="auto" w:fill="005CAF"/>
          </w:tcPr>
          <w:p w14:paraId="35E127FF" w14:textId="77777777" w:rsidR="001C25AC" w:rsidRPr="001C25AC" w:rsidRDefault="001C25AC" w:rsidP="001C25AC">
            <w:pPr>
              <w:pStyle w:val="Tablebodytext"/>
              <w:jc w:val="center"/>
              <w:rPr>
                <w:color w:val="FFFFFF" w:themeColor="background2"/>
              </w:rPr>
            </w:pPr>
          </w:p>
        </w:tc>
      </w:tr>
      <w:tr w:rsidR="001C25AC" w:rsidRPr="001C25AC" w14:paraId="35E12806"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shd w:val="clear" w:color="auto" w:fill="005CAF"/>
          </w:tcPr>
          <w:p w14:paraId="35E12801" w14:textId="77777777" w:rsidR="008C35E5" w:rsidRPr="001C25AC" w:rsidRDefault="008C35E5" w:rsidP="001C25AC">
            <w:pPr>
              <w:pStyle w:val="Tablebodytext"/>
              <w:jc w:val="center"/>
              <w:rPr>
                <w:color w:val="FFFFFF" w:themeColor="background2"/>
              </w:rPr>
            </w:pPr>
            <w:r w:rsidRPr="001C25AC">
              <w:rPr>
                <w:color w:val="FFFFFF" w:themeColor="background2"/>
              </w:rPr>
              <w:t>ANZSIC</w:t>
            </w:r>
          </w:p>
        </w:tc>
        <w:tc>
          <w:tcPr>
            <w:tcW w:w="993" w:type="dxa"/>
            <w:shd w:val="clear" w:color="auto" w:fill="005CAF"/>
          </w:tcPr>
          <w:p w14:paraId="35E12802" w14:textId="77777777" w:rsidR="008C35E5" w:rsidRPr="001C25AC" w:rsidRDefault="008C35E5" w:rsidP="001C25AC">
            <w:pPr>
              <w:pStyle w:val="Tablebodytext"/>
              <w:jc w:val="center"/>
              <w:rPr>
                <w:color w:val="FFFFFF" w:themeColor="background2"/>
              </w:rPr>
            </w:pPr>
            <w:r w:rsidRPr="001C25AC">
              <w:rPr>
                <w:color w:val="FFFFFF" w:themeColor="background2"/>
              </w:rPr>
              <w:t>Division</w:t>
            </w:r>
          </w:p>
        </w:tc>
        <w:tc>
          <w:tcPr>
            <w:tcW w:w="3261" w:type="dxa"/>
            <w:shd w:val="clear" w:color="auto" w:fill="005CAF"/>
          </w:tcPr>
          <w:p w14:paraId="35E12803" w14:textId="77777777" w:rsidR="008C35E5" w:rsidRPr="001C25AC" w:rsidRDefault="008C35E5" w:rsidP="008C35E5">
            <w:pPr>
              <w:pStyle w:val="Tablebodytext"/>
              <w:rPr>
                <w:color w:val="FFFFFF" w:themeColor="background2"/>
              </w:rPr>
            </w:pPr>
            <w:r w:rsidRPr="001C25AC">
              <w:rPr>
                <w:color w:val="FFFFFF" w:themeColor="background2"/>
              </w:rPr>
              <w:t>Description</w:t>
            </w:r>
          </w:p>
        </w:tc>
        <w:tc>
          <w:tcPr>
            <w:tcW w:w="992" w:type="dxa"/>
            <w:shd w:val="clear" w:color="auto" w:fill="005CAF"/>
          </w:tcPr>
          <w:p w14:paraId="35E12804" w14:textId="77777777" w:rsidR="008C35E5" w:rsidRPr="001C25AC" w:rsidRDefault="008C35E5" w:rsidP="001C25AC">
            <w:pPr>
              <w:pStyle w:val="Tablebodytext"/>
              <w:jc w:val="center"/>
              <w:rPr>
                <w:color w:val="FFFFFF" w:themeColor="background2"/>
              </w:rPr>
            </w:pPr>
            <w:r w:rsidRPr="001C25AC">
              <w:rPr>
                <w:i/>
                <w:iCs/>
                <w:color w:val="FFFFFF" w:themeColor="background2"/>
              </w:rPr>
              <w:t>H</w:t>
            </w:r>
            <w:r w:rsidRPr="001C25AC">
              <w:rPr>
                <w:color w:val="FFFFFF" w:themeColor="background2"/>
              </w:rPr>
              <w:t>(2002)</w:t>
            </w:r>
          </w:p>
        </w:tc>
        <w:tc>
          <w:tcPr>
            <w:tcW w:w="992" w:type="dxa"/>
            <w:shd w:val="clear" w:color="auto" w:fill="005CAF"/>
          </w:tcPr>
          <w:p w14:paraId="35E12805" w14:textId="77777777" w:rsidR="008C35E5" w:rsidRPr="001C25AC" w:rsidRDefault="008C35E5" w:rsidP="001C25AC">
            <w:pPr>
              <w:pStyle w:val="Tablebodytext"/>
              <w:jc w:val="center"/>
              <w:rPr>
                <w:color w:val="FFFFFF" w:themeColor="background2"/>
              </w:rPr>
            </w:pPr>
            <w:r w:rsidRPr="001C25AC">
              <w:rPr>
                <w:i/>
                <w:iCs/>
                <w:color w:val="FFFFFF" w:themeColor="background2"/>
              </w:rPr>
              <w:t>H</w:t>
            </w:r>
            <w:r w:rsidRPr="001C25AC">
              <w:rPr>
                <w:color w:val="FFFFFF" w:themeColor="background2"/>
              </w:rPr>
              <w:t>(2016)</w:t>
            </w:r>
          </w:p>
        </w:tc>
      </w:tr>
      <w:tr w:rsidR="001C25AC" w14:paraId="35E1280C" w14:textId="77777777" w:rsidTr="00CF51DE">
        <w:trPr>
          <w:cnfStyle w:val="000000010000" w:firstRow="0" w:lastRow="0" w:firstColumn="0" w:lastColumn="0" w:oddVBand="0" w:evenVBand="0" w:oddHBand="0" w:evenHBand="1" w:firstRowFirstColumn="0" w:firstRowLastColumn="0" w:lastRowFirstColumn="0" w:lastRowLastColumn="0"/>
        </w:trPr>
        <w:tc>
          <w:tcPr>
            <w:tcW w:w="884" w:type="dxa"/>
          </w:tcPr>
          <w:p w14:paraId="35E12807" w14:textId="77777777" w:rsidR="008C35E5" w:rsidRDefault="008C35E5" w:rsidP="001C25AC">
            <w:pPr>
              <w:pStyle w:val="Tablebodytext"/>
              <w:jc w:val="center"/>
            </w:pPr>
            <w:r>
              <w:t>301</w:t>
            </w:r>
          </w:p>
        </w:tc>
        <w:tc>
          <w:tcPr>
            <w:tcW w:w="993" w:type="dxa"/>
          </w:tcPr>
          <w:p w14:paraId="35E12808" w14:textId="77777777" w:rsidR="008C35E5" w:rsidRDefault="008C35E5" w:rsidP="001C25AC">
            <w:pPr>
              <w:pStyle w:val="Tablebodytext"/>
              <w:jc w:val="center"/>
            </w:pPr>
            <w:r>
              <w:t>E</w:t>
            </w:r>
          </w:p>
        </w:tc>
        <w:tc>
          <w:tcPr>
            <w:tcW w:w="3261" w:type="dxa"/>
          </w:tcPr>
          <w:p w14:paraId="35E12809" w14:textId="77777777" w:rsidR="008C35E5" w:rsidRDefault="008C35E5" w:rsidP="008C35E5">
            <w:pPr>
              <w:pStyle w:val="Tablebodytext"/>
            </w:pPr>
            <w:r>
              <w:t>Residential Building Construction</w:t>
            </w:r>
          </w:p>
        </w:tc>
        <w:tc>
          <w:tcPr>
            <w:tcW w:w="992" w:type="dxa"/>
          </w:tcPr>
          <w:p w14:paraId="35E1280A" w14:textId="77777777" w:rsidR="008C35E5" w:rsidRDefault="008C35E5" w:rsidP="001C25AC">
            <w:pPr>
              <w:pStyle w:val="Tablebodytext"/>
              <w:jc w:val="center"/>
            </w:pPr>
            <w:r>
              <w:t>0.002</w:t>
            </w:r>
          </w:p>
        </w:tc>
        <w:tc>
          <w:tcPr>
            <w:tcW w:w="992" w:type="dxa"/>
          </w:tcPr>
          <w:p w14:paraId="35E1280B" w14:textId="77777777" w:rsidR="008C35E5" w:rsidRDefault="008C35E5" w:rsidP="001C25AC">
            <w:pPr>
              <w:pStyle w:val="Tablebodytext"/>
              <w:jc w:val="center"/>
            </w:pPr>
            <w:r>
              <w:t>0.002</w:t>
            </w:r>
          </w:p>
        </w:tc>
      </w:tr>
      <w:tr w:rsidR="001C25AC" w14:paraId="35E12812"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tcPr>
          <w:p w14:paraId="35E1280D" w14:textId="77777777" w:rsidR="008C35E5" w:rsidRDefault="008C35E5" w:rsidP="001C25AC">
            <w:pPr>
              <w:pStyle w:val="Tablebodytext"/>
              <w:jc w:val="center"/>
            </w:pPr>
            <w:r>
              <w:t>329</w:t>
            </w:r>
          </w:p>
        </w:tc>
        <w:tc>
          <w:tcPr>
            <w:tcW w:w="993" w:type="dxa"/>
          </w:tcPr>
          <w:p w14:paraId="35E1280E" w14:textId="77777777" w:rsidR="008C35E5" w:rsidRDefault="008C35E5" w:rsidP="001C25AC">
            <w:pPr>
              <w:pStyle w:val="Tablebodytext"/>
              <w:jc w:val="center"/>
            </w:pPr>
            <w:r>
              <w:t>E</w:t>
            </w:r>
          </w:p>
        </w:tc>
        <w:tc>
          <w:tcPr>
            <w:tcW w:w="3261" w:type="dxa"/>
          </w:tcPr>
          <w:p w14:paraId="35E1280F" w14:textId="77777777" w:rsidR="008C35E5" w:rsidRDefault="008C35E5" w:rsidP="008C35E5">
            <w:pPr>
              <w:pStyle w:val="Tablebodytext"/>
            </w:pPr>
            <w:r>
              <w:t>Other Construction Services</w:t>
            </w:r>
          </w:p>
        </w:tc>
        <w:tc>
          <w:tcPr>
            <w:tcW w:w="992" w:type="dxa"/>
          </w:tcPr>
          <w:p w14:paraId="35E12810" w14:textId="77777777" w:rsidR="008C35E5" w:rsidRDefault="008C35E5" w:rsidP="001C25AC">
            <w:pPr>
              <w:pStyle w:val="Tablebodytext"/>
              <w:jc w:val="center"/>
            </w:pPr>
            <w:r>
              <w:t>0.001</w:t>
            </w:r>
          </w:p>
        </w:tc>
        <w:tc>
          <w:tcPr>
            <w:tcW w:w="992" w:type="dxa"/>
          </w:tcPr>
          <w:p w14:paraId="35E12811" w14:textId="77777777" w:rsidR="008C35E5" w:rsidRDefault="008C35E5" w:rsidP="001C25AC">
            <w:pPr>
              <w:pStyle w:val="Tablebodytext"/>
              <w:jc w:val="center"/>
            </w:pPr>
            <w:r>
              <w:t>0.001</w:t>
            </w:r>
          </w:p>
        </w:tc>
      </w:tr>
      <w:tr w:rsidR="001C25AC" w14:paraId="35E12818" w14:textId="77777777" w:rsidTr="00CF51DE">
        <w:trPr>
          <w:cnfStyle w:val="000000010000" w:firstRow="0" w:lastRow="0" w:firstColumn="0" w:lastColumn="0" w:oddVBand="0" w:evenVBand="0" w:oddHBand="0" w:evenHBand="1" w:firstRowFirstColumn="0" w:firstRowLastColumn="0" w:lastRowFirstColumn="0" w:lastRowLastColumn="0"/>
        </w:trPr>
        <w:tc>
          <w:tcPr>
            <w:tcW w:w="884" w:type="dxa"/>
          </w:tcPr>
          <w:p w14:paraId="35E12813" w14:textId="77777777" w:rsidR="008C35E5" w:rsidRDefault="008C35E5" w:rsidP="001C25AC">
            <w:pPr>
              <w:pStyle w:val="Tablebodytext"/>
              <w:jc w:val="center"/>
            </w:pPr>
            <w:r>
              <w:t>322</w:t>
            </w:r>
          </w:p>
        </w:tc>
        <w:tc>
          <w:tcPr>
            <w:tcW w:w="993" w:type="dxa"/>
          </w:tcPr>
          <w:p w14:paraId="35E12814" w14:textId="77777777" w:rsidR="008C35E5" w:rsidRDefault="008C35E5" w:rsidP="001C25AC">
            <w:pPr>
              <w:pStyle w:val="Tablebodytext"/>
              <w:jc w:val="center"/>
            </w:pPr>
            <w:r>
              <w:t>E</w:t>
            </w:r>
          </w:p>
        </w:tc>
        <w:tc>
          <w:tcPr>
            <w:tcW w:w="3261" w:type="dxa"/>
          </w:tcPr>
          <w:p w14:paraId="35E12815" w14:textId="77777777" w:rsidR="008C35E5" w:rsidRDefault="008C35E5" w:rsidP="008C35E5">
            <w:pPr>
              <w:pStyle w:val="Tablebodytext"/>
            </w:pPr>
            <w:r>
              <w:t>Building Structure Services</w:t>
            </w:r>
          </w:p>
        </w:tc>
        <w:tc>
          <w:tcPr>
            <w:tcW w:w="992" w:type="dxa"/>
          </w:tcPr>
          <w:p w14:paraId="35E12816" w14:textId="77777777" w:rsidR="008C35E5" w:rsidRDefault="008C35E5" w:rsidP="001C25AC">
            <w:pPr>
              <w:pStyle w:val="Tablebodytext"/>
              <w:jc w:val="center"/>
            </w:pPr>
            <w:r>
              <w:t>0.001</w:t>
            </w:r>
          </w:p>
        </w:tc>
        <w:tc>
          <w:tcPr>
            <w:tcW w:w="992" w:type="dxa"/>
          </w:tcPr>
          <w:p w14:paraId="35E12817" w14:textId="77777777" w:rsidR="008C35E5" w:rsidRDefault="008C35E5" w:rsidP="001C25AC">
            <w:pPr>
              <w:pStyle w:val="Tablebodytext"/>
              <w:jc w:val="center"/>
            </w:pPr>
            <w:r>
              <w:t>0.001</w:t>
            </w:r>
          </w:p>
        </w:tc>
      </w:tr>
      <w:tr w:rsidR="001C25AC" w14:paraId="35E1281E" w14:textId="77777777" w:rsidTr="00CF51DE">
        <w:trPr>
          <w:cnfStyle w:val="000000100000" w:firstRow="0" w:lastRow="0" w:firstColumn="0" w:lastColumn="0" w:oddVBand="0" w:evenVBand="0" w:oddHBand="1" w:evenHBand="0" w:firstRowFirstColumn="0" w:firstRowLastColumn="0" w:lastRowFirstColumn="0" w:lastRowLastColumn="0"/>
        </w:trPr>
        <w:tc>
          <w:tcPr>
            <w:tcW w:w="884" w:type="dxa"/>
          </w:tcPr>
          <w:p w14:paraId="35E12819" w14:textId="77777777" w:rsidR="008C35E5" w:rsidRDefault="008C35E5" w:rsidP="001C25AC">
            <w:pPr>
              <w:pStyle w:val="Tablebodytext"/>
              <w:jc w:val="center"/>
            </w:pPr>
            <w:r>
              <w:t>462</w:t>
            </w:r>
          </w:p>
        </w:tc>
        <w:tc>
          <w:tcPr>
            <w:tcW w:w="993" w:type="dxa"/>
          </w:tcPr>
          <w:p w14:paraId="35E1281A" w14:textId="77777777" w:rsidR="008C35E5" w:rsidRDefault="008C35E5" w:rsidP="001C25AC">
            <w:pPr>
              <w:pStyle w:val="Tablebodytext"/>
              <w:jc w:val="center"/>
            </w:pPr>
            <w:r>
              <w:t>I</w:t>
            </w:r>
          </w:p>
        </w:tc>
        <w:tc>
          <w:tcPr>
            <w:tcW w:w="3261" w:type="dxa"/>
          </w:tcPr>
          <w:p w14:paraId="35E1281B" w14:textId="77777777" w:rsidR="008C35E5" w:rsidRDefault="008C35E5" w:rsidP="008C35E5">
            <w:pPr>
              <w:pStyle w:val="Tablebodytext"/>
            </w:pPr>
            <w:r>
              <w:t>Road Passenger Transport</w:t>
            </w:r>
          </w:p>
        </w:tc>
        <w:tc>
          <w:tcPr>
            <w:tcW w:w="992" w:type="dxa"/>
          </w:tcPr>
          <w:p w14:paraId="35E1281C" w14:textId="77777777" w:rsidR="008C35E5" w:rsidRDefault="008C35E5" w:rsidP="001C25AC">
            <w:pPr>
              <w:pStyle w:val="Tablebodytext"/>
              <w:jc w:val="center"/>
            </w:pPr>
            <w:r>
              <w:t>0.013</w:t>
            </w:r>
          </w:p>
        </w:tc>
        <w:tc>
          <w:tcPr>
            <w:tcW w:w="992" w:type="dxa"/>
          </w:tcPr>
          <w:p w14:paraId="35E1281D" w14:textId="77777777" w:rsidR="008C35E5" w:rsidRDefault="008C35E5" w:rsidP="001C25AC">
            <w:pPr>
              <w:pStyle w:val="Tablebodytext"/>
              <w:jc w:val="center"/>
            </w:pPr>
            <w:r>
              <w:t>0.014</w:t>
            </w:r>
          </w:p>
        </w:tc>
      </w:tr>
      <w:tr w:rsidR="001C25AC" w14:paraId="35E12824" w14:textId="77777777" w:rsidTr="00CF51DE">
        <w:trPr>
          <w:cnfStyle w:val="000000010000" w:firstRow="0" w:lastRow="0" w:firstColumn="0" w:lastColumn="0" w:oddVBand="0" w:evenVBand="0" w:oddHBand="0" w:evenHBand="1" w:firstRowFirstColumn="0" w:firstRowLastColumn="0" w:lastRowFirstColumn="0" w:lastRowLastColumn="0"/>
        </w:trPr>
        <w:tc>
          <w:tcPr>
            <w:tcW w:w="884" w:type="dxa"/>
          </w:tcPr>
          <w:p w14:paraId="35E1281F" w14:textId="77777777" w:rsidR="008C35E5" w:rsidRDefault="008C35E5" w:rsidP="001C25AC">
            <w:pPr>
              <w:pStyle w:val="Tablebodytext"/>
              <w:jc w:val="center"/>
            </w:pPr>
            <w:r>
              <w:t>113</w:t>
            </w:r>
          </w:p>
        </w:tc>
        <w:tc>
          <w:tcPr>
            <w:tcW w:w="993" w:type="dxa"/>
          </w:tcPr>
          <w:p w14:paraId="35E12820" w14:textId="77777777" w:rsidR="008C35E5" w:rsidRDefault="008C35E5" w:rsidP="001C25AC">
            <w:pPr>
              <w:pStyle w:val="Tablebodytext"/>
              <w:jc w:val="center"/>
            </w:pPr>
            <w:r>
              <w:t>A</w:t>
            </w:r>
          </w:p>
        </w:tc>
        <w:tc>
          <w:tcPr>
            <w:tcW w:w="3261" w:type="dxa"/>
          </w:tcPr>
          <w:p w14:paraId="35E12821" w14:textId="77777777" w:rsidR="008C35E5" w:rsidRDefault="008C35E5" w:rsidP="008C35E5">
            <w:pPr>
              <w:pStyle w:val="Tablebodytext"/>
            </w:pPr>
            <w:r>
              <w:t>Dairy Product Manufacturing</w:t>
            </w:r>
          </w:p>
        </w:tc>
        <w:tc>
          <w:tcPr>
            <w:tcW w:w="992" w:type="dxa"/>
          </w:tcPr>
          <w:p w14:paraId="35E12822" w14:textId="77777777" w:rsidR="008C35E5" w:rsidRDefault="008C35E5" w:rsidP="001C25AC">
            <w:pPr>
              <w:pStyle w:val="Tablebodytext"/>
              <w:jc w:val="center"/>
            </w:pPr>
            <w:r>
              <w:t>0.093</w:t>
            </w:r>
          </w:p>
        </w:tc>
        <w:tc>
          <w:tcPr>
            <w:tcW w:w="992" w:type="dxa"/>
          </w:tcPr>
          <w:p w14:paraId="35E12823" w14:textId="77777777" w:rsidR="008C35E5" w:rsidRDefault="008C35E5" w:rsidP="001C25AC">
            <w:pPr>
              <w:pStyle w:val="Tablebodytext"/>
              <w:jc w:val="center"/>
            </w:pPr>
            <w:r>
              <w:t>0.094</w:t>
            </w:r>
          </w:p>
        </w:tc>
      </w:tr>
    </w:tbl>
    <w:p w14:paraId="35E12825" w14:textId="77777777" w:rsidR="00CF51DE" w:rsidRPr="00C62F3A" w:rsidRDefault="00CF51DE" w:rsidP="00E63064">
      <w:pPr>
        <w:pStyle w:val="Note"/>
      </w:pPr>
      <w:r>
        <w:t>Notes: Industries with fewer than 10 firms are excluded for confidentiality protection.</w:t>
      </w:r>
    </w:p>
    <w:p w14:paraId="35E12826" w14:textId="77777777" w:rsidR="00CF51DE" w:rsidRDefault="00CF51DE" w:rsidP="00E63064">
      <w:pPr>
        <w:pStyle w:val="Source"/>
      </w:pPr>
      <w:r>
        <w:t>Source: Department of Industry, Innovation and Science (2019)</w:t>
      </w:r>
    </w:p>
    <w:p w14:paraId="35E12827" w14:textId="77777777" w:rsidR="00B64EE0" w:rsidRDefault="00B64EE0" w:rsidP="00F05816">
      <w:pPr>
        <w:spacing w:before="240" w:line="270" w:lineRule="exact"/>
        <w:ind w:left="0"/>
      </w:pPr>
      <w:r>
        <w:t>Each panel in the table includes a variety of industry divisions. Most industries that experienced a very small change in HHI are from Construction (Division E). The same observation can be made in Figure </w:t>
      </w:r>
      <w:r w:rsidR="007202F0">
        <w:t>4.4</w:t>
      </w:r>
      <w:r>
        <w:t xml:space="preserve"> where Construction practically lies on the 45 degree line.</w:t>
      </w:r>
    </w:p>
    <w:p w14:paraId="35E12828" w14:textId="14CC5C20" w:rsidR="00B64EE0" w:rsidRDefault="00B64EE0" w:rsidP="00F05816">
      <w:pPr>
        <w:spacing w:line="270" w:lineRule="exact"/>
        <w:ind w:left="0"/>
      </w:pPr>
      <w:r>
        <w:t>Two of the industries with the largest drop in HHI are from Information Media and Telecommunication (Division J). Conversely, two of the industries with the largest increase in HHI are from Manufacturing (Division C). These movements are also in line with the observations made in Figure </w:t>
      </w:r>
      <w:r w:rsidR="007202F0">
        <w:t>4.4</w:t>
      </w:r>
      <w:r>
        <w:t>.</w:t>
      </w:r>
    </w:p>
    <w:p w14:paraId="35E1282A" w14:textId="77777777" w:rsidR="00587FC8" w:rsidRDefault="00587FC8" w:rsidP="00587FC8">
      <w:pPr>
        <w:pStyle w:val="Heading1"/>
        <w:rPr>
          <w:lang w:val="en"/>
        </w:rPr>
      </w:pPr>
      <w:r>
        <w:rPr>
          <w:lang w:val="en"/>
        </w:rPr>
        <w:t>Concentrating Industries</w:t>
      </w:r>
    </w:p>
    <w:p w14:paraId="35E1282B" w14:textId="3CDB5F40" w:rsidR="00AE6788" w:rsidRDefault="00AE6788" w:rsidP="00AE6788">
      <w:pPr>
        <w:spacing w:before="60" w:line="270" w:lineRule="exact"/>
        <w:ind w:left="0"/>
      </w:pPr>
      <w:r>
        <w:t xml:space="preserve">So far, it is established that market concentration is mainly increasing among industries that are already more concentrated than the others. The changes are also more nuanced in certain industry divisions. It is instructive to explore </w:t>
      </w:r>
      <w:r>
        <w:lastRenderedPageBreak/>
        <w:t xml:space="preserve">whether there is some connection between certain industry characteristics and the increase in market concentration. </w:t>
      </w:r>
    </w:p>
    <w:p w14:paraId="35E1282C" w14:textId="23648C10" w:rsidR="00AE6788" w:rsidRDefault="00AE6788" w:rsidP="00F05816">
      <w:pPr>
        <w:spacing w:line="270" w:lineRule="exact"/>
        <w:ind w:left="0"/>
      </w:pPr>
      <w:r>
        <w:t>First of all, the increasing market concentration is not necessarily caused by shrinking demand. Most of the increase in market concentration is actually happening where the demand market is expanding (Figure </w:t>
      </w:r>
      <w:r w:rsidR="00D04083">
        <w:t>5</w:t>
      </w:r>
      <w:r w:rsidR="004B17CD">
        <w:t>.1</w:t>
      </w:r>
      <w:r>
        <w:t>). This is important, because it shows that most of the increase in demand is already being absorbed by a few firms.</w:t>
      </w:r>
    </w:p>
    <w:p w14:paraId="35E1282E" w14:textId="7AE70F14" w:rsidR="00AE6788" w:rsidRDefault="00E25059" w:rsidP="00E63064">
      <w:pPr>
        <w:pStyle w:val="Caption"/>
      </w:pPr>
      <w:r>
        <w:rPr>
          <w:noProof/>
          <w:lang w:eastAsia="en-AU"/>
        </w:rPr>
        <w:drawing>
          <wp:anchor distT="0" distB="0" distL="114300" distR="114300" simplePos="0" relativeHeight="251670528" behindDoc="0" locked="0" layoutInCell="1" allowOverlap="1" wp14:anchorId="7B2F7F02" wp14:editId="1822E3A6">
            <wp:simplePos x="0" y="0"/>
            <wp:positionH relativeFrom="margin">
              <wp:posOffset>-1270</wp:posOffset>
            </wp:positionH>
            <wp:positionV relativeFrom="paragraph">
              <wp:posOffset>480695</wp:posOffset>
            </wp:positionV>
            <wp:extent cx="4377690" cy="3564890"/>
            <wp:effectExtent l="0" t="0" r="3810" b="0"/>
            <wp:wrapTopAndBottom/>
            <wp:docPr id="12" name="Picture 12" descr="Where demand (total turnover) is expanding, number of firms and concentration are both increasing. Where demand (total turnover) is unchanged or shrinking, concentration is falling but there is no remarkable change in the number of firms." title="Average change in number of firms and concentration as functions of changing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art_5.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77690" cy="3564890"/>
                    </a:xfrm>
                    <a:prstGeom prst="rect">
                      <a:avLst/>
                    </a:prstGeom>
                  </pic:spPr>
                </pic:pic>
              </a:graphicData>
            </a:graphic>
            <wp14:sizeRelH relativeFrom="page">
              <wp14:pctWidth>0</wp14:pctWidth>
            </wp14:sizeRelH>
            <wp14:sizeRelV relativeFrom="page">
              <wp14:pctHeight>0</wp14:pctHeight>
            </wp14:sizeRelV>
          </wp:anchor>
        </w:drawing>
      </w:r>
      <w:r w:rsidR="003123D3">
        <w:t>Figure</w:t>
      </w:r>
      <w:r w:rsidR="003123D3" w:rsidRPr="000618FB">
        <w:t xml:space="preserve"> </w:t>
      </w:r>
      <w:r w:rsidR="003123D3">
        <w:rPr>
          <w:noProof/>
        </w:rPr>
        <w:fldChar w:fldCharType="begin"/>
      </w:r>
      <w:r w:rsidR="003123D3">
        <w:rPr>
          <w:noProof/>
        </w:rPr>
        <w:instrText xml:space="preserve"> STYLEREF 1 \s </w:instrText>
      </w:r>
      <w:r w:rsidR="003123D3">
        <w:rPr>
          <w:noProof/>
        </w:rPr>
        <w:fldChar w:fldCharType="separate"/>
      </w:r>
      <w:r w:rsidR="00A20DE7">
        <w:rPr>
          <w:noProof/>
        </w:rPr>
        <w:t>5</w:t>
      </w:r>
      <w:r w:rsidR="003123D3">
        <w:rPr>
          <w:noProof/>
        </w:rPr>
        <w:fldChar w:fldCharType="end"/>
      </w:r>
      <w:r w:rsidR="003123D3" w:rsidRPr="000618FB">
        <w:t>.</w:t>
      </w:r>
      <w:r w:rsidR="003123D3" w:rsidRPr="000618FB">
        <w:fldChar w:fldCharType="begin"/>
      </w:r>
      <w:r w:rsidR="003123D3" w:rsidRPr="000618FB">
        <w:instrText xml:space="preserve"> SEQ </w:instrText>
      </w:r>
      <w:r w:rsidR="003123D3">
        <w:instrText>Figure</w:instrText>
      </w:r>
      <w:r w:rsidR="003123D3" w:rsidRPr="000618FB">
        <w:instrText xml:space="preserve"> \* ARABIC \s 1 </w:instrText>
      </w:r>
      <w:r w:rsidR="003123D3" w:rsidRPr="000618FB">
        <w:fldChar w:fldCharType="separate"/>
      </w:r>
      <w:r w:rsidR="00A20DE7">
        <w:rPr>
          <w:noProof/>
        </w:rPr>
        <w:t>1</w:t>
      </w:r>
      <w:r w:rsidR="003123D3" w:rsidRPr="000618FB">
        <w:fldChar w:fldCharType="end"/>
      </w:r>
      <w:r w:rsidR="003123D3">
        <w:t>: A</w:t>
      </w:r>
      <w:r w:rsidR="00AE6788">
        <w:t>veraged HHI and firm population classified by the direction of change in total sales from 2002 to 2016.</w:t>
      </w:r>
    </w:p>
    <w:p w14:paraId="35E1282F" w14:textId="64258E25" w:rsidR="00AE6788" w:rsidRPr="00C62F3A" w:rsidRDefault="00AE6788" w:rsidP="00E63064">
      <w:pPr>
        <w:pStyle w:val="Note"/>
      </w:pPr>
      <w:r>
        <w:t>Notes: Numbers in parentheses are the industry population for each category. Small/No change is defined as the change in sales staying within ±10 per cent.</w:t>
      </w:r>
    </w:p>
    <w:p w14:paraId="35E12830" w14:textId="7A53D381" w:rsidR="00AE6788" w:rsidRDefault="00AE6788" w:rsidP="00E63064">
      <w:pPr>
        <w:pStyle w:val="Source"/>
      </w:pPr>
      <w:r>
        <w:t>Source: Department of Industry. Innovation and Science (2019)</w:t>
      </w:r>
    </w:p>
    <w:p w14:paraId="35E12831" w14:textId="77777777" w:rsidR="004B17CD" w:rsidRDefault="004B17CD" w:rsidP="00F05816">
      <w:pPr>
        <w:spacing w:before="240" w:line="270" w:lineRule="exact"/>
        <w:ind w:left="0"/>
      </w:pPr>
      <w:r>
        <w:t xml:space="preserve">In the remainder, I investigate whether digital maturity, shape of productivity distribution, and export possibilities are enablers of the observed increase in concentration. Each of these features can provide opportunities for the apt firms, or stars, to break away from the rest, to grow, and to dominate the industry. </w:t>
      </w:r>
    </w:p>
    <w:p w14:paraId="35E12833" w14:textId="77777777" w:rsidR="004B17CD" w:rsidRDefault="004B17CD" w:rsidP="000F69EA">
      <w:pPr>
        <w:pStyle w:val="Heading2"/>
        <w:rPr>
          <w:lang w:val="en"/>
        </w:rPr>
      </w:pPr>
      <w:r>
        <w:rPr>
          <w:lang w:val="en"/>
        </w:rPr>
        <w:t xml:space="preserve">Role of </w:t>
      </w:r>
      <w:r w:rsidRPr="000F69EA">
        <w:t>Digital</w:t>
      </w:r>
      <w:r>
        <w:rPr>
          <w:lang w:val="en"/>
        </w:rPr>
        <w:t xml:space="preserve"> Maturity</w:t>
      </w:r>
    </w:p>
    <w:p w14:paraId="35E12834" w14:textId="77777777" w:rsidR="00D04083" w:rsidRDefault="00D04083" w:rsidP="00D04083">
      <w:pPr>
        <w:spacing w:before="60" w:line="270" w:lineRule="exact"/>
        <w:ind w:left="0"/>
      </w:pPr>
      <w:r>
        <w:t>Innovation is one driver of productivity and growth. In industries with abundant innovation possibilities, firms with better innovation outcomes can jump ahead, grow rapidly, and dominate the market. In the United States, especially, there are examples such as Google, Apple, and Uber. The innovation tide is nowadays mostly riding on digital technologies, hence, digitally mature industries are potential candidates for increasing market concentration.</w:t>
      </w:r>
    </w:p>
    <w:p w14:paraId="35E12835" w14:textId="77777777" w:rsidR="00D04083" w:rsidRDefault="00D04083" w:rsidP="00F05816">
      <w:pPr>
        <w:spacing w:line="270" w:lineRule="exact"/>
        <w:ind w:left="0"/>
      </w:pPr>
      <w:r>
        <w:lastRenderedPageBreak/>
        <w:t>The tax data in the BLADE lack any indication of whether an industry or a firm is oriented towards digital technology. For this reason, I supplement the data with the indexes of digital maturity reported by the Organization for Economic Cooperation and Development (OECD, 2017). The OECD measures the engagement of industries over seven dimensions (with possible overlaps). One shortcoming of these indicators is that they are specific to the years 2011 to 2013. The other is that they are not specific to Australia and represent the OECD average.</w:t>
      </w:r>
    </w:p>
    <w:p w14:paraId="35E12836" w14:textId="77777777" w:rsidR="00D04083" w:rsidRDefault="00D04083" w:rsidP="00F05816">
      <w:pPr>
        <w:spacing w:line="270" w:lineRule="exact"/>
        <w:ind w:left="0"/>
      </w:pPr>
      <w:r>
        <w:t xml:space="preserve">Four of the indexes in the OECD report have a complete set of information for all industries listed. These indexes pertain to software investment, ICT tangible investment, intermediate ICT service purchases, and the number of ICT experts. The three other indexes are intermediate ICT good purchases, robot use, and online sales. I am not using these last indexes as they are incomplete and are only reported for a subset of industries. </w:t>
      </w:r>
    </w:p>
    <w:p w14:paraId="35E12837" w14:textId="77777777" w:rsidR="00D04083" w:rsidRDefault="00D04083" w:rsidP="00F05816">
      <w:pPr>
        <w:spacing w:line="270" w:lineRule="exact"/>
        <w:ind w:left="0"/>
      </w:pPr>
      <w:r>
        <w:t>For my application, I first correspond each industry specification in the OECD’s list as closely as possible with the ANZSIC codes. Some industry specifications in the OECD report correspond to 3-digit ANZSICs. Others correspond to 2-digit ANZSICs. In the latter case, I assume that all 3-digit sub-sectors in that industry have the same indexes of digital maturity.</w:t>
      </w:r>
    </w:p>
    <w:p w14:paraId="35E12838" w14:textId="77777777" w:rsidR="00D04083" w:rsidRDefault="00D04083" w:rsidP="00F05816">
      <w:pPr>
        <w:spacing w:line="270" w:lineRule="exact"/>
        <w:ind w:left="0"/>
      </w:pPr>
      <w:r>
        <w:t>In applying the indexes, I also find that there is a good degree of overlap between the four indexes to be used. The amount of overlap is demonstrated by the correlation coefficients listed in Table </w:t>
      </w:r>
      <w:r w:rsidR="006B4BF2">
        <w:t>5.1</w:t>
      </w:r>
      <w:r>
        <w:t>. For instance, software expenditures and investments in ICT are tightly related. There is also a strong relationship between software expenditures and expenditures on ICT services.</w:t>
      </w:r>
    </w:p>
    <w:p w14:paraId="35E12839" w14:textId="77777777" w:rsidR="00D04083" w:rsidRDefault="00D04083" w:rsidP="00F05816">
      <w:pPr>
        <w:spacing w:line="270" w:lineRule="exact"/>
        <w:ind w:left="0"/>
      </w:pPr>
      <w:r>
        <w:t xml:space="preserve">To construct one index of digital maturity that captures the essence of the four indexes, I introduce the index </w:t>
      </w:r>
      <w:r>
        <w:fldChar w:fldCharType="begin"/>
      </w:r>
      <w:r>
        <w:instrText xml:space="preserve"> EQ </w:instrText>
      </w:r>
      <w:r>
        <w:rPr>
          <w:i/>
          <w:iCs/>
        </w:rPr>
        <w:instrText>Digital</w:instrText>
      </w:r>
      <w:r>
        <w:instrText>\s\do5(</w:instrText>
      </w:r>
      <w:r>
        <w:rPr>
          <w:i/>
          <w:iCs/>
          <w:sz w:val="16"/>
          <w:szCs w:val="16"/>
        </w:rPr>
        <w:instrText>i</w:instrText>
      </w:r>
      <w:r>
        <w:instrText>)</w:instrText>
      </w:r>
      <w:r>
        <w:fldChar w:fldCharType="end"/>
      </w:r>
      <w:r>
        <w:t xml:space="preserve"> which is the principal component of the four indexes (Hotelling, 1933). This index captures about 72 per cent of the full variations by the four indexes and has very strong correlations to each of the indexes (Table </w:t>
      </w:r>
      <w:r w:rsidR="00110ABB">
        <w:t>5.1</w:t>
      </w:r>
      <w:r>
        <w:t>, last row).</w:t>
      </w:r>
    </w:p>
    <w:p w14:paraId="35E1283B" w14:textId="77777777" w:rsidR="00D04083" w:rsidRDefault="00D04083" w:rsidP="00E63064">
      <w:pPr>
        <w:pStyle w:val="Caption"/>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1</w:t>
      </w:r>
      <w:r>
        <w:rPr>
          <w:noProof/>
        </w:rPr>
        <w:fldChar w:fldCharType="end"/>
      </w:r>
      <w:r w:rsidRPr="000618FB">
        <w:t xml:space="preserve">: </w:t>
      </w:r>
      <w:r>
        <w:t>Correlation between different indexes of digital maturity.</w:t>
      </w:r>
    </w:p>
    <w:tbl>
      <w:tblPr>
        <w:tblStyle w:val="OCETable"/>
        <w:tblW w:w="5000" w:type="pct"/>
        <w:tblLayout w:type="fixed"/>
        <w:tblLook w:val="04A0" w:firstRow="1" w:lastRow="0" w:firstColumn="1" w:lastColumn="0" w:noHBand="0" w:noVBand="1"/>
        <w:tblCaption w:val="Table 5.1"/>
        <w:tblDescription w:val="The correlation coefficients range from about 0.3 to 0.96. MOst correlations are above 0.5."/>
      </w:tblPr>
      <w:tblGrid>
        <w:gridCol w:w="1828"/>
        <w:gridCol w:w="1013"/>
        <w:gridCol w:w="1351"/>
        <w:gridCol w:w="1351"/>
        <w:gridCol w:w="1351"/>
      </w:tblGrid>
      <w:tr w:rsidR="00D04083" w14:paraId="35E12841" w14:textId="77777777" w:rsidTr="000F69EA">
        <w:trPr>
          <w:cnfStyle w:val="100000000000" w:firstRow="1" w:lastRow="0" w:firstColumn="0" w:lastColumn="0" w:oddVBand="0" w:evenVBand="0" w:oddHBand="0" w:evenHBand="0" w:firstRowFirstColumn="0" w:firstRowLastColumn="0" w:lastRowFirstColumn="0" w:lastRowLastColumn="0"/>
          <w:tblHeader/>
        </w:trPr>
        <w:tc>
          <w:tcPr>
            <w:tcW w:w="1844" w:type="dxa"/>
            <w:tcBorders>
              <w:bottom w:val="none" w:sz="0" w:space="0" w:color="auto"/>
            </w:tcBorders>
          </w:tcPr>
          <w:p w14:paraId="35E1283C" w14:textId="77777777" w:rsidR="00D04083" w:rsidRDefault="00D04083" w:rsidP="00D04083">
            <w:pPr>
              <w:pStyle w:val="Tableheadertext"/>
            </w:pPr>
          </w:p>
        </w:tc>
        <w:tc>
          <w:tcPr>
            <w:tcW w:w="1020" w:type="dxa"/>
            <w:tcBorders>
              <w:bottom w:val="none" w:sz="0" w:space="0" w:color="auto"/>
            </w:tcBorders>
          </w:tcPr>
          <w:p w14:paraId="35E1283D" w14:textId="77777777" w:rsidR="00D04083" w:rsidRDefault="00D04083" w:rsidP="00D04083">
            <w:pPr>
              <w:pStyle w:val="Tableheadertext"/>
              <w:jc w:val="center"/>
            </w:pPr>
          </w:p>
        </w:tc>
        <w:tc>
          <w:tcPr>
            <w:tcW w:w="1361" w:type="dxa"/>
            <w:tcBorders>
              <w:bottom w:val="none" w:sz="0" w:space="0" w:color="auto"/>
            </w:tcBorders>
          </w:tcPr>
          <w:p w14:paraId="35E1283E" w14:textId="77777777" w:rsidR="00D04083" w:rsidRDefault="00D04083" w:rsidP="00D04083">
            <w:pPr>
              <w:pStyle w:val="Tableheadertext"/>
              <w:jc w:val="center"/>
            </w:pPr>
            <w:r>
              <w:t>ICT</w:t>
            </w:r>
          </w:p>
        </w:tc>
        <w:tc>
          <w:tcPr>
            <w:tcW w:w="1361" w:type="dxa"/>
            <w:tcBorders>
              <w:bottom w:val="none" w:sz="0" w:space="0" w:color="auto"/>
            </w:tcBorders>
          </w:tcPr>
          <w:p w14:paraId="35E1283F" w14:textId="77777777" w:rsidR="00D04083" w:rsidRDefault="00D04083" w:rsidP="00D04083">
            <w:pPr>
              <w:pStyle w:val="Tableheadertext"/>
              <w:jc w:val="center"/>
            </w:pPr>
            <w:r>
              <w:t>ICT</w:t>
            </w:r>
          </w:p>
        </w:tc>
        <w:tc>
          <w:tcPr>
            <w:tcW w:w="1361" w:type="dxa"/>
            <w:tcBorders>
              <w:bottom w:val="none" w:sz="0" w:space="0" w:color="auto"/>
            </w:tcBorders>
          </w:tcPr>
          <w:p w14:paraId="35E12840" w14:textId="77777777" w:rsidR="00D04083" w:rsidRDefault="00D04083" w:rsidP="00D04083">
            <w:pPr>
              <w:pStyle w:val="Tableheadertext"/>
              <w:jc w:val="center"/>
            </w:pPr>
            <w:r>
              <w:t>ICT</w:t>
            </w:r>
          </w:p>
        </w:tc>
      </w:tr>
      <w:tr w:rsidR="00D04083" w:rsidRPr="00D04083" w14:paraId="35E12847" w14:textId="77777777" w:rsidTr="000F69EA">
        <w:trPr>
          <w:cnfStyle w:val="000000100000" w:firstRow="0" w:lastRow="0" w:firstColumn="0" w:lastColumn="0" w:oddVBand="0" w:evenVBand="0" w:oddHBand="1" w:evenHBand="0" w:firstRowFirstColumn="0" w:firstRowLastColumn="0" w:lastRowFirstColumn="0" w:lastRowLastColumn="0"/>
        </w:trPr>
        <w:tc>
          <w:tcPr>
            <w:tcW w:w="1844" w:type="dxa"/>
            <w:shd w:val="clear" w:color="auto" w:fill="005CAF"/>
          </w:tcPr>
          <w:p w14:paraId="35E12842" w14:textId="77777777" w:rsidR="00D04083" w:rsidRPr="00D04083" w:rsidRDefault="00D04083" w:rsidP="00D04083">
            <w:pPr>
              <w:pStyle w:val="Tablebodytext"/>
              <w:rPr>
                <w:color w:val="FFFFFF" w:themeColor="background2"/>
              </w:rPr>
            </w:pPr>
          </w:p>
        </w:tc>
        <w:tc>
          <w:tcPr>
            <w:tcW w:w="1020" w:type="dxa"/>
            <w:shd w:val="clear" w:color="auto" w:fill="005CAF"/>
          </w:tcPr>
          <w:p w14:paraId="35E12843" w14:textId="77777777" w:rsidR="00D04083" w:rsidRPr="00D04083" w:rsidRDefault="00D04083" w:rsidP="00D04083">
            <w:pPr>
              <w:pStyle w:val="Tablebodytext"/>
              <w:jc w:val="center"/>
              <w:rPr>
                <w:color w:val="FFFFFF" w:themeColor="background2"/>
              </w:rPr>
            </w:pPr>
            <w:r w:rsidRPr="00D04083">
              <w:rPr>
                <w:color w:val="FFFFFF" w:themeColor="background2"/>
              </w:rPr>
              <w:t>Software</w:t>
            </w:r>
          </w:p>
        </w:tc>
        <w:tc>
          <w:tcPr>
            <w:tcW w:w="1361" w:type="dxa"/>
            <w:shd w:val="clear" w:color="auto" w:fill="005CAF"/>
          </w:tcPr>
          <w:p w14:paraId="35E12844" w14:textId="77777777" w:rsidR="00D04083" w:rsidRPr="00D04083" w:rsidRDefault="00D04083" w:rsidP="00D04083">
            <w:pPr>
              <w:pStyle w:val="Tablebodytext"/>
              <w:jc w:val="center"/>
              <w:rPr>
                <w:color w:val="FFFFFF" w:themeColor="background2"/>
              </w:rPr>
            </w:pPr>
            <w:r w:rsidRPr="00D04083">
              <w:rPr>
                <w:color w:val="FFFFFF" w:themeColor="background2"/>
              </w:rPr>
              <w:t>Investment</w:t>
            </w:r>
          </w:p>
        </w:tc>
        <w:tc>
          <w:tcPr>
            <w:tcW w:w="1361" w:type="dxa"/>
            <w:shd w:val="clear" w:color="auto" w:fill="005CAF"/>
          </w:tcPr>
          <w:p w14:paraId="35E12845" w14:textId="77777777" w:rsidR="00D04083" w:rsidRPr="00D04083" w:rsidRDefault="00D04083" w:rsidP="00D04083">
            <w:pPr>
              <w:pStyle w:val="Tablebodytext"/>
              <w:jc w:val="center"/>
              <w:rPr>
                <w:color w:val="FFFFFF" w:themeColor="background2"/>
              </w:rPr>
            </w:pPr>
            <w:r w:rsidRPr="00D04083">
              <w:rPr>
                <w:color w:val="FFFFFF" w:themeColor="background2"/>
              </w:rPr>
              <w:t>Services</w:t>
            </w:r>
          </w:p>
        </w:tc>
        <w:tc>
          <w:tcPr>
            <w:tcW w:w="1361" w:type="dxa"/>
            <w:shd w:val="clear" w:color="auto" w:fill="005CAF"/>
          </w:tcPr>
          <w:p w14:paraId="35E12846" w14:textId="77777777" w:rsidR="00D04083" w:rsidRPr="00D04083" w:rsidRDefault="00D04083" w:rsidP="00D04083">
            <w:pPr>
              <w:pStyle w:val="Tablebodytext"/>
              <w:jc w:val="center"/>
              <w:rPr>
                <w:color w:val="FFFFFF" w:themeColor="background2"/>
              </w:rPr>
            </w:pPr>
            <w:r w:rsidRPr="00D04083">
              <w:rPr>
                <w:color w:val="FFFFFF" w:themeColor="background2"/>
              </w:rPr>
              <w:t>Experts</w:t>
            </w:r>
          </w:p>
        </w:tc>
      </w:tr>
      <w:tr w:rsidR="00D04083" w14:paraId="35E1284D" w14:textId="77777777" w:rsidTr="000F69EA">
        <w:trPr>
          <w:cnfStyle w:val="000000010000" w:firstRow="0" w:lastRow="0" w:firstColumn="0" w:lastColumn="0" w:oddVBand="0" w:evenVBand="0" w:oddHBand="0" w:evenHBand="1" w:firstRowFirstColumn="0" w:firstRowLastColumn="0" w:lastRowFirstColumn="0" w:lastRowLastColumn="0"/>
        </w:trPr>
        <w:tc>
          <w:tcPr>
            <w:tcW w:w="1844" w:type="dxa"/>
          </w:tcPr>
          <w:p w14:paraId="35E12848" w14:textId="77777777" w:rsidR="00D04083" w:rsidRDefault="00D04083" w:rsidP="00D04083">
            <w:pPr>
              <w:pStyle w:val="Tablebodytext"/>
            </w:pPr>
            <w:r>
              <w:t xml:space="preserve"> ICT Investment</w:t>
            </w:r>
          </w:p>
        </w:tc>
        <w:tc>
          <w:tcPr>
            <w:tcW w:w="1020" w:type="dxa"/>
          </w:tcPr>
          <w:p w14:paraId="35E12849" w14:textId="77777777" w:rsidR="00D04083" w:rsidRDefault="00D04083" w:rsidP="00D04083">
            <w:pPr>
              <w:pStyle w:val="Tablebodytext"/>
              <w:jc w:val="center"/>
            </w:pPr>
            <w:r>
              <w:t>0.907</w:t>
            </w:r>
          </w:p>
        </w:tc>
        <w:tc>
          <w:tcPr>
            <w:tcW w:w="1361" w:type="dxa"/>
          </w:tcPr>
          <w:p w14:paraId="35E1284A" w14:textId="77777777" w:rsidR="00D04083" w:rsidRDefault="00D04083" w:rsidP="00D04083">
            <w:pPr>
              <w:pStyle w:val="Tablebodytext"/>
              <w:jc w:val="center"/>
            </w:pPr>
          </w:p>
        </w:tc>
        <w:tc>
          <w:tcPr>
            <w:tcW w:w="1361" w:type="dxa"/>
          </w:tcPr>
          <w:p w14:paraId="35E1284B" w14:textId="77777777" w:rsidR="00D04083" w:rsidRDefault="00D04083" w:rsidP="00D04083">
            <w:pPr>
              <w:pStyle w:val="Tablebodytext"/>
              <w:jc w:val="center"/>
            </w:pPr>
          </w:p>
        </w:tc>
        <w:tc>
          <w:tcPr>
            <w:tcW w:w="1361" w:type="dxa"/>
          </w:tcPr>
          <w:p w14:paraId="35E1284C" w14:textId="77777777" w:rsidR="00D04083" w:rsidRDefault="00D04083" w:rsidP="00D04083">
            <w:pPr>
              <w:pStyle w:val="Tablebodytext"/>
              <w:jc w:val="center"/>
            </w:pPr>
          </w:p>
        </w:tc>
      </w:tr>
      <w:tr w:rsidR="00D04083" w14:paraId="35E12853" w14:textId="77777777" w:rsidTr="000F69EA">
        <w:trPr>
          <w:cnfStyle w:val="000000100000" w:firstRow="0" w:lastRow="0" w:firstColumn="0" w:lastColumn="0" w:oddVBand="0" w:evenVBand="0" w:oddHBand="1" w:evenHBand="0" w:firstRowFirstColumn="0" w:firstRowLastColumn="0" w:lastRowFirstColumn="0" w:lastRowLastColumn="0"/>
        </w:trPr>
        <w:tc>
          <w:tcPr>
            <w:tcW w:w="1844" w:type="dxa"/>
          </w:tcPr>
          <w:p w14:paraId="35E1284E" w14:textId="77777777" w:rsidR="00D04083" w:rsidRDefault="00D04083" w:rsidP="00D04083">
            <w:pPr>
              <w:pStyle w:val="Tablebodytext"/>
            </w:pPr>
            <w:r>
              <w:t>ICT Services</w:t>
            </w:r>
          </w:p>
        </w:tc>
        <w:tc>
          <w:tcPr>
            <w:tcW w:w="1020" w:type="dxa"/>
          </w:tcPr>
          <w:p w14:paraId="35E1284F" w14:textId="77777777" w:rsidR="00D04083" w:rsidRDefault="00D04083" w:rsidP="00D04083">
            <w:pPr>
              <w:pStyle w:val="Tablebodytext"/>
              <w:jc w:val="center"/>
            </w:pPr>
            <w:r>
              <w:t>0.795</w:t>
            </w:r>
          </w:p>
        </w:tc>
        <w:tc>
          <w:tcPr>
            <w:tcW w:w="1361" w:type="dxa"/>
          </w:tcPr>
          <w:p w14:paraId="35E12850" w14:textId="77777777" w:rsidR="00D04083" w:rsidRDefault="00D04083" w:rsidP="00D04083">
            <w:pPr>
              <w:pStyle w:val="Tablebodytext"/>
              <w:jc w:val="center"/>
            </w:pPr>
            <w:r>
              <w:t>0.694</w:t>
            </w:r>
          </w:p>
        </w:tc>
        <w:tc>
          <w:tcPr>
            <w:tcW w:w="1361" w:type="dxa"/>
          </w:tcPr>
          <w:p w14:paraId="35E12851" w14:textId="77777777" w:rsidR="00D04083" w:rsidRDefault="00D04083" w:rsidP="00D04083">
            <w:pPr>
              <w:pStyle w:val="Tablebodytext"/>
              <w:jc w:val="center"/>
            </w:pPr>
          </w:p>
        </w:tc>
        <w:tc>
          <w:tcPr>
            <w:tcW w:w="1361" w:type="dxa"/>
          </w:tcPr>
          <w:p w14:paraId="35E12852" w14:textId="77777777" w:rsidR="00D04083" w:rsidRDefault="00D04083" w:rsidP="00D04083">
            <w:pPr>
              <w:pStyle w:val="Tablebodytext"/>
              <w:jc w:val="center"/>
            </w:pPr>
          </w:p>
        </w:tc>
      </w:tr>
      <w:tr w:rsidR="00D04083" w14:paraId="35E12859" w14:textId="77777777" w:rsidTr="000F69EA">
        <w:trPr>
          <w:cnfStyle w:val="000000010000" w:firstRow="0" w:lastRow="0" w:firstColumn="0" w:lastColumn="0" w:oddVBand="0" w:evenVBand="0" w:oddHBand="0" w:evenHBand="1" w:firstRowFirstColumn="0" w:firstRowLastColumn="0" w:lastRowFirstColumn="0" w:lastRowLastColumn="0"/>
        </w:trPr>
        <w:tc>
          <w:tcPr>
            <w:tcW w:w="1844" w:type="dxa"/>
          </w:tcPr>
          <w:p w14:paraId="35E12854" w14:textId="77777777" w:rsidR="00D04083" w:rsidRDefault="00D04083" w:rsidP="00D04083">
            <w:pPr>
              <w:pStyle w:val="Tablebodytext"/>
            </w:pPr>
            <w:r>
              <w:t>ICT Experts</w:t>
            </w:r>
          </w:p>
        </w:tc>
        <w:tc>
          <w:tcPr>
            <w:tcW w:w="1020" w:type="dxa"/>
          </w:tcPr>
          <w:p w14:paraId="35E12855" w14:textId="77777777" w:rsidR="00D04083" w:rsidRDefault="00D04083" w:rsidP="00D04083">
            <w:pPr>
              <w:pStyle w:val="Tablebodytext"/>
              <w:jc w:val="center"/>
            </w:pPr>
            <w:r>
              <w:t>0.449</w:t>
            </w:r>
          </w:p>
        </w:tc>
        <w:tc>
          <w:tcPr>
            <w:tcW w:w="1361" w:type="dxa"/>
          </w:tcPr>
          <w:p w14:paraId="35E12856" w14:textId="77777777" w:rsidR="00D04083" w:rsidRDefault="00D04083" w:rsidP="00D04083">
            <w:pPr>
              <w:pStyle w:val="Tablebodytext"/>
              <w:jc w:val="center"/>
            </w:pPr>
            <w:r>
              <w:t>0.290</w:t>
            </w:r>
          </w:p>
        </w:tc>
        <w:tc>
          <w:tcPr>
            <w:tcW w:w="1361" w:type="dxa"/>
          </w:tcPr>
          <w:p w14:paraId="35E12857" w14:textId="77777777" w:rsidR="00D04083" w:rsidRDefault="00D04083" w:rsidP="00D04083">
            <w:pPr>
              <w:pStyle w:val="Tablebodytext"/>
              <w:jc w:val="center"/>
            </w:pPr>
            <w:r>
              <w:t>0.725</w:t>
            </w:r>
          </w:p>
        </w:tc>
        <w:tc>
          <w:tcPr>
            <w:tcW w:w="1361" w:type="dxa"/>
          </w:tcPr>
          <w:p w14:paraId="35E12858" w14:textId="77777777" w:rsidR="00D04083" w:rsidRDefault="00D04083" w:rsidP="00D04083">
            <w:pPr>
              <w:pStyle w:val="Tablebodytext"/>
              <w:jc w:val="center"/>
            </w:pPr>
          </w:p>
        </w:tc>
      </w:tr>
      <w:tr w:rsidR="00D04083" w14:paraId="35E1285F" w14:textId="77777777" w:rsidTr="000F69EA">
        <w:trPr>
          <w:cnfStyle w:val="000000100000" w:firstRow="0" w:lastRow="0" w:firstColumn="0" w:lastColumn="0" w:oddVBand="0" w:evenVBand="0" w:oddHBand="1" w:evenHBand="0" w:firstRowFirstColumn="0" w:firstRowLastColumn="0" w:lastRowFirstColumn="0" w:lastRowLastColumn="0"/>
        </w:trPr>
        <w:tc>
          <w:tcPr>
            <w:tcW w:w="1844" w:type="dxa"/>
          </w:tcPr>
          <w:p w14:paraId="35E1285A" w14:textId="77777777" w:rsidR="00D04083" w:rsidRDefault="00D04083" w:rsidP="00D04083">
            <w:pPr>
              <w:pStyle w:val="Tablebodytext"/>
            </w:pPr>
            <w:r>
              <w:t>Digital</w:t>
            </w:r>
          </w:p>
        </w:tc>
        <w:tc>
          <w:tcPr>
            <w:tcW w:w="1020" w:type="dxa"/>
          </w:tcPr>
          <w:p w14:paraId="35E1285B" w14:textId="77777777" w:rsidR="00D04083" w:rsidRDefault="00D04083" w:rsidP="00D04083">
            <w:pPr>
              <w:pStyle w:val="Tablebodytext"/>
              <w:jc w:val="center"/>
            </w:pPr>
            <w:r>
              <w:t>0.964</w:t>
            </w:r>
          </w:p>
        </w:tc>
        <w:tc>
          <w:tcPr>
            <w:tcW w:w="1361" w:type="dxa"/>
          </w:tcPr>
          <w:p w14:paraId="35E1285C" w14:textId="77777777" w:rsidR="00D04083" w:rsidRDefault="00D04083" w:rsidP="00D04083">
            <w:pPr>
              <w:pStyle w:val="Tablebodytext"/>
              <w:jc w:val="center"/>
            </w:pPr>
            <w:r>
              <w:t>0.920</w:t>
            </w:r>
          </w:p>
        </w:tc>
        <w:tc>
          <w:tcPr>
            <w:tcW w:w="1361" w:type="dxa"/>
          </w:tcPr>
          <w:p w14:paraId="35E1285D" w14:textId="77777777" w:rsidR="00D04083" w:rsidRDefault="00D04083" w:rsidP="00D04083">
            <w:pPr>
              <w:pStyle w:val="Tablebodytext"/>
              <w:jc w:val="center"/>
            </w:pPr>
            <w:r>
              <w:t>0.897</w:t>
            </w:r>
          </w:p>
        </w:tc>
        <w:tc>
          <w:tcPr>
            <w:tcW w:w="1361" w:type="dxa"/>
          </w:tcPr>
          <w:p w14:paraId="35E1285E" w14:textId="77777777" w:rsidR="00D04083" w:rsidRDefault="00D04083" w:rsidP="00D04083">
            <w:pPr>
              <w:pStyle w:val="Tablebodytext"/>
              <w:jc w:val="center"/>
            </w:pPr>
            <w:r>
              <w:t>0.578</w:t>
            </w:r>
          </w:p>
        </w:tc>
      </w:tr>
    </w:tbl>
    <w:p w14:paraId="35E12860" w14:textId="77777777" w:rsidR="00D04083" w:rsidRDefault="00D04083" w:rsidP="00E63064">
      <w:pPr>
        <w:pStyle w:val="Source"/>
      </w:pPr>
      <w:r>
        <w:t xml:space="preserve">Source: </w:t>
      </w:r>
      <w:r w:rsidR="00256B83">
        <w:t>Department of Industry, Innovation and Science (2019)</w:t>
      </w:r>
    </w:p>
    <w:p w14:paraId="35E12861" w14:textId="77777777" w:rsidR="00142630" w:rsidRDefault="00142630" w:rsidP="00F05816">
      <w:pPr>
        <w:spacing w:before="240" w:line="270" w:lineRule="exact"/>
        <w:ind w:left="0"/>
      </w:pPr>
      <w:r>
        <w:t>The level of variation in each of the indexes discussed can be observed in Table </w:t>
      </w:r>
      <w:r w:rsidR="00074B79">
        <w:t>5.2</w:t>
      </w:r>
      <w:r>
        <w:t xml:space="preserve"> where a set of descriptive statistics are reported for each. The statistics show that every industry has some exposure to digital technology, but different industries have different levels of exposure.</w:t>
      </w:r>
    </w:p>
    <w:p w14:paraId="35E12862" w14:textId="77777777" w:rsidR="00D04083" w:rsidRDefault="00D04083" w:rsidP="004B17CD">
      <w:pPr>
        <w:pStyle w:val="BodyText"/>
        <w:rPr>
          <w:lang w:val="en"/>
        </w:rPr>
      </w:pPr>
    </w:p>
    <w:p w14:paraId="35E12863" w14:textId="77777777" w:rsidR="00142630" w:rsidRDefault="00142630" w:rsidP="00E63064">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2</w:t>
      </w:r>
      <w:r>
        <w:rPr>
          <w:noProof/>
        </w:rPr>
        <w:fldChar w:fldCharType="end"/>
      </w:r>
      <w:r w:rsidRPr="000618FB">
        <w:t xml:space="preserve">: </w:t>
      </w:r>
      <w:r>
        <w:t>Descriptive statistics for the indexes of digital maturity.</w:t>
      </w:r>
    </w:p>
    <w:tbl>
      <w:tblPr>
        <w:tblStyle w:val="OCETable"/>
        <w:tblW w:w="5000" w:type="pct"/>
        <w:tblLayout w:type="fixed"/>
        <w:tblLook w:val="04A0" w:firstRow="1" w:lastRow="0" w:firstColumn="1" w:lastColumn="0" w:noHBand="0" w:noVBand="1"/>
        <w:tblCaption w:val="Table 5.2"/>
        <w:tblDescription w:val="Statistics for each index ranges from -0.1 to, in cases, 0.6 with a good level of dispersion."/>
      </w:tblPr>
      <w:tblGrid>
        <w:gridCol w:w="1149"/>
        <w:gridCol w:w="1149"/>
        <w:gridCol w:w="1149"/>
        <w:gridCol w:w="1149"/>
        <w:gridCol w:w="1149"/>
        <w:gridCol w:w="1149"/>
      </w:tblGrid>
      <w:tr w:rsidR="00142630" w14:paraId="35E1286A" w14:textId="77777777" w:rsidTr="000F69EA">
        <w:trPr>
          <w:cnfStyle w:val="100000000000" w:firstRow="1" w:lastRow="0" w:firstColumn="0" w:lastColumn="0" w:oddVBand="0" w:evenVBand="0" w:oddHBand="0" w:evenHBand="0" w:firstRowFirstColumn="0" w:firstRowLastColumn="0" w:lastRowFirstColumn="0" w:lastRowLastColumn="0"/>
          <w:tblHeader/>
        </w:trPr>
        <w:tc>
          <w:tcPr>
            <w:tcW w:w="1191" w:type="dxa"/>
            <w:tcBorders>
              <w:bottom w:val="none" w:sz="0" w:space="0" w:color="auto"/>
            </w:tcBorders>
          </w:tcPr>
          <w:p w14:paraId="35E12864" w14:textId="77777777" w:rsidR="00142630" w:rsidRDefault="00142630" w:rsidP="00142630">
            <w:pPr>
              <w:pStyle w:val="Tableheadertext"/>
            </w:pPr>
          </w:p>
        </w:tc>
        <w:tc>
          <w:tcPr>
            <w:tcW w:w="1191" w:type="dxa"/>
            <w:tcBorders>
              <w:bottom w:val="none" w:sz="0" w:space="0" w:color="auto"/>
            </w:tcBorders>
          </w:tcPr>
          <w:p w14:paraId="35E12865" w14:textId="77777777" w:rsidR="00142630" w:rsidRPr="00142630" w:rsidRDefault="00142630" w:rsidP="00142630">
            <w:pPr>
              <w:pStyle w:val="Tableheadertext"/>
              <w:jc w:val="center"/>
              <w:rPr>
                <w:b w:val="0"/>
              </w:rPr>
            </w:pPr>
          </w:p>
        </w:tc>
        <w:tc>
          <w:tcPr>
            <w:tcW w:w="1191" w:type="dxa"/>
            <w:tcBorders>
              <w:bottom w:val="none" w:sz="0" w:space="0" w:color="auto"/>
            </w:tcBorders>
          </w:tcPr>
          <w:p w14:paraId="35E12866" w14:textId="77777777" w:rsidR="00142630" w:rsidRPr="00142630" w:rsidRDefault="00142630" w:rsidP="00142630">
            <w:pPr>
              <w:pStyle w:val="Tableheadertext"/>
              <w:jc w:val="center"/>
              <w:rPr>
                <w:b w:val="0"/>
              </w:rPr>
            </w:pPr>
            <w:r w:rsidRPr="00142630">
              <w:rPr>
                <w:b w:val="0"/>
              </w:rPr>
              <w:t>ICT</w:t>
            </w:r>
          </w:p>
        </w:tc>
        <w:tc>
          <w:tcPr>
            <w:tcW w:w="1191" w:type="dxa"/>
            <w:tcBorders>
              <w:bottom w:val="none" w:sz="0" w:space="0" w:color="auto"/>
            </w:tcBorders>
          </w:tcPr>
          <w:p w14:paraId="35E12867" w14:textId="77777777" w:rsidR="00142630" w:rsidRPr="00142630" w:rsidRDefault="00142630" w:rsidP="00142630">
            <w:pPr>
              <w:pStyle w:val="Tableheadertext"/>
              <w:jc w:val="center"/>
              <w:rPr>
                <w:b w:val="0"/>
              </w:rPr>
            </w:pPr>
            <w:r w:rsidRPr="00142630">
              <w:rPr>
                <w:b w:val="0"/>
              </w:rPr>
              <w:t>ICT</w:t>
            </w:r>
          </w:p>
        </w:tc>
        <w:tc>
          <w:tcPr>
            <w:tcW w:w="1191" w:type="dxa"/>
            <w:tcBorders>
              <w:bottom w:val="none" w:sz="0" w:space="0" w:color="auto"/>
            </w:tcBorders>
          </w:tcPr>
          <w:p w14:paraId="35E12868" w14:textId="77777777" w:rsidR="00142630" w:rsidRPr="00142630" w:rsidRDefault="00142630" w:rsidP="00142630">
            <w:pPr>
              <w:pStyle w:val="Tableheadertext"/>
              <w:jc w:val="center"/>
              <w:rPr>
                <w:b w:val="0"/>
              </w:rPr>
            </w:pPr>
            <w:r w:rsidRPr="00142630">
              <w:rPr>
                <w:b w:val="0"/>
              </w:rPr>
              <w:t>ICT</w:t>
            </w:r>
          </w:p>
        </w:tc>
        <w:tc>
          <w:tcPr>
            <w:tcW w:w="1191" w:type="dxa"/>
            <w:tcBorders>
              <w:bottom w:val="none" w:sz="0" w:space="0" w:color="auto"/>
            </w:tcBorders>
          </w:tcPr>
          <w:p w14:paraId="35E12869" w14:textId="77777777" w:rsidR="00142630" w:rsidRPr="00142630" w:rsidRDefault="00142630" w:rsidP="00142630">
            <w:pPr>
              <w:pStyle w:val="Tableheadertext"/>
              <w:jc w:val="center"/>
              <w:rPr>
                <w:b w:val="0"/>
              </w:rPr>
            </w:pPr>
          </w:p>
        </w:tc>
      </w:tr>
      <w:tr w:rsidR="00142630" w:rsidRPr="00142630" w14:paraId="35E12871" w14:textId="77777777" w:rsidTr="000F69EA">
        <w:trPr>
          <w:cnfStyle w:val="000000100000" w:firstRow="0" w:lastRow="0" w:firstColumn="0" w:lastColumn="0" w:oddVBand="0" w:evenVBand="0" w:oddHBand="1" w:evenHBand="0" w:firstRowFirstColumn="0" w:firstRowLastColumn="0" w:lastRowFirstColumn="0" w:lastRowLastColumn="0"/>
        </w:trPr>
        <w:tc>
          <w:tcPr>
            <w:tcW w:w="1191" w:type="dxa"/>
            <w:shd w:val="clear" w:color="auto" w:fill="005CAF"/>
          </w:tcPr>
          <w:p w14:paraId="35E1286B" w14:textId="77777777" w:rsidR="00142630" w:rsidRPr="00142630" w:rsidRDefault="00142630" w:rsidP="00142630">
            <w:pPr>
              <w:pStyle w:val="Tablebodytext"/>
              <w:rPr>
                <w:color w:val="FFFFFF" w:themeColor="background2"/>
              </w:rPr>
            </w:pPr>
          </w:p>
        </w:tc>
        <w:tc>
          <w:tcPr>
            <w:tcW w:w="1191" w:type="dxa"/>
            <w:shd w:val="clear" w:color="auto" w:fill="005CAF"/>
          </w:tcPr>
          <w:p w14:paraId="35E1286C" w14:textId="77777777" w:rsidR="00142630" w:rsidRPr="00142630" w:rsidRDefault="00142630" w:rsidP="00142630">
            <w:pPr>
              <w:pStyle w:val="Tablebodytext"/>
              <w:jc w:val="center"/>
              <w:rPr>
                <w:color w:val="FFFFFF" w:themeColor="background2"/>
              </w:rPr>
            </w:pPr>
            <w:r w:rsidRPr="00142630">
              <w:rPr>
                <w:color w:val="FFFFFF" w:themeColor="background2"/>
              </w:rPr>
              <w:t>Software</w:t>
            </w:r>
          </w:p>
        </w:tc>
        <w:tc>
          <w:tcPr>
            <w:tcW w:w="1191" w:type="dxa"/>
            <w:shd w:val="clear" w:color="auto" w:fill="005CAF"/>
          </w:tcPr>
          <w:p w14:paraId="35E1286D" w14:textId="77777777" w:rsidR="00142630" w:rsidRPr="00142630" w:rsidRDefault="00142630" w:rsidP="00142630">
            <w:pPr>
              <w:pStyle w:val="Tablebodytext"/>
              <w:jc w:val="center"/>
              <w:rPr>
                <w:color w:val="FFFFFF" w:themeColor="background2"/>
              </w:rPr>
            </w:pPr>
            <w:r w:rsidRPr="00142630">
              <w:rPr>
                <w:color w:val="FFFFFF" w:themeColor="background2"/>
              </w:rPr>
              <w:t>Investment</w:t>
            </w:r>
          </w:p>
        </w:tc>
        <w:tc>
          <w:tcPr>
            <w:tcW w:w="1191" w:type="dxa"/>
            <w:shd w:val="clear" w:color="auto" w:fill="005CAF"/>
          </w:tcPr>
          <w:p w14:paraId="35E1286E" w14:textId="77777777" w:rsidR="00142630" w:rsidRPr="00142630" w:rsidRDefault="00142630" w:rsidP="00142630">
            <w:pPr>
              <w:pStyle w:val="Tablebodytext"/>
              <w:jc w:val="center"/>
              <w:rPr>
                <w:color w:val="FFFFFF" w:themeColor="background2"/>
              </w:rPr>
            </w:pPr>
            <w:r w:rsidRPr="00142630">
              <w:rPr>
                <w:color w:val="FFFFFF" w:themeColor="background2"/>
              </w:rPr>
              <w:t>Services</w:t>
            </w:r>
          </w:p>
        </w:tc>
        <w:tc>
          <w:tcPr>
            <w:tcW w:w="1191" w:type="dxa"/>
            <w:shd w:val="clear" w:color="auto" w:fill="005CAF"/>
          </w:tcPr>
          <w:p w14:paraId="35E1286F" w14:textId="77777777" w:rsidR="00142630" w:rsidRPr="00142630" w:rsidRDefault="00142630" w:rsidP="00142630">
            <w:pPr>
              <w:pStyle w:val="Tablebodytext"/>
              <w:jc w:val="center"/>
              <w:rPr>
                <w:color w:val="FFFFFF" w:themeColor="background2"/>
              </w:rPr>
            </w:pPr>
            <w:r w:rsidRPr="00142630">
              <w:rPr>
                <w:color w:val="FFFFFF" w:themeColor="background2"/>
              </w:rPr>
              <w:t>Experts</w:t>
            </w:r>
          </w:p>
        </w:tc>
        <w:tc>
          <w:tcPr>
            <w:tcW w:w="1191" w:type="dxa"/>
            <w:shd w:val="clear" w:color="auto" w:fill="005CAF"/>
          </w:tcPr>
          <w:p w14:paraId="35E12870" w14:textId="77777777" w:rsidR="00142630" w:rsidRPr="00142630" w:rsidRDefault="00142630" w:rsidP="00142630">
            <w:pPr>
              <w:pStyle w:val="Tablebodytext"/>
              <w:jc w:val="center"/>
              <w:rPr>
                <w:color w:val="FFFFFF" w:themeColor="background2"/>
              </w:rPr>
            </w:pPr>
            <w:r w:rsidRPr="00142630">
              <w:rPr>
                <w:color w:val="FFFFFF" w:themeColor="background2"/>
              </w:rPr>
              <w:t>Digital</w:t>
            </w:r>
          </w:p>
        </w:tc>
      </w:tr>
      <w:tr w:rsidR="00142630" w14:paraId="35E12878" w14:textId="77777777" w:rsidTr="000F69EA">
        <w:trPr>
          <w:cnfStyle w:val="000000010000" w:firstRow="0" w:lastRow="0" w:firstColumn="0" w:lastColumn="0" w:oddVBand="0" w:evenVBand="0" w:oddHBand="0" w:evenHBand="1" w:firstRowFirstColumn="0" w:firstRowLastColumn="0" w:lastRowFirstColumn="0" w:lastRowLastColumn="0"/>
        </w:trPr>
        <w:tc>
          <w:tcPr>
            <w:tcW w:w="1191" w:type="dxa"/>
          </w:tcPr>
          <w:p w14:paraId="35E12872" w14:textId="77777777" w:rsidR="00142630" w:rsidRDefault="00142630" w:rsidP="00142630">
            <w:pPr>
              <w:pStyle w:val="Tablebodytext"/>
            </w:pPr>
            <w:r>
              <w:t xml:space="preserve"> Mean</w:t>
            </w:r>
          </w:p>
        </w:tc>
        <w:tc>
          <w:tcPr>
            <w:tcW w:w="1191" w:type="dxa"/>
          </w:tcPr>
          <w:p w14:paraId="35E12873" w14:textId="77777777" w:rsidR="00142630" w:rsidRDefault="00142630" w:rsidP="00142630">
            <w:pPr>
              <w:pStyle w:val="Tablebodytext"/>
              <w:jc w:val="center"/>
            </w:pPr>
            <w:r>
              <w:t>-0.012</w:t>
            </w:r>
          </w:p>
        </w:tc>
        <w:tc>
          <w:tcPr>
            <w:tcW w:w="1191" w:type="dxa"/>
          </w:tcPr>
          <w:p w14:paraId="35E12874" w14:textId="77777777" w:rsidR="00142630" w:rsidRDefault="00142630" w:rsidP="00142630">
            <w:pPr>
              <w:pStyle w:val="Tablebodytext"/>
              <w:jc w:val="center"/>
            </w:pPr>
            <w:r>
              <w:t>-0.041</w:t>
            </w:r>
          </w:p>
        </w:tc>
        <w:tc>
          <w:tcPr>
            <w:tcW w:w="1191" w:type="dxa"/>
          </w:tcPr>
          <w:p w14:paraId="35E12875" w14:textId="77777777" w:rsidR="00142630" w:rsidRDefault="00142630" w:rsidP="00142630">
            <w:pPr>
              <w:pStyle w:val="Tablebodytext"/>
              <w:jc w:val="center"/>
            </w:pPr>
            <w:r>
              <w:t>-0.145</w:t>
            </w:r>
          </w:p>
        </w:tc>
        <w:tc>
          <w:tcPr>
            <w:tcW w:w="1191" w:type="dxa"/>
          </w:tcPr>
          <w:p w14:paraId="35E12876" w14:textId="77777777" w:rsidR="00142630" w:rsidRDefault="00142630" w:rsidP="00142630">
            <w:pPr>
              <w:pStyle w:val="Tablebodytext"/>
              <w:jc w:val="center"/>
            </w:pPr>
            <w:r>
              <w:t>-0.167</w:t>
            </w:r>
          </w:p>
        </w:tc>
        <w:tc>
          <w:tcPr>
            <w:tcW w:w="1191" w:type="dxa"/>
          </w:tcPr>
          <w:p w14:paraId="35E12877" w14:textId="77777777" w:rsidR="00142630" w:rsidRDefault="00142630" w:rsidP="00142630">
            <w:pPr>
              <w:pStyle w:val="Tablebodytext"/>
              <w:jc w:val="center"/>
            </w:pPr>
            <w:r>
              <w:t>0.000</w:t>
            </w:r>
          </w:p>
        </w:tc>
      </w:tr>
      <w:tr w:rsidR="00142630" w14:paraId="35E1287F" w14:textId="77777777" w:rsidTr="000F69EA">
        <w:trPr>
          <w:cnfStyle w:val="000000100000" w:firstRow="0" w:lastRow="0" w:firstColumn="0" w:lastColumn="0" w:oddVBand="0" w:evenVBand="0" w:oddHBand="1" w:evenHBand="0" w:firstRowFirstColumn="0" w:firstRowLastColumn="0" w:lastRowFirstColumn="0" w:lastRowLastColumn="0"/>
        </w:trPr>
        <w:tc>
          <w:tcPr>
            <w:tcW w:w="1191" w:type="dxa"/>
          </w:tcPr>
          <w:p w14:paraId="35E12879" w14:textId="77777777" w:rsidR="00142630" w:rsidRDefault="00142630" w:rsidP="00142630">
            <w:pPr>
              <w:pStyle w:val="Tablebodytext"/>
            </w:pPr>
            <w:r>
              <w:t>Std.Dev</w:t>
            </w:r>
          </w:p>
        </w:tc>
        <w:tc>
          <w:tcPr>
            <w:tcW w:w="1191" w:type="dxa"/>
          </w:tcPr>
          <w:p w14:paraId="35E1287A" w14:textId="77777777" w:rsidR="00142630" w:rsidRDefault="00142630" w:rsidP="00142630">
            <w:pPr>
              <w:pStyle w:val="Tablebodytext"/>
              <w:jc w:val="center"/>
            </w:pPr>
            <w:r>
              <w:t>1.030</w:t>
            </w:r>
          </w:p>
        </w:tc>
        <w:tc>
          <w:tcPr>
            <w:tcW w:w="1191" w:type="dxa"/>
          </w:tcPr>
          <w:p w14:paraId="35E1287B" w14:textId="77777777" w:rsidR="00142630" w:rsidRDefault="00142630" w:rsidP="00142630">
            <w:pPr>
              <w:pStyle w:val="Tablebodytext"/>
              <w:jc w:val="center"/>
            </w:pPr>
            <w:r>
              <w:t>0.866</w:t>
            </w:r>
          </w:p>
        </w:tc>
        <w:tc>
          <w:tcPr>
            <w:tcW w:w="1191" w:type="dxa"/>
          </w:tcPr>
          <w:p w14:paraId="35E1287C" w14:textId="77777777" w:rsidR="00142630" w:rsidRDefault="00142630" w:rsidP="00142630">
            <w:pPr>
              <w:pStyle w:val="Tablebodytext"/>
              <w:jc w:val="center"/>
            </w:pPr>
            <w:r>
              <w:t>0.661</w:t>
            </w:r>
          </w:p>
        </w:tc>
        <w:tc>
          <w:tcPr>
            <w:tcW w:w="1191" w:type="dxa"/>
          </w:tcPr>
          <w:p w14:paraId="35E1287D" w14:textId="77777777" w:rsidR="00142630" w:rsidRDefault="00142630" w:rsidP="00142630">
            <w:pPr>
              <w:pStyle w:val="Tablebodytext"/>
              <w:jc w:val="center"/>
            </w:pPr>
            <w:r>
              <w:t>0.601</w:t>
            </w:r>
          </w:p>
        </w:tc>
        <w:tc>
          <w:tcPr>
            <w:tcW w:w="1191" w:type="dxa"/>
          </w:tcPr>
          <w:p w14:paraId="35E1287E" w14:textId="77777777" w:rsidR="00142630" w:rsidRDefault="00142630" w:rsidP="00142630">
            <w:pPr>
              <w:pStyle w:val="Tablebodytext"/>
              <w:jc w:val="center"/>
            </w:pPr>
            <w:r>
              <w:t>1.691</w:t>
            </w:r>
          </w:p>
        </w:tc>
      </w:tr>
      <w:tr w:rsidR="00142630" w14:paraId="35E12886" w14:textId="77777777" w:rsidTr="000F69EA">
        <w:trPr>
          <w:cnfStyle w:val="000000010000" w:firstRow="0" w:lastRow="0" w:firstColumn="0" w:lastColumn="0" w:oddVBand="0" w:evenVBand="0" w:oddHBand="0" w:evenHBand="1" w:firstRowFirstColumn="0" w:firstRowLastColumn="0" w:lastRowFirstColumn="0" w:lastRowLastColumn="0"/>
        </w:trPr>
        <w:tc>
          <w:tcPr>
            <w:tcW w:w="1191" w:type="dxa"/>
          </w:tcPr>
          <w:p w14:paraId="35E12880" w14:textId="77777777" w:rsidR="00142630" w:rsidRDefault="00142630" w:rsidP="00142630">
            <w:pPr>
              <w:pStyle w:val="Tablebodytext"/>
            </w:pPr>
            <w:r>
              <w:t>Qrtl1</w:t>
            </w:r>
          </w:p>
        </w:tc>
        <w:tc>
          <w:tcPr>
            <w:tcW w:w="1191" w:type="dxa"/>
          </w:tcPr>
          <w:p w14:paraId="35E12881" w14:textId="77777777" w:rsidR="00142630" w:rsidRDefault="00142630" w:rsidP="00142630">
            <w:pPr>
              <w:pStyle w:val="Tablebodytext"/>
              <w:jc w:val="center"/>
            </w:pPr>
            <w:r>
              <w:t>-0.600</w:t>
            </w:r>
          </w:p>
        </w:tc>
        <w:tc>
          <w:tcPr>
            <w:tcW w:w="1191" w:type="dxa"/>
          </w:tcPr>
          <w:p w14:paraId="35E12882" w14:textId="77777777" w:rsidR="00142630" w:rsidRDefault="00142630" w:rsidP="00142630">
            <w:pPr>
              <w:pStyle w:val="Tablebodytext"/>
              <w:jc w:val="center"/>
            </w:pPr>
            <w:r>
              <w:t>-0.600</w:t>
            </w:r>
          </w:p>
        </w:tc>
        <w:tc>
          <w:tcPr>
            <w:tcW w:w="1191" w:type="dxa"/>
          </w:tcPr>
          <w:p w14:paraId="35E12883" w14:textId="77777777" w:rsidR="00142630" w:rsidRDefault="00142630" w:rsidP="00142630">
            <w:pPr>
              <w:pStyle w:val="Tablebodytext"/>
              <w:jc w:val="center"/>
            </w:pPr>
            <w:r>
              <w:t>-0.400</w:t>
            </w:r>
          </w:p>
        </w:tc>
        <w:tc>
          <w:tcPr>
            <w:tcW w:w="1191" w:type="dxa"/>
          </w:tcPr>
          <w:p w14:paraId="35E12884" w14:textId="77777777" w:rsidR="00142630" w:rsidRDefault="00142630" w:rsidP="00142630">
            <w:pPr>
              <w:pStyle w:val="Tablebodytext"/>
              <w:jc w:val="center"/>
            </w:pPr>
            <w:r>
              <w:t>-0.300</w:t>
            </w:r>
          </w:p>
        </w:tc>
        <w:tc>
          <w:tcPr>
            <w:tcW w:w="1191" w:type="dxa"/>
          </w:tcPr>
          <w:p w14:paraId="35E12885" w14:textId="77777777" w:rsidR="00142630" w:rsidRDefault="00142630" w:rsidP="00142630">
            <w:pPr>
              <w:pStyle w:val="Tablebodytext"/>
              <w:jc w:val="center"/>
            </w:pPr>
            <w:r>
              <w:t>-0.875</w:t>
            </w:r>
          </w:p>
        </w:tc>
      </w:tr>
      <w:tr w:rsidR="00142630" w14:paraId="35E1288D" w14:textId="77777777" w:rsidTr="000F69EA">
        <w:trPr>
          <w:cnfStyle w:val="000000100000" w:firstRow="0" w:lastRow="0" w:firstColumn="0" w:lastColumn="0" w:oddVBand="0" w:evenVBand="0" w:oddHBand="1" w:evenHBand="0" w:firstRowFirstColumn="0" w:firstRowLastColumn="0" w:lastRowFirstColumn="0" w:lastRowLastColumn="0"/>
        </w:trPr>
        <w:tc>
          <w:tcPr>
            <w:tcW w:w="1191" w:type="dxa"/>
          </w:tcPr>
          <w:p w14:paraId="35E12887" w14:textId="77777777" w:rsidR="00142630" w:rsidRDefault="00142630" w:rsidP="00142630">
            <w:pPr>
              <w:pStyle w:val="Tablebodytext"/>
            </w:pPr>
            <w:r>
              <w:t>Median</w:t>
            </w:r>
          </w:p>
        </w:tc>
        <w:tc>
          <w:tcPr>
            <w:tcW w:w="1191" w:type="dxa"/>
          </w:tcPr>
          <w:p w14:paraId="35E12888" w14:textId="77777777" w:rsidR="00142630" w:rsidRDefault="00142630" w:rsidP="00142630">
            <w:pPr>
              <w:pStyle w:val="Tablebodytext"/>
              <w:jc w:val="center"/>
            </w:pPr>
            <w:r>
              <w:t>-0.400</w:t>
            </w:r>
          </w:p>
        </w:tc>
        <w:tc>
          <w:tcPr>
            <w:tcW w:w="1191" w:type="dxa"/>
          </w:tcPr>
          <w:p w14:paraId="35E12889" w14:textId="77777777" w:rsidR="00142630" w:rsidRDefault="00142630" w:rsidP="00142630">
            <w:pPr>
              <w:pStyle w:val="Tablebodytext"/>
              <w:jc w:val="center"/>
            </w:pPr>
            <w:r>
              <w:t>-0.350</w:t>
            </w:r>
          </w:p>
        </w:tc>
        <w:tc>
          <w:tcPr>
            <w:tcW w:w="1191" w:type="dxa"/>
          </w:tcPr>
          <w:p w14:paraId="35E1288A" w14:textId="77777777" w:rsidR="00142630" w:rsidRDefault="00142630" w:rsidP="00142630">
            <w:pPr>
              <w:pStyle w:val="Tablebodytext"/>
              <w:jc w:val="center"/>
            </w:pPr>
            <w:r>
              <w:t>-0.300</w:t>
            </w:r>
          </w:p>
        </w:tc>
        <w:tc>
          <w:tcPr>
            <w:tcW w:w="1191" w:type="dxa"/>
          </w:tcPr>
          <w:p w14:paraId="35E1288B" w14:textId="77777777" w:rsidR="00142630" w:rsidRDefault="00142630" w:rsidP="00142630">
            <w:pPr>
              <w:pStyle w:val="Tablebodytext"/>
              <w:jc w:val="center"/>
            </w:pPr>
            <w:r>
              <w:t>-0.300</w:t>
            </w:r>
          </w:p>
        </w:tc>
        <w:tc>
          <w:tcPr>
            <w:tcW w:w="1191" w:type="dxa"/>
          </w:tcPr>
          <w:p w14:paraId="35E1288C" w14:textId="77777777" w:rsidR="00142630" w:rsidRDefault="00142630" w:rsidP="00142630">
            <w:pPr>
              <w:pStyle w:val="Tablebodytext"/>
              <w:jc w:val="center"/>
            </w:pPr>
            <w:r>
              <w:t>-0.548</w:t>
            </w:r>
          </w:p>
        </w:tc>
      </w:tr>
      <w:tr w:rsidR="00142630" w14:paraId="35E12894" w14:textId="77777777" w:rsidTr="000F69EA">
        <w:trPr>
          <w:cnfStyle w:val="000000010000" w:firstRow="0" w:lastRow="0" w:firstColumn="0" w:lastColumn="0" w:oddVBand="0" w:evenVBand="0" w:oddHBand="0" w:evenHBand="1" w:firstRowFirstColumn="0" w:firstRowLastColumn="0" w:lastRowFirstColumn="0" w:lastRowLastColumn="0"/>
        </w:trPr>
        <w:tc>
          <w:tcPr>
            <w:tcW w:w="1191" w:type="dxa"/>
          </w:tcPr>
          <w:p w14:paraId="35E1288E" w14:textId="77777777" w:rsidR="00142630" w:rsidRDefault="00142630" w:rsidP="00142630">
            <w:pPr>
              <w:pStyle w:val="Tablebodytext"/>
            </w:pPr>
            <w:r>
              <w:t>Qrtl3</w:t>
            </w:r>
          </w:p>
        </w:tc>
        <w:tc>
          <w:tcPr>
            <w:tcW w:w="1191" w:type="dxa"/>
          </w:tcPr>
          <w:p w14:paraId="35E1288F" w14:textId="77777777" w:rsidR="00142630" w:rsidRDefault="00142630" w:rsidP="00142630">
            <w:pPr>
              <w:pStyle w:val="Tablebodytext"/>
              <w:jc w:val="center"/>
            </w:pPr>
            <w:r>
              <w:t>0.600</w:t>
            </w:r>
          </w:p>
        </w:tc>
        <w:tc>
          <w:tcPr>
            <w:tcW w:w="1191" w:type="dxa"/>
          </w:tcPr>
          <w:p w14:paraId="35E12890" w14:textId="77777777" w:rsidR="00142630" w:rsidRDefault="00142630" w:rsidP="00142630">
            <w:pPr>
              <w:pStyle w:val="Tablebodytext"/>
              <w:jc w:val="center"/>
            </w:pPr>
            <w:r>
              <w:t>0.400</w:t>
            </w:r>
          </w:p>
        </w:tc>
        <w:tc>
          <w:tcPr>
            <w:tcW w:w="1191" w:type="dxa"/>
          </w:tcPr>
          <w:p w14:paraId="35E12891" w14:textId="77777777" w:rsidR="00142630" w:rsidRDefault="00142630" w:rsidP="00142630">
            <w:pPr>
              <w:pStyle w:val="Tablebodytext"/>
              <w:jc w:val="center"/>
            </w:pPr>
            <w:r>
              <w:t>-0.100</w:t>
            </w:r>
          </w:p>
        </w:tc>
        <w:tc>
          <w:tcPr>
            <w:tcW w:w="1191" w:type="dxa"/>
          </w:tcPr>
          <w:p w14:paraId="35E12892" w14:textId="77777777" w:rsidR="00142630" w:rsidRDefault="00142630" w:rsidP="00142630">
            <w:pPr>
              <w:pStyle w:val="Tablebodytext"/>
              <w:jc w:val="center"/>
            </w:pPr>
            <w:r>
              <w:t>-0.200</w:t>
            </w:r>
          </w:p>
        </w:tc>
        <w:tc>
          <w:tcPr>
            <w:tcW w:w="1191" w:type="dxa"/>
          </w:tcPr>
          <w:p w14:paraId="35E12893" w14:textId="77777777" w:rsidR="00142630" w:rsidRDefault="00142630" w:rsidP="00142630">
            <w:pPr>
              <w:pStyle w:val="Tablebodytext"/>
              <w:jc w:val="center"/>
            </w:pPr>
            <w:r>
              <w:t>0.492</w:t>
            </w:r>
          </w:p>
        </w:tc>
      </w:tr>
      <w:tr w:rsidR="00142630" w14:paraId="35E1289B" w14:textId="77777777" w:rsidTr="000F69EA">
        <w:trPr>
          <w:cnfStyle w:val="000000100000" w:firstRow="0" w:lastRow="0" w:firstColumn="0" w:lastColumn="0" w:oddVBand="0" w:evenVBand="0" w:oddHBand="1" w:evenHBand="0" w:firstRowFirstColumn="0" w:firstRowLastColumn="0" w:lastRowFirstColumn="0" w:lastRowLastColumn="0"/>
        </w:trPr>
        <w:tc>
          <w:tcPr>
            <w:tcW w:w="1191" w:type="dxa"/>
          </w:tcPr>
          <w:p w14:paraId="35E12895" w14:textId="77777777" w:rsidR="00142630" w:rsidRDefault="00142630" w:rsidP="00142630">
            <w:pPr>
              <w:pStyle w:val="Tablebodytext"/>
            </w:pPr>
            <w:r>
              <w:t>#Obs</w:t>
            </w:r>
          </w:p>
        </w:tc>
        <w:tc>
          <w:tcPr>
            <w:tcW w:w="1191" w:type="dxa"/>
          </w:tcPr>
          <w:p w14:paraId="35E12896" w14:textId="77777777" w:rsidR="00142630" w:rsidRDefault="00142630" w:rsidP="00142630">
            <w:pPr>
              <w:pStyle w:val="Tablebodytext"/>
              <w:jc w:val="center"/>
            </w:pPr>
            <w:r>
              <w:t>214</w:t>
            </w:r>
          </w:p>
        </w:tc>
        <w:tc>
          <w:tcPr>
            <w:tcW w:w="1191" w:type="dxa"/>
          </w:tcPr>
          <w:p w14:paraId="35E12897" w14:textId="77777777" w:rsidR="00142630" w:rsidRDefault="00142630" w:rsidP="00142630">
            <w:pPr>
              <w:pStyle w:val="Tablebodytext"/>
              <w:jc w:val="center"/>
            </w:pPr>
            <w:r>
              <w:t>214</w:t>
            </w:r>
          </w:p>
        </w:tc>
        <w:tc>
          <w:tcPr>
            <w:tcW w:w="1191" w:type="dxa"/>
          </w:tcPr>
          <w:p w14:paraId="35E12898" w14:textId="77777777" w:rsidR="00142630" w:rsidRDefault="00142630" w:rsidP="00142630">
            <w:pPr>
              <w:pStyle w:val="Tablebodytext"/>
              <w:jc w:val="center"/>
            </w:pPr>
            <w:r>
              <w:t>214</w:t>
            </w:r>
          </w:p>
        </w:tc>
        <w:tc>
          <w:tcPr>
            <w:tcW w:w="1191" w:type="dxa"/>
          </w:tcPr>
          <w:p w14:paraId="35E12899" w14:textId="77777777" w:rsidR="00142630" w:rsidRDefault="00142630" w:rsidP="00142630">
            <w:pPr>
              <w:pStyle w:val="Tablebodytext"/>
              <w:jc w:val="center"/>
            </w:pPr>
            <w:r>
              <w:t>214</w:t>
            </w:r>
          </w:p>
        </w:tc>
        <w:tc>
          <w:tcPr>
            <w:tcW w:w="1191" w:type="dxa"/>
          </w:tcPr>
          <w:p w14:paraId="35E1289A" w14:textId="77777777" w:rsidR="00142630" w:rsidRDefault="00142630" w:rsidP="00142630">
            <w:pPr>
              <w:pStyle w:val="Tablebodytext"/>
              <w:jc w:val="center"/>
            </w:pPr>
            <w:r>
              <w:t>214</w:t>
            </w:r>
          </w:p>
        </w:tc>
      </w:tr>
    </w:tbl>
    <w:p w14:paraId="35E1289C" w14:textId="77777777" w:rsidR="00142630" w:rsidRDefault="0093214E" w:rsidP="00E63064">
      <w:pPr>
        <w:pStyle w:val="Source"/>
      </w:pPr>
      <w:r>
        <w:t>Source: Department of Industry, Innovation and Science (2019)</w:t>
      </w:r>
    </w:p>
    <w:p w14:paraId="35E1289D" w14:textId="77777777" w:rsidR="00F32754" w:rsidRDefault="00F32754" w:rsidP="00F05816">
      <w:pPr>
        <w:spacing w:before="240" w:line="270" w:lineRule="exact"/>
        <w:ind w:left="0"/>
      </w:pPr>
      <w:r>
        <w:t xml:space="preserve">The least digitally mature industries, by their </w:t>
      </w:r>
      <w:r>
        <w:rPr>
          <w:i/>
          <w:iCs/>
        </w:rPr>
        <w:t>Digital</w:t>
      </w:r>
      <w:r>
        <w:t xml:space="preserve"> score, tend to be in Agriculture. The most digitally mature industries are from Professional, Scientific and Technical Services, Telecommunication (ANZSIC 580), and Internet Providers and Data Processing (ANZSIC 59).</w:t>
      </w:r>
    </w:p>
    <w:p w14:paraId="35E1289E" w14:textId="2C4AB276" w:rsidR="00F32754" w:rsidRDefault="00F32754" w:rsidP="00F05816">
      <w:pPr>
        <w:spacing w:before="120" w:line="270" w:lineRule="exact"/>
        <w:ind w:left="0"/>
      </w:pPr>
      <w:r>
        <w:t>On another front, the derived digital index correlates positively with the HHI index. The correlation between the two indexes stands at 0.065 (with a p-value of almost zero) which is rather small but statistically significant. In other words, digitally mature industries tend to be more concentrated and, as suggested by Figure </w:t>
      </w:r>
      <w:r w:rsidR="006743D7">
        <w:t>4.2</w:t>
      </w:r>
      <w:r>
        <w:t>, could potentially be the driving force behind the increasing market concentration.</w:t>
      </w:r>
    </w:p>
    <w:p w14:paraId="35E1289F" w14:textId="77777777" w:rsidR="00F32754" w:rsidRDefault="00F32754" w:rsidP="00F05816">
      <w:pPr>
        <w:spacing w:line="270" w:lineRule="exact"/>
        <w:ind w:left="0"/>
      </w:pPr>
      <w:r>
        <w:t xml:space="preserve">I formally test this hypothesis using the following model: </w:t>
      </w:r>
    </w:p>
    <w:p w14:paraId="35E128A0" w14:textId="77777777" w:rsidR="00F32754" w:rsidRDefault="00F32754" w:rsidP="00625CBF">
      <w:pPr>
        <w:pStyle w:val="equationNum"/>
        <w:tabs>
          <w:tab w:val="center" w:pos="4019"/>
          <w:tab w:val="right" w:pos="8038"/>
        </w:tabs>
        <w:spacing w:line="270" w:lineRule="exact"/>
      </w:pPr>
      <w:r>
        <w:tab/>
      </w:r>
      <w:r>
        <w:fldChar w:fldCharType="begin"/>
      </w:r>
      <w:r>
        <w:instrText xml:space="preserve"> EQ Δ\s\do5(</w:instrText>
      </w:r>
      <w:r>
        <w:rPr>
          <w:sz w:val="16"/>
          <w:szCs w:val="16"/>
        </w:rPr>
        <w:instrText>2</w:instrText>
      </w:r>
      <w:r>
        <w:instrText>)</w:instrText>
      </w:r>
      <w:r>
        <w:rPr>
          <w:i/>
          <w:iCs/>
        </w:rPr>
        <w:instrText>H</w:instrText>
      </w:r>
      <w:r>
        <w:instrText>\s\do5(</w:instrText>
      </w:r>
      <w:r>
        <w:rPr>
          <w:i/>
          <w:iCs/>
          <w:sz w:val="16"/>
          <w:szCs w:val="16"/>
        </w:rPr>
        <w:instrText>it</w:instrText>
      </w:r>
      <w:r>
        <w:instrText>)=</w:instrText>
      </w:r>
      <w:r>
        <w:rPr>
          <w:i/>
          <w:iCs/>
        </w:rPr>
        <w:instrText>a</w:instrText>
      </w:r>
      <w:r>
        <w:instrText>\s\do5(</w:instrText>
      </w:r>
      <w:r>
        <w:rPr>
          <w:sz w:val="16"/>
          <w:szCs w:val="16"/>
        </w:rPr>
        <w:instrText>0</w:instrText>
      </w:r>
      <w:r>
        <w:instrText>)+</w:instrText>
      </w:r>
      <w:r>
        <w:rPr>
          <w:i/>
          <w:iCs/>
        </w:rPr>
        <w:instrText>a</w:instrText>
      </w:r>
      <w:r>
        <w:instrText>\s\do5(</w:instrText>
      </w:r>
      <w:r>
        <w:rPr>
          <w:sz w:val="16"/>
          <w:szCs w:val="16"/>
        </w:rPr>
        <w:instrText>1</w:instrText>
      </w:r>
      <w:r>
        <w:instrText>)</w:instrText>
      </w:r>
      <w:r>
        <w:rPr>
          <w:i/>
          <w:iCs/>
        </w:rPr>
        <w:instrText>H</w:instrText>
      </w:r>
      <w:r>
        <w:instrText>\s\do5(</w:instrText>
      </w:r>
      <w:r>
        <w:rPr>
          <w:i/>
          <w:iCs/>
          <w:sz w:val="16"/>
          <w:szCs w:val="16"/>
        </w:rPr>
        <w:instrText>it</w:instrText>
      </w:r>
      <w:r>
        <w:instrText>)+</w:instrText>
      </w:r>
      <w:r>
        <w:rPr>
          <w:i/>
          <w:iCs/>
        </w:rPr>
        <w:instrText>a</w:instrText>
      </w:r>
      <w:r>
        <w:instrText>\s\do5(</w:instrText>
      </w:r>
      <w:r>
        <w:rPr>
          <w:sz w:val="16"/>
          <w:szCs w:val="16"/>
        </w:rPr>
        <w:instrText>2</w:instrText>
      </w:r>
      <w:r>
        <w:instrText>)</w:instrText>
      </w:r>
      <w:r>
        <w:rPr>
          <w:i/>
          <w:iCs/>
        </w:rPr>
        <w:instrText>Digital</w:instrText>
      </w:r>
      <w:r>
        <w:instrText>\s\do5(</w:instrText>
      </w:r>
      <w:r>
        <w:rPr>
          <w:i/>
          <w:iCs/>
          <w:sz w:val="16"/>
          <w:szCs w:val="16"/>
        </w:rPr>
        <w:instrText>i</w:instrText>
      </w:r>
      <w:r>
        <w:instrText>)+</w:instrText>
      </w:r>
      <w:r>
        <w:rPr>
          <w:i/>
          <w:iCs/>
        </w:rPr>
        <w:instrText>a</w:instrText>
      </w:r>
      <w:r>
        <w:instrText>\s\do5(</w:instrText>
      </w:r>
      <w:r>
        <w:rPr>
          <w:sz w:val="16"/>
          <w:szCs w:val="16"/>
        </w:rPr>
        <w:instrText>3</w:instrText>
      </w:r>
      <w:r>
        <w:instrText>)</w:instrText>
      </w:r>
      <w:r>
        <w:rPr>
          <w:i/>
          <w:iCs/>
        </w:rPr>
        <w:instrText>H</w:instrText>
      </w:r>
      <w:r>
        <w:instrText>\s\do5(</w:instrText>
      </w:r>
      <w:r>
        <w:rPr>
          <w:i/>
          <w:iCs/>
          <w:sz w:val="16"/>
          <w:szCs w:val="16"/>
        </w:rPr>
        <w:instrText>it</w:instrText>
      </w:r>
      <w:r>
        <w:instrText>)×</w:instrText>
      </w:r>
      <w:r>
        <w:rPr>
          <w:i/>
          <w:iCs/>
        </w:rPr>
        <w:instrText>Digital</w:instrText>
      </w:r>
      <w:r>
        <w:instrText>\s\do5(</w:instrText>
      </w:r>
      <w:r>
        <w:rPr>
          <w:i/>
          <w:iCs/>
          <w:sz w:val="16"/>
          <w:szCs w:val="16"/>
        </w:rPr>
        <w:instrText>i</w:instrText>
      </w:r>
      <w:r>
        <w:instrText>)+τ\s\do5(</w:instrText>
      </w:r>
      <w:r>
        <w:rPr>
          <w:i/>
          <w:iCs/>
          <w:sz w:val="16"/>
          <w:szCs w:val="16"/>
        </w:rPr>
        <w:instrText>t</w:instrText>
      </w:r>
      <w:r>
        <w:instrText>)+ε\s\do5(</w:instrText>
      </w:r>
      <w:r>
        <w:rPr>
          <w:i/>
          <w:iCs/>
          <w:sz w:val="16"/>
          <w:szCs w:val="16"/>
        </w:rPr>
        <w:instrText>it</w:instrText>
      </w:r>
      <w:r>
        <w:instrText>)\,</w:instrText>
      </w:r>
      <w:r>
        <w:fldChar w:fldCharType="end"/>
      </w:r>
      <w:r>
        <w:tab/>
        <w:t>(</w:t>
      </w:r>
      <w:bookmarkStart w:id="2" w:name="BMeq_digi_reg"/>
      <w:r>
        <w:t>2</w:t>
      </w:r>
      <w:bookmarkEnd w:id="2"/>
      <w:r>
        <w:t>)</w:t>
      </w:r>
    </w:p>
    <w:p w14:paraId="35E128A1" w14:textId="77777777" w:rsidR="00F32754" w:rsidRDefault="00F32754" w:rsidP="00F32754">
      <w:pPr>
        <w:spacing w:line="270" w:lineRule="exact"/>
        <w:ind w:left="0"/>
      </w:pPr>
      <w:r>
        <w:t xml:space="preserve">in which the dependent is a two-period change in HHI or </w:t>
      </w:r>
    </w:p>
    <w:p w14:paraId="35E128A2" w14:textId="77777777" w:rsidR="00F32754" w:rsidRDefault="00F32754" w:rsidP="00F32754">
      <w:pPr>
        <w:pStyle w:val="equationNum"/>
        <w:tabs>
          <w:tab w:val="center" w:pos="4019"/>
          <w:tab w:val="right" w:pos="8038"/>
        </w:tabs>
        <w:spacing w:line="270" w:lineRule="exact"/>
      </w:pPr>
      <w:r>
        <w:tab/>
      </w:r>
      <w:r>
        <w:fldChar w:fldCharType="begin"/>
      </w:r>
      <w:r>
        <w:instrText xml:space="preserve"> EQ Δ\s\do5(</w:instrText>
      </w:r>
      <w:r>
        <w:rPr>
          <w:sz w:val="16"/>
          <w:szCs w:val="16"/>
        </w:rPr>
        <w:instrText>2</w:instrText>
      </w:r>
      <w:r>
        <w:instrText>)</w:instrText>
      </w:r>
      <w:r>
        <w:rPr>
          <w:i/>
          <w:iCs/>
        </w:rPr>
        <w:instrText>H</w:instrText>
      </w:r>
      <w:r>
        <w:instrText>\s\do5(</w:instrText>
      </w:r>
      <w:r>
        <w:rPr>
          <w:i/>
          <w:iCs/>
          <w:sz w:val="16"/>
          <w:szCs w:val="16"/>
        </w:rPr>
        <w:instrText>it</w:instrText>
      </w:r>
      <w:r>
        <w:instrText>)=</w:instrText>
      </w:r>
      <w:r>
        <w:rPr>
          <w:i/>
          <w:iCs/>
        </w:rPr>
        <w:instrText>H</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+2</w:instrText>
      </w:r>
      <w:r>
        <w:instrText>)−</w:instrText>
      </w:r>
      <w:r>
        <w:rPr>
          <w:i/>
          <w:iCs/>
        </w:rPr>
        <w:instrText>H</w:instrText>
      </w:r>
      <w:r>
        <w:instrText>\s\do5(</w:instrText>
      </w:r>
      <w:r>
        <w:rPr>
          <w:i/>
          <w:iCs/>
          <w:sz w:val="16"/>
          <w:szCs w:val="16"/>
        </w:rPr>
        <w:instrText>it</w:instrText>
      </w:r>
      <w:r>
        <w:instrText>).</w:instrText>
      </w:r>
      <w:r>
        <w:fldChar w:fldCharType="end"/>
      </w:r>
      <w:r>
        <w:tab/>
        <w:t>(</w:t>
      </w:r>
      <w:bookmarkStart w:id="3" w:name="BMeq_dH2"/>
      <w:r>
        <w:t>3</w:t>
      </w:r>
      <w:bookmarkEnd w:id="3"/>
      <w:r>
        <w:t>)</w:t>
      </w:r>
    </w:p>
    <w:p w14:paraId="35E128A3" w14:textId="77777777" w:rsidR="00F32754" w:rsidRDefault="00F32754" w:rsidP="00F05816">
      <w:pPr>
        <w:spacing w:line="270" w:lineRule="exact"/>
        <w:ind w:left="0"/>
      </w:pPr>
      <w:r>
        <w:t>Model (</w:t>
      </w:r>
      <w:fldSimple w:instr="REF BMeq_digi_reg \* MERGEFORMAT ">
        <w:r w:rsidR="00A20DE7">
          <w:t>2</w:t>
        </w:r>
      </w:fldSimple>
      <w:r>
        <w:t xml:space="preserve">) basically tests the effect of digital maturity on the change in HHI. In this model </w:t>
      </w:r>
      <w:r>
        <w:fldChar w:fldCharType="begin"/>
      </w:r>
      <w:r>
        <w:instrText xml:space="preserve"> EQ τ\s\do5(</w:instrText>
      </w:r>
      <w:r>
        <w:rPr>
          <w:i/>
          <w:iCs/>
          <w:sz w:val="16"/>
          <w:szCs w:val="16"/>
        </w:rPr>
        <w:instrText>t</w:instrText>
      </w:r>
      <w:r>
        <w:instrText>)</w:instrText>
      </w:r>
      <w:r>
        <w:fldChar w:fldCharType="end"/>
      </w:r>
      <w:r>
        <w:t xml:space="preserve"> is a set of year dummies that absorb macroeconomic movements irrelevant to digital orientation of industries. </w:t>
      </w:r>
    </w:p>
    <w:p w14:paraId="35E128A4" w14:textId="3F900EDC" w:rsidR="00F32754" w:rsidRDefault="00F32754" w:rsidP="00F05816">
      <w:pPr>
        <w:spacing w:line="270" w:lineRule="exact"/>
        <w:ind w:left="0"/>
      </w:pPr>
      <w:r>
        <w:t>The use of a two-year differencing in (</w:t>
      </w:r>
      <w:fldSimple w:instr="REF BMeq_dH2 \* MERGEFORMAT ">
        <w:r w:rsidR="00A20DE7">
          <w:t>3</w:t>
        </w:r>
      </w:fldSimple>
      <w:r>
        <w:t>) is meant to smooth the dependent variable so that the estimated coefficients are less affected by short term noises.</w:t>
      </w:r>
      <w:r w:rsidRPr="009B6C0E">
        <w:rPr>
          <w:rStyle w:val="FootnoteReference"/>
        </w:rPr>
        <w:footnoteReference w:id="1"/>
      </w:r>
      <w:r>
        <w:t xml:space="preserve"> I will also conduct a few robustness tests in Section </w:t>
      </w:r>
      <w:r w:rsidR="00DE5FEB">
        <w:t>7</w:t>
      </w:r>
      <w:r>
        <w:t xml:space="preserve"> using one-period changes in HHI.</w:t>
      </w:r>
    </w:p>
    <w:p w14:paraId="35E128A5" w14:textId="57A94C33" w:rsidR="00F32754" w:rsidRDefault="00F32754" w:rsidP="00F05816">
      <w:pPr>
        <w:spacing w:before="240" w:line="270" w:lineRule="exact"/>
        <w:ind w:left="0"/>
      </w:pPr>
      <w:r>
        <w:t>The estimated coefficients for model (</w:t>
      </w:r>
      <w:fldSimple w:instr="REF BMeq_digi_reg \* MERGEFORMAT ">
        <w:r w:rsidR="00A20DE7">
          <w:t>2</w:t>
        </w:r>
      </w:fldSimple>
      <w:r>
        <w:t>) are listed in Table </w:t>
      </w:r>
      <w:r w:rsidR="00DB46E3">
        <w:t>5.3</w:t>
      </w:r>
      <w:r>
        <w:t xml:space="preserve">. In column (1), I use all years for estimation. The coefficients suggest that market concentration is on average increasing within industries that are more digitally mature. However, the negative coefficient for the interaction term means that the trend </w:t>
      </w:r>
      <w:r>
        <w:lastRenderedPageBreak/>
        <w:t>is reversed where the industry is both digitally mature and also more concentrated.</w:t>
      </w:r>
    </w:p>
    <w:p w14:paraId="35E128A7" w14:textId="77777777" w:rsidR="001A12CC" w:rsidRDefault="001A12CC" w:rsidP="00E63064">
      <w:pPr>
        <w:pStyle w:val="Caption"/>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3</w:t>
      </w:r>
      <w:r>
        <w:rPr>
          <w:noProof/>
        </w:rPr>
        <w:fldChar w:fldCharType="end"/>
      </w:r>
      <w:r w:rsidRPr="000618FB">
        <w:t xml:space="preserve">: </w:t>
      </w:r>
      <w:r>
        <w:t>The estimated effect of digital maturity on the change in HHI.</w:t>
      </w:r>
    </w:p>
    <w:tbl>
      <w:tblPr>
        <w:tblStyle w:val="OCETable"/>
        <w:tblW w:w="4643" w:type="pct"/>
        <w:tblLook w:val="04A0" w:firstRow="1" w:lastRow="0" w:firstColumn="1" w:lastColumn="0" w:noHBand="0" w:noVBand="1"/>
        <w:tblCaption w:val="Table 5.3"/>
        <w:tblDescription w:val="Estimated coefficients for H are negative and significant in both columns. The coefficcient for Digital is very small and positive and only significant in column (1). Coefficient for the interaction between H and digital is negative and significant in both columns. R-squares are around 0.075."/>
      </w:tblPr>
      <w:tblGrid>
        <w:gridCol w:w="2300"/>
        <w:gridCol w:w="2052"/>
        <w:gridCol w:w="2050"/>
      </w:tblGrid>
      <w:tr w:rsidR="00F32754" w14:paraId="35E128A9" w14:textId="77777777" w:rsidTr="00E25059">
        <w:trPr>
          <w:cnfStyle w:val="100000000000" w:firstRow="1" w:lastRow="0" w:firstColumn="0" w:lastColumn="0" w:oddVBand="0" w:evenVBand="0" w:oddHBand="0" w:evenHBand="0" w:firstRowFirstColumn="0" w:firstRowLastColumn="0" w:lastRowFirstColumn="0" w:lastRowLastColumn="0"/>
          <w:tblHeader/>
        </w:trPr>
        <w:tc>
          <w:tcPr>
            <w:tcW w:w="5000" w:type="pct"/>
            <w:gridSpan w:val="3"/>
            <w:tcBorders>
              <w:bottom w:val="none" w:sz="0" w:space="0" w:color="auto"/>
            </w:tcBorders>
          </w:tcPr>
          <w:p w14:paraId="35E128A8" w14:textId="77777777" w:rsidR="00F32754" w:rsidRDefault="00F32754" w:rsidP="00F32754">
            <w:pPr>
              <w:pStyle w:val="Tableheadertext"/>
            </w:pPr>
            <w:r>
              <w:t xml:space="preserve">Dependent: </w:t>
            </w:r>
            <w:r>
              <w:fldChar w:fldCharType="begin"/>
            </w:r>
            <w:r>
              <w:instrText xml:space="preserve"> EQ Δ\s\do5(</w:instrText>
            </w:r>
            <w:r>
              <w:rPr>
                <w:sz w:val="16"/>
                <w:szCs w:val="16"/>
              </w:rPr>
              <w:instrText>2</w:instrText>
            </w:r>
            <w:r>
              <w:instrText>)</w:instrText>
            </w:r>
            <w:r>
              <w:rPr>
                <w:i/>
                <w:iCs/>
              </w:rPr>
              <w:instrText>H</w:instrText>
            </w:r>
            <w:r>
              <w:fldChar w:fldCharType="end"/>
            </w:r>
          </w:p>
        </w:tc>
      </w:tr>
      <w:tr w:rsidR="00CE784B" w:rsidRPr="00CE784B" w14:paraId="35E128AD" w14:textId="77777777" w:rsidTr="00CE784B">
        <w:trPr>
          <w:cnfStyle w:val="000000100000" w:firstRow="0" w:lastRow="0" w:firstColumn="0" w:lastColumn="0" w:oddVBand="0" w:evenVBand="0" w:oddHBand="1" w:evenHBand="0" w:firstRowFirstColumn="0" w:firstRowLastColumn="0" w:lastRowFirstColumn="0" w:lastRowLastColumn="0"/>
        </w:trPr>
        <w:tc>
          <w:tcPr>
            <w:tcW w:w="1796" w:type="pct"/>
            <w:shd w:val="clear" w:color="auto" w:fill="005CAF"/>
          </w:tcPr>
          <w:p w14:paraId="35E128AA" w14:textId="77777777" w:rsidR="00F32754" w:rsidRPr="00CE784B" w:rsidRDefault="00F32754" w:rsidP="00F32754">
            <w:pPr>
              <w:pStyle w:val="Tablebodytext"/>
              <w:rPr>
                <w:color w:val="FFFFFF" w:themeColor="background2"/>
              </w:rPr>
            </w:pPr>
            <w:r w:rsidRPr="00CE784B">
              <w:rPr>
                <w:color w:val="FFFFFF" w:themeColor="background2"/>
              </w:rPr>
              <w:t>Variable</w:t>
            </w:r>
          </w:p>
        </w:tc>
        <w:tc>
          <w:tcPr>
            <w:tcW w:w="1603" w:type="pct"/>
            <w:shd w:val="clear" w:color="auto" w:fill="005CAF"/>
          </w:tcPr>
          <w:p w14:paraId="35E128AB" w14:textId="77777777" w:rsidR="00F32754" w:rsidRPr="00CE784B" w:rsidRDefault="00F32754" w:rsidP="00F32754">
            <w:pPr>
              <w:pStyle w:val="Tablebodytext"/>
              <w:rPr>
                <w:color w:val="FFFFFF" w:themeColor="background2"/>
              </w:rPr>
            </w:pPr>
            <w:r w:rsidRPr="00CE784B">
              <w:rPr>
                <w:color w:val="FFFFFF" w:themeColor="background2"/>
              </w:rPr>
              <w:t>(1)</w:t>
            </w:r>
          </w:p>
        </w:tc>
        <w:tc>
          <w:tcPr>
            <w:tcW w:w="1601" w:type="pct"/>
            <w:shd w:val="clear" w:color="auto" w:fill="005CAF"/>
          </w:tcPr>
          <w:p w14:paraId="35E128AC" w14:textId="77777777" w:rsidR="00F32754" w:rsidRPr="00CE784B" w:rsidRDefault="00F32754" w:rsidP="00F32754">
            <w:pPr>
              <w:pStyle w:val="Tablebodytext"/>
              <w:rPr>
                <w:color w:val="FFFFFF" w:themeColor="background2"/>
              </w:rPr>
            </w:pPr>
            <w:r w:rsidRPr="00CE784B">
              <w:rPr>
                <w:color w:val="FFFFFF" w:themeColor="background2"/>
              </w:rPr>
              <w:t>(2)</w:t>
            </w:r>
          </w:p>
        </w:tc>
      </w:tr>
      <w:tr w:rsidR="00F32754" w14:paraId="35E128B1" w14:textId="77777777" w:rsidTr="001A12CC">
        <w:trPr>
          <w:cnfStyle w:val="000000010000" w:firstRow="0" w:lastRow="0" w:firstColumn="0" w:lastColumn="0" w:oddVBand="0" w:evenVBand="0" w:oddHBand="0" w:evenHBand="1" w:firstRowFirstColumn="0" w:firstRowLastColumn="0" w:lastRowFirstColumn="0" w:lastRowLastColumn="0"/>
        </w:trPr>
        <w:tc>
          <w:tcPr>
            <w:tcW w:w="1796" w:type="pct"/>
          </w:tcPr>
          <w:p w14:paraId="35E128AE" w14:textId="77777777" w:rsidR="00F32754" w:rsidRDefault="00F32754" w:rsidP="00F32754">
            <w:pPr>
              <w:pStyle w:val="Tablebodytext"/>
            </w:pPr>
            <w:r>
              <w:t xml:space="preserve"> </w:t>
            </w:r>
            <w:r>
              <w:rPr>
                <w:i/>
                <w:iCs/>
              </w:rPr>
              <w:t>H</w:t>
            </w:r>
          </w:p>
        </w:tc>
        <w:tc>
          <w:tcPr>
            <w:tcW w:w="1603" w:type="pct"/>
          </w:tcPr>
          <w:p w14:paraId="35E128AF" w14:textId="77777777" w:rsidR="00F32754" w:rsidRDefault="00F32754" w:rsidP="00F32754">
            <w:pPr>
              <w:pStyle w:val="Tablebodytext"/>
            </w:pPr>
            <w:r>
              <w:t>−0.154***</w:t>
            </w:r>
          </w:p>
        </w:tc>
        <w:tc>
          <w:tcPr>
            <w:tcW w:w="1601" w:type="pct"/>
          </w:tcPr>
          <w:p w14:paraId="35E128B0" w14:textId="77777777" w:rsidR="00F32754" w:rsidRDefault="00F32754" w:rsidP="00F32754">
            <w:pPr>
              <w:pStyle w:val="Tablebodytext"/>
            </w:pPr>
            <w:r>
              <w:t>−0.157***</w:t>
            </w:r>
          </w:p>
        </w:tc>
      </w:tr>
      <w:tr w:rsidR="00F32754" w14:paraId="35E128B5" w14:textId="77777777" w:rsidTr="001A12CC">
        <w:trPr>
          <w:cnfStyle w:val="000000100000" w:firstRow="0" w:lastRow="0" w:firstColumn="0" w:lastColumn="0" w:oddVBand="0" w:evenVBand="0" w:oddHBand="1" w:evenHBand="0" w:firstRowFirstColumn="0" w:firstRowLastColumn="0" w:lastRowFirstColumn="0" w:lastRowLastColumn="0"/>
        </w:trPr>
        <w:tc>
          <w:tcPr>
            <w:tcW w:w="1796" w:type="pct"/>
          </w:tcPr>
          <w:p w14:paraId="35E128B2" w14:textId="77777777" w:rsidR="00F32754" w:rsidRDefault="00F32754" w:rsidP="00F32754">
            <w:pPr>
              <w:pStyle w:val="Tablebodytext"/>
            </w:pPr>
          </w:p>
        </w:tc>
        <w:tc>
          <w:tcPr>
            <w:tcW w:w="1603" w:type="pct"/>
          </w:tcPr>
          <w:p w14:paraId="35E128B3" w14:textId="77777777" w:rsidR="00F32754" w:rsidRDefault="00F32754" w:rsidP="00F32754">
            <w:pPr>
              <w:pStyle w:val="Tablebodytext"/>
            </w:pPr>
            <w:r>
              <w:t>(0.011)</w:t>
            </w:r>
          </w:p>
        </w:tc>
        <w:tc>
          <w:tcPr>
            <w:tcW w:w="1601" w:type="pct"/>
          </w:tcPr>
          <w:p w14:paraId="35E128B4" w14:textId="77777777" w:rsidR="00F32754" w:rsidRDefault="00F32754" w:rsidP="00F32754">
            <w:pPr>
              <w:pStyle w:val="Tablebodytext"/>
            </w:pPr>
            <w:r>
              <w:t>(0.020)</w:t>
            </w:r>
          </w:p>
        </w:tc>
      </w:tr>
      <w:tr w:rsidR="00F32754" w14:paraId="35E128B9" w14:textId="77777777" w:rsidTr="001A12CC">
        <w:trPr>
          <w:cnfStyle w:val="000000010000" w:firstRow="0" w:lastRow="0" w:firstColumn="0" w:lastColumn="0" w:oddVBand="0" w:evenVBand="0" w:oddHBand="0" w:evenHBand="1" w:firstRowFirstColumn="0" w:firstRowLastColumn="0" w:lastRowFirstColumn="0" w:lastRowLastColumn="0"/>
        </w:trPr>
        <w:tc>
          <w:tcPr>
            <w:tcW w:w="1796" w:type="pct"/>
          </w:tcPr>
          <w:p w14:paraId="35E128B6" w14:textId="77777777" w:rsidR="00F32754" w:rsidRDefault="00F32754" w:rsidP="00F32754">
            <w:pPr>
              <w:pStyle w:val="Tablebodytext"/>
            </w:pPr>
            <w:r>
              <w:rPr>
                <w:i/>
                <w:iCs/>
              </w:rPr>
              <w:t>Digital</w:t>
            </w:r>
          </w:p>
        </w:tc>
        <w:tc>
          <w:tcPr>
            <w:tcW w:w="1603" w:type="pct"/>
          </w:tcPr>
          <w:p w14:paraId="35E128B7" w14:textId="77777777" w:rsidR="00F32754" w:rsidRDefault="00F32754" w:rsidP="00F32754">
            <w:pPr>
              <w:pStyle w:val="Tablebodytext"/>
            </w:pPr>
            <w:r>
              <w:t>0.003***</w:t>
            </w:r>
          </w:p>
        </w:tc>
        <w:tc>
          <w:tcPr>
            <w:tcW w:w="1601" w:type="pct"/>
          </w:tcPr>
          <w:p w14:paraId="35E128B8" w14:textId="77777777" w:rsidR="00F32754" w:rsidRDefault="00F32754" w:rsidP="00F32754">
            <w:pPr>
              <w:pStyle w:val="Tablebodytext"/>
            </w:pPr>
            <w:r>
              <w:t>0.003</w:t>
            </w:r>
          </w:p>
        </w:tc>
      </w:tr>
      <w:tr w:rsidR="00F32754" w14:paraId="35E128BD" w14:textId="77777777" w:rsidTr="001A12CC">
        <w:trPr>
          <w:cnfStyle w:val="000000100000" w:firstRow="0" w:lastRow="0" w:firstColumn="0" w:lastColumn="0" w:oddVBand="0" w:evenVBand="0" w:oddHBand="1" w:evenHBand="0" w:firstRowFirstColumn="0" w:firstRowLastColumn="0" w:lastRowFirstColumn="0" w:lastRowLastColumn="0"/>
        </w:trPr>
        <w:tc>
          <w:tcPr>
            <w:tcW w:w="1796" w:type="pct"/>
          </w:tcPr>
          <w:p w14:paraId="35E128BA" w14:textId="77777777" w:rsidR="00F32754" w:rsidRDefault="00F32754" w:rsidP="00F32754">
            <w:pPr>
              <w:pStyle w:val="Tablebodytext"/>
            </w:pPr>
          </w:p>
        </w:tc>
        <w:tc>
          <w:tcPr>
            <w:tcW w:w="1603" w:type="pct"/>
          </w:tcPr>
          <w:p w14:paraId="35E128BB" w14:textId="77777777" w:rsidR="00F32754" w:rsidRDefault="00F32754" w:rsidP="00F32754">
            <w:pPr>
              <w:pStyle w:val="Tablebodytext"/>
            </w:pPr>
            <w:r>
              <w:t>(0.001)</w:t>
            </w:r>
          </w:p>
        </w:tc>
        <w:tc>
          <w:tcPr>
            <w:tcW w:w="1601" w:type="pct"/>
          </w:tcPr>
          <w:p w14:paraId="35E128BC" w14:textId="77777777" w:rsidR="00F32754" w:rsidRDefault="00F32754" w:rsidP="00F32754">
            <w:pPr>
              <w:pStyle w:val="Tablebodytext"/>
            </w:pPr>
            <w:r>
              <w:t>(0.002)</w:t>
            </w:r>
          </w:p>
        </w:tc>
      </w:tr>
      <w:tr w:rsidR="00F32754" w14:paraId="35E128C1" w14:textId="77777777" w:rsidTr="001A12CC">
        <w:trPr>
          <w:cnfStyle w:val="000000010000" w:firstRow="0" w:lastRow="0" w:firstColumn="0" w:lastColumn="0" w:oddVBand="0" w:evenVBand="0" w:oddHBand="0" w:evenHBand="1" w:firstRowFirstColumn="0" w:firstRowLastColumn="0" w:lastRowFirstColumn="0" w:lastRowLastColumn="0"/>
        </w:trPr>
        <w:tc>
          <w:tcPr>
            <w:tcW w:w="1796" w:type="pct"/>
          </w:tcPr>
          <w:p w14:paraId="35E128BE" w14:textId="77777777" w:rsidR="00F32754" w:rsidRDefault="00F32754" w:rsidP="00F32754">
            <w:pPr>
              <w:pStyle w:val="Tablebodytext"/>
            </w:pPr>
            <w:r>
              <w:rPr>
                <w:i/>
                <w:iCs/>
              </w:rPr>
              <w:t>H</w:t>
            </w:r>
            <w:r>
              <w:t>×</w:t>
            </w:r>
            <w:r>
              <w:rPr>
                <w:i/>
                <w:iCs/>
              </w:rPr>
              <w:t>Digital</w:t>
            </w:r>
          </w:p>
        </w:tc>
        <w:tc>
          <w:tcPr>
            <w:tcW w:w="1603" w:type="pct"/>
          </w:tcPr>
          <w:p w14:paraId="35E128BF" w14:textId="77777777" w:rsidR="00F32754" w:rsidRDefault="00F32754" w:rsidP="00F32754">
            <w:pPr>
              <w:pStyle w:val="Tablebodytext"/>
            </w:pPr>
            <w:r>
              <w:t>−0.030***</w:t>
            </w:r>
          </w:p>
        </w:tc>
        <w:tc>
          <w:tcPr>
            <w:tcW w:w="1601" w:type="pct"/>
          </w:tcPr>
          <w:p w14:paraId="35E128C0" w14:textId="77777777" w:rsidR="00F32754" w:rsidRDefault="00F32754" w:rsidP="00F32754">
            <w:pPr>
              <w:pStyle w:val="Tablebodytext"/>
            </w:pPr>
            <w:r>
              <w:t>−0.040***</w:t>
            </w:r>
          </w:p>
        </w:tc>
      </w:tr>
      <w:tr w:rsidR="00F32754" w14:paraId="35E128C5" w14:textId="77777777" w:rsidTr="001A12CC">
        <w:trPr>
          <w:cnfStyle w:val="000000100000" w:firstRow="0" w:lastRow="0" w:firstColumn="0" w:lastColumn="0" w:oddVBand="0" w:evenVBand="0" w:oddHBand="1" w:evenHBand="0" w:firstRowFirstColumn="0" w:firstRowLastColumn="0" w:lastRowFirstColumn="0" w:lastRowLastColumn="0"/>
        </w:trPr>
        <w:tc>
          <w:tcPr>
            <w:tcW w:w="1796" w:type="pct"/>
            <w:tcBorders>
              <w:bottom w:val="single" w:sz="4" w:space="0" w:color="auto"/>
            </w:tcBorders>
          </w:tcPr>
          <w:p w14:paraId="35E128C2" w14:textId="77777777" w:rsidR="00F32754" w:rsidRDefault="00F32754" w:rsidP="00F32754">
            <w:pPr>
              <w:pStyle w:val="Tablebodytext"/>
            </w:pPr>
          </w:p>
        </w:tc>
        <w:tc>
          <w:tcPr>
            <w:tcW w:w="1603" w:type="pct"/>
          </w:tcPr>
          <w:p w14:paraId="35E128C3" w14:textId="77777777" w:rsidR="00F32754" w:rsidRDefault="00F32754" w:rsidP="00F32754">
            <w:pPr>
              <w:pStyle w:val="Tablebodytext"/>
            </w:pPr>
            <w:r>
              <w:t>(0.006)</w:t>
            </w:r>
          </w:p>
        </w:tc>
        <w:tc>
          <w:tcPr>
            <w:tcW w:w="1601" w:type="pct"/>
          </w:tcPr>
          <w:p w14:paraId="35E128C4" w14:textId="77777777" w:rsidR="00F32754" w:rsidRDefault="00F32754" w:rsidP="00F32754">
            <w:pPr>
              <w:pStyle w:val="Tablebodytext"/>
            </w:pPr>
            <w:r>
              <w:t>(0.012)</w:t>
            </w:r>
          </w:p>
        </w:tc>
      </w:tr>
      <w:tr w:rsidR="00F32754" w14:paraId="35E128C9" w14:textId="77777777" w:rsidTr="001A12CC">
        <w:trPr>
          <w:cnfStyle w:val="000000010000" w:firstRow="0" w:lastRow="0" w:firstColumn="0" w:lastColumn="0" w:oddVBand="0" w:evenVBand="0" w:oddHBand="0" w:evenHBand="1" w:firstRowFirstColumn="0" w:firstRowLastColumn="0" w:lastRowFirstColumn="0" w:lastRowLastColumn="0"/>
        </w:trPr>
        <w:tc>
          <w:tcPr>
            <w:tcW w:w="1796" w:type="pct"/>
            <w:tcBorders>
              <w:top w:val="single" w:sz="4" w:space="0" w:color="auto"/>
              <w:bottom w:val="single" w:sz="4" w:space="0" w:color="auto"/>
            </w:tcBorders>
          </w:tcPr>
          <w:p w14:paraId="35E128C6" w14:textId="77777777" w:rsidR="00F32754" w:rsidRDefault="00F32754" w:rsidP="00F32754">
            <w:pPr>
              <w:pStyle w:val="Tablebodytext"/>
            </w:pPr>
            <w:r>
              <w:t xml:space="preserve"> Years:</w:t>
            </w:r>
          </w:p>
        </w:tc>
        <w:tc>
          <w:tcPr>
            <w:tcW w:w="1603" w:type="pct"/>
            <w:tcBorders>
              <w:bottom w:val="single" w:sz="4" w:space="0" w:color="auto"/>
            </w:tcBorders>
          </w:tcPr>
          <w:p w14:paraId="35E128C7" w14:textId="77777777" w:rsidR="00F32754" w:rsidRDefault="00F32754" w:rsidP="00F32754">
            <w:pPr>
              <w:pStyle w:val="Tablebodytext"/>
            </w:pPr>
            <w:r>
              <w:t>All</w:t>
            </w:r>
          </w:p>
        </w:tc>
        <w:tc>
          <w:tcPr>
            <w:tcW w:w="1601" w:type="pct"/>
            <w:tcBorders>
              <w:bottom w:val="single" w:sz="4" w:space="0" w:color="auto"/>
            </w:tcBorders>
          </w:tcPr>
          <w:p w14:paraId="35E128C8" w14:textId="77777777" w:rsidR="00F32754" w:rsidRDefault="00F32754" w:rsidP="00F32754">
            <w:pPr>
              <w:pStyle w:val="Tablebodytext"/>
            </w:pPr>
            <w:r>
              <w:t>2010–2014</w:t>
            </w:r>
          </w:p>
        </w:tc>
      </w:tr>
      <w:tr w:rsidR="00F32754" w14:paraId="35E128CD" w14:textId="77777777" w:rsidTr="001A12CC">
        <w:trPr>
          <w:cnfStyle w:val="000000100000" w:firstRow="0" w:lastRow="0" w:firstColumn="0" w:lastColumn="0" w:oddVBand="0" w:evenVBand="0" w:oddHBand="1" w:evenHBand="0" w:firstRowFirstColumn="0" w:firstRowLastColumn="0" w:lastRowFirstColumn="0" w:lastRowLastColumn="0"/>
        </w:trPr>
        <w:tc>
          <w:tcPr>
            <w:tcW w:w="1796" w:type="pct"/>
            <w:tcBorders>
              <w:top w:val="single" w:sz="4" w:space="0" w:color="auto"/>
            </w:tcBorders>
          </w:tcPr>
          <w:p w14:paraId="35E128CA" w14:textId="77777777" w:rsidR="00F32754" w:rsidRDefault="00F32754" w:rsidP="00F32754">
            <w:pPr>
              <w:pStyle w:val="Tablebodytext"/>
            </w:pPr>
            <w:r>
              <w:t>Adjusted R</w:t>
            </w:r>
            <w:r>
              <w:fldChar w:fldCharType="begin"/>
            </w:r>
            <w:r>
              <w:instrText xml:space="preserve"> EQ \s\up5(</w:instrText>
            </w:r>
            <w:r>
              <w:rPr>
                <w:sz w:val="16"/>
                <w:szCs w:val="16"/>
              </w:rPr>
              <w:instrText>2</w:instrText>
            </w:r>
            <w:r>
              <w:instrText>)</w:instrText>
            </w:r>
            <w:r>
              <w:fldChar w:fldCharType="end"/>
            </w:r>
          </w:p>
        </w:tc>
        <w:tc>
          <w:tcPr>
            <w:tcW w:w="1603" w:type="pct"/>
            <w:tcBorders>
              <w:top w:val="single" w:sz="4" w:space="0" w:color="auto"/>
            </w:tcBorders>
          </w:tcPr>
          <w:p w14:paraId="35E128CB" w14:textId="77777777" w:rsidR="00F32754" w:rsidRDefault="00F32754" w:rsidP="00F32754">
            <w:pPr>
              <w:pStyle w:val="Tablebodytext"/>
            </w:pPr>
            <w:r>
              <w:t>0.075</w:t>
            </w:r>
          </w:p>
        </w:tc>
        <w:tc>
          <w:tcPr>
            <w:tcW w:w="1601" w:type="pct"/>
            <w:tcBorders>
              <w:top w:val="single" w:sz="4" w:space="0" w:color="auto"/>
            </w:tcBorders>
          </w:tcPr>
          <w:p w14:paraId="35E128CC" w14:textId="77777777" w:rsidR="00F32754" w:rsidRDefault="00F32754" w:rsidP="00F32754">
            <w:pPr>
              <w:pStyle w:val="Tablebodytext"/>
            </w:pPr>
            <w:r>
              <w:t>0.076</w:t>
            </w:r>
          </w:p>
        </w:tc>
      </w:tr>
      <w:tr w:rsidR="00F32754" w14:paraId="35E128D1" w14:textId="77777777" w:rsidTr="001A12CC">
        <w:trPr>
          <w:cnfStyle w:val="000000010000" w:firstRow="0" w:lastRow="0" w:firstColumn="0" w:lastColumn="0" w:oddVBand="0" w:evenVBand="0" w:oddHBand="0" w:evenHBand="1" w:firstRowFirstColumn="0" w:firstRowLastColumn="0" w:lastRowFirstColumn="0" w:lastRowLastColumn="0"/>
        </w:trPr>
        <w:tc>
          <w:tcPr>
            <w:tcW w:w="1796" w:type="pct"/>
          </w:tcPr>
          <w:p w14:paraId="35E128CE" w14:textId="77777777" w:rsidR="00F32754" w:rsidRDefault="00F32754" w:rsidP="00F32754">
            <w:pPr>
              <w:pStyle w:val="Tablebodytext"/>
            </w:pPr>
            <w:r>
              <w:t>F Statistic</w:t>
            </w:r>
          </w:p>
        </w:tc>
        <w:tc>
          <w:tcPr>
            <w:tcW w:w="1603" w:type="pct"/>
          </w:tcPr>
          <w:p w14:paraId="35E128CF" w14:textId="77777777" w:rsidR="00F32754" w:rsidRDefault="00F32754" w:rsidP="005760C2">
            <w:pPr>
              <w:pStyle w:val="Tablebodytext"/>
            </w:pPr>
            <w:r>
              <w:t>76.6</w:t>
            </w:r>
            <w:r w:rsidR="005760C2">
              <w:t>***</w:t>
            </w:r>
          </w:p>
        </w:tc>
        <w:tc>
          <w:tcPr>
            <w:tcW w:w="1601" w:type="pct"/>
          </w:tcPr>
          <w:p w14:paraId="35E128D0" w14:textId="77777777" w:rsidR="00F32754" w:rsidRDefault="00F32754" w:rsidP="005760C2">
            <w:pPr>
              <w:pStyle w:val="Tablebodytext"/>
            </w:pPr>
            <w:r>
              <w:t>30.4</w:t>
            </w:r>
            <w:r w:rsidR="005760C2">
              <w:t>***</w:t>
            </w:r>
          </w:p>
        </w:tc>
      </w:tr>
      <w:tr w:rsidR="00F32754" w14:paraId="35E128D5" w14:textId="77777777" w:rsidTr="001A12CC">
        <w:trPr>
          <w:cnfStyle w:val="000000100000" w:firstRow="0" w:lastRow="0" w:firstColumn="0" w:lastColumn="0" w:oddVBand="0" w:evenVBand="0" w:oddHBand="1" w:evenHBand="0" w:firstRowFirstColumn="0" w:firstRowLastColumn="0" w:lastRowFirstColumn="0" w:lastRowLastColumn="0"/>
        </w:trPr>
        <w:tc>
          <w:tcPr>
            <w:tcW w:w="1796" w:type="pct"/>
          </w:tcPr>
          <w:p w14:paraId="35E128D2" w14:textId="77777777" w:rsidR="00F32754" w:rsidRDefault="00F32754" w:rsidP="00F32754">
            <w:pPr>
              <w:pStyle w:val="Tablebodytext"/>
            </w:pPr>
            <w:r>
              <w:t>#Obs</w:t>
            </w:r>
          </w:p>
        </w:tc>
        <w:tc>
          <w:tcPr>
            <w:tcW w:w="1603" w:type="pct"/>
          </w:tcPr>
          <w:p w14:paraId="35E128D3" w14:textId="77777777" w:rsidR="00F32754" w:rsidRDefault="00F32754" w:rsidP="00F32754">
            <w:pPr>
              <w:pStyle w:val="Tablebodytext"/>
            </w:pPr>
            <w:r>
              <w:t>2,665</w:t>
            </w:r>
          </w:p>
        </w:tc>
        <w:tc>
          <w:tcPr>
            <w:tcW w:w="1601" w:type="pct"/>
          </w:tcPr>
          <w:p w14:paraId="35E128D4" w14:textId="77777777" w:rsidR="00F32754" w:rsidRDefault="00F32754" w:rsidP="00F32754">
            <w:pPr>
              <w:pStyle w:val="Tablebodytext"/>
            </w:pPr>
            <w:r>
              <w:t>1,025</w:t>
            </w:r>
          </w:p>
        </w:tc>
      </w:tr>
    </w:tbl>
    <w:p w14:paraId="35E128D6" w14:textId="77777777" w:rsidR="001A12CC" w:rsidRPr="00C62F3A" w:rsidRDefault="001A12CC" w:rsidP="00E63064">
      <w:pPr>
        <w:pStyle w:val="Note"/>
      </w:pPr>
      <w:r>
        <w:t>Notes: Numbers in parentheses are standard errors. *** indicates significance at 1% level.</w:t>
      </w:r>
    </w:p>
    <w:p w14:paraId="35E128D7" w14:textId="77777777" w:rsidR="001A12CC" w:rsidRDefault="001A12CC" w:rsidP="00E63064">
      <w:pPr>
        <w:pStyle w:val="Source"/>
      </w:pPr>
      <w:r>
        <w:t>Source: Department of Industry, Innovation and S</w:t>
      </w:r>
      <w:r w:rsidR="005615F4">
        <w:t>c</w:t>
      </w:r>
      <w:r>
        <w:t>ience</w:t>
      </w:r>
      <w:r w:rsidR="005615F4">
        <w:t xml:space="preserve"> (2019)</w:t>
      </w:r>
    </w:p>
    <w:p w14:paraId="35E128D8" w14:textId="77777777" w:rsidR="00CE784B" w:rsidRDefault="00CE784B" w:rsidP="00F05816">
      <w:pPr>
        <w:spacing w:line="270" w:lineRule="exact"/>
        <w:ind w:left="0"/>
      </w:pPr>
      <w:r>
        <w:t xml:space="preserve">In column (2) of the table, I restrict the years used for estimation to 2010–2014. This sample restriction follows the fact that the index of digital maturity is the most accurate around the years 2011 to 2013. In this case, the only change is that the estimated coefficient for </w:t>
      </w:r>
      <w:r>
        <w:rPr>
          <w:i/>
          <w:iCs/>
        </w:rPr>
        <w:t>Digital</w:t>
      </w:r>
      <w:r>
        <w:t xml:space="preserve"> is not statistically significant anymore. The estimate for the interaction term is still negative and statistically significant. </w:t>
      </w:r>
    </w:p>
    <w:p w14:paraId="35E128D9" w14:textId="77777777" w:rsidR="00CE784B" w:rsidRDefault="00CE784B" w:rsidP="00F05816">
      <w:pPr>
        <w:spacing w:line="270" w:lineRule="exact"/>
        <w:ind w:left="0"/>
      </w:pPr>
      <w:r>
        <w:t xml:space="preserve">At this point, it does not appear that digital maturity explains much about the increasing average HHI post 2007. </w:t>
      </w:r>
    </w:p>
    <w:p w14:paraId="35E128DA" w14:textId="77777777" w:rsidR="001A12CC" w:rsidRDefault="00CE784B" w:rsidP="00F05816">
      <w:pPr>
        <w:pStyle w:val="BodyText"/>
        <w:rPr>
          <w:lang w:val="en"/>
        </w:rPr>
      </w:pPr>
      <w:r>
        <w:t xml:space="preserve">The </w:t>
      </w:r>
      <w:r>
        <w:rPr>
          <w:i/>
          <w:iCs/>
        </w:rPr>
        <w:t>Digital</w:t>
      </w:r>
      <w:r>
        <w:t xml:space="preserve"> index used in (</w:t>
      </w:r>
      <w:fldSimple w:instr="REF BMeq_digi_reg \* MERGEFORMAT ">
        <w:r w:rsidR="00A20DE7">
          <w:t>2</w:t>
        </w:r>
      </w:fldSimple>
      <w:r>
        <w:t xml:space="preserve">) is a combination of four indexes. Some of those indexes might be playing a larger role in the closing of the gap than the others. To investigate this possibility, I replace </w:t>
      </w:r>
      <w:r>
        <w:rPr>
          <w:i/>
          <w:iCs/>
        </w:rPr>
        <w:t>Digital</w:t>
      </w:r>
      <w:r>
        <w:t xml:space="preserve"> in (</w:t>
      </w:r>
      <w:fldSimple w:instr="REF BMeq_digi_reg \* MERGEFORMAT ">
        <w:r w:rsidR="00A20DE7">
          <w:t>2</w:t>
        </w:r>
      </w:fldSimple>
      <w:r>
        <w:t>) with each of the underlying indexes and conduct a separate estimation. These results are listed in Table </w:t>
      </w:r>
      <w:r w:rsidR="00413767">
        <w:t>5.4</w:t>
      </w:r>
      <w:r>
        <w:t>.</w:t>
      </w:r>
    </w:p>
    <w:p w14:paraId="35E128DF" w14:textId="77777777" w:rsidR="001B389A" w:rsidRDefault="001B389A" w:rsidP="004B17CD">
      <w:pPr>
        <w:pStyle w:val="BodyText"/>
        <w:rPr>
          <w:lang w:val="en"/>
        </w:rPr>
      </w:pPr>
    </w:p>
    <w:p w14:paraId="35E128E0" w14:textId="77777777" w:rsidR="001B389A" w:rsidRDefault="001B389A" w:rsidP="00E63064">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4</w:t>
      </w:r>
      <w:r>
        <w:rPr>
          <w:noProof/>
        </w:rPr>
        <w:fldChar w:fldCharType="end"/>
      </w:r>
      <w:r w:rsidRPr="000618FB">
        <w:t xml:space="preserve">: </w:t>
      </w:r>
      <w:r>
        <w:t>The estimated effect of various digital indexes on the change in HHI.</w:t>
      </w:r>
    </w:p>
    <w:tbl>
      <w:tblPr>
        <w:tblStyle w:val="OCETable"/>
        <w:tblW w:w="5017" w:type="pct"/>
        <w:tblLayout w:type="fixed"/>
        <w:tblLook w:val="04A0" w:firstRow="1" w:lastRow="0" w:firstColumn="1" w:lastColumn="0" w:noHBand="0" w:noVBand="1"/>
        <w:tblCaption w:val="Table 5.4"/>
        <w:tblDescription w:val="The coefficient for digital indexes are positive but only signiicant in the last two columns. The coefficients for the interaction term are negative and significant in all columns. The magnitude of all coefficients are larger in the last two columns."/>
      </w:tblPr>
      <w:tblGrid>
        <w:gridCol w:w="1701"/>
        <w:gridCol w:w="1304"/>
        <w:gridCol w:w="1304"/>
        <w:gridCol w:w="1304"/>
        <w:gridCol w:w="1304"/>
      </w:tblGrid>
      <w:tr w:rsidR="00CE784B" w14:paraId="35E128E2" w14:textId="77777777" w:rsidTr="000F69EA">
        <w:trPr>
          <w:cnfStyle w:val="100000000000" w:firstRow="1" w:lastRow="0" w:firstColumn="0" w:lastColumn="0" w:oddVBand="0" w:evenVBand="0" w:oddHBand="0" w:evenHBand="0" w:firstRowFirstColumn="0" w:firstRowLastColumn="0" w:lastRowFirstColumn="0" w:lastRowLastColumn="0"/>
          <w:tblHeader/>
        </w:trPr>
        <w:tc>
          <w:tcPr>
            <w:tcW w:w="6917" w:type="dxa"/>
            <w:gridSpan w:val="5"/>
            <w:tcBorders>
              <w:bottom w:val="none" w:sz="0" w:space="0" w:color="auto"/>
            </w:tcBorders>
          </w:tcPr>
          <w:p w14:paraId="35E128E1" w14:textId="77777777" w:rsidR="00CE784B" w:rsidRDefault="00CE784B" w:rsidP="00CE784B">
            <w:pPr>
              <w:pStyle w:val="Tableheadertext"/>
            </w:pPr>
            <w:r>
              <w:t xml:space="preserve">Dependent: </w:t>
            </w:r>
            <w:r>
              <w:fldChar w:fldCharType="begin"/>
            </w:r>
            <w:r>
              <w:instrText xml:space="preserve"> EQ Δ\s\do5(</w:instrText>
            </w:r>
            <w:r>
              <w:rPr>
                <w:sz w:val="16"/>
                <w:szCs w:val="16"/>
              </w:rPr>
              <w:instrText>2</w:instrText>
            </w:r>
            <w:r>
              <w:instrText>)</w:instrText>
            </w:r>
            <w:r>
              <w:rPr>
                <w:i/>
                <w:iCs/>
              </w:rPr>
              <w:instrText>H</w:instrText>
            </w:r>
            <w:r>
              <w:fldChar w:fldCharType="end"/>
            </w:r>
          </w:p>
        </w:tc>
      </w:tr>
      <w:tr w:rsidR="00CE784B" w:rsidRPr="00CE784B" w14:paraId="35E128E8" w14:textId="77777777" w:rsidTr="000F69EA">
        <w:trPr>
          <w:cnfStyle w:val="000000100000" w:firstRow="0" w:lastRow="0" w:firstColumn="0" w:lastColumn="0" w:oddVBand="0" w:evenVBand="0" w:oddHBand="1" w:evenHBand="0" w:firstRowFirstColumn="0" w:firstRowLastColumn="0" w:lastRowFirstColumn="0" w:lastRowLastColumn="0"/>
        </w:trPr>
        <w:tc>
          <w:tcPr>
            <w:tcW w:w="1701" w:type="dxa"/>
            <w:shd w:val="clear" w:color="auto" w:fill="005CAF"/>
          </w:tcPr>
          <w:p w14:paraId="35E128E3" w14:textId="77777777" w:rsidR="00CE784B" w:rsidRPr="00CE784B" w:rsidRDefault="00CE784B" w:rsidP="00CE784B">
            <w:pPr>
              <w:pStyle w:val="Tablebodytext"/>
              <w:rPr>
                <w:color w:val="FFFFFF" w:themeColor="background2"/>
              </w:rPr>
            </w:pPr>
            <w:r w:rsidRPr="00CE784B">
              <w:rPr>
                <w:color w:val="FFFFFF" w:themeColor="background2"/>
              </w:rPr>
              <w:t>Variable</w:t>
            </w:r>
          </w:p>
        </w:tc>
        <w:tc>
          <w:tcPr>
            <w:tcW w:w="1304" w:type="dxa"/>
            <w:shd w:val="clear" w:color="auto" w:fill="005CAF"/>
          </w:tcPr>
          <w:p w14:paraId="35E128E4" w14:textId="77777777" w:rsidR="00CE784B" w:rsidRPr="00CE784B" w:rsidRDefault="00CE784B" w:rsidP="00CE784B">
            <w:pPr>
              <w:pStyle w:val="Tablebodytext"/>
              <w:rPr>
                <w:color w:val="FFFFFF" w:themeColor="background2"/>
              </w:rPr>
            </w:pPr>
            <w:r w:rsidRPr="00CE784B">
              <w:rPr>
                <w:color w:val="FFFFFF" w:themeColor="background2"/>
              </w:rPr>
              <w:t>(1)</w:t>
            </w:r>
          </w:p>
        </w:tc>
        <w:tc>
          <w:tcPr>
            <w:tcW w:w="1304" w:type="dxa"/>
            <w:shd w:val="clear" w:color="auto" w:fill="005CAF"/>
          </w:tcPr>
          <w:p w14:paraId="35E128E5" w14:textId="77777777" w:rsidR="00CE784B" w:rsidRPr="00CE784B" w:rsidRDefault="00CE784B" w:rsidP="00CE784B">
            <w:pPr>
              <w:pStyle w:val="Tablebodytext"/>
              <w:rPr>
                <w:color w:val="FFFFFF" w:themeColor="background2"/>
              </w:rPr>
            </w:pPr>
            <w:r w:rsidRPr="00CE784B">
              <w:rPr>
                <w:color w:val="FFFFFF" w:themeColor="background2"/>
              </w:rPr>
              <w:t>(2)</w:t>
            </w:r>
          </w:p>
        </w:tc>
        <w:tc>
          <w:tcPr>
            <w:tcW w:w="1304" w:type="dxa"/>
            <w:shd w:val="clear" w:color="auto" w:fill="005CAF"/>
          </w:tcPr>
          <w:p w14:paraId="35E128E6" w14:textId="77777777" w:rsidR="00CE784B" w:rsidRPr="00CE784B" w:rsidRDefault="00CE784B" w:rsidP="00CE784B">
            <w:pPr>
              <w:pStyle w:val="Tablebodytext"/>
              <w:rPr>
                <w:color w:val="FFFFFF" w:themeColor="background2"/>
              </w:rPr>
            </w:pPr>
            <w:r w:rsidRPr="00CE784B">
              <w:rPr>
                <w:color w:val="FFFFFF" w:themeColor="background2"/>
              </w:rPr>
              <w:t>(3)</w:t>
            </w:r>
          </w:p>
        </w:tc>
        <w:tc>
          <w:tcPr>
            <w:tcW w:w="1304" w:type="dxa"/>
            <w:shd w:val="clear" w:color="auto" w:fill="005CAF"/>
          </w:tcPr>
          <w:p w14:paraId="35E128E7" w14:textId="77777777" w:rsidR="00CE784B" w:rsidRPr="00CE784B" w:rsidRDefault="00CE784B" w:rsidP="00CE784B">
            <w:pPr>
              <w:pStyle w:val="Tablebodytext"/>
              <w:rPr>
                <w:color w:val="FFFFFF" w:themeColor="background2"/>
              </w:rPr>
            </w:pPr>
            <w:r w:rsidRPr="00CE784B">
              <w:rPr>
                <w:color w:val="FFFFFF" w:themeColor="background2"/>
              </w:rPr>
              <w:t>(4)</w:t>
            </w:r>
          </w:p>
        </w:tc>
      </w:tr>
      <w:tr w:rsidR="00CE784B" w14:paraId="35E128EE" w14:textId="77777777" w:rsidTr="000F69EA">
        <w:trPr>
          <w:cnfStyle w:val="000000010000" w:firstRow="0" w:lastRow="0" w:firstColumn="0" w:lastColumn="0" w:oddVBand="0" w:evenVBand="0" w:oddHBand="0" w:evenHBand="1" w:firstRowFirstColumn="0" w:firstRowLastColumn="0" w:lastRowFirstColumn="0" w:lastRowLastColumn="0"/>
        </w:trPr>
        <w:tc>
          <w:tcPr>
            <w:tcW w:w="1701" w:type="dxa"/>
          </w:tcPr>
          <w:p w14:paraId="35E128E9" w14:textId="77777777" w:rsidR="00CE784B" w:rsidRDefault="00CE784B" w:rsidP="00CE784B">
            <w:pPr>
              <w:pStyle w:val="Tablebodytext"/>
            </w:pPr>
            <w:r>
              <w:t xml:space="preserve"> </w:t>
            </w:r>
            <w:r>
              <w:rPr>
                <w:i/>
                <w:iCs/>
              </w:rPr>
              <w:t>H</w:t>
            </w:r>
          </w:p>
        </w:tc>
        <w:tc>
          <w:tcPr>
            <w:tcW w:w="1304" w:type="dxa"/>
          </w:tcPr>
          <w:p w14:paraId="35E128EA" w14:textId="77777777" w:rsidR="00CE784B" w:rsidRDefault="00CE784B" w:rsidP="00CE784B">
            <w:pPr>
              <w:pStyle w:val="Tablebodytext"/>
            </w:pPr>
            <w:r>
              <w:t>−0.153***</w:t>
            </w:r>
          </w:p>
        </w:tc>
        <w:tc>
          <w:tcPr>
            <w:tcW w:w="1304" w:type="dxa"/>
          </w:tcPr>
          <w:p w14:paraId="35E128EB" w14:textId="77777777" w:rsidR="00CE784B" w:rsidRDefault="00CE784B" w:rsidP="00CE784B">
            <w:pPr>
              <w:pStyle w:val="Tablebodytext"/>
            </w:pPr>
            <w:r>
              <w:t>−0.160***</w:t>
            </w:r>
          </w:p>
        </w:tc>
        <w:tc>
          <w:tcPr>
            <w:tcW w:w="1304" w:type="dxa"/>
          </w:tcPr>
          <w:p w14:paraId="35E128EC" w14:textId="77777777" w:rsidR="00CE784B" w:rsidRDefault="00CE784B" w:rsidP="00CE784B">
            <w:pPr>
              <w:pStyle w:val="Tablebodytext"/>
            </w:pPr>
            <w:r>
              <w:t>−0.191***</w:t>
            </w:r>
          </w:p>
        </w:tc>
        <w:tc>
          <w:tcPr>
            <w:tcW w:w="1304" w:type="dxa"/>
          </w:tcPr>
          <w:p w14:paraId="35E128ED" w14:textId="77777777" w:rsidR="00CE784B" w:rsidRDefault="00CE784B" w:rsidP="00CE784B">
            <w:pPr>
              <w:pStyle w:val="Tablebodytext"/>
            </w:pPr>
            <w:r>
              <w:t>−0.211***</w:t>
            </w:r>
          </w:p>
        </w:tc>
      </w:tr>
      <w:tr w:rsidR="00CE784B" w14:paraId="35E128F4" w14:textId="77777777" w:rsidTr="000F69EA">
        <w:trPr>
          <w:cnfStyle w:val="000000100000" w:firstRow="0" w:lastRow="0" w:firstColumn="0" w:lastColumn="0" w:oddVBand="0" w:evenVBand="0" w:oddHBand="1" w:evenHBand="0" w:firstRowFirstColumn="0" w:firstRowLastColumn="0" w:lastRowFirstColumn="0" w:lastRowLastColumn="0"/>
        </w:trPr>
        <w:tc>
          <w:tcPr>
            <w:tcW w:w="1701" w:type="dxa"/>
          </w:tcPr>
          <w:p w14:paraId="35E128EF" w14:textId="77777777" w:rsidR="00CE784B" w:rsidRDefault="00CE784B" w:rsidP="00CE784B">
            <w:pPr>
              <w:pStyle w:val="Tablebodytext"/>
            </w:pPr>
          </w:p>
        </w:tc>
        <w:tc>
          <w:tcPr>
            <w:tcW w:w="1304" w:type="dxa"/>
          </w:tcPr>
          <w:p w14:paraId="35E128F0" w14:textId="77777777" w:rsidR="00CE784B" w:rsidRDefault="00CE784B" w:rsidP="00CE784B">
            <w:pPr>
              <w:pStyle w:val="Tablebodytext"/>
            </w:pPr>
            <w:r>
              <w:t>(0.021)</w:t>
            </w:r>
          </w:p>
        </w:tc>
        <w:tc>
          <w:tcPr>
            <w:tcW w:w="1304" w:type="dxa"/>
          </w:tcPr>
          <w:p w14:paraId="35E128F1" w14:textId="77777777" w:rsidR="00CE784B" w:rsidRDefault="00CE784B" w:rsidP="00CE784B">
            <w:pPr>
              <w:pStyle w:val="Tablebodytext"/>
            </w:pPr>
            <w:r>
              <w:t>(0.021)</w:t>
            </w:r>
          </w:p>
        </w:tc>
        <w:tc>
          <w:tcPr>
            <w:tcW w:w="1304" w:type="dxa"/>
          </w:tcPr>
          <w:p w14:paraId="35E128F2" w14:textId="77777777" w:rsidR="00CE784B" w:rsidRDefault="00CE784B" w:rsidP="00CE784B">
            <w:pPr>
              <w:pStyle w:val="Tablebodytext"/>
            </w:pPr>
            <w:r>
              <w:t>(0.020)</w:t>
            </w:r>
          </w:p>
        </w:tc>
        <w:tc>
          <w:tcPr>
            <w:tcW w:w="1304" w:type="dxa"/>
          </w:tcPr>
          <w:p w14:paraId="35E128F3" w14:textId="77777777" w:rsidR="00CE784B" w:rsidRDefault="00CE784B" w:rsidP="00CE784B">
            <w:pPr>
              <w:pStyle w:val="Tablebodytext"/>
            </w:pPr>
            <w:r>
              <w:t>(0.024)</w:t>
            </w:r>
          </w:p>
        </w:tc>
      </w:tr>
      <w:tr w:rsidR="00CE784B" w14:paraId="35E128FA" w14:textId="77777777" w:rsidTr="000F69EA">
        <w:trPr>
          <w:cnfStyle w:val="000000010000" w:firstRow="0" w:lastRow="0" w:firstColumn="0" w:lastColumn="0" w:oddVBand="0" w:evenVBand="0" w:oddHBand="0" w:evenHBand="1" w:firstRowFirstColumn="0" w:firstRowLastColumn="0" w:lastRowFirstColumn="0" w:lastRowLastColumn="0"/>
        </w:trPr>
        <w:tc>
          <w:tcPr>
            <w:tcW w:w="1701" w:type="dxa"/>
          </w:tcPr>
          <w:p w14:paraId="35E128F5" w14:textId="77777777" w:rsidR="00CE784B" w:rsidRDefault="00CE784B" w:rsidP="00CE784B">
            <w:pPr>
              <w:pStyle w:val="Tablebodytext"/>
            </w:pPr>
            <w:r>
              <w:rPr>
                <w:i/>
                <w:iCs/>
              </w:rPr>
              <w:t>Index</w:t>
            </w:r>
          </w:p>
        </w:tc>
        <w:tc>
          <w:tcPr>
            <w:tcW w:w="1304" w:type="dxa"/>
          </w:tcPr>
          <w:p w14:paraId="35E128F6" w14:textId="77777777" w:rsidR="00CE784B" w:rsidRDefault="00CE784B" w:rsidP="00CE784B">
            <w:pPr>
              <w:pStyle w:val="Tablebodytext"/>
            </w:pPr>
            <w:r>
              <w:t>0.004</w:t>
            </w:r>
          </w:p>
        </w:tc>
        <w:tc>
          <w:tcPr>
            <w:tcW w:w="1304" w:type="dxa"/>
          </w:tcPr>
          <w:p w14:paraId="35E128F7" w14:textId="77777777" w:rsidR="00CE784B" w:rsidRDefault="00CE784B" w:rsidP="00CE784B">
            <w:pPr>
              <w:pStyle w:val="Tablebodytext"/>
            </w:pPr>
            <w:r>
              <w:t>0.003</w:t>
            </w:r>
          </w:p>
        </w:tc>
        <w:tc>
          <w:tcPr>
            <w:tcW w:w="1304" w:type="dxa"/>
          </w:tcPr>
          <w:p w14:paraId="35E128F8" w14:textId="77777777" w:rsidR="00CE784B" w:rsidRDefault="00CE784B" w:rsidP="00CE784B">
            <w:pPr>
              <w:pStyle w:val="Tablebodytext"/>
            </w:pPr>
            <w:r>
              <w:t>0.012**</w:t>
            </w:r>
          </w:p>
        </w:tc>
        <w:tc>
          <w:tcPr>
            <w:tcW w:w="1304" w:type="dxa"/>
          </w:tcPr>
          <w:p w14:paraId="35E128F9" w14:textId="77777777" w:rsidR="00CE784B" w:rsidRDefault="00CE784B" w:rsidP="00CE784B">
            <w:pPr>
              <w:pStyle w:val="Tablebodytext"/>
            </w:pPr>
            <w:r>
              <w:t>0.015**</w:t>
            </w:r>
          </w:p>
        </w:tc>
      </w:tr>
      <w:tr w:rsidR="00CE784B" w14:paraId="35E12900" w14:textId="77777777" w:rsidTr="000F69EA">
        <w:trPr>
          <w:cnfStyle w:val="000000100000" w:firstRow="0" w:lastRow="0" w:firstColumn="0" w:lastColumn="0" w:oddVBand="0" w:evenVBand="0" w:oddHBand="1" w:evenHBand="0" w:firstRowFirstColumn="0" w:firstRowLastColumn="0" w:lastRowFirstColumn="0" w:lastRowLastColumn="0"/>
        </w:trPr>
        <w:tc>
          <w:tcPr>
            <w:tcW w:w="1701" w:type="dxa"/>
          </w:tcPr>
          <w:p w14:paraId="35E128FB" w14:textId="77777777" w:rsidR="00CE784B" w:rsidRDefault="00CE784B" w:rsidP="00CE784B">
            <w:pPr>
              <w:pStyle w:val="Tablebodytext"/>
            </w:pPr>
          </w:p>
        </w:tc>
        <w:tc>
          <w:tcPr>
            <w:tcW w:w="1304" w:type="dxa"/>
          </w:tcPr>
          <w:p w14:paraId="35E128FC" w14:textId="77777777" w:rsidR="00CE784B" w:rsidRDefault="00CE784B" w:rsidP="00CE784B">
            <w:pPr>
              <w:pStyle w:val="Tablebodytext"/>
            </w:pPr>
            <w:r>
              <w:t>(0.003)</w:t>
            </w:r>
          </w:p>
        </w:tc>
        <w:tc>
          <w:tcPr>
            <w:tcW w:w="1304" w:type="dxa"/>
          </w:tcPr>
          <w:p w14:paraId="35E128FD" w14:textId="77777777" w:rsidR="00CE784B" w:rsidRDefault="00CE784B" w:rsidP="00CE784B">
            <w:pPr>
              <w:pStyle w:val="Tablebodytext"/>
            </w:pPr>
            <w:r>
              <w:t>(0.004)</w:t>
            </w:r>
          </w:p>
        </w:tc>
        <w:tc>
          <w:tcPr>
            <w:tcW w:w="1304" w:type="dxa"/>
          </w:tcPr>
          <w:p w14:paraId="35E128FE" w14:textId="77777777" w:rsidR="00CE784B" w:rsidRDefault="00CE784B" w:rsidP="00CE784B">
            <w:pPr>
              <w:pStyle w:val="Tablebodytext"/>
            </w:pPr>
            <w:r>
              <w:t>(0.005)</w:t>
            </w:r>
          </w:p>
        </w:tc>
        <w:tc>
          <w:tcPr>
            <w:tcW w:w="1304" w:type="dxa"/>
          </w:tcPr>
          <w:p w14:paraId="35E128FF" w14:textId="77777777" w:rsidR="00CE784B" w:rsidRDefault="00CE784B" w:rsidP="00CE784B">
            <w:pPr>
              <w:pStyle w:val="Tablebodytext"/>
            </w:pPr>
            <w:r>
              <w:t>(0.007)</w:t>
            </w:r>
          </w:p>
        </w:tc>
      </w:tr>
      <w:tr w:rsidR="00CE784B" w14:paraId="35E12906" w14:textId="77777777" w:rsidTr="000F69EA">
        <w:trPr>
          <w:cnfStyle w:val="000000010000" w:firstRow="0" w:lastRow="0" w:firstColumn="0" w:lastColumn="0" w:oddVBand="0" w:evenVBand="0" w:oddHBand="0" w:evenHBand="1" w:firstRowFirstColumn="0" w:firstRowLastColumn="0" w:lastRowFirstColumn="0" w:lastRowLastColumn="0"/>
        </w:trPr>
        <w:tc>
          <w:tcPr>
            <w:tcW w:w="1701" w:type="dxa"/>
          </w:tcPr>
          <w:p w14:paraId="35E12901" w14:textId="77777777" w:rsidR="00CE784B" w:rsidRDefault="00CE784B" w:rsidP="00CE784B">
            <w:pPr>
              <w:pStyle w:val="Tablebodytext"/>
            </w:pPr>
            <w:r>
              <w:rPr>
                <w:i/>
                <w:iCs/>
              </w:rPr>
              <w:t>H</w:t>
            </w:r>
            <w:r>
              <w:t>×</w:t>
            </w:r>
            <w:r>
              <w:rPr>
                <w:i/>
                <w:iCs/>
              </w:rPr>
              <w:t>Index</w:t>
            </w:r>
          </w:p>
        </w:tc>
        <w:tc>
          <w:tcPr>
            <w:tcW w:w="1304" w:type="dxa"/>
          </w:tcPr>
          <w:p w14:paraId="35E12902" w14:textId="77777777" w:rsidR="00CE784B" w:rsidRDefault="00CE784B" w:rsidP="00CE784B">
            <w:pPr>
              <w:pStyle w:val="Tablebodytext"/>
            </w:pPr>
            <w:r>
              <w:t>−0.047***</w:t>
            </w:r>
          </w:p>
        </w:tc>
        <w:tc>
          <w:tcPr>
            <w:tcW w:w="1304" w:type="dxa"/>
          </w:tcPr>
          <w:p w14:paraId="35E12903" w14:textId="77777777" w:rsidR="00CE784B" w:rsidRDefault="00CE784B" w:rsidP="00CE784B">
            <w:pPr>
              <w:pStyle w:val="Tablebodytext"/>
            </w:pPr>
            <w:r>
              <w:t>−0.049**</w:t>
            </w:r>
          </w:p>
        </w:tc>
        <w:tc>
          <w:tcPr>
            <w:tcW w:w="1304" w:type="dxa"/>
          </w:tcPr>
          <w:p w14:paraId="35E12904" w14:textId="77777777" w:rsidR="00CE784B" w:rsidRDefault="00CE784B" w:rsidP="00CE784B">
            <w:pPr>
              <w:pStyle w:val="Tablebodytext"/>
            </w:pPr>
            <w:r>
              <w:t>−0.160***</w:t>
            </w:r>
          </w:p>
        </w:tc>
        <w:tc>
          <w:tcPr>
            <w:tcW w:w="1304" w:type="dxa"/>
          </w:tcPr>
          <w:p w14:paraId="35E12905" w14:textId="77777777" w:rsidR="00CE784B" w:rsidRDefault="00CE784B" w:rsidP="00CE784B">
            <w:pPr>
              <w:pStyle w:val="Tablebodytext"/>
            </w:pPr>
            <w:r>
              <w:t>−0.200**</w:t>
            </w:r>
          </w:p>
        </w:tc>
      </w:tr>
      <w:tr w:rsidR="001B389A" w14:paraId="35E1290C" w14:textId="77777777" w:rsidTr="000F69EA">
        <w:trPr>
          <w:cnfStyle w:val="000000100000" w:firstRow="0" w:lastRow="0" w:firstColumn="0" w:lastColumn="0" w:oddVBand="0" w:evenVBand="0" w:oddHBand="1" w:evenHBand="0" w:firstRowFirstColumn="0" w:firstRowLastColumn="0" w:lastRowFirstColumn="0" w:lastRowLastColumn="0"/>
        </w:trPr>
        <w:tc>
          <w:tcPr>
            <w:tcW w:w="1701" w:type="dxa"/>
          </w:tcPr>
          <w:p w14:paraId="35E12907" w14:textId="77777777" w:rsidR="00CE784B" w:rsidRDefault="00CE784B" w:rsidP="00CE784B">
            <w:pPr>
              <w:pStyle w:val="Tablebodytext"/>
            </w:pPr>
          </w:p>
        </w:tc>
        <w:tc>
          <w:tcPr>
            <w:tcW w:w="1304" w:type="dxa"/>
          </w:tcPr>
          <w:p w14:paraId="35E12908" w14:textId="77777777" w:rsidR="00CE784B" w:rsidRDefault="00CE784B" w:rsidP="00CE784B">
            <w:pPr>
              <w:pStyle w:val="Tablebodytext"/>
            </w:pPr>
            <w:r>
              <w:t>(0.016)</w:t>
            </w:r>
          </w:p>
        </w:tc>
        <w:tc>
          <w:tcPr>
            <w:tcW w:w="1304" w:type="dxa"/>
          </w:tcPr>
          <w:p w14:paraId="35E12909" w14:textId="77777777" w:rsidR="00CE784B" w:rsidRDefault="00CE784B" w:rsidP="00CE784B">
            <w:pPr>
              <w:pStyle w:val="Tablebodytext"/>
            </w:pPr>
            <w:r>
              <w:t>(0.020)</w:t>
            </w:r>
          </w:p>
        </w:tc>
        <w:tc>
          <w:tcPr>
            <w:tcW w:w="1304" w:type="dxa"/>
          </w:tcPr>
          <w:p w14:paraId="35E1290A" w14:textId="77777777" w:rsidR="00CE784B" w:rsidRDefault="00CE784B" w:rsidP="00CE784B">
            <w:pPr>
              <w:pStyle w:val="Tablebodytext"/>
            </w:pPr>
            <w:r>
              <w:t>(0.041)</w:t>
            </w:r>
          </w:p>
        </w:tc>
        <w:tc>
          <w:tcPr>
            <w:tcW w:w="1304" w:type="dxa"/>
          </w:tcPr>
          <w:p w14:paraId="35E1290B" w14:textId="77777777" w:rsidR="00CE784B" w:rsidRDefault="00CE784B" w:rsidP="00CE784B">
            <w:pPr>
              <w:pStyle w:val="Tablebodytext"/>
            </w:pPr>
            <w:r>
              <w:t>(0.079)</w:t>
            </w:r>
          </w:p>
        </w:tc>
      </w:tr>
      <w:tr w:rsidR="001B389A" w14:paraId="35E12912" w14:textId="77777777" w:rsidTr="000F69EA">
        <w:trPr>
          <w:cnfStyle w:val="000000010000" w:firstRow="0" w:lastRow="0" w:firstColumn="0" w:lastColumn="0" w:oddVBand="0" w:evenVBand="0" w:oddHBand="0" w:evenHBand="1" w:firstRowFirstColumn="0" w:firstRowLastColumn="0" w:lastRowFirstColumn="0" w:lastRowLastColumn="0"/>
        </w:trPr>
        <w:tc>
          <w:tcPr>
            <w:tcW w:w="1701" w:type="dxa"/>
            <w:tcBorders>
              <w:bottom w:val="single" w:sz="4" w:space="0" w:color="auto"/>
            </w:tcBorders>
          </w:tcPr>
          <w:p w14:paraId="35E1290D" w14:textId="77777777" w:rsidR="00CE784B" w:rsidRDefault="00CE784B" w:rsidP="00CE784B">
            <w:pPr>
              <w:pStyle w:val="Tablebodytext"/>
            </w:pPr>
            <w:r>
              <w:t xml:space="preserve"> </w:t>
            </w:r>
            <w:r w:rsidRPr="001B389A">
              <w:t>Digital Index:</w:t>
            </w:r>
          </w:p>
        </w:tc>
        <w:tc>
          <w:tcPr>
            <w:tcW w:w="1304" w:type="dxa"/>
            <w:tcBorders>
              <w:bottom w:val="single" w:sz="4" w:space="0" w:color="auto"/>
            </w:tcBorders>
          </w:tcPr>
          <w:p w14:paraId="35E1290E" w14:textId="77777777" w:rsidR="00CE784B" w:rsidRDefault="00CE784B" w:rsidP="00CE784B">
            <w:pPr>
              <w:pStyle w:val="Tablebodytext"/>
            </w:pPr>
            <w:r>
              <w:t>Software</w:t>
            </w:r>
          </w:p>
        </w:tc>
        <w:tc>
          <w:tcPr>
            <w:tcW w:w="1304" w:type="dxa"/>
            <w:tcBorders>
              <w:bottom w:val="single" w:sz="4" w:space="0" w:color="auto"/>
            </w:tcBorders>
          </w:tcPr>
          <w:p w14:paraId="35E1290F" w14:textId="77777777" w:rsidR="00CE784B" w:rsidRDefault="00CE784B" w:rsidP="00CE784B">
            <w:pPr>
              <w:pStyle w:val="Tablebodytext"/>
            </w:pPr>
            <w:r>
              <w:t>ICT Invest.</w:t>
            </w:r>
          </w:p>
        </w:tc>
        <w:tc>
          <w:tcPr>
            <w:tcW w:w="1304" w:type="dxa"/>
            <w:tcBorders>
              <w:bottom w:val="single" w:sz="4" w:space="0" w:color="auto"/>
            </w:tcBorders>
          </w:tcPr>
          <w:p w14:paraId="35E12910" w14:textId="77777777" w:rsidR="00CE784B" w:rsidRDefault="00CE784B" w:rsidP="00CE784B">
            <w:pPr>
              <w:pStyle w:val="Tablebodytext"/>
            </w:pPr>
            <w:r>
              <w:t>ICT Services</w:t>
            </w:r>
          </w:p>
        </w:tc>
        <w:tc>
          <w:tcPr>
            <w:tcW w:w="1304" w:type="dxa"/>
            <w:tcBorders>
              <w:bottom w:val="single" w:sz="4" w:space="0" w:color="auto"/>
            </w:tcBorders>
          </w:tcPr>
          <w:p w14:paraId="35E12911" w14:textId="77777777" w:rsidR="00CE784B" w:rsidRDefault="00CE784B" w:rsidP="00CE784B">
            <w:pPr>
              <w:pStyle w:val="Tablebodytext"/>
            </w:pPr>
            <w:r>
              <w:t>ICT Experts</w:t>
            </w:r>
          </w:p>
        </w:tc>
      </w:tr>
      <w:tr w:rsidR="001B389A" w14:paraId="35E12918" w14:textId="77777777" w:rsidTr="000F69EA">
        <w:trPr>
          <w:cnfStyle w:val="000000100000" w:firstRow="0" w:lastRow="0" w:firstColumn="0" w:lastColumn="0" w:oddVBand="0" w:evenVBand="0" w:oddHBand="1" w:evenHBand="0" w:firstRowFirstColumn="0" w:firstRowLastColumn="0" w:lastRowFirstColumn="0" w:lastRowLastColumn="0"/>
        </w:trPr>
        <w:tc>
          <w:tcPr>
            <w:tcW w:w="1701" w:type="dxa"/>
            <w:tcBorders>
              <w:top w:val="single" w:sz="4" w:space="0" w:color="auto"/>
            </w:tcBorders>
          </w:tcPr>
          <w:p w14:paraId="35E12913" w14:textId="77777777" w:rsidR="00CE784B" w:rsidRDefault="00CE784B" w:rsidP="00CE784B">
            <w:pPr>
              <w:pStyle w:val="Tablebodytext"/>
            </w:pPr>
            <w:r>
              <w:t xml:space="preserve"> Adjusted R</w:t>
            </w:r>
            <w:r>
              <w:fldChar w:fldCharType="begin"/>
            </w:r>
            <w:r>
              <w:instrText xml:space="preserve"> EQ \s\up5(</w:instrText>
            </w:r>
            <w:r>
              <w:rPr>
                <w:sz w:val="16"/>
                <w:szCs w:val="16"/>
              </w:rPr>
              <w:instrText>2</w:instrText>
            </w:r>
            <w:r>
              <w:instrText>)</w:instrText>
            </w:r>
            <w:r>
              <w:fldChar w:fldCharType="end"/>
            </w:r>
          </w:p>
        </w:tc>
        <w:tc>
          <w:tcPr>
            <w:tcW w:w="1304" w:type="dxa"/>
            <w:tcBorders>
              <w:top w:val="single" w:sz="4" w:space="0" w:color="auto"/>
            </w:tcBorders>
          </w:tcPr>
          <w:p w14:paraId="35E12914" w14:textId="77777777" w:rsidR="00CE784B" w:rsidRDefault="00CE784B" w:rsidP="00CE784B">
            <w:pPr>
              <w:pStyle w:val="Tablebodytext"/>
            </w:pPr>
            <w:r>
              <w:t>0.074</w:t>
            </w:r>
          </w:p>
        </w:tc>
        <w:tc>
          <w:tcPr>
            <w:tcW w:w="1304" w:type="dxa"/>
            <w:tcBorders>
              <w:top w:val="single" w:sz="4" w:space="0" w:color="auto"/>
            </w:tcBorders>
          </w:tcPr>
          <w:p w14:paraId="35E12915" w14:textId="77777777" w:rsidR="00CE784B" w:rsidRDefault="00CE784B" w:rsidP="00CE784B">
            <w:pPr>
              <w:pStyle w:val="Tablebodytext"/>
            </w:pPr>
            <w:r>
              <w:t>0.072</w:t>
            </w:r>
          </w:p>
        </w:tc>
        <w:tc>
          <w:tcPr>
            <w:tcW w:w="1304" w:type="dxa"/>
            <w:tcBorders>
              <w:top w:val="single" w:sz="4" w:space="0" w:color="auto"/>
            </w:tcBorders>
          </w:tcPr>
          <w:p w14:paraId="35E12916" w14:textId="77777777" w:rsidR="00CE784B" w:rsidRDefault="00CE784B" w:rsidP="00CE784B">
            <w:pPr>
              <w:pStyle w:val="Tablebodytext"/>
            </w:pPr>
            <w:r>
              <w:t>0.079</w:t>
            </w:r>
          </w:p>
        </w:tc>
        <w:tc>
          <w:tcPr>
            <w:tcW w:w="1304" w:type="dxa"/>
            <w:tcBorders>
              <w:top w:val="single" w:sz="4" w:space="0" w:color="auto"/>
            </w:tcBorders>
          </w:tcPr>
          <w:p w14:paraId="35E12917" w14:textId="77777777" w:rsidR="00CE784B" w:rsidRDefault="00CE784B" w:rsidP="00CE784B">
            <w:pPr>
              <w:pStyle w:val="Tablebodytext"/>
            </w:pPr>
            <w:r>
              <w:t>0.072</w:t>
            </w:r>
          </w:p>
        </w:tc>
      </w:tr>
      <w:tr w:rsidR="00CE784B" w14:paraId="35E1291E" w14:textId="77777777" w:rsidTr="000F69EA">
        <w:trPr>
          <w:cnfStyle w:val="000000010000" w:firstRow="0" w:lastRow="0" w:firstColumn="0" w:lastColumn="0" w:oddVBand="0" w:evenVBand="0" w:oddHBand="0" w:evenHBand="1" w:firstRowFirstColumn="0" w:firstRowLastColumn="0" w:lastRowFirstColumn="0" w:lastRowLastColumn="0"/>
        </w:trPr>
        <w:tc>
          <w:tcPr>
            <w:tcW w:w="1701" w:type="dxa"/>
          </w:tcPr>
          <w:p w14:paraId="35E12919" w14:textId="77777777" w:rsidR="00CE784B" w:rsidRDefault="00CE784B" w:rsidP="00CE784B">
            <w:pPr>
              <w:pStyle w:val="Tablebodytext"/>
            </w:pPr>
            <w:r>
              <w:t>F Statistic</w:t>
            </w:r>
          </w:p>
        </w:tc>
        <w:tc>
          <w:tcPr>
            <w:tcW w:w="1304" w:type="dxa"/>
          </w:tcPr>
          <w:p w14:paraId="35E1291A" w14:textId="77777777" w:rsidR="00CE784B" w:rsidRDefault="00CE784B" w:rsidP="00CE784B">
            <w:pPr>
              <w:pStyle w:val="Tablebodytext"/>
            </w:pPr>
            <w:r>
              <w:t>29.728***</w:t>
            </w:r>
          </w:p>
        </w:tc>
        <w:tc>
          <w:tcPr>
            <w:tcW w:w="1304" w:type="dxa"/>
          </w:tcPr>
          <w:p w14:paraId="35E1291B" w14:textId="77777777" w:rsidR="00CE784B" w:rsidRDefault="00CE784B" w:rsidP="00CE784B">
            <w:pPr>
              <w:pStyle w:val="Tablebodytext"/>
            </w:pPr>
            <w:r>
              <w:t>28.793***</w:t>
            </w:r>
          </w:p>
        </w:tc>
        <w:tc>
          <w:tcPr>
            <w:tcW w:w="1304" w:type="dxa"/>
          </w:tcPr>
          <w:p w14:paraId="35E1291C" w14:textId="77777777" w:rsidR="00CE784B" w:rsidRDefault="00CE784B" w:rsidP="00CE784B">
            <w:pPr>
              <w:pStyle w:val="Tablebodytext"/>
            </w:pPr>
            <w:r>
              <w:t>31.790***</w:t>
            </w:r>
          </w:p>
        </w:tc>
        <w:tc>
          <w:tcPr>
            <w:tcW w:w="1304" w:type="dxa"/>
          </w:tcPr>
          <w:p w14:paraId="35E1291D" w14:textId="77777777" w:rsidR="00CE784B" w:rsidRDefault="00CE784B" w:rsidP="00CE784B">
            <w:pPr>
              <w:pStyle w:val="Tablebodytext"/>
            </w:pPr>
            <w:r>
              <w:t>28.751***</w:t>
            </w:r>
          </w:p>
        </w:tc>
      </w:tr>
      <w:tr w:rsidR="00CE784B" w14:paraId="35E12924" w14:textId="77777777" w:rsidTr="000F69EA">
        <w:trPr>
          <w:cnfStyle w:val="000000100000" w:firstRow="0" w:lastRow="0" w:firstColumn="0" w:lastColumn="0" w:oddVBand="0" w:evenVBand="0" w:oddHBand="1" w:evenHBand="0" w:firstRowFirstColumn="0" w:firstRowLastColumn="0" w:lastRowFirstColumn="0" w:lastRowLastColumn="0"/>
        </w:trPr>
        <w:tc>
          <w:tcPr>
            <w:tcW w:w="1701" w:type="dxa"/>
          </w:tcPr>
          <w:p w14:paraId="35E1291F" w14:textId="77777777" w:rsidR="00CE784B" w:rsidRDefault="00CE784B" w:rsidP="00CE784B">
            <w:pPr>
              <w:pStyle w:val="Tablebodytext"/>
            </w:pPr>
            <w:r>
              <w:t>Observations</w:t>
            </w:r>
          </w:p>
        </w:tc>
        <w:tc>
          <w:tcPr>
            <w:tcW w:w="1304" w:type="dxa"/>
          </w:tcPr>
          <w:p w14:paraId="35E12920" w14:textId="77777777" w:rsidR="00CE784B" w:rsidRDefault="00CE784B" w:rsidP="00CE784B">
            <w:pPr>
              <w:pStyle w:val="Tablebodytext"/>
            </w:pPr>
            <w:r>
              <w:t>1,025</w:t>
            </w:r>
          </w:p>
        </w:tc>
        <w:tc>
          <w:tcPr>
            <w:tcW w:w="1304" w:type="dxa"/>
          </w:tcPr>
          <w:p w14:paraId="35E12921" w14:textId="77777777" w:rsidR="00CE784B" w:rsidRDefault="00CE784B" w:rsidP="00CE784B">
            <w:pPr>
              <w:pStyle w:val="Tablebodytext"/>
            </w:pPr>
            <w:r>
              <w:t>1,025</w:t>
            </w:r>
          </w:p>
        </w:tc>
        <w:tc>
          <w:tcPr>
            <w:tcW w:w="1304" w:type="dxa"/>
          </w:tcPr>
          <w:p w14:paraId="35E12922" w14:textId="77777777" w:rsidR="00CE784B" w:rsidRDefault="00CE784B" w:rsidP="00CE784B">
            <w:pPr>
              <w:pStyle w:val="Tablebodytext"/>
            </w:pPr>
            <w:r>
              <w:t>1,025</w:t>
            </w:r>
          </w:p>
        </w:tc>
        <w:tc>
          <w:tcPr>
            <w:tcW w:w="1304" w:type="dxa"/>
          </w:tcPr>
          <w:p w14:paraId="35E12923" w14:textId="77777777" w:rsidR="00CE784B" w:rsidRDefault="00CE784B" w:rsidP="00CE784B">
            <w:pPr>
              <w:pStyle w:val="Tablebodytext"/>
            </w:pPr>
            <w:r>
              <w:t>1,025</w:t>
            </w:r>
          </w:p>
        </w:tc>
      </w:tr>
    </w:tbl>
    <w:p w14:paraId="35E12925" w14:textId="77777777" w:rsidR="001B389A" w:rsidRPr="00C62F3A" w:rsidRDefault="001B389A" w:rsidP="00E63064">
      <w:pPr>
        <w:pStyle w:val="Note"/>
      </w:pPr>
      <w:r>
        <w:t>Notes: Numbers in parentheses are standard errors. *** and ** indicate significances at 1% and 5% levels. Only years 2010–2014 are used for estimation.</w:t>
      </w:r>
    </w:p>
    <w:p w14:paraId="35E12926" w14:textId="77777777" w:rsidR="001B389A" w:rsidRDefault="001B389A" w:rsidP="00E63064">
      <w:pPr>
        <w:pStyle w:val="Source"/>
      </w:pPr>
      <w:r>
        <w:t>Source: Department of Industry, Innovation and Science (2019)</w:t>
      </w:r>
    </w:p>
    <w:p w14:paraId="35E12927" w14:textId="77777777" w:rsidR="005E39BE" w:rsidRDefault="005E39BE" w:rsidP="00F05816">
      <w:pPr>
        <w:spacing w:before="240" w:line="270" w:lineRule="exact"/>
        <w:ind w:left="0"/>
      </w:pPr>
      <w:r>
        <w:t xml:space="preserve">Each column in this table by and large mirrors the result from Table 5.3. There are also some differences. The strongest effects, in terms of magnitude and the significance of coefficients, pertain to industries that rely on ICT services and have a larger number of ICT experts. In these estimates, industries with more reliance on ICT services and experts are getting more concentrated. However, the trend is again reversed if the industry is also more concentrated (the interaction term). </w:t>
      </w:r>
    </w:p>
    <w:p w14:paraId="35E12928" w14:textId="77777777" w:rsidR="005E39BE" w:rsidRDefault="005E39BE" w:rsidP="00F05816">
      <w:pPr>
        <w:spacing w:before="120" w:line="270" w:lineRule="exact"/>
        <w:ind w:left="0"/>
      </w:pPr>
      <w:r>
        <w:t>In brief, di</w:t>
      </w:r>
      <w:r w:rsidR="00520164">
        <w:t>gital maturity seems to suggest</w:t>
      </w:r>
      <w:r>
        <w:t xml:space="preserve"> a trend that is contrary to the one observed in Figure 4.2. Consequently, digital maturity is unlikely to be behind the observed pattern.</w:t>
      </w:r>
    </w:p>
    <w:p w14:paraId="35E12929" w14:textId="77777777" w:rsidR="005E39BE" w:rsidRDefault="005E39BE" w:rsidP="00F05816">
      <w:pPr>
        <w:spacing w:line="270" w:lineRule="exact"/>
        <w:ind w:left="0"/>
      </w:pPr>
      <w:r>
        <w:t>It is also remarkable that the coefficients for digital maturity and its interaction with HHI have opposite signs whether in Table </w:t>
      </w:r>
      <w:r w:rsidR="00671033">
        <w:t>5.3</w:t>
      </w:r>
      <w:r>
        <w:t xml:space="preserve"> or in Table </w:t>
      </w:r>
      <w:r w:rsidR="00671033">
        <w:t>5.4</w:t>
      </w:r>
      <w:r>
        <w:t xml:space="preserve">. Together, they suggest a convergence in HHI and the existence of an equilibrium for digitally mature industries which is around </w:t>
      </w:r>
      <w:r>
        <w:rPr>
          <w:i/>
          <w:iCs/>
        </w:rPr>
        <w:t>H</w:t>
      </w:r>
      <w:r>
        <w:t>=0.075. With the convergence fully taking place, digitally mature industries will still be more concentrated than the median industry but will stay below the 3rd quartile of HHI (Table 3.1).</w:t>
      </w:r>
    </w:p>
    <w:p w14:paraId="35E1292B" w14:textId="77777777" w:rsidR="001B389A" w:rsidRDefault="00A1052F" w:rsidP="00A1052F">
      <w:pPr>
        <w:pStyle w:val="Heading2"/>
        <w:rPr>
          <w:lang w:val="en"/>
        </w:rPr>
      </w:pPr>
      <w:r>
        <w:rPr>
          <w:lang w:val="en"/>
        </w:rPr>
        <w:t>Role of Productivity Distribution</w:t>
      </w:r>
    </w:p>
    <w:p w14:paraId="35E1292C" w14:textId="77777777" w:rsidR="00A1052F" w:rsidRDefault="00A1052F" w:rsidP="00A1052F">
      <w:pPr>
        <w:spacing w:before="60" w:line="270" w:lineRule="exact"/>
        <w:ind w:left="0"/>
      </w:pPr>
      <w:r>
        <w:t xml:space="preserve">Industries with highly dispersed and skewed productivity distributions are also potential candidates for increasing market concentration. In theory, if resources reallocate from the least to the most productive units in these industries, one may see an increase in the dominance of the more productive units leading to more market concentration. A larger productivity dispersion generates space for resources reallocation. Alternatively, a higher skewness in productivity distribution – since almost all productivity distributions have a long upper tail – suggests the presence of </w:t>
      </w:r>
      <w:r>
        <w:rPr>
          <w:i/>
          <w:iCs/>
        </w:rPr>
        <w:t>star</w:t>
      </w:r>
      <w:r>
        <w:t xml:space="preserve"> firms that are poised to dominate the industry.</w:t>
      </w:r>
    </w:p>
    <w:p w14:paraId="35E1292D" w14:textId="77777777" w:rsidR="00A1052F" w:rsidRDefault="00A1052F" w:rsidP="00F05816">
      <w:pPr>
        <w:spacing w:line="270" w:lineRule="exact"/>
        <w:ind w:left="0"/>
      </w:pPr>
      <w:r>
        <w:lastRenderedPageBreak/>
        <w:t xml:space="preserve">To study the impact of productivity dispersion, I define the following measure: </w:t>
      </w:r>
    </w:p>
    <w:p w14:paraId="35E1292E" w14:textId="77777777" w:rsidR="00A1052F" w:rsidRDefault="00A1052F" w:rsidP="00A1052F">
      <w:pPr>
        <w:pStyle w:val="equationNum"/>
        <w:tabs>
          <w:tab w:val="center" w:pos="4019"/>
          <w:tab w:val="right" w:pos="8038"/>
        </w:tabs>
        <w:spacing w:line="560" w:lineRule="exact"/>
      </w:pPr>
      <w:r>
        <w:tab/>
      </w:r>
      <w:r>
        <w:fldChar w:fldCharType="begin"/>
      </w:r>
      <w:r>
        <w:instrText xml:space="preserve"> EQ </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))\s\do5(</w:instrText>
      </w:r>
      <w:r>
        <w:rPr>
          <w:i/>
          <w:iCs/>
          <w:sz w:val="16"/>
          <w:szCs w:val="16"/>
        </w:rPr>
        <w:instrText>it</w:instrText>
      </w:r>
      <w:r>
        <w:instrText>)= \F(3</w:instrText>
      </w:r>
      <w:r>
        <w:rPr>
          <w:i/>
          <w:iCs/>
        </w:rPr>
        <w:instrText>rdQrtl</w:instrText>
      </w:r>
      <w:r>
        <w:instrText xml:space="preserve"> </w:instrText>
      </w:r>
      <w:r>
        <w:rPr>
          <w:i/>
          <w:iCs/>
        </w:rPr>
        <w:instrText>LP</w:instrText>
      </w:r>
      <w:r>
        <w:instrText>\s\do5(</w:instrText>
      </w:r>
      <w:r>
        <w:rPr>
          <w:i/>
          <w:iCs/>
          <w:sz w:val="16"/>
          <w:szCs w:val="16"/>
        </w:rPr>
        <w:instrText>j</w:instrText>
      </w:r>
      <w:r>
        <w:rPr>
          <w:sz w:val="16"/>
          <w:szCs w:val="16"/>
        </w:rPr>
        <w:instrText>\,</w:instrText>
      </w:r>
      <w:r>
        <w:rPr>
          <w:i/>
          <w:iCs/>
          <w:sz w:val="16"/>
          <w:szCs w:val="16"/>
        </w:rPr>
        <w:instrText>it</w:instrText>
      </w:r>
      <w:r>
        <w:instrText>),1</w:instrText>
      </w:r>
      <w:r>
        <w:rPr>
          <w:i/>
          <w:iCs/>
        </w:rPr>
        <w:instrText>stQrtl</w:instrText>
      </w:r>
      <w:r>
        <w:instrText xml:space="preserve"> </w:instrText>
      </w:r>
      <w:r>
        <w:rPr>
          <w:i/>
          <w:iCs/>
        </w:rPr>
        <w:instrText>LP</w:instrText>
      </w:r>
      <w:r>
        <w:instrText>\s\do5(</w:instrText>
      </w:r>
      <w:r>
        <w:rPr>
          <w:i/>
          <w:iCs/>
          <w:sz w:val="16"/>
          <w:szCs w:val="16"/>
        </w:rPr>
        <w:instrText>j</w:instrText>
      </w:r>
      <w:r>
        <w:rPr>
          <w:sz w:val="16"/>
          <w:szCs w:val="16"/>
        </w:rPr>
        <w:instrText>\,</w:instrText>
      </w:r>
      <w:r>
        <w:rPr>
          <w:i/>
          <w:iCs/>
          <w:sz w:val="16"/>
          <w:szCs w:val="16"/>
        </w:rPr>
        <w:instrText>it</w:instrText>
      </w:r>
      <w:r>
        <w:instrText>))\,</w:instrText>
      </w:r>
      <w:r>
        <w:fldChar w:fldCharType="end"/>
      </w:r>
      <w:r>
        <w:tab/>
        <w:t>(</w:t>
      </w:r>
      <w:bookmarkStart w:id="4" w:name="BMeq_lpq"/>
      <w:r>
        <w:t>4</w:t>
      </w:r>
      <w:bookmarkEnd w:id="4"/>
      <w:r>
        <w:t>)</w:t>
      </w:r>
    </w:p>
    <w:p w14:paraId="35E1292F" w14:textId="77777777" w:rsidR="00A1052F" w:rsidRDefault="00A1052F" w:rsidP="00A1052F">
      <w:pPr>
        <w:spacing w:line="270" w:lineRule="exact"/>
        <w:ind w:left="0"/>
      </w:pPr>
      <w:r>
        <w:t xml:space="preserve">where quartiles are taken over firms </w:t>
      </w:r>
      <w:r>
        <w:rPr>
          <w:i/>
          <w:iCs/>
        </w:rPr>
        <w:t>j</w:t>
      </w:r>
      <w:r>
        <w:t xml:space="preserve"> in industry </w:t>
      </w:r>
      <w:r>
        <w:rPr>
          <w:i/>
          <w:iCs/>
        </w:rPr>
        <w:t>i</w:t>
      </w:r>
      <w:r>
        <w:t xml:space="preserve"> at time </w:t>
      </w:r>
      <w:r>
        <w:rPr>
          <w:i/>
          <w:iCs/>
        </w:rPr>
        <w:t>t</w:t>
      </w:r>
      <w:r>
        <w:t xml:space="preserve">. Productivity is the labour productivity of firms and is computed as </w:t>
      </w:r>
    </w:p>
    <w:p w14:paraId="35E12930" w14:textId="77777777" w:rsidR="00A1052F" w:rsidRDefault="00A1052F" w:rsidP="00A1052F">
      <w:pPr>
        <w:pStyle w:val="equationNum"/>
        <w:tabs>
          <w:tab w:val="center" w:pos="4019"/>
          <w:tab w:val="right" w:pos="8038"/>
        </w:tabs>
        <w:spacing w:line="270" w:lineRule="exact"/>
      </w:pPr>
      <w:r>
        <w:tab/>
      </w:r>
      <w:r>
        <w:fldChar w:fldCharType="begin"/>
      </w:r>
      <w:r>
        <w:instrText xml:space="preserve"> EQ </w:instrText>
      </w:r>
      <w:r>
        <w:rPr>
          <w:i/>
          <w:iCs/>
        </w:rPr>
        <w:instrText>LP</w:instrText>
      </w:r>
      <w:r>
        <w:instrText>\s\do5(</w:instrText>
      </w:r>
      <w:r>
        <w:rPr>
          <w:i/>
          <w:iCs/>
          <w:sz w:val="16"/>
          <w:szCs w:val="16"/>
        </w:rPr>
        <w:instrText>jit</w:instrText>
      </w:r>
      <w:r>
        <w:instrText>)=</w:instrText>
      </w:r>
      <w:r>
        <w:rPr>
          <w:i/>
          <w:iCs/>
        </w:rPr>
        <w:instrText>Turnover</w:instrText>
      </w:r>
      <w:r>
        <w:instrText>\s\do5(</w:instrText>
      </w:r>
      <w:r>
        <w:rPr>
          <w:i/>
          <w:iCs/>
          <w:sz w:val="16"/>
          <w:szCs w:val="16"/>
        </w:rPr>
        <w:instrText>j</w:instrText>
      </w:r>
      <w:r>
        <w:rPr>
          <w:sz w:val="16"/>
          <w:szCs w:val="16"/>
        </w:rPr>
        <w:instrText>\,</w:instrText>
      </w:r>
      <w:r>
        <w:rPr>
          <w:i/>
          <w:iCs/>
          <w:sz w:val="16"/>
          <w:szCs w:val="16"/>
        </w:rPr>
        <w:instrText>it</w:instrText>
      </w:r>
      <w:r>
        <w:instrText>)/</w:instrText>
      </w:r>
      <w:r>
        <w:rPr>
          <w:i/>
          <w:iCs/>
        </w:rPr>
        <w:instrText>FTE</w:instrText>
      </w:r>
      <w:r>
        <w:instrText>\s\do5(</w:instrText>
      </w:r>
      <w:r>
        <w:rPr>
          <w:i/>
          <w:iCs/>
          <w:sz w:val="16"/>
          <w:szCs w:val="16"/>
        </w:rPr>
        <w:instrText>j</w:instrText>
      </w:r>
      <w:r>
        <w:rPr>
          <w:sz w:val="16"/>
          <w:szCs w:val="16"/>
        </w:rPr>
        <w:instrText>\,</w:instrText>
      </w:r>
      <w:r>
        <w:rPr>
          <w:i/>
          <w:iCs/>
          <w:sz w:val="16"/>
          <w:szCs w:val="16"/>
        </w:rPr>
        <w:instrText>it</w:instrText>
      </w:r>
      <w:r>
        <w:instrText>)\,</w:instrText>
      </w:r>
      <w:r>
        <w:fldChar w:fldCharType="end"/>
      </w:r>
      <w:r>
        <w:tab/>
        <w:t>(</w:t>
      </w:r>
      <w:bookmarkStart w:id="5" w:name="BMeq_lp"/>
      <w:r>
        <w:t>5</w:t>
      </w:r>
      <w:bookmarkEnd w:id="5"/>
      <w:r>
        <w:t>)</w:t>
      </w:r>
    </w:p>
    <w:p w14:paraId="35E12931" w14:textId="77777777" w:rsidR="00A1052F" w:rsidRDefault="00A1052F" w:rsidP="00A1052F">
      <w:pPr>
        <w:spacing w:line="270" w:lineRule="exact"/>
        <w:ind w:left="0"/>
      </w:pPr>
      <w:r>
        <w:t xml:space="preserve">in which </w:t>
      </w:r>
      <w:r>
        <w:rPr>
          <w:i/>
          <w:iCs/>
        </w:rPr>
        <w:t>FTE</w:t>
      </w:r>
      <w:r>
        <w:t xml:space="preserve"> is the full-time equivalent employment in the firm reported in the BLADE. </w:t>
      </w:r>
    </w:p>
    <w:p w14:paraId="35E12932" w14:textId="77777777" w:rsidR="00A1052F" w:rsidRDefault="00A1052F" w:rsidP="00F05816">
      <w:pPr>
        <w:spacing w:line="270" w:lineRule="exact"/>
        <w:ind w:left="0"/>
      </w:pPr>
      <w:r>
        <w:t>To test for the second notion, I simply use the skewness of productivity distribution across firms in an industry–year (</w:t>
      </w:r>
      <w:r>
        <w:rPr>
          <w:i/>
          <w:iCs/>
        </w:rPr>
        <w:t>LP</w:t>
      </w:r>
      <w:r>
        <w:t xml:space="preserve"> </w:t>
      </w:r>
      <w:r>
        <w:rPr>
          <w:i/>
          <w:iCs/>
        </w:rPr>
        <w:t>Skew</w:t>
      </w:r>
      <w:r>
        <w:t>). A set of descriptive statistics for the two productivity-related covariates are reported in Table 5.5. Most industries exhibit a fair amount of productivity dispersion where units at the top quartile are about three times more productive than the units at the bottom quartile. Productivity skewness has more variation across industries.</w:t>
      </w:r>
    </w:p>
    <w:p w14:paraId="35E12934" w14:textId="77777777" w:rsidR="00A1052F" w:rsidRDefault="00A1052F" w:rsidP="00E63064">
      <w:pPr>
        <w:pStyle w:val="Caption"/>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5</w:t>
      </w:r>
      <w:r>
        <w:rPr>
          <w:noProof/>
        </w:rPr>
        <w:fldChar w:fldCharType="end"/>
      </w:r>
      <w:r w:rsidRPr="000618FB">
        <w:t xml:space="preserve">: </w:t>
      </w:r>
      <w:r>
        <w:t>The descriptive statistics for the productivity dispersion and skewness.</w:t>
      </w:r>
    </w:p>
    <w:tbl>
      <w:tblPr>
        <w:tblStyle w:val="OCETable"/>
        <w:tblW w:w="4075" w:type="pct"/>
        <w:tblLook w:val="04A0" w:firstRow="1" w:lastRow="0" w:firstColumn="1" w:lastColumn="0" w:noHBand="0" w:noVBand="1"/>
        <w:tblCaption w:val="Table 5.5"/>
        <w:tblDescription w:val="Third quartile over first quartile of productivity is about 3 with some dispersion from industry to industry. Productivity skewness is on average 31.5 and has great dispersion from industry to industry."/>
      </w:tblPr>
      <w:tblGrid>
        <w:gridCol w:w="2056"/>
        <w:gridCol w:w="2004"/>
        <w:gridCol w:w="1559"/>
      </w:tblGrid>
      <w:tr w:rsidR="00A1052F" w14:paraId="35E12938" w14:textId="77777777" w:rsidTr="000F69EA">
        <w:trPr>
          <w:cnfStyle w:val="100000000000" w:firstRow="1" w:lastRow="0" w:firstColumn="0" w:lastColumn="0" w:oddVBand="0" w:evenVBand="0" w:oddHBand="0" w:evenHBand="0" w:firstRowFirstColumn="0" w:firstRowLastColumn="0" w:lastRowFirstColumn="0" w:lastRowLastColumn="0"/>
          <w:tblHeader/>
        </w:trPr>
        <w:tc>
          <w:tcPr>
            <w:tcW w:w="1830" w:type="pct"/>
          </w:tcPr>
          <w:p w14:paraId="35E12935" w14:textId="77777777" w:rsidR="00A1052F" w:rsidRDefault="00A1052F" w:rsidP="00A1052F">
            <w:pPr>
              <w:pStyle w:val="Tableheadertext"/>
            </w:pPr>
            <w:r>
              <w:t>Statistic</w:t>
            </w:r>
          </w:p>
        </w:tc>
        <w:tc>
          <w:tcPr>
            <w:tcW w:w="1783" w:type="pct"/>
          </w:tcPr>
          <w:p w14:paraId="35E12936" w14:textId="77777777" w:rsidR="00A1052F" w:rsidRDefault="00A1052F" w:rsidP="00A1052F">
            <w:pPr>
              <w:pStyle w:val="Tableheadertext"/>
            </w:pPr>
            <w:r>
              <w:fldChar w:fldCharType="begin"/>
            </w:r>
            <w:r>
              <w:instrText xml:space="preserve"> EQ </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w:instrText>
            </w:r>
            <w:r>
              <w:fldChar w:fldCharType="end"/>
            </w:r>
          </w:p>
        </w:tc>
        <w:tc>
          <w:tcPr>
            <w:tcW w:w="1387" w:type="pct"/>
          </w:tcPr>
          <w:p w14:paraId="35E12937" w14:textId="77777777" w:rsidR="00A1052F" w:rsidRDefault="00A1052F" w:rsidP="00A1052F">
            <w:pPr>
              <w:pStyle w:val="Tableheadertext"/>
            </w:pPr>
            <w:r>
              <w:rPr>
                <w:i/>
                <w:iCs/>
              </w:rPr>
              <w:t>LP</w:t>
            </w:r>
            <w:r>
              <w:t xml:space="preserve"> </w:t>
            </w:r>
            <w:r>
              <w:rPr>
                <w:i/>
                <w:iCs/>
              </w:rPr>
              <w:t>Skew</w:t>
            </w:r>
          </w:p>
        </w:tc>
      </w:tr>
      <w:tr w:rsidR="00A1052F" w14:paraId="35E1293C" w14:textId="77777777" w:rsidTr="000F69EA">
        <w:trPr>
          <w:cnfStyle w:val="000000100000" w:firstRow="0" w:lastRow="0" w:firstColumn="0" w:lastColumn="0" w:oddVBand="0" w:evenVBand="0" w:oddHBand="1" w:evenHBand="0" w:firstRowFirstColumn="0" w:firstRowLastColumn="0" w:lastRowFirstColumn="0" w:lastRowLastColumn="0"/>
        </w:trPr>
        <w:tc>
          <w:tcPr>
            <w:tcW w:w="1830" w:type="pct"/>
          </w:tcPr>
          <w:p w14:paraId="35E12939" w14:textId="77777777" w:rsidR="00A1052F" w:rsidRDefault="00A1052F" w:rsidP="00A1052F">
            <w:pPr>
              <w:pStyle w:val="Tablebodytext"/>
            </w:pPr>
            <w:r>
              <w:t xml:space="preserve"> Mean</w:t>
            </w:r>
          </w:p>
        </w:tc>
        <w:tc>
          <w:tcPr>
            <w:tcW w:w="1783" w:type="pct"/>
          </w:tcPr>
          <w:p w14:paraId="35E1293A" w14:textId="77777777" w:rsidR="00A1052F" w:rsidRDefault="00A1052F" w:rsidP="00A1052F">
            <w:pPr>
              <w:pStyle w:val="Tablebodytext"/>
            </w:pPr>
            <w:r>
              <w:t>3.510</w:t>
            </w:r>
          </w:p>
        </w:tc>
        <w:tc>
          <w:tcPr>
            <w:tcW w:w="1387" w:type="pct"/>
          </w:tcPr>
          <w:p w14:paraId="35E1293B" w14:textId="77777777" w:rsidR="00A1052F" w:rsidRDefault="00A1052F" w:rsidP="00A1052F">
            <w:pPr>
              <w:pStyle w:val="Tablebodytext"/>
            </w:pPr>
            <w:r>
              <w:t>31.52</w:t>
            </w:r>
          </w:p>
        </w:tc>
      </w:tr>
      <w:tr w:rsidR="00A1052F" w14:paraId="35E12940" w14:textId="77777777" w:rsidTr="000F69EA">
        <w:trPr>
          <w:cnfStyle w:val="000000010000" w:firstRow="0" w:lastRow="0" w:firstColumn="0" w:lastColumn="0" w:oddVBand="0" w:evenVBand="0" w:oddHBand="0" w:evenHBand="1" w:firstRowFirstColumn="0" w:firstRowLastColumn="0" w:lastRowFirstColumn="0" w:lastRowLastColumn="0"/>
        </w:trPr>
        <w:tc>
          <w:tcPr>
            <w:tcW w:w="1830" w:type="pct"/>
          </w:tcPr>
          <w:p w14:paraId="35E1293D" w14:textId="77777777" w:rsidR="00A1052F" w:rsidRDefault="00A1052F" w:rsidP="00A1052F">
            <w:pPr>
              <w:pStyle w:val="Tablebodytext"/>
            </w:pPr>
            <w:r>
              <w:t>Std.Dev.</w:t>
            </w:r>
          </w:p>
        </w:tc>
        <w:tc>
          <w:tcPr>
            <w:tcW w:w="1783" w:type="pct"/>
          </w:tcPr>
          <w:p w14:paraId="35E1293E" w14:textId="77777777" w:rsidR="00A1052F" w:rsidRDefault="00A1052F" w:rsidP="00A1052F">
            <w:pPr>
              <w:pStyle w:val="Tablebodytext"/>
            </w:pPr>
            <w:r>
              <w:t>2.423</w:t>
            </w:r>
          </w:p>
        </w:tc>
        <w:tc>
          <w:tcPr>
            <w:tcW w:w="1387" w:type="pct"/>
          </w:tcPr>
          <w:p w14:paraId="35E1293F" w14:textId="77777777" w:rsidR="00A1052F" w:rsidRDefault="00A1052F" w:rsidP="00A1052F">
            <w:pPr>
              <w:pStyle w:val="Tablebodytext"/>
            </w:pPr>
            <w:r>
              <w:t>29.17</w:t>
            </w:r>
          </w:p>
        </w:tc>
      </w:tr>
      <w:tr w:rsidR="00A1052F" w14:paraId="35E12944" w14:textId="77777777" w:rsidTr="000F69EA">
        <w:trPr>
          <w:cnfStyle w:val="000000100000" w:firstRow="0" w:lastRow="0" w:firstColumn="0" w:lastColumn="0" w:oddVBand="0" w:evenVBand="0" w:oddHBand="1" w:evenHBand="0" w:firstRowFirstColumn="0" w:firstRowLastColumn="0" w:lastRowFirstColumn="0" w:lastRowLastColumn="0"/>
        </w:trPr>
        <w:tc>
          <w:tcPr>
            <w:tcW w:w="1830" w:type="pct"/>
          </w:tcPr>
          <w:p w14:paraId="35E12941" w14:textId="77777777" w:rsidR="00A1052F" w:rsidRDefault="00A1052F" w:rsidP="00A1052F">
            <w:pPr>
              <w:pStyle w:val="Tablebodytext"/>
            </w:pPr>
            <w:r>
              <w:t>1st Qrtl.</w:t>
            </w:r>
          </w:p>
        </w:tc>
        <w:tc>
          <w:tcPr>
            <w:tcW w:w="1783" w:type="pct"/>
          </w:tcPr>
          <w:p w14:paraId="35E12942" w14:textId="77777777" w:rsidR="00A1052F" w:rsidRDefault="00A1052F" w:rsidP="00A1052F">
            <w:pPr>
              <w:pStyle w:val="Tablebodytext"/>
            </w:pPr>
            <w:r>
              <w:t>2.533</w:t>
            </w:r>
          </w:p>
        </w:tc>
        <w:tc>
          <w:tcPr>
            <w:tcW w:w="1387" w:type="pct"/>
          </w:tcPr>
          <w:p w14:paraId="35E12943" w14:textId="77777777" w:rsidR="00A1052F" w:rsidRDefault="00A1052F" w:rsidP="00A1052F">
            <w:pPr>
              <w:pStyle w:val="Tablebodytext"/>
            </w:pPr>
            <w:r>
              <w:t>9.619</w:t>
            </w:r>
          </w:p>
        </w:tc>
      </w:tr>
      <w:tr w:rsidR="00A1052F" w14:paraId="35E12948" w14:textId="77777777" w:rsidTr="000F69EA">
        <w:trPr>
          <w:cnfStyle w:val="000000010000" w:firstRow="0" w:lastRow="0" w:firstColumn="0" w:lastColumn="0" w:oddVBand="0" w:evenVBand="0" w:oddHBand="0" w:evenHBand="1" w:firstRowFirstColumn="0" w:firstRowLastColumn="0" w:lastRowFirstColumn="0" w:lastRowLastColumn="0"/>
        </w:trPr>
        <w:tc>
          <w:tcPr>
            <w:tcW w:w="1830" w:type="pct"/>
          </w:tcPr>
          <w:p w14:paraId="35E12945" w14:textId="77777777" w:rsidR="00A1052F" w:rsidRDefault="00A1052F" w:rsidP="00A1052F">
            <w:pPr>
              <w:pStyle w:val="Tablebodytext"/>
            </w:pPr>
            <w:r>
              <w:t>Median</w:t>
            </w:r>
          </w:p>
        </w:tc>
        <w:tc>
          <w:tcPr>
            <w:tcW w:w="1783" w:type="pct"/>
          </w:tcPr>
          <w:p w14:paraId="35E12946" w14:textId="77777777" w:rsidR="00A1052F" w:rsidRDefault="00A1052F" w:rsidP="00A1052F">
            <w:pPr>
              <w:pStyle w:val="Tablebodytext"/>
            </w:pPr>
            <w:r>
              <w:t>2.943</w:t>
            </w:r>
          </w:p>
        </w:tc>
        <w:tc>
          <w:tcPr>
            <w:tcW w:w="1387" w:type="pct"/>
          </w:tcPr>
          <w:p w14:paraId="35E12947" w14:textId="77777777" w:rsidR="00A1052F" w:rsidRDefault="00A1052F" w:rsidP="00A1052F">
            <w:pPr>
              <w:pStyle w:val="Tablebodytext"/>
            </w:pPr>
            <w:r>
              <w:t>21.64</w:t>
            </w:r>
          </w:p>
        </w:tc>
      </w:tr>
      <w:tr w:rsidR="00A1052F" w14:paraId="35E1294C" w14:textId="77777777" w:rsidTr="000F69EA">
        <w:trPr>
          <w:cnfStyle w:val="000000100000" w:firstRow="0" w:lastRow="0" w:firstColumn="0" w:lastColumn="0" w:oddVBand="0" w:evenVBand="0" w:oddHBand="1" w:evenHBand="0" w:firstRowFirstColumn="0" w:firstRowLastColumn="0" w:lastRowFirstColumn="0" w:lastRowLastColumn="0"/>
        </w:trPr>
        <w:tc>
          <w:tcPr>
            <w:tcW w:w="1830" w:type="pct"/>
          </w:tcPr>
          <w:p w14:paraId="35E12949" w14:textId="77777777" w:rsidR="00A1052F" w:rsidRDefault="00A1052F" w:rsidP="00A1052F">
            <w:pPr>
              <w:pStyle w:val="Tablebodytext"/>
            </w:pPr>
            <w:r>
              <w:t>3rd Qrtl.</w:t>
            </w:r>
          </w:p>
        </w:tc>
        <w:tc>
          <w:tcPr>
            <w:tcW w:w="1783" w:type="pct"/>
          </w:tcPr>
          <w:p w14:paraId="35E1294A" w14:textId="77777777" w:rsidR="00A1052F" w:rsidRDefault="00A1052F" w:rsidP="00A1052F">
            <w:pPr>
              <w:pStyle w:val="Tablebodytext"/>
            </w:pPr>
            <w:r>
              <w:t>3.650</w:t>
            </w:r>
          </w:p>
        </w:tc>
        <w:tc>
          <w:tcPr>
            <w:tcW w:w="1387" w:type="pct"/>
          </w:tcPr>
          <w:p w14:paraId="35E1294B" w14:textId="77777777" w:rsidR="00A1052F" w:rsidRDefault="00A1052F" w:rsidP="00A1052F">
            <w:pPr>
              <w:pStyle w:val="Tablebodytext"/>
            </w:pPr>
            <w:r>
              <w:t>45.72</w:t>
            </w:r>
          </w:p>
        </w:tc>
      </w:tr>
      <w:tr w:rsidR="00A1052F" w14:paraId="35E12950" w14:textId="77777777" w:rsidTr="000F69EA">
        <w:trPr>
          <w:cnfStyle w:val="000000010000" w:firstRow="0" w:lastRow="0" w:firstColumn="0" w:lastColumn="0" w:oddVBand="0" w:evenVBand="0" w:oddHBand="0" w:evenHBand="1" w:firstRowFirstColumn="0" w:firstRowLastColumn="0" w:lastRowFirstColumn="0" w:lastRowLastColumn="0"/>
        </w:trPr>
        <w:tc>
          <w:tcPr>
            <w:tcW w:w="1830" w:type="pct"/>
          </w:tcPr>
          <w:p w14:paraId="35E1294D" w14:textId="77777777" w:rsidR="00A1052F" w:rsidRDefault="00A1052F" w:rsidP="00A1052F">
            <w:pPr>
              <w:pStyle w:val="Tablebodytext"/>
            </w:pPr>
            <w:r>
              <w:t>#Obs</w:t>
            </w:r>
          </w:p>
        </w:tc>
        <w:tc>
          <w:tcPr>
            <w:tcW w:w="1783" w:type="pct"/>
          </w:tcPr>
          <w:p w14:paraId="35E1294E" w14:textId="77777777" w:rsidR="00A1052F" w:rsidRDefault="00A1052F" w:rsidP="00A1052F">
            <w:pPr>
              <w:pStyle w:val="Tablebodytext"/>
            </w:pPr>
            <w:r>
              <w:t>3,075</w:t>
            </w:r>
          </w:p>
        </w:tc>
        <w:tc>
          <w:tcPr>
            <w:tcW w:w="1387" w:type="pct"/>
          </w:tcPr>
          <w:p w14:paraId="35E1294F" w14:textId="77777777" w:rsidR="00A1052F" w:rsidRDefault="00A1052F" w:rsidP="00A1052F">
            <w:pPr>
              <w:pStyle w:val="Tablebodytext"/>
            </w:pPr>
            <w:r>
              <w:t>3,075</w:t>
            </w:r>
          </w:p>
        </w:tc>
      </w:tr>
    </w:tbl>
    <w:p w14:paraId="35E12951" w14:textId="77777777" w:rsidR="00A1052F" w:rsidRPr="00C62F3A" w:rsidRDefault="00A1052F" w:rsidP="00E63064">
      <w:pPr>
        <w:pStyle w:val="Note"/>
      </w:pPr>
      <w:r>
        <w:t>Notes: Statistics pool over all industry–years.</w:t>
      </w:r>
    </w:p>
    <w:p w14:paraId="35E12952" w14:textId="77777777" w:rsidR="00A1052F" w:rsidRDefault="00A1052F" w:rsidP="00E63064">
      <w:pPr>
        <w:pStyle w:val="Source"/>
      </w:pPr>
      <w:r>
        <w:t>Source: Department of Industry, Innovation and Science (2019)</w:t>
      </w:r>
    </w:p>
    <w:p w14:paraId="35E12953" w14:textId="77777777" w:rsidR="00AA27AF" w:rsidRDefault="00AA27AF" w:rsidP="005A6EA3">
      <w:pPr>
        <w:spacing w:before="240" w:line="270" w:lineRule="exact"/>
        <w:ind w:left="0"/>
      </w:pPr>
      <w:r>
        <w:t>Again, as was the case with the digital index, the HHI has a positive correlation with productivity dispersion. The correlation between the two variable is 0.059, which is again not very large but statistically significant. In other words, industries with more dispersed productivity distributions tend to be more concentrated too.</w:t>
      </w:r>
    </w:p>
    <w:p w14:paraId="35E12954" w14:textId="77777777" w:rsidR="00AA27AF" w:rsidRDefault="00AA27AF" w:rsidP="005A6EA3">
      <w:pPr>
        <w:spacing w:line="270" w:lineRule="exact"/>
        <w:ind w:left="0"/>
      </w:pPr>
      <w:r>
        <w:t>On the contrary, the correlation between the HHI and productivity skewness is negative and is equal to -0.315. These are the industries that supposedly have a few star firms. The correlation suggests that many industries in this category are not very concentrated.</w:t>
      </w:r>
    </w:p>
    <w:p w14:paraId="1F813E5B" w14:textId="77777777" w:rsidR="007307B1" w:rsidRDefault="007307B1">
      <w:pPr>
        <w:spacing w:after="200" w:line="276" w:lineRule="auto"/>
        <w:ind w:left="0"/>
        <w:jc w:val="left"/>
      </w:pPr>
      <w:r>
        <w:br w:type="page"/>
      </w:r>
    </w:p>
    <w:p w14:paraId="35E12955" w14:textId="13CFA1DC" w:rsidR="00AA27AF" w:rsidRDefault="00A15B2D" w:rsidP="005A6EA3">
      <w:pPr>
        <w:spacing w:line="270" w:lineRule="exact"/>
        <w:ind w:left="0"/>
      </w:pPr>
      <w:r>
        <w:lastRenderedPageBreak/>
        <w:t>To formalis</w:t>
      </w:r>
      <w:r w:rsidR="00AA27AF">
        <w:t xml:space="preserve">e the role of productivity distribution on the changes in HHI, I estimate a model of the form: </w:t>
      </w:r>
    </w:p>
    <w:p w14:paraId="35E12956" w14:textId="77777777" w:rsidR="00AA27AF" w:rsidRDefault="00AA27AF" w:rsidP="00AA27AF">
      <w:pPr>
        <w:pStyle w:val="equationNum"/>
        <w:tabs>
          <w:tab w:val="center" w:pos="4019"/>
          <w:tab w:val="right" w:pos="8038"/>
        </w:tabs>
        <w:spacing w:line="270" w:lineRule="exact"/>
      </w:pPr>
      <w:r>
        <w:fldChar w:fldCharType="begin"/>
      </w:r>
      <w:r>
        <w:instrText xml:space="preserve"> EQ Δ\s\do5(</w:instrText>
      </w:r>
      <w:r>
        <w:rPr>
          <w:sz w:val="16"/>
          <w:szCs w:val="16"/>
        </w:rPr>
        <w:instrText>2</w:instrText>
      </w:r>
      <w:r>
        <w:instrText>)</w:instrText>
      </w:r>
      <w:r>
        <w:rPr>
          <w:i/>
          <w:iCs/>
        </w:rPr>
        <w:instrText>H</w:instrText>
      </w:r>
      <w:r>
        <w:instrText>\s\do5(</w:instrText>
      </w:r>
      <w:r>
        <w:rPr>
          <w:i/>
          <w:iCs/>
          <w:sz w:val="16"/>
          <w:szCs w:val="16"/>
        </w:rPr>
        <w:instrText>it</w:instrText>
      </w:r>
      <w:r>
        <w:instrText>)=</w:instrText>
      </w:r>
      <w:r>
        <w:rPr>
          <w:i/>
          <w:iCs/>
        </w:rPr>
        <w:instrText>a</w:instrText>
      </w:r>
      <w:r>
        <w:instrText>\s\do5(</w:instrText>
      </w:r>
      <w:r>
        <w:rPr>
          <w:sz w:val="16"/>
          <w:szCs w:val="16"/>
        </w:rPr>
        <w:instrText>0</w:instrText>
      </w:r>
      <w:r>
        <w:instrText>)+</w:instrText>
      </w:r>
      <w:r>
        <w:rPr>
          <w:i/>
          <w:iCs/>
        </w:rPr>
        <w:instrText>a</w:instrText>
      </w:r>
      <w:r>
        <w:instrText>\s\do5(</w:instrText>
      </w:r>
      <w:r>
        <w:rPr>
          <w:sz w:val="16"/>
          <w:szCs w:val="16"/>
        </w:rPr>
        <w:instrText>1</w:instrText>
      </w:r>
      <w:r>
        <w:instrText>)</w:instrText>
      </w:r>
      <w:r>
        <w:rPr>
          <w:i/>
          <w:iCs/>
        </w:rPr>
        <w:instrText>H</w:instrText>
      </w:r>
      <w:r>
        <w:instrText>\s\do5(</w:instrText>
      </w:r>
      <w:r>
        <w:rPr>
          <w:i/>
          <w:iCs/>
          <w:sz w:val="16"/>
          <w:szCs w:val="16"/>
        </w:rPr>
        <w:instrText>it</w:instrText>
      </w:r>
      <w:r>
        <w:instrText>)+</w:instrText>
      </w:r>
      <w:r>
        <w:rPr>
          <w:i/>
          <w:iCs/>
        </w:rPr>
        <w:instrText>a</w:instrText>
      </w:r>
      <w:r>
        <w:instrText>\s\do5(</w:instrText>
      </w:r>
      <w:r>
        <w:rPr>
          <w:sz w:val="16"/>
          <w:szCs w:val="16"/>
        </w:rPr>
        <w:instrText>2</w:instrText>
      </w:r>
      <w:r>
        <w:instrText>)</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))\s\do5(</w:instrText>
      </w:r>
      <w:r>
        <w:rPr>
          <w:i/>
          <w:iCs/>
          <w:sz w:val="16"/>
          <w:szCs w:val="16"/>
        </w:rPr>
        <w:instrText>it</w:instrText>
      </w:r>
      <w:r>
        <w:instrText>)+</w:instrText>
      </w:r>
      <w:r>
        <w:rPr>
          <w:i/>
          <w:iCs/>
        </w:rPr>
        <w:instrText>a</w:instrText>
      </w:r>
      <w:r>
        <w:instrText>\s\do5(</w:instrText>
      </w:r>
      <w:r>
        <w:rPr>
          <w:sz w:val="16"/>
          <w:szCs w:val="16"/>
        </w:rPr>
        <w:instrText>3</w:instrText>
      </w:r>
      <w:r>
        <w:instrText>)</w:instrText>
      </w:r>
      <w:r>
        <w:rPr>
          <w:i/>
          <w:iCs/>
        </w:rPr>
        <w:instrText>H</w:instrText>
      </w:r>
      <w:r>
        <w:instrText>\s\do5(</w:instrText>
      </w:r>
      <w:r>
        <w:rPr>
          <w:i/>
          <w:iCs/>
          <w:sz w:val="16"/>
          <w:szCs w:val="16"/>
        </w:rPr>
        <w:instrText>it</w:instrText>
      </w:r>
      <w:r>
        <w:instrText>)×</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))\s\do5(</w:instrText>
      </w:r>
      <w:r>
        <w:rPr>
          <w:i/>
          <w:iCs/>
          <w:sz w:val="16"/>
          <w:szCs w:val="16"/>
        </w:rPr>
        <w:instrText>it</w:instrText>
      </w:r>
      <w:r>
        <w:instrText>)+τ\s\do5(</w:instrText>
      </w:r>
      <w:r>
        <w:rPr>
          <w:i/>
          <w:iCs/>
          <w:sz w:val="16"/>
          <w:szCs w:val="16"/>
        </w:rPr>
        <w:instrText>t</w:instrText>
      </w:r>
      <w:r>
        <w:instrText>)+ε\s\do5(</w:instrText>
      </w:r>
      <w:r>
        <w:rPr>
          <w:i/>
          <w:iCs/>
          <w:sz w:val="16"/>
          <w:szCs w:val="16"/>
        </w:rPr>
        <w:instrText>it</w:instrText>
      </w:r>
      <w:r>
        <w:instrText>)\,</w:instrText>
      </w:r>
      <w:r>
        <w:fldChar w:fldCharType="end"/>
      </w:r>
      <w:r>
        <w:tab/>
        <w:t>(</w:t>
      </w:r>
      <w:bookmarkStart w:id="6" w:name="BMeq_lp_reg"/>
      <w:r>
        <w:t>6</w:t>
      </w:r>
      <w:bookmarkEnd w:id="6"/>
      <w:r>
        <w:t>)</w:t>
      </w:r>
    </w:p>
    <w:p w14:paraId="35E12957" w14:textId="2E9B5385" w:rsidR="00AA27AF" w:rsidRDefault="00AA27AF" w:rsidP="00AA27AF">
      <w:pPr>
        <w:spacing w:line="270" w:lineRule="exact"/>
        <w:ind w:left="0"/>
      </w:pPr>
      <w:r>
        <w:t xml:space="preserve">where </w:t>
      </w:r>
      <w:r>
        <w:fldChar w:fldCharType="begin"/>
      </w:r>
      <w:r>
        <w:instrText xml:space="preserve"> EQ Δ\s\do5(</w:instrText>
      </w:r>
      <w:r>
        <w:rPr>
          <w:sz w:val="16"/>
          <w:szCs w:val="16"/>
        </w:rPr>
        <w:instrText>2</w:instrText>
      </w:r>
      <w:r>
        <w:instrText>)</w:instrText>
      </w:r>
      <w:r>
        <w:rPr>
          <w:i/>
          <w:iCs/>
        </w:rPr>
        <w:instrText>H</w:instrText>
      </w:r>
      <w:r>
        <w:instrText>\s\do5(</w:instrText>
      </w:r>
      <w:r>
        <w:rPr>
          <w:i/>
          <w:iCs/>
          <w:sz w:val="16"/>
          <w:szCs w:val="16"/>
        </w:rPr>
        <w:instrText>it</w:instrText>
      </w:r>
      <w:r>
        <w:instrText>)</w:instrText>
      </w:r>
      <w:r>
        <w:fldChar w:fldCharType="end"/>
      </w:r>
      <w:r>
        <w:t xml:space="preserve"> is defined as in (</w:t>
      </w:r>
      <w:fldSimple w:instr="REF BMeq_dH2 \* MERGEFORMAT ">
        <w:r w:rsidR="00A20DE7">
          <w:t>3</w:t>
        </w:r>
      </w:fldSimple>
      <w:r>
        <w:t xml:space="preserve">). I separately estimate a similar model using </w:t>
      </w:r>
      <w:r>
        <w:rPr>
          <w:i/>
          <w:iCs/>
        </w:rPr>
        <w:t>LP</w:t>
      </w:r>
      <w:r>
        <w:t xml:space="preserve"> </w:t>
      </w:r>
      <w:r>
        <w:rPr>
          <w:i/>
          <w:iCs/>
        </w:rPr>
        <w:t>Skew</w:t>
      </w:r>
      <w:r>
        <w:t xml:space="preserve"> instead of </w:t>
      </w:r>
      <w:r>
        <w:fldChar w:fldCharType="begin"/>
      </w:r>
      <w:r>
        <w:instrText xml:space="preserve"> EQ </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w:instrText>
      </w:r>
      <w:r>
        <w:fldChar w:fldCharType="end"/>
      </w:r>
      <w:r>
        <w:t>. The estimated results for both models are reported in Table </w:t>
      </w:r>
      <w:r w:rsidR="009C15B0">
        <w:t>5.6</w:t>
      </w:r>
      <w:r>
        <w:t>.</w:t>
      </w:r>
    </w:p>
    <w:p w14:paraId="701C2E0C" w14:textId="7EF2D862" w:rsidR="000F69EA" w:rsidRDefault="000F69EA" w:rsidP="00412E34">
      <w:pPr>
        <w:pStyle w:val="CaptionWide"/>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6</w:t>
      </w:r>
      <w:r>
        <w:rPr>
          <w:noProof/>
        </w:rPr>
        <w:fldChar w:fldCharType="end"/>
      </w:r>
      <w:r w:rsidRPr="000618FB">
        <w:t xml:space="preserve">: </w:t>
      </w:r>
      <w:r>
        <w:t>The estimated effect of productivity dispersion on the change in HHI.</w:t>
      </w:r>
    </w:p>
    <w:tbl>
      <w:tblPr>
        <w:tblStyle w:val="OCETable"/>
        <w:tblW w:w="6250" w:type="pct"/>
        <w:tblInd w:w="-1985" w:type="dxa"/>
        <w:tblLayout w:type="fixed"/>
        <w:tblLook w:val="04A0" w:firstRow="1" w:lastRow="0" w:firstColumn="1" w:lastColumn="0" w:noHBand="0" w:noVBand="1"/>
        <w:tblCaption w:val="Table 5.6"/>
        <w:tblDescription w:val="The important coefficients in column (1) are insginificant. Coefficient for productivity dispersion and its interaction are negative and positive, respectively, in column (20a dn positive and negative in column (3). When using skewness, all estimted coefficients are negative and significant."/>
      </w:tblPr>
      <w:tblGrid>
        <w:gridCol w:w="1767"/>
        <w:gridCol w:w="1117"/>
        <w:gridCol w:w="1118"/>
        <w:gridCol w:w="1118"/>
        <w:gridCol w:w="1118"/>
        <w:gridCol w:w="1118"/>
        <w:gridCol w:w="144"/>
        <w:gridCol w:w="1040"/>
        <w:gridCol w:w="78"/>
      </w:tblGrid>
      <w:tr w:rsidR="000F69EA" w14:paraId="33711EBB" w14:textId="77777777" w:rsidTr="000F69EA">
        <w:trPr>
          <w:cnfStyle w:val="100000000000" w:firstRow="1" w:lastRow="0" w:firstColumn="0" w:lastColumn="0" w:oddVBand="0" w:evenVBand="0" w:oddHBand="0" w:evenHBand="0" w:firstRowFirstColumn="0" w:firstRowLastColumn="0" w:lastRowFirstColumn="0" w:lastRowLastColumn="0"/>
          <w:tblHeader/>
        </w:trPr>
        <w:tc>
          <w:tcPr>
            <w:tcW w:w="1767" w:type="dxa"/>
            <w:tcBorders>
              <w:bottom w:val="none" w:sz="0" w:space="0" w:color="auto"/>
            </w:tcBorders>
          </w:tcPr>
          <w:p w14:paraId="59DF6186" w14:textId="77777777" w:rsidR="000F69EA" w:rsidRDefault="000F69EA" w:rsidP="00412E34">
            <w:pPr>
              <w:pStyle w:val="Tableheadertext"/>
            </w:pPr>
          </w:p>
        </w:tc>
        <w:tc>
          <w:tcPr>
            <w:tcW w:w="6851" w:type="dxa"/>
            <w:gridSpan w:val="8"/>
            <w:tcBorders>
              <w:bottom w:val="none" w:sz="0" w:space="0" w:color="auto"/>
            </w:tcBorders>
          </w:tcPr>
          <w:p w14:paraId="69AD2BAB" w14:textId="77777777" w:rsidR="000F69EA" w:rsidRDefault="000F69EA" w:rsidP="00412E34">
            <w:pPr>
              <w:pStyle w:val="Tableheadertext"/>
            </w:pPr>
            <w:r>
              <w:t xml:space="preserve">Dependent: </w:t>
            </w:r>
            <w:r>
              <w:fldChar w:fldCharType="begin"/>
            </w:r>
            <w:r>
              <w:instrText xml:space="preserve"> EQ Δ\s\do5(</w:instrText>
            </w:r>
            <w:r>
              <w:rPr>
                <w:sz w:val="16"/>
                <w:szCs w:val="16"/>
              </w:rPr>
              <w:instrText>2</w:instrText>
            </w:r>
            <w:r>
              <w:instrText>)</w:instrText>
            </w:r>
            <w:r>
              <w:rPr>
                <w:i/>
                <w:iCs/>
              </w:rPr>
              <w:instrText>H</w:instrText>
            </w:r>
            <w:r>
              <w:fldChar w:fldCharType="end"/>
            </w:r>
          </w:p>
        </w:tc>
      </w:tr>
      <w:tr w:rsidR="000F69EA" w:rsidRPr="000A1A2F" w14:paraId="00B22592" w14:textId="77777777" w:rsidTr="000F69EA">
        <w:trPr>
          <w:cnfStyle w:val="000000100000" w:firstRow="0" w:lastRow="0" w:firstColumn="0" w:lastColumn="0" w:oddVBand="0" w:evenVBand="0" w:oddHBand="1" w:evenHBand="0" w:firstRowFirstColumn="0" w:firstRowLastColumn="0" w:lastRowFirstColumn="0" w:lastRowLastColumn="0"/>
        </w:trPr>
        <w:tc>
          <w:tcPr>
            <w:tcW w:w="1767" w:type="dxa"/>
            <w:shd w:val="clear" w:color="auto" w:fill="005CAF"/>
          </w:tcPr>
          <w:p w14:paraId="15B4BD15" w14:textId="77777777" w:rsidR="000F69EA" w:rsidRPr="000A1A2F" w:rsidRDefault="000F69EA" w:rsidP="00412E34">
            <w:pPr>
              <w:pStyle w:val="Tablebodytext"/>
              <w:rPr>
                <w:color w:val="FFFFFF" w:themeColor="background2"/>
              </w:rPr>
            </w:pPr>
            <w:r w:rsidRPr="000A1A2F">
              <w:rPr>
                <w:color w:val="FFFFFF" w:themeColor="background2"/>
              </w:rPr>
              <w:t>Variable</w:t>
            </w:r>
          </w:p>
        </w:tc>
        <w:tc>
          <w:tcPr>
            <w:tcW w:w="1117" w:type="dxa"/>
            <w:shd w:val="clear" w:color="auto" w:fill="005CAF"/>
          </w:tcPr>
          <w:p w14:paraId="51C69D9A" w14:textId="77777777" w:rsidR="000F69EA" w:rsidRPr="000A1A2F" w:rsidRDefault="000F69EA" w:rsidP="00412E34">
            <w:pPr>
              <w:pStyle w:val="Tablebodytext"/>
              <w:rPr>
                <w:color w:val="FFFFFF" w:themeColor="background2"/>
              </w:rPr>
            </w:pPr>
            <w:r w:rsidRPr="000A1A2F">
              <w:rPr>
                <w:color w:val="FFFFFF" w:themeColor="background2"/>
              </w:rPr>
              <w:t>(1)</w:t>
            </w:r>
          </w:p>
        </w:tc>
        <w:tc>
          <w:tcPr>
            <w:tcW w:w="1118" w:type="dxa"/>
            <w:shd w:val="clear" w:color="auto" w:fill="005CAF"/>
          </w:tcPr>
          <w:p w14:paraId="4B990804" w14:textId="77777777" w:rsidR="000F69EA" w:rsidRPr="000A1A2F" w:rsidRDefault="000F69EA" w:rsidP="00412E34">
            <w:pPr>
              <w:pStyle w:val="Tablebodytext"/>
              <w:rPr>
                <w:color w:val="FFFFFF" w:themeColor="background2"/>
              </w:rPr>
            </w:pPr>
            <w:r w:rsidRPr="000A1A2F">
              <w:rPr>
                <w:color w:val="FFFFFF" w:themeColor="background2"/>
              </w:rPr>
              <w:t>(2)</w:t>
            </w:r>
          </w:p>
        </w:tc>
        <w:tc>
          <w:tcPr>
            <w:tcW w:w="1118" w:type="dxa"/>
            <w:shd w:val="clear" w:color="auto" w:fill="005CAF"/>
          </w:tcPr>
          <w:p w14:paraId="48D570F2" w14:textId="77777777" w:rsidR="000F69EA" w:rsidRPr="000A1A2F" w:rsidRDefault="000F69EA" w:rsidP="00412E34">
            <w:pPr>
              <w:pStyle w:val="Tablebodytext"/>
              <w:rPr>
                <w:color w:val="FFFFFF" w:themeColor="background2"/>
              </w:rPr>
            </w:pPr>
            <w:r w:rsidRPr="000A1A2F">
              <w:rPr>
                <w:color w:val="FFFFFF" w:themeColor="background2"/>
              </w:rPr>
              <w:t>(3)</w:t>
            </w:r>
          </w:p>
        </w:tc>
        <w:tc>
          <w:tcPr>
            <w:tcW w:w="1118" w:type="dxa"/>
            <w:shd w:val="clear" w:color="auto" w:fill="005CAF"/>
          </w:tcPr>
          <w:p w14:paraId="3F5AD88B" w14:textId="77777777" w:rsidR="000F69EA" w:rsidRPr="000A1A2F" w:rsidRDefault="000F69EA" w:rsidP="00412E34">
            <w:pPr>
              <w:pStyle w:val="Tablebodytext"/>
              <w:rPr>
                <w:color w:val="FFFFFF" w:themeColor="background2"/>
              </w:rPr>
            </w:pPr>
            <w:r w:rsidRPr="000A1A2F">
              <w:rPr>
                <w:color w:val="FFFFFF" w:themeColor="background2"/>
              </w:rPr>
              <w:t>(4)</w:t>
            </w:r>
          </w:p>
        </w:tc>
        <w:tc>
          <w:tcPr>
            <w:tcW w:w="1262" w:type="dxa"/>
            <w:gridSpan w:val="2"/>
            <w:shd w:val="clear" w:color="auto" w:fill="005CAF"/>
          </w:tcPr>
          <w:p w14:paraId="1B32242A" w14:textId="77777777" w:rsidR="000F69EA" w:rsidRPr="000A1A2F" w:rsidRDefault="000F69EA" w:rsidP="00412E34">
            <w:pPr>
              <w:pStyle w:val="Tablebodytext"/>
              <w:rPr>
                <w:color w:val="FFFFFF" w:themeColor="background2"/>
              </w:rPr>
            </w:pPr>
            <w:r w:rsidRPr="000A1A2F">
              <w:rPr>
                <w:color w:val="FFFFFF" w:themeColor="background2"/>
              </w:rPr>
              <w:t>(5)</w:t>
            </w:r>
          </w:p>
        </w:tc>
        <w:tc>
          <w:tcPr>
            <w:tcW w:w="1118" w:type="dxa"/>
            <w:gridSpan w:val="2"/>
            <w:shd w:val="clear" w:color="auto" w:fill="005CAF"/>
          </w:tcPr>
          <w:p w14:paraId="6DA226A9" w14:textId="77777777" w:rsidR="000F69EA" w:rsidRPr="000A1A2F" w:rsidRDefault="000F69EA" w:rsidP="00412E34">
            <w:pPr>
              <w:pStyle w:val="Tablebodytext"/>
              <w:rPr>
                <w:color w:val="FFFFFF" w:themeColor="background2"/>
              </w:rPr>
            </w:pPr>
            <w:r w:rsidRPr="000A1A2F">
              <w:rPr>
                <w:color w:val="FFFFFF" w:themeColor="background2"/>
              </w:rPr>
              <w:t>(6)</w:t>
            </w:r>
          </w:p>
        </w:tc>
      </w:tr>
      <w:tr w:rsidR="000F69EA" w14:paraId="2FF58D9E" w14:textId="77777777" w:rsidTr="000F69EA">
        <w:trPr>
          <w:cnfStyle w:val="000000010000" w:firstRow="0" w:lastRow="0" w:firstColumn="0" w:lastColumn="0" w:oddVBand="0" w:evenVBand="0" w:oddHBand="0" w:evenHBand="1" w:firstRowFirstColumn="0" w:firstRowLastColumn="0" w:lastRowFirstColumn="0" w:lastRowLastColumn="0"/>
        </w:trPr>
        <w:tc>
          <w:tcPr>
            <w:tcW w:w="1767" w:type="dxa"/>
          </w:tcPr>
          <w:p w14:paraId="4D581566" w14:textId="77777777" w:rsidR="000F69EA" w:rsidRDefault="000F69EA" w:rsidP="00412E34">
            <w:pPr>
              <w:pStyle w:val="Tablebodytext"/>
            </w:pPr>
            <w:r>
              <w:t xml:space="preserve"> </w:t>
            </w:r>
            <w:r>
              <w:rPr>
                <w:i/>
                <w:iCs/>
              </w:rPr>
              <w:t>H</w:t>
            </w:r>
          </w:p>
        </w:tc>
        <w:tc>
          <w:tcPr>
            <w:tcW w:w="1117" w:type="dxa"/>
          </w:tcPr>
          <w:p w14:paraId="4739CF35" w14:textId="77777777" w:rsidR="000F69EA" w:rsidRDefault="000F69EA" w:rsidP="00412E34">
            <w:pPr>
              <w:pStyle w:val="Tablebodytext"/>
            </w:pPr>
            <w:r>
              <w:t>-0.155***</w:t>
            </w:r>
          </w:p>
        </w:tc>
        <w:tc>
          <w:tcPr>
            <w:tcW w:w="1118" w:type="dxa"/>
          </w:tcPr>
          <w:p w14:paraId="0FCF11CD" w14:textId="77777777" w:rsidR="000F69EA" w:rsidRDefault="000F69EA" w:rsidP="00412E34">
            <w:pPr>
              <w:pStyle w:val="Tablebodytext"/>
            </w:pPr>
            <w:r>
              <w:t>-0.256***</w:t>
            </w:r>
          </w:p>
        </w:tc>
        <w:tc>
          <w:tcPr>
            <w:tcW w:w="1118" w:type="dxa"/>
          </w:tcPr>
          <w:p w14:paraId="15EAAE61" w14:textId="77777777" w:rsidR="000F69EA" w:rsidRDefault="000F69EA" w:rsidP="00412E34">
            <w:pPr>
              <w:pStyle w:val="Tablebodytext"/>
            </w:pPr>
            <w:r>
              <w:t>-0.046*</w:t>
            </w:r>
          </w:p>
        </w:tc>
        <w:tc>
          <w:tcPr>
            <w:tcW w:w="1118" w:type="dxa"/>
          </w:tcPr>
          <w:p w14:paraId="67308EF6" w14:textId="77777777" w:rsidR="000F69EA" w:rsidRDefault="000F69EA" w:rsidP="00412E34">
            <w:pPr>
              <w:pStyle w:val="Tablebodytext"/>
            </w:pPr>
            <w:r>
              <w:t>-0.128***</w:t>
            </w:r>
          </w:p>
        </w:tc>
        <w:tc>
          <w:tcPr>
            <w:tcW w:w="1262" w:type="dxa"/>
            <w:gridSpan w:val="2"/>
          </w:tcPr>
          <w:p w14:paraId="4CE95765" w14:textId="77777777" w:rsidR="000F69EA" w:rsidRDefault="000F69EA" w:rsidP="00412E34">
            <w:pPr>
              <w:pStyle w:val="Tablebodytext"/>
            </w:pPr>
            <w:r>
              <w:t>−0.100***</w:t>
            </w:r>
          </w:p>
        </w:tc>
        <w:tc>
          <w:tcPr>
            <w:tcW w:w="1118" w:type="dxa"/>
            <w:gridSpan w:val="2"/>
          </w:tcPr>
          <w:p w14:paraId="2ECAAA57" w14:textId="77777777" w:rsidR="000F69EA" w:rsidRDefault="000F69EA" w:rsidP="00412E34">
            <w:pPr>
              <w:pStyle w:val="Tablebodytext"/>
            </w:pPr>
            <w:r>
              <w:t>−0.141*</w:t>
            </w:r>
          </w:p>
        </w:tc>
      </w:tr>
      <w:tr w:rsidR="000F69EA" w14:paraId="21093A36" w14:textId="77777777" w:rsidTr="000F69EA">
        <w:trPr>
          <w:cnfStyle w:val="000000100000" w:firstRow="0" w:lastRow="0" w:firstColumn="0" w:lastColumn="0" w:oddVBand="0" w:evenVBand="0" w:oddHBand="1" w:evenHBand="0" w:firstRowFirstColumn="0" w:firstRowLastColumn="0" w:lastRowFirstColumn="0" w:lastRowLastColumn="0"/>
        </w:trPr>
        <w:tc>
          <w:tcPr>
            <w:tcW w:w="1767" w:type="dxa"/>
          </w:tcPr>
          <w:p w14:paraId="7A46C135" w14:textId="77777777" w:rsidR="000F69EA" w:rsidRDefault="000F69EA" w:rsidP="00412E34">
            <w:pPr>
              <w:pStyle w:val="Tablebodytext"/>
            </w:pPr>
          </w:p>
        </w:tc>
        <w:tc>
          <w:tcPr>
            <w:tcW w:w="1117" w:type="dxa"/>
          </w:tcPr>
          <w:p w14:paraId="076F1428" w14:textId="77777777" w:rsidR="000F69EA" w:rsidRDefault="000F69EA" w:rsidP="00412E34">
            <w:pPr>
              <w:pStyle w:val="Tablebodytext"/>
            </w:pPr>
            <w:r>
              <w:t>(0.020)</w:t>
            </w:r>
          </w:p>
        </w:tc>
        <w:tc>
          <w:tcPr>
            <w:tcW w:w="1118" w:type="dxa"/>
          </w:tcPr>
          <w:p w14:paraId="4B64E66C" w14:textId="77777777" w:rsidR="000F69EA" w:rsidRDefault="000F69EA" w:rsidP="00412E34">
            <w:pPr>
              <w:pStyle w:val="Tablebodytext"/>
            </w:pPr>
            <w:r>
              <w:t>(0.023)</w:t>
            </w:r>
          </w:p>
        </w:tc>
        <w:tc>
          <w:tcPr>
            <w:tcW w:w="1118" w:type="dxa"/>
          </w:tcPr>
          <w:p w14:paraId="78E8974C" w14:textId="77777777" w:rsidR="000F69EA" w:rsidRDefault="000F69EA" w:rsidP="00412E34">
            <w:pPr>
              <w:pStyle w:val="Tablebodytext"/>
            </w:pPr>
            <w:r>
              <w:t>(0.028)</w:t>
            </w:r>
          </w:p>
        </w:tc>
        <w:tc>
          <w:tcPr>
            <w:tcW w:w="1118" w:type="dxa"/>
          </w:tcPr>
          <w:p w14:paraId="0E012531" w14:textId="77777777" w:rsidR="000F69EA" w:rsidRDefault="000F69EA" w:rsidP="00412E34">
            <w:pPr>
              <w:pStyle w:val="Tablebodytext"/>
            </w:pPr>
            <w:r>
              <w:t>(0.015)</w:t>
            </w:r>
          </w:p>
        </w:tc>
        <w:tc>
          <w:tcPr>
            <w:tcW w:w="1262" w:type="dxa"/>
            <w:gridSpan w:val="2"/>
          </w:tcPr>
          <w:p w14:paraId="5CFC6F8A" w14:textId="77777777" w:rsidR="000F69EA" w:rsidRDefault="000F69EA" w:rsidP="00412E34">
            <w:pPr>
              <w:pStyle w:val="Tablebodytext"/>
            </w:pPr>
            <w:r>
              <w:t>(0.017)</w:t>
            </w:r>
          </w:p>
        </w:tc>
        <w:tc>
          <w:tcPr>
            <w:tcW w:w="1118" w:type="dxa"/>
            <w:gridSpan w:val="2"/>
          </w:tcPr>
          <w:p w14:paraId="5B4FD773" w14:textId="77777777" w:rsidR="000F69EA" w:rsidRDefault="000F69EA" w:rsidP="00412E34">
            <w:pPr>
              <w:pStyle w:val="Tablebodytext"/>
            </w:pPr>
            <w:r>
              <w:t>(0.021)</w:t>
            </w:r>
          </w:p>
        </w:tc>
      </w:tr>
      <w:tr w:rsidR="000F69EA" w14:paraId="14FB8BA7" w14:textId="77777777" w:rsidTr="000F69EA">
        <w:trPr>
          <w:gridAfter w:val="4"/>
          <w:cnfStyle w:val="000000010000" w:firstRow="0" w:lastRow="0" w:firstColumn="0" w:lastColumn="0" w:oddVBand="0" w:evenVBand="0" w:oddHBand="0" w:evenHBand="1" w:firstRowFirstColumn="0" w:firstRowLastColumn="0" w:lastRowFirstColumn="0" w:lastRowLastColumn="0"/>
          <w:wAfter w:w="2380" w:type="dxa"/>
        </w:trPr>
        <w:tc>
          <w:tcPr>
            <w:tcW w:w="1767" w:type="dxa"/>
          </w:tcPr>
          <w:p w14:paraId="7A0ADE83" w14:textId="77777777" w:rsidR="000F69EA" w:rsidRDefault="000F69EA" w:rsidP="00412E34">
            <w:pPr>
              <w:pStyle w:val="Tablebodytext"/>
            </w:pPr>
            <w:r>
              <w:fldChar w:fldCharType="begin"/>
            </w:r>
            <w:r>
              <w:instrText xml:space="preserve"> EQ </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w:instrText>
            </w:r>
            <w:r>
              <w:fldChar w:fldCharType="end"/>
            </w:r>
          </w:p>
        </w:tc>
        <w:tc>
          <w:tcPr>
            <w:tcW w:w="1117" w:type="dxa"/>
          </w:tcPr>
          <w:p w14:paraId="0E0750F0" w14:textId="77777777" w:rsidR="000F69EA" w:rsidRDefault="000F69EA" w:rsidP="00412E34">
            <w:pPr>
              <w:pStyle w:val="Tablebodytext"/>
            </w:pPr>
            <w:r>
              <w:t>-0.0002</w:t>
            </w:r>
          </w:p>
        </w:tc>
        <w:tc>
          <w:tcPr>
            <w:tcW w:w="1118" w:type="dxa"/>
          </w:tcPr>
          <w:p w14:paraId="49B8B8B7" w14:textId="77777777" w:rsidR="000F69EA" w:rsidRDefault="000F69EA" w:rsidP="00412E34">
            <w:pPr>
              <w:pStyle w:val="Tablebodytext"/>
            </w:pPr>
            <w:r>
              <w:t>-0.002**</w:t>
            </w:r>
          </w:p>
        </w:tc>
        <w:tc>
          <w:tcPr>
            <w:tcW w:w="1118" w:type="dxa"/>
          </w:tcPr>
          <w:p w14:paraId="4E9320CB" w14:textId="77777777" w:rsidR="000F69EA" w:rsidRDefault="000F69EA" w:rsidP="00412E34">
            <w:pPr>
              <w:pStyle w:val="Tablebodytext"/>
            </w:pPr>
            <w:r>
              <w:t>0.002**</w:t>
            </w:r>
          </w:p>
        </w:tc>
        <w:tc>
          <w:tcPr>
            <w:tcW w:w="1118" w:type="dxa"/>
          </w:tcPr>
          <w:p w14:paraId="7D5DDD31" w14:textId="77777777" w:rsidR="000F69EA" w:rsidRDefault="000F69EA" w:rsidP="00412E34">
            <w:pPr>
              <w:pStyle w:val="Tablebodytext"/>
            </w:pPr>
          </w:p>
        </w:tc>
      </w:tr>
      <w:tr w:rsidR="000F69EA" w14:paraId="05D13AE4" w14:textId="77777777" w:rsidTr="000F69EA">
        <w:trPr>
          <w:gridAfter w:val="1"/>
          <w:cnfStyle w:val="000000100000" w:firstRow="0" w:lastRow="0" w:firstColumn="0" w:lastColumn="0" w:oddVBand="0" w:evenVBand="0" w:oddHBand="1" w:evenHBand="0" w:firstRowFirstColumn="0" w:firstRowLastColumn="0" w:lastRowFirstColumn="0" w:lastRowLastColumn="0"/>
          <w:wAfter w:w="78" w:type="dxa"/>
        </w:trPr>
        <w:tc>
          <w:tcPr>
            <w:tcW w:w="1767" w:type="dxa"/>
          </w:tcPr>
          <w:p w14:paraId="11293A0C" w14:textId="77777777" w:rsidR="000F69EA" w:rsidRDefault="000F69EA" w:rsidP="00412E34">
            <w:pPr>
              <w:pStyle w:val="Tablebodytext"/>
            </w:pPr>
          </w:p>
        </w:tc>
        <w:tc>
          <w:tcPr>
            <w:tcW w:w="1117" w:type="dxa"/>
          </w:tcPr>
          <w:p w14:paraId="75A4908F" w14:textId="77777777" w:rsidR="000F69EA" w:rsidRDefault="000F69EA" w:rsidP="00412E34">
            <w:pPr>
              <w:pStyle w:val="Tablebodytext"/>
            </w:pPr>
            <w:r>
              <w:t>(0.001)</w:t>
            </w:r>
          </w:p>
        </w:tc>
        <w:tc>
          <w:tcPr>
            <w:tcW w:w="1118" w:type="dxa"/>
          </w:tcPr>
          <w:p w14:paraId="454AB29D" w14:textId="77777777" w:rsidR="000F69EA" w:rsidRDefault="000F69EA" w:rsidP="00412E34">
            <w:pPr>
              <w:pStyle w:val="Tablebodytext"/>
            </w:pPr>
            <w:r>
              <w:t>(0.001)</w:t>
            </w:r>
          </w:p>
        </w:tc>
        <w:tc>
          <w:tcPr>
            <w:tcW w:w="1118" w:type="dxa"/>
          </w:tcPr>
          <w:p w14:paraId="5DB303D4" w14:textId="77777777" w:rsidR="000F69EA" w:rsidRDefault="000F69EA" w:rsidP="00412E34">
            <w:pPr>
              <w:pStyle w:val="Tablebodytext"/>
            </w:pPr>
            <w:r>
              <w:t>(0.001)</w:t>
            </w:r>
          </w:p>
        </w:tc>
        <w:tc>
          <w:tcPr>
            <w:tcW w:w="1118" w:type="dxa"/>
          </w:tcPr>
          <w:p w14:paraId="37A6D134" w14:textId="77777777" w:rsidR="000F69EA" w:rsidRDefault="000F69EA" w:rsidP="00412E34">
            <w:pPr>
              <w:pStyle w:val="Tablebodytext"/>
            </w:pPr>
          </w:p>
        </w:tc>
        <w:tc>
          <w:tcPr>
            <w:tcW w:w="1118" w:type="dxa"/>
          </w:tcPr>
          <w:p w14:paraId="15B49508" w14:textId="77777777" w:rsidR="000F69EA" w:rsidRDefault="000F69EA" w:rsidP="00412E34">
            <w:pPr>
              <w:pStyle w:val="Tablebodytext"/>
            </w:pPr>
          </w:p>
        </w:tc>
        <w:tc>
          <w:tcPr>
            <w:tcW w:w="1184" w:type="dxa"/>
            <w:gridSpan w:val="2"/>
          </w:tcPr>
          <w:p w14:paraId="4BC5FEEA" w14:textId="77777777" w:rsidR="000F69EA" w:rsidRDefault="000F69EA" w:rsidP="00412E34">
            <w:pPr>
              <w:pStyle w:val="Tablebodytext"/>
            </w:pPr>
          </w:p>
        </w:tc>
      </w:tr>
      <w:tr w:rsidR="000F69EA" w14:paraId="11EA8F5E" w14:textId="77777777" w:rsidTr="000F69EA">
        <w:trPr>
          <w:gridAfter w:val="5"/>
          <w:cnfStyle w:val="000000010000" w:firstRow="0" w:lastRow="0" w:firstColumn="0" w:lastColumn="0" w:oddVBand="0" w:evenVBand="0" w:oddHBand="0" w:evenHBand="1" w:firstRowFirstColumn="0" w:firstRowLastColumn="0" w:lastRowFirstColumn="0" w:lastRowLastColumn="0"/>
          <w:wAfter w:w="3498" w:type="dxa"/>
        </w:trPr>
        <w:tc>
          <w:tcPr>
            <w:tcW w:w="1767" w:type="dxa"/>
          </w:tcPr>
          <w:p w14:paraId="46CCF52D" w14:textId="77777777" w:rsidR="000F69EA" w:rsidRDefault="000F69EA" w:rsidP="00412E34">
            <w:pPr>
              <w:pStyle w:val="Tablebodytext"/>
            </w:pPr>
            <w:r>
              <w:fldChar w:fldCharType="begin"/>
            </w:r>
            <w:r>
              <w:instrText xml:space="preserve"> EQ </w:instrText>
            </w:r>
            <w:r>
              <w:rPr>
                <w:i/>
                <w:iCs/>
              </w:rPr>
              <w:instrText>H</w:instrText>
            </w:r>
            <w:r>
              <w:instrText>×</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w:instrText>
            </w:r>
            <w:r>
              <w:fldChar w:fldCharType="end"/>
            </w:r>
          </w:p>
        </w:tc>
        <w:tc>
          <w:tcPr>
            <w:tcW w:w="1117" w:type="dxa"/>
          </w:tcPr>
          <w:p w14:paraId="3FE6899A" w14:textId="77777777" w:rsidR="000F69EA" w:rsidRDefault="000F69EA" w:rsidP="00412E34">
            <w:pPr>
              <w:pStyle w:val="Tablebodytext"/>
            </w:pPr>
            <w:r>
              <w:t>-0.002</w:t>
            </w:r>
          </w:p>
        </w:tc>
        <w:tc>
          <w:tcPr>
            <w:tcW w:w="1118" w:type="dxa"/>
          </w:tcPr>
          <w:p w14:paraId="0A39B303" w14:textId="77777777" w:rsidR="000F69EA" w:rsidRDefault="000F69EA" w:rsidP="00412E34">
            <w:pPr>
              <w:pStyle w:val="Tablebodytext"/>
            </w:pPr>
            <w:r>
              <w:t>0.027***</w:t>
            </w:r>
          </w:p>
        </w:tc>
        <w:tc>
          <w:tcPr>
            <w:tcW w:w="1118" w:type="dxa"/>
          </w:tcPr>
          <w:p w14:paraId="62953A4D" w14:textId="77777777" w:rsidR="000F69EA" w:rsidRDefault="000F69EA" w:rsidP="00412E34">
            <w:pPr>
              <w:pStyle w:val="Tablebodytext"/>
            </w:pPr>
            <w:r>
              <w:t>-0.039***</w:t>
            </w:r>
          </w:p>
        </w:tc>
      </w:tr>
      <w:tr w:rsidR="000F69EA" w14:paraId="2FC0FB1C" w14:textId="77777777" w:rsidTr="000F69EA">
        <w:trPr>
          <w:gridAfter w:val="1"/>
          <w:cnfStyle w:val="000000100000" w:firstRow="0" w:lastRow="0" w:firstColumn="0" w:lastColumn="0" w:oddVBand="0" w:evenVBand="0" w:oddHBand="1" w:evenHBand="0" w:firstRowFirstColumn="0" w:firstRowLastColumn="0" w:lastRowFirstColumn="0" w:lastRowLastColumn="0"/>
          <w:wAfter w:w="78" w:type="dxa"/>
        </w:trPr>
        <w:tc>
          <w:tcPr>
            <w:tcW w:w="1767" w:type="dxa"/>
          </w:tcPr>
          <w:p w14:paraId="6E8AB222" w14:textId="77777777" w:rsidR="000F69EA" w:rsidRDefault="000F69EA" w:rsidP="00412E34">
            <w:pPr>
              <w:pStyle w:val="Tablebodytext"/>
            </w:pPr>
          </w:p>
        </w:tc>
        <w:tc>
          <w:tcPr>
            <w:tcW w:w="1117" w:type="dxa"/>
          </w:tcPr>
          <w:p w14:paraId="59E0A9E7" w14:textId="77777777" w:rsidR="000F69EA" w:rsidRDefault="000F69EA" w:rsidP="00412E34">
            <w:pPr>
              <w:pStyle w:val="Tablebodytext"/>
            </w:pPr>
            <w:r>
              <w:t>(0.004)</w:t>
            </w:r>
          </w:p>
        </w:tc>
        <w:tc>
          <w:tcPr>
            <w:tcW w:w="1118" w:type="dxa"/>
          </w:tcPr>
          <w:p w14:paraId="1AE2DDF5" w14:textId="77777777" w:rsidR="000F69EA" w:rsidRDefault="000F69EA" w:rsidP="00412E34">
            <w:pPr>
              <w:pStyle w:val="Tablebodytext"/>
            </w:pPr>
            <w:r>
              <w:t>(0.004)</w:t>
            </w:r>
          </w:p>
        </w:tc>
        <w:tc>
          <w:tcPr>
            <w:tcW w:w="1118" w:type="dxa"/>
          </w:tcPr>
          <w:p w14:paraId="0C69CE15" w14:textId="77777777" w:rsidR="000F69EA" w:rsidRDefault="000F69EA" w:rsidP="00412E34">
            <w:pPr>
              <w:pStyle w:val="Tablebodytext"/>
            </w:pPr>
            <w:r>
              <w:t>(0.007)</w:t>
            </w:r>
          </w:p>
        </w:tc>
        <w:tc>
          <w:tcPr>
            <w:tcW w:w="1118" w:type="dxa"/>
          </w:tcPr>
          <w:p w14:paraId="5213B972" w14:textId="77777777" w:rsidR="000F69EA" w:rsidRDefault="000F69EA" w:rsidP="00412E34">
            <w:pPr>
              <w:pStyle w:val="Tablebodytext"/>
            </w:pPr>
          </w:p>
        </w:tc>
        <w:tc>
          <w:tcPr>
            <w:tcW w:w="1118" w:type="dxa"/>
          </w:tcPr>
          <w:p w14:paraId="59BE1EA2" w14:textId="77777777" w:rsidR="000F69EA" w:rsidRDefault="000F69EA" w:rsidP="00412E34">
            <w:pPr>
              <w:pStyle w:val="Tablebodytext"/>
            </w:pPr>
          </w:p>
        </w:tc>
        <w:tc>
          <w:tcPr>
            <w:tcW w:w="1184" w:type="dxa"/>
            <w:gridSpan w:val="2"/>
          </w:tcPr>
          <w:p w14:paraId="6DAA0CFB" w14:textId="77777777" w:rsidR="000F69EA" w:rsidRDefault="000F69EA" w:rsidP="00412E34">
            <w:pPr>
              <w:pStyle w:val="Tablebodytext"/>
            </w:pPr>
          </w:p>
        </w:tc>
      </w:tr>
      <w:tr w:rsidR="000F69EA" w14:paraId="3FBBE2A0" w14:textId="77777777" w:rsidTr="000F69EA">
        <w:trPr>
          <w:cnfStyle w:val="000000010000" w:firstRow="0" w:lastRow="0" w:firstColumn="0" w:lastColumn="0" w:oddVBand="0" w:evenVBand="0" w:oddHBand="0" w:evenHBand="1" w:firstRowFirstColumn="0" w:firstRowLastColumn="0" w:lastRowFirstColumn="0" w:lastRowLastColumn="0"/>
        </w:trPr>
        <w:tc>
          <w:tcPr>
            <w:tcW w:w="1767" w:type="dxa"/>
          </w:tcPr>
          <w:p w14:paraId="196E39D1" w14:textId="77777777" w:rsidR="000F69EA" w:rsidRDefault="000F69EA" w:rsidP="00412E34">
            <w:pPr>
              <w:pStyle w:val="Tablebodytext"/>
            </w:pPr>
            <w:r>
              <w:rPr>
                <w:i/>
                <w:iCs/>
              </w:rPr>
              <w:t>LP</w:t>
            </w:r>
            <w:r>
              <w:t xml:space="preserve"> </w:t>
            </w:r>
            <w:r>
              <w:rPr>
                <w:i/>
                <w:iCs/>
              </w:rPr>
              <w:t>Skew</w:t>
            </w:r>
          </w:p>
        </w:tc>
        <w:tc>
          <w:tcPr>
            <w:tcW w:w="1117" w:type="dxa"/>
          </w:tcPr>
          <w:p w14:paraId="34ACB5D5" w14:textId="77777777" w:rsidR="000F69EA" w:rsidRDefault="000F69EA" w:rsidP="00412E34">
            <w:pPr>
              <w:pStyle w:val="Tablebodytext"/>
            </w:pPr>
          </w:p>
        </w:tc>
        <w:tc>
          <w:tcPr>
            <w:tcW w:w="1118" w:type="dxa"/>
          </w:tcPr>
          <w:p w14:paraId="60C87AFA" w14:textId="77777777" w:rsidR="000F69EA" w:rsidRDefault="000F69EA" w:rsidP="00412E34">
            <w:pPr>
              <w:pStyle w:val="Tablebodytext"/>
            </w:pPr>
          </w:p>
        </w:tc>
        <w:tc>
          <w:tcPr>
            <w:tcW w:w="1118" w:type="dxa"/>
          </w:tcPr>
          <w:p w14:paraId="0622B76B" w14:textId="77777777" w:rsidR="000F69EA" w:rsidRDefault="000F69EA" w:rsidP="00412E34">
            <w:pPr>
              <w:pStyle w:val="Tablebodytext"/>
            </w:pPr>
          </w:p>
        </w:tc>
        <w:tc>
          <w:tcPr>
            <w:tcW w:w="1118" w:type="dxa"/>
          </w:tcPr>
          <w:p w14:paraId="7CE33B3D" w14:textId="77777777" w:rsidR="000F69EA" w:rsidRDefault="000F69EA" w:rsidP="00412E34">
            <w:pPr>
              <w:pStyle w:val="Tablebodytext"/>
            </w:pPr>
            <w:r>
              <w:t>-0.0001**</w:t>
            </w:r>
          </w:p>
        </w:tc>
        <w:tc>
          <w:tcPr>
            <w:tcW w:w="1262" w:type="dxa"/>
            <w:gridSpan w:val="2"/>
          </w:tcPr>
          <w:p w14:paraId="34649C48" w14:textId="77777777" w:rsidR="000F69EA" w:rsidRDefault="000F69EA" w:rsidP="00412E34">
            <w:pPr>
              <w:pStyle w:val="Tablebodytext"/>
            </w:pPr>
            <w:r>
              <w:t>-0.0001*</w:t>
            </w:r>
          </w:p>
        </w:tc>
        <w:tc>
          <w:tcPr>
            <w:tcW w:w="1118" w:type="dxa"/>
            <w:gridSpan w:val="2"/>
          </w:tcPr>
          <w:p w14:paraId="12CC3938" w14:textId="77777777" w:rsidR="000F69EA" w:rsidRDefault="000F69EA" w:rsidP="00412E34">
            <w:pPr>
              <w:pStyle w:val="Tablebodytext"/>
            </w:pPr>
            <w:r>
              <w:t>-0.0001*</w:t>
            </w:r>
          </w:p>
        </w:tc>
      </w:tr>
      <w:tr w:rsidR="000F69EA" w14:paraId="3AD9658E" w14:textId="77777777" w:rsidTr="000F69EA">
        <w:trPr>
          <w:cnfStyle w:val="000000100000" w:firstRow="0" w:lastRow="0" w:firstColumn="0" w:lastColumn="0" w:oddVBand="0" w:evenVBand="0" w:oddHBand="1" w:evenHBand="0" w:firstRowFirstColumn="0" w:firstRowLastColumn="0" w:lastRowFirstColumn="0" w:lastRowLastColumn="0"/>
        </w:trPr>
        <w:tc>
          <w:tcPr>
            <w:tcW w:w="1767" w:type="dxa"/>
          </w:tcPr>
          <w:p w14:paraId="25F1E054" w14:textId="77777777" w:rsidR="000F69EA" w:rsidRDefault="000F69EA" w:rsidP="00412E34">
            <w:pPr>
              <w:pStyle w:val="Tablebodytext"/>
            </w:pPr>
          </w:p>
        </w:tc>
        <w:tc>
          <w:tcPr>
            <w:tcW w:w="1117" w:type="dxa"/>
          </w:tcPr>
          <w:p w14:paraId="4B37C5F0" w14:textId="77777777" w:rsidR="000F69EA" w:rsidRDefault="000F69EA" w:rsidP="00412E34">
            <w:pPr>
              <w:pStyle w:val="Tablebodytext"/>
            </w:pPr>
          </w:p>
        </w:tc>
        <w:tc>
          <w:tcPr>
            <w:tcW w:w="1118" w:type="dxa"/>
          </w:tcPr>
          <w:p w14:paraId="35B176B5" w14:textId="77777777" w:rsidR="000F69EA" w:rsidRDefault="000F69EA" w:rsidP="00412E34">
            <w:pPr>
              <w:pStyle w:val="Tablebodytext"/>
            </w:pPr>
          </w:p>
        </w:tc>
        <w:tc>
          <w:tcPr>
            <w:tcW w:w="1118" w:type="dxa"/>
          </w:tcPr>
          <w:p w14:paraId="7423D485" w14:textId="77777777" w:rsidR="000F69EA" w:rsidRDefault="000F69EA" w:rsidP="00412E34">
            <w:pPr>
              <w:pStyle w:val="Tablebodytext"/>
            </w:pPr>
          </w:p>
        </w:tc>
        <w:tc>
          <w:tcPr>
            <w:tcW w:w="1118" w:type="dxa"/>
          </w:tcPr>
          <w:p w14:paraId="1D9CD932" w14:textId="77777777" w:rsidR="000F69EA" w:rsidRDefault="000F69EA" w:rsidP="00412E34">
            <w:pPr>
              <w:pStyle w:val="Tablebodytext"/>
            </w:pPr>
            <w:r>
              <w:t>(0.0001)</w:t>
            </w:r>
          </w:p>
        </w:tc>
        <w:tc>
          <w:tcPr>
            <w:tcW w:w="1262" w:type="dxa"/>
            <w:gridSpan w:val="2"/>
          </w:tcPr>
          <w:p w14:paraId="254515C7" w14:textId="77777777" w:rsidR="000F69EA" w:rsidRDefault="000F69EA" w:rsidP="00412E34">
            <w:pPr>
              <w:pStyle w:val="Tablebodytext"/>
            </w:pPr>
            <w:r>
              <w:t>(0.0001)</w:t>
            </w:r>
          </w:p>
        </w:tc>
        <w:tc>
          <w:tcPr>
            <w:tcW w:w="1118" w:type="dxa"/>
            <w:gridSpan w:val="2"/>
          </w:tcPr>
          <w:p w14:paraId="66613920" w14:textId="77777777" w:rsidR="000F69EA" w:rsidRDefault="000F69EA" w:rsidP="00412E34">
            <w:pPr>
              <w:pStyle w:val="Tablebodytext"/>
            </w:pPr>
            <w:r>
              <w:t>(0.0001)</w:t>
            </w:r>
          </w:p>
        </w:tc>
      </w:tr>
      <w:tr w:rsidR="000F69EA" w14:paraId="4724EB58" w14:textId="77777777" w:rsidTr="000F69EA">
        <w:trPr>
          <w:cnfStyle w:val="000000010000" w:firstRow="0" w:lastRow="0" w:firstColumn="0" w:lastColumn="0" w:oddVBand="0" w:evenVBand="0" w:oddHBand="0" w:evenHBand="1" w:firstRowFirstColumn="0" w:firstRowLastColumn="0" w:lastRowFirstColumn="0" w:lastRowLastColumn="0"/>
        </w:trPr>
        <w:tc>
          <w:tcPr>
            <w:tcW w:w="1767" w:type="dxa"/>
          </w:tcPr>
          <w:p w14:paraId="4119C5C3" w14:textId="77777777" w:rsidR="000F69EA" w:rsidRDefault="000F69EA" w:rsidP="00412E34">
            <w:pPr>
              <w:pStyle w:val="Tablebodytext"/>
            </w:pPr>
            <w:r>
              <w:rPr>
                <w:i/>
                <w:iCs/>
              </w:rPr>
              <w:t>H</w:t>
            </w:r>
            <w:r>
              <w:t>×</w:t>
            </w:r>
            <w:r>
              <w:rPr>
                <w:i/>
                <w:iCs/>
              </w:rPr>
              <w:t>LP</w:t>
            </w:r>
            <w:r>
              <w:t xml:space="preserve"> </w:t>
            </w:r>
            <w:r>
              <w:rPr>
                <w:i/>
                <w:iCs/>
              </w:rPr>
              <w:t>Skew</w:t>
            </w:r>
          </w:p>
        </w:tc>
        <w:tc>
          <w:tcPr>
            <w:tcW w:w="1117" w:type="dxa"/>
          </w:tcPr>
          <w:p w14:paraId="14C4A721" w14:textId="77777777" w:rsidR="000F69EA" w:rsidRDefault="000F69EA" w:rsidP="00412E34">
            <w:pPr>
              <w:pStyle w:val="Tablebodytext"/>
            </w:pPr>
          </w:p>
        </w:tc>
        <w:tc>
          <w:tcPr>
            <w:tcW w:w="1118" w:type="dxa"/>
          </w:tcPr>
          <w:p w14:paraId="574C55EF" w14:textId="77777777" w:rsidR="000F69EA" w:rsidRDefault="000F69EA" w:rsidP="00412E34">
            <w:pPr>
              <w:pStyle w:val="Tablebodytext"/>
            </w:pPr>
          </w:p>
        </w:tc>
        <w:tc>
          <w:tcPr>
            <w:tcW w:w="1118" w:type="dxa"/>
          </w:tcPr>
          <w:p w14:paraId="26898D77" w14:textId="77777777" w:rsidR="000F69EA" w:rsidRDefault="000F69EA" w:rsidP="00412E34">
            <w:pPr>
              <w:pStyle w:val="Tablebodytext"/>
            </w:pPr>
          </w:p>
        </w:tc>
        <w:tc>
          <w:tcPr>
            <w:tcW w:w="1118" w:type="dxa"/>
          </w:tcPr>
          <w:p w14:paraId="0604C754" w14:textId="77777777" w:rsidR="000F69EA" w:rsidRDefault="000F69EA" w:rsidP="00412E34">
            <w:pPr>
              <w:pStyle w:val="Tablebodytext"/>
            </w:pPr>
            <w:r>
              <w:t>-0.003***</w:t>
            </w:r>
          </w:p>
        </w:tc>
        <w:tc>
          <w:tcPr>
            <w:tcW w:w="1262" w:type="dxa"/>
            <w:gridSpan w:val="2"/>
          </w:tcPr>
          <w:p w14:paraId="005FA4BB" w14:textId="77777777" w:rsidR="000F69EA" w:rsidRDefault="000F69EA" w:rsidP="00412E34">
            <w:pPr>
              <w:pStyle w:val="Tablebodytext"/>
            </w:pPr>
            <w:r>
              <w:t>-0.005***</w:t>
            </w:r>
          </w:p>
        </w:tc>
        <w:tc>
          <w:tcPr>
            <w:tcW w:w="1118" w:type="dxa"/>
            <w:gridSpan w:val="2"/>
          </w:tcPr>
          <w:p w14:paraId="703F4AC9" w14:textId="77777777" w:rsidR="000F69EA" w:rsidRDefault="000F69EA" w:rsidP="00412E34">
            <w:pPr>
              <w:pStyle w:val="Tablebodytext"/>
            </w:pPr>
            <w:r>
              <w:t>-0.003***</w:t>
            </w:r>
          </w:p>
        </w:tc>
      </w:tr>
      <w:tr w:rsidR="000F69EA" w14:paraId="16D1685B" w14:textId="77777777" w:rsidTr="000F69EA">
        <w:trPr>
          <w:cnfStyle w:val="000000100000" w:firstRow="0" w:lastRow="0" w:firstColumn="0" w:lastColumn="0" w:oddVBand="0" w:evenVBand="0" w:oddHBand="1" w:evenHBand="0" w:firstRowFirstColumn="0" w:firstRowLastColumn="0" w:lastRowFirstColumn="0" w:lastRowLastColumn="0"/>
        </w:trPr>
        <w:tc>
          <w:tcPr>
            <w:tcW w:w="1767" w:type="dxa"/>
            <w:tcBorders>
              <w:bottom w:val="single" w:sz="4" w:space="0" w:color="auto"/>
            </w:tcBorders>
          </w:tcPr>
          <w:p w14:paraId="6E656D9A" w14:textId="77777777" w:rsidR="000F69EA" w:rsidRDefault="000F69EA" w:rsidP="00412E34">
            <w:pPr>
              <w:pStyle w:val="Tablebodytext"/>
            </w:pPr>
          </w:p>
        </w:tc>
        <w:tc>
          <w:tcPr>
            <w:tcW w:w="1117" w:type="dxa"/>
          </w:tcPr>
          <w:p w14:paraId="442A9698" w14:textId="77777777" w:rsidR="000F69EA" w:rsidRDefault="000F69EA" w:rsidP="00412E34">
            <w:pPr>
              <w:pStyle w:val="Tablebodytext"/>
            </w:pPr>
          </w:p>
        </w:tc>
        <w:tc>
          <w:tcPr>
            <w:tcW w:w="1118" w:type="dxa"/>
          </w:tcPr>
          <w:p w14:paraId="30E0238E" w14:textId="77777777" w:rsidR="000F69EA" w:rsidRDefault="000F69EA" w:rsidP="00412E34">
            <w:pPr>
              <w:pStyle w:val="Tablebodytext"/>
            </w:pPr>
          </w:p>
        </w:tc>
        <w:tc>
          <w:tcPr>
            <w:tcW w:w="1118" w:type="dxa"/>
          </w:tcPr>
          <w:p w14:paraId="21C0CC5D" w14:textId="77777777" w:rsidR="000F69EA" w:rsidRDefault="000F69EA" w:rsidP="00412E34">
            <w:pPr>
              <w:pStyle w:val="Tablebodytext"/>
            </w:pPr>
          </w:p>
        </w:tc>
        <w:tc>
          <w:tcPr>
            <w:tcW w:w="1118" w:type="dxa"/>
          </w:tcPr>
          <w:p w14:paraId="7C6CD416" w14:textId="77777777" w:rsidR="000F69EA" w:rsidRDefault="000F69EA" w:rsidP="00412E34">
            <w:pPr>
              <w:pStyle w:val="Tablebodytext"/>
            </w:pPr>
            <w:r>
              <w:t>(0.001)</w:t>
            </w:r>
          </w:p>
        </w:tc>
        <w:tc>
          <w:tcPr>
            <w:tcW w:w="1262" w:type="dxa"/>
            <w:gridSpan w:val="2"/>
          </w:tcPr>
          <w:p w14:paraId="76115B0E" w14:textId="77777777" w:rsidR="000F69EA" w:rsidRDefault="000F69EA" w:rsidP="00412E34">
            <w:pPr>
              <w:pStyle w:val="Tablebodytext"/>
            </w:pPr>
            <w:r>
              <w:t>(0.001)</w:t>
            </w:r>
          </w:p>
        </w:tc>
        <w:tc>
          <w:tcPr>
            <w:tcW w:w="1118" w:type="dxa"/>
            <w:gridSpan w:val="2"/>
          </w:tcPr>
          <w:p w14:paraId="12DF2D16" w14:textId="77777777" w:rsidR="000F69EA" w:rsidRDefault="000F69EA" w:rsidP="00412E34">
            <w:pPr>
              <w:pStyle w:val="Tablebodytext"/>
            </w:pPr>
            <w:r>
              <w:t>(0.001)</w:t>
            </w:r>
          </w:p>
        </w:tc>
      </w:tr>
      <w:tr w:rsidR="000F69EA" w14:paraId="30060F76" w14:textId="77777777" w:rsidTr="000F69EA">
        <w:trPr>
          <w:cnfStyle w:val="000000010000" w:firstRow="0" w:lastRow="0" w:firstColumn="0" w:lastColumn="0" w:oddVBand="0" w:evenVBand="0" w:oddHBand="0" w:evenHBand="1" w:firstRowFirstColumn="0" w:firstRowLastColumn="0" w:lastRowFirstColumn="0" w:lastRowLastColumn="0"/>
        </w:trPr>
        <w:tc>
          <w:tcPr>
            <w:tcW w:w="1767" w:type="dxa"/>
            <w:tcBorders>
              <w:top w:val="single" w:sz="4" w:space="0" w:color="auto"/>
            </w:tcBorders>
          </w:tcPr>
          <w:p w14:paraId="7A9D29D8" w14:textId="77777777" w:rsidR="000F69EA" w:rsidRDefault="000F69EA" w:rsidP="00412E34">
            <w:pPr>
              <w:pStyle w:val="Tablebodytext"/>
            </w:pPr>
            <w:r>
              <w:t xml:space="preserve"> Years:</w:t>
            </w:r>
          </w:p>
        </w:tc>
        <w:tc>
          <w:tcPr>
            <w:tcW w:w="1117" w:type="dxa"/>
          </w:tcPr>
          <w:p w14:paraId="7A5B4BE9" w14:textId="77777777" w:rsidR="000F69EA" w:rsidRDefault="000F69EA" w:rsidP="00412E34">
            <w:pPr>
              <w:pStyle w:val="Tablebodytext"/>
            </w:pPr>
            <w:r>
              <w:t>All</w:t>
            </w:r>
          </w:p>
        </w:tc>
        <w:tc>
          <w:tcPr>
            <w:tcW w:w="1118" w:type="dxa"/>
          </w:tcPr>
          <w:p w14:paraId="1B7C2102" w14:textId="77777777" w:rsidR="000F69EA" w:rsidRDefault="000F69EA" w:rsidP="00412E34">
            <w:pPr>
              <w:pStyle w:val="Tablebodytext"/>
            </w:pPr>
            <w:r>
              <w:t>2002–</w:t>
            </w:r>
          </w:p>
        </w:tc>
        <w:tc>
          <w:tcPr>
            <w:tcW w:w="1118" w:type="dxa"/>
          </w:tcPr>
          <w:p w14:paraId="040B0AD8" w14:textId="77777777" w:rsidR="000F69EA" w:rsidRDefault="000F69EA" w:rsidP="00412E34">
            <w:pPr>
              <w:pStyle w:val="Tablebodytext"/>
            </w:pPr>
            <w:r>
              <w:t>2006–</w:t>
            </w:r>
          </w:p>
        </w:tc>
        <w:tc>
          <w:tcPr>
            <w:tcW w:w="1118" w:type="dxa"/>
          </w:tcPr>
          <w:p w14:paraId="36ABAE07" w14:textId="77777777" w:rsidR="000F69EA" w:rsidRDefault="000F69EA" w:rsidP="00412E34">
            <w:pPr>
              <w:pStyle w:val="Tablebodytext"/>
            </w:pPr>
            <w:r>
              <w:t>All</w:t>
            </w:r>
          </w:p>
        </w:tc>
        <w:tc>
          <w:tcPr>
            <w:tcW w:w="1262" w:type="dxa"/>
            <w:gridSpan w:val="2"/>
          </w:tcPr>
          <w:p w14:paraId="734006CD" w14:textId="77777777" w:rsidR="000F69EA" w:rsidRDefault="000F69EA" w:rsidP="00412E34">
            <w:pPr>
              <w:pStyle w:val="Tablebodytext"/>
            </w:pPr>
            <w:r>
              <w:t>2002–</w:t>
            </w:r>
          </w:p>
        </w:tc>
        <w:tc>
          <w:tcPr>
            <w:tcW w:w="1118" w:type="dxa"/>
            <w:gridSpan w:val="2"/>
          </w:tcPr>
          <w:p w14:paraId="7A51D284" w14:textId="77777777" w:rsidR="000F69EA" w:rsidRDefault="000F69EA" w:rsidP="00412E34">
            <w:pPr>
              <w:pStyle w:val="Tablebodytext"/>
            </w:pPr>
            <w:r>
              <w:t>2006–</w:t>
            </w:r>
          </w:p>
        </w:tc>
      </w:tr>
      <w:tr w:rsidR="000F69EA" w14:paraId="462B1B5B" w14:textId="77777777" w:rsidTr="000F69EA">
        <w:trPr>
          <w:cnfStyle w:val="000000100000" w:firstRow="0" w:lastRow="0" w:firstColumn="0" w:lastColumn="0" w:oddVBand="0" w:evenVBand="0" w:oddHBand="1" w:evenHBand="0" w:firstRowFirstColumn="0" w:firstRowLastColumn="0" w:lastRowFirstColumn="0" w:lastRowLastColumn="0"/>
        </w:trPr>
        <w:tc>
          <w:tcPr>
            <w:tcW w:w="1767" w:type="dxa"/>
            <w:tcBorders>
              <w:bottom w:val="single" w:sz="4" w:space="0" w:color="auto"/>
            </w:tcBorders>
          </w:tcPr>
          <w:p w14:paraId="738BDEEE" w14:textId="77777777" w:rsidR="000F69EA" w:rsidRDefault="000F69EA" w:rsidP="00412E34">
            <w:pPr>
              <w:pStyle w:val="Tablebodytext"/>
            </w:pPr>
          </w:p>
        </w:tc>
        <w:tc>
          <w:tcPr>
            <w:tcW w:w="1117" w:type="dxa"/>
            <w:tcBorders>
              <w:bottom w:val="single" w:sz="4" w:space="0" w:color="auto"/>
            </w:tcBorders>
          </w:tcPr>
          <w:p w14:paraId="57F45216" w14:textId="77777777" w:rsidR="000F69EA" w:rsidRDefault="000F69EA" w:rsidP="00412E34">
            <w:pPr>
              <w:pStyle w:val="Tablebodytext"/>
            </w:pPr>
          </w:p>
        </w:tc>
        <w:tc>
          <w:tcPr>
            <w:tcW w:w="1118" w:type="dxa"/>
            <w:tcBorders>
              <w:bottom w:val="single" w:sz="4" w:space="0" w:color="auto"/>
            </w:tcBorders>
          </w:tcPr>
          <w:p w14:paraId="52FDF91F" w14:textId="77777777" w:rsidR="000F69EA" w:rsidRDefault="000F69EA" w:rsidP="00412E34">
            <w:pPr>
              <w:pStyle w:val="Tablebodytext"/>
            </w:pPr>
            <w:r>
              <w:t>2005</w:t>
            </w:r>
          </w:p>
        </w:tc>
        <w:tc>
          <w:tcPr>
            <w:tcW w:w="1118" w:type="dxa"/>
            <w:tcBorders>
              <w:bottom w:val="single" w:sz="4" w:space="0" w:color="auto"/>
            </w:tcBorders>
          </w:tcPr>
          <w:p w14:paraId="744B0003" w14:textId="77777777" w:rsidR="000F69EA" w:rsidRDefault="000F69EA" w:rsidP="00412E34">
            <w:pPr>
              <w:pStyle w:val="Tablebodytext"/>
            </w:pPr>
            <w:r>
              <w:t>2014</w:t>
            </w:r>
          </w:p>
        </w:tc>
        <w:tc>
          <w:tcPr>
            <w:tcW w:w="1118" w:type="dxa"/>
            <w:tcBorders>
              <w:bottom w:val="single" w:sz="4" w:space="0" w:color="auto"/>
            </w:tcBorders>
          </w:tcPr>
          <w:p w14:paraId="7C4C668D" w14:textId="77777777" w:rsidR="000F69EA" w:rsidRDefault="000F69EA" w:rsidP="00412E34">
            <w:pPr>
              <w:pStyle w:val="Tablebodytext"/>
            </w:pPr>
          </w:p>
        </w:tc>
        <w:tc>
          <w:tcPr>
            <w:tcW w:w="1262" w:type="dxa"/>
            <w:gridSpan w:val="2"/>
            <w:tcBorders>
              <w:bottom w:val="single" w:sz="4" w:space="0" w:color="auto"/>
            </w:tcBorders>
          </w:tcPr>
          <w:p w14:paraId="1A072BFB" w14:textId="77777777" w:rsidR="000F69EA" w:rsidRDefault="000F69EA" w:rsidP="00412E34">
            <w:pPr>
              <w:pStyle w:val="Tablebodytext"/>
            </w:pPr>
            <w:r>
              <w:t>2005</w:t>
            </w:r>
          </w:p>
        </w:tc>
        <w:tc>
          <w:tcPr>
            <w:tcW w:w="1118" w:type="dxa"/>
            <w:gridSpan w:val="2"/>
            <w:tcBorders>
              <w:bottom w:val="single" w:sz="4" w:space="0" w:color="auto"/>
            </w:tcBorders>
          </w:tcPr>
          <w:p w14:paraId="202F004C" w14:textId="77777777" w:rsidR="000F69EA" w:rsidRDefault="000F69EA" w:rsidP="00412E34">
            <w:pPr>
              <w:pStyle w:val="Tablebodytext"/>
            </w:pPr>
            <w:r>
              <w:t>2014</w:t>
            </w:r>
          </w:p>
        </w:tc>
      </w:tr>
      <w:tr w:rsidR="000F69EA" w14:paraId="1F6160EC" w14:textId="77777777" w:rsidTr="000F69EA">
        <w:trPr>
          <w:cnfStyle w:val="000000010000" w:firstRow="0" w:lastRow="0" w:firstColumn="0" w:lastColumn="0" w:oddVBand="0" w:evenVBand="0" w:oddHBand="0" w:evenHBand="1" w:firstRowFirstColumn="0" w:firstRowLastColumn="0" w:lastRowFirstColumn="0" w:lastRowLastColumn="0"/>
        </w:trPr>
        <w:tc>
          <w:tcPr>
            <w:tcW w:w="1767" w:type="dxa"/>
            <w:tcBorders>
              <w:top w:val="single" w:sz="4" w:space="0" w:color="auto"/>
            </w:tcBorders>
          </w:tcPr>
          <w:p w14:paraId="7EC5514A" w14:textId="77777777" w:rsidR="000F69EA" w:rsidRDefault="000F69EA" w:rsidP="00412E34">
            <w:pPr>
              <w:pStyle w:val="Tablebodytext"/>
            </w:pPr>
            <w:r>
              <w:t xml:space="preserve"> Adjusted R</w:t>
            </w:r>
            <w:r>
              <w:fldChar w:fldCharType="begin"/>
            </w:r>
            <w:r>
              <w:instrText xml:space="preserve"> EQ \s\up5(</w:instrText>
            </w:r>
            <w:r>
              <w:rPr>
                <w:sz w:val="16"/>
                <w:szCs w:val="16"/>
              </w:rPr>
              <w:instrText>2</w:instrText>
            </w:r>
            <w:r>
              <w:instrText>)</w:instrText>
            </w:r>
            <w:r>
              <w:fldChar w:fldCharType="end"/>
            </w:r>
          </w:p>
        </w:tc>
        <w:tc>
          <w:tcPr>
            <w:tcW w:w="1117" w:type="dxa"/>
            <w:tcBorders>
              <w:top w:val="single" w:sz="4" w:space="0" w:color="auto"/>
            </w:tcBorders>
          </w:tcPr>
          <w:p w14:paraId="72CC7EEA" w14:textId="77777777" w:rsidR="000F69EA" w:rsidRDefault="000F69EA" w:rsidP="00412E34">
            <w:pPr>
              <w:pStyle w:val="Tablebodytext"/>
            </w:pPr>
            <w:r>
              <w:t>0.067</w:t>
            </w:r>
          </w:p>
        </w:tc>
        <w:tc>
          <w:tcPr>
            <w:tcW w:w="1118" w:type="dxa"/>
            <w:tcBorders>
              <w:top w:val="single" w:sz="4" w:space="0" w:color="auto"/>
            </w:tcBorders>
          </w:tcPr>
          <w:p w14:paraId="2A2DBABD" w14:textId="77777777" w:rsidR="000F69EA" w:rsidRDefault="000F69EA" w:rsidP="00412E34">
            <w:pPr>
              <w:pStyle w:val="Tablebodytext"/>
            </w:pPr>
            <w:r>
              <w:t>0.134</w:t>
            </w:r>
          </w:p>
        </w:tc>
        <w:tc>
          <w:tcPr>
            <w:tcW w:w="1118" w:type="dxa"/>
            <w:tcBorders>
              <w:top w:val="single" w:sz="4" w:space="0" w:color="auto"/>
            </w:tcBorders>
          </w:tcPr>
          <w:p w14:paraId="3761B582" w14:textId="77777777" w:rsidR="000F69EA" w:rsidRDefault="000F69EA" w:rsidP="00412E34">
            <w:pPr>
              <w:pStyle w:val="Tablebodytext"/>
            </w:pPr>
            <w:r>
              <w:t>0.082</w:t>
            </w:r>
          </w:p>
        </w:tc>
        <w:tc>
          <w:tcPr>
            <w:tcW w:w="1118" w:type="dxa"/>
            <w:tcBorders>
              <w:top w:val="single" w:sz="4" w:space="0" w:color="auto"/>
            </w:tcBorders>
          </w:tcPr>
          <w:p w14:paraId="3A7D15B1" w14:textId="77777777" w:rsidR="000F69EA" w:rsidRDefault="000F69EA" w:rsidP="00412E34">
            <w:pPr>
              <w:pStyle w:val="Tablebodytext"/>
            </w:pPr>
            <w:r>
              <w:t>0.085</w:t>
            </w:r>
          </w:p>
        </w:tc>
        <w:tc>
          <w:tcPr>
            <w:tcW w:w="1262" w:type="dxa"/>
            <w:gridSpan w:val="2"/>
            <w:tcBorders>
              <w:top w:val="single" w:sz="4" w:space="0" w:color="auto"/>
            </w:tcBorders>
          </w:tcPr>
          <w:p w14:paraId="6BB5FC7E" w14:textId="77777777" w:rsidR="000F69EA" w:rsidRDefault="000F69EA" w:rsidP="00412E34">
            <w:pPr>
              <w:pStyle w:val="Tablebodytext"/>
            </w:pPr>
            <w:r>
              <w:t>0.120</w:t>
            </w:r>
          </w:p>
        </w:tc>
        <w:tc>
          <w:tcPr>
            <w:tcW w:w="1118" w:type="dxa"/>
            <w:gridSpan w:val="2"/>
            <w:tcBorders>
              <w:top w:val="single" w:sz="4" w:space="0" w:color="auto"/>
            </w:tcBorders>
          </w:tcPr>
          <w:p w14:paraId="3FA45BC5" w14:textId="77777777" w:rsidR="000F69EA" w:rsidRDefault="000F69EA" w:rsidP="00412E34">
            <w:pPr>
              <w:pStyle w:val="Tablebodytext"/>
            </w:pPr>
            <w:r>
              <w:t>0.080</w:t>
            </w:r>
          </w:p>
        </w:tc>
      </w:tr>
      <w:tr w:rsidR="000F69EA" w14:paraId="00BB62E0" w14:textId="77777777" w:rsidTr="000F69EA">
        <w:trPr>
          <w:cnfStyle w:val="000000100000" w:firstRow="0" w:lastRow="0" w:firstColumn="0" w:lastColumn="0" w:oddVBand="0" w:evenVBand="0" w:oddHBand="1" w:evenHBand="0" w:firstRowFirstColumn="0" w:firstRowLastColumn="0" w:lastRowFirstColumn="0" w:lastRowLastColumn="0"/>
        </w:trPr>
        <w:tc>
          <w:tcPr>
            <w:tcW w:w="1767" w:type="dxa"/>
          </w:tcPr>
          <w:p w14:paraId="75CFF4BB" w14:textId="77777777" w:rsidR="000F69EA" w:rsidRDefault="000F69EA" w:rsidP="00412E34">
            <w:pPr>
              <w:pStyle w:val="Tablebodytext"/>
            </w:pPr>
            <w:r>
              <w:t>F Statistic</w:t>
            </w:r>
          </w:p>
        </w:tc>
        <w:tc>
          <w:tcPr>
            <w:tcW w:w="1117" w:type="dxa"/>
          </w:tcPr>
          <w:p w14:paraId="45EC9036" w14:textId="77777777" w:rsidR="000F69EA" w:rsidRDefault="000F69EA" w:rsidP="00412E34">
            <w:pPr>
              <w:pStyle w:val="Tablebodytext"/>
            </w:pPr>
            <w:r>
              <w:t>68.5***</w:t>
            </w:r>
          </w:p>
        </w:tc>
        <w:tc>
          <w:tcPr>
            <w:tcW w:w="1118" w:type="dxa"/>
          </w:tcPr>
          <w:p w14:paraId="1F653F36" w14:textId="77777777" w:rsidR="000F69EA" w:rsidRDefault="000F69EA" w:rsidP="00412E34">
            <w:pPr>
              <w:pStyle w:val="Tablebodytext"/>
            </w:pPr>
            <w:r>
              <w:t>44.1***</w:t>
            </w:r>
          </w:p>
        </w:tc>
        <w:tc>
          <w:tcPr>
            <w:tcW w:w="1118" w:type="dxa"/>
          </w:tcPr>
          <w:p w14:paraId="0A36BB0F" w14:textId="77777777" w:rsidR="000F69EA" w:rsidRDefault="000F69EA" w:rsidP="00412E34">
            <w:pPr>
              <w:pStyle w:val="Tablebodytext"/>
            </w:pPr>
            <w:r>
              <w:t>58.7***</w:t>
            </w:r>
          </w:p>
        </w:tc>
        <w:tc>
          <w:tcPr>
            <w:tcW w:w="1118" w:type="dxa"/>
          </w:tcPr>
          <w:p w14:paraId="70B2EA04" w14:textId="77777777" w:rsidR="000F69EA" w:rsidRDefault="000F69EA" w:rsidP="00412E34">
            <w:pPr>
              <w:pStyle w:val="Tablebodytext"/>
            </w:pPr>
            <w:r>
              <w:t>87.1***</w:t>
            </w:r>
          </w:p>
        </w:tc>
        <w:tc>
          <w:tcPr>
            <w:tcW w:w="1262" w:type="dxa"/>
            <w:gridSpan w:val="2"/>
          </w:tcPr>
          <w:p w14:paraId="1AC884CE" w14:textId="77777777" w:rsidR="000F69EA" w:rsidRDefault="000F69EA" w:rsidP="00412E34">
            <w:pPr>
              <w:pStyle w:val="Tablebodytext"/>
            </w:pPr>
            <w:r>
              <w:t>39.2***</w:t>
            </w:r>
          </w:p>
        </w:tc>
        <w:tc>
          <w:tcPr>
            <w:tcW w:w="1118" w:type="dxa"/>
            <w:gridSpan w:val="2"/>
          </w:tcPr>
          <w:p w14:paraId="199B954D" w14:textId="77777777" w:rsidR="000F69EA" w:rsidRDefault="000F69EA" w:rsidP="00412E34">
            <w:pPr>
              <w:pStyle w:val="Tablebodytext"/>
            </w:pPr>
            <w:r>
              <w:t>57.1***</w:t>
            </w:r>
          </w:p>
        </w:tc>
      </w:tr>
      <w:tr w:rsidR="000F69EA" w14:paraId="36DE1C89" w14:textId="77777777" w:rsidTr="000F69EA">
        <w:trPr>
          <w:cnfStyle w:val="000000010000" w:firstRow="0" w:lastRow="0" w:firstColumn="0" w:lastColumn="0" w:oddVBand="0" w:evenVBand="0" w:oddHBand="0" w:evenHBand="1" w:firstRowFirstColumn="0" w:firstRowLastColumn="0" w:lastRowFirstColumn="0" w:lastRowLastColumn="0"/>
        </w:trPr>
        <w:tc>
          <w:tcPr>
            <w:tcW w:w="1767" w:type="dxa"/>
          </w:tcPr>
          <w:p w14:paraId="2FCCCBD2" w14:textId="77777777" w:rsidR="000F69EA" w:rsidRDefault="000F69EA" w:rsidP="00412E34">
            <w:pPr>
              <w:pStyle w:val="Tablebodytext"/>
            </w:pPr>
            <w:r>
              <w:t>#Obs</w:t>
            </w:r>
          </w:p>
        </w:tc>
        <w:tc>
          <w:tcPr>
            <w:tcW w:w="1117" w:type="dxa"/>
          </w:tcPr>
          <w:p w14:paraId="5EB403B7" w14:textId="77777777" w:rsidR="000F69EA" w:rsidRDefault="000F69EA" w:rsidP="00412E34">
            <w:pPr>
              <w:pStyle w:val="Tablebodytext"/>
            </w:pPr>
            <w:r>
              <w:t>2,665</w:t>
            </w:r>
          </w:p>
        </w:tc>
        <w:tc>
          <w:tcPr>
            <w:tcW w:w="1118" w:type="dxa"/>
          </w:tcPr>
          <w:p w14:paraId="3AFF7350" w14:textId="77777777" w:rsidR="000F69EA" w:rsidRDefault="000F69EA" w:rsidP="00412E34">
            <w:pPr>
              <w:pStyle w:val="Tablebodytext"/>
            </w:pPr>
            <w:r>
              <w:t>820</w:t>
            </w:r>
          </w:p>
        </w:tc>
        <w:tc>
          <w:tcPr>
            <w:tcW w:w="1118" w:type="dxa"/>
          </w:tcPr>
          <w:p w14:paraId="74F78E8A" w14:textId="77777777" w:rsidR="000F69EA" w:rsidRDefault="000F69EA" w:rsidP="00412E34">
            <w:pPr>
              <w:pStyle w:val="Tablebodytext"/>
            </w:pPr>
            <w:r>
              <w:t>1,845</w:t>
            </w:r>
          </w:p>
        </w:tc>
        <w:tc>
          <w:tcPr>
            <w:tcW w:w="1118" w:type="dxa"/>
          </w:tcPr>
          <w:p w14:paraId="5824331A" w14:textId="77777777" w:rsidR="000F69EA" w:rsidRDefault="000F69EA" w:rsidP="00412E34">
            <w:pPr>
              <w:pStyle w:val="Tablebodytext"/>
            </w:pPr>
            <w:r>
              <w:t>2,665</w:t>
            </w:r>
          </w:p>
        </w:tc>
        <w:tc>
          <w:tcPr>
            <w:tcW w:w="1262" w:type="dxa"/>
            <w:gridSpan w:val="2"/>
          </w:tcPr>
          <w:p w14:paraId="7FC946BB" w14:textId="77777777" w:rsidR="000F69EA" w:rsidRDefault="000F69EA" w:rsidP="00412E34">
            <w:pPr>
              <w:pStyle w:val="Tablebodytext"/>
            </w:pPr>
            <w:r>
              <w:t>820</w:t>
            </w:r>
          </w:p>
        </w:tc>
        <w:tc>
          <w:tcPr>
            <w:tcW w:w="1118" w:type="dxa"/>
            <w:gridSpan w:val="2"/>
          </w:tcPr>
          <w:p w14:paraId="67AB6F6A" w14:textId="77777777" w:rsidR="000F69EA" w:rsidRDefault="000F69EA" w:rsidP="00412E34">
            <w:pPr>
              <w:pStyle w:val="Tablebodytext"/>
            </w:pPr>
            <w:r>
              <w:t>1,845</w:t>
            </w:r>
          </w:p>
        </w:tc>
      </w:tr>
    </w:tbl>
    <w:p w14:paraId="6040DC51" w14:textId="77777777" w:rsidR="000F69EA" w:rsidRPr="00C62F3A" w:rsidRDefault="000F69EA" w:rsidP="000F69EA">
      <w:pPr>
        <w:pStyle w:val="Note"/>
        <w:ind w:left="-1985"/>
      </w:pPr>
      <w:r>
        <w:t>Notes: Numbers in parentheses are standard errors. ***, **, and * indicate significances at 1%, 5% and 10% levels, respectively.</w:t>
      </w:r>
    </w:p>
    <w:p w14:paraId="35E12959" w14:textId="7E178BB0" w:rsidR="000A1A2F" w:rsidRDefault="000F69EA" w:rsidP="000F69EA">
      <w:pPr>
        <w:pStyle w:val="SourceWide"/>
      </w:pPr>
      <w:r>
        <w:t>Source:</w:t>
      </w:r>
      <w:r w:rsidRPr="000F69EA">
        <w:t xml:space="preserve"> Department of Industry, Innovation and Science (2019)</w:t>
      </w:r>
    </w:p>
    <w:p w14:paraId="35E129DA" w14:textId="77777777" w:rsidR="007D613D" w:rsidRDefault="007D613D" w:rsidP="007307B1">
      <w:pPr>
        <w:spacing w:line="270" w:lineRule="exact"/>
        <w:ind w:left="0"/>
      </w:pPr>
      <w:r>
        <w:t xml:space="preserve">In column (1), the key industry feature is </w:t>
      </w:r>
      <w:r>
        <w:fldChar w:fldCharType="begin"/>
      </w:r>
      <w:r>
        <w:instrText xml:space="preserve"> EQ </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w:instrText>
      </w:r>
      <w:r>
        <w:fldChar w:fldCharType="end"/>
      </w:r>
      <w:r>
        <w:t xml:space="preserve">. The estimated coefficients do not reveal any significant effect. On the other hand, the average HHI goes through two phases: it falls prior to 2007 and then mostly increases over the years 2007 to 2014 (Figure 4.2). It is possible that the underlying industry-level movements are different during each episode. </w:t>
      </w:r>
    </w:p>
    <w:p w14:paraId="35E129DB" w14:textId="77777777" w:rsidR="007D613D" w:rsidRDefault="007D613D" w:rsidP="005A6EA3">
      <w:pPr>
        <w:spacing w:line="270" w:lineRule="exact"/>
        <w:ind w:left="0"/>
      </w:pPr>
      <w:r>
        <w:t xml:space="preserve">To consider this possibility, I split the time period into 2002–2005 and 2006–2014. The dependent in the first subset mostly reflects the falling average HHI, whereas it captures the increasing average HHI in the second subset. A separate estimation is done using each subset of years and the results appear in columns (2) to (3) of Table 5.6. </w:t>
      </w:r>
    </w:p>
    <w:p w14:paraId="35DDD317" w14:textId="77777777" w:rsidR="007307B1" w:rsidRDefault="007307B1">
      <w:pPr>
        <w:spacing w:after="200" w:line="276" w:lineRule="auto"/>
        <w:ind w:left="0"/>
        <w:jc w:val="left"/>
      </w:pPr>
      <w:r>
        <w:br w:type="page"/>
      </w:r>
    </w:p>
    <w:p w14:paraId="35E129DC" w14:textId="35AC8101" w:rsidR="007D613D" w:rsidRDefault="007D613D" w:rsidP="005A6EA3">
      <w:pPr>
        <w:spacing w:line="270" w:lineRule="exact"/>
        <w:ind w:left="0"/>
      </w:pPr>
      <w:r>
        <w:lastRenderedPageBreak/>
        <w:t xml:space="preserve">These results reveal a changing pattern between the phases. On average, industries with dispersed productivity have their market concentration fall during the first phase and increase during the second phase. Both effects are very small. </w:t>
      </w:r>
    </w:p>
    <w:p w14:paraId="35E129DD" w14:textId="00243F57" w:rsidR="007D613D" w:rsidRDefault="007D613D" w:rsidP="007307B1">
      <w:pPr>
        <w:spacing w:after="200" w:line="276" w:lineRule="auto"/>
        <w:ind w:left="0"/>
        <w:jc w:val="left"/>
      </w:pPr>
      <w:r>
        <w:t xml:space="preserve">More concentrated industries with dispersed productivity distribution (the interaction term) show a larger impact. In these industries, market concentration increases during the first phase and falls during the second phase. </w:t>
      </w:r>
    </w:p>
    <w:p w14:paraId="35E129DE" w14:textId="77777777" w:rsidR="007D613D" w:rsidRDefault="007D613D" w:rsidP="005A6EA3">
      <w:pPr>
        <w:spacing w:line="270" w:lineRule="exact"/>
        <w:ind w:left="0"/>
      </w:pPr>
      <w:r>
        <w:t>Despite having an effect, the impacts from the interaction terms do not align with the changes in average HHI observed in Figure </w:t>
      </w:r>
      <w:r w:rsidR="009C15B0">
        <w:fldChar w:fldCharType="begin"/>
      </w:r>
      <w:r w:rsidR="009C15B0">
        <w:instrText xml:space="preserve">REF BMfig_qrtl \* MERGEFORMAT </w:instrText>
      </w:r>
      <w:r w:rsidR="009C15B0">
        <w:fldChar w:fldCharType="separate"/>
      </w:r>
      <w:r w:rsidR="00A20DE7">
        <w:rPr>
          <w:b/>
          <w:bCs/>
          <w:lang w:val="en-US"/>
        </w:rPr>
        <w:t>Error! Reference source not found.</w:t>
      </w:r>
      <w:r w:rsidR="009C15B0">
        <w:fldChar w:fldCharType="end"/>
      </w:r>
      <w:r>
        <w:t>. In fact, they are the opposite of what one would want to see. By this token, productivity dispersion is not contributing to the increasing average HHI.</w:t>
      </w:r>
    </w:p>
    <w:p w14:paraId="35E129DF" w14:textId="77777777" w:rsidR="007D613D" w:rsidRDefault="007D613D" w:rsidP="005A6EA3">
      <w:pPr>
        <w:spacing w:line="270" w:lineRule="exact"/>
        <w:ind w:left="0"/>
      </w:pPr>
      <w:r>
        <w:t>In column (4) I consider the role of productivity skewness. The effects are much weaker in this case and all point to a dropping concentration. Splitting the time period in columns (5) and (6) does not change that picture. Based on this, the productivity skewness of an industry does not seem to support the increasing average HHI either.</w:t>
      </w:r>
    </w:p>
    <w:p w14:paraId="35E129E0" w14:textId="77777777" w:rsidR="00A1052F" w:rsidRDefault="00A1052F" w:rsidP="004B17CD">
      <w:pPr>
        <w:pStyle w:val="BodyText"/>
        <w:rPr>
          <w:lang w:val="en"/>
        </w:rPr>
      </w:pPr>
    </w:p>
    <w:p w14:paraId="35E129E2" w14:textId="77777777" w:rsidR="00142630" w:rsidRDefault="00DF5522" w:rsidP="00DF5522">
      <w:pPr>
        <w:pStyle w:val="Heading2"/>
        <w:rPr>
          <w:lang w:val="en"/>
        </w:rPr>
      </w:pPr>
      <w:r>
        <w:rPr>
          <w:lang w:val="en"/>
        </w:rPr>
        <w:t>Role of Exporting</w:t>
      </w:r>
    </w:p>
    <w:p w14:paraId="35E129E3" w14:textId="0C1ABB6C" w:rsidR="00DF5522" w:rsidRDefault="00AD3272" w:rsidP="00DF5522">
      <w:pPr>
        <w:spacing w:before="60" w:line="270" w:lineRule="exact"/>
        <w:ind w:left="0"/>
      </w:pPr>
      <w:r>
        <w:t xml:space="preserve">Export orientation can be one factor behind the increase in market concentration. </w:t>
      </w:r>
      <w:r w:rsidR="00DF5522">
        <w:t>De Loecker &amp; Warzynski (2012) and a series of follow-up works document higher market power among the exporting firms. They argue that, being more productive, exporting firms are able to undercut other firms’ prices while still charging substantial markups. With higher market power, exporting firms are in a position to drive out competition and grow to dominate the market.</w:t>
      </w:r>
    </w:p>
    <w:p w14:paraId="35E129E4" w14:textId="77777777" w:rsidR="00DF5522" w:rsidRDefault="00DF5522" w:rsidP="005A6EA3">
      <w:pPr>
        <w:spacing w:line="270" w:lineRule="exact"/>
        <w:ind w:left="0"/>
      </w:pPr>
      <w:r>
        <w:t>Another argument in favour of exporting firms is that market size does matter when it comes to the size of the most productive firms in an industry (Bakhtiari, 2012). Productive firms can grow large and dominate markets only in the presence of sufficient demand. Due to its population size, Australia is traditionally a small market. In the absence of exporting possibilities, productive firms do not have much incentive to grow beyond serving the domestic market. Limited demand is one explanation why industries with more innovative or productive firms in Australia are not getting more concentrated as is the case in the United States. Exporting possibilities can remedy this situation.</w:t>
      </w:r>
    </w:p>
    <w:p w14:paraId="35E129E5" w14:textId="77777777" w:rsidR="00DF5522" w:rsidRDefault="00DF5522" w:rsidP="005A6EA3">
      <w:pPr>
        <w:spacing w:line="270" w:lineRule="exact"/>
        <w:ind w:left="0"/>
      </w:pPr>
      <w:r>
        <w:t xml:space="preserve">I distinguish export-oriented industries by their export intensities defined as </w:t>
      </w:r>
    </w:p>
    <w:p w14:paraId="35E129E6" w14:textId="77777777" w:rsidR="00DF5522" w:rsidRDefault="00DF5522" w:rsidP="00DF5522">
      <w:pPr>
        <w:pStyle w:val="equationNum"/>
        <w:tabs>
          <w:tab w:val="center" w:pos="4019"/>
          <w:tab w:val="right" w:pos="8038"/>
        </w:tabs>
        <w:spacing w:line="270" w:lineRule="exact"/>
      </w:pPr>
      <w:r>
        <w:tab/>
      </w:r>
      <w:r>
        <w:fldChar w:fldCharType="begin"/>
      </w:r>
      <w:r>
        <w:instrText xml:space="preserve"> EQ </w:instrText>
      </w:r>
      <w:r>
        <w:rPr>
          <w:i/>
          <w:iCs/>
        </w:rPr>
        <w:instrText>ExpInt</w:instrText>
      </w:r>
      <w:r>
        <w:instrText>\s\do5(</w:instrText>
      </w:r>
      <w:r>
        <w:rPr>
          <w:i/>
          <w:iCs/>
          <w:sz w:val="16"/>
          <w:szCs w:val="16"/>
        </w:rPr>
        <w:instrText>it</w:instrText>
      </w:r>
      <w:r>
        <w:instrText>)=</w:instrText>
      </w:r>
      <w:r>
        <w:rPr>
          <w:i/>
          <w:iCs/>
        </w:rPr>
        <w:instrText>Exports</w:instrText>
      </w:r>
      <w:r>
        <w:instrText>\s\do5(</w:instrText>
      </w:r>
      <w:r>
        <w:rPr>
          <w:i/>
          <w:iCs/>
          <w:sz w:val="16"/>
          <w:szCs w:val="16"/>
        </w:rPr>
        <w:instrText>it</w:instrText>
      </w:r>
      <w:r>
        <w:instrText>)/</w:instrText>
      </w:r>
      <w:r>
        <w:rPr>
          <w:i/>
          <w:iCs/>
        </w:rPr>
        <w:instrText>Turnover</w:instrText>
      </w:r>
      <w:r>
        <w:instrText>\s\do5(</w:instrText>
      </w:r>
      <w:r>
        <w:rPr>
          <w:i/>
          <w:iCs/>
          <w:sz w:val="16"/>
          <w:szCs w:val="16"/>
        </w:rPr>
        <w:instrText>it</w:instrText>
      </w:r>
      <w:r>
        <w:instrText>).</w:instrText>
      </w:r>
      <w:r>
        <w:fldChar w:fldCharType="end"/>
      </w:r>
      <w:r>
        <w:tab/>
        <w:t>(7)</w:t>
      </w:r>
    </w:p>
    <w:p w14:paraId="35E129E7" w14:textId="77777777" w:rsidR="00DF5522" w:rsidRDefault="00DF5522" w:rsidP="00DF5522">
      <w:pPr>
        <w:spacing w:line="270" w:lineRule="exact"/>
        <w:ind w:left="0"/>
      </w:pPr>
      <w:r>
        <w:t>A set of simple statistics describing the distribution of export intensity across industry–years is listed in Table </w:t>
      </w:r>
      <w:r w:rsidR="00FD05A4">
        <w:t>5.7</w:t>
      </w:r>
      <w:r>
        <w:t>.</w:t>
      </w:r>
    </w:p>
    <w:p w14:paraId="35E129EB" w14:textId="77777777" w:rsidR="00DF5522" w:rsidRDefault="00DF5522" w:rsidP="00E63064">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7</w:t>
      </w:r>
      <w:r>
        <w:rPr>
          <w:noProof/>
        </w:rPr>
        <w:fldChar w:fldCharType="end"/>
      </w:r>
      <w:r w:rsidRPr="000618FB">
        <w:t xml:space="preserve">: </w:t>
      </w:r>
      <w:r>
        <w:t>Descriptive statistics for export intensity.</w:t>
      </w:r>
    </w:p>
    <w:tbl>
      <w:tblPr>
        <w:tblStyle w:val="OCETable"/>
        <w:tblW w:w="5000" w:type="pct"/>
        <w:tblInd w:w="57" w:type="dxa"/>
        <w:tblLayout w:type="fixed"/>
        <w:tblLook w:val="04A0" w:firstRow="1" w:lastRow="0" w:firstColumn="1" w:lastColumn="0" w:noHBand="0" w:noVBand="1"/>
        <w:tblCaption w:val="Table 5.7"/>
        <w:tblDescription w:val="Average export intensity is 0.07. The intensity ranges from 0.007 in first quartile to 0.08 in third quartile."/>
      </w:tblPr>
      <w:tblGrid>
        <w:gridCol w:w="1058"/>
        <w:gridCol w:w="909"/>
        <w:gridCol w:w="1211"/>
        <w:gridCol w:w="1361"/>
        <w:gridCol w:w="909"/>
        <w:gridCol w:w="1446"/>
      </w:tblGrid>
      <w:tr w:rsidR="00DF5522" w14:paraId="35E129F2" w14:textId="77777777" w:rsidTr="008677CA">
        <w:trPr>
          <w:cnfStyle w:val="100000000000" w:firstRow="1" w:lastRow="0" w:firstColumn="0" w:lastColumn="0" w:oddVBand="0" w:evenVBand="0" w:oddHBand="0" w:evenHBand="0" w:firstRowFirstColumn="0" w:firstRowLastColumn="0" w:lastRowFirstColumn="0" w:lastRowLastColumn="0"/>
          <w:tblHeader/>
        </w:trPr>
        <w:tc>
          <w:tcPr>
            <w:tcW w:w="992" w:type="dxa"/>
          </w:tcPr>
          <w:p w14:paraId="35E129EC" w14:textId="77777777" w:rsidR="00DF5522" w:rsidRDefault="00DF5522" w:rsidP="00DF5522">
            <w:pPr>
              <w:pStyle w:val="Tableheadertext"/>
            </w:pPr>
          </w:p>
        </w:tc>
        <w:tc>
          <w:tcPr>
            <w:tcW w:w="851" w:type="dxa"/>
          </w:tcPr>
          <w:p w14:paraId="35E129ED" w14:textId="77777777" w:rsidR="00DF5522" w:rsidRDefault="00DF5522" w:rsidP="00DF5522">
            <w:pPr>
              <w:pStyle w:val="Tableheadertext"/>
            </w:pPr>
            <w:r>
              <w:t>Mean</w:t>
            </w:r>
          </w:p>
        </w:tc>
        <w:tc>
          <w:tcPr>
            <w:tcW w:w="1134" w:type="dxa"/>
          </w:tcPr>
          <w:p w14:paraId="35E129EE" w14:textId="77777777" w:rsidR="00DF5522" w:rsidRDefault="00DF5522" w:rsidP="00DF5522">
            <w:pPr>
              <w:pStyle w:val="Tableheadertext"/>
            </w:pPr>
            <w:r>
              <w:t>Std.Dev.</w:t>
            </w:r>
          </w:p>
        </w:tc>
        <w:tc>
          <w:tcPr>
            <w:tcW w:w="1275" w:type="dxa"/>
          </w:tcPr>
          <w:p w14:paraId="35E129EF" w14:textId="77777777" w:rsidR="00DF5522" w:rsidRDefault="00DF5522" w:rsidP="00DF5522">
            <w:pPr>
              <w:pStyle w:val="Tableheadertext"/>
            </w:pPr>
            <w:r>
              <w:t>1st Qrtl.</w:t>
            </w:r>
          </w:p>
        </w:tc>
        <w:tc>
          <w:tcPr>
            <w:tcW w:w="851" w:type="dxa"/>
          </w:tcPr>
          <w:p w14:paraId="35E129F0" w14:textId="77777777" w:rsidR="00DF5522" w:rsidRDefault="00DF5522" w:rsidP="00DF5522">
            <w:pPr>
              <w:pStyle w:val="Tableheadertext"/>
            </w:pPr>
            <w:r>
              <w:t>Median</w:t>
            </w:r>
          </w:p>
        </w:tc>
        <w:tc>
          <w:tcPr>
            <w:tcW w:w="1354" w:type="dxa"/>
          </w:tcPr>
          <w:p w14:paraId="35E129F1" w14:textId="77777777" w:rsidR="00DF5522" w:rsidRDefault="00DF5522" w:rsidP="00DF5522">
            <w:pPr>
              <w:pStyle w:val="Tableheadertext"/>
            </w:pPr>
            <w:r>
              <w:t>3rd Qrtl.</w:t>
            </w:r>
          </w:p>
        </w:tc>
      </w:tr>
      <w:tr w:rsidR="00DF5522" w14:paraId="35E129F9" w14:textId="77777777" w:rsidTr="00DF5522">
        <w:trPr>
          <w:cnfStyle w:val="000000100000" w:firstRow="0" w:lastRow="0" w:firstColumn="0" w:lastColumn="0" w:oddVBand="0" w:evenVBand="0" w:oddHBand="1" w:evenHBand="0" w:firstRowFirstColumn="0" w:firstRowLastColumn="0" w:lastRowFirstColumn="0" w:lastRowLastColumn="0"/>
        </w:trPr>
        <w:tc>
          <w:tcPr>
            <w:tcW w:w="992" w:type="dxa"/>
          </w:tcPr>
          <w:p w14:paraId="35E129F3" w14:textId="77777777" w:rsidR="00DF5522" w:rsidRDefault="00DF5522" w:rsidP="00DF5522">
            <w:pPr>
              <w:pStyle w:val="Tablebodytext"/>
            </w:pPr>
            <w:r>
              <w:t xml:space="preserve"> </w:t>
            </w:r>
            <w:r>
              <w:rPr>
                <w:i/>
                <w:iCs/>
              </w:rPr>
              <w:t>ExpInt</w:t>
            </w:r>
          </w:p>
        </w:tc>
        <w:tc>
          <w:tcPr>
            <w:tcW w:w="851" w:type="dxa"/>
          </w:tcPr>
          <w:p w14:paraId="35E129F4" w14:textId="77777777" w:rsidR="00DF5522" w:rsidRDefault="00DF5522" w:rsidP="00DF5522">
            <w:pPr>
              <w:pStyle w:val="Tablebodytext"/>
            </w:pPr>
            <w:r>
              <w:t>0.070</w:t>
            </w:r>
          </w:p>
        </w:tc>
        <w:tc>
          <w:tcPr>
            <w:tcW w:w="1134" w:type="dxa"/>
          </w:tcPr>
          <w:p w14:paraId="35E129F5" w14:textId="77777777" w:rsidR="00DF5522" w:rsidRDefault="00DF5522" w:rsidP="00DF5522">
            <w:pPr>
              <w:pStyle w:val="Tablebodytext"/>
            </w:pPr>
            <w:r>
              <w:t>0.116</w:t>
            </w:r>
          </w:p>
        </w:tc>
        <w:tc>
          <w:tcPr>
            <w:tcW w:w="1275" w:type="dxa"/>
          </w:tcPr>
          <w:p w14:paraId="35E129F6" w14:textId="77777777" w:rsidR="00DF5522" w:rsidRDefault="00DF5522" w:rsidP="00DF5522">
            <w:pPr>
              <w:pStyle w:val="Tablebodytext"/>
            </w:pPr>
            <w:r>
              <w:t>0.007</w:t>
            </w:r>
          </w:p>
        </w:tc>
        <w:tc>
          <w:tcPr>
            <w:tcW w:w="851" w:type="dxa"/>
          </w:tcPr>
          <w:p w14:paraId="35E129F7" w14:textId="77777777" w:rsidR="00DF5522" w:rsidRDefault="00DF5522" w:rsidP="00DF5522">
            <w:pPr>
              <w:pStyle w:val="Tablebodytext"/>
            </w:pPr>
            <w:r>
              <w:t>0.028</w:t>
            </w:r>
          </w:p>
        </w:tc>
        <w:tc>
          <w:tcPr>
            <w:tcW w:w="1354" w:type="dxa"/>
          </w:tcPr>
          <w:p w14:paraId="35E129F8" w14:textId="77777777" w:rsidR="00DF5522" w:rsidRDefault="00DF5522" w:rsidP="00DF5522">
            <w:pPr>
              <w:pStyle w:val="Tablebodytext"/>
            </w:pPr>
            <w:r>
              <w:t>0.080</w:t>
            </w:r>
          </w:p>
        </w:tc>
      </w:tr>
      <w:tr w:rsidR="00DF5522" w14:paraId="35E129FF" w14:textId="77777777" w:rsidTr="00DF5522">
        <w:trPr>
          <w:cnfStyle w:val="000000010000" w:firstRow="0" w:lastRow="0" w:firstColumn="0" w:lastColumn="0" w:oddVBand="0" w:evenVBand="0" w:oddHBand="0" w:evenHBand="1" w:firstRowFirstColumn="0" w:firstRowLastColumn="0" w:lastRowFirstColumn="0" w:lastRowLastColumn="0"/>
        </w:trPr>
        <w:tc>
          <w:tcPr>
            <w:tcW w:w="992" w:type="dxa"/>
          </w:tcPr>
          <w:p w14:paraId="35E129FA" w14:textId="77777777" w:rsidR="00DF5522" w:rsidRDefault="00DF5522" w:rsidP="00DF5522">
            <w:pPr>
              <w:pStyle w:val="Tablebodytext"/>
            </w:pPr>
          </w:p>
        </w:tc>
        <w:tc>
          <w:tcPr>
            <w:tcW w:w="851" w:type="dxa"/>
          </w:tcPr>
          <w:p w14:paraId="35E129FB" w14:textId="77777777" w:rsidR="00DF5522" w:rsidRDefault="00DF5522" w:rsidP="00DF5522">
            <w:pPr>
              <w:pStyle w:val="Tablebodytext"/>
            </w:pPr>
          </w:p>
        </w:tc>
        <w:tc>
          <w:tcPr>
            <w:tcW w:w="1134" w:type="dxa"/>
          </w:tcPr>
          <w:p w14:paraId="35E129FC" w14:textId="77777777" w:rsidR="00DF5522" w:rsidRDefault="00DF5522" w:rsidP="00DF5522">
            <w:pPr>
              <w:pStyle w:val="Tablebodytext"/>
            </w:pPr>
          </w:p>
        </w:tc>
        <w:tc>
          <w:tcPr>
            <w:tcW w:w="1275" w:type="dxa"/>
          </w:tcPr>
          <w:p w14:paraId="35E129FD" w14:textId="77777777" w:rsidR="00DF5522" w:rsidRDefault="00DF5522" w:rsidP="00DF5522">
            <w:pPr>
              <w:pStyle w:val="Tablebodytext"/>
            </w:pPr>
          </w:p>
        </w:tc>
        <w:tc>
          <w:tcPr>
            <w:tcW w:w="2205" w:type="dxa"/>
            <w:gridSpan w:val="2"/>
          </w:tcPr>
          <w:p w14:paraId="35E129FE" w14:textId="77777777" w:rsidR="00DF5522" w:rsidRDefault="00DF5522" w:rsidP="00DF5522">
            <w:pPr>
              <w:pStyle w:val="Tablebodytext"/>
            </w:pPr>
            <w:r>
              <w:t>#Obs=3,075</w:t>
            </w:r>
          </w:p>
        </w:tc>
      </w:tr>
    </w:tbl>
    <w:p w14:paraId="35E12A00" w14:textId="77777777" w:rsidR="00DF5522" w:rsidRPr="00C62F3A" w:rsidRDefault="00DF5522" w:rsidP="00E63064">
      <w:pPr>
        <w:pStyle w:val="Note"/>
      </w:pPr>
      <w:r>
        <w:t>Notes: Statistics pool over all industry–years.</w:t>
      </w:r>
    </w:p>
    <w:p w14:paraId="35E12A01" w14:textId="77777777" w:rsidR="00DF5522" w:rsidRDefault="00DF5522" w:rsidP="00E63064">
      <w:pPr>
        <w:pStyle w:val="Source"/>
      </w:pPr>
      <w:r>
        <w:t>Source: Department of Industry, Innovation and Science (2019)</w:t>
      </w:r>
    </w:p>
    <w:p w14:paraId="35E12A02" w14:textId="77777777" w:rsidR="00142630" w:rsidRDefault="002B5A6F" w:rsidP="004B17CD">
      <w:pPr>
        <w:pStyle w:val="BodyText"/>
      </w:pPr>
      <w:r>
        <w:t>As the numbers in Table 5.7 show, most industries export only a small fraction of their output. However, there are also a few industries that export a large proportion of their output. Table </w:t>
      </w:r>
      <w:r w:rsidR="00446808">
        <w:t>5.8</w:t>
      </w:r>
      <w:r>
        <w:t xml:space="preserve"> lists a few industries with the lowest and highest export intensities to provide more details on each group of industries. The reported export intensities are the averages for the industry over all years.</w:t>
      </w:r>
    </w:p>
    <w:p w14:paraId="35E12A04" w14:textId="77777777" w:rsidR="002B5A6F" w:rsidRDefault="002B5A6F" w:rsidP="00E63064">
      <w:pPr>
        <w:pStyle w:val="Caption"/>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8</w:t>
      </w:r>
      <w:r>
        <w:rPr>
          <w:noProof/>
        </w:rPr>
        <w:fldChar w:fldCharType="end"/>
      </w:r>
      <w:r w:rsidRPr="000618FB">
        <w:t xml:space="preserve">: </w:t>
      </w:r>
      <w:r>
        <w:t>Least and most export intensive industries.</w:t>
      </w:r>
    </w:p>
    <w:tbl>
      <w:tblPr>
        <w:tblStyle w:val="OCETable"/>
        <w:tblW w:w="5038" w:type="pct"/>
        <w:tblLayout w:type="fixed"/>
        <w:tblLook w:val="04A0" w:firstRow="1" w:lastRow="0" w:firstColumn="1" w:lastColumn="0" w:noHBand="0" w:noVBand="1"/>
        <w:tblCaption w:val="Table 5.8"/>
        <w:tblDescription w:val="Least export intensive industries are Clubs, Buliding Completion Services, Car Retailing, Funeral Services, and Residential Buidling Construction. The most intensive are Leather Product Manufacturing, Non-Metallic Mineral, Metal Ore, and Coal Mining and also Basic Non-Ferrous Metal Manufacturing."/>
      </w:tblPr>
      <w:tblGrid>
        <w:gridCol w:w="993"/>
        <w:gridCol w:w="992"/>
        <w:gridCol w:w="630"/>
        <w:gridCol w:w="2347"/>
        <w:gridCol w:w="992"/>
        <w:gridCol w:w="992"/>
      </w:tblGrid>
      <w:tr w:rsidR="002B5A6F" w14:paraId="35E12A07" w14:textId="77777777" w:rsidTr="000F69EA">
        <w:trPr>
          <w:cnfStyle w:val="100000000000" w:firstRow="1" w:lastRow="0" w:firstColumn="0" w:lastColumn="0" w:oddVBand="0" w:evenVBand="0" w:oddHBand="0" w:evenHBand="0" w:firstRowFirstColumn="0" w:firstRowLastColumn="0" w:lastRowFirstColumn="0" w:lastRowLastColumn="0"/>
          <w:tblHeader/>
        </w:trPr>
        <w:tc>
          <w:tcPr>
            <w:tcW w:w="2615" w:type="dxa"/>
            <w:gridSpan w:val="3"/>
            <w:tcBorders>
              <w:bottom w:val="none" w:sz="0" w:space="0" w:color="auto"/>
            </w:tcBorders>
          </w:tcPr>
          <w:p w14:paraId="35E12A05" w14:textId="77777777" w:rsidR="002B5A6F" w:rsidRDefault="002B5A6F" w:rsidP="002B5A6F">
            <w:pPr>
              <w:pStyle w:val="Tableheadertext"/>
            </w:pPr>
            <w:r>
              <w:t>Panel A: Least export intensive</w:t>
            </w:r>
          </w:p>
        </w:tc>
        <w:tc>
          <w:tcPr>
            <w:tcW w:w="4331" w:type="dxa"/>
            <w:gridSpan w:val="3"/>
            <w:tcBorders>
              <w:bottom w:val="none" w:sz="0" w:space="0" w:color="auto"/>
            </w:tcBorders>
          </w:tcPr>
          <w:p w14:paraId="35E12A06" w14:textId="77777777" w:rsidR="002B5A6F" w:rsidRDefault="002B5A6F" w:rsidP="002B5A6F">
            <w:pPr>
              <w:pStyle w:val="Tableheadertext"/>
            </w:pPr>
          </w:p>
        </w:tc>
      </w:tr>
      <w:tr w:rsidR="002B5A6F" w:rsidRPr="002B5A6F" w14:paraId="35E12A0D" w14:textId="77777777" w:rsidTr="000F69EA">
        <w:trPr>
          <w:cnfStyle w:val="000000100000" w:firstRow="0" w:lastRow="0" w:firstColumn="0" w:lastColumn="0" w:oddVBand="0" w:evenVBand="0" w:oddHBand="1" w:evenHBand="0" w:firstRowFirstColumn="0" w:firstRowLastColumn="0" w:lastRowFirstColumn="0" w:lastRowLastColumn="0"/>
        </w:trPr>
        <w:tc>
          <w:tcPr>
            <w:tcW w:w="993" w:type="dxa"/>
            <w:shd w:val="clear" w:color="auto" w:fill="005CAF"/>
          </w:tcPr>
          <w:p w14:paraId="35E12A08" w14:textId="77777777" w:rsidR="002B5A6F" w:rsidRPr="002B5A6F" w:rsidRDefault="002B5A6F" w:rsidP="002B5A6F">
            <w:pPr>
              <w:pStyle w:val="Tablebodytext"/>
              <w:rPr>
                <w:color w:val="FFFFFF" w:themeColor="background2"/>
              </w:rPr>
            </w:pPr>
          </w:p>
        </w:tc>
        <w:tc>
          <w:tcPr>
            <w:tcW w:w="992" w:type="dxa"/>
            <w:shd w:val="clear" w:color="auto" w:fill="005CAF"/>
          </w:tcPr>
          <w:p w14:paraId="35E12A09" w14:textId="77777777" w:rsidR="002B5A6F" w:rsidRPr="002B5A6F" w:rsidRDefault="002B5A6F" w:rsidP="002B5A6F">
            <w:pPr>
              <w:pStyle w:val="Tablebodytext"/>
              <w:rPr>
                <w:color w:val="FFFFFF" w:themeColor="background2"/>
              </w:rPr>
            </w:pPr>
          </w:p>
        </w:tc>
        <w:tc>
          <w:tcPr>
            <w:tcW w:w="2977" w:type="dxa"/>
            <w:gridSpan w:val="2"/>
            <w:shd w:val="clear" w:color="auto" w:fill="005CAF"/>
          </w:tcPr>
          <w:p w14:paraId="35E12A0A" w14:textId="77777777" w:rsidR="002B5A6F" w:rsidRPr="002B5A6F" w:rsidRDefault="002B5A6F" w:rsidP="002B5A6F">
            <w:pPr>
              <w:pStyle w:val="Tablebodytext"/>
              <w:rPr>
                <w:color w:val="FFFFFF" w:themeColor="background2"/>
              </w:rPr>
            </w:pPr>
          </w:p>
        </w:tc>
        <w:tc>
          <w:tcPr>
            <w:tcW w:w="992" w:type="dxa"/>
            <w:shd w:val="clear" w:color="auto" w:fill="005CAF"/>
          </w:tcPr>
          <w:p w14:paraId="35E12A0B" w14:textId="77777777" w:rsidR="002B5A6F" w:rsidRPr="002B5A6F" w:rsidRDefault="002B5A6F" w:rsidP="002B5A6F">
            <w:pPr>
              <w:pStyle w:val="Tablebodytext"/>
              <w:rPr>
                <w:color w:val="FFFFFF" w:themeColor="background2"/>
              </w:rPr>
            </w:pPr>
            <w:r w:rsidRPr="002B5A6F">
              <w:rPr>
                <w:color w:val="FFFFFF" w:themeColor="background2"/>
              </w:rPr>
              <w:t>Average</w:t>
            </w:r>
          </w:p>
        </w:tc>
        <w:tc>
          <w:tcPr>
            <w:tcW w:w="992" w:type="dxa"/>
            <w:shd w:val="clear" w:color="auto" w:fill="005CAF"/>
          </w:tcPr>
          <w:p w14:paraId="35E12A0C" w14:textId="77777777" w:rsidR="002B5A6F" w:rsidRPr="002B5A6F" w:rsidRDefault="002B5A6F" w:rsidP="002B5A6F">
            <w:pPr>
              <w:pStyle w:val="Tablebodytext"/>
              <w:rPr>
                <w:color w:val="FFFFFF" w:themeColor="background2"/>
              </w:rPr>
            </w:pPr>
          </w:p>
        </w:tc>
      </w:tr>
      <w:tr w:rsidR="002B5A6F" w:rsidRPr="002B5A6F" w14:paraId="35E12A13" w14:textId="77777777" w:rsidTr="000F69EA">
        <w:trPr>
          <w:cnfStyle w:val="000000010000" w:firstRow="0" w:lastRow="0" w:firstColumn="0" w:lastColumn="0" w:oddVBand="0" w:evenVBand="0" w:oddHBand="0" w:evenHBand="1" w:firstRowFirstColumn="0" w:firstRowLastColumn="0" w:lastRowFirstColumn="0" w:lastRowLastColumn="0"/>
        </w:trPr>
        <w:tc>
          <w:tcPr>
            <w:tcW w:w="993" w:type="dxa"/>
            <w:shd w:val="clear" w:color="auto" w:fill="005CAF"/>
          </w:tcPr>
          <w:p w14:paraId="35E12A0E" w14:textId="77777777" w:rsidR="002B5A6F" w:rsidRPr="002B5A6F" w:rsidRDefault="002B5A6F" w:rsidP="002B5A6F">
            <w:pPr>
              <w:pStyle w:val="Tablebodytext"/>
              <w:rPr>
                <w:color w:val="FFFFFF" w:themeColor="background2"/>
              </w:rPr>
            </w:pPr>
            <w:r w:rsidRPr="002B5A6F">
              <w:rPr>
                <w:color w:val="FFFFFF" w:themeColor="background2"/>
              </w:rPr>
              <w:t>ANZSIC</w:t>
            </w:r>
          </w:p>
        </w:tc>
        <w:tc>
          <w:tcPr>
            <w:tcW w:w="992" w:type="dxa"/>
            <w:shd w:val="clear" w:color="auto" w:fill="005CAF"/>
          </w:tcPr>
          <w:p w14:paraId="35E12A0F" w14:textId="77777777" w:rsidR="002B5A6F" w:rsidRPr="002B5A6F" w:rsidRDefault="002B5A6F" w:rsidP="002B5A6F">
            <w:pPr>
              <w:pStyle w:val="Tablebodytext"/>
              <w:rPr>
                <w:color w:val="FFFFFF" w:themeColor="background2"/>
              </w:rPr>
            </w:pPr>
            <w:r w:rsidRPr="002B5A6F">
              <w:rPr>
                <w:color w:val="FFFFFF" w:themeColor="background2"/>
              </w:rPr>
              <w:t>Division</w:t>
            </w:r>
          </w:p>
        </w:tc>
        <w:tc>
          <w:tcPr>
            <w:tcW w:w="2977" w:type="dxa"/>
            <w:gridSpan w:val="2"/>
            <w:shd w:val="clear" w:color="auto" w:fill="005CAF"/>
          </w:tcPr>
          <w:p w14:paraId="35E12A10" w14:textId="77777777" w:rsidR="002B5A6F" w:rsidRPr="002B5A6F" w:rsidRDefault="002B5A6F" w:rsidP="002B5A6F">
            <w:pPr>
              <w:pStyle w:val="Tablebodytext"/>
              <w:rPr>
                <w:color w:val="FFFFFF" w:themeColor="background2"/>
              </w:rPr>
            </w:pPr>
            <w:r w:rsidRPr="002B5A6F">
              <w:rPr>
                <w:color w:val="FFFFFF" w:themeColor="background2"/>
              </w:rPr>
              <w:t>Description</w:t>
            </w:r>
          </w:p>
        </w:tc>
        <w:tc>
          <w:tcPr>
            <w:tcW w:w="992" w:type="dxa"/>
            <w:shd w:val="clear" w:color="auto" w:fill="005CAF"/>
          </w:tcPr>
          <w:p w14:paraId="35E12A11" w14:textId="77777777" w:rsidR="002B5A6F" w:rsidRPr="002B5A6F" w:rsidRDefault="002B5A6F" w:rsidP="002B5A6F">
            <w:pPr>
              <w:pStyle w:val="Tablebodytext"/>
              <w:rPr>
                <w:color w:val="FFFFFF" w:themeColor="background2"/>
              </w:rPr>
            </w:pPr>
            <w:r w:rsidRPr="002B5A6F">
              <w:rPr>
                <w:i/>
                <w:iCs/>
                <w:color w:val="FFFFFF" w:themeColor="background2"/>
              </w:rPr>
              <w:t>ExpInt</w:t>
            </w:r>
          </w:p>
        </w:tc>
        <w:tc>
          <w:tcPr>
            <w:tcW w:w="992" w:type="dxa"/>
            <w:shd w:val="clear" w:color="auto" w:fill="005CAF"/>
          </w:tcPr>
          <w:p w14:paraId="35E12A12" w14:textId="77777777" w:rsidR="002B5A6F" w:rsidRPr="002B5A6F" w:rsidRDefault="002B5A6F" w:rsidP="002B5A6F">
            <w:pPr>
              <w:pStyle w:val="Tablebodytext"/>
              <w:rPr>
                <w:color w:val="FFFFFF" w:themeColor="background2"/>
              </w:rPr>
            </w:pPr>
            <w:r w:rsidRPr="002B5A6F">
              <w:rPr>
                <w:i/>
                <w:iCs/>
                <w:color w:val="FFFFFF" w:themeColor="background2"/>
              </w:rPr>
              <w:t>N</w:t>
            </w:r>
          </w:p>
        </w:tc>
      </w:tr>
      <w:tr w:rsidR="002B5A6F" w14:paraId="35E12A19" w14:textId="77777777" w:rsidTr="000F69EA">
        <w:trPr>
          <w:cnfStyle w:val="000000100000" w:firstRow="0" w:lastRow="0" w:firstColumn="0" w:lastColumn="0" w:oddVBand="0" w:evenVBand="0" w:oddHBand="1" w:evenHBand="0" w:firstRowFirstColumn="0" w:firstRowLastColumn="0" w:lastRowFirstColumn="0" w:lastRowLastColumn="0"/>
        </w:trPr>
        <w:tc>
          <w:tcPr>
            <w:tcW w:w="993" w:type="dxa"/>
          </w:tcPr>
          <w:p w14:paraId="35E12A14" w14:textId="77777777" w:rsidR="002B5A6F" w:rsidRDefault="002B5A6F" w:rsidP="002B5A6F">
            <w:pPr>
              <w:pStyle w:val="Tablebodytext"/>
            </w:pPr>
            <w:r>
              <w:t>453</w:t>
            </w:r>
          </w:p>
        </w:tc>
        <w:tc>
          <w:tcPr>
            <w:tcW w:w="992" w:type="dxa"/>
          </w:tcPr>
          <w:p w14:paraId="35E12A15" w14:textId="77777777" w:rsidR="002B5A6F" w:rsidRDefault="002B5A6F" w:rsidP="002B5A6F">
            <w:pPr>
              <w:pStyle w:val="Tablebodytext"/>
            </w:pPr>
            <w:r>
              <w:t>H</w:t>
            </w:r>
          </w:p>
        </w:tc>
        <w:tc>
          <w:tcPr>
            <w:tcW w:w="2977" w:type="dxa"/>
            <w:gridSpan w:val="2"/>
          </w:tcPr>
          <w:p w14:paraId="35E12A16" w14:textId="77777777" w:rsidR="002B5A6F" w:rsidRDefault="002B5A6F" w:rsidP="002B5A6F">
            <w:pPr>
              <w:pStyle w:val="Tablebodytext"/>
            </w:pPr>
            <w:r>
              <w:t>Clubs (Hospitality)</w:t>
            </w:r>
          </w:p>
        </w:tc>
        <w:tc>
          <w:tcPr>
            <w:tcW w:w="992" w:type="dxa"/>
          </w:tcPr>
          <w:p w14:paraId="35E12A17" w14:textId="77777777" w:rsidR="002B5A6F" w:rsidRDefault="002B5A6F" w:rsidP="002B5A6F">
            <w:pPr>
              <w:pStyle w:val="Tablebodytext"/>
            </w:pPr>
            <w:r>
              <w:t>0.000</w:t>
            </w:r>
          </w:p>
        </w:tc>
        <w:tc>
          <w:tcPr>
            <w:tcW w:w="992" w:type="dxa"/>
          </w:tcPr>
          <w:p w14:paraId="35E12A18" w14:textId="77777777" w:rsidR="002B5A6F" w:rsidRDefault="002B5A6F" w:rsidP="002B5A6F">
            <w:pPr>
              <w:pStyle w:val="Tablebodytext"/>
            </w:pPr>
            <w:r>
              <w:t>3,842</w:t>
            </w:r>
          </w:p>
        </w:tc>
      </w:tr>
      <w:tr w:rsidR="002B5A6F" w14:paraId="35E12A1F" w14:textId="77777777" w:rsidTr="000F69EA">
        <w:trPr>
          <w:cnfStyle w:val="000000010000" w:firstRow="0" w:lastRow="0" w:firstColumn="0" w:lastColumn="0" w:oddVBand="0" w:evenVBand="0" w:oddHBand="0" w:evenHBand="1" w:firstRowFirstColumn="0" w:firstRowLastColumn="0" w:lastRowFirstColumn="0" w:lastRowLastColumn="0"/>
        </w:trPr>
        <w:tc>
          <w:tcPr>
            <w:tcW w:w="993" w:type="dxa"/>
          </w:tcPr>
          <w:p w14:paraId="35E12A1A" w14:textId="77777777" w:rsidR="002B5A6F" w:rsidRDefault="002B5A6F" w:rsidP="002B5A6F">
            <w:pPr>
              <w:pStyle w:val="Tablebodytext"/>
            </w:pPr>
            <w:r>
              <w:t>324</w:t>
            </w:r>
          </w:p>
        </w:tc>
        <w:tc>
          <w:tcPr>
            <w:tcW w:w="992" w:type="dxa"/>
          </w:tcPr>
          <w:p w14:paraId="35E12A1B" w14:textId="77777777" w:rsidR="002B5A6F" w:rsidRDefault="002B5A6F" w:rsidP="002B5A6F">
            <w:pPr>
              <w:pStyle w:val="Tablebodytext"/>
            </w:pPr>
            <w:r>
              <w:t>E</w:t>
            </w:r>
          </w:p>
        </w:tc>
        <w:tc>
          <w:tcPr>
            <w:tcW w:w="2977" w:type="dxa"/>
            <w:gridSpan w:val="2"/>
          </w:tcPr>
          <w:p w14:paraId="35E12A1C" w14:textId="77777777" w:rsidR="002B5A6F" w:rsidRDefault="002B5A6F" w:rsidP="002B5A6F">
            <w:pPr>
              <w:pStyle w:val="Tablebodytext"/>
            </w:pPr>
            <w:r>
              <w:t>Building Completion Services</w:t>
            </w:r>
          </w:p>
        </w:tc>
        <w:tc>
          <w:tcPr>
            <w:tcW w:w="992" w:type="dxa"/>
          </w:tcPr>
          <w:p w14:paraId="35E12A1D" w14:textId="77777777" w:rsidR="002B5A6F" w:rsidRDefault="002B5A6F" w:rsidP="002B5A6F">
            <w:pPr>
              <w:pStyle w:val="Tablebodytext"/>
            </w:pPr>
            <w:r>
              <w:t>0.001</w:t>
            </w:r>
          </w:p>
        </w:tc>
        <w:tc>
          <w:tcPr>
            <w:tcW w:w="992" w:type="dxa"/>
          </w:tcPr>
          <w:p w14:paraId="35E12A1E" w14:textId="77777777" w:rsidR="002B5A6F" w:rsidRDefault="002B5A6F" w:rsidP="002B5A6F">
            <w:pPr>
              <w:pStyle w:val="Tablebodytext"/>
            </w:pPr>
            <w:r>
              <w:t>104,243</w:t>
            </w:r>
          </w:p>
        </w:tc>
      </w:tr>
      <w:tr w:rsidR="002B5A6F" w14:paraId="35E12A25" w14:textId="77777777" w:rsidTr="000F69EA">
        <w:trPr>
          <w:cnfStyle w:val="000000100000" w:firstRow="0" w:lastRow="0" w:firstColumn="0" w:lastColumn="0" w:oddVBand="0" w:evenVBand="0" w:oddHBand="1" w:evenHBand="0" w:firstRowFirstColumn="0" w:firstRowLastColumn="0" w:lastRowFirstColumn="0" w:lastRowLastColumn="0"/>
        </w:trPr>
        <w:tc>
          <w:tcPr>
            <w:tcW w:w="993" w:type="dxa"/>
          </w:tcPr>
          <w:p w14:paraId="35E12A20" w14:textId="77777777" w:rsidR="002B5A6F" w:rsidRDefault="002B5A6F" w:rsidP="002B5A6F">
            <w:pPr>
              <w:pStyle w:val="Tablebodytext"/>
            </w:pPr>
            <w:r>
              <w:t>391</w:t>
            </w:r>
          </w:p>
        </w:tc>
        <w:tc>
          <w:tcPr>
            <w:tcW w:w="992" w:type="dxa"/>
          </w:tcPr>
          <w:p w14:paraId="35E12A21" w14:textId="77777777" w:rsidR="002B5A6F" w:rsidRDefault="002B5A6F" w:rsidP="002B5A6F">
            <w:pPr>
              <w:pStyle w:val="Tablebodytext"/>
            </w:pPr>
            <w:r>
              <w:t>G</w:t>
            </w:r>
          </w:p>
        </w:tc>
        <w:tc>
          <w:tcPr>
            <w:tcW w:w="2977" w:type="dxa"/>
            <w:gridSpan w:val="2"/>
          </w:tcPr>
          <w:p w14:paraId="35E12A22" w14:textId="77777777" w:rsidR="002B5A6F" w:rsidRDefault="002B5A6F" w:rsidP="002B5A6F">
            <w:pPr>
              <w:pStyle w:val="Tablebodytext"/>
            </w:pPr>
            <w:r>
              <w:t>Motor Vehicle Retailing</w:t>
            </w:r>
          </w:p>
        </w:tc>
        <w:tc>
          <w:tcPr>
            <w:tcW w:w="992" w:type="dxa"/>
          </w:tcPr>
          <w:p w14:paraId="35E12A23" w14:textId="77777777" w:rsidR="002B5A6F" w:rsidRDefault="002B5A6F" w:rsidP="002B5A6F">
            <w:pPr>
              <w:pStyle w:val="Tablebodytext"/>
            </w:pPr>
            <w:r>
              <w:t>0.001</w:t>
            </w:r>
          </w:p>
        </w:tc>
        <w:tc>
          <w:tcPr>
            <w:tcW w:w="992" w:type="dxa"/>
          </w:tcPr>
          <w:p w14:paraId="35E12A24" w14:textId="77777777" w:rsidR="002B5A6F" w:rsidRDefault="002B5A6F" w:rsidP="002B5A6F">
            <w:pPr>
              <w:pStyle w:val="Tablebodytext"/>
            </w:pPr>
            <w:r>
              <w:t>6,127</w:t>
            </w:r>
          </w:p>
        </w:tc>
      </w:tr>
      <w:tr w:rsidR="002B5A6F" w14:paraId="35E12A2B" w14:textId="77777777" w:rsidTr="000F69EA">
        <w:trPr>
          <w:cnfStyle w:val="000000010000" w:firstRow="0" w:lastRow="0" w:firstColumn="0" w:lastColumn="0" w:oddVBand="0" w:evenVBand="0" w:oddHBand="0" w:evenHBand="1" w:firstRowFirstColumn="0" w:firstRowLastColumn="0" w:lastRowFirstColumn="0" w:lastRowLastColumn="0"/>
        </w:trPr>
        <w:tc>
          <w:tcPr>
            <w:tcW w:w="993" w:type="dxa"/>
          </w:tcPr>
          <w:p w14:paraId="35E12A26" w14:textId="77777777" w:rsidR="002B5A6F" w:rsidRDefault="002B5A6F" w:rsidP="002B5A6F">
            <w:pPr>
              <w:pStyle w:val="Tablebodytext"/>
            </w:pPr>
            <w:r>
              <w:t>952</w:t>
            </w:r>
          </w:p>
        </w:tc>
        <w:tc>
          <w:tcPr>
            <w:tcW w:w="992" w:type="dxa"/>
          </w:tcPr>
          <w:p w14:paraId="35E12A27" w14:textId="77777777" w:rsidR="002B5A6F" w:rsidRDefault="002B5A6F" w:rsidP="002B5A6F">
            <w:pPr>
              <w:pStyle w:val="Tablebodytext"/>
            </w:pPr>
            <w:r>
              <w:t>S</w:t>
            </w:r>
          </w:p>
        </w:tc>
        <w:tc>
          <w:tcPr>
            <w:tcW w:w="2977" w:type="dxa"/>
            <w:gridSpan w:val="2"/>
          </w:tcPr>
          <w:p w14:paraId="35E12A28" w14:textId="77777777" w:rsidR="002B5A6F" w:rsidRDefault="002B5A6F" w:rsidP="002B5A6F">
            <w:pPr>
              <w:pStyle w:val="Tablebodytext"/>
            </w:pPr>
            <w:r>
              <w:t>Funeral and Cemetery Services</w:t>
            </w:r>
          </w:p>
        </w:tc>
        <w:tc>
          <w:tcPr>
            <w:tcW w:w="992" w:type="dxa"/>
          </w:tcPr>
          <w:p w14:paraId="35E12A29" w14:textId="77777777" w:rsidR="002B5A6F" w:rsidRDefault="002B5A6F" w:rsidP="002B5A6F">
            <w:pPr>
              <w:pStyle w:val="Tablebodytext"/>
            </w:pPr>
            <w:r>
              <w:t>0.001</w:t>
            </w:r>
          </w:p>
        </w:tc>
        <w:tc>
          <w:tcPr>
            <w:tcW w:w="992" w:type="dxa"/>
          </w:tcPr>
          <w:p w14:paraId="35E12A2A" w14:textId="77777777" w:rsidR="002B5A6F" w:rsidRDefault="002B5A6F" w:rsidP="002B5A6F">
            <w:pPr>
              <w:pStyle w:val="Tablebodytext"/>
            </w:pPr>
            <w:r>
              <w:t>919</w:t>
            </w:r>
          </w:p>
        </w:tc>
      </w:tr>
      <w:tr w:rsidR="002B5A6F" w14:paraId="35E12A31" w14:textId="77777777" w:rsidTr="000F69EA">
        <w:trPr>
          <w:cnfStyle w:val="000000100000" w:firstRow="0" w:lastRow="0" w:firstColumn="0" w:lastColumn="0" w:oddVBand="0" w:evenVBand="0" w:oddHBand="1" w:evenHBand="0" w:firstRowFirstColumn="0" w:firstRowLastColumn="0" w:lastRowFirstColumn="0" w:lastRowLastColumn="0"/>
        </w:trPr>
        <w:tc>
          <w:tcPr>
            <w:tcW w:w="993" w:type="dxa"/>
          </w:tcPr>
          <w:p w14:paraId="35E12A2C" w14:textId="77777777" w:rsidR="002B5A6F" w:rsidRDefault="002B5A6F" w:rsidP="002B5A6F">
            <w:pPr>
              <w:pStyle w:val="Tablebodytext"/>
            </w:pPr>
            <w:r>
              <w:t>301</w:t>
            </w:r>
          </w:p>
        </w:tc>
        <w:tc>
          <w:tcPr>
            <w:tcW w:w="992" w:type="dxa"/>
          </w:tcPr>
          <w:p w14:paraId="35E12A2D" w14:textId="77777777" w:rsidR="002B5A6F" w:rsidRDefault="002B5A6F" w:rsidP="002B5A6F">
            <w:pPr>
              <w:pStyle w:val="Tablebodytext"/>
            </w:pPr>
            <w:r>
              <w:t>E</w:t>
            </w:r>
          </w:p>
        </w:tc>
        <w:tc>
          <w:tcPr>
            <w:tcW w:w="2977" w:type="dxa"/>
            <w:gridSpan w:val="2"/>
          </w:tcPr>
          <w:p w14:paraId="35E12A2E" w14:textId="77777777" w:rsidR="002B5A6F" w:rsidRDefault="002B5A6F" w:rsidP="002B5A6F">
            <w:pPr>
              <w:pStyle w:val="Tablebodytext"/>
            </w:pPr>
            <w:r>
              <w:t>Residential Building Construction</w:t>
            </w:r>
          </w:p>
        </w:tc>
        <w:tc>
          <w:tcPr>
            <w:tcW w:w="992" w:type="dxa"/>
          </w:tcPr>
          <w:p w14:paraId="35E12A2F" w14:textId="77777777" w:rsidR="002B5A6F" w:rsidRDefault="002B5A6F" w:rsidP="002B5A6F">
            <w:pPr>
              <w:pStyle w:val="Tablebodytext"/>
            </w:pPr>
            <w:r>
              <w:t>0.002</w:t>
            </w:r>
          </w:p>
        </w:tc>
        <w:tc>
          <w:tcPr>
            <w:tcW w:w="992" w:type="dxa"/>
          </w:tcPr>
          <w:p w14:paraId="35E12A30" w14:textId="77777777" w:rsidR="002B5A6F" w:rsidRDefault="002B5A6F" w:rsidP="002B5A6F">
            <w:pPr>
              <w:pStyle w:val="Tablebodytext"/>
            </w:pPr>
            <w:r>
              <w:t>49,843</w:t>
            </w:r>
          </w:p>
        </w:tc>
      </w:tr>
      <w:tr w:rsidR="002B5A6F" w14:paraId="35E12A35" w14:textId="77777777" w:rsidTr="000F69EA">
        <w:trPr>
          <w:gridAfter w:val="2"/>
          <w:cnfStyle w:val="000000010000" w:firstRow="0" w:lastRow="0" w:firstColumn="0" w:lastColumn="0" w:oddVBand="0" w:evenVBand="0" w:oddHBand="0" w:evenHBand="1" w:firstRowFirstColumn="0" w:firstRowLastColumn="0" w:lastRowFirstColumn="0" w:lastRowLastColumn="0"/>
          <w:wAfter w:w="1984" w:type="dxa"/>
        </w:trPr>
        <w:tc>
          <w:tcPr>
            <w:tcW w:w="993" w:type="dxa"/>
          </w:tcPr>
          <w:p w14:paraId="35E12A32" w14:textId="77777777" w:rsidR="002B5A6F" w:rsidRDefault="002B5A6F" w:rsidP="002B5A6F">
            <w:pPr>
              <w:pStyle w:val="Tablebodytext"/>
            </w:pPr>
          </w:p>
        </w:tc>
        <w:tc>
          <w:tcPr>
            <w:tcW w:w="992" w:type="dxa"/>
          </w:tcPr>
          <w:p w14:paraId="35E12A33" w14:textId="77777777" w:rsidR="002B5A6F" w:rsidRDefault="002B5A6F" w:rsidP="002B5A6F">
            <w:pPr>
              <w:pStyle w:val="Tablebodytext"/>
            </w:pPr>
          </w:p>
        </w:tc>
        <w:tc>
          <w:tcPr>
            <w:tcW w:w="2977" w:type="dxa"/>
            <w:gridSpan w:val="2"/>
          </w:tcPr>
          <w:p w14:paraId="35E12A34" w14:textId="77777777" w:rsidR="002B5A6F" w:rsidRDefault="002B5A6F" w:rsidP="002B5A6F">
            <w:pPr>
              <w:pStyle w:val="Tablebodytext"/>
            </w:pPr>
          </w:p>
        </w:tc>
      </w:tr>
      <w:tr w:rsidR="002B5A6F" w14:paraId="35E12A38" w14:textId="77777777" w:rsidTr="000F69EA">
        <w:trPr>
          <w:cnfStyle w:val="000000100000" w:firstRow="0" w:lastRow="0" w:firstColumn="0" w:lastColumn="0" w:oddVBand="0" w:evenVBand="0" w:oddHBand="1" w:evenHBand="0" w:firstRowFirstColumn="0" w:firstRowLastColumn="0" w:lastRowFirstColumn="0" w:lastRowLastColumn="0"/>
        </w:trPr>
        <w:tc>
          <w:tcPr>
            <w:tcW w:w="5954" w:type="dxa"/>
            <w:gridSpan w:val="5"/>
            <w:shd w:val="clear" w:color="auto" w:fill="005CAF"/>
          </w:tcPr>
          <w:p w14:paraId="35E12A36" w14:textId="77777777" w:rsidR="002B5A6F" w:rsidRPr="002B5A6F" w:rsidRDefault="002B5A6F" w:rsidP="002B5A6F">
            <w:pPr>
              <w:pStyle w:val="Tablebodytext"/>
              <w:rPr>
                <w:color w:val="FFFFFF" w:themeColor="background2"/>
              </w:rPr>
            </w:pPr>
            <w:r w:rsidRPr="002B5A6F">
              <w:rPr>
                <w:color w:val="FFFFFF" w:themeColor="background2"/>
              </w:rPr>
              <w:t>Panel B: Most export intensive</w:t>
            </w:r>
          </w:p>
        </w:tc>
        <w:tc>
          <w:tcPr>
            <w:tcW w:w="992" w:type="dxa"/>
            <w:shd w:val="clear" w:color="auto" w:fill="005CAF"/>
          </w:tcPr>
          <w:p w14:paraId="35E12A37" w14:textId="77777777" w:rsidR="002B5A6F" w:rsidRPr="002B5A6F" w:rsidRDefault="002B5A6F" w:rsidP="002B5A6F">
            <w:pPr>
              <w:pStyle w:val="Tablebodytext"/>
              <w:rPr>
                <w:color w:val="FFFFFF" w:themeColor="background2"/>
              </w:rPr>
            </w:pPr>
          </w:p>
        </w:tc>
      </w:tr>
      <w:tr w:rsidR="002B5A6F" w14:paraId="35E12A3E" w14:textId="77777777" w:rsidTr="000F69EA">
        <w:trPr>
          <w:cnfStyle w:val="000000010000" w:firstRow="0" w:lastRow="0" w:firstColumn="0" w:lastColumn="0" w:oddVBand="0" w:evenVBand="0" w:oddHBand="0" w:evenHBand="1" w:firstRowFirstColumn="0" w:firstRowLastColumn="0" w:lastRowFirstColumn="0" w:lastRowLastColumn="0"/>
        </w:trPr>
        <w:tc>
          <w:tcPr>
            <w:tcW w:w="993" w:type="dxa"/>
            <w:shd w:val="clear" w:color="auto" w:fill="005CAF"/>
          </w:tcPr>
          <w:p w14:paraId="35E12A39" w14:textId="77777777" w:rsidR="002B5A6F" w:rsidRPr="002B5A6F" w:rsidRDefault="002B5A6F" w:rsidP="002B5A6F">
            <w:pPr>
              <w:pStyle w:val="Tablebodytext"/>
              <w:rPr>
                <w:color w:val="FFFFFF" w:themeColor="background2"/>
              </w:rPr>
            </w:pPr>
          </w:p>
        </w:tc>
        <w:tc>
          <w:tcPr>
            <w:tcW w:w="992" w:type="dxa"/>
            <w:shd w:val="clear" w:color="auto" w:fill="005CAF"/>
          </w:tcPr>
          <w:p w14:paraId="35E12A3A" w14:textId="77777777" w:rsidR="002B5A6F" w:rsidRPr="002B5A6F" w:rsidRDefault="002B5A6F" w:rsidP="002B5A6F">
            <w:pPr>
              <w:pStyle w:val="Tablebodytext"/>
              <w:rPr>
                <w:color w:val="FFFFFF" w:themeColor="background2"/>
              </w:rPr>
            </w:pPr>
          </w:p>
        </w:tc>
        <w:tc>
          <w:tcPr>
            <w:tcW w:w="2977" w:type="dxa"/>
            <w:gridSpan w:val="2"/>
            <w:shd w:val="clear" w:color="auto" w:fill="005CAF"/>
          </w:tcPr>
          <w:p w14:paraId="35E12A3B" w14:textId="77777777" w:rsidR="002B5A6F" w:rsidRPr="002B5A6F" w:rsidRDefault="002B5A6F" w:rsidP="002B5A6F">
            <w:pPr>
              <w:pStyle w:val="Tablebodytext"/>
              <w:rPr>
                <w:color w:val="FFFFFF" w:themeColor="background2"/>
              </w:rPr>
            </w:pPr>
          </w:p>
        </w:tc>
        <w:tc>
          <w:tcPr>
            <w:tcW w:w="992" w:type="dxa"/>
            <w:shd w:val="clear" w:color="auto" w:fill="005CAF"/>
          </w:tcPr>
          <w:p w14:paraId="35E12A3C" w14:textId="77777777" w:rsidR="002B5A6F" w:rsidRPr="002B5A6F" w:rsidRDefault="002B5A6F" w:rsidP="002B5A6F">
            <w:pPr>
              <w:pStyle w:val="Tablebodytext"/>
              <w:rPr>
                <w:color w:val="FFFFFF" w:themeColor="background2"/>
              </w:rPr>
            </w:pPr>
            <w:r w:rsidRPr="002B5A6F">
              <w:rPr>
                <w:color w:val="FFFFFF" w:themeColor="background2"/>
              </w:rPr>
              <w:t>Average</w:t>
            </w:r>
          </w:p>
        </w:tc>
        <w:tc>
          <w:tcPr>
            <w:tcW w:w="992" w:type="dxa"/>
            <w:shd w:val="clear" w:color="auto" w:fill="005CAF"/>
          </w:tcPr>
          <w:p w14:paraId="35E12A3D" w14:textId="77777777" w:rsidR="002B5A6F" w:rsidRPr="002B5A6F" w:rsidRDefault="002B5A6F" w:rsidP="002B5A6F">
            <w:pPr>
              <w:pStyle w:val="Tablebodytext"/>
              <w:rPr>
                <w:color w:val="FFFFFF" w:themeColor="background2"/>
              </w:rPr>
            </w:pPr>
          </w:p>
        </w:tc>
      </w:tr>
      <w:tr w:rsidR="002B5A6F" w14:paraId="35E12A44" w14:textId="77777777" w:rsidTr="000F69EA">
        <w:trPr>
          <w:cnfStyle w:val="000000100000" w:firstRow="0" w:lastRow="0" w:firstColumn="0" w:lastColumn="0" w:oddVBand="0" w:evenVBand="0" w:oddHBand="1" w:evenHBand="0" w:firstRowFirstColumn="0" w:firstRowLastColumn="0" w:lastRowFirstColumn="0" w:lastRowLastColumn="0"/>
        </w:trPr>
        <w:tc>
          <w:tcPr>
            <w:tcW w:w="993" w:type="dxa"/>
            <w:shd w:val="clear" w:color="auto" w:fill="005CAF"/>
          </w:tcPr>
          <w:p w14:paraId="35E12A3F" w14:textId="77777777" w:rsidR="002B5A6F" w:rsidRPr="002B5A6F" w:rsidRDefault="002B5A6F" w:rsidP="002B5A6F">
            <w:pPr>
              <w:pStyle w:val="Tablebodytext"/>
              <w:rPr>
                <w:color w:val="FFFFFF" w:themeColor="background2"/>
              </w:rPr>
            </w:pPr>
            <w:r w:rsidRPr="002B5A6F">
              <w:rPr>
                <w:color w:val="FFFFFF" w:themeColor="background2"/>
              </w:rPr>
              <w:t>ANZSIC</w:t>
            </w:r>
          </w:p>
        </w:tc>
        <w:tc>
          <w:tcPr>
            <w:tcW w:w="992" w:type="dxa"/>
            <w:shd w:val="clear" w:color="auto" w:fill="005CAF"/>
          </w:tcPr>
          <w:p w14:paraId="35E12A40" w14:textId="77777777" w:rsidR="002B5A6F" w:rsidRPr="002B5A6F" w:rsidRDefault="002B5A6F" w:rsidP="002B5A6F">
            <w:pPr>
              <w:pStyle w:val="Tablebodytext"/>
              <w:rPr>
                <w:color w:val="FFFFFF" w:themeColor="background2"/>
              </w:rPr>
            </w:pPr>
            <w:r w:rsidRPr="002B5A6F">
              <w:rPr>
                <w:color w:val="FFFFFF" w:themeColor="background2"/>
              </w:rPr>
              <w:t>Division</w:t>
            </w:r>
          </w:p>
        </w:tc>
        <w:tc>
          <w:tcPr>
            <w:tcW w:w="2977" w:type="dxa"/>
            <w:gridSpan w:val="2"/>
            <w:shd w:val="clear" w:color="auto" w:fill="005CAF"/>
          </w:tcPr>
          <w:p w14:paraId="35E12A41" w14:textId="77777777" w:rsidR="002B5A6F" w:rsidRPr="002B5A6F" w:rsidRDefault="002B5A6F" w:rsidP="002B5A6F">
            <w:pPr>
              <w:pStyle w:val="Tablebodytext"/>
              <w:rPr>
                <w:color w:val="FFFFFF" w:themeColor="background2"/>
              </w:rPr>
            </w:pPr>
            <w:r w:rsidRPr="002B5A6F">
              <w:rPr>
                <w:color w:val="FFFFFF" w:themeColor="background2"/>
              </w:rPr>
              <w:t>Description</w:t>
            </w:r>
          </w:p>
        </w:tc>
        <w:tc>
          <w:tcPr>
            <w:tcW w:w="992" w:type="dxa"/>
            <w:shd w:val="clear" w:color="auto" w:fill="005CAF"/>
          </w:tcPr>
          <w:p w14:paraId="35E12A42" w14:textId="77777777" w:rsidR="002B5A6F" w:rsidRPr="002B5A6F" w:rsidRDefault="002B5A6F" w:rsidP="002B5A6F">
            <w:pPr>
              <w:pStyle w:val="Tablebodytext"/>
              <w:rPr>
                <w:color w:val="FFFFFF" w:themeColor="background2"/>
              </w:rPr>
            </w:pPr>
            <w:r w:rsidRPr="002B5A6F">
              <w:rPr>
                <w:i/>
                <w:iCs/>
                <w:color w:val="FFFFFF" w:themeColor="background2"/>
              </w:rPr>
              <w:t>ExpInt</w:t>
            </w:r>
          </w:p>
        </w:tc>
        <w:tc>
          <w:tcPr>
            <w:tcW w:w="992" w:type="dxa"/>
            <w:shd w:val="clear" w:color="auto" w:fill="005CAF"/>
          </w:tcPr>
          <w:p w14:paraId="35E12A43" w14:textId="77777777" w:rsidR="002B5A6F" w:rsidRPr="002B5A6F" w:rsidRDefault="002B5A6F" w:rsidP="002B5A6F">
            <w:pPr>
              <w:pStyle w:val="Tablebodytext"/>
              <w:rPr>
                <w:color w:val="FFFFFF" w:themeColor="background2"/>
              </w:rPr>
            </w:pPr>
            <w:r w:rsidRPr="002B5A6F">
              <w:rPr>
                <w:i/>
                <w:iCs/>
                <w:color w:val="FFFFFF" w:themeColor="background2"/>
              </w:rPr>
              <w:t>N</w:t>
            </w:r>
          </w:p>
        </w:tc>
      </w:tr>
      <w:tr w:rsidR="002B5A6F" w14:paraId="35E12A4A" w14:textId="77777777" w:rsidTr="000F69EA">
        <w:trPr>
          <w:cnfStyle w:val="000000010000" w:firstRow="0" w:lastRow="0" w:firstColumn="0" w:lastColumn="0" w:oddVBand="0" w:evenVBand="0" w:oddHBand="0" w:evenHBand="1" w:firstRowFirstColumn="0" w:firstRowLastColumn="0" w:lastRowFirstColumn="0" w:lastRowLastColumn="0"/>
        </w:trPr>
        <w:tc>
          <w:tcPr>
            <w:tcW w:w="993" w:type="dxa"/>
          </w:tcPr>
          <w:p w14:paraId="35E12A45" w14:textId="77777777" w:rsidR="002B5A6F" w:rsidRDefault="00974EA2" w:rsidP="002B5A6F">
            <w:pPr>
              <w:pStyle w:val="Tablebodytext"/>
            </w:pPr>
            <w:r>
              <w:t>1</w:t>
            </w:r>
            <w:r w:rsidR="002B5A6F">
              <w:t>32</w:t>
            </w:r>
          </w:p>
        </w:tc>
        <w:tc>
          <w:tcPr>
            <w:tcW w:w="992" w:type="dxa"/>
          </w:tcPr>
          <w:p w14:paraId="35E12A46" w14:textId="77777777" w:rsidR="002B5A6F" w:rsidRDefault="002B5A6F" w:rsidP="002B5A6F">
            <w:pPr>
              <w:pStyle w:val="Tablebodytext"/>
            </w:pPr>
            <w:r>
              <w:t>C</w:t>
            </w:r>
          </w:p>
        </w:tc>
        <w:tc>
          <w:tcPr>
            <w:tcW w:w="2977" w:type="dxa"/>
            <w:gridSpan w:val="2"/>
          </w:tcPr>
          <w:p w14:paraId="35E12A47" w14:textId="77777777" w:rsidR="002B5A6F" w:rsidRDefault="002B5A6F" w:rsidP="002B5A6F">
            <w:pPr>
              <w:pStyle w:val="Tablebodytext"/>
            </w:pPr>
            <w:r>
              <w:t>Leather and Fur Product Manufacturing</w:t>
            </w:r>
          </w:p>
        </w:tc>
        <w:tc>
          <w:tcPr>
            <w:tcW w:w="992" w:type="dxa"/>
          </w:tcPr>
          <w:p w14:paraId="35E12A48" w14:textId="77777777" w:rsidR="002B5A6F" w:rsidRDefault="002B5A6F" w:rsidP="002B5A6F">
            <w:pPr>
              <w:pStyle w:val="Tablebodytext"/>
            </w:pPr>
            <w:r>
              <w:t>0.495</w:t>
            </w:r>
          </w:p>
        </w:tc>
        <w:tc>
          <w:tcPr>
            <w:tcW w:w="992" w:type="dxa"/>
          </w:tcPr>
          <w:p w14:paraId="35E12A49" w14:textId="77777777" w:rsidR="002B5A6F" w:rsidRDefault="002B5A6F" w:rsidP="002B5A6F">
            <w:pPr>
              <w:pStyle w:val="Tablebodytext"/>
            </w:pPr>
            <w:r>
              <w:t>572</w:t>
            </w:r>
          </w:p>
        </w:tc>
      </w:tr>
      <w:tr w:rsidR="002B5A6F" w14:paraId="35E12A50" w14:textId="77777777" w:rsidTr="000F69EA">
        <w:trPr>
          <w:cnfStyle w:val="000000100000" w:firstRow="0" w:lastRow="0" w:firstColumn="0" w:lastColumn="0" w:oddVBand="0" w:evenVBand="0" w:oddHBand="1" w:evenHBand="0" w:firstRowFirstColumn="0" w:firstRowLastColumn="0" w:lastRowFirstColumn="0" w:lastRowLastColumn="0"/>
        </w:trPr>
        <w:tc>
          <w:tcPr>
            <w:tcW w:w="993" w:type="dxa"/>
          </w:tcPr>
          <w:p w14:paraId="35E12A4B" w14:textId="77777777" w:rsidR="002B5A6F" w:rsidRDefault="002B5A6F" w:rsidP="002B5A6F">
            <w:pPr>
              <w:pStyle w:val="Tablebodytext"/>
            </w:pPr>
            <w:r>
              <w:t>99</w:t>
            </w:r>
          </w:p>
        </w:tc>
        <w:tc>
          <w:tcPr>
            <w:tcW w:w="992" w:type="dxa"/>
          </w:tcPr>
          <w:p w14:paraId="35E12A4C" w14:textId="77777777" w:rsidR="002B5A6F" w:rsidRDefault="002B5A6F" w:rsidP="002B5A6F">
            <w:pPr>
              <w:pStyle w:val="Tablebodytext"/>
            </w:pPr>
            <w:r>
              <w:t>B</w:t>
            </w:r>
          </w:p>
        </w:tc>
        <w:tc>
          <w:tcPr>
            <w:tcW w:w="2977" w:type="dxa"/>
            <w:gridSpan w:val="2"/>
          </w:tcPr>
          <w:p w14:paraId="35E12A4D" w14:textId="77777777" w:rsidR="002B5A6F" w:rsidRDefault="002B5A6F" w:rsidP="002B5A6F">
            <w:pPr>
              <w:pStyle w:val="Tablebodytext"/>
            </w:pPr>
            <w:r>
              <w:t>Other Non-metallic Mineral Mining</w:t>
            </w:r>
          </w:p>
        </w:tc>
        <w:tc>
          <w:tcPr>
            <w:tcW w:w="992" w:type="dxa"/>
          </w:tcPr>
          <w:p w14:paraId="35E12A4E" w14:textId="77777777" w:rsidR="002B5A6F" w:rsidRDefault="002B5A6F" w:rsidP="002B5A6F">
            <w:pPr>
              <w:pStyle w:val="Tablebodytext"/>
            </w:pPr>
            <w:r>
              <w:t>0.600</w:t>
            </w:r>
          </w:p>
        </w:tc>
        <w:tc>
          <w:tcPr>
            <w:tcW w:w="992" w:type="dxa"/>
          </w:tcPr>
          <w:p w14:paraId="35E12A4F" w14:textId="77777777" w:rsidR="002B5A6F" w:rsidRDefault="002B5A6F" w:rsidP="002B5A6F">
            <w:pPr>
              <w:pStyle w:val="Tablebodytext"/>
            </w:pPr>
            <w:r>
              <w:t>689</w:t>
            </w:r>
          </w:p>
        </w:tc>
      </w:tr>
      <w:tr w:rsidR="002B5A6F" w14:paraId="35E12A56" w14:textId="77777777" w:rsidTr="000F69EA">
        <w:trPr>
          <w:cnfStyle w:val="000000010000" w:firstRow="0" w:lastRow="0" w:firstColumn="0" w:lastColumn="0" w:oddVBand="0" w:evenVBand="0" w:oddHBand="0" w:evenHBand="1" w:firstRowFirstColumn="0" w:firstRowLastColumn="0" w:lastRowFirstColumn="0" w:lastRowLastColumn="0"/>
        </w:trPr>
        <w:tc>
          <w:tcPr>
            <w:tcW w:w="993" w:type="dxa"/>
          </w:tcPr>
          <w:p w14:paraId="35E12A51" w14:textId="77777777" w:rsidR="002B5A6F" w:rsidRDefault="002B5A6F" w:rsidP="002B5A6F">
            <w:pPr>
              <w:pStyle w:val="Tablebodytext"/>
            </w:pPr>
            <w:r>
              <w:t>80</w:t>
            </w:r>
          </w:p>
        </w:tc>
        <w:tc>
          <w:tcPr>
            <w:tcW w:w="992" w:type="dxa"/>
          </w:tcPr>
          <w:p w14:paraId="35E12A52" w14:textId="77777777" w:rsidR="002B5A6F" w:rsidRDefault="002B5A6F" w:rsidP="002B5A6F">
            <w:pPr>
              <w:pStyle w:val="Tablebodytext"/>
            </w:pPr>
            <w:r>
              <w:t>B</w:t>
            </w:r>
          </w:p>
        </w:tc>
        <w:tc>
          <w:tcPr>
            <w:tcW w:w="2977" w:type="dxa"/>
            <w:gridSpan w:val="2"/>
          </w:tcPr>
          <w:p w14:paraId="35E12A53" w14:textId="77777777" w:rsidR="002B5A6F" w:rsidRDefault="002B5A6F" w:rsidP="002B5A6F">
            <w:pPr>
              <w:pStyle w:val="Tablebodytext"/>
            </w:pPr>
            <w:r>
              <w:t>Metal Ore Mining</w:t>
            </w:r>
          </w:p>
        </w:tc>
        <w:tc>
          <w:tcPr>
            <w:tcW w:w="992" w:type="dxa"/>
          </w:tcPr>
          <w:p w14:paraId="35E12A54" w14:textId="77777777" w:rsidR="002B5A6F" w:rsidRDefault="002B5A6F" w:rsidP="002B5A6F">
            <w:pPr>
              <w:pStyle w:val="Tablebodytext"/>
            </w:pPr>
            <w:r>
              <w:t>0.609</w:t>
            </w:r>
          </w:p>
        </w:tc>
        <w:tc>
          <w:tcPr>
            <w:tcW w:w="992" w:type="dxa"/>
          </w:tcPr>
          <w:p w14:paraId="35E12A55" w14:textId="77777777" w:rsidR="002B5A6F" w:rsidRDefault="002B5A6F" w:rsidP="002B5A6F">
            <w:pPr>
              <w:pStyle w:val="Tablebodytext"/>
            </w:pPr>
            <w:r>
              <w:t>828</w:t>
            </w:r>
          </w:p>
        </w:tc>
      </w:tr>
      <w:tr w:rsidR="002B5A6F" w14:paraId="35E12A5C" w14:textId="77777777" w:rsidTr="000F69EA">
        <w:trPr>
          <w:cnfStyle w:val="000000100000" w:firstRow="0" w:lastRow="0" w:firstColumn="0" w:lastColumn="0" w:oddVBand="0" w:evenVBand="0" w:oddHBand="1" w:evenHBand="0" w:firstRowFirstColumn="0" w:firstRowLastColumn="0" w:lastRowFirstColumn="0" w:lastRowLastColumn="0"/>
        </w:trPr>
        <w:tc>
          <w:tcPr>
            <w:tcW w:w="993" w:type="dxa"/>
          </w:tcPr>
          <w:p w14:paraId="35E12A57" w14:textId="77777777" w:rsidR="002B5A6F" w:rsidRDefault="002B5A6F" w:rsidP="002B5A6F">
            <w:pPr>
              <w:pStyle w:val="Tablebodytext"/>
            </w:pPr>
            <w:r>
              <w:t>60</w:t>
            </w:r>
          </w:p>
        </w:tc>
        <w:tc>
          <w:tcPr>
            <w:tcW w:w="992" w:type="dxa"/>
          </w:tcPr>
          <w:p w14:paraId="35E12A58" w14:textId="77777777" w:rsidR="002B5A6F" w:rsidRDefault="002B5A6F" w:rsidP="002B5A6F">
            <w:pPr>
              <w:pStyle w:val="Tablebodytext"/>
            </w:pPr>
            <w:r>
              <w:t>B</w:t>
            </w:r>
          </w:p>
        </w:tc>
        <w:tc>
          <w:tcPr>
            <w:tcW w:w="2977" w:type="dxa"/>
            <w:gridSpan w:val="2"/>
          </w:tcPr>
          <w:p w14:paraId="35E12A59" w14:textId="77777777" w:rsidR="002B5A6F" w:rsidRDefault="002B5A6F" w:rsidP="002B5A6F">
            <w:pPr>
              <w:pStyle w:val="Tablebodytext"/>
            </w:pPr>
            <w:r>
              <w:t>Coal Mining</w:t>
            </w:r>
          </w:p>
        </w:tc>
        <w:tc>
          <w:tcPr>
            <w:tcW w:w="992" w:type="dxa"/>
          </w:tcPr>
          <w:p w14:paraId="35E12A5A" w14:textId="77777777" w:rsidR="002B5A6F" w:rsidRDefault="002B5A6F" w:rsidP="002B5A6F">
            <w:pPr>
              <w:pStyle w:val="Tablebodytext"/>
            </w:pPr>
            <w:r>
              <w:t>0.634</w:t>
            </w:r>
          </w:p>
        </w:tc>
        <w:tc>
          <w:tcPr>
            <w:tcW w:w="992" w:type="dxa"/>
          </w:tcPr>
          <w:p w14:paraId="35E12A5B" w14:textId="77777777" w:rsidR="002B5A6F" w:rsidRDefault="002B5A6F" w:rsidP="002B5A6F">
            <w:pPr>
              <w:pStyle w:val="Tablebodytext"/>
            </w:pPr>
            <w:r>
              <w:t>319</w:t>
            </w:r>
          </w:p>
        </w:tc>
      </w:tr>
      <w:tr w:rsidR="002B5A6F" w14:paraId="35E12A62" w14:textId="77777777" w:rsidTr="000F69EA">
        <w:trPr>
          <w:cnfStyle w:val="000000010000" w:firstRow="0" w:lastRow="0" w:firstColumn="0" w:lastColumn="0" w:oddVBand="0" w:evenVBand="0" w:oddHBand="0" w:evenHBand="1" w:firstRowFirstColumn="0" w:firstRowLastColumn="0" w:lastRowFirstColumn="0" w:lastRowLastColumn="0"/>
        </w:trPr>
        <w:tc>
          <w:tcPr>
            <w:tcW w:w="993" w:type="dxa"/>
          </w:tcPr>
          <w:p w14:paraId="35E12A5D" w14:textId="77777777" w:rsidR="002B5A6F" w:rsidRDefault="002B5A6F" w:rsidP="002B5A6F">
            <w:pPr>
              <w:pStyle w:val="Tablebodytext"/>
            </w:pPr>
            <w:r>
              <w:t>213</w:t>
            </w:r>
          </w:p>
        </w:tc>
        <w:tc>
          <w:tcPr>
            <w:tcW w:w="992" w:type="dxa"/>
          </w:tcPr>
          <w:p w14:paraId="35E12A5E" w14:textId="77777777" w:rsidR="002B5A6F" w:rsidRDefault="002B5A6F" w:rsidP="002B5A6F">
            <w:pPr>
              <w:pStyle w:val="Tablebodytext"/>
            </w:pPr>
            <w:r>
              <w:t>C</w:t>
            </w:r>
          </w:p>
        </w:tc>
        <w:tc>
          <w:tcPr>
            <w:tcW w:w="2977" w:type="dxa"/>
            <w:gridSpan w:val="2"/>
          </w:tcPr>
          <w:p w14:paraId="35E12A5F" w14:textId="77777777" w:rsidR="002B5A6F" w:rsidRDefault="002B5A6F" w:rsidP="002B5A6F">
            <w:pPr>
              <w:pStyle w:val="Tablebodytext"/>
            </w:pPr>
            <w:r>
              <w:t>Basic Non-ferrous Metal Manufacturing</w:t>
            </w:r>
          </w:p>
        </w:tc>
        <w:tc>
          <w:tcPr>
            <w:tcW w:w="992" w:type="dxa"/>
          </w:tcPr>
          <w:p w14:paraId="35E12A60" w14:textId="77777777" w:rsidR="002B5A6F" w:rsidRDefault="002B5A6F" w:rsidP="002B5A6F">
            <w:pPr>
              <w:pStyle w:val="Tablebodytext"/>
            </w:pPr>
            <w:r>
              <w:t>0.640</w:t>
            </w:r>
          </w:p>
        </w:tc>
        <w:tc>
          <w:tcPr>
            <w:tcW w:w="992" w:type="dxa"/>
          </w:tcPr>
          <w:p w14:paraId="35E12A61" w14:textId="77777777" w:rsidR="002B5A6F" w:rsidRDefault="002B5A6F" w:rsidP="002B5A6F">
            <w:pPr>
              <w:pStyle w:val="Tablebodytext"/>
            </w:pPr>
            <w:r>
              <w:t>302</w:t>
            </w:r>
          </w:p>
        </w:tc>
      </w:tr>
    </w:tbl>
    <w:p w14:paraId="35E12A63" w14:textId="77777777" w:rsidR="002B5A6F" w:rsidRDefault="002B5A6F" w:rsidP="00E63064">
      <w:pPr>
        <w:pStyle w:val="Source"/>
      </w:pPr>
      <w:r>
        <w:t>Source: Department of Industry, Innovation and Science (2019)</w:t>
      </w:r>
    </w:p>
    <w:p w14:paraId="35E12A64" w14:textId="77777777" w:rsidR="00301F6A" w:rsidRDefault="00301F6A" w:rsidP="005A6EA3">
      <w:pPr>
        <w:spacing w:before="240" w:line="270" w:lineRule="exact"/>
        <w:ind w:left="0"/>
      </w:pPr>
      <w:r>
        <w:t>The most export intensive industries in Table 5.8 are dominated by those from Manufacturing (Division C) and Mining (Division B). The mining sectors in panel (B) are exporting more than 60 per cent of their output on average. The manufacturing sectors in the same panel are also exporting at least 50 per cent of their output on average. It is also notable that these industries are not particularly associated with advanced or digital technologies.</w:t>
      </w:r>
    </w:p>
    <w:p w14:paraId="35E12A65" w14:textId="77777777" w:rsidR="00301F6A" w:rsidRDefault="00301F6A" w:rsidP="005A6EA3">
      <w:pPr>
        <w:spacing w:line="270" w:lineRule="exact"/>
        <w:ind w:left="0"/>
      </w:pPr>
      <w:r>
        <w:lastRenderedPageBreak/>
        <w:t>The correlation coefficients in Table 5.9 corroborate the fact that export intensive industries in Australia tend to be less digitally mature, though there is a positive correlation between export intensity and productivity dispersion.</w:t>
      </w:r>
    </w:p>
    <w:p w14:paraId="35E12A66" w14:textId="77777777" w:rsidR="002B5A6F" w:rsidRDefault="002B5A6F" w:rsidP="004B17CD">
      <w:pPr>
        <w:pStyle w:val="BodyText"/>
      </w:pPr>
    </w:p>
    <w:p w14:paraId="35E12A67" w14:textId="77777777" w:rsidR="000B5840" w:rsidRDefault="000B5840" w:rsidP="00E63064">
      <w:pPr>
        <w:pStyle w:val="Caption"/>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9</w:t>
      </w:r>
      <w:r>
        <w:rPr>
          <w:noProof/>
        </w:rPr>
        <w:fldChar w:fldCharType="end"/>
      </w:r>
      <w:r w:rsidRPr="000618FB">
        <w:t xml:space="preserve">: </w:t>
      </w:r>
      <w:r>
        <w:t>The correlation between export intensity and other industry measures.</w:t>
      </w:r>
    </w:p>
    <w:tbl>
      <w:tblPr>
        <w:tblStyle w:val="OCETable"/>
        <w:tblW w:w="4786" w:type="pct"/>
        <w:tblLayout w:type="fixed"/>
        <w:tblLook w:val="04A0" w:firstRow="1" w:lastRow="0" w:firstColumn="1" w:lastColumn="0" w:noHBand="0" w:noVBand="1"/>
        <w:tblCaption w:val="Table 5.9"/>
        <w:tblDescription w:val="Export intensity correlates negatively with the index of digital maturity and productivity skewness, but has positive correlations with productivity dispersion and HHI."/>
      </w:tblPr>
      <w:tblGrid>
        <w:gridCol w:w="1701"/>
        <w:gridCol w:w="1134"/>
        <w:gridCol w:w="1134"/>
        <w:gridCol w:w="1418"/>
        <w:gridCol w:w="1212"/>
      </w:tblGrid>
      <w:tr w:rsidR="000B5840" w14:paraId="35E12A6D" w14:textId="77777777" w:rsidTr="000F69EA">
        <w:trPr>
          <w:cnfStyle w:val="100000000000" w:firstRow="1" w:lastRow="0" w:firstColumn="0" w:lastColumn="0" w:oddVBand="0" w:evenVBand="0" w:oddHBand="0" w:evenHBand="0" w:firstRowFirstColumn="0" w:firstRowLastColumn="0" w:lastRowFirstColumn="0" w:lastRowLastColumn="0"/>
          <w:tblHeader/>
        </w:trPr>
        <w:tc>
          <w:tcPr>
            <w:tcW w:w="1701" w:type="dxa"/>
          </w:tcPr>
          <w:p w14:paraId="35E12A68" w14:textId="77777777" w:rsidR="000B5840" w:rsidRDefault="000B5840" w:rsidP="000B5840">
            <w:pPr>
              <w:pStyle w:val="Tableheadertext"/>
            </w:pPr>
          </w:p>
        </w:tc>
        <w:tc>
          <w:tcPr>
            <w:tcW w:w="1134" w:type="dxa"/>
          </w:tcPr>
          <w:p w14:paraId="35E12A69" w14:textId="77777777" w:rsidR="000B5840" w:rsidRDefault="000B5840" w:rsidP="000B5840">
            <w:pPr>
              <w:pStyle w:val="Tableheadertext"/>
            </w:pPr>
            <w:r>
              <w:rPr>
                <w:i/>
                <w:iCs/>
              </w:rPr>
              <w:t>ExpInt</w:t>
            </w:r>
          </w:p>
        </w:tc>
        <w:tc>
          <w:tcPr>
            <w:tcW w:w="1134" w:type="dxa"/>
          </w:tcPr>
          <w:p w14:paraId="35E12A6A" w14:textId="77777777" w:rsidR="000B5840" w:rsidRDefault="000B5840" w:rsidP="000B5840">
            <w:pPr>
              <w:pStyle w:val="Tableheadertext"/>
            </w:pPr>
            <w:r>
              <w:rPr>
                <w:i/>
                <w:iCs/>
              </w:rPr>
              <w:t>Digital</w:t>
            </w:r>
          </w:p>
        </w:tc>
        <w:tc>
          <w:tcPr>
            <w:tcW w:w="1418" w:type="dxa"/>
          </w:tcPr>
          <w:p w14:paraId="35E12A6B" w14:textId="77777777" w:rsidR="000B5840" w:rsidRDefault="000B5840" w:rsidP="000B5840">
            <w:pPr>
              <w:pStyle w:val="Tableheadertext"/>
            </w:pPr>
            <w:r>
              <w:fldChar w:fldCharType="begin"/>
            </w:r>
            <w:r>
              <w:instrText xml:space="preserve"> EQ </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w:instrText>
            </w:r>
            <w:r>
              <w:fldChar w:fldCharType="end"/>
            </w:r>
          </w:p>
        </w:tc>
        <w:tc>
          <w:tcPr>
            <w:tcW w:w="1212" w:type="dxa"/>
          </w:tcPr>
          <w:p w14:paraId="35E12A6C" w14:textId="77777777" w:rsidR="000B5840" w:rsidRDefault="000B5840" w:rsidP="000B5840">
            <w:pPr>
              <w:pStyle w:val="Tableheadertext"/>
            </w:pPr>
            <w:r>
              <w:rPr>
                <w:i/>
                <w:iCs/>
              </w:rPr>
              <w:t>LP</w:t>
            </w:r>
            <w:r>
              <w:t xml:space="preserve"> </w:t>
            </w:r>
            <w:r>
              <w:rPr>
                <w:i/>
                <w:iCs/>
              </w:rPr>
              <w:t>Skew</w:t>
            </w:r>
          </w:p>
        </w:tc>
      </w:tr>
      <w:tr w:rsidR="000B5840" w14:paraId="35E12A73" w14:textId="77777777" w:rsidTr="000F69EA">
        <w:trPr>
          <w:cnfStyle w:val="000000100000" w:firstRow="0" w:lastRow="0" w:firstColumn="0" w:lastColumn="0" w:oddVBand="0" w:evenVBand="0" w:oddHBand="1" w:evenHBand="0" w:firstRowFirstColumn="0" w:firstRowLastColumn="0" w:lastRowFirstColumn="0" w:lastRowLastColumn="0"/>
        </w:trPr>
        <w:tc>
          <w:tcPr>
            <w:tcW w:w="1701" w:type="dxa"/>
          </w:tcPr>
          <w:p w14:paraId="35E12A6E" w14:textId="77777777" w:rsidR="000B5840" w:rsidRDefault="000B5840" w:rsidP="000B5840">
            <w:pPr>
              <w:pStyle w:val="Tablebodytext"/>
            </w:pPr>
            <w:r>
              <w:rPr>
                <w:i/>
                <w:iCs/>
              </w:rPr>
              <w:t>Digital</w:t>
            </w:r>
          </w:p>
        </w:tc>
        <w:tc>
          <w:tcPr>
            <w:tcW w:w="1134" w:type="dxa"/>
          </w:tcPr>
          <w:p w14:paraId="35E12A6F" w14:textId="77777777" w:rsidR="000B5840" w:rsidRDefault="000B5840" w:rsidP="000B5840">
            <w:pPr>
              <w:pStyle w:val="Tablebodytext"/>
            </w:pPr>
            <w:r>
              <w:t>-0.129</w:t>
            </w:r>
          </w:p>
        </w:tc>
        <w:tc>
          <w:tcPr>
            <w:tcW w:w="1134" w:type="dxa"/>
          </w:tcPr>
          <w:p w14:paraId="35E12A70" w14:textId="77777777" w:rsidR="000B5840" w:rsidRDefault="000B5840" w:rsidP="000B5840">
            <w:pPr>
              <w:pStyle w:val="Tablebodytext"/>
            </w:pPr>
          </w:p>
        </w:tc>
        <w:tc>
          <w:tcPr>
            <w:tcW w:w="1418" w:type="dxa"/>
          </w:tcPr>
          <w:p w14:paraId="35E12A71" w14:textId="77777777" w:rsidR="000B5840" w:rsidRDefault="000B5840" w:rsidP="000B5840">
            <w:pPr>
              <w:pStyle w:val="Tablebodytext"/>
            </w:pPr>
          </w:p>
        </w:tc>
        <w:tc>
          <w:tcPr>
            <w:tcW w:w="1212" w:type="dxa"/>
          </w:tcPr>
          <w:p w14:paraId="35E12A72" w14:textId="77777777" w:rsidR="000B5840" w:rsidRDefault="000B5840" w:rsidP="000B5840">
            <w:pPr>
              <w:pStyle w:val="Tablebodytext"/>
            </w:pPr>
          </w:p>
        </w:tc>
      </w:tr>
      <w:tr w:rsidR="000B5840" w14:paraId="35E12A79" w14:textId="77777777" w:rsidTr="000F69EA">
        <w:trPr>
          <w:cnfStyle w:val="000000010000" w:firstRow="0" w:lastRow="0" w:firstColumn="0" w:lastColumn="0" w:oddVBand="0" w:evenVBand="0" w:oddHBand="0" w:evenHBand="1" w:firstRowFirstColumn="0" w:firstRowLastColumn="0" w:lastRowFirstColumn="0" w:lastRowLastColumn="0"/>
        </w:trPr>
        <w:tc>
          <w:tcPr>
            <w:tcW w:w="1701" w:type="dxa"/>
          </w:tcPr>
          <w:p w14:paraId="35E12A74" w14:textId="77777777" w:rsidR="000B5840" w:rsidRDefault="000B5840" w:rsidP="000B5840">
            <w:pPr>
              <w:pStyle w:val="Tablebodytext"/>
            </w:pPr>
            <w:r>
              <w:fldChar w:fldCharType="begin"/>
            </w:r>
            <w:r>
              <w:instrText xml:space="preserve"> EQ </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w:instrText>
            </w:r>
            <w:r>
              <w:fldChar w:fldCharType="end"/>
            </w:r>
          </w:p>
        </w:tc>
        <w:tc>
          <w:tcPr>
            <w:tcW w:w="1134" w:type="dxa"/>
          </w:tcPr>
          <w:p w14:paraId="35E12A75" w14:textId="77777777" w:rsidR="000B5840" w:rsidRDefault="000B5840" w:rsidP="000B5840">
            <w:pPr>
              <w:pStyle w:val="Tablebodytext"/>
            </w:pPr>
            <w:r>
              <w:t>0.379</w:t>
            </w:r>
          </w:p>
        </w:tc>
        <w:tc>
          <w:tcPr>
            <w:tcW w:w="1134" w:type="dxa"/>
          </w:tcPr>
          <w:p w14:paraId="35E12A76" w14:textId="77777777" w:rsidR="000B5840" w:rsidRDefault="000B5840" w:rsidP="000B5840">
            <w:pPr>
              <w:pStyle w:val="Tablebodytext"/>
            </w:pPr>
            <w:r>
              <w:t>-0.059</w:t>
            </w:r>
          </w:p>
        </w:tc>
        <w:tc>
          <w:tcPr>
            <w:tcW w:w="1418" w:type="dxa"/>
          </w:tcPr>
          <w:p w14:paraId="35E12A77" w14:textId="77777777" w:rsidR="000B5840" w:rsidRDefault="000B5840" w:rsidP="000B5840">
            <w:pPr>
              <w:pStyle w:val="Tablebodytext"/>
            </w:pPr>
          </w:p>
        </w:tc>
        <w:tc>
          <w:tcPr>
            <w:tcW w:w="1212" w:type="dxa"/>
          </w:tcPr>
          <w:p w14:paraId="35E12A78" w14:textId="77777777" w:rsidR="000B5840" w:rsidRDefault="000B5840" w:rsidP="000B5840">
            <w:pPr>
              <w:pStyle w:val="Tablebodytext"/>
            </w:pPr>
          </w:p>
        </w:tc>
      </w:tr>
      <w:tr w:rsidR="000B5840" w14:paraId="35E12A7F" w14:textId="77777777" w:rsidTr="000F69EA">
        <w:trPr>
          <w:cnfStyle w:val="000000100000" w:firstRow="0" w:lastRow="0" w:firstColumn="0" w:lastColumn="0" w:oddVBand="0" w:evenVBand="0" w:oddHBand="1" w:evenHBand="0" w:firstRowFirstColumn="0" w:firstRowLastColumn="0" w:lastRowFirstColumn="0" w:lastRowLastColumn="0"/>
          <w:trHeight w:val="80"/>
        </w:trPr>
        <w:tc>
          <w:tcPr>
            <w:tcW w:w="1701" w:type="dxa"/>
          </w:tcPr>
          <w:p w14:paraId="35E12A7A" w14:textId="77777777" w:rsidR="000B5840" w:rsidRDefault="000B5840" w:rsidP="000B5840">
            <w:pPr>
              <w:pStyle w:val="Tablebodytext"/>
            </w:pPr>
            <w:r>
              <w:rPr>
                <w:i/>
                <w:iCs/>
              </w:rPr>
              <w:t>LP</w:t>
            </w:r>
            <w:r>
              <w:t xml:space="preserve"> </w:t>
            </w:r>
            <w:r>
              <w:rPr>
                <w:i/>
                <w:iCs/>
              </w:rPr>
              <w:t>Skew</w:t>
            </w:r>
          </w:p>
        </w:tc>
        <w:tc>
          <w:tcPr>
            <w:tcW w:w="1134" w:type="dxa"/>
          </w:tcPr>
          <w:p w14:paraId="35E12A7B" w14:textId="77777777" w:rsidR="000B5840" w:rsidRDefault="000B5840" w:rsidP="000B5840">
            <w:pPr>
              <w:pStyle w:val="Tablebodytext"/>
            </w:pPr>
            <w:r>
              <w:t>-0.241</w:t>
            </w:r>
          </w:p>
        </w:tc>
        <w:tc>
          <w:tcPr>
            <w:tcW w:w="1134" w:type="dxa"/>
          </w:tcPr>
          <w:p w14:paraId="35E12A7C" w14:textId="77777777" w:rsidR="000B5840" w:rsidRDefault="000B5840" w:rsidP="000B5840">
            <w:pPr>
              <w:pStyle w:val="Tablebodytext"/>
            </w:pPr>
            <w:r>
              <w:t>0.084</w:t>
            </w:r>
          </w:p>
        </w:tc>
        <w:tc>
          <w:tcPr>
            <w:tcW w:w="1418" w:type="dxa"/>
          </w:tcPr>
          <w:p w14:paraId="35E12A7D" w14:textId="77777777" w:rsidR="000B5840" w:rsidRDefault="000B5840" w:rsidP="000B5840">
            <w:pPr>
              <w:pStyle w:val="Tablebodytext"/>
            </w:pPr>
            <w:r>
              <w:t>-0.140</w:t>
            </w:r>
          </w:p>
        </w:tc>
        <w:tc>
          <w:tcPr>
            <w:tcW w:w="1212" w:type="dxa"/>
          </w:tcPr>
          <w:p w14:paraId="35E12A7E" w14:textId="77777777" w:rsidR="000B5840" w:rsidRDefault="000B5840" w:rsidP="000B5840">
            <w:pPr>
              <w:pStyle w:val="Tablebodytext"/>
            </w:pPr>
          </w:p>
        </w:tc>
      </w:tr>
      <w:tr w:rsidR="000B5840" w14:paraId="35E12A85" w14:textId="77777777" w:rsidTr="000F69EA">
        <w:trPr>
          <w:cnfStyle w:val="000000010000" w:firstRow="0" w:lastRow="0" w:firstColumn="0" w:lastColumn="0" w:oddVBand="0" w:evenVBand="0" w:oddHBand="0" w:evenHBand="1" w:firstRowFirstColumn="0" w:firstRowLastColumn="0" w:lastRowFirstColumn="0" w:lastRowLastColumn="0"/>
        </w:trPr>
        <w:tc>
          <w:tcPr>
            <w:tcW w:w="1701" w:type="dxa"/>
          </w:tcPr>
          <w:p w14:paraId="35E12A80" w14:textId="77777777" w:rsidR="000B5840" w:rsidRDefault="000B5840" w:rsidP="000B5840">
            <w:pPr>
              <w:pStyle w:val="Tablebodytext"/>
            </w:pPr>
            <w:r>
              <w:rPr>
                <w:i/>
                <w:iCs/>
              </w:rPr>
              <w:t>HHI</w:t>
            </w:r>
          </w:p>
        </w:tc>
        <w:tc>
          <w:tcPr>
            <w:tcW w:w="1134" w:type="dxa"/>
          </w:tcPr>
          <w:p w14:paraId="35E12A81" w14:textId="77777777" w:rsidR="000B5840" w:rsidRDefault="000B5840" w:rsidP="000B5840">
            <w:pPr>
              <w:pStyle w:val="Tablebodytext"/>
            </w:pPr>
            <w:r>
              <w:t>0.047</w:t>
            </w:r>
          </w:p>
        </w:tc>
        <w:tc>
          <w:tcPr>
            <w:tcW w:w="1134" w:type="dxa"/>
          </w:tcPr>
          <w:p w14:paraId="35E12A82" w14:textId="77777777" w:rsidR="000B5840" w:rsidRDefault="000B5840" w:rsidP="000B5840">
            <w:pPr>
              <w:pStyle w:val="Tablebodytext"/>
            </w:pPr>
            <w:r>
              <w:t>0.065</w:t>
            </w:r>
          </w:p>
        </w:tc>
        <w:tc>
          <w:tcPr>
            <w:tcW w:w="1418" w:type="dxa"/>
          </w:tcPr>
          <w:p w14:paraId="35E12A83" w14:textId="77777777" w:rsidR="000B5840" w:rsidRDefault="000B5840" w:rsidP="000B5840">
            <w:pPr>
              <w:pStyle w:val="Tablebodytext"/>
            </w:pPr>
            <w:r>
              <w:t>0.059</w:t>
            </w:r>
          </w:p>
        </w:tc>
        <w:tc>
          <w:tcPr>
            <w:tcW w:w="1212" w:type="dxa"/>
          </w:tcPr>
          <w:p w14:paraId="35E12A84" w14:textId="77777777" w:rsidR="000B5840" w:rsidRDefault="000B5840" w:rsidP="000B5840">
            <w:pPr>
              <w:pStyle w:val="Tablebodytext"/>
            </w:pPr>
            <w:r>
              <w:t>-0.315</w:t>
            </w:r>
          </w:p>
        </w:tc>
      </w:tr>
    </w:tbl>
    <w:p w14:paraId="35E12A86" w14:textId="77777777" w:rsidR="000B5840" w:rsidRDefault="000B5840" w:rsidP="00E63064">
      <w:pPr>
        <w:pStyle w:val="Source"/>
      </w:pPr>
      <w:r>
        <w:t>Source: Department of Industry, Innovation and Science (2019)</w:t>
      </w:r>
    </w:p>
    <w:p w14:paraId="35E12A87" w14:textId="77777777" w:rsidR="00A74010" w:rsidRDefault="00A74010" w:rsidP="005A6EA3">
      <w:pPr>
        <w:spacing w:before="240" w:line="270" w:lineRule="exact"/>
        <w:ind w:left="0"/>
      </w:pPr>
      <w:r>
        <w:t xml:space="preserve">Besides, export intensity and the HHI exhibit a positive correlation which is also statistically significant. On its face, the positive correlation underlines De Loecker &amp; Warzynski (2012) case that exporting firms have market power and can use it to dominate markets. For a more rigorous analysis, I estimate a model of the form: </w:t>
      </w:r>
    </w:p>
    <w:p w14:paraId="35E12A88" w14:textId="77777777" w:rsidR="00A74010" w:rsidRDefault="00A20DE7" w:rsidP="00483A01">
      <w:pPr>
        <w:pStyle w:val="equationNum"/>
        <w:tabs>
          <w:tab w:val="center" w:pos="4019"/>
          <w:tab w:val="right" w:pos="8038"/>
        </w:tabs>
        <w:spacing w:line="270" w:lineRule="exact"/>
        <w:jc w:val="center"/>
      </w:pPr>
      <m:oMath>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m:t>
            </m:r>
          </m:e>
          <m:sub>
            <m:r>
              <w:rPr>
                <w:rFonts w:ascii="Cambria Math" w:hAnsi="Cambria Math"/>
                <w:lang w:val="en"/>
              </w:rPr>
              <m:t>2</m:t>
            </m:r>
          </m:sub>
        </m:sSub>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H</m:t>
            </m:r>
          </m:e>
          <m:sub>
            <m:r>
              <w:rPr>
                <w:rFonts w:ascii="Cambria Math" w:hAnsi="Cambria Math"/>
                <w:lang w:val="en"/>
              </w:rPr>
              <m:t>it</m:t>
            </m:r>
          </m:sub>
        </m:sSub>
        <m:r>
          <w:rPr>
            <w:rFonts w:ascii="Cambria Math" w:hAnsi="Cambria Math"/>
            <w:lang w:val="en"/>
          </w:rPr>
          <m:t>=</m:t>
        </m:r>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a</m:t>
            </m:r>
          </m:e>
          <m:sub>
            <m:r>
              <w:rPr>
                <w:rFonts w:ascii="Cambria Math" w:hAnsi="Cambria Math"/>
                <w:lang w:val="en"/>
              </w:rPr>
              <m:t>0</m:t>
            </m:r>
          </m:sub>
        </m:sSub>
        <m:r>
          <w:rPr>
            <w:rFonts w:ascii="Cambria Math" w:hAnsi="Cambria Math"/>
            <w:lang w:val="en"/>
          </w:rPr>
          <m:t>+</m:t>
        </m:r>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a</m:t>
            </m:r>
          </m:e>
          <m:sub>
            <m:r>
              <w:rPr>
                <w:rFonts w:ascii="Cambria Math" w:hAnsi="Cambria Math"/>
                <w:lang w:val="en"/>
              </w:rPr>
              <m:t>1</m:t>
            </m:r>
          </m:sub>
        </m:sSub>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H</m:t>
            </m:r>
          </m:e>
          <m:sub>
            <m:r>
              <w:rPr>
                <w:rFonts w:ascii="Cambria Math" w:hAnsi="Cambria Math"/>
                <w:lang w:val="en"/>
              </w:rPr>
              <m:t>it</m:t>
            </m:r>
          </m:sub>
        </m:sSub>
        <m:r>
          <w:rPr>
            <w:rFonts w:ascii="Cambria Math" w:hAnsi="Cambria Math"/>
            <w:lang w:val="en"/>
          </w:rPr>
          <m:t>+</m:t>
        </m:r>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a</m:t>
            </m:r>
          </m:e>
          <m:sub>
            <m:r>
              <w:rPr>
                <w:rFonts w:ascii="Cambria Math" w:hAnsi="Cambria Math"/>
                <w:lang w:val="en"/>
              </w:rPr>
              <m:t>2</m:t>
            </m:r>
          </m:sub>
        </m:sSub>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ExpInt</m:t>
            </m:r>
          </m:e>
          <m:sub>
            <m:r>
              <w:rPr>
                <w:rFonts w:ascii="Cambria Math" w:hAnsi="Cambria Math"/>
                <w:lang w:val="en"/>
              </w:rPr>
              <m:t>it</m:t>
            </m:r>
          </m:sub>
        </m:sSub>
        <m:r>
          <w:rPr>
            <w:rFonts w:ascii="Cambria Math" w:hAnsi="Cambria Math"/>
            <w:lang w:val="en"/>
          </w:rPr>
          <m:t>+</m:t>
        </m:r>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a</m:t>
            </m:r>
          </m:e>
          <m:sub>
            <m:r>
              <w:rPr>
                <w:rFonts w:ascii="Cambria Math" w:hAnsi="Cambria Math"/>
                <w:lang w:val="en"/>
              </w:rPr>
              <m:t>3</m:t>
            </m:r>
          </m:sub>
        </m:sSub>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H</m:t>
            </m:r>
          </m:e>
          <m:sub>
            <m:r>
              <w:rPr>
                <w:rFonts w:ascii="Cambria Math" w:hAnsi="Cambria Math"/>
                <w:lang w:val="en"/>
              </w:rPr>
              <m:t>it</m:t>
            </m:r>
          </m:sub>
        </m:sSub>
        <m:r>
          <w:rPr>
            <w:rFonts w:ascii="Cambria Math" w:hAnsi="Cambria Math"/>
            <w:lang w:val="en"/>
          </w:rPr>
          <m:t>×</m:t>
        </m:r>
        <m:sSub>
          <m:sSubPr>
            <m:ctrlPr>
              <w:rPr>
                <w:rFonts w:ascii="Cambria Math" w:eastAsiaTheme="minorHAnsi" w:hAnsi="Cambria Math" w:cstheme="minorBidi"/>
                <w:i/>
                <w:noProof w:val="0"/>
                <w:color w:val="373737"/>
                <w:sz w:val="20"/>
                <w:szCs w:val="22"/>
                <w:lang w:val="en" w:eastAsia="en-US"/>
              </w:rPr>
            </m:ctrlPr>
          </m:sSubPr>
          <m:e>
            <m:r>
              <w:rPr>
                <w:rFonts w:ascii="Cambria Math" w:hAnsi="Cambria Math"/>
                <w:lang w:val="en"/>
              </w:rPr>
              <m:t>ExpInt</m:t>
            </m:r>
          </m:e>
          <m:sub>
            <m:r>
              <w:rPr>
                <w:rFonts w:ascii="Cambria Math" w:hAnsi="Cambria Math"/>
                <w:lang w:val="en"/>
              </w:rPr>
              <m:t>it</m:t>
            </m:r>
          </m:sub>
        </m:sSub>
      </m:oMath>
      <w:r w:rsidR="00A74010">
        <w:tab/>
        <w:t>(</w:t>
      </w:r>
      <w:bookmarkStart w:id="7" w:name="BMeq_exp_reg"/>
      <w:r w:rsidR="00A74010">
        <w:t>8</w:t>
      </w:r>
      <w:bookmarkEnd w:id="7"/>
      <w:r w:rsidR="00A74010">
        <w:t>)</w:t>
      </w:r>
    </w:p>
    <w:p w14:paraId="35E12A89" w14:textId="77777777" w:rsidR="00A74010" w:rsidRDefault="00A74010" w:rsidP="00A74010">
      <w:pPr>
        <w:spacing w:line="270" w:lineRule="exact"/>
        <w:ind w:left="0"/>
      </w:pPr>
      <w:r>
        <w:t xml:space="preserve">The estimated coefficients are listed in Table 5.10. Column (1) uses all years. In this column, export intensity is associated with a drop in market concentration. However, market concentration is increasing where the industry is more concentrated and export intensive (the interaction term). </w:t>
      </w:r>
    </w:p>
    <w:p w14:paraId="35E12A96" w14:textId="77777777" w:rsidR="005806FA" w:rsidRDefault="005806FA" w:rsidP="00E63064">
      <w:pPr>
        <w:pStyle w:val="Caption"/>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10</w:t>
      </w:r>
      <w:r>
        <w:rPr>
          <w:noProof/>
        </w:rPr>
        <w:fldChar w:fldCharType="end"/>
      </w:r>
      <w:r w:rsidRPr="000618FB">
        <w:t xml:space="preserve">: </w:t>
      </w:r>
      <w:r>
        <w:t>The estimated effect of export intensity on the change in HHI.</w:t>
      </w:r>
    </w:p>
    <w:tbl>
      <w:tblPr>
        <w:tblStyle w:val="OCETable"/>
        <w:tblW w:w="5000" w:type="pct"/>
        <w:tblLook w:val="04A0" w:firstRow="1" w:lastRow="0" w:firstColumn="1" w:lastColumn="0" w:noHBand="0" w:noVBand="1"/>
        <w:tblCaption w:val="Table 5.10"/>
        <w:tblDescription w:val="Export intensity has a negative and significant coefficient but only during 2006 to 2014 period. Its interaction with HHI has positive and significant coefficient but only during 2006 to 2014 period."/>
      </w:tblPr>
      <w:tblGrid>
        <w:gridCol w:w="2208"/>
        <w:gridCol w:w="1562"/>
        <w:gridCol w:w="1562"/>
        <w:gridCol w:w="1562"/>
      </w:tblGrid>
      <w:tr w:rsidR="009E11E2" w14:paraId="35E12A98" w14:textId="77777777" w:rsidTr="008677CA">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35E12A97" w14:textId="77777777" w:rsidR="009E11E2" w:rsidRDefault="009E11E2" w:rsidP="009E11E2">
            <w:pPr>
              <w:pStyle w:val="Tableheadertext"/>
            </w:pPr>
            <w:r>
              <w:t xml:space="preserve">Dependent: </w:t>
            </w:r>
            <w:r>
              <w:fldChar w:fldCharType="begin"/>
            </w:r>
            <w:r>
              <w:instrText xml:space="preserve"> EQ Δ\s\do5(</w:instrText>
            </w:r>
            <w:r>
              <w:rPr>
                <w:sz w:val="16"/>
                <w:szCs w:val="16"/>
              </w:rPr>
              <w:instrText>2</w:instrText>
            </w:r>
            <w:r>
              <w:instrText>)</w:instrText>
            </w:r>
            <w:r>
              <w:rPr>
                <w:i/>
                <w:iCs/>
              </w:rPr>
              <w:instrText>H</w:instrText>
            </w:r>
            <w:r>
              <w:instrText>\s\do5(</w:instrText>
            </w:r>
            <w:r>
              <w:rPr>
                <w:i/>
                <w:iCs/>
                <w:sz w:val="16"/>
                <w:szCs w:val="16"/>
              </w:rPr>
              <w:instrText>it</w:instrText>
            </w:r>
            <w:r>
              <w:instrText>)</w:instrText>
            </w:r>
            <w:r>
              <w:fldChar w:fldCharType="end"/>
            </w:r>
          </w:p>
        </w:tc>
      </w:tr>
      <w:tr w:rsidR="009E11E2" w14:paraId="35E12A9D" w14:textId="77777777" w:rsidTr="009E11E2">
        <w:trPr>
          <w:cnfStyle w:val="000000100000" w:firstRow="0" w:lastRow="0" w:firstColumn="0" w:lastColumn="0" w:oddVBand="0" w:evenVBand="0" w:oddHBand="1" w:evenHBand="0" w:firstRowFirstColumn="0" w:firstRowLastColumn="0" w:lastRowFirstColumn="0" w:lastRowLastColumn="0"/>
        </w:trPr>
        <w:tc>
          <w:tcPr>
            <w:tcW w:w="1601" w:type="pct"/>
          </w:tcPr>
          <w:p w14:paraId="35E12A99" w14:textId="77777777" w:rsidR="009E11E2" w:rsidRDefault="009E11E2" w:rsidP="009E11E2">
            <w:pPr>
              <w:pStyle w:val="Tablebodytext"/>
            </w:pPr>
            <w:r>
              <w:t>Variable</w:t>
            </w:r>
          </w:p>
        </w:tc>
        <w:tc>
          <w:tcPr>
            <w:tcW w:w="1133" w:type="pct"/>
          </w:tcPr>
          <w:p w14:paraId="35E12A9A" w14:textId="77777777" w:rsidR="009E11E2" w:rsidRDefault="009E11E2" w:rsidP="009E11E2">
            <w:pPr>
              <w:pStyle w:val="Tablebodytext"/>
            </w:pPr>
            <w:r>
              <w:t>(1)</w:t>
            </w:r>
          </w:p>
        </w:tc>
        <w:tc>
          <w:tcPr>
            <w:tcW w:w="1133" w:type="pct"/>
          </w:tcPr>
          <w:p w14:paraId="35E12A9B" w14:textId="77777777" w:rsidR="009E11E2" w:rsidRDefault="009E11E2" w:rsidP="009E11E2">
            <w:pPr>
              <w:pStyle w:val="Tablebodytext"/>
            </w:pPr>
            <w:r>
              <w:t>(2)</w:t>
            </w:r>
          </w:p>
        </w:tc>
        <w:tc>
          <w:tcPr>
            <w:tcW w:w="1133" w:type="pct"/>
          </w:tcPr>
          <w:p w14:paraId="35E12A9C" w14:textId="77777777" w:rsidR="009E11E2" w:rsidRDefault="009E11E2" w:rsidP="009E11E2">
            <w:pPr>
              <w:pStyle w:val="Tablebodytext"/>
            </w:pPr>
            <w:r>
              <w:t>(3)</w:t>
            </w:r>
          </w:p>
        </w:tc>
      </w:tr>
      <w:tr w:rsidR="009E11E2" w14:paraId="35E12AA2" w14:textId="77777777" w:rsidTr="009E11E2">
        <w:trPr>
          <w:cnfStyle w:val="000000010000" w:firstRow="0" w:lastRow="0" w:firstColumn="0" w:lastColumn="0" w:oddVBand="0" w:evenVBand="0" w:oddHBand="0" w:evenHBand="1" w:firstRowFirstColumn="0" w:firstRowLastColumn="0" w:lastRowFirstColumn="0" w:lastRowLastColumn="0"/>
        </w:trPr>
        <w:tc>
          <w:tcPr>
            <w:tcW w:w="1601" w:type="pct"/>
          </w:tcPr>
          <w:p w14:paraId="35E12A9E" w14:textId="77777777" w:rsidR="009E11E2" w:rsidRDefault="009E11E2" w:rsidP="009E11E2">
            <w:pPr>
              <w:pStyle w:val="Tablebodytext"/>
            </w:pPr>
            <w:r>
              <w:t xml:space="preserve"> </w:t>
            </w:r>
            <w:r>
              <w:rPr>
                <w:i/>
                <w:iCs/>
              </w:rPr>
              <w:t>H</w:t>
            </w:r>
          </w:p>
        </w:tc>
        <w:tc>
          <w:tcPr>
            <w:tcW w:w="1133" w:type="pct"/>
          </w:tcPr>
          <w:p w14:paraId="35E12A9F" w14:textId="77777777" w:rsidR="009E11E2" w:rsidRDefault="009E11E2" w:rsidP="009E11E2">
            <w:pPr>
              <w:pStyle w:val="Tablebodytext"/>
            </w:pPr>
            <w:r>
              <w:t>−0.184***</w:t>
            </w:r>
          </w:p>
        </w:tc>
        <w:tc>
          <w:tcPr>
            <w:tcW w:w="1133" w:type="pct"/>
          </w:tcPr>
          <w:p w14:paraId="35E12AA0" w14:textId="77777777" w:rsidR="009E11E2" w:rsidRDefault="009E11E2" w:rsidP="009E11E2">
            <w:pPr>
              <w:pStyle w:val="Tablebodytext"/>
            </w:pPr>
            <w:r>
              <w:t>−0.112***</w:t>
            </w:r>
          </w:p>
        </w:tc>
        <w:tc>
          <w:tcPr>
            <w:tcW w:w="1133" w:type="pct"/>
          </w:tcPr>
          <w:p w14:paraId="35E12AA1" w14:textId="77777777" w:rsidR="009E11E2" w:rsidRDefault="009E11E2" w:rsidP="009E11E2">
            <w:pPr>
              <w:pStyle w:val="Tablebodytext"/>
            </w:pPr>
            <w:r>
              <w:t>−0.205***</w:t>
            </w:r>
          </w:p>
        </w:tc>
      </w:tr>
      <w:tr w:rsidR="009E11E2" w14:paraId="35E12AA7" w14:textId="77777777" w:rsidTr="009E11E2">
        <w:trPr>
          <w:cnfStyle w:val="000000100000" w:firstRow="0" w:lastRow="0" w:firstColumn="0" w:lastColumn="0" w:oddVBand="0" w:evenVBand="0" w:oddHBand="1" w:evenHBand="0" w:firstRowFirstColumn="0" w:firstRowLastColumn="0" w:lastRowFirstColumn="0" w:lastRowLastColumn="0"/>
        </w:trPr>
        <w:tc>
          <w:tcPr>
            <w:tcW w:w="1601" w:type="pct"/>
          </w:tcPr>
          <w:p w14:paraId="35E12AA3" w14:textId="77777777" w:rsidR="009E11E2" w:rsidRDefault="009E11E2" w:rsidP="009E11E2">
            <w:pPr>
              <w:pStyle w:val="Tablebodytext"/>
            </w:pPr>
          </w:p>
        </w:tc>
        <w:tc>
          <w:tcPr>
            <w:tcW w:w="1133" w:type="pct"/>
          </w:tcPr>
          <w:p w14:paraId="35E12AA4" w14:textId="77777777" w:rsidR="009E11E2" w:rsidRDefault="009E11E2" w:rsidP="009E11E2">
            <w:pPr>
              <w:pStyle w:val="Tablebodytext"/>
            </w:pPr>
            <w:r>
              <w:t>(0.012)</w:t>
            </w:r>
          </w:p>
        </w:tc>
        <w:tc>
          <w:tcPr>
            <w:tcW w:w="1133" w:type="pct"/>
          </w:tcPr>
          <w:p w14:paraId="35E12AA5" w14:textId="77777777" w:rsidR="009E11E2" w:rsidRDefault="009E11E2" w:rsidP="009E11E2">
            <w:pPr>
              <w:pStyle w:val="Tablebodytext"/>
            </w:pPr>
            <w:r>
              <w:t>(0.016)</w:t>
            </w:r>
          </w:p>
        </w:tc>
        <w:tc>
          <w:tcPr>
            <w:tcW w:w="1133" w:type="pct"/>
          </w:tcPr>
          <w:p w14:paraId="35E12AA6" w14:textId="77777777" w:rsidR="009E11E2" w:rsidRDefault="009E11E2" w:rsidP="009E11E2">
            <w:pPr>
              <w:pStyle w:val="Tablebodytext"/>
            </w:pPr>
            <w:r>
              <w:t>(0.016)</w:t>
            </w:r>
          </w:p>
        </w:tc>
      </w:tr>
      <w:tr w:rsidR="009E11E2" w14:paraId="35E12AAC" w14:textId="77777777" w:rsidTr="009E11E2">
        <w:trPr>
          <w:cnfStyle w:val="000000010000" w:firstRow="0" w:lastRow="0" w:firstColumn="0" w:lastColumn="0" w:oddVBand="0" w:evenVBand="0" w:oddHBand="0" w:evenHBand="1" w:firstRowFirstColumn="0" w:firstRowLastColumn="0" w:lastRowFirstColumn="0" w:lastRowLastColumn="0"/>
        </w:trPr>
        <w:tc>
          <w:tcPr>
            <w:tcW w:w="1601" w:type="pct"/>
          </w:tcPr>
          <w:p w14:paraId="35E12AA8" w14:textId="77777777" w:rsidR="009E11E2" w:rsidRDefault="009E11E2" w:rsidP="009E11E2">
            <w:pPr>
              <w:pStyle w:val="Tablebodytext"/>
            </w:pPr>
            <w:r>
              <w:rPr>
                <w:i/>
                <w:iCs/>
              </w:rPr>
              <w:t>ExpInt</w:t>
            </w:r>
          </w:p>
        </w:tc>
        <w:tc>
          <w:tcPr>
            <w:tcW w:w="1133" w:type="pct"/>
          </w:tcPr>
          <w:p w14:paraId="35E12AA9" w14:textId="77777777" w:rsidR="009E11E2" w:rsidRDefault="009E11E2" w:rsidP="009E11E2">
            <w:pPr>
              <w:pStyle w:val="Tablebodytext"/>
            </w:pPr>
            <w:r>
              <w:t>−0.048**</w:t>
            </w:r>
          </w:p>
        </w:tc>
        <w:tc>
          <w:tcPr>
            <w:tcW w:w="1133" w:type="pct"/>
          </w:tcPr>
          <w:p w14:paraId="35E12AAA" w14:textId="77777777" w:rsidR="009E11E2" w:rsidRDefault="009E11E2" w:rsidP="009E11E2">
            <w:pPr>
              <w:pStyle w:val="Tablebodytext"/>
            </w:pPr>
            <w:r>
              <w:t>0.039</w:t>
            </w:r>
          </w:p>
        </w:tc>
        <w:tc>
          <w:tcPr>
            <w:tcW w:w="1133" w:type="pct"/>
          </w:tcPr>
          <w:p w14:paraId="35E12AAB" w14:textId="77777777" w:rsidR="009E11E2" w:rsidRDefault="009E11E2" w:rsidP="009E11E2">
            <w:pPr>
              <w:pStyle w:val="Tablebodytext"/>
            </w:pPr>
            <w:r>
              <w:t>−0.073***</w:t>
            </w:r>
          </w:p>
        </w:tc>
      </w:tr>
      <w:tr w:rsidR="009E11E2" w14:paraId="35E12AB1" w14:textId="77777777" w:rsidTr="009E11E2">
        <w:trPr>
          <w:cnfStyle w:val="000000100000" w:firstRow="0" w:lastRow="0" w:firstColumn="0" w:lastColumn="0" w:oddVBand="0" w:evenVBand="0" w:oddHBand="1" w:evenHBand="0" w:firstRowFirstColumn="0" w:firstRowLastColumn="0" w:lastRowFirstColumn="0" w:lastRowLastColumn="0"/>
        </w:trPr>
        <w:tc>
          <w:tcPr>
            <w:tcW w:w="1601" w:type="pct"/>
          </w:tcPr>
          <w:p w14:paraId="35E12AAD" w14:textId="77777777" w:rsidR="009E11E2" w:rsidRDefault="009E11E2" w:rsidP="009E11E2">
            <w:pPr>
              <w:pStyle w:val="Tablebodytext"/>
            </w:pPr>
          </w:p>
        </w:tc>
        <w:tc>
          <w:tcPr>
            <w:tcW w:w="1133" w:type="pct"/>
          </w:tcPr>
          <w:p w14:paraId="35E12AAE" w14:textId="77777777" w:rsidR="009E11E2" w:rsidRDefault="009E11E2" w:rsidP="009E11E2">
            <w:pPr>
              <w:pStyle w:val="Tablebodytext"/>
            </w:pPr>
            <w:r>
              <w:t>(0.020)</w:t>
            </w:r>
          </w:p>
        </w:tc>
        <w:tc>
          <w:tcPr>
            <w:tcW w:w="1133" w:type="pct"/>
          </w:tcPr>
          <w:p w14:paraId="35E12AAF" w14:textId="77777777" w:rsidR="009E11E2" w:rsidRDefault="009E11E2" w:rsidP="009E11E2">
            <w:pPr>
              <w:pStyle w:val="Tablebodytext"/>
            </w:pPr>
            <w:r>
              <w:t>(0.025)</w:t>
            </w:r>
          </w:p>
        </w:tc>
        <w:tc>
          <w:tcPr>
            <w:tcW w:w="1133" w:type="pct"/>
          </w:tcPr>
          <w:p w14:paraId="35E12AB0" w14:textId="77777777" w:rsidR="009E11E2" w:rsidRDefault="009E11E2" w:rsidP="009E11E2">
            <w:pPr>
              <w:pStyle w:val="Tablebodytext"/>
            </w:pPr>
            <w:r>
              <w:t>(0.027)</w:t>
            </w:r>
          </w:p>
        </w:tc>
      </w:tr>
      <w:tr w:rsidR="009E11E2" w14:paraId="35E12AB6" w14:textId="77777777" w:rsidTr="009E11E2">
        <w:trPr>
          <w:cnfStyle w:val="000000010000" w:firstRow="0" w:lastRow="0" w:firstColumn="0" w:lastColumn="0" w:oddVBand="0" w:evenVBand="0" w:oddHBand="0" w:evenHBand="1" w:firstRowFirstColumn="0" w:firstRowLastColumn="0" w:lastRowFirstColumn="0" w:lastRowLastColumn="0"/>
        </w:trPr>
        <w:tc>
          <w:tcPr>
            <w:tcW w:w="1601" w:type="pct"/>
          </w:tcPr>
          <w:p w14:paraId="35E12AB2" w14:textId="77777777" w:rsidR="009E11E2" w:rsidRDefault="009E11E2" w:rsidP="009E11E2">
            <w:pPr>
              <w:pStyle w:val="Tablebodytext"/>
            </w:pPr>
            <w:r>
              <w:rPr>
                <w:i/>
                <w:iCs/>
              </w:rPr>
              <w:t>H</w:t>
            </w:r>
            <w:r>
              <w:t>×</w:t>
            </w:r>
            <w:r>
              <w:rPr>
                <w:i/>
                <w:iCs/>
              </w:rPr>
              <w:t>ExpInt</w:t>
            </w:r>
          </w:p>
        </w:tc>
        <w:tc>
          <w:tcPr>
            <w:tcW w:w="1133" w:type="pct"/>
          </w:tcPr>
          <w:p w14:paraId="35E12AB3" w14:textId="77777777" w:rsidR="009E11E2" w:rsidRDefault="009E11E2" w:rsidP="009E11E2">
            <w:pPr>
              <w:pStyle w:val="Tablebodytext"/>
            </w:pPr>
            <w:r>
              <w:t>0.554***</w:t>
            </w:r>
          </w:p>
        </w:tc>
        <w:tc>
          <w:tcPr>
            <w:tcW w:w="1133" w:type="pct"/>
          </w:tcPr>
          <w:p w14:paraId="35E12AB4" w14:textId="77777777" w:rsidR="009E11E2" w:rsidRDefault="009E11E2" w:rsidP="009E11E2">
            <w:pPr>
              <w:pStyle w:val="Tablebodytext"/>
            </w:pPr>
            <w:r>
              <w:t>−0.281</w:t>
            </w:r>
          </w:p>
        </w:tc>
        <w:tc>
          <w:tcPr>
            <w:tcW w:w="1133" w:type="pct"/>
          </w:tcPr>
          <w:p w14:paraId="35E12AB5" w14:textId="77777777" w:rsidR="009E11E2" w:rsidRDefault="009E11E2" w:rsidP="009E11E2">
            <w:pPr>
              <w:pStyle w:val="Tablebodytext"/>
            </w:pPr>
            <w:r>
              <w:t>0.703***</w:t>
            </w:r>
          </w:p>
        </w:tc>
      </w:tr>
      <w:tr w:rsidR="009E11E2" w14:paraId="35E12ABB" w14:textId="77777777" w:rsidTr="001F6212">
        <w:trPr>
          <w:cnfStyle w:val="000000100000" w:firstRow="0" w:lastRow="0" w:firstColumn="0" w:lastColumn="0" w:oddVBand="0" w:evenVBand="0" w:oddHBand="1" w:evenHBand="0" w:firstRowFirstColumn="0" w:firstRowLastColumn="0" w:lastRowFirstColumn="0" w:lastRowLastColumn="0"/>
        </w:trPr>
        <w:tc>
          <w:tcPr>
            <w:tcW w:w="1601" w:type="pct"/>
            <w:tcBorders>
              <w:bottom w:val="single" w:sz="4" w:space="0" w:color="auto"/>
            </w:tcBorders>
          </w:tcPr>
          <w:p w14:paraId="35E12AB7" w14:textId="77777777" w:rsidR="009E11E2" w:rsidRDefault="009E11E2" w:rsidP="009E11E2">
            <w:pPr>
              <w:pStyle w:val="Tablebodytext"/>
            </w:pPr>
          </w:p>
        </w:tc>
        <w:tc>
          <w:tcPr>
            <w:tcW w:w="1133" w:type="pct"/>
          </w:tcPr>
          <w:p w14:paraId="35E12AB8" w14:textId="77777777" w:rsidR="009E11E2" w:rsidRDefault="009E11E2" w:rsidP="009E11E2">
            <w:pPr>
              <w:pStyle w:val="Tablebodytext"/>
            </w:pPr>
            <w:r>
              <w:t>(0.120)</w:t>
            </w:r>
          </w:p>
        </w:tc>
        <w:tc>
          <w:tcPr>
            <w:tcW w:w="1133" w:type="pct"/>
          </w:tcPr>
          <w:p w14:paraId="35E12AB9" w14:textId="77777777" w:rsidR="009E11E2" w:rsidRDefault="009E11E2" w:rsidP="009E11E2">
            <w:pPr>
              <w:pStyle w:val="Tablebodytext"/>
            </w:pPr>
            <w:r>
              <w:t>(0.216)</w:t>
            </w:r>
          </w:p>
        </w:tc>
        <w:tc>
          <w:tcPr>
            <w:tcW w:w="1133" w:type="pct"/>
          </w:tcPr>
          <w:p w14:paraId="35E12ABA" w14:textId="77777777" w:rsidR="009E11E2" w:rsidRDefault="009E11E2" w:rsidP="009E11E2">
            <w:pPr>
              <w:pStyle w:val="Tablebodytext"/>
            </w:pPr>
            <w:r>
              <w:t>(0.148)</w:t>
            </w:r>
          </w:p>
        </w:tc>
      </w:tr>
      <w:tr w:rsidR="009E11E2" w14:paraId="35E12AC0" w14:textId="77777777" w:rsidTr="001F6212">
        <w:trPr>
          <w:cnfStyle w:val="000000010000" w:firstRow="0" w:lastRow="0" w:firstColumn="0" w:lastColumn="0" w:oddVBand="0" w:evenVBand="0" w:oddHBand="0" w:evenHBand="1" w:firstRowFirstColumn="0" w:firstRowLastColumn="0" w:lastRowFirstColumn="0" w:lastRowLastColumn="0"/>
        </w:trPr>
        <w:tc>
          <w:tcPr>
            <w:tcW w:w="1601" w:type="pct"/>
            <w:tcBorders>
              <w:top w:val="single" w:sz="4" w:space="0" w:color="auto"/>
              <w:bottom w:val="single" w:sz="4" w:space="0" w:color="auto"/>
            </w:tcBorders>
          </w:tcPr>
          <w:p w14:paraId="35E12ABC" w14:textId="77777777" w:rsidR="009E11E2" w:rsidRDefault="009E11E2" w:rsidP="009E11E2">
            <w:pPr>
              <w:pStyle w:val="Tablebodytext"/>
            </w:pPr>
            <w:r>
              <w:t xml:space="preserve"> Years:</w:t>
            </w:r>
          </w:p>
        </w:tc>
        <w:tc>
          <w:tcPr>
            <w:tcW w:w="1133" w:type="pct"/>
            <w:tcBorders>
              <w:bottom w:val="single" w:sz="4" w:space="0" w:color="auto"/>
            </w:tcBorders>
          </w:tcPr>
          <w:p w14:paraId="35E12ABD" w14:textId="77777777" w:rsidR="009E11E2" w:rsidRDefault="009E11E2" w:rsidP="009E11E2">
            <w:pPr>
              <w:pStyle w:val="Tablebodytext"/>
            </w:pPr>
            <w:r>
              <w:t>All</w:t>
            </w:r>
          </w:p>
        </w:tc>
        <w:tc>
          <w:tcPr>
            <w:tcW w:w="1133" w:type="pct"/>
            <w:tcBorders>
              <w:bottom w:val="single" w:sz="4" w:space="0" w:color="auto"/>
            </w:tcBorders>
          </w:tcPr>
          <w:p w14:paraId="35E12ABE" w14:textId="77777777" w:rsidR="009E11E2" w:rsidRDefault="009E11E2" w:rsidP="009E11E2">
            <w:pPr>
              <w:pStyle w:val="Tablebodytext"/>
            </w:pPr>
            <w:r>
              <w:t>2002–2005</w:t>
            </w:r>
          </w:p>
        </w:tc>
        <w:tc>
          <w:tcPr>
            <w:tcW w:w="1133" w:type="pct"/>
            <w:tcBorders>
              <w:bottom w:val="single" w:sz="4" w:space="0" w:color="auto"/>
            </w:tcBorders>
          </w:tcPr>
          <w:p w14:paraId="35E12ABF" w14:textId="77777777" w:rsidR="009E11E2" w:rsidRDefault="009E11E2" w:rsidP="009E11E2">
            <w:pPr>
              <w:pStyle w:val="Tablebodytext"/>
            </w:pPr>
            <w:r>
              <w:t>2006–2014</w:t>
            </w:r>
          </w:p>
        </w:tc>
      </w:tr>
      <w:tr w:rsidR="009E11E2" w14:paraId="35E12AC5" w14:textId="77777777" w:rsidTr="001F6212">
        <w:trPr>
          <w:cnfStyle w:val="000000100000" w:firstRow="0" w:lastRow="0" w:firstColumn="0" w:lastColumn="0" w:oddVBand="0" w:evenVBand="0" w:oddHBand="1" w:evenHBand="0" w:firstRowFirstColumn="0" w:firstRowLastColumn="0" w:lastRowFirstColumn="0" w:lastRowLastColumn="0"/>
        </w:trPr>
        <w:tc>
          <w:tcPr>
            <w:tcW w:w="1601" w:type="pct"/>
            <w:tcBorders>
              <w:top w:val="single" w:sz="4" w:space="0" w:color="auto"/>
            </w:tcBorders>
          </w:tcPr>
          <w:p w14:paraId="35E12AC1" w14:textId="77777777" w:rsidR="009E11E2" w:rsidRDefault="009E11E2" w:rsidP="009E11E2">
            <w:pPr>
              <w:pStyle w:val="Tablebodytext"/>
            </w:pPr>
            <w:r>
              <w:t xml:space="preserve"> Adjusted R</w:t>
            </w:r>
            <w:r>
              <w:fldChar w:fldCharType="begin"/>
            </w:r>
            <w:r>
              <w:instrText xml:space="preserve"> EQ \s\up5(</w:instrText>
            </w:r>
            <w:r>
              <w:rPr>
                <w:sz w:val="16"/>
                <w:szCs w:val="16"/>
              </w:rPr>
              <w:instrText>2</w:instrText>
            </w:r>
            <w:r>
              <w:instrText>)</w:instrText>
            </w:r>
            <w:r>
              <w:fldChar w:fldCharType="end"/>
            </w:r>
          </w:p>
        </w:tc>
        <w:tc>
          <w:tcPr>
            <w:tcW w:w="1133" w:type="pct"/>
            <w:tcBorders>
              <w:top w:val="single" w:sz="4" w:space="0" w:color="auto"/>
            </w:tcBorders>
          </w:tcPr>
          <w:p w14:paraId="35E12AC2" w14:textId="77777777" w:rsidR="009E11E2" w:rsidRDefault="009E11E2" w:rsidP="009E11E2">
            <w:pPr>
              <w:pStyle w:val="Tablebodytext"/>
            </w:pPr>
            <w:r>
              <w:t>0.075</w:t>
            </w:r>
          </w:p>
        </w:tc>
        <w:tc>
          <w:tcPr>
            <w:tcW w:w="1133" w:type="pct"/>
            <w:tcBorders>
              <w:top w:val="single" w:sz="4" w:space="0" w:color="auto"/>
            </w:tcBorders>
          </w:tcPr>
          <w:p w14:paraId="35E12AC3" w14:textId="77777777" w:rsidR="009E11E2" w:rsidRDefault="009E11E2" w:rsidP="009E11E2">
            <w:pPr>
              <w:pStyle w:val="Tablebodytext"/>
            </w:pPr>
            <w:r>
              <w:t>0.082</w:t>
            </w:r>
          </w:p>
        </w:tc>
        <w:tc>
          <w:tcPr>
            <w:tcW w:w="1133" w:type="pct"/>
            <w:tcBorders>
              <w:top w:val="single" w:sz="4" w:space="0" w:color="auto"/>
            </w:tcBorders>
          </w:tcPr>
          <w:p w14:paraId="35E12AC4" w14:textId="77777777" w:rsidR="009E11E2" w:rsidRDefault="009E11E2" w:rsidP="009E11E2">
            <w:pPr>
              <w:pStyle w:val="Tablebodytext"/>
            </w:pPr>
            <w:r>
              <w:t>0.078</w:t>
            </w:r>
          </w:p>
        </w:tc>
      </w:tr>
      <w:tr w:rsidR="009E11E2" w14:paraId="35E12ACA" w14:textId="77777777" w:rsidTr="009E11E2">
        <w:trPr>
          <w:cnfStyle w:val="000000010000" w:firstRow="0" w:lastRow="0" w:firstColumn="0" w:lastColumn="0" w:oddVBand="0" w:evenVBand="0" w:oddHBand="0" w:evenHBand="1" w:firstRowFirstColumn="0" w:firstRowLastColumn="0" w:lastRowFirstColumn="0" w:lastRowLastColumn="0"/>
        </w:trPr>
        <w:tc>
          <w:tcPr>
            <w:tcW w:w="1601" w:type="pct"/>
          </w:tcPr>
          <w:p w14:paraId="35E12AC6" w14:textId="77777777" w:rsidR="009E11E2" w:rsidRDefault="009E11E2" w:rsidP="009E11E2">
            <w:pPr>
              <w:pStyle w:val="Tablebodytext"/>
            </w:pPr>
            <w:r>
              <w:t>F Statistic</w:t>
            </w:r>
          </w:p>
        </w:tc>
        <w:tc>
          <w:tcPr>
            <w:tcW w:w="1133" w:type="pct"/>
          </w:tcPr>
          <w:p w14:paraId="35E12AC7" w14:textId="77777777" w:rsidR="009E11E2" w:rsidRDefault="009E11E2" w:rsidP="009E11E2">
            <w:pPr>
              <w:pStyle w:val="Tablebodytext"/>
            </w:pPr>
            <w:r>
              <w:t>76.917***</w:t>
            </w:r>
          </w:p>
        </w:tc>
        <w:tc>
          <w:tcPr>
            <w:tcW w:w="1133" w:type="pct"/>
          </w:tcPr>
          <w:p w14:paraId="35E12AC8" w14:textId="77777777" w:rsidR="009E11E2" w:rsidRDefault="009E11E2" w:rsidP="009E11E2">
            <w:pPr>
              <w:pStyle w:val="Tablebodytext"/>
            </w:pPr>
            <w:r>
              <w:t>26.403***</w:t>
            </w:r>
          </w:p>
        </w:tc>
        <w:tc>
          <w:tcPr>
            <w:tcW w:w="1133" w:type="pct"/>
          </w:tcPr>
          <w:p w14:paraId="35E12AC9" w14:textId="77777777" w:rsidR="009E11E2" w:rsidRDefault="009E11E2" w:rsidP="009E11E2">
            <w:pPr>
              <w:pStyle w:val="Tablebodytext"/>
            </w:pPr>
            <w:r>
              <w:t>56.024***</w:t>
            </w:r>
          </w:p>
        </w:tc>
      </w:tr>
      <w:tr w:rsidR="009E11E2" w14:paraId="35E12ACF" w14:textId="77777777" w:rsidTr="009E11E2">
        <w:trPr>
          <w:cnfStyle w:val="000000100000" w:firstRow="0" w:lastRow="0" w:firstColumn="0" w:lastColumn="0" w:oddVBand="0" w:evenVBand="0" w:oddHBand="1" w:evenHBand="0" w:firstRowFirstColumn="0" w:firstRowLastColumn="0" w:lastRowFirstColumn="0" w:lastRowLastColumn="0"/>
        </w:trPr>
        <w:tc>
          <w:tcPr>
            <w:tcW w:w="1601" w:type="pct"/>
          </w:tcPr>
          <w:p w14:paraId="35E12ACB" w14:textId="77777777" w:rsidR="009E11E2" w:rsidRDefault="009E11E2" w:rsidP="009E11E2">
            <w:pPr>
              <w:pStyle w:val="Tablebodytext"/>
            </w:pPr>
            <w:r>
              <w:t>#Obs</w:t>
            </w:r>
          </w:p>
        </w:tc>
        <w:tc>
          <w:tcPr>
            <w:tcW w:w="1133" w:type="pct"/>
          </w:tcPr>
          <w:p w14:paraId="35E12ACC" w14:textId="77777777" w:rsidR="009E11E2" w:rsidRDefault="009E11E2" w:rsidP="009E11E2">
            <w:pPr>
              <w:pStyle w:val="Tablebodytext"/>
            </w:pPr>
            <w:r>
              <w:t>2,665</w:t>
            </w:r>
          </w:p>
        </w:tc>
        <w:tc>
          <w:tcPr>
            <w:tcW w:w="1133" w:type="pct"/>
          </w:tcPr>
          <w:p w14:paraId="35E12ACD" w14:textId="77777777" w:rsidR="009E11E2" w:rsidRDefault="009E11E2" w:rsidP="009E11E2">
            <w:pPr>
              <w:pStyle w:val="Tablebodytext"/>
            </w:pPr>
            <w:r>
              <w:t>820</w:t>
            </w:r>
          </w:p>
        </w:tc>
        <w:tc>
          <w:tcPr>
            <w:tcW w:w="1133" w:type="pct"/>
          </w:tcPr>
          <w:p w14:paraId="35E12ACE" w14:textId="77777777" w:rsidR="009E11E2" w:rsidRDefault="009E11E2" w:rsidP="009E11E2">
            <w:pPr>
              <w:pStyle w:val="Tablebodytext"/>
            </w:pPr>
            <w:r>
              <w:t>1,845</w:t>
            </w:r>
          </w:p>
        </w:tc>
      </w:tr>
    </w:tbl>
    <w:p w14:paraId="35E12AD0" w14:textId="77777777" w:rsidR="005806FA" w:rsidRPr="00C62F3A" w:rsidRDefault="005806FA" w:rsidP="00E63064">
      <w:pPr>
        <w:pStyle w:val="Note"/>
      </w:pPr>
      <w:r>
        <w:t>Notes: Numbers in parentheses are standard errors. *** and ** indicate significances at 1% and 5% levels, respectively.</w:t>
      </w:r>
    </w:p>
    <w:p w14:paraId="35E12AD1" w14:textId="77777777" w:rsidR="005806FA" w:rsidRDefault="005806FA" w:rsidP="00E63064">
      <w:pPr>
        <w:pStyle w:val="Source"/>
      </w:pPr>
      <w:r>
        <w:t>Source: Department of Industry, Innovation and Science (2019)</w:t>
      </w:r>
    </w:p>
    <w:p w14:paraId="35E12AD2" w14:textId="10C45DEA" w:rsidR="006475C6" w:rsidRDefault="006475C6" w:rsidP="005A6EA3">
      <w:pPr>
        <w:spacing w:before="240" w:line="270" w:lineRule="exact"/>
        <w:ind w:left="0"/>
      </w:pPr>
      <w:r>
        <w:lastRenderedPageBreak/>
        <w:t xml:space="preserve">Once splitting the years into 2002–2005 and 2006–2014 phases, it becomes apparent that most of the impact of export intensity on market concentration happened during the later years (Table 5.10 columns (2) and (3)). </w:t>
      </w:r>
      <w:r w:rsidR="00C87BD2" w:rsidRPr="00C87BD2">
        <w:t>During the earlier years, when the average HHI is falling, export intensive industries do not seem to be playing any important role. On the other hand, export intensive industries experience an increase in market concentration during the later years.</w:t>
      </w:r>
    </w:p>
    <w:p w14:paraId="63CF7724" w14:textId="2C16A51C" w:rsidR="00D9357B" w:rsidRDefault="00D9357B" w:rsidP="005A6EA3">
      <w:pPr>
        <w:spacing w:before="240" w:line="270" w:lineRule="exact"/>
        <w:ind w:left="0"/>
      </w:pPr>
      <w:r w:rsidRPr="00D9357B">
        <w:t>Incidentally, this last episode coincides with the resources boom that took place in Australia from 2005 to c</w:t>
      </w:r>
      <w:r>
        <w:t>irca 2014 (</w:t>
      </w:r>
      <w:r w:rsidRPr="00D9357B">
        <w:t>Bakhtiari</w:t>
      </w:r>
      <w:r>
        <w:t>, 2019 Section 7.1)</w:t>
      </w:r>
      <w:r w:rsidRPr="00D9357B">
        <w:t>. A few of the most export intensive industries are in the mining industry. Together, they suggest that the rapid expansion of</w:t>
      </w:r>
      <w:r w:rsidR="00DE242C">
        <w:t xml:space="preserve"> the export market for mining </w:t>
      </w:r>
      <w:r w:rsidR="00DE242C">
        <w:rPr>
          <w:rFonts w:cs="Arial"/>
        </w:rPr>
        <w:t>‒</w:t>
      </w:r>
      <w:r w:rsidRPr="00D9357B">
        <w:t xml:space="preserve"> especially </w:t>
      </w:r>
      <w:r w:rsidR="00DE242C">
        <w:t xml:space="preserve">the growing demand from China </w:t>
      </w:r>
      <w:r w:rsidR="00DE242C">
        <w:rPr>
          <w:rFonts w:cs="Arial"/>
        </w:rPr>
        <w:t>‒</w:t>
      </w:r>
      <w:r w:rsidRPr="00D9357B">
        <w:t xml:space="preserve"> could be one of the triggers for the increasing concentration among this particular group of industries.</w:t>
      </w:r>
    </w:p>
    <w:p w14:paraId="35E12AD3" w14:textId="77777777" w:rsidR="006475C6" w:rsidRDefault="006475C6" w:rsidP="005A6EA3">
      <w:pPr>
        <w:spacing w:before="120" w:line="270" w:lineRule="exact"/>
        <w:ind w:left="0"/>
      </w:pPr>
      <w:r>
        <w:t xml:space="preserve">The next test explores whether digitally mature or more dispersed industries are the ones being the most affected by export intensity. The test is carried out through the following model: </w:t>
      </w:r>
    </w:p>
    <w:p w14:paraId="35E12AD4" w14:textId="77777777" w:rsidR="009E11E2" w:rsidRPr="00E33D8D" w:rsidRDefault="00A20DE7" w:rsidP="004B17CD">
      <w:pPr>
        <w:pStyle w:val="BodyText"/>
        <w:rPr>
          <w:rFonts w:ascii="Arial" w:eastAsiaTheme="minorEastAsia" w:hAnsi="Arial"/>
          <w:lang w:val="en"/>
        </w:rPr>
      </w:pPr>
      <m:oMath>
        <m:sSub>
          <m:sSubPr>
            <m:ctrlPr>
              <w:rPr>
                <w:rFonts w:ascii="Cambria Math" w:hAnsi="Cambria Math"/>
                <w:i/>
                <w:lang w:val="en"/>
              </w:rPr>
            </m:ctrlPr>
          </m:sSubPr>
          <m:e>
            <m:r>
              <w:rPr>
                <w:rFonts w:ascii="Cambria Math" w:hAnsi="Cambria Math"/>
                <w:lang w:val="en"/>
              </w:rPr>
              <m:t>∆</m:t>
            </m:r>
          </m:e>
          <m:sub>
            <m:r>
              <w:rPr>
                <w:rFonts w:ascii="Cambria Math" w:hAnsi="Cambria Math"/>
                <w:lang w:val="en"/>
              </w:rPr>
              <m:t>2</m:t>
            </m:r>
          </m:sub>
        </m:sSub>
        <m:sSub>
          <m:sSubPr>
            <m:ctrlPr>
              <w:rPr>
                <w:rFonts w:ascii="Cambria Math" w:hAnsi="Cambria Math"/>
                <w:i/>
                <w:lang w:val="en"/>
              </w:rPr>
            </m:ctrlPr>
          </m:sSubPr>
          <m:e>
            <m:r>
              <w:rPr>
                <w:rFonts w:ascii="Cambria Math" w:hAnsi="Cambria Math"/>
                <w:lang w:val="en"/>
              </w:rPr>
              <m:t>H</m:t>
            </m:r>
          </m:e>
          <m:sub>
            <m:r>
              <w:rPr>
                <w:rFonts w:ascii="Cambria Math" w:hAnsi="Cambria Math"/>
                <w:lang w:val="en"/>
              </w:rPr>
              <m:t>it</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a</m:t>
            </m:r>
          </m:e>
          <m:sub>
            <m:r>
              <w:rPr>
                <w:rFonts w:ascii="Cambria Math" w:hAnsi="Cambria Math"/>
                <w:lang w:val="en"/>
              </w:rPr>
              <m:t>0</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a</m:t>
            </m:r>
          </m:e>
          <m:sub>
            <m:r>
              <w:rPr>
                <w:rFonts w:ascii="Cambria Math" w:hAnsi="Cambria Math"/>
                <w:lang w:val="en"/>
              </w:rPr>
              <m:t>1</m:t>
            </m:r>
          </m:sub>
        </m:sSub>
        <m:sSub>
          <m:sSubPr>
            <m:ctrlPr>
              <w:rPr>
                <w:rFonts w:ascii="Cambria Math" w:hAnsi="Cambria Math"/>
                <w:i/>
                <w:lang w:val="en"/>
              </w:rPr>
            </m:ctrlPr>
          </m:sSubPr>
          <m:e>
            <m:r>
              <w:rPr>
                <w:rFonts w:ascii="Cambria Math" w:hAnsi="Cambria Math"/>
                <w:lang w:val="en"/>
              </w:rPr>
              <m:t>H</m:t>
            </m:r>
          </m:e>
          <m:sub>
            <m:r>
              <w:rPr>
                <w:rFonts w:ascii="Cambria Math" w:hAnsi="Cambria Math"/>
                <w:lang w:val="en"/>
              </w:rPr>
              <m:t>it</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a</m:t>
            </m:r>
          </m:e>
          <m:sub>
            <m:r>
              <w:rPr>
                <w:rFonts w:ascii="Cambria Math" w:hAnsi="Cambria Math"/>
                <w:lang w:val="en"/>
              </w:rPr>
              <m:t>2</m:t>
            </m:r>
          </m:sub>
        </m:sSub>
        <m:sSub>
          <m:sSubPr>
            <m:ctrlPr>
              <w:rPr>
                <w:rFonts w:ascii="Cambria Math" w:hAnsi="Cambria Math"/>
                <w:i/>
                <w:lang w:val="en"/>
              </w:rPr>
            </m:ctrlPr>
          </m:sSubPr>
          <m:e>
            <m:r>
              <w:rPr>
                <w:rFonts w:ascii="Cambria Math" w:hAnsi="Cambria Math"/>
                <w:lang w:val="en"/>
              </w:rPr>
              <m:t>ExpInt</m:t>
            </m:r>
          </m:e>
          <m:sub>
            <m:r>
              <w:rPr>
                <w:rFonts w:ascii="Cambria Math" w:hAnsi="Cambria Math"/>
                <w:lang w:val="en"/>
              </w:rPr>
              <m:t>it</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a</m:t>
            </m:r>
          </m:e>
          <m:sub>
            <m:r>
              <w:rPr>
                <w:rFonts w:ascii="Cambria Math" w:hAnsi="Cambria Math"/>
                <w:lang w:val="en"/>
              </w:rPr>
              <m:t>3</m:t>
            </m:r>
          </m:sub>
        </m:sSub>
        <m:sSub>
          <m:sSubPr>
            <m:ctrlPr>
              <w:rPr>
                <w:rFonts w:ascii="Cambria Math" w:hAnsi="Cambria Math"/>
                <w:i/>
                <w:lang w:val="en"/>
              </w:rPr>
            </m:ctrlPr>
          </m:sSubPr>
          <m:e>
            <m:r>
              <w:rPr>
                <w:rFonts w:ascii="Cambria Math" w:hAnsi="Cambria Math"/>
                <w:lang w:val="en"/>
              </w:rPr>
              <m:t>H</m:t>
            </m:r>
          </m:e>
          <m:sub>
            <m:r>
              <w:rPr>
                <w:rFonts w:ascii="Cambria Math" w:hAnsi="Cambria Math"/>
                <w:lang w:val="en"/>
              </w:rPr>
              <m:t>it</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ExpInt</m:t>
            </m:r>
          </m:e>
          <m:sub>
            <m:r>
              <w:rPr>
                <w:rFonts w:ascii="Cambria Math" w:hAnsi="Cambria Math"/>
                <w:lang w:val="en"/>
              </w:rPr>
              <m:t>it</m:t>
            </m:r>
          </m:sub>
        </m:sSub>
      </m:oMath>
      <w:r w:rsidR="00E33D8D">
        <w:rPr>
          <w:rFonts w:ascii="Arial" w:eastAsiaTheme="minorEastAsia" w:hAnsi="Arial"/>
          <w:lang w:val="en"/>
        </w:rPr>
        <w:tab/>
      </w:r>
      <w:r w:rsidR="00E33D8D">
        <w:rPr>
          <w:rFonts w:ascii="Arial" w:eastAsiaTheme="minorEastAsia" w:hAnsi="Arial"/>
          <w:lang w:val="en"/>
        </w:rPr>
        <w:tab/>
      </w:r>
      <w:r w:rsidR="00E33D8D">
        <w:rPr>
          <w:rFonts w:ascii="Arial" w:eastAsiaTheme="minorEastAsia" w:hAnsi="Arial"/>
          <w:lang w:val="en"/>
        </w:rPr>
        <w:tab/>
        <w:t>(9)</w:t>
      </w:r>
      <m:oMath>
        <m:r>
          <m:rPr>
            <m:sty m:val="p"/>
          </m:rPr>
          <w:rPr>
            <w:rFonts w:ascii="Cambria Math" w:hAnsi="Cambria Math"/>
            <w:lang w:val="en"/>
          </w:rPr>
          <w:br/>
        </m:r>
      </m:oMath>
      <m:oMathPara>
        <m:oMathParaPr>
          <m:jc m:val="left"/>
        </m:oMathParaPr>
        <m:oMath>
          <m:r>
            <w:rPr>
              <w:rFonts w:ascii="Cambria Math" w:eastAsiaTheme="minorEastAsia" w:hAnsi="Cambria Math"/>
              <w:lang w:val="en"/>
            </w:rPr>
            <m:t xml:space="preserve">               +</m:t>
          </m:r>
          <m:sSub>
            <m:sSubPr>
              <m:ctrlPr>
                <w:rPr>
                  <w:rFonts w:ascii="Cambria Math" w:eastAsiaTheme="minorEastAsia" w:hAnsi="Cambria Math"/>
                  <w:i/>
                  <w:lang w:val="en"/>
                </w:rPr>
              </m:ctrlPr>
            </m:sSubPr>
            <m:e>
              <m:r>
                <w:rPr>
                  <w:rFonts w:ascii="Cambria Math" w:eastAsiaTheme="minorEastAsia" w:hAnsi="Cambria Math"/>
                  <w:lang w:val="en"/>
                </w:rPr>
                <m:t>b</m:t>
              </m:r>
            </m:e>
            <m:sub>
              <m:r>
                <w:rPr>
                  <w:rFonts w:ascii="Cambria Math" w:eastAsiaTheme="minorEastAsia" w:hAnsi="Cambria Math"/>
                  <w:lang w:val="en"/>
                </w:rPr>
                <m:t>1</m:t>
              </m:r>
            </m:sub>
          </m:sSub>
          <m:sSub>
            <m:sSubPr>
              <m:ctrlPr>
                <w:rPr>
                  <w:rFonts w:ascii="Cambria Math" w:eastAsiaTheme="minorEastAsia" w:hAnsi="Cambria Math"/>
                  <w:i/>
                  <w:lang w:val="en"/>
                </w:rPr>
              </m:ctrlPr>
            </m:sSubPr>
            <m:e>
              <m:r>
                <w:rPr>
                  <w:rFonts w:ascii="Cambria Math" w:eastAsiaTheme="minorEastAsia" w:hAnsi="Cambria Math"/>
                  <w:lang w:val="en"/>
                </w:rPr>
                <m:t>Type</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b</m:t>
              </m:r>
            </m:e>
            <m:sub>
              <m:r>
                <w:rPr>
                  <w:rFonts w:ascii="Cambria Math" w:eastAsiaTheme="minorEastAsia" w:hAnsi="Cambria Math"/>
                  <w:lang w:val="en"/>
                </w:rPr>
                <m:t>2</m:t>
              </m:r>
            </m:sub>
          </m:sSub>
          <m:sSub>
            <m:sSubPr>
              <m:ctrlPr>
                <w:rPr>
                  <w:rFonts w:ascii="Cambria Math" w:eastAsiaTheme="minorEastAsia" w:hAnsi="Cambria Math"/>
                  <w:i/>
                  <w:lang w:val="en"/>
                </w:rPr>
              </m:ctrlPr>
            </m:sSubPr>
            <m:e>
              <m:r>
                <w:rPr>
                  <w:rFonts w:ascii="Cambria Math" w:eastAsiaTheme="minorEastAsia" w:hAnsi="Cambria Math"/>
                  <w:lang w:val="en"/>
                </w:rPr>
                <m:t>H</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Type</m:t>
              </m:r>
            </m:e>
            <m:sub>
              <m:r>
                <w:rPr>
                  <w:rFonts w:ascii="Cambria Math" w:eastAsiaTheme="minorEastAsia" w:hAnsi="Cambria Math"/>
                  <w:lang w:val="en"/>
                </w:rPr>
                <m:t>it</m:t>
              </m:r>
            </m:sub>
          </m:sSub>
          <m:r>
            <m:rPr>
              <m:sty m:val="p"/>
            </m:rPr>
            <w:rPr>
              <w:rFonts w:ascii="Cambria Math" w:eastAsiaTheme="minorEastAsia" w:hAnsi="Cambria Math"/>
              <w:lang w:val="en"/>
            </w:rPr>
            <w:br/>
          </m:r>
        </m:oMath>
        <m:oMath>
          <m:r>
            <w:rPr>
              <w:rFonts w:ascii="Cambria Math" w:eastAsiaTheme="minorEastAsia" w:hAnsi="Cambria Math"/>
              <w:lang w:val="en"/>
            </w:rPr>
            <m:t xml:space="preserve">               +</m:t>
          </m:r>
          <m:sSub>
            <m:sSubPr>
              <m:ctrlPr>
                <w:rPr>
                  <w:rFonts w:ascii="Cambria Math" w:eastAsiaTheme="minorEastAsia" w:hAnsi="Cambria Math"/>
                  <w:i/>
                  <w:lang w:val="en"/>
                </w:rPr>
              </m:ctrlPr>
            </m:sSubPr>
            <m:e>
              <m:r>
                <w:rPr>
                  <w:rFonts w:ascii="Cambria Math" w:eastAsiaTheme="minorEastAsia" w:hAnsi="Cambria Math"/>
                  <w:lang w:val="en"/>
                </w:rPr>
                <m:t>c</m:t>
              </m:r>
            </m:e>
            <m:sub>
              <m:r>
                <w:rPr>
                  <w:rFonts w:ascii="Cambria Math" w:eastAsiaTheme="minorEastAsia" w:hAnsi="Cambria Math"/>
                  <w:lang w:val="en"/>
                </w:rPr>
                <m:t>1</m:t>
              </m:r>
            </m:sub>
          </m:sSub>
          <m:sSub>
            <m:sSubPr>
              <m:ctrlPr>
                <w:rPr>
                  <w:rFonts w:ascii="Cambria Math" w:eastAsiaTheme="minorEastAsia" w:hAnsi="Cambria Math"/>
                  <w:i/>
                  <w:lang w:val="en"/>
                </w:rPr>
              </m:ctrlPr>
            </m:sSubPr>
            <m:e>
              <m:r>
                <w:rPr>
                  <w:rFonts w:ascii="Cambria Math" w:eastAsiaTheme="minorEastAsia" w:hAnsi="Cambria Math"/>
                  <w:lang w:val="en"/>
                </w:rPr>
                <m:t>ExpInt</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Type</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c</m:t>
              </m:r>
            </m:e>
            <m:sub>
              <m:r>
                <w:rPr>
                  <w:rFonts w:ascii="Cambria Math" w:eastAsiaTheme="minorEastAsia" w:hAnsi="Cambria Math"/>
                  <w:lang w:val="en"/>
                </w:rPr>
                <m:t>2</m:t>
              </m:r>
            </m:sub>
          </m:sSub>
          <m:sSub>
            <m:sSubPr>
              <m:ctrlPr>
                <w:rPr>
                  <w:rFonts w:ascii="Cambria Math" w:eastAsiaTheme="minorEastAsia" w:hAnsi="Cambria Math"/>
                  <w:i/>
                  <w:lang w:val="en"/>
                </w:rPr>
              </m:ctrlPr>
            </m:sSubPr>
            <m:e>
              <m:r>
                <w:rPr>
                  <w:rFonts w:ascii="Cambria Math" w:eastAsiaTheme="minorEastAsia" w:hAnsi="Cambria Math"/>
                  <w:lang w:val="en"/>
                </w:rPr>
                <m:t>H</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ExpInt</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Type</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τ</m:t>
              </m:r>
            </m:e>
            <m:sub>
              <m:r>
                <w:rPr>
                  <w:rFonts w:ascii="Cambria Math" w:eastAsiaTheme="minorEastAsia" w:hAnsi="Cambria Math"/>
                  <w:lang w:val="en"/>
                </w:rPr>
                <m:t>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ϵ</m:t>
              </m:r>
            </m:e>
            <m:sub>
              <m:r>
                <w:rPr>
                  <w:rFonts w:ascii="Cambria Math" w:eastAsiaTheme="minorEastAsia" w:hAnsi="Cambria Math"/>
                  <w:lang w:val="en"/>
                </w:rPr>
                <m:t>it</m:t>
              </m:r>
            </m:sub>
          </m:sSub>
        </m:oMath>
      </m:oMathPara>
    </w:p>
    <w:p w14:paraId="35E12AD5" w14:textId="77777777" w:rsidR="00483A01" w:rsidRDefault="00483A01" w:rsidP="00483A01">
      <w:pPr>
        <w:spacing w:line="270" w:lineRule="exact"/>
        <w:ind w:left="0"/>
      </w:pPr>
      <w:r>
        <w:t xml:space="preserve">The variable </w:t>
      </w:r>
      <w:r>
        <w:rPr>
          <w:i/>
          <w:iCs/>
        </w:rPr>
        <w:t>Type</w:t>
      </w:r>
      <w:r>
        <w:t xml:space="preserve"> is a generic variable that can be replaced by either of </w:t>
      </w:r>
      <w:r>
        <w:rPr>
          <w:i/>
          <w:iCs/>
        </w:rPr>
        <w:t>Digital</w:t>
      </w:r>
      <w:r>
        <w:t xml:space="preserve">, </w:t>
      </w:r>
      <w:r>
        <w:fldChar w:fldCharType="begin"/>
      </w:r>
      <w:r>
        <w:instrText xml:space="preserve"> EQ </w:instrText>
      </w:r>
      <w:r>
        <w:rPr>
          <w:i/>
          <w:iCs/>
        </w:rPr>
        <w:instrText>LP</w:instrText>
      </w:r>
      <w:r>
        <w:instrText>(</w:instrText>
      </w:r>
      <w:r>
        <w:rPr>
          <w:i/>
          <w:iCs/>
        </w:rPr>
        <w:instrText>Q</w:instrText>
      </w:r>
      <w:r>
        <w:instrText>\s\do5(</w:instrText>
      </w:r>
      <w:r>
        <w:rPr>
          <w:sz w:val="16"/>
          <w:szCs w:val="16"/>
        </w:rPr>
        <w:instrText>3</w:instrText>
      </w:r>
      <w:r>
        <w:instrText>)/</w:instrText>
      </w:r>
      <w:r>
        <w:rPr>
          <w:i/>
          <w:iCs/>
        </w:rPr>
        <w:instrText>Q</w:instrText>
      </w:r>
      <w:r>
        <w:instrText>\s\do5(</w:instrText>
      </w:r>
      <w:r>
        <w:rPr>
          <w:sz w:val="16"/>
          <w:szCs w:val="16"/>
        </w:rPr>
        <w:instrText>1</w:instrText>
      </w:r>
      <w:r>
        <w:instrText>))</w:instrText>
      </w:r>
      <w:r>
        <w:fldChar w:fldCharType="end"/>
      </w:r>
      <w:r>
        <w:t xml:space="preserve"> or </w:t>
      </w:r>
      <w:r>
        <w:rPr>
          <w:i/>
          <w:iCs/>
        </w:rPr>
        <w:t>LP</w:t>
      </w:r>
      <w:r>
        <w:t xml:space="preserve"> </w:t>
      </w:r>
      <w:r>
        <w:rPr>
          <w:i/>
          <w:iCs/>
        </w:rPr>
        <w:t>Skew</w:t>
      </w:r>
      <w:r>
        <w:t>. In this model, I am adding all the interaction terms that test whether export intensity facilitates market domination</w:t>
      </w:r>
      <w:r w:rsidR="00A15B2D">
        <w:t xml:space="preserve"> within industries characteris</w:t>
      </w:r>
      <w:r>
        <w:t>ed by digital maturity or having dispersed or skewed productivity distributions. The estimated results for each case are reported in Table</w:t>
      </w:r>
      <w:r w:rsidR="00E63064">
        <w:t xml:space="preserve"> 5.11.</w:t>
      </w:r>
    </w:p>
    <w:p w14:paraId="35E12AD6" w14:textId="77777777" w:rsidR="00E33D8D" w:rsidRDefault="00E33D8D" w:rsidP="004B17CD">
      <w:pPr>
        <w:pStyle w:val="BodyText"/>
        <w:rPr>
          <w:rFonts w:ascii="Arial" w:eastAsiaTheme="minorEastAsia" w:hAnsi="Arial"/>
          <w:lang w:val="en"/>
        </w:rPr>
      </w:pPr>
    </w:p>
    <w:p w14:paraId="35E12AD7" w14:textId="77777777" w:rsidR="00483A01" w:rsidRDefault="00483A01" w:rsidP="004B17CD">
      <w:pPr>
        <w:pStyle w:val="BodyText"/>
        <w:rPr>
          <w:rFonts w:ascii="Arial" w:eastAsiaTheme="minorEastAsia" w:hAnsi="Arial"/>
          <w:lang w:val="en"/>
        </w:rPr>
      </w:pPr>
    </w:p>
    <w:p w14:paraId="35E12AD8" w14:textId="77777777" w:rsidR="00483A01" w:rsidRDefault="00483A01" w:rsidP="004B17CD">
      <w:pPr>
        <w:pStyle w:val="BodyText"/>
        <w:rPr>
          <w:rFonts w:ascii="Arial" w:eastAsiaTheme="minorEastAsia" w:hAnsi="Arial"/>
          <w:lang w:val="en"/>
        </w:rPr>
      </w:pPr>
    </w:p>
    <w:p w14:paraId="35E12AD9" w14:textId="77777777" w:rsidR="00483A01" w:rsidRDefault="00483A01" w:rsidP="004B17CD">
      <w:pPr>
        <w:pStyle w:val="BodyText"/>
        <w:rPr>
          <w:rFonts w:ascii="Arial" w:eastAsiaTheme="minorEastAsia" w:hAnsi="Arial"/>
          <w:lang w:val="en"/>
        </w:rPr>
      </w:pPr>
    </w:p>
    <w:p w14:paraId="35E12ADA" w14:textId="77777777" w:rsidR="00483A01" w:rsidRDefault="00483A01" w:rsidP="004B17CD">
      <w:pPr>
        <w:pStyle w:val="BodyText"/>
        <w:rPr>
          <w:rFonts w:ascii="Arial" w:eastAsiaTheme="minorEastAsia" w:hAnsi="Arial"/>
          <w:lang w:val="en"/>
        </w:rPr>
      </w:pPr>
    </w:p>
    <w:p w14:paraId="35E12ADB" w14:textId="77777777" w:rsidR="00483A01" w:rsidRDefault="00483A01" w:rsidP="004B17CD">
      <w:pPr>
        <w:pStyle w:val="BodyText"/>
        <w:rPr>
          <w:rFonts w:ascii="Arial" w:eastAsiaTheme="minorEastAsia" w:hAnsi="Arial"/>
          <w:lang w:val="en"/>
        </w:rPr>
      </w:pPr>
    </w:p>
    <w:p w14:paraId="35E12ADC" w14:textId="77777777" w:rsidR="00483A01" w:rsidRDefault="00483A01" w:rsidP="007307B1">
      <w:pPr>
        <w:pStyle w:val="Caption"/>
        <w:tabs>
          <w:tab w:val="left" w:pos="0"/>
        </w:tabs>
        <w:ind w:left="-1843"/>
      </w:pPr>
      <w:r w:rsidRPr="000618FB">
        <w:lastRenderedPageBreak/>
        <w:t xml:space="preserve">Table </w:t>
      </w:r>
      <w:r>
        <w:rPr>
          <w:noProof/>
        </w:rPr>
        <w:fldChar w:fldCharType="begin"/>
      </w:r>
      <w:r>
        <w:rPr>
          <w:noProof/>
        </w:rPr>
        <w:instrText xml:space="preserve"> STYLEREF 1 \s </w:instrText>
      </w:r>
      <w:r>
        <w:rPr>
          <w:noProof/>
        </w:rPr>
        <w:fldChar w:fldCharType="separate"/>
      </w:r>
      <w:r w:rsidR="00A20DE7">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11</w:t>
      </w:r>
      <w:r>
        <w:rPr>
          <w:noProof/>
        </w:rPr>
        <w:fldChar w:fldCharType="end"/>
      </w:r>
      <w:r w:rsidRPr="000618FB">
        <w:t xml:space="preserve">: </w:t>
      </w:r>
      <w:r>
        <w:t>The estimated effect of export intensity joint with other covariates on the change in HHI.</w:t>
      </w:r>
    </w:p>
    <w:tbl>
      <w:tblPr>
        <w:tblStyle w:val="OCETable"/>
        <w:tblW w:w="6250" w:type="pct"/>
        <w:tblInd w:w="-1877" w:type="dxa"/>
        <w:tblLayout w:type="fixed"/>
        <w:tblLook w:val="04A0" w:firstRow="1" w:lastRow="0" w:firstColumn="1" w:lastColumn="0" w:noHBand="0" w:noVBand="1"/>
        <w:tblCaption w:val="Table 5.11"/>
        <w:tblDescription w:val="The interaction between HHI , export intensity and Type hs a positive and significant coefficient during 2006-2012 period but only for when Type is set to productivity skewness or digital maturity."/>
      </w:tblPr>
      <w:tblGrid>
        <w:gridCol w:w="1834"/>
        <w:gridCol w:w="1258"/>
        <w:gridCol w:w="1257"/>
        <w:gridCol w:w="249"/>
        <w:gridCol w:w="1257"/>
        <w:gridCol w:w="1257"/>
        <w:gridCol w:w="249"/>
        <w:gridCol w:w="1257"/>
      </w:tblGrid>
      <w:tr w:rsidR="00483A01" w14:paraId="35E12ADE" w14:textId="77777777" w:rsidTr="008677CA">
        <w:trPr>
          <w:cnfStyle w:val="100000000000" w:firstRow="1" w:lastRow="0" w:firstColumn="0" w:lastColumn="0" w:oddVBand="0" w:evenVBand="0" w:oddHBand="0" w:evenHBand="0" w:firstRowFirstColumn="0" w:firstRowLastColumn="0" w:lastRowFirstColumn="0" w:lastRowLastColumn="0"/>
          <w:tblHeader/>
        </w:trPr>
        <w:tc>
          <w:tcPr>
            <w:tcW w:w="8618" w:type="dxa"/>
            <w:gridSpan w:val="8"/>
          </w:tcPr>
          <w:p w14:paraId="35E12ADD" w14:textId="77777777" w:rsidR="00483A01" w:rsidRDefault="00483A01" w:rsidP="00483A01">
            <w:pPr>
              <w:pStyle w:val="Tableheadertext"/>
            </w:pPr>
            <w:r>
              <w:t xml:space="preserve">Dependent: </w:t>
            </w:r>
            <w:r>
              <w:fldChar w:fldCharType="begin"/>
            </w:r>
            <w:r>
              <w:instrText xml:space="preserve"> EQ Δ\s\do5(</w:instrText>
            </w:r>
            <w:r>
              <w:rPr>
                <w:sz w:val="16"/>
                <w:szCs w:val="16"/>
              </w:rPr>
              <w:instrText>2</w:instrText>
            </w:r>
            <w:r>
              <w:instrText>)</w:instrText>
            </w:r>
            <w:r>
              <w:rPr>
                <w:i/>
                <w:iCs/>
              </w:rPr>
              <w:instrText>H</w:instrText>
            </w:r>
            <w:r>
              <w:instrText>\s\do5(</w:instrText>
            </w:r>
            <w:r>
              <w:rPr>
                <w:i/>
                <w:iCs/>
                <w:sz w:val="16"/>
                <w:szCs w:val="16"/>
              </w:rPr>
              <w:instrText>it</w:instrText>
            </w:r>
            <w:r>
              <w:instrText>)</w:instrText>
            </w:r>
            <w:r>
              <w:fldChar w:fldCharType="end"/>
            </w:r>
          </w:p>
        </w:tc>
      </w:tr>
      <w:tr w:rsidR="00483A01" w14:paraId="35E12AE7"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Pr>
          <w:p w14:paraId="35E12ADF" w14:textId="77777777" w:rsidR="00483A01" w:rsidRDefault="00483A01" w:rsidP="00483A01">
            <w:pPr>
              <w:pStyle w:val="Tablebodytext"/>
            </w:pPr>
            <w:r>
              <w:t>Variable</w:t>
            </w:r>
          </w:p>
        </w:tc>
        <w:tc>
          <w:tcPr>
            <w:tcW w:w="1258" w:type="dxa"/>
          </w:tcPr>
          <w:p w14:paraId="35E12AE0" w14:textId="77777777" w:rsidR="00483A01" w:rsidRDefault="00483A01" w:rsidP="00483A01">
            <w:pPr>
              <w:pStyle w:val="Tablebodytext"/>
            </w:pPr>
            <w:r>
              <w:t>(1)</w:t>
            </w:r>
          </w:p>
        </w:tc>
        <w:tc>
          <w:tcPr>
            <w:tcW w:w="1257" w:type="dxa"/>
          </w:tcPr>
          <w:p w14:paraId="35E12AE1" w14:textId="77777777" w:rsidR="00483A01" w:rsidRDefault="00483A01" w:rsidP="00483A01">
            <w:pPr>
              <w:pStyle w:val="Tablebodytext"/>
            </w:pPr>
            <w:r>
              <w:t>(2)</w:t>
            </w:r>
          </w:p>
        </w:tc>
        <w:tc>
          <w:tcPr>
            <w:tcW w:w="249" w:type="dxa"/>
          </w:tcPr>
          <w:p w14:paraId="35E12AE2" w14:textId="77777777" w:rsidR="00483A01" w:rsidRDefault="00483A01" w:rsidP="00483A01">
            <w:pPr>
              <w:pStyle w:val="Tablebodytext"/>
            </w:pPr>
          </w:p>
        </w:tc>
        <w:tc>
          <w:tcPr>
            <w:tcW w:w="1257" w:type="dxa"/>
          </w:tcPr>
          <w:p w14:paraId="35E12AE3" w14:textId="77777777" w:rsidR="00483A01" w:rsidRDefault="00483A01" w:rsidP="00483A01">
            <w:pPr>
              <w:pStyle w:val="Tablebodytext"/>
            </w:pPr>
            <w:r>
              <w:t>(3)</w:t>
            </w:r>
          </w:p>
        </w:tc>
        <w:tc>
          <w:tcPr>
            <w:tcW w:w="1257" w:type="dxa"/>
          </w:tcPr>
          <w:p w14:paraId="35E12AE4" w14:textId="77777777" w:rsidR="00483A01" w:rsidRDefault="00483A01" w:rsidP="00483A01">
            <w:pPr>
              <w:pStyle w:val="Tablebodytext"/>
            </w:pPr>
            <w:r>
              <w:t>(4)</w:t>
            </w:r>
          </w:p>
        </w:tc>
        <w:tc>
          <w:tcPr>
            <w:tcW w:w="249" w:type="dxa"/>
          </w:tcPr>
          <w:p w14:paraId="35E12AE5" w14:textId="77777777" w:rsidR="00483A01" w:rsidRDefault="00483A01" w:rsidP="00483A01">
            <w:pPr>
              <w:pStyle w:val="Tablebodytext"/>
            </w:pPr>
          </w:p>
        </w:tc>
        <w:tc>
          <w:tcPr>
            <w:tcW w:w="1257" w:type="dxa"/>
          </w:tcPr>
          <w:p w14:paraId="35E12AE6" w14:textId="77777777" w:rsidR="00483A01" w:rsidRDefault="00483A01" w:rsidP="00483A01">
            <w:pPr>
              <w:pStyle w:val="Tablebodytext"/>
            </w:pPr>
            <w:r>
              <w:t>(5)</w:t>
            </w:r>
          </w:p>
        </w:tc>
      </w:tr>
      <w:tr w:rsidR="00483A01" w14:paraId="35E12AF0"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Pr>
          <w:p w14:paraId="35E12AE8" w14:textId="77777777" w:rsidR="00483A01" w:rsidRDefault="00483A01" w:rsidP="00483A01">
            <w:pPr>
              <w:pStyle w:val="Tablebodytext"/>
            </w:pPr>
            <w:r>
              <w:t xml:space="preserve"> </w:t>
            </w:r>
            <w:r>
              <w:rPr>
                <w:i/>
                <w:iCs/>
              </w:rPr>
              <w:t>H</w:t>
            </w:r>
          </w:p>
        </w:tc>
        <w:tc>
          <w:tcPr>
            <w:tcW w:w="1258" w:type="dxa"/>
          </w:tcPr>
          <w:p w14:paraId="35E12AE9" w14:textId="77777777" w:rsidR="00483A01" w:rsidRDefault="00483A01" w:rsidP="00483A01">
            <w:pPr>
              <w:pStyle w:val="Tablebodytext"/>
            </w:pPr>
            <w:r>
              <w:t>−0.256***</w:t>
            </w:r>
          </w:p>
        </w:tc>
        <w:tc>
          <w:tcPr>
            <w:tcW w:w="1257" w:type="dxa"/>
          </w:tcPr>
          <w:p w14:paraId="35E12AEA" w14:textId="77777777" w:rsidR="00483A01" w:rsidRDefault="00483A01" w:rsidP="00483A01">
            <w:pPr>
              <w:pStyle w:val="Tablebodytext"/>
            </w:pPr>
            <w:r>
              <w:t>−0.073**</w:t>
            </w:r>
          </w:p>
        </w:tc>
        <w:tc>
          <w:tcPr>
            <w:tcW w:w="249" w:type="dxa"/>
          </w:tcPr>
          <w:p w14:paraId="35E12AEB" w14:textId="77777777" w:rsidR="00483A01" w:rsidRDefault="00483A01" w:rsidP="00483A01">
            <w:pPr>
              <w:pStyle w:val="Tablebodytext"/>
            </w:pPr>
          </w:p>
        </w:tc>
        <w:tc>
          <w:tcPr>
            <w:tcW w:w="1257" w:type="dxa"/>
          </w:tcPr>
          <w:p w14:paraId="35E12AEC" w14:textId="77777777" w:rsidR="00483A01" w:rsidRDefault="00483A01" w:rsidP="00483A01">
            <w:pPr>
              <w:pStyle w:val="Tablebodytext"/>
            </w:pPr>
            <w:r>
              <w:t>−0.110***</w:t>
            </w:r>
          </w:p>
        </w:tc>
        <w:tc>
          <w:tcPr>
            <w:tcW w:w="1257" w:type="dxa"/>
          </w:tcPr>
          <w:p w14:paraId="35E12AED" w14:textId="77777777" w:rsidR="00483A01" w:rsidRDefault="00483A01" w:rsidP="00483A01">
            <w:pPr>
              <w:pStyle w:val="Tablebodytext"/>
            </w:pPr>
            <w:r>
              <w:t>−0.150***</w:t>
            </w:r>
          </w:p>
        </w:tc>
        <w:tc>
          <w:tcPr>
            <w:tcW w:w="249" w:type="dxa"/>
          </w:tcPr>
          <w:p w14:paraId="35E12AEE" w14:textId="77777777" w:rsidR="00483A01" w:rsidRDefault="00483A01" w:rsidP="00483A01">
            <w:pPr>
              <w:pStyle w:val="Tablebodytext"/>
            </w:pPr>
          </w:p>
        </w:tc>
        <w:tc>
          <w:tcPr>
            <w:tcW w:w="1257" w:type="dxa"/>
          </w:tcPr>
          <w:p w14:paraId="35E12AEF" w14:textId="77777777" w:rsidR="00483A01" w:rsidRDefault="00483A01" w:rsidP="00483A01">
            <w:pPr>
              <w:pStyle w:val="Tablebodytext"/>
            </w:pPr>
            <w:r>
              <w:t>−0.187***</w:t>
            </w:r>
          </w:p>
        </w:tc>
      </w:tr>
      <w:tr w:rsidR="00483A01" w14:paraId="35E12AF9"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Pr>
          <w:p w14:paraId="35E12AF1" w14:textId="77777777" w:rsidR="00483A01" w:rsidRDefault="00483A01" w:rsidP="00483A01">
            <w:pPr>
              <w:pStyle w:val="Tablebodytext"/>
            </w:pPr>
          </w:p>
        </w:tc>
        <w:tc>
          <w:tcPr>
            <w:tcW w:w="1258" w:type="dxa"/>
          </w:tcPr>
          <w:p w14:paraId="35E12AF2" w14:textId="77777777" w:rsidR="00483A01" w:rsidRDefault="00483A01" w:rsidP="00483A01">
            <w:pPr>
              <w:pStyle w:val="Tablebodytext"/>
            </w:pPr>
            <w:r>
              <w:t>(0.028)</w:t>
            </w:r>
          </w:p>
        </w:tc>
        <w:tc>
          <w:tcPr>
            <w:tcW w:w="1257" w:type="dxa"/>
          </w:tcPr>
          <w:p w14:paraId="35E12AF3" w14:textId="77777777" w:rsidR="00483A01" w:rsidRDefault="00483A01" w:rsidP="00483A01">
            <w:pPr>
              <w:pStyle w:val="Tablebodytext"/>
            </w:pPr>
            <w:r>
              <w:t>(0.030)</w:t>
            </w:r>
          </w:p>
        </w:tc>
        <w:tc>
          <w:tcPr>
            <w:tcW w:w="249" w:type="dxa"/>
          </w:tcPr>
          <w:p w14:paraId="35E12AF4" w14:textId="77777777" w:rsidR="00483A01" w:rsidRDefault="00483A01" w:rsidP="00483A01">
            <w:pPr>
              <w:pStyle w:val="Tablebodytext"/>
            </w:pPr>
          </w:p>
        </w:tc>
        <w:tc>
          <w:tcPr>
            <w:tcW w:w="1257" w:type="dxa"/>
          </w:tcPr>
          <w:p w14:paraId="35E12AF5" w14:textId="77777777" w:rsidR="00483A01" w:rsidRDefault="00483A01" w:rsidP="00483A01">
            <w:pPr>
              <w:pStyle w:val="Tablebodytext"/>
            </w:pPr>
            <w:r>
              <w:t>(0.019)</w:t>
            </w:r>
          </w:p>
        </w:tc>
        <w:tc>
          <w:tcPr>
            <w:tcW w:w="1257" w:type="dxa"/>
          </w:tcPr>
          <w:p w14:paraId="35E12AF6" w14:textId="77777777" w:rsidR="00483A01" w:rsidRDefault="00483A01" w:rsidP="00483A01">
            <w:pPr>
              <w:pStyle w:val="Tablebodytext"/>
            </w:pPr>
            <w:r>
              <w:t>(0.023)</w:t>
            </w:r>
          </w:p>
        </w:tc>
        <w:tc>
          <w:tcPr>
            <w:tcW w:w="249" w:type="dxa"/>
          </w:tcPr>
          <w:p w14:paraId="35E12AF7" w14:textId="77777777" w:rsidR="00483A01" w:rsidRDefault="00483A01" w:rsidP="00483A01">
            <w:pPr>
              <w:pStyle w:val="Tablebodytext"/>
            </w:pPr>
          </w:p>
        </w:tc>
        <w:tc>
          <w:tcPr>
            <w:tcW w:w="1257" w:type="dxa"/>
          </w:tcPr>
          <w:p w14:paraId="35E12AF8" w14:textId="77777777" w:rsidR="00483A01" w:rsidRDefault="00483A01" w:rsidP="00483A01">
            <w:pPr>
              <w:pStyle w:val="Tablebodytext"/>
            </w:pPr>
            <w:r>
              <w:t>(0.022)</w:t>
            </w:r>
          </w:p>
        </w:tc>
      </w:tr>
      <w:tr w:rsidR="00483A01" w14:paraId="35E12B02"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Pr>
          <w:p w14:paraId="35E12AFA" w14:textId="77777777" w:rsidR="00483A01" w:rsidRDefault="00483A01" w:rsidP="00483A01">
            <w:pPr>
              <w:pStyle w:val="Tablebodytext"/>
            </w:pPr>
            <w:r>
              <w:rPr>
                <w:i/>
                <w:iCs/>
              </w:rPr>
              <w:t>ExpInt</w:t>
            </w:r>
          </w:p>
        </w:tc>
        <w:tc>
          <w:tcPr>
            <w:tcW w:w="1258" w:type="dxa"/>
          </w:tcPr>
          <w:p w14:paraId="35E12AFB" w14:textId="77777777" w:rsidR="00483A01" w:rsidRDefault="00483A01" w:rsidP="00483A01">
            <w:pPr>
              <w:pStyle w:val="Tablebodytext"/>
            </w:pPr>
            <w:r>
              <w:t>0.023</w:t>
            </w:r>
          </w:p>
        </w:tc>
        <w:tc>
          <w:tcPr>
            <w:tcW w:w="1257" w:type="dxa"/>
          </w:tcPr>
          <w:p w14:paraId="35E12AFC" w14:textId="77777777" w:rsidR="00483A01" w:rsidRDefault="00483A01" w:rsidP="00483A01">
            <w:pPr>
              <w:pStyle w:val="Tablebodytext"/>
            </w:pPr>
            <w:r>
              <w:t>−0.100**</w:t>
            </w:r>
          </w:p>
        </w:tc>
        <w:tc>
          <w:tcPr>
            <w:tcW w:w="249" w:type="dxa"/>
          </w:tcPr>
          <w:p w14:paraId="35E12AFD" w14:textId="77777777" w:rsidR="00483A01" w:rsidRDefault="00483A01" w:rsidP="00483A01">
            <w:pPr>
              <w:pStyle w:val="Tablebodytext"/>
            </w:pPr>
          </w:p>
        </w:tc>
        <w:tc>
          <w:tcPr>
            <w:tcW w:w="1257" w:type="dxa"/>
          </w:tcPr>
          <w:p w14:paraId="35E12AFE" w14:textId="77777777" w:rsidR="00483A01" w:rsidRDefault="00483A01" w:rsidP="00483A01">
            <w:pPr>
              <w:pStyle w:val="Tablebodytext"/>
            </w:pPr>
            <w:r>
              <w:t>−0.014</w:t>
            </w:r>
          </w:p>
        </w:tc>
        <w:tc>
          <w:tcPr>
            <w:tcW w:w="1257" w:type="dxa"/>
          </w:tcPr>
          <w:p w14:paraId="35E12AFF" w14:textId="77777777" w:rsidR="00483A01" w:rsidRDefault="00483A01" w:rsidP="00483A01">
            <w:pPr>
              <w:pStyle w:val="Tablebodytext"/>
            </w:pPr>
            <w:r>
              <w:t>−0.005</w:t>
            </w:r>
          </w:p>
        </w:tc>
        <w:tc>
          <w:tcPr>
            <w:tcW w:w="249" w:type="dxa"/>
          </w:tcPr>
          <w:p w14:paraId="35E12B00" w14:textId="77777777" w:rsidR="00483A01" w:rsidRDefault="00483A01" w:rsidP="00483A01">
            <w:pPr>
              <w:pStyle w:val="Tablebodytext"/>
            </w:pPr>
          </w:p>
        </w:tc>
        <w:tc>
          <w:tcPr>
            <w:tcW w:w="1257" w:type="dxa"/>
          </w:tcPr>
          <w:p w14:paraId="35E12B01" w14:textId="77777777" w:rsidR="00483A01" w:rsidRDefault="00483A01" w:rsidP="00483A01">
            <w:pPr>
              <w:pStyle w:val="Tablebodytext"/>
            </w:pPr>
            <w:r>
              <w:t>−0.081*</w:t>
            </w:r>
          </w:p>
        </w:tc>
      </w:tr>
      <w:tr w:rsidR="00483A01" w14:paraId="35E12B0B"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Pr>
          <w:p w14:paraId="35E12B03" w14:textId="77777777" w:rsidR="00483A01" w:rsidRDefault="00483A01" w:rsidP="00483A01">
            <w:pPr>
              <w:pStyle w:val="Tablebodytext"/>
            </w:pPr>
          </w:p>
        </w:tc>
        <w:tc>
          <w:tcPr>
            <w:tcW w:w="1258" w:type="dxa"/>
          </w:tcPr>
          <w:p w14:paraId="35E12B04" w14:textId="77777777" w:rsidR="00483A01" w:rsidRDefault="00483A01" w:rsidP="00483A01">
            <w:pPr>
              <w:pStyle w:val="Tablebodytext"/>
            </w:pPr>
            <w:r>
              <w:t>(0.049)</w:t>
            </w:r>
          </w:p>
        </w:tc>
        <w:tc>
          <w:tcPr>
            <w:tcW w:w="1257" w:type="dxa"/>
          </w:tcPr>
          <w:p w14:paraId="35E12B05" w14:textId="77777777" w:rsidR="00483A01" w:rsidRDefault="00483A01" w:rsidP="00483A01">
            <w:pPr>
              <w:pStyle w:val="Tablebodytext"/>
            </w:pPr>
            <w:r>
              <w:t>(0.045)</w:t>
            </w:r>
          </w:p>
        </w:tc>
        <w:tc>
          <w:tcPr>
            <w:tcW w:w="249" w:type="dxa"/>
          </w:tcPr>
          <w:p w14:paraId="35E12B06" w14:textId="77777777" w:rsidR="00483A01" w:rsidRDefault="00483A01" w:rsidP="00483A01">
            <w:pPr>
              <w:pStyle w:val="Tablebodytext"/>
            </w:pPr>
          </w:p>
        </w:tc>
        <w:tc>
          <w:tcPr>
            <w:tcW w:w="1257" w:type="dxa"/>
          </w:tcPr>
          <w:p w14:paraId="35E12B07" w14:textId="77777777" w:rsidR="00483A01" w:rsidRDefault="00483A01" w:rsidP="00483A01">
            <w:pPr>
              <w:pStyle w:val="Tablebodytext"/>
            </w:pPr>
            <w:r>
              <w:t>(0.034)</w:t>
            </w:r>
          </w:p>
        </w:tc>
        <w:tc>
          <w:tcPr>
            <w:tcW w:w="1257" w:type="dxa"/>
          </w:tcPr>
          <w:p w14:paraId="35E12B08" w14:textId="77777777" w:rsidR="00483A01" w:rsidRDefault="00483A01" w:rsidP="00483A01">
            <w:pPr>
              <w:pStyle w:val="Tablebodytext"/>
            </w:pPr>
            <w:r>
              <w:t>(0.040)</w:t>
            </w:r>
          </w:p>
        </w:tc>
        <w:tc>
          <w:tcPr>
            <w:tcW w:w="249" w:type="dxa"/>
          </w:tcPr>
          <w:p w14:paraId="35E12B09" w14:textId="77777777" w:rsidR="00483A01" w:rsidRDefault="00483A01" w:rsidP="00483A01">
            <w:pPr>
              <w:pStyle w:val="Tablebodytext"/>
            </w:pPr>
          </w:p>
        </w:tc>
        <w:tc>
          <w:tcPr>
            <w:tcW w:w="1257" w:type="dxa"/>
          </w:tcPr>
          <w:p w14:paraId="35E12B0A" w14:textId="77777777" w:rsidR="00483A01" w:rsidRDefault="00483A01" w:rsidP="00483A01">
            <w:pPr>
              <w:pStyle w:val="Tablebodytext"/>
            </w:pPr>
            <w:r>
              <w:t>(0.044)</w:t>
            </w:r>
          </w:p>
        </w:tc>
      </w:tr>
      <w:tr w:rsidR="00483A01" w14:paraId="35E12B14"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Pr>
          <w:p w14:paraId="35E12B0C" w14:textId="77777777" w:rsidR="00483A01" w:rsidRDefault="00483A01" w:rsidP="00483A01">
            <w:pPr>
              <w:pStyle w:val="Tablebodytext"/>
            </w:pPr>
            <w:r>
              <w:rPr>
                <w:i/>
                <w:iCs/>
              </w:rPr>
              <w:t>H</w:t>
            </w:r>
            <w:r>
              <w:t>×</w:t>
            </w:r>
            <w:r>
              <w:rPr>
                <w:i/>
                <w:iCs/>
              </w:rPr>
              <w:t>ExpInt</w:t>
            </w:r>
          </w:p>
        </w:tc>
        <w:tc>
          <w:tcPr>
            <w:tcW w:w="1258" w:type="dxa"/>
          </w:tcPr>
          <w:p w14:paraId="35E12B0D" w14:textId="77777777" w:rsidR="00483A01" w:rsidRDefault="00483A01" w:rsidP="00483A01">
            <w:pPr>
              <w:pStyle w:val="Tablebodytext"/>
            </w:pPr>
            <w:r>
              <w:t>−0.052</w:t>
            </w:r>
          </w:p>
        </w:tc>
        <w:tc>
          <w:tcPr>
            <w:tcW w:w="1257" w:type="dxa"/>
          </w:tcPr>
          <w:p w14:paraId="35E12B0E" w14:textId="77777777" w:rsidR="00483A01" w:rsidRDefault="00483A01" w:rsidP="00483A01">
            <w:pPr>
              <w:pStyle w:val="Tablebodytext"/>
            </w:pPr>
            <w:r>
              <w:t>0.868***</w:t>
            </w:r>
          </w:p>
        </w:tc>
        <w:tc>
          <w:tcPr>
            <w:tcW w:w="249" w:type="dxa"/>
          </w:tcPr>
          <w:p w14:paraId="35E12B0F" w14:textId="77777777" w:rsidR="00483A01" w:rsidRDefault="00483A01" w:rsidP="00483A01">
            <w:pPr>
              <w:pStyle w:val="Tablebodytext"/>
            </w:pPr>
          </w:p>
        </w:tc>
        <w:tc>
          <w:tcPr>
            <w:tcW w:w="1257" w:type="dxa"/>
          </w:tcPr>
          <w:p w14:paraId="35E12B10" w14:textId="77777777" w:rsidR="00483A01" w:rsidRDefault="00483A01" w:rsidP="00483A01">
            <w:pPr>
              <w:pStyle w:val="Tablebodytext"/>
            </w:pPr>
            <w:r>
              <w:t>0.757**</w:t>
            </w:r>
          </w:p>
        </w:tc>
        <w:tc>
          <w:tcPr>
            <w:tcW w:w="1257" w:type="dxa"/>
          </w:tcPr>
          <w:p w14:paraId="35E12B11" w14:textId="77777777" w:rsidR="00483A01" w:rsidRDefault="00483A01" w:rsidP="00483A01">
            <w:pPr>
              <w:pStyle w:val="Tablebodytext"/>
            </w:pPr>
            <w:r>
              <w:t>−0.675**</w:t>
            </w:r>
          </w:p>
        </w:tc>
        <w:tc>
          <w:tcPr>
            <w:tcW w:w="249" w:type="dxa"/>
          </w:tcPr>
          <w:p w14:paraId="35E12B12" w14:textId="77777777" w:rsidR="00483A01" w:rsidRDefault="00483A01" w:rsidP="00483A01">
            <w:pPr>
              <w:pStyle w:val="Tablebodytext"/>
            </w:pPr>
          </w:p>
        </w:tc>
        <w:tc>
          <w:tcPr>
            <w:tcW w:w="1257" w:type="dxa"/>
          </w:tcPr>
          <w:p w14:paraId="35E12B13" w14:textId="77777777" w:rsidR="00483A01" w:rsidRDefault="00483A01" w:rsidP="00483A01">
            <w:pPr>
              <w:pStyle w:val="Tablebodytext"/>
            </w:pPr>
            <w:r>
              <w:t>1.060***</w:t>
            </w:r>
          </w:p>
        </w:tc>
      </w:tr>
      <w:tr w:rsidR="00483A01" w14:paraId="35E12B1D"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Pr>
          <w:p w14:paraId="35E12B15" w14:textId="77777777" w:rsidR="00483A01" w:rsidRDefault="00483A01" w:rsidP="00483A01">
            <w:pPr>
              <w:pStyle w:val="Tablebodytext"/>
            </w:pPr>
          </w:p>
        </w:tc>
        <w:tc>
          <w:tcPr>
            <w:tcW w:w="1258" w:type="dxa"/>
          </w:tcPr>
          <w:p w14:paraId="35E12B16" w14:textId="77777777" w:rsidR="00483A01" w:rsidRDefault="00483A01" w:rsidP="00483A01">
            <w:pPr>
              <w:pStyle w:val="Tablebodytext"/>
            </w:pPr>
            <w:r>
              <w:t>(0.537)</w:t>
            </w:r>
          </w:p>
        </w:tc>
        <w:tc>
          <w:tcPr>
            <w:tcW w:w="1257" w:type="dxa"/>
          </w:tcPr>
          <w:p w14:paraId="35E12B17" w14:textId="77777777" w:rsidR="00483A01" w:rsidRDefault="00483A01" w:rsidP="00483A01">
            <w:pPr>
              <w:pStyle w:val="Tablebodytext"/>
            </w:pPr>
            <w:r>
              <w:t>(0.264)</w:t>
            </w:r>
          </w:p>
        </w:tc>
        <w:tc>
          <w:tcPr>
            <w:tcW w:w="249" w:type="dxa"/>
          </w:tcPr>
          <w:p w14:paraId="35E12B18" w14:textId="77777777" w:rsidR="00483A01" w:rsidRDefault="00483A01" w:rsidP="00483A01">
            <w:pPr>
              <w:pStyle w:val="Tablebodytext"/>
            </w:pPr>
          </w:p>
        </w:tc>
        <w:tc>
          <w:tcPr>
            <w:tcW w:w="1257" w:type="dxa"/>
          </w:tcPr>
          <w:p w14:paraId="35E12B19" w14:textId="77777777" w:rsidR="00483A01" w:rsidRDefault="00483A01" w:rsidP="00483A01">
            <w:pPr>
              <w:pStyle w:val="Tablebodytext"/>
            </w:pPr>
            <w:r>
              <w:t>(0.304)</w:t>
            </w:r>
          </w:p>
        </w:tc>
        <w:tc>
          <w:tcPr>
            <w:tcW w:w="1257" w:type="dxa"/>
          </w:tcPr>
          <w:p w14:paraId="35E12B1A" w14:textId="77777777" w:rsidR="00483A01" w:rsidRDefault="00483A01" w:rsidP="00483A01">
            <w:pPr>
              <w:pStyle w:val="Tablebodytext"/>
            </w:pPr>
            <w:r>
              <w:t>(0.297)</w:t>
            </w:r>
          </w:p>
        </w:tc>
        <w:tc>
          <w:tcPr>
            <w:tcW w:w="249" w:type="dxa"/>
          </w:tcPr>
          <w:p w14:paraId="35E12B1B" w14:textId="77777777" w:rsidR="00483A01" w:rsidRDefault="00483A01" w:rsidP="00483A01">
            <w:pPr>
              <w:pStyle w:val="Tablebodytext"/>
            </w:pPr>
          </w:p>
        </w:tc>
        <w:tc>
          <w:tcPr>
            <w:tcW w:w="1257" w:type="dxa"/>
          </w:tcPr>
          <w:p w14:paraId="35E12B1C" w14:textId="77777777" w:rsidR="00483A01" w:rsidRDefault="00483A01" w:rsidP="00483A01">
            <w:pPr>
              <w:pStyle w:val="Tablebodytext"/>
            </w:pPr>
            <w:r>
              <w:t>(0.220)</w:t>
            </w:r>
          </w:p>
        </w:tc>
      </w:tr>
      <w:tr w:rsidR="00483A01" w14:paraId="35E12B26"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Pr>
          <w:p w14:paraId="35E12B1E" w14:textId="77777777" w:rsidR="00483A01" w:rsidRDefault="00483A01" w:rsidP="00483A01">
            <w:pPr>
              <w:pStyle w:val="Tablebodytext"/>
            </w:pPr>
            <w:r>
              <w:rPr>
                <w:i/>
                <w:iCs/>
              </w:rPr>
              <w:t>Type</w:t>
            </w:r>
          </w:p>
        </w:tc>
        <w:tc>
          <w:tcPr>
            <w:tcW w:w="1258" w:type="dxa"/>
          </w:tcPr>
          <w:p w14:paraId="35E12B1F" w14:textId="77777777" w:rsidR="00483A01" w:rsidRDefault="00483A01" w:rsidP="00483A01">
            <w:pPr>
              <w:pStyle w:val="Tablebodytext"/>
            </w:pPr>
            <w:r>
              <w:t>−0.003**</w:t>
            </w:r>
          </w:p>
        </w:tc>
        <w:tc>
          <w:tcPr>
            <w:tcW w:w="1257" w:type="dxa"/>
          </w:tcPr>
          <w:p w14:paraId="35E12B20" w14:textId="77777777" w:rsidR="00483A01" w:rsidRDefault="00483A01" w:rsidP="00483A01">
            <w:pPr>
              <w:pStyle w:val="Tablebodytext"/>
            </w:pPr>
            <w:r>
              <w:t>0.002</w:t>
            </w:r>
          </w:p>
        </w:tc>
        <w:tc>
          <w:tcPr>
            <w:tcW w:w="249" w:type="dxa"/>
          </w:tcPr>
          <w:p w14:paraId="35E12B21" w14:textId="77777777" w:rsidR="00483A01" w:rsidRDefault="00483A01" w:rsidP="00483A01">
            <w:pPr>
              <w:pStyle w:val="Tablebodytext"/>
            </w:pPr>
          </w:p>
        </w:tc>
        <w:tc>
          <w:tcPr>
            <w:tcW w:w="1257" w:type="dxa"/>
          </w:tcPr>
          <w:p w14:paraId="35E12B22" w14:textId="77777777" w:rsidR="00483A01" w:rsidRDefault="00483A01" w:rsidP="00483A01">
            <w:pPr>
              <w:pStyle w:val="Tablebodytext"/>
            </w:pPr>
            <w:r>
              <w:t>−0.0002**</w:t>
            </w:r>
          </w:p>
        </w:tc>
        <w:tc>
          <w:tcPr>
            <w:tcW w:w="1257" w:type="dxa"/>
          </w:tcPr>
          <w:p w14:paraId="35E12B23" w14:textId="77777777" w:rsidR="00483A01" w:rsidRDefault="00483A01" w:rsidP="00483A01">
            <w:pPr>
              <w:pStyle w:val="Tablebodytext"/>
            </w:pPr>
            <w:r>
              <w:t>−0.0001</w:t>
            </w:r>
          </w:p>
        </w:tc>
        <w:tc>
          <w:tcPr>
            <w:tcW w:w="249" w:type="dxa"/>
          </w:tcPr>
          <w:p w14:paraId="35E12B24" w14:textId="77777777" w:rsidR="00483A01" w:rsidRDefault="00483A01" w:rsidP="00483A01">
            <w:pPr>
              <w:pStyle w:val="Tablebodytext"/>
            </w:pPr>
          </w:p>
        </w:tc>
        <w:tc>
          <w:tcPr>
            <w:tcW w:w="1257" w:type="dxa"/>
          </w:tcPr>
          <w:p w14:paraId="35E12B25" w14:textId="77777777" w:rsidR="00483A01" w:rsidRDefault="00483A01" w:rsidP="00483A01">
            <w:pPr>
              <w:pStyle w:val="Tablebodytext"/>
            </w:pPr>
            <w:r>
              <w:t>0.004</w:t>
            </w:r>
          </w:p>
        </w:tc>
      </w:tr>
      <w:tr w:rsidR="00483A01" w14:paraId="35E12B2F"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Pr>
          <w:p w14:paraId="35E12B27" w14:textId="77777777" w:rsidR="00483A01" w:rsidRDefault="00483A01" w:rsidP="00483A01">
            <w:pPr>
              <w:pStyle w:val="Tablebodytext"/>
            </w:pPr>
          </w:p>
        </w:tc>
        <w:tc>
          <w:tcPr>
            <w:tcW w:w="1258" w:type="dxa"/>
          </w:tcPr>
          <w:p w14:paraId="35E12B28" w14:textId="77777777" w:rsidR="00483A01" w:rsidRDefault="00483A01" w:rsidP="00483A01">
            <w:pPr>
              <w:pStyle w:val="Tablebodytext"/>
            </w:pPr>
            <w:r>
              <w:t>(0.001)</w:t>
            </w:r>
          </w:p>
        </w:tc>
        <w:tc>
          <w:tcPr>
            <w:tcW w:w="1257" w:type="dxa"/>
          </w:tcPr>
          <w:p w14:paraId="35E12B29" w14:textId="77777777" w:rsidR="00483A01" w:rsidRDefault="00483A01" w:rsidP="00483A01">
            <w:pPr>
              <w:pStyle w:val="Tablebodytext"/>
            </w:pPr>
            <w:r>
              <w:t>(0.002)</w:t>
            </w:r>
          </w:p>
        </w:tc>
        <w:tc>
          <w:tcPr>
            <w:tcW w:w="249" w:type="dxa"/>
          </w:tcPr>
          <w:p w14:paraId="35E12B2A" w14:textId="77777777" w:rsidR="00483A01" w:rsidRDefault="00483A01" w:rsidP="00483A01">
            <w:pPr>
              <w:pStyle w:val="Tablebodytext"/>
            </w:pPr>
          </w:p>
        </w:tc>
        <w:tc>
          <w:tcPr>
            <w:tcW w:w="1257" w:type="dxa"/>
          </w:tcPr>
          <w:p w14:paraId="35E12B2B" w14:textId="77777777" w:rsidR="00483A01" w:rsidRDefault="00483A01" w:rsidP="00483A01">
            <w:pPr>
              <w:pStyle w:val="Tablebodytext"/>
            </w:pPr>
            <w:r>
              <w:t>(0.0001)</w:t>
            </w:r>
          </w:p>
        </w:tc>
        <w:tc>
          <w:tcPr>
            <w:tcW w:w="1257" w:type="dxa"/>
          </w:tcPr>
          <w:p w14:paraId="35E12B2C" w14:textId="77777777" w:rsidR="00483A01" w:rsidRDefault="00483A01" w:rsidP="00483A01">
            <w:pPr>
              <w:pStyle w:val="Tablebodytext"/>
            </w:pPr>
            <w:r>
              <w:t>(0.0001)</w:t>
            </w:r>
          </w:p>
        </w:tc>
        <w:tc>
          <w:tcPr>
            <w:tcW w:w="249" w:type="dxa"/>
          </w:tcPr>
          <w:p w14:paraId="35E12B2D" w14:textId="77777777" w:rsidR="00483A01" w:rsidRDefault="00483A01" w:rsidP="00483A01">
            <w:pPr>
              <w:pStyle w:val="Tablebodytext"/>
            </w:pPr>
          </w:p>
        </w:tc>
        <w:tc>
          <w:tcPr>
            <w:tcW w:w="1257" w:type="dxa"/>
          </w:tcPr>
          <w:p w14:paraId="35E12B2E" w14:textId="77777777" w:rsidR="00483A01" w:rsidRDefault="00483A01" w:rsidP="00483A01">
            <w:pPr>
              <w:pStyle w:val="Tablebodytext"/>
            </w:pPr>
            <w:r>
              <w:t>(0.003)</w:t>
            </w:r>
          </w:p>
        </w:tc>
      </w:tr>
      <w:tr w:rsidR="00483A01" w14:paraId="35E12B38"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Pr>
          <w:p w14:paraId="35E12B30" w14:textId="77777777" w:rsidR="00483A01" w:rsidRDefault="00483A01" w:rsidP="00483A01">
            <w:pPr>
              <w:pStyle w:val="Tablebodytext"/>
            </w:pPr>
            <w:r>
              <w:rPr>
                <w:i/>
                <w:iCs/>
              </w:rPr>
              <w:t>H</w:t>
            </w:r>
            <w:r>
              <w:t>×</w:t>
            </w:r>
            <w:r>
              <w:rPr>
                <w:i/>
                <w:iCs/>
              </w:rPr>
              <w:t>Type</w:t>
            </w:r>
          </w:p>
        </w:tc>
        <w:tc>
          <w:tcPr>
            <w:tcW w:w="1258" w:type="dxa"/>
          </w:tcPr>
          <w:p w14:paraId="35E12B31" w14:textId="77777777" w:rsidR="00483A01" w:rsidRDefault="00483A01" w:rsidP="00483A01">
            <w:pPr>
              <w:pStyle w:val="Tablebodytext"/>
            </w:pPr>
            <w:r>
              <w:t>0.028***</w:t>
            </w:r>
          </w:p>
        </w:tc>
        <w:tc>
          <w:tcPr>
            <w:tcW w:w="1257" w:type="dxa"/>
          </w:tcPr>
          <w:p w14:paraId="35E12B32" w14:textId="77777777" w:rsidR="00483A01" w:rsidRDefault="00483A01" w:rsidP="00483A01">
            <w:pPr>
              <w:pStyle w:val="Tablebodytext"/>
            </w:pPr>
            <w:r>
              <w:t>−0.039***</w:t>
            </w:r>
          </w:p>
        </w:tc>
        <w:tc>
          <w:tcPr>
            <w:tcW w:w="249" w:type="dxa"/>
          </w:tcPr>
          <w:p w14:paraId="35E12B33" w14:textId="77777777" w:rsidR="00483A01" w:rsidRDefault="00483A01" w:rsidP="00483A01">
            <w:pPr>
              <w:pStyle w:val="Tablebodytext"/>
            </w:pPr>
          </w:p>
        </w:tc>
        <w:tc>
          <w:tcPr>
            <w:tcW w:w="1257" w:type="dxa"/>
          </w:tcPr>
          <w:p w14:paraId="35E12B34" w14:textId="77777777" w:rsidR="00483A01" w:rsidRDefault="00483A01" w:rsidP="00483A01">
            <w:pPr>
              <w:pStyle w:val="Tablebodytext"/>
            </w:pPr>
            <w:r>
              <w:t>−0.003**</w:t>
            </w:r>
          </w:p>
        </w:tc>
        <w:tc>
          <w:tcPr>
            <w:tcW w:w="1257" w:type="dxa"/>
          </w:tcPr>
          <w:p w14:paraId="35E12B35" w14:textId="77777777" w:rsidR="00483A01" w:rsidRDefault="00483A01" w:rsidP="00483A01">
            <w:pPr>
              <w:pStyle w:val="Tablebodytext"/>
            </w:pPr>
            <w:r>
              <w:t>−0.003***</w:t>
            </w:r>
          </w:p>
        </w:tc>
        <w:tc>
          <w:tcPr>
            <w:tcW w:w="249" w:type="dxa"/>
          </w:tcPr>
          <w:p w14:paraId="35E12B36" w14:textId="77777777" w:rsidR="00483A01" w:rsidRDefault="00483A01" w:rsidP="00483A01">
            <w:pPr>
              <w:pStyle w:val="Tablebodytext"/>
            </w:pPr>
          </w:p>
        </w:tc>
        <w:tc>
          <w:tcPr>
            <w:tcW w:w="1257" w:type="dxa"/>
          </w:tcPr>
          <w:p w14:paraId="35E12B37" w14:textId="77777777" w:rsidR="00483A01" w:rsidRDefault="00483A01" w:rsidP="00483A01">
            <w:pPr>
              <w:pStyle w:val="Tablebodytext"/>
            </w:pPr>
            <w:r>
              <w:t>−0.042***</w:t>
            </w:r>
          </w:p>
        </w:tc>
      </w:tr>
      <w:tr w:rsidR="00483A01" w14:paraId="35E12B41"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Pr>
          <w:p w14:paraId="35E12B39" w14:textId="77777777" w:rsidR="00483A01" w:rsidRDefault="00483A01" w:rsidP="00483A01">
            <w:pPr>
              <w:pStyle w:val="Tablebodytext"/>
            </w:pPr>
          </w:p>
        </w:tc>
        <w:tc>
          <w:tcPr>
            <w:tcW w:w="1258" w:type="dxa"/>
          </w:tcPr>
          <w:p w14:paraId="35E12B3A" w14:textId="77777777" w:rsidR="00483A01" w:rsidRDefault="00483A01" w:rsidP="00483A01">
            <w:pPr>
              <w:pStyle w:val="Tablebodytext"/>
            </w:pPr>
            <w:r>
              <w:t>(0.005)</w:t>
            </w:r>
          </w:p>
        </w:tc>
        <w:tc>
          <w:tcPr>
            <w:tcW w:w="1257" w:type="dxa"/>
          </w:tcPr>
          <w:p w14:paraId="35E12B3B" w14:textId="77777777" w:rsidR="00483A01" w:rsidRDefault="00483A01" w:rsidP="00483A01">
            <w:pPr>
              <w:pStyle w:val="Tablebodytext"/>
            </w:pPr>
            <w:r>
              <w:t>(0.008)</w:t>
            </w:r>
          </w:p>
        </w:tc>
        <w:tc>
          <w:tcPr>
            <w:tcW w:w="249" w:type="dxa"/>
          </w:tcPr>
          <w:p w14:paraId="35E12B3C" w14:textId="77777777" w:rsidR="00483A01" w:rsidRDefault="00483A01" w:rsidP="00483A01">
            <w:pPr>
              <w:pStyle w:val="Tablebodytext"/>
            </w:pPr>
          </w:p>
        </w:tc>
        <w:tc>
          <w:tcPr>
            <w:tcW w:w="1257" w:type="dxa"/>
          </w:tcPr>
          <w:p w14:paraId="35E12B3D" w14:textId="77777777" w:rsidR="00483A01" w:rsidRDefault="00483A01" w:rsidP="00483A01">
            <w:pPr>
              <w:pStyle w:val="Tablebodytext"/>
            </w:pPr>
            <w:r>
              <w:t>(0.001)</w:t>
            </w:r>
          </w:p>
        </w:tc>
        <w:tc>
          <w:tcPr>
            <w:tcW w:w="1257" w:type="dxa"/>
          </w:tcPr>
          <w:p w14:paraId="35E12B3E" w14:textId="77777777" w:rsidR="00483A01" w:rsidRDefault="00483A01" w:rsidP="00483A01">
            <w:pPr>
              <w:pStyle w:val="Tablebodytext"/>
            </w:pPr>
            <w:r>
              <w:t>(0.001)</w:t>
            </w:r>
          </w:p>
        </w:tc>
        <w:tc>
          <w:tcPr>
            <w:tcW w:w="249" w:type="dxa"/>
          </w:tcPr>
          <w:p w14:paraId="35E12B3F" w14:textId="77777777" w:rsidR="00483A01" w:rsidRDefault="00483A01" w:rsidP="00483A01">
            <w:pPr>
              <w:pStyle w:val="Tablebodytext"/>
            </w:pPr>
          </w:p>
        </w:tc>
        <w:tc>
          <w:tcPr>
            <w:tcW w:w="1257" w:type="dxa"/>
          </w:tcPr>
          <w:p w14:paraId="35E12B40" w14:textId="77777777" w:rsidR="00483A01" w:rsidRDefault="00483A01" w:rsidP="00483A01">
            <w:pPr>
              <w:pStyle w:val="Tablebodytext"/>
            </w:pPr>
            <w:r>
              <w:t>(0.013)</w:t>
            </w:r>
          </w:p>
        </w:tc>
      </w:tr>
      <w:tr w:rsidR="00483A01" w14:paraId="35E12B4A"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Pr>
          <w:p w14:paraId="35E12B42" w14:textId="77777777" w:rsidR="00483A01" w:rsidRDefault="00483A01" w:rsidP="00483A01">
            <w:pPr>
              <w:pStyle w:val="Tablebodytext"/>
            </w:pPr>
            <w:r>
              <w:rPr>
                <w:i/>
                <w:iCs/>
              </w:rPr>
              <w:t>ExpInt</w:t>
            </w:r>
            <w:r>
              <w:t>×</w:t>
            </w:r>
            <w:r>
              <w:rPr>
                <w:i/>
                <w:iCs/>
              </w:rPr>
              <w:t>Type</w:t>
            </w:r>
          </w:p>
        </w:tc>
        <w:tc>
          <w:tcPr>
            <w:tcW w:w="1258" w:type="dxa"/>
          </w:tcPr>
          <w:p w14:paraId="35E12B43" w14:textId="77777777" w:rsidR="00483A01" w:rsidRDefault="00483A01" w:rsidP="00483A01">
            <w:pPr>
              <w:pStyle w:val="Tablebodytext"/>
            </w:pPr>
            <w:r>
              <w:t>0.002</w:t>
            </w:r>
          </w:p>
        </w:tc>
        <w:tc>
          <w:tcPr>
            <w:tcW w:w="1257" w:type="dxa"/>
          </w:tcPr>
          <w:p w14:paraId="35E12B44" w14:textId="77777777" w:rsidR="00483A01" w:rsidRDefault="00483A01" w:rsidP="00483A01">
            <w:pPr>
              <w:pStyle w:val="Tablebodytext"/>
            </w:pPr>
            <w:r>
              <w:t>0.005</w:t>
            </w:r>
          </w:p>
        </w:tc>
        <w:tc>
          <w:tcPr>
            <w:tcW w:w="249" w:type="dxa"/>
          </w:tcPr>
          <w:p w14:paraId="35E12B45" w14:textId="77777777" w:rsidR="00483A01" w:rsidRDefault="00483A01" w:rsidP="00483A01">
            <w:pPr>
              <w:pStyle w:val="Tablebodytext"/>
            </w:pPr>
          </w:p>
        </w:tc>
        <w:tc>
          <w:tcPr>
            <w:tcW w:w="1257" w:type="dxa"/>
          </w:tcPr>
          <w:p w14:paraId="35E12B46" w14:textId="77777777" w:rsidR="00483A01" w:rsidRDefault="00483A01" w:rsidP="00483A01">
            <w:pPr>
              <w:pStyle w:val="Tablebodytext"/>
            </w:pPr>
            <w:r>
              <w:t>0.005***</w:t>
            </w:r>
          </w:p>
        </w:tc>
        <w:tc>
          <w:tcPr>
            <w:tcW w:w="1257" w:type="dxa"/>
          </w:tcPr>
          <w:p w14:paraId="35E12B47" w14:textId="77777777" w:rsidR="00483A01" w:rsidRDefault="00483A01" w:rsidP="00483A01">
            <w:pPr>
              <w:pStyle w:val="Tablebodytext"/>
            </w:pPr>
            <w:r>
              <w:t>−0.004**</w:t>
            </w:r>
          </w:p>
        </w:tc>
        <w:tc>
          <w:tcPr>
            <w:tcW w:w="249" w:type="dxa"/>
          </w:tcPr>
          <w:p w14:paraId="35E12B48" w14:textId="77777777" w:rsidR="00483A01" w:rsidRDefault="00483A01" w:rsidP="00483A01">
            <w:pPr>
              <w:pStyle w:val="Tablebodytext"/>
            </w:pPr>
          </w:p>
        </w:tc>
        <w:tc>
          <w:tcPr>
            <w:tcW w:w="1257" w:type="dxa"/>
          </w:tcPr>
          <w:p w14:paraId="35E12B49" w14:textId="77777777" w:rsidR="00483A01" w:rsidRDefault="00483A01" w:rsidP="00483A01">
            <w:pPr>
              <w:pStyle w:val="Tablebodytext"/>
            </w:pPr>
            <w:r>
              <w:t>−0.058</w:t>
            </w:r>
          </w:p>
        </w:tc>
      </w:tr>
      <w:tr w:rsidR="00483A01" w14:paraId="35E12B53"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Pr>
          <w:p w14:paraId="35E12B4B" w14:textId="77777777" w:rsidR="00483A01" w:rsidRDefault="00483A01" w:rsidP="00483A01">
            <w:pPr>
              <w:pStyle w:val="Tablebodytext"/>
            </w:pPr>
          </w:p>
        </w:tc>
        <w:tc>
          <w:tcPr>
            <w:tcW w:w="1258" w:type="dxa"/>
          </w:tcPr>
          <w:p w14:paraId="35E12B4C" w14:textId="77777777" w:rsidR="00483A01" w:rsidRDefault="00483A01" w:rsidP="00483A01">
            <w:pPr>
              <w:pStyle w:val="Tablebodytext"/>
            </w:pPr>
            <w:r>
              <w:t>(0.009)</w:t>
            </w:r>
          </w:p>
        </w:tc>
        <w:tc>
          <w:tcPr>
            <w:tcW w:w="1257" w:type="dxa"/>
          </w:tcPr>
          <w:p w14:paraId="35E12B4D" w14:textId="77777777" w:rsidR="00483A01" w:rsidRDefault="00483A01" w:rsidP="00483A01">
            <w:pPr>
              <w:pStyle w:val="Tablebodytext"/>
            </w:pPr>
            <w:r>
              <w:t>(0.007)</w:t>
            </w:r>
          </w:p>
        </w:tc>
        <w:tc>
          <w:tcPr>
            <w:tcW w:w="249" w:type="dxa"/>
          </w:tcPr>
          <w:p w14:paraId="35E12B4E" w14:textId="77777777" w:rsidR="00483A01" w:rsidRDefault="00483A01" w:rsidP="00483A01">
            <w:pPr>
              <w:pStyle w:val="Tablebodytext"/>
            </w:pPr>
          </w:p>
        </w:tc>
        <w:tc>
          <w:tcPr>
            <w:tcW w:w="1257" w:type="dxa"/>
          </w:tcPr>
          <w:p w14:paraId="35E12B4F" w14:textId="77777777" w:rsidR="00483A01" w:rsidRDefault="00483A01" w:rsidP="00483A01">
            <w:pPr>
              <w:pStyle w:val="Tablebodytext"/>
            </w:pPr>
            <w:r>
              <w:t>(0.002)</w:t>
            </w:r>
          </w:p>
        </w:tc>
        <w:tc>
          <w:tcPr>
            <w:tcW w:w="1257" w:type="dxa"/>
          </w:tcPr>
          <w:p w14:paraId="35E12B50" w14:textId="77777777" w:rsidR="00483A01" w:rsidRDefault="00483A01" w:rsidP="00483A01">
            <w:pPr>
              <w:pStyle w:val="Tablebodytext"/>
            </w:pPr>
            <w:r>
              <w:t>(0.002)</w:t>
            </w:r>
          </w:p>
        </w:tc>
        <w:tc>
          <w:tcPr>
            <w:tcW w:w="249" w:type="dxa"/>
          </w:tcPr>
          <w:p w14:paraId="35E12B51" w14:textId="77777777" w:rsidR="00483A01" w:rsidRDefault="00483A01" w:rsidP="00483A01">
            <w:pPr>
              <w:pStyle w:val="Tablebodytext"/>
            </w:pPr>
          </w:p>
        </w:tc>
        <w:tc>
          <w:tcPr>
            <w:tcW w:w="1257" w:type="dxa"/>
          </w:tcPr>
          <w:p w14:paraId="35E12B52" w14:textId="77777777" w:rsidR="00483A01" w:rsidRDefault="00483A01" w:rsidP="00483A01">
            <w:pPr>
              <w:pStyle w:val="Tablebodytext"/>
            </w:pPr>
            <w:r>
              <w:t>(0.039)</w:t>
            </w:r>
          </w:p>
        </w:tc>
      </w:tr>
      <w:tr w:rsidR="00483A01" w14:paraId="35E12B5C"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Pr>
          <w:p w14:paraId="35E12B54" w14:textId="77777777" w:rsidR="00483A01" w:rsidRDefault="00483A01" w:rsidP="00483A01">
            <w:pPr>
              <w:pStyle w:val="Tablebodytext"/>
            </w:pPr>
            <w:r>
              <w:rPr>
                <w:i/>
                <w:iCs/>
              </w:rPr>
              <w:t>H</w:t>
            </w:r>
            <w:r>
              <w:t>×</w:t>
            </w:r>
            <w:r>
              <w:rPr>
                <w:i/>
                <w:iCs/>
              </w:rPr>
              <w:t>ExpInt</w:t>
            </w:r>
          </w:p>
        </w:tc>
        <w:tc>
          <w:tcPr>
            <w:tcW w:w="1258" w:type="dxa"/>
          </w:tcPr>
          <w:p w14:paraId="35E12B55" w14:textId="77777777" w:rsidR="00483A01" w:rsidRDefault="00483A01" w:rsidP="00483A01">
            <w:pPr>
              <w:pStyle w:val="Tablebodytext"/>
            </w:pPr>
            <w:r>
              <w:t>−0.017</w:t>
            </w:r>
          </w:p>
        </w:tc>
        <w:tc>
          <w:tcPr>
            <w:tcW w:w="1257" w:type="dxa"/>
          </w:tcPr>
          <w:p w14:paraId="35E12B56" w14:textId="77777777" w:rsidR="00483A01" w:rsidRDefault="00483A01" w:rsidP="00483A01">
            <w:pPr>
              <w:pStyle w:val="Tablebodytext"/>
            </w:pPr>
            <w:r>
              <w:t>−0.030</w:t>
            </w:r>
          </w:p>
        </w:tc>
        <w:tc>
          <w:tcPr>
            <w:tcW w:w="249" w:type="dxa"/>
          </w:tcPr>
          <w:p w14:paraId="35E12B57" w14:textId="77777777" w:rsidR="00483A01" w:rsidRDefault="00483A01" w:rsidP="00483A01">
            <w:pPr>
              <w:pStyle w:val="Tablebodytext"/>
            </w:pPr>
          </w:p>
        </w:tc>
        <w:tc>
          <w:tcPr>
            <w:tcW w:w="1257" w:type="dxa"/>
          </w:tcPr>
          <w:p w14:paraId="35E12B58" w14:textId="77777777" w:rsidR="00483A01" w:rsidRDefault="00483A01" w:rsidP="00483A01">
            <w:pPr>
              <w:pStyle w:val="Tablebodytext"/>
            </w:pPr>
            <w:r>
              <w:t>−0.117***</w:t>
            </w:r>
          </w:p>
        </w:tc>
        <w:tc>
          <w:tcPr>
            <w:tcW w:w="1257" w:type="dxa"/>
          </w:tcPr>
          <w:p w14:paraId="35E12B59" w14:textId="77777777" w:rsidR="00483A01" w:rsidRDefault="00483A01" w:rsidP="00483A01">
            <w:pPr>
              <w:pStyle w:val="Tablebodytext"/>
            </w:pPr>
            <w:r>
              <w:t>0.104***</w:t>
            </w:r>
          </w:p>
        </w:tc>
        <w:tc>
          <w:tcPr>
            <w:tcW w:w="249" w:type="dxa"/>
          </w:tcPr>
          <w:p w14:paraId="35E12B5A" w14:textId="77777777" w:rsidR="00483A01" w:rsidRDefault="00483A01" w:rsidP="00483A01">
            <w:pPr>
              <w:pStyle w:val="Tablebodytext"/>
            </w:pPr>
          </w:p>
        </w:tc>
        <w:tc>
          <w:tcPr>
            <w:tcW w:w="1257" w:type="dxa"/>
          </w:tcPr>
          <w:p w14:paraId="35E12B5B" w14:textId="77777777" w:rsidR="00483A01" w:rsidRDefault="00483A01" w:rsidP="00483A01">
            <w:pPr>
              <w:pStyle w:val="Tablebodytext"/>
            </w:pPr>
            <w:r>
              <w:t>0.801***</w:t>
            </w:r>
          </w:p>
        </w:tc>
      </w:tr>
      <w:tr w:rsidR="00483A01" w14:paraId="35E12B65"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Borders>
              <w:bottom w:val="single" w:sz="4" w:space="0" w:color="auto"/>
            </w:tcBorders>
          </w:tcPr>
          <w:p w14:paraId="35E12B5D" w14:textId="77777777" w:rsidR="00483A01" w:rsidRDefault="00483A01" w:rsidP="00483A01">
            <w:pPr>
              <w:pStyle w:val="Tablebodytext"/>
            </w:pPr>
            <w:r>
              <w:t xml:space="preserve">      ×</w:t>
            </w:r>
            <w:r>
              <w:rPr>
                <w:i/>
                <w:iCs/>
              </w:rPr>
              <w:t>Type</w:t>
            </w:r>
          </w:p>
        </w:tc>
        <w:tc>
          <w:tcPr>
            <w:tcW w:w="1258" w:type="dxa"/>
          </w:tcPr>
          <w:p w14:paraId="35E12B5E" w14:textId="77777777" w:rsidR="00483A01" w:rsidRDefault="00483A01" w:rsidP="00483A01">
            <w:pPr>
              <w:pStyle w:val="Tablebodytext"/>
            </w:pPr>
            <w:r>
              <w:t>(0.115)</w:t>
            </w:r>
          </w:p>
        </w:tc>
        <w:tc>
          <w:tcPr>
            <w:tcW w:w="1257" w:type="dxa"/>
          </w:tcPr>
          <w:p w14:paraId="35E12B5F" w14:textId="77777777" w:rsidR="00483A01" w:rsidRDefault="00483A01" w:rsidP="00483A01">
            <w:pPr>
              <w:pStyle w:val="Tablebodytext"/>
            </w:pPr>
            <w:r>
              <w:t>(0.057)</w:t>
            </w:r>
          </w:p>
        </w:tc>
        <w:tc>
          <w:tcPr>
            <w:tcW w:w="249" w:type="dxa"/>
          </w:tcPr>
          <w:p w14:paraId="35E12B60" w14:textId="77777777" w:rsidR="00483A01" w:rsidRDefault="00483A01" w:rsidP="00483A01">
            <w:pPr>
              <w:pStyle w:val="Tablebodytext"/>
            </w:pPr>
          </w:p>
        </w:tc>
        <w:tc>
          <w:tcPr>
            <w:tcW w:w="1257" w:type="dxa"/>
          </w:tcPr>
          <w:p w14:paraId="35E12B61" w14:textId="77777777" w:rsidR="00483A01" w:rsidRDefault="00483A01" w:rsidP="00483A01">
            <w:pPr>
              <w:pStyle w:val="Tablebodytext"/>
            </w:pPr>
            <w:r>
              <w:t>(0.024)</w:t>
            </w:r>
          </w:p>
        </w:tc>
        <w:tc>
          <w:tcPr>
            <w:tcW w:w="1257" w:type="dxa"/>
          </w:tcPr>
          <w:p w14:paraId="35E12B62" w14:textId="77777777" w:rsidR="00483A01" w:rsidRDefault="00483A01" w:rsidP="00483A01">
            <w:pPr>
              <w:pStyle w:val="Tablebodytext"/>
            </w:pPr>
            <w:r>
              <w:t>(0.019)</w:t>
            </w:r>
          </w:p>
        </w:tc>
        <w:tc>
          <w:tcPr>
            <w:tcW w:w="249" w:type="dxa"/>
          </w:tcPr>
          <w:p w14:paraId="35E12B63" w14:textId="77777777" w:rsidR="00483A01" w:rsidRDefault="00483A01" w:rsidP="00483A01">
            <w:pPr>
              <w:pStyle w:val="Tablebodytext"/>
            </w:pPr>
          </w:p>
        </w:tc>
        <w:tc>
          <w:tcPr>
            <w:tcW w:w="1257" w:type="dxa"/>
          </w:tcPr>
          <w:p w14:paraId="35E12B64" w14:textId="77777777" w:rsidR="00483A01" w:rsidRDefault="00483A01" w:rsidP="00483A01">
            <w:pPr>
              <w:pStyle w:val="Tablebodytext"/>
            </w:pPr>
            <w:r>
              <w:t>(0.290)</w:t>
            </w:r>
          </w:p>
        </w:tc>
      </w:tr>
      <w:tr w:rsidR="00483A01" w14:paraId="35E12B6E"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Borders>
              <w:top w:val="single" w:sz="4" w:space="0" w:color="auto"/>
              <w:bottom w:val="single" w:sz="4" w:space="0" w:color="auto"/>
            </w:tcBorders>
          </w:tcPr>
          <w:p w14:paraId="35E12B66" w14:textId="77777777" w:rsidR="00483A01" w:rsidRDefault="00483A01" w:rsidP="00483A01">
            <w:pPr>
              <w:pStyle w:val="Tablebodytext"/>
            </w:pPr>
            <w:r>
              <w:t xml:space="preserve"> Years:</w:t>
            </w:r>
          </w:p>
        </w:tc>
        <w:tc>
          <w:tcPr>
            <w:tcW w:w="1258" w:type="dxa"/>
            <w:tcBorders>
              <w:bottom w:val="single" w:sz="4" w:space="0" w:color="auto"/>
            </w:tcBorders>
          </w:tcPr>
          <w:p w14:paraId="35E12B67" w14:textId="77777777" w:rsidR="00483A01" w:rsidRDefault="00483A01" w:rsidP="00483A01">
            <w:pPr>
              <w:pStyle w:val="Tablebodytext"/>
            </w:pPr>
            <w:r>
              <w:t>2002–2005</w:t>
            </w:r>
          </w:p>
        </w:tc>
        <w:tc>
          <w:tcPr>
            <w:tcW w:w="1257" w:type="dxa"/>
            <w:tcBorders>
              <w:bottom w:val="single" w:sz="4" w:space="0" w:color="auto"/>
            </w:tcBorders>
          </w:tcPr>
          <w:p w14:paraId="35E12B68" w14:textId="77777777" w:rsidR="00483A01" w:rsidRDefault="00483A01" w:rsidP="00483A01">
            <w:pPr>
              <w:pStyle w:val="Tablebodytext"/>
            </w:pPr>
            <w:r>
              <w:t>2006–2014</w:t>
            </w:r>
          </w:p>
        </w:tc>
        <w:tc>
          <w:tcPr>
            <w:tcW w:w="249" w:type="dxa"/>
            <w:tcBorders>
              <w:bottom w:val="single" w:sz="4" w:space="0" w:color="auto"/>
            </w:tcBorders>
          </w:tcPr>
          <w:p w14:paraId="35E12B69" w14:textId="77777777" w:rsidR="00483A01" w:rsidRDefault="00483A01" w:rsidP="00483A01">
            <w:pPr>
              <w:pStyle w:val="Tablebodytext"/>
            </w:pPr>
          </w:p>
        </w:tc>
        <w:tc>
          <w:tcPr>
            <w:tcW w:w="1257" w:type="dxa"/>
            <w:tcBorders>
              <w:bottom w:val="single" w:sz="4" w:space="0" w:color="auto"/>
            </w:tcBorders>
          </w:tcPr>
          <w:p w14:paraId="35E12B6A" w14:textId="77777777" w:rsidR="00483A01" w:rsidRDefault="00483A01" w:rsidP="00483A01">
            <w:pPr>
              <w:pStyle w:val="Tablebodytext"/>
            </w:pPr>
            <w:r>
              <w:t>2002–2005</w:t>
            </w:r>
          </w:p>
        </w:tc>
        <w:tc>
          <w:tcPr>
            <w:tcW w:w="1257" w:type="dxa"/>
            <w:tcBorders>
              <w:bottom w:val="single" w:sz="4" w:space="0" w:color="auto"/>
            </w:tcBorders>
          </w:tcPr>
          <w:p w14:paraId="35E12B6B" w14:textId="77777777" w:rsidR="00483A01" w:rsidRDefault="00206008" w:rsidP="00483A01">
            <w:pPr>
              <w:pStyle w:val="Tablebodytext"/>
            </w:pPr>
            <w:r>
              <w:t>2006–2014</w:t>
            </w:r>
          </w:p>
        </w:tc>
        <w:tc>
          <w:tcPr>
            <w:tcW w:w="249" w:type="dxa"/>
            <w:tcBorders>
              <w:bottom w:val="single" w:sz="4" w:space="0" w:color="auto"/>
            </w:tcBorders>
          </w:tcPr>
          <w:p w14:paraId="35E12B6C" w14:textId="77777777" w:rsidR="00483A01" w:rsidRDefault="00483A01" w:rsidP="00483A01">
            <w:pPr>
              <w:pStyle w:val="Tablebodytext"/>
            </w:pPr>
          </w:p>
        </w:tc>
        <w:tc>
          <w:tcPr>
            <w:tcW w:w="1257" w:type="dxa"/>
            <w:tcBorders>
              <w:bottom w:val="single" w:sz="4" w:space="0" w:color="auto"/>
            </w:tcBorders>
          </w:tcPr>
          <w:p w14:paraId="35E12B6D" w14:textId="77777777" w:rsidR="00483A01" w:rsidRDefault="00483A01" w:rsidP="00483A01">
            <w:pPr>
              <w:pStyle w:val="Tablebodytext"/>
            </w:pPr>
            <w:r>
              <w:t>2010–2014</w:t>
            </w:r>
          </w:p>
        </w:tc>
      </w:tr>
      <w:tr w:rsidR="00483A01" w14:paraId="35E12B77"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Borders>
              <w:top w:val="single" w:sz="4" w:space="0" w:color="auto"/>
            </w:tcBorders>
          </w:tcPr>
          <w:p w14:paraId="35E12B6F" w14:textId="77777777" w:rsidR="00483A01" w:rsidRDefault="00483A01" w:rsidP="00483A01">
            <w:pPr>
              <w:pStyle w:val="Tablebodytext"/>
            </w:pPr>
            <w:r>
              <w:t>Type:</w:t>
            </w:r>
          </w:p>
        </w:tc>
        <w:tc>
          <w:tcPr>
            <w:tcW w:w="1258" w:type="dxa"/>
            <w:tcBorders>
              <w:top w:val="single" w:sz="4" w:space="0" w:color="auto"/>
            </w:tcBorders>
          </w:tcPr>
          <w:p w14:paraId="35E12B70" w14:textId="77777777" w:rsidR="00483A01" w:rsidRDefault="00483A01" w:rsidP="00483A01">
            <w:pPr>
              <w:pStyle w:val="Tablebodytext"/>
            </w:pPr>
            <w:r>
              <w:rPr>
                <w:i/>
                <w:iCs/>
              </w:rPr>
              <w:t>LP</w:t>
            </w:r>
            <w:r>
              <w:t>(</w:t>
            </w:r>
            <w:r>
              <w:rPr>
                <w:i/>
                <w:iCs/>
              </w:rPr>
              <w:t>Q</w:t>
            </w:r>
            <w:r>
              <w:t>3/</w:t>
            </w:r>
            <w:r>
              <w:rPr>
                <w:i/>
                <w:iCs/>
              </w:rPr>
              <w:t>Q</w:t>
            </w:r>
            <w:r>
              <w:t>1)</w:t>
            </w:r>
          </w:p>
        </w:tc>
        <w:tc>
          <w:tcPr>
            <w:tcW w:w="1257" w:type="dxa"/>
            <w:tcBorders>
              <w:top w:val="single" w:sz="4" w:space="0" w:color="auto"/>
            </w:tcBorders>
          </w:tcPr>
          <w:p w14:paraId="35E12B71" w14:textId="77777777" w:rsidR="00483A01" w:rsidRDefault="00483A01" w:rsidP="00483A01">
            <w:pPr>
              <w:pStyle w:val="Tablebodytext"/>
            </w:pPr>
            <w:r>
              <w:rPr>
                <w:i/>
                <w:iCs/>
              </w:rPr>
              <w:t>LP</w:t>
            </w:r>
            <w:r>
              <w:t>(</w:t>
            </w:r>
            <w:r>
              <w:rPr>
                <w:i/>
                <w:iCs/>
              </w:rPr>
              <w:t>Q</w:t>
            </w:r>
            <w:r>
              <w:t>3/</w:t>
            </w:r>
            <w:r>
              <w:rPr>
                <w:i/>
                <w:iCs/>
              </w:rPr>
              <w:t>Q</w:t>
            </w:r>
            <w:r>
              <w:t>1)</w:t>
            </w:r>
          </w:p>
        </w:tc>
        <w:tc>
          <w:tcPr>
            <w:tcW w:w="249" w:type="dxa"/>
            <w:tcBorders>
              <w:top w:val="single" w:sz="4" w:space="0" w:color="auto"/>
            </w:tcBorders>
          </w:tcPr>
          <w:p w14:paraId="35E12B72" w14:textId="77777777" w:rsidR="00483A01" w:rsidRDefault="00483A01" w:rsidP="00483A01">
            <w:pPr>
              <w:pStyle w:val="Tablebodytext"/>
            </w:pPr>
          </w:p>
        </w:tc>
        <w:tc>
          <w:tcPr>
            <w:tcW w:w="1257" w:type="dxa"/>
            <w:tcBorders>
              <w:top w:val="single" w:sz="4" w:space="0" w:color="auto"/>
            </w:tcBorders>
          </w:tcPr>
          <w:p w14:paraId="35E12B73" w14:textId="77777777" w:rsidR="00483A01" w:rsidRDefault="00483A01" w:rsidP="00483A01">
            <w:pPr>
              <w:pStyle w:val="Tablebodytext"/>
            </w:pPr>
            <w:r>
              <w:rPr>
                <w:i/>
                <w:iCs/>
              </w:rPr>
              <w:t>LP</w:t>
            </w:r>
            <w:r>
              <w:t xml:space="preserve"> </w:t>
            </w:r>
            <w:r>
              <w:rPr>
                <w:i/>
                <w:iCs/>
              </w:rPr>
              <w:t>Skew</w:t>
            </w:r>
          </w:p>
        </w:tc>
        <w:tc>
          <w:tcPr>
            <w:tcW w:w="1257" w:type="dxa"/>
            <w:tcBorders>
              <w:top w:val="single" w:sz="4" w:space="0" w:color="auto"/>
            </w:tcBorders>
          </w:tcPr>
          <w:p w14:paraId="35E12B74" w14:textId="77777777" w:rsidR="00483A01" w:rsidRDefault="00483A01" w:rsidP="00483A01">
            <w:pPr>
              <w:pStyle w:val="Tablebodytext"/>
            </w:pPr>
            <w:r>
              <w:rPr>
                <w:i/>
                <w:iCs/>
              </w:rPr>
              <w:t>LP</w:t>
            </w:r>
            <w:r>
              <w:t xml:space="preserve"> </w:t>
            </w:r>
            <w:r>
              <w:rPr>
                <w:i/>
                <w:iCs/>
              </w:rPr>
              <w:t>Skew</w:t>
            </w:r>
          </w:p>
        </w:tc>
        <w:tc>
          <w:tcPr>
            <w:tcW w:w="249" w:type="dxa"/>
            <w:tcBorders>
              <w:top w:val="single" w:sz="4" w:space="0" w:color="auto"/>
            </w:tcBorders>
          </w:tcPr>
          <w:p w14:paraId="35E12B75" w14:textId="77777777" w:rsidR="00483A01" w:rsidRDefault="00483A01" w:rsidP="00483A01">
            <w:pPr>
              <w:pStyle w:val="Tablebodytext"/>
            </w:pPr>
          </w:p>
        </w:tc>
        <w:tc>
          <w:tcPr>
            <w:tcW w:w="1257" w:type="dxa"/>
            <w:tcBorders>
              <w:top w:val="single" w:sz="4" w:space="0" w:color="auto"/>
            </w:tcBorders>
          </w:tcPr>
          <w:p w14:paraId="35E12B76" w14:textId="77777777" w:rsidR="00483A01" w:rsidRDefault="00483A01" w:rsidP="00483A01">
            <w:pPr>
              <w:pStyle w:val="Tablebodytext"/>
            </w:pPr>
            <w:r>
              <w:rPr>
                <w:i/>
                <w:iCs/>
              </w:rPr>
              <w:t>Digital</w:t>
            </w:r>
          </w:p>
        </w:tc>
      </w:tr>
      <w:tr w:rsidR="00483A01" w14:paraId="35E12B80"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Pr>
          <w:p w14:paraId="35E12B78" w14:textId="77777777" w:rsidR="00483A01" w:rsidRDefault="00483A01" w:rsidP="00483A01">
            <w:pPr>
              <w:pStyle w:val="Tablebodytext"/>
            </w:pPr>
            <w:r>
              <w:t xml:space="preserve"> Adjusted R</w:t>
            </w:r>
            <w:r>
              <w:fldChar w:fldCharType="begin"/>
            </w:r>
            <w:r>
              <w:instrText xml:space="preserve"> EQ \s\up5(</w:instrText>
            </w:r>
            <w:r>
              <w:rPr>
                <w:sz w:val="16"/>
                <w:szCs w:val="16"/>
              </w:rPr>
              <w:instrText>2</w:instrText>
            </w:r>
            <w:r>
              <w:instrText>)</w:instrText>
            </w:r>
            <w:r>
              <w:fldChar w:fldCharType="end"/>
            </w:r>
          </w:p>
        </w:tc>
        <w:tc>
          <w:tcPr>
            <w:tcW w:w="1258" w:type="dxa"/>
          </w:tcPr>
          <w:p w14:paraId="35E12B79" w14:textId="77777777" w:rsidR="00483A01" w:rsidRDefault="00483A01" w:rsidP="00483A01">
            <w:pPr>
              <w:pStyle w:val="Tablebodytext"/>
            </w:pPr>
            <w:r>
              <w:t>0.132</w:t>
            </w:r>
          </w:p>
        </w:tc>
        <w:tc>
          <w:tcPr>
            <w:tcW w:w="1257" w:type="dxa"/>
          </w:tcPr>
          <w:p w14:paraId="35E12B7A" w14:textId="77777777" w:rsidR="00483A01" w:rsidRDefault="00483A01" w:rsidP="00483A01">
            <w:pPr>
              <w:pStyle w:val="Tablebodytext"/>
            </w:pPr>
            <w:r>
              <w:t>0.094</w:t>
            </w:r>
          </w:p>
        </w:tc>
        <w:tc>
          <w:tcPr>
            <w:tcW w:w="249" w:type="dxa"/>
          </w:tcPr>
          <w:p w14:paraId="35E12B7B" w14:textId="77777777" w:rsidR="00483A01" w:rsidRDefault="00483A01" w:rsidP="00483A01">
            <w:pPr>
              <w:pStyle w:val="Tablebodytext"/>
            </w:pPr>
          </w:p>
        </w:tc>
        <w:tc>
          <w:tcPr>
            <w:tcW w:w="1257" w:type="dxa"/>
          </w:tcPr>
          <w:p w14:paraId="35E12B7C" w14:textId="77777777" w:rsidR="00483A01" w:rsidRDefault="00483A01" w:rsidP="00483A01">
            <w:pPr>
              <w:pStyle w:val="Tablebodytext"/>
            </w:pPr>
            <w:r>
              <w:t>0.143</w:t>
            </w:r>
          </w:p>
        </w:tc>
        <w:tc>
          <w:tcPr>
            <w:tcW w:w="1257" w:type="dxa"/>
          </w:tcPr>
          <w:p w14:paraId="35E12B7D" w14:textId="77777777" w:rsidR="00483A01" w:rsidRDefault="00483A01" w:rsidP="00483A01">
            <w:pPr>
              <w:pStyle w:val="Tablebodytext"/>
            </w:pPr>
            <w:r>
              <w:t>0.104</w:t>
            </w:r>
          </w:p>
        </w:tc>
        <w:tc>
          <w:tcPr>
            <w:tcW w:w="249" w:type="dxa"/>
          </w:tcPr>
          <w:p w14:paraId="35E12B7E" w14:textId="77777777" w:rsidR="00483A01" w:rsidRDefault="00483A01" w:rsidP="00483A01">
            <w:pPr>
              <w:pStyle w:val="Tablebodytext"/>
            </w:pPr>
          </w:p>
        </w:tc>
        <w:tc>
          <w:tcPr>
            <w:tcW w:w="1257" w:type="dxa"/>
          </w:tcPr>
          <w:p w14:paraId="35E12B7F" w14:textId="77777777" w:rsidR="00483A01" w:rsidRDefault="00483A01" w:rsidP="00483A01">
            <w:pPr>
              <w:pStyle w:val="Tablebodytext"/>
            </w:pPr>
            <w:r>
              <w:t>0.095</w:t>
            </w:r>
          </w:p>
        </w:tc>
      </w:tr>
      <w:tr w:rsidR="00483A01" w14:paraId="35E12B89" w14:textId="77777777" w:rsidTr="00483A01">
        <w:trPr>
          <w:cnfStyle w:val="000000100000" w:firstRow="0" w:lastRow="0" w:firstColumn="0" w:lastColumn="0" w:oddVBand="0" w:evenVBand="0" w:oddHBand="1" w:evenHBand="0" w:firstRowFirstColumn="0" w:firstRowLastColumn="0" w:lastRowFirstColumn="0" w:lastRowLastColumn="0"/>
        </w:trPr>
        <w:tc>
          <w:tcPr>
            <w:tcW w:w="1834" w:type="dxa"/>
          </w:tcPr>
          <w:p w14:paraId="35E12B81" w14:textId="77777777" w:rsidR="00483A01" w:rsidRDefault="00483A01" w:rsidP="00483A01">
            <w:pPr>
              <w:pStyle w:val="Tablebodytext"/>
            </w:pPr>
            <w:r>
              <w:t>F Statistic</w:t>
            </w:r>
          </w:p>
        </w:tc>
        <w:tc>
          <w:tcPr>
            <w:tcW w:w="1258" w:type="dxa"/>
          </w:tcPr>
          <w:p w14:paraId="35E12B82" w14:textId="77777777" w:rsidR="00483A01" w:rsidRDefault="00483A01" w:rsidP="00483A01">
            <w:pPr>
              <w:pStyle w:val="Tablebodytext"/>
            </w:pPr>
            <w:r>
              <w:t>19.192***</w:t>
            </w:r>
          </w:p>
        </w:tc>
        <w:tc>
          <w:tcPr>
            <w:tcW w:w="1257" w:type="dxa"/>
          </w:tcPr>
          <w:p w14:paraId="35E12B83" w14:textId="77777777" w:rsidR="00483A01" w:rsidRDefault="00483A01" w:rsidP="00483A01">
            <w:pPr>
              <w:pStyle w:val="Tablebodytext"/>
            </w:pPr>
            <w:r>
              <w:t>29.607***</w:t>
            </w:r>
          </w:p>
        </w:tc>
        <w:tc>
          <w:tcPr>
            <w:tcW w:w="249" w:type="dxa"/>
          </w:tcPr>
          <w:p w14:paraId="35E12B84" w14:textId="77777777" w:rsidR="00483A01" w:rsidRDefault="00483A01" w:rsidP="00483A01">
            <w:pPr>
              <w:pStyle w:val="Tablebodytext"/>
            </w:pPr>
          </w:p>
        </w:tc>
        <w:tc>
          <w:tcPr>
            <w:tcW w:w="1257" w:type="dxa"/>
          </w:tcPr>
          <w:p w14:paraId="35E12B85" w14:textId="77777777" w:rsidR="00483A01" w:rsidRDefault="00483A01" w:rsidP="00483A01">
            <w:pPr>
              <w:pStyle w:val="Tablebodytext"/>
            </w:pPr>
            <w:r>
              <w:t>21.030***</w:t>
            </w:r>
          </w:p>
        </w:tc>
        <w:tc>
          <w:tcPr>
            <w:tcW w:w="1257" w:type="dxa"/>
          </w:tcPr>
          <w:p w14:paraId="35E12B86" w14:textId="77777777" w:rsidR="00483A01" w:rsidRDefault="00483A01" w:rsidP="00483A01">
            <w:pPr>
              <w:pStyle w:val="Tablebodytext"/>
            </w:pPr>
            <w:r>
              <w:t>32.566***</w:t>
            </w:r>
          </w:p>
        </w:tc>
        <w:tc>
          <w:tcPr>
            <w:tcW w:w="249" w:type="dxa"/>
          </w:tcPr>
          <w:p w14:paraId="35E12B87" w14:textId="77777777" w:rsidR="00483A01" w:rsidRDefault="00483A01" w:rsidP="00483A01">
            <w:pPr>
              <w:pStyle w:val="Tablebodytext"/>
            </w:pPr>
          </w:p>
        </w:tc>
        <w:tc>
          <w:tcPr>
            <w:tcW w:w="1257" w:type="dxa"/>
          </w:tcPr>
          <w:p w14:paraId="35E12B88" w14:textId="77777777" w:rsidR="00483A01" w:rsidRDefault="00483A01" w:rsidP="00483A01">
            <w:pPr>
              <w:pStyle w:val="Tablebodytext"/>
            </w:pPr>
            <w:r>
              <w:t>16.938***</w:t>
            </w:r>
          </w:p>
        </w:tc>
      </w:tr>
      <w:tr w:rsidR="00483A01" w14:paraId="35E12B92" w14:textId="77777777" w:rsidTr="00483A01">
        <w:trPr>
          <w:cnfStyle w:val="000000010000" w:firstRow="0" w:lastRow="0" w:firstColumn="0" w:lastColumn="0" w:oddVBand="0" w:evenVBand="0" w:oddHBand="0" w:evenHBand="1" w:firstRowFirstColumn="0" w:firstRowLastColumn="0" w:lastRowFirstColumn="0" w:lastRowLastColumn="0"/>
        </w:trPr>
        <w:tc>
          <w:tcPr>
            <w:tcW w:w="1834" w:type="dxa"/>
          </w:tcPr>
          <w:p w14:paraId="35E12B8A" w14:textId="77777777" w:rsidR="00483A01" w:rsidRDefault="00483A01" w:rsidP="00483A01">
            <w:pPr>
              <w:pStyle w:val="Tablebodytext"/>
            </w:pPr>
            <w:r>
              <w:t>#Obs</w:t>
            </w:r>
          </w:p>
        </w:tc>
        <w:tc>
          <w:tcPr>
            <w:tcW w:w="1258" w:type="dxa"/>
          </w:tcPr>
          <w:p w14:paraId="35E12B8B" w14:textId="77777777" w:rsidR="00483A01" w:rsidRDefault="00483A01" w:rsidP="00483A01">
            <w:pPr>
              <w:pStyle w:val="Tablebodytext"/>
            </w:pPr>
            <w:r>
              <w:t>820</w:t>
            </w:r>
          </w:p>
        </w:tc>
        <w:tc>
          <w:tcPr>
            <w:tcW w:w="1257" w:type="dxa"/>
          </w:tcPr>
          <w:p w14:paraId="35E12B8C" w14:textId="77777777" w:rsidR="00483A01" w:rsidRDefault="00483A01" w:rsidP="00483A01">
            <w:pPr>
              <w:pStyle w:val="Tablebodytext"/>
            </w:pPr>
            <w:r>
              <w:t>1,845</w:t>
            </w:r>
          </w:p>
        </w:tc>
        <w:tc>
          <w:tcPr>
            <w:tcW w:w="249" w:type="dxa"/>
          </w:tcPr>
          <w:p w14:paraId="35E12B8D" w14:textId="77777777" w:rsidR="00483A01" w:rsidRDefault="00483A01" w:rsidP="00483A01">
            <w:pPr>
              <w:pStyle w:val="Tablebodytext"/>
            </w:pPr>
          </w:p>
        </w:tc>
        <w:tc>
          <w:tcPr>
            <w:tcW w:w="1257" w:type="dxa"/>
          </w:tcPr>
          <w:p w14:paraId="35E12B8E" w14:textId="77777777" w:rsidR="00483A01" w:rsidRDefault="00483A01" w:rsidP="00483A01">
            <w:pPr>
              <w:pStyle w:val="Tablebodytext"/>
            </w:pPr>
            <w:r>
              <w:t>820</w:t>
            </w:r>
          </w:p>
        </w:tc>
        <w:tc>
          <w:tcPr>
            <w:tcW w:w="1257" w:type="dxa"/>
          </w:tcPr>
          <w:p w14:paraId="35E12B8F" w14:textId="77777777" w:rsidR="00483A01" w:rsidRDefault="00483A01" w:rsidP="00483A01">
            <w:pPr>
              <w:pStyle w:val="Tablebodytext"/>
            </w:pPr>
            <w:r>
              <w:t>1,845</w:t>
            </w:r>
          </w:p>
        </w:tc>
        <w:tc>
          <w:tcPr>
            <w:tcW w:w="249" w:type="dxa"/>
          </w:tcPr>
          <w:p w14:paraId="35E12B90" w14:textId="77777777" w:rsidR="00483A01" w:rsidRDefault="00483A01" w:rsidP="00483A01">
            <w:pPr>
              <w:pStyle w:val="Tablebodytext"/>
            </w:pPr>
          </w:p>
        </w:tc>
        <w:tc>
          <w:tcPr>
            <w:tcW w:w="1257" w:type="dxa"/>
          </w:tcPr>
          <w:p w14:paraId="35E12B91" w14:textId="77777777" w:rsidR="00483A01" w:rsidRDefault="00483A01" w:rsidP="00483A01">
            <w:pPr>
              <w:pStyle w:val="Tablebodytext"/>
            </w:pPr>
            <w:r>
              <w:t>1,025</w:t>
            </w:r>
          </w:p>
        </w:tc>
      </w:tr>
    </w:tbl>
    <w:p w14:paraId="35E12B93" w14:textId="77777777" w:rsidR="00483A01" w:rsidRPr="00C62F3A" w:rsidRDefault="00483A01" w:rsidP="007307B1">
      <w:pPr>
        <w:pStyle w:val="Note"/>
        <w:ind w:left="-1843"/>
      </w:pPr>
      <w:r>
        <w:t>Notes: *** and ** indicate significances at 1% and 5% levels, respectively.</w:t>
      </w:r>
    </w:p>
    <w:p w14:paraId="35E12B94" w14:textId="77777777" w:rsidR="00483A01" w:rsidRDefault="00483A01" w:rsidP="007307B1">
      <w:pPr>
        <w:pStyle w:val="Source"/>
        <w:ind w:left="-1843"/>
      </w:pPr>
      <w:r>
        <w:t>Source: Department of Industry, Innovation and Science (2019)</w:t>
      </w:r>
    </w:p>
    <w:p w14:paraId="35E12B95" w14:textId="77777777" w:rsidR="00E63064" w:rsidRDefault="00E63064" w:rsidP="005A6EA3">
      <w:pPr>
        <w:spacing w:before="240" w:line="270" w:lineRule="exact"/>
        <w:ind w:left="0"/>
      </w:pPr>
      <w:r>
        <w:t>The results in columns (1) and (2), where industries are featured by their productivity dispersion, do not reveal much beyond what was found in the previous sections. In particular, during the second phase, where average HHI is increasing, the increase is driven by export intensive industries and not by industries with dispersed productivity distribution. The trends with productivity dispersion seem to be counter to those observed in Figure 4.2.</w:t>
      </w:r>
    </w:p>
    <w:p w14:paraId="079B3129" w14:textId="43CAD142" w:rsidR="00367BA4" w:rsidRPr="00367BA4" w:rsidRDefault="00367BA4" w:rsidP="00367BA4">
      <w:pPr>
        <w:pStyle w:val="BodyText"/>
        <w:rPr>
          <w:rFonts w:ascii="Arial" w:hAnsi="Arial"/>
        </w:rPr>
      </w:pPr>
      <w:r>
        <w:rPr>
          <w:rFonts w:ascii="Arial" w:hAnsi="Arial"/>
        </w:rPr>
        <w:t xml:space="preserve">Columns </w:t>
      </w:r>
      <w:r w:rsidRPr="00367BA4">
        <w:rPr>
          <w:rFonts w:ascii="Arial" w:hAnsi="Arial"/>
        </w:rPr>
        <w:t>(3) and (4) feature industries by their skewness of productivity distribution. The results in these columns evince that productivity skewness combined with export intensity and higher concentration accelerate further market concentration. These factors are, again,</w:t>
      </w:r>
      <w:r>
        <w:rPr>
          <w:rFonts w:ascii="Arial" w:hAnsi="Arial"/>
        </w:rPr>
        <w:t xml:space="preserve"> </w:t>
      </w:r>
      <w:r w:rsidRPr="00367BA4">
        <w:rPr>
          <w:rFonts w:ascii="Arial" w:hAnsi="Arial"/>
        </w:rPr>
        <w:t xml:space="preserve">taking effect during the second phase and in tandem with the increase in average HHI. </w:t>
      </w:r>
    </w:p>
    <w:p w14:paraId="58A25854" w14:textId="6888F916" w:rsidR="00367BA4" w:rsidRPr="00367BA4" w:rsidRDefault="00367BA4" w:rsidP="00367BA4">
      <w:pPr>
        <w:pStyle w:val="BodyText"/>
        <w:rPr>
          <w:rFonts w:ascii="Arial" w:hAnsi="Arial"/>
        </w:rPr>
      </w:pPr>
      <w:r>
        <w:rPr>
          <w:rFonts w:ascii="Arial" w:hAnsi="Arial"/>
        </w:rPr>
        <w:t xml:space="preserve">In column </w:t>
      </w:r>
      <w:r w:rsidRPr="00367BA4">
        <w:rPr>
          <w:rFonts w:ascii="Arial" w:hAnsi="Arial"/>
        </w:rPr>
        <w:t>(5) of the table, industries are featured by their digital maturity. Since the relevant index is the most accurate during the later years of the data, I restrict this particular estimation to the years 2010 to 2014. Again, one observes that digitally mature industries that are both export intensive and more concentrated are also more likely to experience an increasing concentration.</w:t>
      </w:r>
    </w:p>
    <w:p w14:paraId="35E12B98" w14:textId="56194934" w:rsidR="00E33D8D" w:rsidRDefault="00367BA4" w:rsidP="00367BA4">
      <w:pPr>
        <w:pStyle w:val="BodyText"/>
        <w:rPr>
          <w:rFonts w:ascii="Arial" w:hAnsi="Arial"/>
        </w:rPr>
      </w:pPr>
      <w:r w:rsidRPr="00367BA4">
        <w:rPr>
          <w:rFonts w:ascii="Arial" w:hAnsi="Arial"/>
        </w:rPr>
        <w:lastRenderedPageBreak/>
        <w:t>In the last two columns, the coefficient for the interaction between the HHI and export intensity is positive as before. The possible role of the mining sector was discussed in this regard. However, the coefficient for the interaction between the HHI, export intensity and the industry type (productivity skewness or digital maturity) is positive too. This second part suggests that mining firms are probably not the only export intensive sectors experiencing a rising concentration and some other high-technology sectors might also be partaking.</w:t>
      </w:r>
    </w:p>
    <w:p w14:paraId="35E12B99" w14:textId="77777777" w:rsidR="00E33D8D" w:rsidRDefault="00E63064" w:rsidP="00E63064">
      <w:pPr>
        <w:pStyle w:val="Heading1"/>
        <w:rPr>
          <w:lang w:val="en"/>
        </w:rPr>
      </w:pPr>
      <w:r>
        <w:rPr>
          <w:lang w:val="en"/>
        </w:rPr>
        <w:t>Productivity Implication</w:t>
      </w:r>
    </w:p>
    <w:p w14:paraId="35E12B9A" w14:textId="77777777" w:rsidR="00FA5FDB" w:rsidRDefault="00FA5FDB" w:rsidP="00FA5FDB">
      <w:pPr>
        <w:spacing w:before="60" w:line="270" w:lineRule="exact"/>
        <w:ind w:left="0"/>
      </w:pPr>
      <w:r>
        <w:t xml:space="preserve">The findings from the previous sections imply that in most industries the increase in the HHI is about a fall in competition. There is, however, an exception: where the industry is export intensive and digitally mature or has skewed productivity distribution, it appears that the increase in market concentration is driven by innovative or productive firms growing and dominating. </w:t>
      </w:r>
    </w:p>
    <w:p w14:paraId="35E12B9B" w14:textId="77777777" w:rsidR="00FA5FDB" w:rsidRDefault="00FA5FDB" w:rsidP="005A6EA3">
      <w:pPr>
        <w:spacing w:line="270" w:lineRule="exact"/>
        <w:ind w:left="0"/>
      </w:pPr>
      <w:r>
        <w:t>If the latter is true, then one should detect an increase in the overall productivity of the relevant industries in tandem with the increasing market concentration. Besides, productivity should fall or stay unchanged elsewhere that concentration is increasing. In this section, I explore this hypothesis.</w:t>
      </w:r>
    </w:p>
    <w:p w14:paraId="35E12B9C" w14:textId="77777777" w:rsidR="00FA5FDB" w:rsidRDefault="00FA5FDB" w:rsidP="005A6EA3">
      <w:pPr>
        <w:spacing w:line="270" w:lineRule="exact"/>
        <w:ind w:left="0"/>
      </w:pPr>
      <w:r>
        <w:t xml:space="preserve">First, I define the average productivity of an industry as </w:t>
      </w:r>
    </w:p>
    <w:p w14:paraId="35E12B9D" w14:textId="77777777" w:rsidR="00FA5FDB" w:rsidRDefault="00FA5FDB" w:rsidP="00FA5FDB">
      <w:pPr>
        <w:pStyle w:val="equationNum"/>
        <w:tabs>
          <w:tab w:val="center" w:pos="4019"/>
          <w:tab w:val="right" w:pos="8038"/>
        </w:tabs>
        <w:spacing w:line="900" w:lineRule="exact"/>
      </w:pPr>
      <w:r>
        <w:tab/>
      </w:r>
      <w:r>
        <w:fldChar w:fldCharType="begin"/>
      </w:r>
      <w:r>
        <w:instrText xml:space="preserve"> EQ  \x\to( </w:instrText>
      </w:r>
      <w:r>
        <w:rPr>
          <w:i/>
          <w:iCs/>
        </w:rPr>
        <w:instrText>LP</w:instrText>
      </w:r>
      <w:r>
        <w:instrText>) \s\do5(</w:instrText>
      </w:r>
      <w:r>
        <w:rPr>
          <w:i/>
          <w:iCs/>
          <w:sz w:val="16"/>
          <w:szCs w:val="16"/>
        </w:rPr>
        <w:instrText>it</w:instrText>
      </w:r>
      <w:r>
        <w:instrText>)= \F( \i \su(</w:instrText>
      </w:r>
      <w:r>
        <w:rPr>
          <w:i/>
          <w:iCs/>
        </w:rPr>
        <w:instrText>j</w:instrText>
      </w:r>
      <w:r>
        <w:instrText>,, )</w:instrText>
      </w:r>
      <w:r>
        <w:rPr>
          <w:i/>
          <w:iCs/>
        </w:rPr>
        <w:instrText>Turnover</w:instrText>
      </w:r>
      <w:r>
        <w:instrText>\s\do5(</w:instrText>
      </w:r>
      <w:r>
        <w:rPr>
          <w:i/>
          <w:iCs/>
          <w:sz w:val="16"/>
          <w:szCs w:val="16"/>
        </w:rPr>
        <w:instrText>jit</w:instrText>
      </w:r>
      <w:r>
        <w:instrText>), \i \su(</w:instrText>
      </w:r>
      <w:r>
        <w:rPr>
          <w:i/>
          <w:iCs/>
        </w:rPr>
        <w:instrText>j</w:instrText>
      </w:r>
      <w:r>
        <w:instrText>,, )</w:instrText>
      </w:r>
      <w:r>
        <w:rPr>
          <w:i/>
          <w:iCs/>
        </w:rPr>
        <w:instrText>w</w:instrText>
      </w:r>
      <w:r>
        <w:instrText>\s\do5(</w:instrText>
      </w:r>
      <w:r>
        <w:rPr>
          <w:i/>
          <w:iCs/>
          <w:sz w:val="16"/>
          <w:szCs w:val="16"/>
        </w:rPr>
        <w:instrText>jit</w:instrText>
      </w:r>
      <w:r>
        <w:instrText>)</w:instrText>
      </w:r>
      <w:r>
        <w:rPr>
          <w:i/>
          <w:iCs/>
        </w:rPr>
        <w:instrText>FTE</w:instrText>
      </w:r>
      <w:r>
        <w:instrText>\s\do5(</w:instrText>
      </w:r>
      <w:r>
        <w:rPr>
          <w:i/>
          <w:iCs/>
          <w:sz w:val="16"/>
          <w:szCs w:val="16"/>
        </w:rPr>
        <w:instrText>jit</w:instrText>
      </w:r>
      <w:r>
        <w:instrText>)).</w:instrText>
      </w:r>
      <w:r>
        <w:fldChar w:fldCharType="end"/>
      </w:r>
      <w:r>
        <w:tab/>
        <w:t>(</w:t>
      </w:r>
      <w:bookmarkStart w:id="8" w:name="BMeq_lpi"/>
      <w:r>
        <w:t>10</w:t>
      </w:r>
      <w:bookmarkEnd w:id="8"/>
      <w:r>
        <w:t>)</w:t>
      </w:r>
    </w:p>
    <w:p w14:paraId="35E12B9E" w14:textId="26150910" w:rsidR="00FA5FDB" w:rsidRDefault="00FA5FDB" w:rsidP="00FA5FDB">
      <w:pPr>
        <w:spacing w:line="270" w:lineRule="exact"/>
        <w:ind w:left="0"/>
      </w:pPr>
      <w:r>
        <w:t xml:space="preserve">In the above, </w:t>
      </w:r>
      <w:r>
        <w:rPr>
          <w:i/>
          <w:iCs/>
        </w:rPr>
        <w:t>w</w:t>
      </w:r>
      <w:r>
        <w:t xml:space="preserve"> is the inverse propensity weights mentioned in Section </w:t>
      </w:r>
      <w:r w:rsidR="0071259C">
        <w:t>2</w:t>
      </w:r>
      <w:r>
        <w:t>. The average productivity computed here is somewhat different from the more conventional approach where weighted average of individual productivities is used (Baily et al., 1992). The estimates computed from (</w:t>
      </w:r>
      <w:fldSimple w:instr="REF BMeq_lpi \* MERGEFORMAT ">
        <w:r w:rsidR="00A20DE7">
          <w:t>10</w:t>
        </w:r>
      </w:fldSimple>
      <w:r>
        <w:t xml:space="preserve">) are, however, less noisy and more stable over time. </w:t>
      </w:r>
    </w:p>
    <w:p w14:paraId="35E12B9F" w14:textId="77777777" w:rsidR="00FA5FDB" w:rsidRDefault="00FA5FDB" w:rsidP="005A6EA3">
      <w:pPr>
        <w:spacing w:line="270" w:lineRule="exact"/>
        <w:ind w:left="0"/>
      </w:pPr>
      <w:r>
        <w:t>The computed productivity indexes have very different scales across industries due to differences in the level of outp</w:t>
      </w:r>
      <w:r w:rsidR="00A15B2D">
        <w:t>ut and labour usage. To harmonis</w:t>
      </w:r>
      <w:r>
        <w:t>e the indexes, productivity for each industry is scaled so that average productivity of each industry in 2002 is equal to one. In this way, the emphasis will shift to the changes in productivity and not to levels.</w:t>
      </w:r>
    </w:p>
    <w:p w14:paraId="35E12BA0" w14:textId="77777777" w:rsidR="00FA5FDB" w:rsidRDefault="00FA5FDB" w:rsidP="005A6EA3">
      <w:pPr>
        <w:spacing w:line="270" w:lineRule="exact"/>
        <w:ind w:left="0"/>
      </w:pPr>
      <w:r>
        <w:t xml:space="preserve">The impact of the presence of star firms in an industry on its productivity is explored through the following linear model: </w:t>
      </w:r>
    </w:p>
    <w:p w14:paraId="35E12BA1" w14:textId="77777777" w:rsidR="00E63064" w:rsidRPr="000D140C" w:rsidRDefault="00A20DE7" w:rsidP="00E63064">
      <w:pPr>
        <w:pStyle w:val="BodyText"/>
        <w:rPr>
          <w:lang w:val="en"/>
        </w:rPr>
      </w:pPr>
      <m:oMath>
        <m:sSub>
          <m:sSubPr>
            <m:ctrlPr>
              <w:rPr>
                <w:rFonts w:ascii="Cambria Math" w:hAnsi="Cambria Math"/>
                <w:i/>
                <w:lang w:val="en"/>
              </w:rPr>
            </m:ctrlPr>
          </m:sSubPr>
          <m:e>
            <m:r>
              <w:rPr>
                <w:rFonts w:ascii="Cambria Math" w:hAnsi="Cambria Math"/>
                <w:lang w:val="en"/>
              </w:rPr>
              <m:t>∆</m:t>
            </m:r>
          </m:e>
          <m:sub>
            <m:r>
              <w:rPr>
                <w:rFonts w:ascii="Cambria Math" w:hAnsi="Cambria Math"/>
                <w:lang w:val="en"/>
              </w:rPr>
              <m:t>2</m:t>
            </m:r>
          </m:sub>
        </m:sSub>
        <m:sSub>
          <m:sSubPr>
            <m:ctrlPr>
              <w:rPr>
                <w:rFonts w:ascii="Cambria Math" w:hAnsi="Cambria Math"/>
                <w:i/>
                <w:lang w:val="en"/>
              </w:rPr>
            </m:ctrlPr>
          </m:sSubPr>
          <m:e>
            <m:acc>
              <m:accPr>
                <m:chr m:val="̅"/>
                <m:ctrlPr>
                  <w:rPr>
                    <w:rFonts w:ascii="Cambria Math" w:hAnsi="Cambria Math"/>
                    <w:i/>
                    <w:lang w:val="en"/>
                  </w:rPr>
                </m:ctrlPr>
              </m:accPr>
              <m:e>
                <m:r>
                  <w:rPr>
                    <w:rFonts w:ascii="Cambria Math" w:hAnsi="Cambria Math"/>
                    <w:lang w:val="en"/>
                  </w:rPr>
                  <m:t>LP</m:t>
                </m:r>
              </m:e>
            </m:acc>
          </m:e>
          <m:sub>
            <m:r>
              <w:rPr>
                <w:rFonts w:ascii="Cambria Math" w:hAnsi="Cambria Math"/>
                <w:lang w:val="en"/>
              </w:rPr>
              <m:t>it</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α</m:t>
            </m:r>
          </m:e>
          <m:sub>
            <m:r>
              <w:rPr>
                <w:rFonts w:ascii="Cambria Math" w:hAnsi="Cambria Math"/>
                <w:lang w:val="en"/>
              </w:rPr>
              <m:t>0</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α</m:t>
            </m:r>
          </m:e>
          <m:sub>
            <m:r>
              <w:rPr>
                <w:rFonts w:ascii="Cambria Math" w:hAnsi="Cambria Math"/>
                <w:lang w:val="en"/>
              </w:rPr>
              <m:t>1</m:t>
            </m:r>
          </m:sub>
        </m:sSub>
        <m:sSub>
          <m:sSubPr>
            <m:ctrlPr>
              <w:rPr>
                <w:rFonts w:ascii="Cambria Math" w:hAnsi="Cambria Math"/>
                <w:i/>
                <w:lang w:val="en"/>
              </w:rPr>
            </m:ctrlPr>
          </m:sSubPr>
          <m:e>
            <m:acc>
              <m:accPr>
                <m:chr m:val="̅"/>
                <m:ctrlPr>
                  <w:rPr>
                    <w:rFonts w:ascii="Cambria Math" w:hAnsi="Cambria Math"/>
                    <w:i/>
                    <w:lang w:val="en"/>
                  </w:rPr>
                </m:ctrlPr>
              </m:accPr>
              <m:e>
                <m:r>
                  <w:rPr>
                    <w:rFonts w:ascii="Cambria Math" w:hAnsi="Cambria Math"/>
                    <w:lang w:val="en"/>
                  </w:rPr>
                  <m:t>LP</m:t>
                </m:r>
              </m:e>
            </m:acc>
          </m:e>
          <m:sub>
            <m:r>
              <w:rPr>
                <w:rFonts w:ascii="Cambria Math" w:hAnsi="Cambria Math"/>
                <w:lang w:val="en"/>
              </w:rPr>
              <m:t>it</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α</m:t>
            </m:r>
          </m:e>
          <m:sub>
            <m:r>
              <w:rPr>
                <w:rFonts w:ascii="Cambria Math" w:hAnsi="Cambria Math"/>
                <w:lang w:val="en"/>
              </w:rPr>
              <m:t>2</m:t>
            </m:r>
          </m:sub>
        </m:sSub>
        <m:sSub>
          <m:sSubPr>
            <m:ctrlPr>
              <w:rPr>
                <w:rFonts w:ascii="Cambria Math" w:hAnsi="Cambria Math"/>
                <w:i/>
                <w:lang w:val="en"/>
              </w:rPr>
            </m:ctrlPr>
          </m:sSubPr>
          <m:e>
            <m:r>
              <w:rPr>
                <w:rFonts w:ascii="Cambria Math" w:hAnsi="Cambria Math"/>
                <w:lang w:val="en"/>
              </w:rPr>
              <m:t>H</m:t>
            </m:r>
          </m:e>
          <m:sub>
            <m:r>
              <w:rPr>
                <w:rFonts w:ascii="Cambria Math" w:hAnsi="Cambria Math"/>
                <w:lang w:val="en"/>
              </w:rPr>
              <m:t>it</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α</m:t>
            </m:r>
          </m:e>
          <m:sub>
            <m:r>
              <w:rPr>
                <w:rFonts w:ascii="Cambria Math" w:hAnsi="Cambria Math"/>
                <w:lang w:val="en"/>
              </w:rPr>
              <m:t>3</m:t>
            </m:r>
          </m:sub>
        </m:sSub>
        <m:sSub>
          <m:sSubPr>
            <m:ctrlPr>
              <w:rPr>
                <w:rFonts w:ascii="Cambria Math" w:hAnsi="Cambria Math"/>
                <w:i/>
                <w:lang w:val="en"/>
              </w:rPr>
            </m:ctrlPr>
          </m:sSubPr>
          <m:e>
            <m:r>
              <w:rPr>
                <w:rFonts w:ascii="Cambria Math" w:hAnsi="Cambria Math"/>
                <w:lang w:val="en"/>
              </w:rPr>
              <m:t>H</m:t>
            </m:r>
          </m:e>
          <m:sub>
            <m:r>
              <w:rPr>
                <w:rFonts w:ascii="Cambria Math" w:hAnsi="Cambria Math"/>
                <w:lang w:val="en"/>
              </w:rPr>
              <m:t>it</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ExpInt</m:t>
            </m:r>
          </m:e>
          <m:sub>
            <m:r>
              <w:rPr>
                <w:rFonts w:ascii="Cambria Math" w:hAnsi="Cambria Math"/>
                <w:lang w:val="en"/>
              </w:rPr>
              <m:t>it</m:t>
            </m:r>
          </m:sub>
        </m:sSub>
      </m:oMath>
      <w:r w:rsidR="000D140C">
        <w:rPr>
          <w:rFonts w:eastAsiaTheme="minorEastAsia"/>
          <w:lang w:val="en"/>
        </w:rPr>
        <w:tab/>
      </w:r>
      <w:r w:rsidR="000D140C">
        <w:rPr>
          <w:rFonts w:eastAsiaTheme="minorEastAsia"/>
          <w:lang w:val="en"/>
        </w:rPr>
        <w:tab/>
      </w:r>
      <w:r w:rsidR="000D140C">
        <w:rPr>
          <w:rFonts w:eastAsiaTheme="minorEastAsia"/>
          <w:lang w:val="en"/>
        </w:rPr>
        <w:tab/>
      </w:r>
      <w:r w:rsidR="000D140C">
        <w:rPr>
          <w:rFonts w:eastAsiaTheme="minorEastAsia"/>
          <w:lang w:val="en"/>
        </w:rPr>
        <w:tab/>
        <w:t>(11)</w:t>
      </w:r>
    </w:p>
    <w:p w14:paraId="35E12BA2" w14:textId="77777777" w:rsidR="00E33D8D" w:rsidRPr="000D140C" w:rsidRDefault="000D140C" w:rsidP="004B17CD">
      <w:pPr>
        <w:pStyle w:val="BodyText"/>
        <w:rPr>
          <w:lang w:val="en"/>
        </w:rPr>
      </w:pPr>
      <m:oMathPara>
        <m:oMathParaPr>
          <m:jc m:val="left"/>
        </m:oMathParaPr>
        <m:oMath>
          <m:r>
            <w:rPr>
              <w:rFonts w:ascii="Cambria Math" w:eastAsiaTheme="minorEastAsia" w:hAnsi="Cambria Math"/>
              <w:lang w:val="en"/>
            </w:rPr>
            <m:t xml:space="preserve">               +</m:t>
          </m:r>
          <m:sSub>
            <m:sSubPr>
              <m:ctrlPr>
                <w:rPr>
                  <w:rFonts w:ascii="Cambria Math" w:eastAsiaTheme="minorEastAsia" w:hAnsi="Cambria Math"/>
                  <w:i/>
                  <w:lang w:val="en"/>
                </w:rPr>
              </m:ctrlPr>
            </m:sSubPr>
            <m:e>
              <m:r>
                <w:rPr>
                  <w:rFonts w:ascii="Cambria Math" w:eastAsiaTheme="minorEastAsia" w:hAnsi="Cambria Math"/>
                  <w:lang w:val="en"/>
                </w:rPr>
                <m:t>β</m:t>
              </m:r>
            </m:e>
            <m:sub>
              <m:r>
                <w:rPr>
                  <w:rFonts w:ascii="Cambria Math" w:eastAsiaTheme="minorEastAsia" w:hAnsi="Cambria Math"/>
                  <w:lang w:val="en"/>
                </w:rPr>
                <m:t>1</m:t>
              </m:r>
            </m:sub>
          </m:sSub>
          <m:sSub>
            <m:sSubPr>
              <m:ctrlPr>
                <w:rPr>
                  <w:rFonts w:ascii="Cambria Math" w:eastAsiaTheme="minorEastAsia" w:hAnsi="Cambria Math"/>
                  <w:i/>
                  <w:lang w:val="en"/>
                </w:rPr>
              </m:ctrlPr>
            </m:sSubPr>
            <m:e>
              <m:r>
                <w:rPr>
                  <w:rFonts w:ascii="Cambria Math" w:eastAsiaTheme="minorEastAsia" w:hAnsi="Cambria Math"/>
                  <w:lang w:val="en"/>
                </w:rPr>
                <m:t>Type</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β</m:t>
              </m:r>
            </m:e>
            <m:sub>
              <m:r>
                <w:rPr>
                  <w:rFonts w:ascii="Cambria Math" w:eastAsiaTheme="minorEastAsia" w:hAnsi="Cambria Math"/>
                  <w:lang w:val="en"/>
                </w:rPr>
                <m:t>2</m:t>
              </m:r>
            </m:sub>
          </m:sSub>
          <m:sSub>
            <m:sSubPr>
              <m:ctrlPr>
                <w:rPr>
                  <w:rFonts w:ascii="Cambria Math" w:eastAsiaTheme="minorEastAsia" w:hAnsi="Cambria Math"/>
                  <w:i/>
                  <w:lang w:val="en"/>
                </w:rPr>
              </m:ctrlPr>
            </m:sSubPr>
            <m:e>
              <m:r>
                <w:rPr>
                  <w:rFonts w:ascii="Cambria Math" w:eastAsiaTheme="minorEastAsia" w:hAnsi="Cambria Math"/>
                  <w:lang w:val="en"/>
                </w:rPr>
                <m:t>H</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Type</m:t>
              </m:r>
            </m:e>
            <m:sub>
              <m:r>
                <w:rPr>
                  <w:rFonts w:ascii="Cambria Math" w:eastAsiaTheme="minorEastAsia" w:hAnsi="Cambria Math"/>
                  <w:lang w:val="en"/>
                </w:rPr>
                <m:t>it</m:t>
              </m:r>
            </m:sub>
          </m:sSub>
        </m:oMath>
      </m:oMathPara>
    </w:p>
    <w:p w14:paraId="35E12BA3" w14:textId="77777777" w:rsidR="000D140C" w:rsidRPr="00E33D8D" w:rsidRDefault="000D140C" w:rsidP="000D140C">
      <w:pPr>
        <w:pStyle w:val="BodyText"/>
        <w:rPr>
          <w:rFonts w:ascii="Arial" w:eastAsiaTheme="minorEastAsia" w:hAnsi="Arial"/>
          <w:lang w:val="en"/>
        </w:rPr>
      </w:pPr>
      <m:oMathPara>
        <m:oMathParaPr>
          <m:jc m:val="left"/>
        </m:oMathParaPr>
        <m:oMath>
          <m:r>
            <w:rPr>
              <w:rFonts w:ascii="Cambria Math" w:eastAsiaTheme="minorEastAsia" w:hAnsi="Cambria Math"/>
              <w:lang w:val="en"/>
            </w:rPr>
            <m:t xml:space="preserve">               +</m:t>
          </m:r>
          <m:sSub>
            <m:sSubPr>
              <m:ctrlPr>
                <w:rPr>
                  <w:rFonts w:ascii="Cambria Math" w:eastAsiaTheme="minorEastAsia" w:hAnsi="Cambria Math"/>
                  <w:i/>
                  <w:lang w:val="en"/>
                </w:rPr>
              </m:ctrlPr>
            </m:sSubPr>
            <m:e>
              <m:r>
                <w:rPr>
                  <w:rFonts w:ascii="Cambria Math" w:eastAsiaTheme="minorEastAsia" w:hAnsi="Cambria Math"/>
                  <w:lang w:val="en"/>
                </w:rPr>
                <m:t>γ</m:t>
              </m:r>
            </m:e>
            <m:sub>
              <m:r>
                <w:rPr>
                  <w:rFonts w:ascii="Cambria Math" w:eastAsiaTheme="minorEastAsia" w:hAnsi="Cambria Math"/>
                  <w:lang w:val="en"/>
                </w:rPr>
                <m:t>1</m:t>
              </m:r>
            </m:sub>
          </m:sSub>
          <m:sSub>
            <m:sSubPr>
              <m:ctrlPr>
                <w:rPr>
                  <w:rFonts w:ascii="Cambria Math" w:eastAsiaTheme="minorEastAsia" w:hAnsi="Cambria Math"/>
                  <w:i/>
                  <w:lang w:val="en"/>
                </w:rPr>
              </m:ctrlPr>
            </m:sSubPr>
            <m:e>
              <m:r>
                <w:rPr>
                  <w:rFonts w:ascii="Cambria Math" w:eastAsiaTheme="minorEastAsia" w:hAnsi="Cambria Math"/>
                  <w:lang w:val="en"/>
                </w:rPr>
                <m:t>ExpInt</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Type</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γ</m:t>
              </m:r>
            </m:e>
            <m:sub>
              <m:r>
                <w:rPr>
                  <w:rFonts w:ascii="Cambria Math" w:eastAsiaTheme="minorEastAsia" w:hAnsi="Cambria Math"/>
                  <w:lang w:val="en"/>
                </w:rPr>
                <m:t>2</m:t>
              </m:r>
            </m:sub>
          </m:sSub>
          <m:sSub>
            <m:sSubPr>
              <m:ctrlPr>
                <w:rPr>
                  <w:rFonts w:ascii="Cambria Math" w:eastAsiaTheme="minorEastAsia" w:hAnsi="Cambria Math"/>
                  <w:i/>
                  <w:lang w:val="en"/>
                </w:rPr>
              </m:ctrlPr>
            </m:sSubPr>
            <m:e>
              <m:r>
                <w:rPr>
                  <w:rFonts w:ascii="Cambria Math" w:eastAsiaTheme="minorEastAsia" w:hAnsi="Cambria Math"/>
                  <w:lang w:val="en"/>
                </w:rPr>
                <m:t>H</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ExpInt</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Type</m:t>
              </m:r>
            </m:e>
            <m:sub>
              <m:r>
                <w:rPr>
                  <w:rFonts w:ascii="Cambria Math" w:eastAsiaTheme="minorEastAsia" w:hAnsi="Cambria Math"/>
                  <w:lang w:val="en"/>
                </w:rPr>
                <m:t>it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τ</m:t>
              </m:r>
            </m:e>
            <m:sub>
              <m:r>
                <w:rPr>
                  <w:rFonts w:ascii="Cambria Math" w:eastAsiaTheme="minorEastAsia" w:hAnsi="Cambria Math"/>
                  <w:lang w:val="en"/>
                </w:rPr>
                <m:t>t</m:t>
              </m:r>
            </m:sub>
          </m:sSub>
          <m:r>
            <w:rPr>
              <w:rFonts w:ascii="Cambria Math" w:eastAsiaTheme="minorEastAsia" w:hAnsi="Cambria Math"/>
              <w:lang w:val="en"/>
            </w:rPr>
            <m:t>+</m:t>
          </m:r>
          <m:sSub>
            <m:sSubPr>
              <m:ctrlPr>
                <w:rPr>
                  <w:rFonts w:ascii="Cambria Math" w:eastAsiaTheme="minorEastAsia" w:hAnsi="Cambria Math"/>
                  <w:i/>
                  <w:lang w:val="en"/>
                </w:rPr>
              </m:ctrlPr>
            </m:sSubPr>
            <m:e>
              <m:r>
                <w:rPr>
                  <w:rFonts w:ascii="Cambria Math" w:eastAsiaTheme="minorEastAsia" w:hAnsi="Cambria Math"/>
                  <w:lang w:val="en"/>
                </w:rPr>
                <m:t>ε</m:t>
              </m:r>
            </m:e>
            <m:sub>
              <m:r>
                <w:rPr>
                  <w:rFonts w:ascii="Cambria Math" w:eastAsiaTheme="minorEastAsia" w:hAnsi="Cambria Math"/>
                  <w:lang w:val="en"/>
                </w:rPr>
                <m:t>it</m:t>
              </m:r>
            </m:sub>
          </m:sSub>
        </m:oMath>
      </m:oMathPara>
    </w:p>
    <w:p w14:paraId="35E12BA4" w14:textId="77777777" w:rsidR="00B8280B" w:rsidRDefault="00B8280B" w:rsidP="00B8280B">
      <w:pPr>
        <w:spacing w:line="270" w:lineRule="exact"/>
        <w:ind w:left="0"/>
      </w:pPr>
      <w:r>
        <w:t xml:space="preserve">In this model, </w:t>
      </w:r>
      <m:oMath>
        <m:sSub>
          <m:sSubPr>
            <m:ctrlPr>
              <w:rPr>
                <w:rFonts w:ascii="Cambria Math" w:hAnsi="Cambria Math"/>
                <w:i/>
                <w:lang w:val="en"/>
              </w:rPr>
            </m:ctrlPr>
          </m:sSubPr>
          <m:e>
            <m:r>
              <w:rPr>
                <w:rFonts w:ascii="Cambria Math" w:hAnsi="Cambria Math"/>
                <w:lang w:val="en"/>
              </w:rPr>
              <m:t>∆</m:t>
            </m:r>
          </m:e>
          <m:sub>
            <m:r>
              <w:rPr>
                <w:rFonts w:ascii="Cambria Math" w:hAnsi="Cambria Math"/>
                <w:lang w:val="en"/>
              </w:rPr>
              <m:t>2</m:t>
            </m:r>
          </m:sub>
        </m:sSub>
        <m:sSub>
          <m:sSubPr>
            <m:ctrlPr>
              <w:rPr>
                <w:rFonts w:ascii="Cambria Math" w:hAnsi="Cambria Math"/>
                <w:i/>
                <w:lang w:val="en"/>
              </w:rPr>
            </m:ctrlPr>
          </m:sSubPr>
          <m:e>
            <m:acc>
              <m:accPr>
                <m:chr m:val="̅"/>
                <m:ctrlPr>
                  <w:rPr>
                    <w:rFonts w:ascii="Cambria Math" w:hAnsi="Cambria Math"/>
                    <w:i/>
                    <w:lang w:val="en"/>
                  </w:rPr>
                </m:ctrlPr>
              </m:accPr>
              <m:e>
                <m:r>
                  <w:rPr>
                    <w:rFonts w:ascii="Cambria Math" w:hAnsi="Cambria Math"/>
                    <w:lang w:val="en"/>
                  </w:rPr>
                  <m:t>LP</m:t>
                </m:r>
              </m:e>
            </m:acc>
          </m:e>
          <m:sub>
            <m:r>
              <w:rPr>
                <w:rFonts w:ascii="Cambria Math" w:hAnsi="Cambria Math"/>
                <w:lang w:val="en"/>
              </w:rPr>
              <m:t>it</m:t>
            </m:r>
          </m:sub>
        </m:sSub>
      </m:oMath>
      <w:r>
        <w:t xml:space="preserve"> is defined in the same way as in (</w:t>
      </w:r>
      <w:fldSimple w:instr="REF BMeq_dH2 \* MERGEFORMAT ">
        <w:r w:rsidR="00A20DE7">
          <w:t>3</w:t>
        </w:r>
      </w:fldSimple>
      <w:r>
        <w:t>) and is a two-year change in the overall productivity of the industry. The estimated coefficients are reported in Table </w:t>
      </w:r>
      <w:r w:rsidR="004A12AC">
        <w:t>6.1</w:t>
      </w:r>
      <w:r>
        <w:t>.</w:t>
      </w:r>
    </w:p>
    <w:p w14:paraId="35E12BA7" w14:textId="77777777" w:rsidR="001D3DAE" w:rsidRDefault="001D3DAE" w:rsidP="004B17CD">
      <w:pPr>
        <w:pStyle w:val="BodyText"/>
        <w:rPr>
          <w:lang w:val="en"/>
        </w:rPr>
      </w:pPr>
    </w:p>
    <w:p w14:paraId="35E12BA8" w14:textId="77777777" w:rsidR="005404E5" w:rsidRDefault="005404E5" w:rsidP="00F24C38">
      <w:pPr>
        <w:pStyle w:val="Caption"/>
      </w:pPr>
      <w:r w:rsidRPr="000618FB">
        <w:lastRenderedPageBreak/>
        <w:t xml:space="preserve">Table </w:t>
      </w:r>
      <w:r>
        <w:rPr>
          <w:noProof/>
        </w:rPr>
        <w:fldChar w:fldCharType="begin"/>
      </w:r>
      <w:r>
        <w:rPr>
          <w:noProof/>
        </w:rPr>
        <w:instrText xml:space="preserve"> STYLEREF 1 \s </w:instrText>
      </w:r>
      <w:r>
        <w:rPr>
          <w:noProof/>
        </w:rPr>
        <w:fldChar w:fldCharType="separate"/>
      </w:r>
      <w:r w:rsidR="00A20DE7">
        <w:rPr>
          <w:noProof/>
        </w:rPr>
        <w:t>6</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1</w:t>
      </w:r>
      <w:r>
        <w:rPr>
          <w:noProof/>
        </w:rPr>
        <w:fldChar w:fldCharType="end"/>
      </w:r>
      <w:r w:rsidRPr="000618FB">
        <w:t xml:space="preserve">: </w:t>
      </w:r>
      <w:r>
        <w:t>The estimated effect of export intensity joint with other covariates on the industry’s productivity.</w:t>
      </w:r>
    </w:p>
    <w:tbl>
      <w:tblPr>
        <w:tblStyle w:val="OCETable"/>
        <w:tblW w:w="4683" w:type="pct"/>
        <w:tblLayout w:type="fixed"/>
        <w:tblLook w:val="04A0" w:firstRow="1" w:lastRow="0" w:firstColumn="1" w:lastColumn="0" w:noHBand="0" w:noVBand="1"/>
        <w:tblCaption w:val="Table 6.1"/>
        <w:tblDescription w:val="Effect of export intensity and skewness or digital maturity on productivity is very similar to that they have on HHI. Specifically, the coefficient for interaction between HHI and export intensity is positive and significant during 2006 to 2014. Moreover, the interaction between HHI, export intensity and star performance (measured as skewness or digital maturity) is also positive and significant."/>
      </w:tblPr>
      <w:tblGrid>
        <w:gridCol w:w="1559"/>
        <w:gridCol w:w="1701"/>
        <w:gridCol w:w="1185"/>
        <w:gridCol w:w="800"/>
        <w:gridCol w:w="1212"/>
      </w:tblGrid>
      <w:tr w:rsidR="001D3DAE" w14:paraId="35E12BAB" w14:textId="77777777" w:rsidTr="007307B1">
        <w:trPr>
          <w:cnfStyle w:val="100000000000" w:firstRow="1" w:lastRow="0" w:firstColumn="0" w:lastColumn="0" w:oddVBand="0" w:evenVBand="0" w:oddHBand="0" w:evenHBand="0" w:firstRowFirstColumn="0" w:firstRowLastColumn="0" w:lastRowFirstColumn="0" w:lastRowLastColumn="0"/>
          <w:tblHeader/>
        </w:trPr>
        <w:tc>
          <w:tcPr>
            <w:tcW w:w="1559" w:type="dxa"/>
            <w:tcBorders>
              <w:bottom w:val="none" w:sz="0" w:space="0" w:color="auto"/>
            </w:tcBorders>
          </w:tcPr>
          <w:p w14:paraId="35E12BA9" w14:textId="77777777" w:rsidR="001D3DAE" w:rsidRDefault="001D3DAE" w:rsidP="001D3DAE">
            <w:pPr>
              <w:pStyle w:val="Tableheadertext"/>
            </w:pPr>
          </w:p>
        </w:tc>
        <w:tc>
          <w:tcPr>
            <w:tcW w:w="4898" w:type="dxa"/>
            <w:gridSpan w:val="4"/>
            <w:tcBorders>
              <w:bottom w:val="none" w:sz="0" w:space="0" w:color="auto"/>
            </w:tcBorders>
          </w:tcPr>
          <w:p w14:paraId="35E12BAA" w14:textId="77777777" w:rsidR="001D3DAE" w:rsidRDefault="001D3DAE" w:rsidP="00885F84">
            <w:pPr>
              <w:pStyle w:val="Tableheadertext"/>
            </w:pPr>
            <w:r>
              <w:t xml:space="preserve">Dependent: </w:t>
            </w:r>
            <m:oMath>
              <m:sSub>
                <m:sSubPr>
                  <m:ctrlPr>
                    <w:rPr>
                      <w:rFonts w:ascii="Cambria Math" w:hAnsi="Cambria Math" w:cstheme="minorBidi"/>
                      <w:b w:val="0"/>
                      <w:i/>
                      <w:color w:val="373737"/>
                      <w:sz w:val="20"/>
                      <w:szCs w:val="22"/>
                      <w:lang w:val="en"/>
                    </w:rPr>
                  </m:ctrlPr>
                </m:sSubPr>
                <m:e>
                  <m:r>
                    <m:rPr>
                      <m:sty m:val="bi"/>
                    </m:rPr>
                    <w:rPr>
                      <w:rFonts w:ascii="Cambria Math" w:hAnsi="Cambria Math"/>
                      <w:lang w:val="en"/>
                    </w:rPr>
                    <m:t>∆</m:t>
                  </m:r>
                </m:e>
                <m:sub>
                  <m:r>
                    <m:rPr>
                      <m:sty m:val="bi"/>
                    </m:rPr>
                    <w:rPr>
                      <w:rFonts w:ascii="Cambria Math" w:hAnsi="Cambria Math"/>
                      <w:lang w:val="en"/>
                    </w:rPr>
                    <m:t>2</m:t>
                  </m:r>
                </m:sub>
              </m:sSub>
              <m:sSub>
                <m:sSubPr>
                  <m:ctrlPr>
                    <w:rPr>
                      <w:rFonts w:ascii="Cambria Math" w:hAnsi="Cambria Math" w:cstheme="minorBidi"/>
                      <w:b w:val="0"/>
                      <w:i/>
                      <w:color w:val="373737"/>
                      <w:sz w:val="20"/>
                      <w:szCs w:val="22"/>
                      <w:lang w:val="en"/>
                    </w:rPr>
                  </m:ctrlPr>
                </m:sSubPr>
                <m:e>
                  <m:acc>
                    <m:accPr>
                      <m:chr m:val="̅"/>
                      <m:ctrlPr>
                        <w:rPr>
                          <w:rFonts w:ascii="Cambria Math" w:hAnsi="Cambria Math" w:cstheme="minorBidi"/>
                          <w:b w:val="0"/>
                          <w:i/>
                          <w:color w:val="373737"/>
                          <w:sz w:val="20"/>
                          <w:szCs w:val="22"/>
                          <w:lang w:val="en"/>
                        </w:rPr>
                      </m:ctrlPr>
                    </m:accPr>
                    <m:e>
                      <m:r>
                        <m:rPr>
                          <m:sty m:val="bi"/>
                        </m:rPr>
                        <w:rPr>
                          <w:rFonts w:ascii="Cambria Math" w:hAnsi="Cambria Math"/>
                          <w:lang w:val="en"/>
                        </w:rPr>
                        <m:t>LP</m:t>
                      </m:r>
                    </m:e>
                  </m:acc>
                </m:e>
                <m:sub>
                  <m:r>
                    <m:rPr>
                      <m:sty m:val="bi"/>
                    </m:rPr>
                    <w:rPr>
                      <w:rFonts w:ascii="Cambria Math" w:hAnsi="Cambria Math"/>
                      <w:lang w:val="en"/>
                    </w:rPr>
                    <m:t>it</m:t>
                  </m:r>
                </m:sub>
              </m:sSub>
            </m:oMath>
          </w:p>
        </w:tc>
      </w:tr>
      <w:tr w:rsidR="00885F84" w:rsidRPr="00885F84" w14:paraId="35E12BB1"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shd w:val="clear" w:color="auto" w:fill="005CAF"/>
          </w:tcPr>
          <w:p w14:paraId="35E12BAC" w14:textId="77777777" w:rsidR="001D3DAE" w:rsidRPr="00885F84" w:rsidRDefault="001D3DAE" w:rsidP="001D3DAE">
            <w:pPr>
              <w:pStyle w:val="Tablebodytext"/>
              <w:rPr>
                <w:color w:val="FFFFFF" w:themeColor="background2"/>
              </w:rPr>
            </w:pPr>
            <w:r w:rsidRPr="00885F84">
              <w:rPr>
                <w:color w:val="FFFFFF" w:themeColor="background2"/>
              </w:rPr>
              <w:t>Variable</w:t>
            </w:r>
          </w:p>
        </w:tc>
        <w:tc>
          <w:tcPr>
            <w:tcW w:w="1701" w:type="dxa"/>
            <w:shd w:val="clear" w:color="auto" w:fill="005CAF"/>
          </w:tcPr>
          <w:p w14:paraId="35E12BAD" w14:textId="77777777" w:rsidR="001D3DAE" w:rsidRPr="00885F84" w:rsidRDefault="001D3DAE" w:rsidP="001D3DAE">
            <w:pPr>
              <w:pStyle w:val="Tablebodytext"/>
              <w:rPr>
                <w:color w:val="FFFFFF" w:themeColor="background2"/>
              </w:rPr>
            </w:pPr>
            <w:r w:rsidRPr="00885F84">
              <w:rPr>
                <w:color w:val="FFFFFF" w:themeColor="background2"/>
              </w:rPr>
              <w:t>(1)</w:t>
            </w:r>
          </w:p>
        </w:tc>
        <w:tc>
          <w:tcPr>
            <w:tcW w:w="1185" w:type="dxa"/>
            <w:shd w:val="clear" w:color="auto" w:fill="005CAF"/>
          </w:tcPr>
          <w:p w14:paraId="35E12BAE" w14:textId="77777777" w:rsidR="001D3DAE" w:rsidRPr="00885F84" w:rsidRDefault="001D3DAE" w:rsidP="001D3DAE">
            <w:pPr>
              <w:pStyle w:val="Tablebodytext"/>
              <w:rPr>
                <w:color w:val="FFFFFF" w:themeColor="background2"/>
              </w:rPr>
            </w:pPr>
            <w:r w:rsidRPr="00885F84">
              <w:rPr>
                <w:color w:val="FFFFFF" w:themeColor="background2"/>
              </w:rPr>
              <w:t>(2)</w:t>
            </w:r>
          </w:p>
        </w:tc>
        <w:tc>
          <w:tcPr>
            <w:tcW w:w="800" w:type="dxa"/>
            <w:shd w:val="clear" w:color="auto" w:fill="005CAF"/>
          </w:tcPr>
          <w:p w14:paraId="35E12BAF" w14:textId="77777777" w:rsidR="001D3DAE" w:rsidRPr="00885F84" w:rsidRDefault="001D3DAE" w:rsidP="001D3DAE">
            <w:pPr>
              <w:pStyle w:val="Tablebodytext"/>
              <w:rPr>
                <w:color w:val="FFFFFF" w:themeColor="background2"/>
              </w:rPr>
            </w:pPr>
          </w:p>
        </w:tc>
        <w:tc>
          <w:tcPr>
            <w:tcW w:w="1212" w:type="dxa"/>
            <w:shd w:val="clear" w:color="auto" w:fill="005CAF"/>
          </w:tcPr>
          <w:p w14:paraId="35E12BB0" w14:textId="77777777" w:rsidR="001D3DAE" w:rsidRPr="00885F84" w:rsidRDefault="001D3DAE" w:rsidP="001D3DAE">
            <w:pPr>
              <w:pStyle w:val="Tablebodytext"/>
              <w:rPr>
                <w:color w:val="FFFFFF" w:themeColor="background2"/>
              </w:rPr>
            </w:pPr>
            <w:r w:rsidRPr="00885F84">
              <w:rPr>
                <w:color w:val="FFFFFF" w:themeColor="background2"/>
              </w:rPr>
              <w:t>(3)</w:t>
            </w:r>
          </w:p>
        </w:tc>
      </w:tr>
      <w:tr w:rsidR="001D3DAE" w14:paraId="35E12BB7"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Pr>
          <w:p w14:paraId="35E12BB2" w14:textId="77777777" w:rsidR="001D3DAE" w:rsidRDefault="001D3DAE" w:rsidP="001D3DAE">
            <w:pPr>
              <w:pStyle w:val="Tablebodytext"/>
            </w:pPr>
            <w:r>
              <w:fldChar w:fldCharType="begin"/>
            </w:r>
            <w:r>
              <w:instrText xml:space="preserve"> EQ  \x\to( </w:instrText>
            </w:r>
            <w:r>
              <w:rPr>
                <w:i/>
                <w:iCs/>
              </w:rPr>
              <w:instrText>LP</w:instrText>
            </w:r>
            <w:r>
              <w:instrText xml:space="preserve">) </w:instrText>
            </w:r>
            <w:r>
              <w:fldChar w:fldCharType="end"/>
            </w:r>
          </w:p>
        </w:tc>
        <w:tc>
          <w:tcPr>
            <w:tcW w:w="1701" w:type="dxa"/>
          </w:tcPr>
          <w:p w14:paraId="35E12BB3" w14:textId="77777777" w:rsidR="001D3DAE" w:rsidRDefault="001D3DAE" w:rsidP="001D3DAE">
            <w:pPr>
              <w:pStyle w:val="Tablebodytext"/>
            </w:pPr>
            <w:r>
              <w:t>0.349***</w:t>
            </w:r>
          </w:p>
        </w:tc>
        <w:tc>
          <w:tcPr>
            <w:tcW w:w="1185" w:type="dxa"/>
          </w:tcPr>
          <w:p w14:paraId="35E12BB4" w14:textId="77777777" w:rsidR="001D3DAE" w:rsidRDefault="001D3DAE" w:rsidP="001D3DAE">
            <w:pPr>
              <w:pStyle w:val="Tablebodytext"/>
            </w:pPr>
            <w:r>
              <w:t>−0.0004</w:t>
            </w:r>
          </w:p>
        </w:tc>
        <w:tc>
          <w:tcPr>
            <w:tcW w:w="800" w:type="dxa"/>
          </w:tcPr>
          <w:p w14:paraId="35E12BB5" w14:textId="77777777" w:rsidR="001D3DAE" w:rsidRDefault="001D3DAE" w:rsidP="001D3DAE">
            <w:pPr>
              <w:pStyle w:val="Tablebodytext"/>
            </w:pPr>
          </w:p>
        </w:tc>
        <w:tc>
          <w:tcPr>
            <w:tcW w:w="1212" w:type="dxa"/>
          </w:tcPr>
          <w:p w14:paraId="35E12BB6" w14:textId="77777777" w:rsidR="001D3DAE" w:rsidRDefault="001D3DAE" w:rsidP="001D3DAE">
            <w:pPr>
              <w:pStyle w:val="Tablebodytext"/>
            </w:pPr>
            <w:r>
              <w:t>−0.002</w:t>
            </w:r>
          </w:p>
        </w:tc>
      </w:tr>
      <w:tr w:rsidR="001D3DAE" w14:paraId="35E12BBD"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Pr>
          <w:p w14:paraId="35E12BB8" w14:textId="77777777" w:rsidR="001D3DAE" w:rsidRDefault="001D3DAE" w:rsidP="001D3DAE">
            <w:pPr>
              <w:pStyle w:val="Tablebodytext"/>
            </w:pPr>
          </w:p>
        </w:tc>
        <w:tc>
          <w:tcPr>
            <w:tcW w:w="1701" w:type="dxa"/>
          </w:tcPr>
          <w:p w14:paraId="35E12BB9" w14:textId="77777777" w:rsidR="001D3DAE" w:rsidRDefault="001D3DAE" w:rsidP="001D3DAE">
            <w:pPr>
              <w:pStyle w:val="Tablebodytext"/>
            </w:pPr>
            <w:r>
              <w:t>(0.055)</w:t>
            </w:r>
          </w:p>
        </w:tc>
        <w:tc>
          <w:tcPr>
            <w:tcW w:w="1185" w:type="dxa"/>
          </w:tcPr>
          <w:p w14:paraId="35E12BBA" w14:textId="77777777" w:rsidR="001D3DAE" w:rsidRDefault="001D3DAE" w:rsidP="001D3DAE">
            <w:pPr>
              <w:pStyle w:val="Tablebodytext"/>
            </w:pPr>
            <w:r>
              <w:t>(0.012)</w:t>
            </w:r>
          </w:p>
        </w:tc>
        <w:tc>
          <w:tcPr>
            <w:tcW w:w="800" w:type="dxa"/>
          </w:tcPr>
          <w:p w14:paraId="35E12BBB" w14:textId="77777777" w:rsidR="001D3DAE" w:rsidRDefault="001D3DAE" w:rsidP="001D3DAE">
            <w:pPr>
              <w:pStyle w:val="Tablebodytext"/>
            </w:pPr>
          </w:p>
        </w:tc>
        <w:tc>
          <w:tcPr>
            <w:tcW w:w="1212" w:type="dxa"/>
          </w:tcPr>
          <w:p w14:paraId="35E12BBC" w14:textId="77777777" w:rsidR="001D3DAE" w:rsidRDefault="001D3DAE" w:rsidP="001D3DAE">
            <w:pPr>
              <w:pStyle w:val="Tablebodytext"/>
            </w:pPr>
            <w:r>
              <w:t>(0.013)</w:t>
            </w:r>
          </w:p>
        </w:tc>
      </w:tr>
      <w:tr w:rsidR="001D3DAE" w14:paraId="35E12BC3"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Pr>
          <w:p w14:paraId="35E12BBE" w14:textId="77777777" w:rsidR="001D3DAE" w:rsidRDefault="001D3DAE" w:rsidP="001D3DAE">
            <w:pPr>
              <w:pStyle w:val="Tablebodytext"/>
            </w:pPr>
            <w:r>
              <w:rPr>
                <w:i/>
                <w:iCs/>
              </w:rPr>
              <w:t>H</w:t>
            </w:r>
          </w:p>
        </w:tc>
        <w:tc>
          <w:tcPr>
            <w:tcW w:w="1701" w:type="dxa"/>
          </w:tcPr>
          <w:p w14:paraId="35E12BBF" w14:textId="77777777" w:rsidR="001D3DAE" w:rsidRDefault="001D3DAE" w:rsidP="001D3DAE">
            <w:pPr>
              <w:pStyle w:val="Tablebodytext"/>
            </w:pPr>
            <w:r>
              <w:t>0.242**</w:t>
            </w:r>
          </w:p>
        </w:tc>
        <w:tc>
          <w:tcPr>
            <w:tcW w:w="1185" w:type="dxa"/>
          </w:tcPr>
          <w:p w14:paraId="35E12BC0" w14:textId="77777777" w:rsidR="001D3DAE" w:rsidRDefault="001D3DAE" w:rsidP="001D3DAE">
            <w:pPr>
              <w:pStyle w:val="Tablebodytext"/>
            </w:pPr>
            <w:r>
              <w:t>−0.263**</w:t>
            </w:r>
          </w:p>
        </w:tc>
        <w:tc>
          <w:tcPr>
            <w:tcW w:w="800" w:type="dxa"/>
          </w:tcPr>
          <w:p w14:paraId="35E12BC1" w14:textId="77777777" w:rsidR="001D3DAE" w:rsidRDefault="001D3DAE" w:rsidP="001D3DAE">
            <w:pPr>
              <w:pStyle w:val="Tablebodytext"/>
            </w:pPr>
          </w:p>
        </w:tc>
        <w:tc>
          <w:tcPr>
            <w:tcW w:w="1212" w:type="dxa"/>
          </w:tcPr>
          <w:p w14:paraId="35E12BC2" w14:textId="77777777" w:rsidR="001D3DAE" w:rsidRDefault="001D3DAE" w:rsidP="001D3DAE">
            <w:pPr>
              <w:pStyle w:val="Tablebodytext"/>
            </w:pPr>
            <w:r>
              <w:t>−0.284**</w:t>
            </w:r>
          </w:p>
        </w:tc>
      </w:tr>
      <w:tr w:rsidR="001D3DAE" w14:paraId="35E12BC9"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Pr>
          <w:p w14:paraId="35E12BC4" w14:textId="77777777" w:rsidR="001D3DAE" w:rsidRDefault="001D3DAE" w:rsidP="001D3DAE">
            <w:pPr>
              <w:pStyle w:val="Tablebodytext"/>
            </w:pPr>
          </w:p>
        </w:tc>
        <w:tc>
          <w:tcPr>
            <w:tcW w:w="1701" w:type="dxa"/>
          </w:tcPr>
          <w:p w14:paraId="35E12BC5" w14:textId="77777777" w:rsidR="001D3DAE" w:rsidRDefault="001D3DAE" w:rsidP="001D3DAE">
            <w:pPr>
              <w:pStyle w:val="Tablebodytext"/>
            </w:pPr>
            <w:r>
              <w:t>(0.108)</w:t>
            </w:r>
          </w:p>
        </w:tc>
        <w:tc>
          <w:tcPr>
            <w:tcW w:w="1185" w:type="dxa"/>
          </w:tcPr>
          <w:p w14:paraId="35E12BC6" w14:textId="77777777" w:rsidR="001D3DAE" w:rsidRDefault="001D3DAE" w:rsidP="001D3DAE">
            <w:pPr>
              <w:pStyle w:val="Tablebodytext"/>
            </w:pPr>
            <w:r>
              <w:t>(0.120)</w:t>
            </w:r>
          </w:p>
        </w:tc>
        <w:tc>
          <w:tcPr>
            <w:tcW w:w="800" w:type="dxa"/>
          </w:tcPr>
          <w:p w14:paraId="35E12BC7" w14:textId="77777777" w:rsidR="001D3DAE" w:rsidRDefault="001D3DAE" w:rsidP="001D3DAE">
            <w:pPr>
              <w:pStyle w:val="Tablebodytext"/>
            </w:pPr>
          </w:p>
        </w:tc>
        <w:tc>
          <w:tcPr>
            <w:tcW w:w="1212" w:type="dxa"/>
          </w:tcPr>
          <w:p w14:paraId="35E12BC8" w14:textId="77777777" w:rsidR="001D3DAE" w:rsidRDefault="001D3DAE" w:rsidP="001D3DAE">
            <w:pPr>
              <w:pStyle w:val="Tablebodytext"/>
            </w:pPr>
            <w:r>
              <w:t>(0.134)</w:t>
            </w:r>
          </w:p>
        </w:tc>
      </w:tr>
      <w:tr w:rsidR="001D3DAE" w14:paraId="35E12BCF"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Pr>
          <w:p w14:paraId="35E12BCA" w14:textId="77777777" w:rsidR="001D3DAE" w:rsidRDefault="001D3DAE" w:rsidP="001D3DAE">
            <w:pPr>
              <w:pStyle w:val="Tablebodytext"/>
            </w:pPr>
            <w:r>
              <w:rPr>
                <w:i/>
                <w:iCs/>
              </w:rPr>
              <w:t>ExpInt</w:t>
            </w:r>
          </w:p>
        </w:tc>
        <w:tc>
          <w:tcPr>
            <w:tcW w:w="1701" w:type="dxa"/>
          </w:tcPr>
          <w:p w14:paraId="35E12BCB" w14:textId="77777777" w:rsidR="001D3DAE" w:rsidRDefault="001D3DAE" w:rsidP="001D3DAE">
            <w:pPr>
              <w:pStyle w:val="Tablebodytext"/>
            </w:pPr>
            <w:r>
              <w:t>−0.215</w:t>
            </w:r>
          </w:p>
        </w:tc>
        <w:tc>
          <w:tcPr>
            <w:tcW w:w="1185" w:type="dxa"/>
          </w:tcPr>
          <w:p w14:paraId="35E12BCC" w14:textId="77777777" w:rsidR="001D3DAE" w:rsidRDefault="001D3DAE" w:rsidP="001D3DAE">
            <w:pPr>
              <w:pStyle w:val="Tablebodytext"/>
            </w:pPr>
            <w:r>
              <w:t>−0.162</w:t>
            </w:r>
          </w:p>
        </w:tc>
        <w:tc>
          <w:tcPr>
            <w:tcW w:w="800" w:type="dxa"/>
          </w:tcPr>
          <w:p w14:paraId="35E12BCD" w14:textId="77777777" w:rsidR="001D3DAE" w:rsidRDefault="001D3DAE" w:rsidP="001D3DAE">
            <w:pPr>
              <w:pStyle w:val="Tablebodytext"/>
            </w:pPr>
          </w:p>
        </w:tc>
        <w:tc>
          <w:tcPr>
            <w:tcW w:w="1212" w:type="dxa"/>
          </w:tcPr>
          <w:p w14:paraId="35E12BCE" w14:textId="77777777" w:rsidR="001D3DAE" w:rsidRDefault="001D3DAE" w:rsidP="001D3DAE">
            <w:pPr>
              <w:pStyle w:val="Tablebodytext"/>
            </w:pPr>
            <w:r>
              <w:t>−0.206</w:t>
            </w:r>
          </w:p>
        </w:tc>
      </w:tr>
      <w:tr w:rsidR="001D3DAE" w14:paraId="35E12BD5"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Pr>
          <w:p w14:paraId="35E12BD0" w14:textId="77777777" w:rsidR="001D3DAE" w:rsidRDefault="001D3DAE" w:rsidP="001D3DAE">
            <w:pPr>
              <w:pStyle w:val="Tablebodytext"/>
            </w:pPr>
          </w:p>
        </w:tc>
        <w:tc>
          <w:tcPr>
            <w:tcW w:w="1701" w:type="dxa"/>
          </w:tcPr>
          <w:p w14:paraId="35E12BD1" w14:textId="77777777" w:rsidR="001D3DAE" w:rsidRDefault="001D3DAE" w:rsidP="001D3DAE">
            <w:pPr>
              <w:pStyle w:val="Tablebodytext"/>
            </w:pPr>
            <w:r>
              <w:t>(0.194)</w:t>
            </w:r>
          </w:p>
        </w:tc>
        <w:tc>
          <w:tcPr>
            <w:tcW w:w="1185" w:type="dxa"/>
          </w:tcPr>
          <w:p w14:paraId="35E12BD2" w14:textId="77777777" w:rsidR="001D3DAE" w:rsidRDefault="001D3DAE" w:rsidP="001D3DAE">
            <w:pPr>
              <w:pStyle w:val="Tablebodytext"/>
            </w:pPr>
            <w:r>
              <w:t>(0.196)</w:t>
            </w:r>
          </w:p>
        </w:tc>
        <w:tc>
          <w:tcPr>
            <w:tcW w:w="800" w:type="dxa"/>
          </w:tcPr>
          <w:p w14:paraId="35E12BD3" w14:textId="77777777" w:rsidR="001D3DAE" w:rsidRDefault="001D3DAE" w:rsidP="001D3DAE">
            <w:pPr>
              <w:pStyle w:val="Tablebodytext"/>
            </w:pPr>
          </w:p>
        </w:tc>
        <w:tc>
          <w:tcPr>
            <w:tcW w:w="1212" w:type="dxa"/>
          </w:tcPr>
          <w:p w14:paraId="35E12BD4" w14:textId="77777777" w:rsidR="001D3DAE" w:rsidRDefault="001D3DAE" w:rsidP="001D3DAE">
            <w:pPr>
              <w:pStyle w:val="Tablebodytext"/>
            </w:pPr>
            <w:r>
              <w:t>(0.209)</w:t>
            </w:r>
          </w:p>
        </w:tc>
      </w:tr>
      <w:tr w:rsidR="001D3DAE" w14:paraId="35E12BDB"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Pr>
          <w:p w14:paraId="35E12BD6" w14:textId="77777777" w:rsidR="001D3DAE" w:rsidRDefault="001D3DAE" w:rsidP="001D3DAE">
            <w:pPr>
              <w:pStyle w:val="Tablebodytext"/>
            </w:pPr>
            <w:r>
              <w:rPr>
                <w:i/>
                <w:iCs/>
              </w:rPr>
              <w:t>H</w:t>
            </w:r>
            <w:r>
              <w:t>×</w:t>
            </w:r>
            <w:r>
              <w:rPr>
                <w:i/>
                <w:iCs/>
              </w:rPr>
              <w:t>ExpInt</w:t>
            </w:r>
          </w:p>
        </w:tc>
        <w:tc>
          <w:tcPr>
            <w:tcW w:w="1701" w:type="dxa"/>
          </w:tcPr>
          <w:p w14:paraId="35E12BD7" w14:textId="77777777" w:rsidR="001D3DAE" w:rsidRDefault="001D3DAE" w:rsidP="001D3DAE">
            <w:pPr>
              <w:pStyle w:val="Tablebodytext"/>
            </w:pPr>
            <w:r>
              <w:t>2.858*</w:t>
            </w:r>
          </w:p>
        </w:tc>
        <w:tc>
          <w:tcPr>
            <w:tcW w:w="1185" w:type="dxa"/>
          </w:tcPr>
          <w:p w14:paraId="35E12BD8" w14:textId="77777777" w:rsidR="001D3DAE" w:rsidRDefault="001D3DAE" w:rsidP="001D3DAE">
            <w:pPr>
              <w:pStyle w:val="Tablebodytext"/>
            </w:pPr>
            <w:r>
              <w:t>−0.668</w:t>
            </w:r>
          </w:p>
        </w:tc>
        <w:tc>
          <w:tcPr>
            <w:tcW w:w="800" w:type="dxa"/>
          </w:tcPr>
          <w:p w14:paraId="35E12BD9" w14:textId="77777777" w:rsidR="001D3DAE" w:rsidRDefault="001D3DAE" w:rsidP="001D3DAE">
            <w:pPr>
              <w:pStyle w:val="Tablebodytext"/>
            </w:pPr>
          </w:p>
        </w:tc>
        <w:tc>
          <w:tcPr>
            <w:tcW w:w="1212" w:type="dxa"/>
          </w:tcPr>
          <w:p w14:paraId="35E12BDA" w14:textId="77777777" w:rsidR="001D3DAE" w:rsidRDefault="001D3DAE" w:rsidP="001D3DAE">
            <w:pPr>
              <w:pStyle w:val="Tablebodytext"/>
            </w:pPr>
            <w:r>
              <w:t>4.779***</w:t>
            </w:r>
          </w:p>
        </w:tc>
      </w:tr>
      <w:tr w:rsidR="001D3DAE" w14:paraId="35E12BE1"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Pr>
          <w:p w14:paraId="35E12BDC" w14:textId="77777777" w:rsidR="001D3DAE" w:rsidRDefault="001D3DAE" w:rsidP="001D3DAE">
            <w:pPr>
              <w:pStyle w:val="Tablebodytext"/>
            </w:pPr>
          </w:p>
        </w:tc>
        <w:tc>
          <w:tcPr>
            <w:tcW w:w="1701" w:type="dxa"/>
          </w:tcPr>
          <w:p w14:paraId="35E12BDD" w14:textId="77777777" w:rsidR="001D3DAE" w:rsidRDefault="001D3DAE" w:rsidP="001D3DAE">
            <w:pPr>
              <w:pStyle w:val="Tablebodytext"/>
            </w:pPr>
            <w:r>
              <w:t>(1.708)</w:t>
            </w:r>
          </w:p>
        </w:tc>
        <w:tc>
          <w:tcPr>
            <w:tcW w:w="1185" w:type="dxa"/>
          </w:tcPr>
          <w:p w14:paraId="35E12BDE" w14:textId="77777777" w:rsidR="001D3DAE" w:rsidRDefault="001D3DAE" w:rsidP="001D3DAE">
            <w:pPr>
              <w:pStyle w:val="Tablebodytext"/>
            </w:pPr>
            <w:r>
              <w:t>(1.450)</w:t>
            </w:r>
          </w:p>
        </w:tc>
        <w:tc>
          <w:tcPr>
            <w:tcW w:w="800" w:type="dxa"/>
          </w:tcPr>
          <w:p w14:paraId="35E12BDF" w14:textId="77777777" w:rsidR="001D3DAE" w:rsidRDefault="001D3DAE" w:rsidP="001D3DAE">
            <w:pPr>
              <w:pStyle w:val="Tablebodytext"/>
            </w:pPr>
          </w:p>
        </w:tc>
        <w:tc>
          <w:tcPr>
            <w:tcW w:w="1212" w:type="dxa"/>
          </w:tcPr>
          <w:p w14:paraId="35E12BE0" w14:textId="77777777" w:rsidR="001D3DAE" w:rsidRDefault="001D3DAE" w:rsidP="001D3DAE">
            <w:pPr>
              <w:pStyle w:val="Tablebodytext"/>
            </w:pPr>
            <w:r>
              <w:t>(1.050)</w:t>
            </w:r>
          </w:p>
        </w:tc>
      </w:tr>
      <w:tr w:rsidR="001D3DAE" w14:paraId="35E12BE7"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Pr>
          <w:p w14:paraId="35E12BE2" w14:textId="77777777" w:rsidR="001D3DAE" w:rsidRDefault="001D3DAE" w:rsidP="001D3DAE">
            <w:pPr>
              <w:pStyle w:val="Tablebodytext"/>
            </w:pPr>
            <w:r>
              <w:rPr>
                <w:i/>
                <w:iCs/>
              </w:rPr>
              <w:t>Star</w:t>
            </w:r>
          </w:p>
        </w:tc>
        <w:tc>
          <w:tcPr>
            <w:tcW w:w="1701" w:type="dxa"/>
          </w:tcPr>
          <w:p w14:paraId="35E12BE3" w14:textId="77777777" w:rsidR="001D3DAE" w:rsidRDefault="001D3DAE" w:rsidP="001D3DAE">
            <w:pPr>
              <w:pStyle w:val="Tablebodytext"/>
            </w:pPr>
            <w:r>
              <w:t>−0.001</w:t>
            </w:r>
          </w:p>
        </w:tc>
        <w:tc>
          <w:tcPr>
            <w:tcW w:w="1185" w:type="dxa"/>
          </w:tcPr>
          <w:p w14:paraId="35E12BE4" w14:textId="77777777" w:rsidR="001D3DAE" w:rsidRDefault="001D3DAE" w:rsidP="001D3DAE">
            <w:pPr>
              <w:pStyle w:val="Tablebodytext"/>
            </w:pPr>
            <w:r>
              <w:t>−0.0001</w:t>
            </w:r>
          </w:p>
        </w:tc>
        <w:tc>
          <w:tcPr>
            <w:tcW w:w="800" w:type="dxa"/>
          </w:tcPr>
          <w:p w14:paraId="35E12BE5" w14:textId="77777777" w:rsidR="001D3DAE" w:rsidRDefault="001D3DAE" w:rsidP="001D3DAE">
            <w:pPr>
              <w:pStyle w:val="Tablebodytext"/>
            </w:pPr>
          </w:p>
        </w:tc>
        <w:tc>
          <w:tcPr>
            <w:tcW w:w="1212" w:type="dxa"/>
          </w:tcPr>
          <w:p w14:paraId="35E12BE6" w14:textId="77777777" w:rsidR="001D3DAE" w:rsidRDefault="001D3DAE" w:rsidP="001D3DAE">
            <w:pPr>
              <w:pStyle w:val="Tablebodytext"/>
            </w:pPr>
            <w:r>
              <w:t>0.007</w:t>
            </w:r>
          </w:p>
        </w:tc>
      </w:tr>
      <w:tr w:rsidR="001D3DAE" w14:paraId="35E12BED"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Pr>
          <w:p w14:paraId="35E12BE8" w14:textId="77777777" w:rsidR="001D3DAE" w:rsidRDefault="001D3DAE" w:rsidP="001D3DAE">
            <w:pPr>
              <w:pStyle w:val="Tablebodytext"/>
            </w:pPr>
          </w:p>
        </w:tc>
        <w:tc>
          <w:tcPr>
            <w:tcW w:w="1701" w:type="dxa"/>
          </w:tcPr>
          <w:p w14:paraId="35E12BE9" w14:textId="77777777" w:rsidR="001D3DAE" w:rsidRDefault="001D3DAE" w:rsidP="001D3DAE">
            <w:pPr>
              <w:pStyle w:val="Tablebodytext"/>
            </w:pPr>
            <w:r>
              <w:t>(0.0005)</w:t>
            </w:r>
          </w:p>
        </w:tc>
        <w:tc>
          <w:tcPr>
            <w:tcW w:w="1185" w:type="dxa"/>
          </w:tcPr>
          <w:p w14:paraId="35E12BEA" w14:textId="77777777" w:rsidR="001D3DAE" w:rsidRDefault="001D3DAE" w:rsidP="001D3DAE">
            <w:pPr>
              <w:pStyle w:val="Tablebodytext"/>
            </w:pPr>
            <w:r>
              <w:t>(0.0004)</w:t>
            </w:r>
          </w:p>
        </w:tc>
        <w:tc>
          <w:tcPr>
            <w:tcW w:w="800" w:type="dxa"/>
          </w:tcPr>
          <w:p w14:paraId="35E12BEB" w14:textId="77777777" w:rsidR="001D3DAE" w:rsidRDefault="001D3DAE" w:rsidP="001D3DAE">
            <w:pPr>
              <w:pStyle w:val="Tablebodytext"/>
            </w:pPr>
          </w:p>
        </w:tc>
        <w:tc>
          <w:tcPr>
            <w:tcW w:w="1212" w:type="dxa"/>
          </w:tcPr>
          <w:p w14:paraId="35E12BEC" w14:textId="77777777" w:rsidR="001D3DAE" w:rsidRDefault="001D3DAE" w:rsidP="001D3DAE">
            <w:pPr>
              <w:pStyle w:val="Tablebodytext"/>
            </w:pPr>
            <w:r>
              <w:t>(0.014)</w:t>
            </w:r>
          </w:p>
        </w:tc>
      </w:tr>
      <w:tr w:rsidR="001D3DAE" w14:paraId="35E12BF3"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Pr>
          <w:p w14:paraId="35E12BEE" w14:textId="77777777" w:rsidR="001D3DAE" w:rsidRDefault="001D3DAE" w:rsidP="001D3DAE">
            <w:pPr>
              <w:pStyle w:val="Tablebodytext"/>
            </w:pPr>
            <w:r>
              <w:rPr>
                <w:i/>
                <w:iCs/>
              </w:rPr>
              <w:t>H</w:t>
            </w:r>
            <w:r>
              <w:t>×</w:t>
            </w:r>
            <w:r>
              <w:rPr>
                <w:i/>
                <w:iCs/>
              </w:rPr>
              <w:t>Star</w:t>
            </w:r>
          </w:p>
        </w:tc>
        <w:tc>
          <w:tcPr>
            <w:tcW w:w="1701" w:type="dxa"/>
          </w:tcPr>
          <w:p w14:paraId="35E12BEF" w14:textId="77777777" w:rsidR="001D3DAE" w:rsidRDefault="001D3DAE" w:rsidP="001D3DAE">
            <w:pPr>
              <w:pStyle w:val="Tablebodytext"/>
            </w:pPr>
            <w:r>
              <w:t>−0.009</w:t>
            </w:r>
          </w:p>
        </w:tc>
        <w:tc>
          <w:tcPr>
            <w:tcW w:w="1185" w:type="dxa"/>
          </w:tcPr>
          <w:p w14:paraId="35E12BF0" w14:textId="77777777" w:rsidR="001D3DAE" w:rsidRDefault="001D3DAE" w:rsidP="001D3DAE">
            <w:pPr>
              <w:pStyle w:val="Tablebodytext"/>
            </w:pPr>
            <w:r>
              <w:t>−0.010**</w:t>
            </w:r>
          </w:p>
        </w:tc>
        <w:tc>
          <w:tcPr>
            <w:tcW w:w="800" w:type="dxa"/>
          </w:tcPr>
          <w:p w14:paraId="35E12BF1" w14:textId="77777777" w:rsidR="001D3DAE" w:rsidRDefault="001D3DAE" w:rsidP="001D3DAE">
            <w:pPr>
              <w:pStyle w:val="Tablebodytext"/>
            </w:pPr>
          </w:p>
        </w:tc>
        <w:tc>
          <w:tcPr>
            <w:tcW w:w="1212" w:type="dxa"/>
          </w:tcPr>
          <w:p w14:paraId="35E12BF2" w14:textId="77777777" w:rsidR="001D3DAE" w:rsidRDefault="001D3DAE" w:rsidP="001D3DAE">
            <w:pPr>
              <w:pStyle w:val="Tablebodytext"/>
            </w:pPr>
            <w:r>
              <w:t>−0.155</w:t>
            </w:r>
          </w:p>
        </w:tc>
      </w:tr>
      <w:tr w:rsidR="001D3DAE" w14:paraId="35E12BF9"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Pr>
          <w:p w14:paraId="35E12BF4" w14:textId="77777777" w:rsidR="001D3DAE" w:rsidRDefault="001D3DAE" w:rsidP="001D3DAE">
            <w:pPr>
              <w:pStyle w:val="Tablebodytext"/>
            </w:pPr>
          </w:p>
        </w:tc>
        <w:tc>
          <w:tcPr>
            <w:tcW w:w="1701" w:type="dxa"/>
          </w:tcPr>
          <w:p w14:paraId="35E12BF5" w14:textId="77777777" w:rsidR="001D3DAE" w:rsidRDefault="001D3DAE" w:rsidP="001D3DAE">
            <w:pPr>
              <w:pStyle w:val="Tablebodytext"/>
            </w:pPr>
            <w:r>
              <w:t>(0.006)</w:t>
            </w:r>
          </w:p>
        </w:tc>
        <w:tc>
          <w:tcPr>
            <w:tcW w:w="1185" w:type="dxa"/>
          </w:tcPr>
          <w:p w14:paraId="35E12BF6" w14:textId="77777777" w:rsidR="001D3DAE" w:rsidRDefault="001D3DAE" w:rsidP="001D3DAE">
            <w:pPr>
              <w:pStyle w:val="Tablebodytext"/>
            </w:pPr>
            <w:r>
              <w:t>(0.005)</w:t>
            </w:r>
          </w:p>
        </w:tc>
        <w:tc>
          <w:tcPr>
            <w:tcW w:w="800" w:type="dxa"/>
          </w:tcPr>
          <w:p w14:paraId="35E12BF7" w14:textId="77777777" w:rsidR="001D3DAE" w:rsidRDefault="001D3DAE" w:rsidP="001D3DAE">
            <w:pPr>
              <w:pStyle w:val="Tablebodytext"/>
            </w:pPr>
          </w:p>
        </w:tc>
        <w:tc>
          <w:tcPr>
            <w:tcW w:w="1212" w:type="dxa"/>
          </w:tcPr>
          <w:p w14:paraId="35E12BF8" w14:textId="77777777" w:rsidR="001D3DAE" w:rsidRDefault="001D3DAE" w:rsidP="001D3DAE">
            <w:pPr>
              <w:pStyle w:val="Tablebodytext"/>
            </w:pPr>
            <w:r>
              <w:t>(0.097)</w:t>
            </w:r>
          </w:p>
        </w:tc>
      </w:tr>
      <w:tr w:rsidR="001D3DAE" w14:paraId="35E12BFF"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Pr>
          <w:p w14:paraId="35E12BFA" w14:textId="77777777" w:rsidR="001D3DAE" w:rsidRDefault="001D3DAE" w:rsidP="001D3DAE">
            <w:pPr>
              <w:pStyle w:val="Tablebodytext"/>
            </w:pPr>
            <w:r>
              <w:rPr>
                <w:i/>
                <w:iCs/>
              </w:rPr>
              <w:t>Star</w:t>
            </w:r>
            <w:r>
              <w:t>×</w:t>
            </w:r>
            <w:r>
              <w:rPr>
                <w:i/>
                <w:iCs/>
              </w:rPr>
              <w:t>ExpInt</w:t>
            </w:r>
          </w:p>
        </w:tc>
        <w:tc>
          <w:tcPr>
            <w:tcW w:w="1701" w:type="dxa"/>
          </w:tcPr>
          <w:p w14:paraId="35E12BFB" w14:textId="77777777" w:rsidR="001D3DAE" w:rsidRDefault="001D3DAE" w:rsidP="001D3DAE">
            <w:pPr>
              <w:pStyle w:val="Tablebodytext"/>
            </w:pPr>
            <w:r>
              <w:t>0.025***</w:t>
            </w:r>
          </w:p>
        </w:tc>
        <w:tc>
          <w:tcPr>
            <w:tcW w:w="1185" w:type="dxa"/>
          </w:tcPr>
          <w:p w14:paraId="35E12BFC" w14:textId="77777777" w:rsidR="001D3DAE" w:rsidRDefault="001D3DAE" w:rsidP="001D3DAE">
            <w:pPr>
              <w:pStyle w:val="Tablebodytext"/>
            </w:pPr>
            <w:r>
              <w:t>−0.007</w:t>
            </w:r>
          </w:p>
        </w:tc>
        <w:tc>
          <w:tcPr>
            <w:tcW w:w="800" w:type="dxa"/>
          </w:tcPr>
          <w:p w14:paraId="35E12BFD" w14:textId="77777777" w:rsidR="001D3DAE" w:rsidRDefault="001D3DAE" w:rsidP="001D3DAE">
            <w:pPr>
              <w:pStyle w:val="Tablebodytext"/>
            </w:pPr>
          </w:p>
        </w:tc>
        <w:tc>
          <w:tcPr>
            <w:tcW w:w="1212" w:type="dxa"/>
          </w:tcPr>
          <w:p w14:paraId="35E12BFE" w14:textId="77777777" w:rsidR="001D3DAE" w:rsidRDefault="001D3DAE" w:rsidP="001D3DAE">
            <w:pPr>
              <w:pStyle w:val="Tablebodytext"/>
            </w:pPr>
            <w:r>
              <w:t>−0.105</w:t>
            </w:r>
          </w:p>
        </w:tc>
      </w:tr>
      <w:tr w:rsidR="001D3DAE" w14:paraId="35E12C05"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Pr>
          <w:p w14:paraId="35E12C00" w14:textId="77777777" w:rsidR="001D3DAE" w:rsidRDefault="001D3DAE" w:rsidP="001D3DAE">
            <w:pPr>
              <w:pStyle w:val="Tablebodytext"/>
            </w:pPr>
          </w:p>
        </w:tc>
        <w:tc>
          <w:tcPr>
            <w:tcW w:w="1701" w:type="dxa"/>
          </w:tcPr>
          <w:p w14:paraId="35E12C01" w14:textId="77777777" w:rsidR="001D3DAE" w:rsidRDefault="001D3DAE" w:rsidP="001D3DAE">
            <w:pPr>
              <w:pStyle w:val="Tablebodytext"/>
            </w:pPr>
            <w:r>
              <w:t>(0.009)</w:t>
            </w:r>
          </w:p>
        </w:tc>
        <w:tc>
          <w:tcPr>
            <w:tcW w:w="1185" w:type="dxa"/>
          </w:tcPr>
          <w:p w14:paraId="35E12C02" w14:textId="77777777" w:rsidR="001D3DAE" w:rsidRDefault="001D3DAE" w:rsidP="001D3DAE">
            <w:pPr>
              <w:pStyle w:val="Tablebodytext"/>
            </w:pPr>
            <w:r>
              <w:t>(0.009)</w:t>
            </w:r>
          </w:p>
        </w:tc>
        <w:tc>
          <w:tcPr>
            <w:tcW w:w="800" w:type="dxa"/>
          </w:tcPr>
          <w:p w14:paraId="35E12C03" w14:textId="77777777" w:rsidR="001D3DAE" w:rsidRDefault="001D3DAE" w:rsidP="001D3DAE">
            <w:pPr>
              <w:pStyle w:val="Tablebodytext"/>
            </w:pPr>
          </w:p>
        </w:tc>
        <w:tc>
          <w:tcPr>
            <w:tcW w:w="1212" w:type="dxa"/>
          </w:tcPr>
          <w:p w14:paraId="35E12C04" w14:textId="77777777" w:rsidR="001D3DAE" w:rsidRDefault="001D3DAE" w:rsidP="001D3DAE">
            <w:pPr>
              <w:pStyle w:val="Tablebodytext"/>
            </w:pPr>
            <w:r>
              <w:t>(0.189)</w:t>
            </w:r>
          </w:p>
        </w:tc>
      </w:tr>
      <w:tr w:rsidR="001D3DAE" w14:paraId="35E12C0B"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Pr>
          <w:p w14:paraId="35E12C06" w14:textId="77777777" w:rsidR="001D3DAE" w:rsidRDefault="001D3DAE" w:rsidP="001D3DAE">
            <w:pPr>
              <w:pStyle w:val="Tablebodytext"/>
            </w:pPr>
            <w:r>
              <w:rPr>
                <w:i/>
                <w:iCs/>
              </w:rPr>
              <w:t>H</w:t>
            </w:r>
            <w:r>
              <w:t>×</w:t>
            </w:r>
            <w:r>
              <w:rPr>
                <w:i/>
                <w:iCs/>
              </w:rPr>
              <w:t>Star</w:t>
            </w:r>
            <w:r>
              <w:t>×</w:t>
            </w:r>
            <w:r>
              <w:rPr>
                <w:i/>
                <w:iCs/>
              </w:rPr>
              <w:t>ExpInt</w:t>
            </w:r>
          </w:p>
        </w:tc>
        <w:tc>
          <w:tcPr>
            <w:tcW w:w="1701" w:type="dxa"/>
          </w:tcPr>
          <w:p w14:paraId="35E12C07" w14:textId="77777777" w:rsidR="001D3DAE" w:rsidRDefault="001D3DAE" w:rsidP="001D3DAE">
            <w:pPr>
              <w:pStyle w:val="Tablebodytext"/>
            </w:pPr>
            <w:r>
              <w:t>−0.327**</w:t>
            </w:r>
          </w:p>
        </w:tc>
        <w:tc>
          <w:tcPr>
            <w:tcW w:w="1185" w:type="dxa"/>
          </w:tcPr>
          <w:p w14:paraId="35E12C08" w14:textId="77777777" w:rsidR="001D3DAE" w:rsidRDefault="001D3DAE" w:rsidP="001D3DAE">
            <w:pPr>
              <w:pStyle w:val="Tablebodytext"/>
            </w:pPr>
            <w:r>
              <w:t>0.246***</w:t>
            </w:r>
          </w:p>
        </w:tc>
        <w:tc>
          <w:tcPr>
            <w:tcW w:w="800" w:type="dxa"/>
          </w:tcPr>
          <w:p w14:paraId="35E12C09" w14:textId="77777777" w:rsidR="001D3DAE" w:rsidRDefault="001D3DAE" w:rsidP="001D3DAE">
            <w:pPr>
              <w:pStyle w:val="Tablebodytext"/>
            </w:pPr>
          </w:p>
        </w:tc>
        <w:tc>
          <w:tcPr>
            <w:tcW w:w="1212" w:type="dxa"/>
          </w:tcPr>
          <w:p w14:paraId="35E12C0A" w14:textId="77777777" w:rsidR="001D3DAE" w:rsidRDefault="001D3DAE" w:rsidP="001D3DAE">
            <w:pPr>
              <w:pStyle w:val="Tablebodytext"/>
            </w:pPr>
            <w:r>
              <w:t>4.460***</w:t>
            </w:r>
          </w:p>
        </w:tc>
      </w:tr>
      <w:tr w:rsidR="001D3DAE" w14:paraId="35E12C11"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Borders>
              <w:bottom w:val="single" w:sz="4" w:space="0" w:color="auto"/>
            </w:tcBorders>
          </w:tcPr>
          <w:p w14:paraId="35E12C0C" w14:textId="77777777" w:rsidR="001D3DAE" w:rsidRDefault="001D3DAE" w:rsidP="001D3DAE">
            <w:pPr>
              <w:pStyle w:val="Tablebodytext"/>
            </w:pPr>
          </w:p>
        </w:tc>
        <w:tc>
          <w:tcPr>
            <w:tcW w:w="1701" w:type="dxa"/>
          </w:tcPr>
          <w:p w14:paraId="35E12C0D" w14:textId="77777777" w:rsidR="001D3DAE" w:rsidRDefault="001D3DAE" w:rsidP="001D3DAE">
            <w:pPr>
              <w:pStyle w:val="Tablebodytext"/>
            </w:pPr>
            <w:r>
              <w:t>(0.133)</w:t>
            </w:r>
          </w:p>
        </w:tc>
        <w:tc>
          <w:tcPr>
            <w:tcW w:w="1185" w:type="dxa"/>
          </w:tcPr>
          <w:p w14:paraId="35E12C0E" w14:textId="77777777" w:rsidR="001D3DAE" w:rsidRDefault="001D3DAE" w:rsidP="001D3DAE">
            <w:pPr>
              <w:pStyle w:val="Tablebodytext"/>
            </w:pPr>
            <w:r>
              <w:t>(0.094)</w:t>
            </w:r>
          </w:p>
        </w:tc>
        <w:tc>
          <w:tcPr>
            <w:tcW w:w="800" w:type="dxa"/>
          </w:tcPr>
          <w:p w14:paraId="35E12C0F" w14:textId="77777777" w:rsidR="001D3DAE" w:rsidRDefault="001D3DAE" w:rsidP="001D3DAE">
            <w:pPr>
              <w:pStyle w:val="Tablebodytext"/>
            </w:pPr>
          </w:p>
        </w:tc>
        <w:tc>
          <w:tcPr>
            <w:tcW w:w="1212" w:type="dxa"/>
          </w:tcPr>
          <w:p w14:paraId="35E12C10" w14:textId="77777777" w:rsidR="001D3DAE" w:rsidRDefault="001D3DAE" w:rsidP="001D3DAE">
            <w:pPr>
              <w:pStyle w:val="Tablebodytext"/>
            </w:pPr>
            <w:r>
              <w:t>(1.405)</w:t>
            </w:r>
          </w:p>
        </w:tc>
      </w:tr>
      <w:tr w:rsidR="001D3DAE" w14:paraId="35E12C17"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Borders>
              <w:top w:val="single" w:sz="4" w:space="0" w:color="auto"/>
            </w:tcBorders>
          </w:tcPr>
          <w:p w14:paraId="35E12C12" w14:textId="77777777" w:rsidR="001D3DAE" w:rsidRDefault="001D3DAE" w:rsidP="001D3DAE">
            <w:pPr>
              <w:pStyle w:val="Tablebodytext"/>
            </w:pPr>
            <w:r>
              <w:t xml:space="preserve"> Years:</w:t>
            </w:r>
          </w:p>
        </w:tc>
        <w:tc>
          <w:tcPr>
            <w:tcW w:w="1701" w:type="dxa"/>
          </w:tcPr>
          <w:p w14:paraId="35E12C13" w14:textId="77777777" w:rsidR="001D3DAE" w:rsidRDefault="001D3DAE" w:rsidP="001D3DAE">
            <w:pPr>
              <w:pStyle w:val="Tablebodytext"/>
            </w:pPr>
            <w:r>
              <w:t>2002–2005</w:t>
            </w:r>
          </w:p>
        </w:tc>
        <w:tc>
          <w:tcPr>
            <w:tcW w:w="1185" w:type="dxa"/>
          </w:tcPr>
          <w:p w14:paraId="35E12C14" w14:textId="77777777" w:rsidR="001D3DAE" w:rsidRDefault="002C4804" w:rsidP="001D3DAE">
            <w:pPr>
              <w:pStyle w:val="Tablebodytext"/>
            </w:pPr>
            <w:r>
              <w:t>2006–2014</w:t>
            </w:r>
          </w:p>
        </w:tc>
        <w:tc>
          <w:tcPr>
            <w:tcW w:w="800" w:type="dxa"/>
          </w:tcPr>
          <w:p w14:paraId="35E12C15" w14:textId="77777777" w:rsidR="001D3DAE" w:rsidRDefault="001D3DAE" w:rsidP="001D3DAE">
            <w:pPr>
              <w:pStyle w:val="Tablebodytext"/>
            </w:pPr>
          </w:p>
        </w:tc>
        <w:tc>
          <w:tcPr>
            <w:tcW w:w="1212" w:type="dxa"/>
          </w:tcPr>
          <w:p w14:paraId="35E12C16" w14:textId="77777777" w:rsidR="001D3DAE" w:rsidRDefault="001D3DAE" w:rsidP="001D3DAE">
            <w:pPr>
              <w:pStyle w:val="Tablebodytext"/>
            </w:pPr>
            <w:r>
              <w:t>2010–2014</w:t>
            </w:r>
          </w:p>
        </w:tc>
      </w:tr>
      <w:tr w:rsidR="001D3DAE" w14:paraId="35E12C1D"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Borders>
              <w:bottom w:val="single" w:sz="4" w:space="0" w:color="auto"/>
            </w:tcBorders>
          </w:tcPr>
          <w:p w14:paraId="35E12C18" w14:textId="77777777" w:rsidR="001D3DAE" w:rsidRDefault="001D3DAE" w:rsidP="001D3DAE">
            <w:pPr>
              <w:pStyle w:val="Tablebodytext"/>
            </w:pPr>
            <w:r>
              <w:t>Star:</w:t>
            </w:r>
          </w:p>
        </w:tc>
        <w:tc>
          <w:tcPr>
            <w:tcW w:w="1701" w:type="dxa"/>
            <w:tcBorders>
              <w:bottom w:val="single" w:sz="4" w:space="0" w:color="auto"/>
            </w:tcBorders>
          </w:tcPr>
          <w:p w14:paraId="35E12C19" w14:textId="77777777" w:rsidR="001D3DAE" w:rsidRDefault="001D3DAE" w:rsidP="001D3DAE">
            <w:pPr>
              <w:pStyle w:val="Tablebodytext"/>
            </w:pPr>
            <w:r>
              <w:rPr>
                <w:i/>
                <w:iCs/>
              </w:rPr>
              <w:t>LP</w:t>
            </w:r>
            <w:r>
              <w:t xml:space="preserve"> </w:t>
            </w:r>
            <w:r>
              <w:rPr>
                <w:i/>
                <w:iCs/>
              </w:rPr>
              <w:t>Skew</w:t>
            </w:r>
          </w:p>
        </w:tc>
        <w:tc>
          <w:tcPr>
            <w:tcW w:w="1185" w:type="dxa"/>
            <w:tcBorders>
              <w:bottom w:val="single" w:sz="4" w:space="0" w:color="auto"/>
            </w:tcBorders>
          </w:tcPr>
          <w:p w14:paraId="35E12C1A" w14:textId="77777777" w:rsidR="001D3DAE" w:rsidRDefault="001D3DAE" w:rsidP="001D3DAE">
            <w:pPr>
              <w:pStyle w:val="Tablebodytext"/>
            </w:pPr>
            <w:r>
              <w:rPr>
                <w:i/>
                <w:iCs/>
              </w:rPr>
              <w:t>LP</w:t>
            </w:r>
            <w:r>
              <w:t xml:space="preserve"> </w:t>
            </w:r>
            <w:r>
              <w:rPr>
                <w:i/>
                <w:iCs/>
              </w:rPr>
              <w:t>Skew</w:t>
            </w:r>
          </w:p>
        </w:tc>
        <w:tc>
          <w:tcPr>
            <w:tcW w:w="800" w:type="dxa"/>
            <w:tcBorders>
              <w:bottom w:val="single" w:sz="4" w:space="0" w:color="auto"/>
            </w:tcBorders>
          </w:tcPr>
          <w:p w14:paraId="35E12C1B" w14:textId="77777777" w:rsidR="001D3DAE" w:rsidRDefault="001D3DAE" w:rsidP="001D3DAE">
            <w:pPr>
              <w:pStyle w:val="Tablebodytext"/>
            </w:pPr>
          </w:p>
        </w:tc>
        <w:tc>
          <w:tcPr>
            <w:tcW w:w="1212" w:type="dxa"/>
            <w:tcBorders>
              <w:bottom w:val="single" w:sz="4" w:space="0" w:color="auto"/>
            </w:tcBorders>
          </w:tcPr>
          <w:p w14:paraId="35E12C1C" w14:textId="77777777" w:rsidR="001D3DAE" w:rsidRDefault="001D3DAE" w:rsidP="001D3DAE">
            <w:pPr>
              <w:pStyle w:val="Tablebodytext"/>
            </w:pPr>
            <w:r>
              <w:rPr>
                <w:i/>
                <w:iCs/>
              </w:rPr>
              <w:t>Digital</w:t>
            </w:r>
          </w:p>
        </w:tc>
      </w:tr>
      <w:tr w:rsidR="001D3DAE" w14:paraId="35E12C23"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Borders>
              <w:top w:val="single" w:sz="4" w:space="0" w:color="auto"/>
            </w:tcBorders>
          </w:tcPr>
          <w:p w14:paraId="35E12C1E" w14:textId="77777777" w:rsidR="001D3DAE" w:rsidRDefault="001D3DAE" w:rsidP="001D3DAE">
            <w:pPr>
              <w:pStyle w:val="Tablebodytext"/>
            </w:pPr>
            <w:r>
              <w:t xml:space="preserve"> Adjusted R</w:t>
            </w:r>
            <w:r>
              <w:fldChar w:fldCharType="begin"/>
            </w:r>
            <w:r>
              <w:instrText xml:space="preserve"> EQ \s\up5(</w:instrText>
            </w:r>
            <w:r>
              <w:rPr>
                <w:sz w:val="16"/>
                <w:szCs w:val="16"/>
              </w:rPr>
              <w:instrText>2</w:instrText>
            </w:r>
            <w:r>
              <w:instrText>)</w:instrText>
            </w:r>
            <w:r>
              <w:fldChar w:fldCharType="end"/>
            </w:r>
          </w:p>
        </w:tc>
        <w:tc>
          <w:tcPr>
            <w:tcW w:w="1701" w:type="dxa"/>
            <w:tcBorders>
              <w:top w:val="single" w:sz="4" w:space="0" w:color="auto"/>
            </w:tcBorders>
          </w:tcPr>
          <w:p w14:paraId="35E12C1F" w14:textId="77777777" w:rsidR="001D3DAE" w:rsidRDefault="001D3DAE" w:rsidP="001D3DAE">
            <w:pPr>
              <w:pStyle w:val="Tablebodytext"/>
            </w:pPr>
            <w:r>
              <w:t>0.062</w:t>
            </w:r>
          </w:p>
        </w:tc>
        <w:tc>
          <w:tcPr>
            <w:tcW w:w="1185" w:type="dxa"/>
            <w:tcBorders>
              <w:top w:val="single" w:sz="4" w:space="0" w:color="auto"/>
            </w:tcBorders>
          </w:tcPr>
          <w:p w14:paraId="35E12C20" w14:textId="77777777" w:rsidR="001D3DAE" w:rsidRDefault="001D3DAE" w:rsidP="001D3DAE">
            <w:pPr>
              <w:pStyle w:val="Tablebodytext"/>
            </w:pPr>
            <w:r>
              <w:t>0.011</w:t>
            </w:r>
          </w:p>
        </w:tc>
        <w:tc>
          <w:tcPr>
            <w:tcW w:w="800" w:type="dxa"/>
            <w:tcBorders>
              <w:top w:val="single" w:sz="4" w:space="0" w:color="auto"/>
            </w:tcBorders>
          </w:tcPr>
          <w:p w14:paraId="35E12C21" w14:textId="77777777" w:rsidR="001D3DAE" w:rsidRDefault="001D3DAE" w:rsidP="001D3DAE">
            <w:pPr>
              <w:pStyle w:val="Tablebodytext"/>
            </w:pPr>
          </w:p>
        </w:tc>
        <w:tc>
          <w:tcPr>
            <w:tcW w:w="1212" w:type="dxa"/>
            <w:tcBorders>
              <w:top w:val="single" w:sz="4" w:space="0" w:color="auto"/>
            </w:tcBorders>
          </w:tcPr>
          <w:p w14:paraId="35E12C22" w14:textId="77777777" w:rsidR="001D3DAE" w:rsidRDefault="001D3DAE" w:rsidP="001D3DAE">
            <w:pPr>
              <w:pStyle w:val="Tablebodytext"/>
            </w:pPr>
            <w:r>
              <w:t>0.020</w:t>
            </w:r>
          </w:p>
        </w:tc>
      </w:tr>
      <w:tr w:rsidR="001D3DAE" w14:paraId="35E12C29" w14:textId="77777777" w:rsidTr="007307B1">
        <w:trPr>
          <w:cnfStyle w:val="000000100000" w:firstRow="0" w:lastRow="0" w:firstColumn="0" w:lastColumn="0" w:oddVBand="0" w:evenVBand="0" w:oddHBand="1" w:evenHBand="0" w:firstRowFirstColumn="0" w:firstRowLastColumn="0" w:lastRowFirstColumn="0" w:lastRowLastColumn="0"/>
        </w:trPr>
        <w:tc>
          <w:tcPr>
            <w:tcW w:w="1559" w:type="dxa"/>
          </w:tcPr>
          <w:p w14:paraId="35E12C24" w14:textId="77777777" w:rsidR="001D3DAE" w:rsidRDefault="001D3DAE" w:rsidP="001D3DAE">
            <w:pPr>
              <w:pStyle w:val="Tablebodytext"/>
            </w:pPr>
            <w:r>
              <w:t>F Statistic</w:t>
            </w:r>
          </w:p>
        </w:tc>
        <w:tc>
          <w:tcPr>
            <w:tcW w:w="1701" w:type="dxa"/>
          </w:tcPr>
          <w:p w14:paraId="35E12C25" w14:textId="77777777" w:rsidR="001D3DAE" w:rsidRDefault="001D3DAE" w:rsidP="001D3DAE">
            <w:pPr>
              <w:pStyle w:val="Tablebodytext"/>
            </w:pPr>
            <w:r>
              <w:t>8.105***</w:t>
            </w:r>
          </w:p>
        </w:tc>
        <w:tc>
          <w:tcPr>
            <w:tcW w:w="1185" w:type="dxa"/>
          </w:tcPr>
          <w:p w14:paraId="35E12C26" w14:textId="77777777" w:rsidR="001D3DAE" w:rsidRDefault="001D3DAE" w:rsidP="001D3DAE">
            <w:pPr>
              <w:pStyle w:val="Tablebodytext"/>
            </w:pPr>
            <w:r>
              <w:t>4.399***</w:t>
            </w:r>
          </w:p>
        </w:tc>
        <w:tc>
          <w:tcPr>
            <w:tcW w:w="800" w:type="dxa"/>
          </w:tcPr>
          <w:p w14:paraId="35E12C27" w14:textId="77777777" w:rsidR="001D3DAE" w:rsidRDefault="001D3DAE" w:rsidP="001D3DAE">
            <w:pPr>
              <w:pStyle w:val="Tablebodytext"/>
            </w:pPr>
          </w:p>
        </w:tc>
        <w:tc>
          <w:tcPr>
            <w:tcW w:w="1212" w:type="dxa"/>
          </w:tcPr>
          <w:p w14:paraId="35E12C28" w14:textId="77777777" w:rsidR="001D3DAE" w:rsidRDefault="001D3DAE" w:rsidP="001D3DAE">
            <w:pPr>
              <w:pStyle w:val="Tablebodytext"/>
            </w:pPr>
            <w:r>
              <w:t>4.055***</w:t>
            </w:r>
          </w:p>
        </w:tc>
      </w:tr>
      <w:tr w:rsidR="001D3DAE" w14:paraId="35E12C2F" w14:textId="77777777" w:rsidTr="007307B1">
        <w:trPr>
          <w:cnfStyle w:val="000000010000" w:firstRow="0" w:lastRow="0" w:firstColumn="0" w:lastColumn="0" w:oddVBand="0" w:evenVBand="0" w:oddHBand="0" w:evenHBand="1" w:firstRowFirstColumn="0" w:firstRowLastColumn="0" w:lastRowFirstColumn="0" w:lastRowLastColumn="0"/>
        </w:trPr>
        <w:tc>
          <w:tcPr>
            <w:tcW w:w="1559" w:type="dxa"/>
          </w:tcPr>
          <w:p w14:paraId="35E12C2A" w14:textId="77777777" w:rsidR="001D3DAE" w:rsidRDefault="001D3DAE" w:rsidP="001D3DAE">
            <w:pPr>
              <w:pStyle w:val="Tablebodytext"/>
            </w:pPr>
            <w:r>
              <w:t>#Obs</w:t>
            </w:r>
          </w:p>
        </w:tc>
        <w:tc>
          <w:tcPr>
            <w:tcW w:w="1701" w:type="dxa"/>
          </w:tcPr>
          <w:p w14:paraId="35E12C2B" w14:textId="77777777" w:rsidR="001D3DAE" w:rsidRDefault="001D3DAE" w:rsidP="001D3DAE">
            <w:pPr>
              <w:pStyle w:val="Tablebodytext"/>
            </w:pPr>
            <w:r>
              <w:t>811</w:t>
            </w:r>
          </w:p>
        </w:tc>
        <w:tc>
          <w:tcPr>
            <w:tcW w:w="1185" w:type="dxa"/>
          </w:tcPr>
          <w:p w14:paraId="35E12C2C" w14:textId="77777777" w:rsidR="001D3DAE" w:rsidRDefault="001D3DAE" w:rsidP="001D3DAE">
            <w:pPr>
              <w:pStyle w:val="Tablebodytext"/>
            </w:pPr>
            <w:r>
              <w:t>1,787</w:t>
            </w:r>
          </w:p>
        </w:tc>
        <w:tc>
          <w:tcPr>
            <w:tcW w:w="800" w:type="dxa"/>
          </w:tcPr>
          <w:p w14:paraId="35E12C2D" w14:textId="77777777" w:rsidR="001D3DAE" w:rsidRDefault="001D3DAE" w:rsidP="001D3DAE">
            <w:pPr>
              <w:pStyle w:val="Tablebodytext"/>
            </w:pPr>
          </w:p>
        </w:tc>
        <w:tc>
          <w:tcPr>
            <w:tcW w:w="1212" w:type="dxa"/>
          </w:tcPr>
          <w:p w14:paraId="35E12C2E" w14:textId="77777777" w:rsidR="001D3DAE" w:rsidRDefault="001D3DAE" w:rsidP="001D3DAE">
            <w:pPr>
              <w:pStyle w:val="Tablebodytext"/>
            </w:pPr>
            <w:r>
              <w:t>987</w:t>
            </w:r>
          </w:p>
        </w:tc>
      </w:tr>
    </w:tbl>
    <w:p w14:paraId="35E12C30" w14:textId="77777777" w:rsidR="005404E5" w:rsidRPr="00C62F3A" w:rsidRDefault="005404E5" w:rsidP="00F24C38">
      <w:pPr>
        <w:pStyle w:val="Note"/>
      </w:pPr>
      <w:r>
        <w:t>Notes: Numbers in parentheses are standard errors. ***, **, and * indicate significances at 1%, 5% and 10% levels, respectively.</w:t>
      </w:r>
    </w:p>
    <w:p w14:paraId="35E12C31" w14:textId="77777777" w:rsidR="004A12AC" w:rsidRDefault="005404E5" w:rsidP="00F24C38">
      <w:pPr>
        <w:pStyle w:val="Source"/>
      </w:pPr>
      <w:r>
        <w:t>Source: Department of Industry, Innovation and Science (2019)</w:t>
      </w:r>
    </w:p>
    <w:p w14:paraId="35E12C32" w14:textId="77777777" w:rsidR="004A12AC" w:rsidRDefault="004A12AC" w:rsidP="005A6EA3">
      <w:pPr>
        <w:spacing w:before="240" w:line="270" w:lineRule="exact"/>
        <w:ind w:left="0"/>
      </w:pPr>
      <w:r>
        <w:t>The estimated results reveal two things. First, market concentration and productivity change in the opposite directions (</w:t>
      </w:r>
      <w:r>
        <w:rPr>
          <w:i/>
          <w:iCs/>
        </w:rPr>
        <w:t>H</w:t>
      </w:r>
      <w:r>
        <w:t xml:space="preserve"> coefficient). During periods of increasing market concentration, the average productivity falls. When market concentration is falling, on the other hand, average productivity rises. This part of the results corroborates the fact that most of the increase in market concentration has been to the detriment of the competition.</w:t>
      </w:r>
    </w:p>
    <w:p w14:paraId="35E12C33" w14:textId="77777777" w:rsidR="004A12AC" w:rsidRDefault="004A12AC" w:rsidP="005A6EA3">
      <w:pPr>
        <w:spacing w:line="270" w:lineRule="exact"/>
        <w:ind w:left="0"/>
      </w:pPr>
      <w:r>
        <w:t xml:space="preserve">Second, where star performance and export intensity combine with already higher market concentration, average productivity is increasing (The last interaction term). In previous section, the increase in the market concentration of these industries was attributed to the presence of stellar performance of the firms. The simultaneous increase in market concentration and productivity of these industries lends support to the theory. </w:t>
      </w:r>
    </w:p>
    <w:p w14:paraId="35E12C34" w14:textId="77777777" w:rsidR="005404E5" w:rsidRDefault="005404E5" w:rsidP="004A12AC">
      <w:pPr>
        <w:pStyle w:val="BodyText"/>
        <w:rPr>
          <w:lang w:val="en"/>
        </w:rPr>
      </w:pPr>
    </w:p>
    <w:p w14:paraId="35E12C35" w14:textId="77777777" w:rsidR="004A12AC" w:rsidRDefault="004A12AC" w:rsidP="004A12AC">
      <w:pPr>
        <w:pStyle w:val="Heading1"/>
        <w:rPr>
          <w:lang w:val="en"/>
        </w:rPr>
      </w:pPr>
      <w:r>
        <w:rPr>
          <w:lang w:val="en"/>
        </w:rPr>
        <w:lastRenderedPageBreak/>
        <w:t>Robustness Test</w:t>
      </w:r>
    </w:p>
    <w:p w14:paraId="35E12C36" w14:textId="77777777" w:rsidR="004A12AC" w:rsidRDefault="004A12AC" w:rsidP="00334CAB">
      <w:pPr>
        <w:spacing w:before="60" w:line="300" w:lineRule="exact"/>
        <w:ind w:left="0"/>
      </w:pPr>
      <w:r>
        <w:t xml:space="preserve">In this section, I carry out a robustness test using an alternative definitions of change in HHI. Specifically, I use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it</m:t>
            </m:r>
          </m:sub>
        </m:sSub>
      </m:oMath>
      <w:r>
        <w:t xml:space="preserve"> as the dependent variable. This variable is a one-period change in HHI as opposed to (</w:t>
      </w:r>
      <w:fldSimple w:instr="REF BMeq_dH2 \* MERGEFORMAT ">
        <w:r w:rsidR="00A20DE7">
          <w:t>3</w:t>
        </w:r>
      </w:fldSimple>
      <w:r>
        <w:t xml:space="preserve">) which covers two periods to reduce the effect of short-term noises. </w:t>
      </w:r>
    </w:p>
    <w:p w14:paraId="35E12C37" w14:textId="77777777" w:rsidR="004A12AC" w:rsidRDefault="004A12AC" w:rsidP="005A6EA3">
      <w:pPr>
        <w:spacing w:line="270" w:lineRule="exact"/>
        <w:ind w:left="0"/>
      </w:pPr>
      <w:r>
        <w:t>The estimated results using the newly define dependent variable are reported in Table </w:t>
      </w:r>
      <w:r w:rsidR="00685BE0">
        <w:t>7.1</w:t>
      </w:r>
      <w:r>
        <w:t>. Overall, the results have the same qualitative features observed in Table </w:t>
      </w:r>
      <w:r w:rsidR="00685BE0">
        <w:t>5.11</w:t>
      </w:r>
      <w:r>
        <w:t>. The difference is that the estimated coefficients in this case are smaller in magnitude. The statistical significance have also suffered.</w:t>
      </w:r>
    </w:p>
    <w:p w14:paraId="35E12C39" w14:textId="77777777" w:rsidR="00DD35AF" w:rsidRDefault="00DD35AF" w:rsidP="007307B1">
      <w:pPr>
        <w:pStyle w:val="Caption"/>
        <w:tabs>
          <w:tab w:val="center" w:pos="3447"/>
        </w:tabs>
        <w:ind w:left="-1843"/>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7</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1</w:t>
      </w:r>
      <w:r>
        <w:rPr>
          <w:noProof/>
        </w:rPr>
        <w:fldChar w:fldCharType="end"/>
      </w:r>
      <w:r w:rsidRPr="000618FB">
        <w:t xml:space="preserve">: </w:t>
      </w:r>
      <w:r>
        <w:t>Testing robustness of the findings when using one-period change in HHI instead of the two-period change.</w:t>
      </w:r>
    </w:p>
    <w:tbl>
      <w:tblPr>
        <w:tblStyle w:val="OCETable"/>
        <w:tblW w:w="6250" w:type="pct"/>
        <w:tblInd w:w="-1877" w:type="dxa"/>
        <w:tblLayout w:type="fixed"/>
        <w:tblLook w:val="04A0" w:firstRow="1" w:lastRow="0" w:firstColumn="1" w:lastColumn="0" w:noHBand="0" w:noVBand="1"/>
        <w:tblCaption w:val="Table 5.11"/>
        <w:tblDescription w:val="The results are very similar to those from Table 5.11, except that the magnitudes are smaller and the level of statistical significances are lower."/>
      </w:tblPr>
      <w:tblGrid>
        <w:gridCol w:w="1958"/>
        <w:gridCol w:w="1233"/>
        <w:gridCol w:w="1233"/>
        <w:gridCol w:w="249"/>
        <w:gridCol w:w="1232"/>
        <w:gridCol w:w="1232"/>
        <w:gridCol w:w="249"/>
        <w:gridCol w:w="1232"/>
      </w:tblGrid>
      <w:tr w:rsidR="00C8798A" w14:paraId="35E12C3B" w14:textId="77777777" w:rsidTr="008677CA">
        <w:trPr>
          <w:cnfStyle w:val="100000000000" w:firstRow="1" w:lastRow="0" w:firstColumn="0" w:lastColumn="0" w:oddVBand="0" w:evenVBand="0" w:oddHBand="0" w:evenHBand="0" w:firstRowFirstColumn="0" w:firstRowLastColumn="0" w:lastRowFirstColumn="0" w:lastRowLastColumn="0"/>
          <w:tblHeader/>
        </w:trPr>
        <w:tc>
          <w:tcPr>
            <w:tcW w:w="8618" w:type="dxa"/>
            <w:gridSpan w:val="8"/>
            <w:tcBorders>
              <w:bottom w:val="none" w:sz="0" w:space="0" w:color="auto"/>
            </w:tcBorders>
          </w:tcPr>
          <w:p w14:paraId="35E12C3A" w14:textId="77777777" w:rsidR="00C8798A" w:rsidRDefault="00C8798A" w:rsidP="00C8798A">
            <w:pPr>
              <w:pStyle w:val="Tableheadertext"/>
            </w:pPr>
            <w:r>
              <w:t xml:space="preserve">Dependent: </w:t>
            </w:r>
            <w:r>
              <w:fldChar w:fldCharType="begin"/>
            </w:r>
            <w:r>
              <w:instrText xml:space="preserve"> EQ Δ</w:instrText>
            </w:r>
            <w:r>
              <w:rPr>
                <w:i/>
                <w:iCs/>
              </w:rPr>
              <w:instrText>H</w:instrText>
            </w:r>
            <w:r>
              <w:instrText>\s\do5(</w:instrText>
            </w:r>
            <w:r>
              <w:rPr>
                <w:i/>
                <w:iCs/>
                <w:sz w:val="16"/>
                <w:szCs w:val="16"/>
              </w:rPr>
              <w:instrText>it</w:instrText>
            </w:r>
            <w:r>
              <w:instrText>)</w:instrText>
            </w:r>
            <w:r>
              <w:fldChar w:fldCharType="end"/>
            </w:r>
          </w:p>
        </w:tc>
      </w:tr>
      <w:tr w:rsidR="00C8798A" w:rsidRPr="00C8798A" w14:paraId="35E12C44"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shd w:val="clear" w:color="auto" w:fill="005CAF"/>
          </w:tcPr>
          <w:p w14:paraId="35E12C3C" w14:textId="77777777" w:rsidR="00C8798A" w:rsidRPr="00C8798A" w:rsidRDefault="00C8798A" w:rsidP="00C8798A">
            <w:pPr>
              <w:pStyle w:val="Tablebodytext"/>
              <w:rPr>
                <w:color w:val="FFFFFF" w:themeColor="background2"/>
              </w:rPr>
            </w:pPr>
            <w:r w:rsidRPr="00C8798A">
              <w:rPr>
                <w:color w:val="FFFFFF" w:themeColor="background2"/>
              </w:rPr>
              <w:t>Variable</w:t>
            </w:r>
          </w:p>
        </w:tc>
        <w:tc>
          <w:tcPr>
            <w:tcW w:w="1233" w:type="dxa"/>
            <w:shd w:val="clear" w:color="auto" w:fill="005CAF"/>
          </w:tcPr>
          <w:p w14:paraId="35E12C3D" w14:textId="77777777" w:rsidR="00C8798A" w:rsidRPr="00C8798A" w:rsidRDefault="00C8798A" w:rsidP="00C8798A">
            <w:pPr>
              <w:pStyle w:val="Tablebodytext"/>
              <w:rPr>
                <w:color w:val="FFFFFF" w:themeColor="background2"/>
              </w:rPr>
            </w:pPr>
            <w:r w:rsidRPr="00C8798A">
              <w:rPr>
                <w:color w:val="FFFFFF" w:themeColor="background2"/>
              </w:rPr>
              <w:t>(1)</w:t>
            </w:r>
          </w:p>
        </w:tc>
        <w:tc>
          <w:tcPr>
            <w:tcW w:w="1233" w:type="dxa"/>
            <w:shd w:val="clear" w:color="auto" w:fill="005CAF"/>
          </w:tcPr>
          <w:p w14:paraId="35E12C3E" w14:textId="77777777" w:rsidR="00C8798A" w:rsidRPr="00C8798A" w:rsidRDefault="00C8798A" w:rsidP="00C8798A">
            <w:pPr>
              <w:pStyle w:val="Tablebodytext"/>
              <w:rPr>
                <w:color w:val="FFFFFF" w:themeColor="background2"/>
              </w:rPr>
            </w:pPr>
            <w:r w:rsidRPr="00C8798A">
              <w:rPr>
                <w:color w:val="FFFFFF" w:themeColor="background2"/>
              </w:rPr>
              <w:t>(2)</w:t>
            </w:r>
          </w:p>
        </w:tc>
        <w:tc>
          <w:tcPr>
            <w:tcW w:w="249" w:type="dxa"/>
            <w:shd w:val="clear" w:color="auto" w:fill="005CAF"/>
          </w:tcPr>
          <w:p w14:paraId="35E12C3F" w14:textId="77777777" w:rsidR="00C8798A" w:rsidRPr="00C8798A" w:rsidRDefault="00C8798A" w:rsidP="00C8798A">
            <w:pPr>
              <w:pStyle w:val="Tablebodytext"/>
              <w:rPr>
                <w:color w:val="FFFFFF" w:themeColor="background2"/>
              </w:rPr>
            </w:pPr>
          </w:p>
        </w:tc>
        <w:tc>
          <w:tcPr>
            <w:tcW w:w="1232" w:type="dxa"/>
            <w:shd w:val="clear" w:color="auto" w:fill="005CAF"/>
          </w:tcPr>
          <w:p w14:paraId="35E12C40" w14:textId="77777777" w:rsidR="00C8798A" w:rsidRPr="00C8798A" w:rsidRDefault="00C8798A" w:rsidP="00C8798A">
            <w:pPr>
              <w:pStyle w:val="Tablebodytext"/>
              <w:rPr>
                <w:color w:val="FFFFFF" w:themeColor="background2"/>
              </w:rPr>
            </w:pPr>
            <w:r w:rsidRPr="00C8798A">
              <w:rPr>
                <w:color w:val="FFFFFF" w:themeColor="background2"/>
              </w:rPr>
              <w:t>(3)</w:t>
            </w:r>
          </w:p>
        </w:tc>
        <w:tc>
          <w:tcPr>
            <w:tcW w:w="1232" w:type="dxa"/>
            <w:shd w:val="clear" w:color="auto" w:fill="005CAF"/>
          </w:tcPr>
          <w:p w14:paraId="35E12C41" w14:textId="77777777" w:rsidR="00C8798A" w:rsidRPr="00C8798A" w:rsidRDefault="00C8798A" w:rsidP="00C8798A">
            <w:pPr>
              <w:pStyle w:val="Tablebodytext"/>
              <w:rPr>
                <w:color w:val="FFFFFF" w:themeColor="background2"/>
              </w:rPr>
            </w:pPr>
            <w:r w:rsidRPr="00C8798A">
              <w:rPr>
                <w:color w:val="FFFFFF" w:themeColor="background2"/>
              </w:rPr>
              <w:t>(4)</w:t>
            </w:r>
          </w:p>
        </w:tc>
        <w:tc>
          <w:tcPr>
            <w:tcW w:w="249" w:type="dxa"/>
            <w:shd w:val="clear" w:color="auto" w:fill="005CAF"/>
          </w:tcPr>
          <w:p w14:paraId="35E12C42" w14:textId="77777777" w:rsidR="00C8798A" w:rsidRPr="00C8798A" w:rsidRDefault="00C8798A" w:rsidP="00C8798A">
            <w:pPr>
              <w:pStyle w:val="Tablebodytext"/>
              <w:rPr>
                <w:color w:val="FFFFFF" w:themeColor="background2"/>
              </w:rPr>
            </w:pPr>
          </w:p>
        </w:tc>
        <w:tc>
          <w:tcPr>
            <w:tcW w:w="1232" w:type="dxa"/>
            <w:shd w:val="clear" w:color="auto" w:fill="005CAF"/>
          </w:tcPr>
          <w:p w14:paraId="35E12C43" w14:textId="77777777" w:rsidR="00C8798A" w:rsidRPr="00C8798A" w:rsidRDefault="00C8798A" w:rsidP="00C8798A">
            <w:pPr>
              <w:pStyle w:val="Tablebodytext"/>
              <w:rPr>
                <w:color w:val="FFFFFF" w:themeColor="background2"/>
              </w:rPr>
            </w:pPr>
            <w:r w:rsidRPr="00C8798A">
              <w:rPr>
                <w:color w:val="FFFFFF" w:themeColor="background2"/>
              </w:rPr>
              <w:t>(5)</w:t>
            </w:r>
          </w:p>
        </w:tc>
      </w:tr>
      <w:tr w:rsidR="00C8798A" w14:paraId="35E12C4D"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45" w14:textId="77777777" w:rsidR="00C8798A" w:rsidRDefault="00C8798A" w:rsidP="00C8798A">
            <w:pPr>
              <w:pStyle w:val="Tablebodytext"/>
            </w:pPr>
            <w:r>
              <w:t xml:space="preserve"> </w:t>
            </w:r>
            <w:r>
              <w:rPr>
                <w:i/>
                <w:iCs/>
              </w:rPr>
              <w:t>H</w:t>
            </w:r>
          </w:p>
        </w:tc>
        <w:tc>
          <w:tcPr>
            <w:tcW w:w="1233" w:type="dxa"/>
          </w:tcPr>
          <w:p w14:paraId="35E12C46" w14:textId="77777777" w:rsidR="00C8798A" w:rsidRDefault="00C8798A" w:rsidP="00C8798A">
            <w:pPr>
              <w:pStyle w:val="Tablebodytext"/>
            </w:pPr>
            <w:r>
              <w:t>-0.140***</w:t>
            </w:r>
          </w:p>
        </w:tc>
        <w:tc>
          <w:tcPr>
            <w:tcW w:w="1233" w:type="dxa"/>
          </w:tcPr>
          <w:p w14:paraId="35E12C47" w14:textId="77777777" w:rsidR="00C8798A" w:rsidRDefault="00C8798A" w:rsidP="00C8798A">
            <w:pPr>
              <w:pStyle w:val="Tablebodytext"/>
            </w:pPr>
            <w:r>
              <w:t>-0.096***</w:t>
            </w:r>
          </w:p>
        </w:tc>
        <w:tc>
          <w:tcPr>
            <w:tcW w:w="249" w:type="dxa"/>
          </w:tcPr>
          <w:p w14:paraId="35E12C48" w14:textId="77777777" w:rsidR="00C8798A" w:rsidRDefault="00C8798A" w:rsidP="00C8798A">
            <w:pPr>
              <w:pStyle w:val="Tablebodytext"/>
            </w:pPr>
          </w:p>
        </w:tc>
        <w:tc>
          <w:tcPr>
            <w:tcW w:w="1232" w:type="dxa"/>
          </w:tcPr>
          <w:p w14:paraId="35E12C49" w14:textId="77777777" w:rsidR="00C8798A" w:rsidRDefault="00C8798A" w:rsidP="00C8798A">
            <w:pPr>
              <w:pStyle w:val="Tablebodytext"/>
            </w:pPr>
            <w:r>
              <w:t>-0.059***</w:t>
            </w:r>
          </w:p>
        </w:tc>
        <w:tc>
          <w:tcPr>
            <w:tcW w:w="1232" w:type="dxa"/>
          </w:tcPr>
          <w:p w14:paraId="35E12C4A" w14:textId="77777777" w:rsidR="00C8798A" w:rsidRDefault="00C8798A" w:rsidP="00C8798A">
            <w:pPr>
              <w:pStyle w:val="Tablebodytext"/>
            </w:pPr>
            <w:r>
              <w:t>-0.079***</w:t>
            </w:r>
          </w:p>
        </w:tc>
        <w:tc>
          <w:tcPr>
            <w:tcW w:w="249" w:type="dxa"/>
          </w:tcPr>
          <w:p w14:paraId="35E12C4B" w14:textId="77777777" w:rsidR="00C8798A" w:rsidRDefault="00C8798A" w:rsidP="00C8798A">
            <w:pPr>
              <w:pStyle w:val="Tablebodytext"/>
            </w:pPr>
          </w:p>
        </w:tc>
        <w:tc>
          <w:tcPr>
            <w:tcW w:w="1232" w:type="dxa"/>
          </w:tcPr>
          <w:p w14:paraId="35E12C4C" w14:textId="77777777" w:rsidR="00C8798A" w:rsidRDefault="00C8798A" w:rsidP="00C8798A">
            <w:pPr>
              <w:pStyle w:val="Tablebodytext"/>
            </w:pPr>
            <w:r>
              <w:t>-0.144***</w:t>
            </w:r>
          </w:p>
        </w:tc>
      </w:tr>
      <w:tr w:rsidR="00C8798A" w14:paraId="35E12C56"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tcPr>
          <w:p w14:paraId="35E12C4E" w14:textId="77777777" w:rsidR="00C8798A" w:rsidRDefault="00C8798A" w:rsidP="00C8798A">
            <w:pPr>
              <w:pStyle w:val="Tablebodytext"/>
            </w:pPr>
          </w:p>
        </w:tc>
        <w:tc>
          <w:tcPr>
            <w:tcW w:w="1233" w:type="dxa"/>
          </w:tcPr>
          <w:p w14:paraId="35E12C4F" w14:textId="77777777" w:rsidR="00C8798A" w:rsidRDefault="00C8798A" w:rsidP="00C8798A">
            <w:pPr>
              <w:pStyle w:val="Tablebodytext"/>
            </w:pPr>
            <w:r>
              <w:t>(0.022)</w:t>
            </w:r>
          </w:p>
        </w:tc>
        <w:tc>
          <w:tcPr>
            <w:tcW w:w="1233" w:type="dxa"/>
          </w:tcPr>
          <w:p w14:paraId="35E12C50" w14:textId="77777777" w:rsidR="00C8798A" w:rsidRDefault="00C8798A" w:rsidP="00C8798A">
            <w:pPr>
              <w:pStyle w:val="Tablebodytext"/>
            </w:pPr>
            <w:r>
              <w:t>(0.024)</w:t>
            </w:r>
          </w:p>
        </w:tc>
        <w:tc>
          <w:tcPr>
            <w:tcW w:w="249" w:type="dxa"/>
          </w:tcPr>
          <w:p w14:paraId="35E12C51" w14:textId="77777777" w:rsidR="00C8798A" w:rsidRDefault="00C8798A" w:rsidP="00C8798A">
            <w:pPr>
              <w:pStyle w:val="Tablebodytext"/>
            </w:pPr>
          </w:p>
        </w:tc>
        <w:tc>
          <w:tcPr>
            <w:tcW w:w="1232" w:type="dxa"/>
          </w:tcPr>
          <w:p w14:paraId="35E12C52" w14:textId="77777777" w:rsidR="00C8798A" w:rsidRDefault="00C8798A" w:rsidP="00C8798A">
            <w:pPr>
              <w:pStyle w:val="Tablebodytext"/>
            </w:pPr>
            <w:r>
              <w:t>(0.015)</w:t>
            </w:r>
          </w:p>
        </w:tc>
        <w:tc>
          <w:tcPr>
            <w:tcW w:w="1232" w:type="dxa"/>
          </w:tcPr>
          <w:p w14:paraId="35E12C53" w14:textId="77777777" w:rsidR="00C8798A" w:rsidRDefault="00C8798A" w:rsidP="00C8798A">
            <w:pPr>
              <w:pStyle w:val="Tablebodytext"/>
            </w:pPr>
            <w:r>
              <w:t>(0.018)</w:t>
            </w:r>
          </w:p>
        </w:tc>
        <w:tc>
          <w:tcPr>
            <w:tcW w:w="249" w:type="dxa"/>
          </w:tcPr>
          <w:p w14:paraId="35E12C54" w14:textId="77777777" w:rsidR="00C8798A" w:rsidRDefault="00C8798A" w:rsidP="00C8798A">
            <w:pPr>
              <w:pStyle w:val="Tablebodytext"/>
            </w:pPr>
          </w:p>
        </w:tc>
        <w:tc>
          <w:tcPr>
            <w:tcW w:w="1232" w:type="dxa"/>
          </w:tcPr>
          <w:p w14:paraId="35E12C55" w14:textId="77777777" w:rsidR="00C8798A" w:rsidRDefault="00C8798A" w:rsidP="00C8798A">
            <w:pPr>
              <w:pStyle w:val="Tablebodytext"/>
            </w:pPr>
            <w:r>
              <w:t>(0.019)</w:t>
            </w:r>
          </w:p>
        </w:tc>
      </w:tr>
      <w:tr w:rsidR="00C8798A" w14:paraId="35E12C5F"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57" w14:textId="77777777" w:rsidR="00C8798A" w:rsidRDefault="00C8798A" w:rsidP="00C8798A">
            <w:pPr>
              <w:pStyle w:val="Tablebodytext"/>
            </w:pPr>
            <w:r>
              <w:rPr>
                <w:i/>
                <w:iCs/>
              </w:rPr>
              <w:t>ExpInt</w:t>
            </w:r>
          </w:p>
        </w:tc>
        <w:tc>
          <w:tcPr>
            <w:tcW w:w="1233" w:type="dxa"/>
          </w:tcPr>
          <w:p w14:paraId="35E12C58" w14:textId="77777777" w:rsidR="00C8798A" w:rsidRDefault="00C8798A" w:rsidP="00C8798A">
            <w:pPr>
              <w:pStyle w:val="Tablebodytext"/>
            </w:pPr>
            <w:r>
              <w:t>0.023</w:t>
            </w:r>
          </w:p>
        </w:tc>
        <w:tc>
          <w:tcPr>
            <w:tcW w:w="1233" w:type="dxa"/>
          </w:tcPr>
          <w:p w14:paraId="35E12C59" w14:textId="77777777" w:rsidR="00C8798A" w:rsidRDefault="00C8798A" w:rsidP="00C8798A">
            <w:pPr>
              <w:pStyle w:val="Tablebodytext"/>
            </w:pPr>
            <w:r>
              <w:t>-0.072**</w:t>
            </w:r>
          </w:p>
        </w:tc>
        <w:tc>
          <w:tcPr>
            <w:tcW w:w="249" w:type="dxa"/>
          </w:tcPr>
          <w:p w14:paraId="35E12C5A" w14:textId="77777777" w:rsidR="00C8798A" w:rsidRDefault="00C8798A" w:rsidP="00C8798A">
            <w:pPr>
              <w:pStyle w:val="Tablebodytext"/>
            </w:pPr>
          </w:p>
        </w:tc>
        <w:tc>
          <w:tcPr>
            <w:tcW w:w="1232" w:type="dxa"/>
          </w:tcPr>
          <w:p w14:paraId="35E12C5B" w14:textId="77777777" w:rsidR="00C8798A" w:rsidRDefault="00C8798A" w:rsidP="00C8798A">
            <w:pPr>
              <w:pStyle w:val="Tablebodytext"/>
            </w:pPr>
            <w:r>
              <w:t>-0.011</w:t>
            </w:r>
          </w:p>
        </w:tc>
        <w:tc>
          <w:tcPr>
            <w:tcW w:w="1232" w:type="dxa"/>
          </w:tcPr>
          <w:p w14:paraId="35E12C5C" w14:textId="77777777" w:rsidR="00C8798A" w:rsidRDefault="00C8798A" w:rsidP="00C8798A">
            <w:pPr>
              <w:pStyle w:val="Tablebodytext"/>
            </w:pPr>
            <w:r>
              <w:t>-0.0004</w:t>
            </w:r>
          </w:p>
        </w:tc>
        <w:tc>
          <w:tcPr>
            <w:tcW w:w="249" w:type="dxa"/>
          </w:tcPr>
          <w:p w14:paraId="35E12C5D" w14:textId="77777777" w:rsidR="00C8798A" w:rsidRDefault="00C8798A" w:rsidP="00C8798A">
            <w:pPr>
              <w:pStyle w:val="Tablebodytext"/>
            </w:pPr>
          </w:p>
        </w:tc>
        <w:tc>
          <w:tcPr>
            <w:tcW w:w="1232" w:type="dxa"/>
          </w:tcPr>
          <w:p w14:paraId="35E12C5E" w14:textId="77777777" w:rsidR="00C8798A" w:rsidRDefault="00C8798A" w:rsidP="00C8798A">
            <w:pPr>
              <w:pStyle w:val="Tablebodytext"/>
            </w:pPr>
            <w:r>
              <w:t>-0.044</w:t>
            </w:r>
          </w:p>
        </w:tc>
      </w:tr>
      <w:tr w:rsidR="00C8798A" w14:paraId="35E12C68"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tcPr>
          <w:p w14:paraId="35E12C60" w14:textId="77777777" w:rsidR="00C8798A" w:rsidRDefault="00C8798A" w:rsidP="00C8798A">
            <w:pPr>
              <w:pStyle w:val="Tablebodytext"/>
            </w:pPr>
          </w:p>
        </w:tc>
        <w:tc>
          <w:tcPr>
            <w:tcW w:w="1233" w:type="dxa"/>
          </w:tcPr>
          <w:p w14:paraId="35E12C61" w14:textId="77777777" w:rsidR="00C8798A" w:rsidRDefault="00C8798A" w:rsidP="00C8798A">
            <w:pPr>
              <w:pStyle w:val="Tablebodytext"/>
            </w:pPr>
            <w:r>
              <w:t>(0.038)</w:t>
            </w:r>
          </w:p>
        </w:tc>
        <w:tc>
          <w:tcPr>
            <w:tcW w:w="1233" w:type="dxa"/>
          </w:tcPr>
          <w:p w14:paraId="35E12C62" w14:textId="77777777" w:rsidR="00C8798A" w:rsidRDefault="00C8798A" w:rsidP="00C8798A">
            <w:pPr>
              <w:pStyle w:val="Tablebodytext"/>
            </w:pPr>
            <w:r>
              <w:t>(0.037)</w:t>
            </w:r>
          </w:p>
        </w:tc>
        <w:tc>
          <w:tcPr>
            <w:tcW w:w="249" w:type="dxa"/>
          </w:tcPr>
          <w:p w14:paraId="35E12C63" w14:textId="77777777" w:rsidR="00C8798A" w:rsidRDefault="00C8798A" w:rsidP="00C8798A">
            <w:pPr>
              <w:pStyle w:val="Tablebodytext"/>
            </w:pPr>
          </w:p>
        </w:tc>
        <w:tc>
          <w:tcPr>
            <w:tcW w:w="1232" w:type="dxa"/>
          </w:tcPr>
          <w:p w14:paraId="35E12C64" w14:textId="77777777" w:rsidR="00C8798A" w:rsidRDefault="00C8798A" w:rsidP="00C8798A">
            <w:pPr>
              <w:pStyle w:val="Tablebodytext"/>
            </w:pPr>
            <w:r>
              <w:t>(0.026)</w:t>
            </w:r>
          </w:p>
        </w:tc>
        <w:tc>
          <w:tcPr>
            <w:tcW w:w="1232" w:type="dxa"/>
          </w:tcPr>
          <w:p w14:paraId="35E12C65" w14:textId="77777777" w:rsidR="00C8798A" w:rsidRDefault="00C8798A" w:rsidP="00C8798A">
            <w:pPr>
              <w:pStyle w:val="Tablebodytext"/>
            </w:pPr>
            <w:r>
              <w:t>(0.033)</w:t>
            </w:r>
          </w:p>
        </w:tc>
        <w:tc>
          <w:tcPr>
            <w:tcW w:w="249" w:type="dxa"/>
          </w:tcPr>
          <w:p w14:paraId="35E12C66" w14:textId="77777777" w:rsidR="00C8798A" w:rsidRDefault="00C8798A" w:rsidP="00C8798A">
            <w:pPr>
              <w:pStyle w:val="Tablebodytext"/>
            </w:pPr>
          </w:p>
        </w:tc>
        <w:tc>
          <w:tcPr>
            <w:tcW w:w="1232" w:type="dxa"/>
          </w:tcPr>
          <w:p w14:paraId="35E12C67" w14:textId="77777777" w:rsidR="00C8798A" w:rsidRDefault="00C8798A" w:rsidP="00C8798A">
            <w:pPr>
              <w:pStyle w:val="Tablebodytext"/>
            </w:pPr>
            <w:r>
              <w:t>(0.038)</w:t>
            </w:r>
          </w:p>
        </w:tc>
      </w:tr>
      <w:tr w:rsidR="00C8798A" w14:paraId="35E12C71"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69" w14:textId="77777777" w:rsidR="00C8798A" w:rsidRDefault="00C8798A" w:rsidP="00C8798A">
            <w:pPr>
              <w:pStyle w:val="Tablebodytext"/>
            </w:pPr>
            <w:r>
              <w:rPr>
                <w:i/>
                <w:iCs/>
              </w:rPr>
              <w:t>H</w:t>
            </w:r>
            <w:r>
              <w:t>×</w:t>
            </w:r>
            <w:r>
              <w:rPr>
                <w:i/>
                <w:iCs/>
              </w:rPr>
              <w:t>ExpInt</w:t>
            </w:r>
          </w:p>
        </w:tc>
        <w:tc>
          <w:tcPr>
            <w:tcW w:w="1233" w:type="dxa"/>
          </w:tcPr>
          <w:p w14:paraId="35E12C6A" w14:textId="77777777" w:rsidR="00C8798A" w:rsidRDefault="00C8798A" w:rsidP="00C8798A">
            <w:pPr>
              <w:pStyle w:val="Tablebodytext"/>
            </w:pPr>
            <w:r>
              <w:t>-0.253</w:t>
            </w:r>
          </w:p>
        </w:tc>
        <w:tc>
          <w:tcPr>
            <w:tcW w:w="1233" w:type="dxa"/>
          </w:tcPr>
          <w:p w14:paraId="35E12C6B" w14:textId="77777777" w:rsidR="00C8798A" w:rsidRDefault="00C8798A" w:rsidP="00C8798A">
            <w:pPr>
              <w:pStyle w:val="Tablebodytext"/>
            </w:pPr>
            <w:r>
              <w:t>0.608***</w:t>
            </w:r>
          </w:p>
        </w:tc>
        <w:tc>
          <w:tcPr>
            <w:tcW w:w="249" w:type="dxa"/>
          </w:tcPr>
          <w:p w14:paraId="35E12C6C" w14:textId="77777777" w:rsidR="00C8798A" w:rsidRDefault="00C8798A" w:rsidP="00C8798A">
            <w:pPr>
              <w:pStyle w:val="Tablebodytext"/>
            </w:pPr>
          </w:p>
        </w:tc>
        <w:tc>
          <w:tcPr>
            <w:tcW w:w="1232" w:type="dxa"/>
          </w:tcPr>
          <w:p w14:paraId="35E12C6D" w14:textId="77777777" w:rsidR="00C8798A" w:rsidRDefault="00C8798A" w:rsidP="00C8798A">
            <w:pPr>
              <w:pStyle w:val="Tablebodytext"/>
            </w:pPr>
            <w:r>
              <w:t>0.418*</w:t>
            </w:r>
          </w:p>
        </w:tc>
        <w:tc>
          <w:tcPr>
            <w:tcW w:w="1232" w:type="dxa"/>
          </w:tcPr>
          <w:p w14:paraId="35E12C6E" w14:textId="77777777" w:rsidR="00C8798A" w:rsidRDefault="00C8798A" w:rsidP="00C8798A">
            <w:pPr>
              <w:pStyle w:val="Tablebodytext"/>
            </w:pPr>
            <w:r>
              <w:t>-0.406*</w:t>
            </w:r>
          </w:p>
        </w:tc>
        <w:tc>
          <w:tcPr>
            <w:tcW w:w="249" w:type="dxa"/>
          </w:tcPr>
          <w:p w14:paraId="35E12C6F" w14:textId="77777777" w:rsidR="00C8798A" w:rsidRDefault="00C8798A" w:rsidP="00C8798A">
            <w:pPr>
              <w:pStyle w:val="Tablebodytext"/>
            </w:pPr>
          </w:p>
        </w:tc>
        <w:tc>
          <w:tcPr>
            <w:tcW w:w="1232" w:type="dxa"/>
          </w:tcPr>
          <w:p w14:paraId="35E12C70" w14:textId="77777777" w:rsidR="00C8798A" w:rsidRDefault="00C8798A" w:rsidP="00C8798A">
            <w:pPr>
              <w:pStyle w:val="Tablebodytext"/>
            </w:pPr>
            <w:r>
              <w:t>0.529***</w:t>
            </w:r>
          </w:p>
        </w:tc>
      </w:tr>
      <w:tr w:rsidR="00C8798A" w14:paraId="35E12C7A"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tcPr>
          <w:p w14:paraId="35E12C72" w14:textId="77777777" w:rsidR="00C8798A" w:rsidRDefault="00C8798A" w:rsidP="00C8798A">
            <w:pPr>
              <w:pStyle w:val="Tablebodytext"/>
            </w:pPr>
          </w:p>
        </w:tc>
        <w:tc>
          <w:tcPr>
            <w:tcW w:w="1233" w:type="dxa"/>
          </w:tcPr>
          <w:p w14:paraId="35E12C73" w14:textId="77777777" w:rsidR="00C8798A" w:rsidRDefault="00C8798A" w:rsidP="00C8798A">
            <w:pPr>
              <w:pStyle w:val="Tablebodytext"/>
            </w:pPr>
            <w:r>
              <w:t>(0.414)</w:t>
            </w:r>
          </w:p>
        </w:tc>
        <w:tc>
          <w:tcPr>
            <w:tcW w:w="1233" w:type="dxa"/>
          </w:tcPr>
          <w:p w14:paraId="35E12C74" w14:textId="77777777" w:rsidR="00C8798A" w:rsidRDefault="00C8798A" w:rsidP="00C8798A">
            <w:pPr>
              <w:pStyle w:val="Tablebodytext"/>
            </w:pPr>
            <w:r>
              <w:t>(0.214)</w:t>
            </w:r>
          </w:p>
        </w:tc>
        <w:tc>
          <w:tcPr>
            <w:tcW w:w="249" w:type="dxa"/>
          </w:tcPr>
          <w:p w14:paraId="35E12C75" w14:textId="77777777" w:rsidR="00C8798A" w:rsidRDefault="00C8798A" w:rsidP="00C8798A">
            <w:pPr>
              <w:pStyle w:val="Tablebodytext"/>
            </w:pPr>
          </w:p>
        </w:tc>
        <w:tc>
          <w:tcPr>
            <w:tcW w:w="1232" w:type="dxa"/>
          </w:tcPr>
          <w:p w14:paraId="35E12C76" w14:textId="77777777" w:rsidR="00C8798A" w:rsidRDefault="00C8798A" w:rsidP="00C8798A">
            <w:pPr>
              <w:pStyle w:val="Tablebodytext"/>
            </w:pPr>
            <w:r>
              <w:t>(0.234)</w:t>
            </w:r>
          </w:p>
        </w:tc>
        <w:tc>
          <w:tcPr>
            <w:tcW w:w="1232" w:type="dxa"/>
          </w:tcPr>
          <w:p w14:paraId="35E12C77" w14:textId="77777777" w:rsidR="00C8798A" w:rsidRDefault="00C8798A" w:rsidP="00C8798A">
            <w:pPr>
              <w:pStyle w:val="Tablebodytext"/>
            </w:pPr>
            <w:r>
              <w:t>(0.240)</w:t>
            </w:r>
          </w:p>
        </w:tc>
        <w:tc>
          <w:tcPr>
            <w:tcW w:w="249" w:type="dxa"/>
          </w:tcPr>
          <w:p w14:paraId="35E12C78" w14:textId="77777777" w:rsidR="00C8798A" w:rsidRDefault="00C8798A" w:rsidP="00C8798A">
            <w:pPr>
              <w:pStyle w:val="Tablebodytext"/>
            </w:pPr>
          </w:p>
        </w:tc>
        <w:tc>
          <w:tcPr>
            <w:tcW w:w="1232" w:type="dxa"/>
          </w:tcPr>
          <w:p w14:paraId="35E12C79" w14:textId="77777777" w:rsidR="00C8798A" w:rsidRDefault="00C8798A" w:rsidP="00C8798A">
            <w:pPr>
              <w:pStyle w:val="Tablebodytext"/>
            </w:pPr>
            <w:r>
              <w:t>(0.188)</w:t>
            </w:r>
          </w:p>
        </w:tc>
      </w:tr>
      <w:tr w:rsidR="00C8798A" w14:paraId="35E12C83"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7B" w14:textId="77777777" w:rsidR="00C8798A" w:rsidRDefault="00C8798A" w:rsidP="00C8798A">
            <w:pPr>
              <w:pStyle w:val="Tablebodytext"/>
            </w:pPr>
            <w:r>
              <w:rPr>
                <w:i/>
                <w:iCs/>
              </w:rPr>
              <w:t>Type</w:t>
            </w:r>
          </w:p>
        </w:tc>
        <w:tc>
          <w:tcPr>
            <w:tcW w:w="1233" w:type="dxa"/>
          </w:tcPr>
          <w:p w14:paraId="35E12C7C" w14:textId="77777777" w:rsidR="00C8798A" w:rsidRDefault="00C8798A" w:rsidP="00C8798A">
            <w:pPr>
              <w:pStyle w:val="Tablebodytext"/>
            </w:pPr>
            <w:r>
              <w:t>-0.002*</w:t>
            </w:r>
          </w:p>
        </w:tc>
        <w:tc>
          <w:tcPr>
            <w:tcW w:w="1233" w:type="dxa"/>
          </w:tcPr>
          <w:p w14:paraId="35E12C7D" w14:textId="77777777" w:rsidR="00C8798A" w:rsidRDefault="00C8798A" w:rsidP="00C8798A">
            <w:pPr>
              <w:pStyle w:val="Tablebodytext"/>
            </w:pPr>
            <w:r>
              <w:t>0.0001</w:t>
            </w:r>
          </w:p>
        </w:tc>
        <w:tc>
          <w:tcPr>
            <w:tcW w:w="249" w:type="dxa"/>
          </w:tcPr>
          <w:p w14:paraId="35E12C7E" w14:textId="77777777" w:rsidR="00C8798A" w:rsidRDefault="00C8798A" w:rsidP="00C8798A">
            <w:pPr>
              <w:pStyle w:val="Tablebodytext"/>
            </w:pPr>
          </w:p>
        </w:tc>
        <w:tc>
          <w:tcPr>
            <w:tcW w:w="1232" w:type="dxa"/>
          </w:tcPr>
          <w:p w14:paraId="35E12C7F" w14:textId="77777777" w:rsidR="00C8798A" w:rsidRDefault="00C8798A" w:rsidP="00C8798A">
            <w:pPr>
              <w:pStyle w:val="Tablebodytext"/>
            </w:pPr>
            <w:r>
              <w:t>-0.0001**</w:t>
            </w:r>
          </w:p>
        </w:tc>
        <w:tc>
          <w:tcPr>
            <w:tcW w:w="1232" w:type="dxa"/>
          </w:tcPr>
          <w:p w14:paraId="35E12C80" w14:textId="77777777" w:rsidR="00C8798A" w:rsidRDefault="00C8798A" w:rsidP="00C8798A">
            <w:pPr>
              <w:pStyle w:val="Tablebodytext"/>
            </w:pPr>
            <w:r>
              <w:t>-0.00001</w:t>
            </w:r>
          </w:p>
        </w:tc>
        <w:tc>
          <w:tcPr>
            <w:tcW w:w="249" w:type="dxa"/>
          </w:tcPr>
          <w:p w14:paraId="35E12C81" w14:textId="77777777" w:rsidR="00C8798A" w:rsidRDefault="00C8798A" w:rsidP="00C8798A">
            <w:pPr>
              <w:pStyle w:val="Tablebodytext"/>
            </w:pPr>
          </w:p>
        </w:tc>
        <w:tc>
          <w:tcPr>
            <w:tcW w:w="1232" w:type="dxa"/>
          </w:tcPr>
          <w:p w14:paraId="35E12C82" w14:textId="77777777" w:rsidR="00C8798A" w:rsidRDefault="00C8798A" w:rsidP="00C8798A">
            <w:pPr>
              <w:pStyle w:val="Tablebodytext"/>
            </w:pPr>
            <w:r>
              <w:t>-0.001</w:t>
            </w:r>
          </w:p>
        </w:tc>
      </w:tr>
      <w:tr w:rsidR="00C8798A" w14:paraId="35E12C8C"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tcPr>
          <w:p w14:paraId="35E12C84" w14:textId="77777777" w:rsidR="00C8798A" w:rsidRDefault="00C8798A" w:rsidP="00C8798A">
            <w:pPr>
              <w:pStyle w:val="Tablebodytext"/>
            </w:pPr>
          </w:p>
        </w:tc>
        <w:tc>
          <w:tcPr>
            <w:tcW w:w="1233" w:type="dxa"/>
          </w:tcPr>
          <w:p w14:paraId="35E12C85" w14:textId="77777777" w:rsidR="00C8798A" w:rsidRDefault="00C8798A" w:rsidP="00C8798A">
            <w:pPr>
              <w:pStyle w:val="Tablebodytext"/>
            </w:pPr>
            <w:r>
              <w:t>(0.001)</w:t>
            </w:r>
          </w:p>
        </w:tc>
        <w:tc>
          <w:tcPr>
            <w:tcW w:w="1233" w:type="dxa"/>
          </w:tcPr>
          <w:p w14:paraId="35E12C86" w14:textId="77777777" w:rsidR="00C8798A" w:rsidRDefault="00C8798A" w:rsidP="00C8798A">
            <w:pPr>
              <w:pStyle w:val="Tablebodytext"/>
            </w:pPr>
            <w:r>
              <w:t>(0.001)</w:t>
            </w:r>
          </w:p>
        </w:tc>
        <w:tc>
          <w:tcPr>
            <w:tcW w:w="249" w:type="dxa"/>
          </w:tcPr>
          <w:p w14:paraId="35E12C87" w14:textId="77777777" w:rsidR="00C8798A" w:rsidRDefault="00C8798A" w:rsidP="00C8798A">
            <w:pPr>
              <w:pStyle w:val="Tablebodytext"/>
            </w:pPr>
          </w:p>
        </w:tc>
        <w:tc>
          <w:tcPr>
            <w:tcW w:w="1232" w:type="dxa"/>
          </w:tcPr>
          <w:p w14:paraId="35E12C88" w14:textId="77777777" w:rsidR="00C8798A" w:rsidRDefault="00C8798A" w:rsidP="00C8798A">
            <w:pPr>
              <w:pStyle w:val="Tablebodytext"/>
            </w:pPr>
            <w:r>
              <w:t>(0.0001)</w:t>
            </w:r>
          </w:p>
        </w:tc>
        <w:tc>
          <w:tcPr>
            <w:tcW w:w="1232" w:type="dxa"/>
          </w:tcPr>
          <w:p w14:paraId="35E12C89" w14:textId="77777777" w:rsidR="00C8798A" w:rsidRDefault="00C8798A" w:rsidP="00C8798A">
            <w:pPr>
              <w:pStyle w:val="Tablebodytext"/>
            </w:pPr>
            <w:r>
              <w:t>(0.0001)</w:t>
            </w:r>
          </w:p>
        </w:tc>
        <w:tc>
          <w:tcPr>
            <w:tcW w:w="249" w:type="dxa"/>
          </w:tcPr>
          <w:p w14:paraId="35E12C8A" w14:textId="77777777" w:rsidR="00C8798A" w:rsidRDefault="00C8798A" w:rsidP="00C8798A">
            <w:pPr>
              <w:pStyle w:val="Tablebodytext"/>
            </w:pPr>
          </w:p>
        </w:tc>
        <w:tc>
          <w:tcPr>
            <w:tcW w:w="1232" w:type="dxa"/>
          </w:tcPr>
          <w:p w14:paraId="35E12C8B" w14:textId="77777777" w:rsidR="00C8798A" w:rsidRDefault="00C8798A" w:rsidP="00C8798A">
            <w:pPr>
              <w:pStyle w:val="Tablebodytext"/>
            </w:pPr>
            <w:r>
              <w:t>(0.002)</w:t>
            </w:r>
          </w:p>
        </w:tc>
      </w:tr>
      <w:tr w:rsidR="00C8798A" w14:paraId="35E12C95"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8D" w14:textId="77777777" w:rsidR="00C8798A" w:rsidRDefault="00C8798A" w:rsidP="00C8798A">
            <w:pPr>
              <w:pStyle w:val="Tablebodytext"/>
            </w:pPr>
            <w:r>
              <w:rPr>
                <w:i/>
                <w:iCs/>
              </w:rPr>
              <w:t>H</w:t>
            </w:r>
            <w:r>
              <w:t>×</w:t>
            </w:r>
            <w:r>
              <w:rPr>
                <w:i/>
                <w:iCs/>
              </w:rPr>
              <w:t>Type</w:t>
            </w:r>
          </w:p>
        </w:tc>
        <w:tc>
          <w:tcPr>
            <w:tcW w:w="1233" w:type="dxa"/>
          </w:tcPr>
          <w:p w14:paraId="35E12C8E" w14:textId="77777777" w:rsidR="00C8798A" w:rsidRDefault="00C8798A" w:rsidP="00C8798A">
            <w:pPr>
              <w:pStyle w:val="Tablebodytext"/>
            </w:pPr>
            <w:r>
              <w:t>0.016***</w:t>
            </w:r>
          </w:p>
        </w:tc>
        <w:tc>
          <w:tcPr>
            <w:tcW w:w="1233" w:type="dxa"/>
          </w:tcPr>
          <w:p w14:paraId="35E12C8F" w14:textId="77777777" w:rsidR="00C8798A" w:rsidRDefault="00C8798A" w:rsidP="00C8798A">
            <w:pPr>
              <w:pStyle w:val="Tablebodytext"/>
            </w:pPr>
            <w:r>
              <w:t>-0.009</w:t>
            </w:r>
          </w:p>
        </w:tc>
        <w:tc>
          <w:tcPr>
            <w:tcW w:w="249" w:type="dxa"/>
          </w:tcPr>
          <w:p w14:paraId="35E12C90" w14:textId="77777777" w:rsidR="00C8798A" w:rsidRDefault="00C8798A" w:rsidP="00C8798A">
            <w:pPr>
              <w:pStyle w:val="Tablebodytext"/>
            </w:pPr>
          </w:p>
        </w:tc>
        <w:tc>
          <w:tcPr>
            <w:tcW w:w="1232" w:type="dxa"/>
          </w:tcPr>
          <w:p w14:paraId="35E12C91" w14:textId="77777777" w:rsidR="00C8798A" w:rsidRDefault="00C8798A" w:rsidP="00C8798A">
            <w:pPr>
              <w:pStyle w:val="Tablebodytext"/>
            </w:pPr>
            <w:r>
              <w:t>-0.002**</w:t>
            </w:r>
          </w:p>
        </w:tc>
        <w:tc>
          <w:tcPr>
            <w:tcW w:w="1232" w:type="dxa"/>
          </w:tcPr>
          <w:p w14:paraId="35E12C92" w14:textId="77777777" w:rsidR="00C8798A" w:rsidRDefault="00C8798A" w:rsidP="00C8798A">
            <w:pPr>
              <w:pStyle w:val="Tablebodytext"/>
            </w:pPr>
            <w:r>
              <w:t>-0.003***</w:t>
            </w:r>
          </w:p>
        </w:tc>
        <w:tc>
          <w:tcPr>
            <w:tcW w:w="249" w:type="dxa"/>
          </w:tcPr>
          <w:p w14:paraId="35E12C93" w14:textId="77777777" w:rsidR="00C8798A" w:rsidRDefault="00C8798A" w:rsidP="00C8798A">
            <w:pPr>
              <w:pStyle w:val="Tablebodytext"/>
            </w:pPr>
          </w:p>
        </w:tc>
        <w:tc>
          <w:tcPr>
            <w:tcW w:w="1232" w:type="dxa"/>
          </w:tcPr>
          <w:p w14:paraId="35E12C94" w14:textId="77777777" w:rsidR="00C8798A" w:rsidRDefault="00C8798A" w:rsidP="00C8798A">
            <w:pPr>
              <w:pStyle w:val="Tablebodytext"/>
            </w:pPr>
            <w:r>
              <w:t>0.008</w:t>
            </w:r>
          </w:p>
        </w:tc>
      </w:tr>
      <w:tr w:rsidR="00C8798A" w14:paraId="35E12C9E"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tcPr>
          <w:p w14:paraId="35E12C96" w14:textId="77777777" w:rsidR="00C8798A" w:rsidRDefault="00C8798A" w:rsidP="00C8798A">
            <w:pPr>
              <w:pStyle w:val="Tablebodytext"/>
            </w:pPr>
          </w:p>
        </w:tc>
        <w:tc>
          <w:tcPr>
            <w:tcW w:w="1233" w:type="dxa"/>
          </w:tcPr>
          <w:p w14:paraId="35E12C97" w14:textId="77777777" w:rsidR="00C8798A" w:rsidRDefault="00C8798A" w:rsidP="00C8798A">
            <w:pPr>
              <w:pStyle w:val="Tablebodytext"/>
            </w:pPr>
            <w:r>
              <w:t>(0.004)</w:t>
            </w:r>
          </w:p>
        </w:tc>
        <w:tc>
          <w:tcPr>
            <w:tcW w:w="1233" w:type="dxa"/>
          </w:tcPr>
          <w:p w14:paraId="35E12C98" w14:textId="77777777" w:rsidR="00C8798A" w:rsidRDefault="00C8798A" w:rsidP="00C8798A">
            <w:pPr>
              <w:pStyle w:val="Tablebodytext"/>
            </w:pPr>
            <w:r>
              <w:t>(0.006)</w:t>
            </w:r>
          </w:p>
        </w:tc>
        <w:tc>
          <w:tcPr>
            <w:tcW w:w="249" w:type="dxa"/>
          </w:tcPr>
          <w:p w14:paraId="35E12C99" w14:textId="77777777" w:rsidR="00C8798A" w:rsidRDefault="00C8798A" w:rsidP="00C8798A">
            <w:pPr>
              <w:pStyle w:val="Tablebodytext"/>
            </w:pPr>
          </w:p>
        </w:tc>
        <w:tc>
          <w:tcPr>
            <w:tcW w:w="1232" w:type="dxa"/>
          </w:tcPr>
          <w:p w14:paraId="35E12C9A" w14:textId="77777777" w:rsidR="00C8798A" w:rsidRDefault="00C8798A" w:rsidP="00C8798A">
            <w:pPr>
              <w:pStyle w:val="Tablebodytext"/>
            </w:pPr>
            <w:r>
              <w:t>(0.001)</w:t>
            </w:r>
          </w:p>
        </w:tc>
        <w:tc>
          <w:tcPr>
            <w:tcW w:w="1232" w:type="dxa"/>
          </w:tcPr>
          <w:p w14:paraId="35E12C9B" w14:textId="77777777" w:rsidR="00C8798A" w:rsidRDefault="00C8798A" w:rsidP="00C8798A">
            <w:pPr>
              <w:pStyle w:val="Tablebodytext"/>
            </w:pPr>
            <w:r>
              <w:t>(0.001)</w:t>
            </w:r>
          </w:p>
        </w:tc>
        <w:tc>
          <w:tcPr>
            <w:tcW w:w="249" w:type="dxa"/>
          </w:tcPr>
          <w:p w14:paraId="35E12C9C" w14:textId="77777777" w:rsidR="00C8798A" w:rsidRDefault="00C8798A" w:rsidP="00C8798A">
            <w:pPr>
              <w:pStyle w:val="Tablebodytext"/>
            </w:pPr>
          </w:p>
        </w:tc>
        <w:tc>
          <w:tcPr>
            <w:tcW w:w="1232" w:type="dxa"/>
          </w:tcPr>
          <w:p w14:paraId="35E12C9D" w14:textId="77777777" w:rsidR="00C8798A" w:rsidRDefault="00C8798A" w:rsidP="00C8798A">
            <w:pPr>
              <w:pStyle w:val="Tablebodytext"/>
            </w:pPr>
            <w:r>
              <w:t>(0.011)</w:t>
            </w:r>
          </w:p>
        </w:tc>
      </w:tr>
      <w:tr w:rsidR="00C8798A" w14:paraId="35E12CA7"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9F" w14:textId="77777777" w:rsidR="00C8798A" w:rsidRDefault="00C8798A" w:rsidP="00C8798A">
            <w:pPr>
              <w:pStyle w:val="Tablebodytext"/>
            </w:pPr>
            <w:r>
              <w:rPr>
                <w:i/>
                <w:iCs/>
              </w:rPr>
              <w:t>ExpInt</w:t>
            </w:r>
            <w:r>
              <w:t>×</w:t>
            </w:r>
            <w:r>
              <w:rPr>
                <w:i/>
                <w:iCs/>
              </w:rPr>
              <w:t>Type</w:t>
            </w:r>
          </w:p>
        </w:tc>
        <w:tc>
          <w:tcPr>
            <w:tcW w:w="1233" w:type="dxa"/>
          </w:tcPr>
          <w:p w14:paraId="35E12CA0" w14:textId="77777777" w:rsidR="00C8798A" w:rsidRDefault="00C8798A" w:rsidP="00C8798A">
            <w:pPr>
              <w:pStyle w:val="Tablebodytext"/>
            </w:pPr>
            <w:r>
              <w:t>-0.001</w:t>
            </w:r>
          </w:p>
        </w:tc>
        <w:tc>
          <w:tcPr>
            <w:tcW w:w="1233" w:type="dxa"/>
          </w:tcPr>
          <w:p w14:paraId="35E12CA1" w14:textId="77777777" w:rsidR="00C8798A" w:rsidRDefault="00C8798A" w:rsidP="00C8798A">
            <w:pPr>
              <w:pStyle w:val="Tablebodytext"/>
            </w:pPr>
            <w:r>
              <w:t>0.006</w:t>
            </w:r>
          </w:p>
        </w:tc>
        <w:tc>
          <w:tcPr>
            <w:tcW w:w="249" w:type="dxa"/>
          </w:tcPr>
          <w:p w14:paraId="35E12CA2" w14:textId="77777777" w:rsidR="00C8798A" w:rsidRDefault="00C8798A" w:rsidP="00C8798A">
            <w:pPr>
              <w:pStyle w:val="Tablebodytext"/>
            </w:pPr>
          </w:p>
        </w:tc>
        <w:tc>
          <w:tcPr>
            <w:tcW w:w="1232" w:type="dxa"/>
          </w:tcPr>
          <w:p w14:paraId="35E12CA3" w14:textId="77777777" w:rsidR="00C8798A" w:rsidRDefault="00C8798A" w:rsidP="00C8798A">
            <w:pPr>
              <w:pStyle w:val="Tablebodytext"/>
            </w:pPr>
            <w:r>
              <w:t>0.003**</w:t>
            </w:r>
          </w:p>
        </w:tc>
        <w:tc>
          <w:tcPr>
            <w:tcW w:w="1232" w:type="dxa"/>
          </w:tcPr>
          <w:p w14:paraId="35E12CA4" w14:textId="77777777" w:rsidR="00C8798A" w:rsidRDefault="00C8798A" w:rsidP="00C8798A">
            <w:pPr>
              <w:pStyle w:val="Tablebodytext"/>
            </w:pPr>
            <w:r>
              <w:t>-0.003*</w:t>
            </w:r>
          </w:p>
        </w:tc>
        <w:tc>
          <w:tcPr>
            <w:tcW w:w="249" w:type="dxa"/>
          </w:tcPr>
          <w:p w14:paraId="35E12CA5" w14:textId="77777777" w:rsidR="00C8798A" w:rsidRDefault="00C8798A" w:rsidP="00C8798A">
            <w:pPr>
              <w:pStyle w:val="Tablebodytext"/>
            </w:pPr>
          </w:p>
        </w:tc>
        <w:tc>
          <w:tcPr>
            <w:tcW w:w="1232" w:type="dxa"/>
          </w:tcPr>
          <w:p w14:paraId="35E12CA6" w14:textId="77777777" w:rsidR="00C8798A" w:rsidRDefault="00C8798A" w:rsidP="00C8798A">
            <w:pPr>
              <w:pStyle w:val="Tablebodytext"/>
            </w:pPr>
            <w:r>
              <w:t>0.001</w:t>
            </w:r>
          </w:p>
        </w:tc>
      </w:tr>
      <w:tr w:rsidR="00C8798A" w14:paraId="35E12CB0"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tcPr>
          <w:p w14:paraId="35E12CA8" w14:textId="77777777" w:rsidR="00C8798A" w:rsidRDefault="00C8798A" w:rsidP="00C8798A">
            <w:pPr>
              <w:pStyle w:val="Tablebodytext"/>
            </w:pPr>
          </w:p>
        </w:tc>
        <w:tc>
          <w:tcPr>
            <w:tcW w:w="1233" w:type="dxa"/>
          </w:tcPr>
          <w:p w14:paraId="35E12CA9" w14:textId="77777777" w:rsidR="00C8798A" w:rsidRDefault="00C8798A" w:rsidP="00C8798A">
            <w:pPr>
              <w:pStyle w:val="Tablebodytext"/>
            </w:pPr>
            <w:r>
              <w:t>(0.007)</w:t>
            </w:r>
          </w:p>
        </w:tc>
        <w:tc>
          <w:tcPr>
            <w:tcW w:w="1233" w:type="dxa"/>
          </w:tcPr>
          <w:p w14:paraId="35E12CAA" w14:textId="77777777" w:rsidR="00C8798A" w:rsidRDefault="00C8798A" w:rsidP="00C8798A">
            <w:pPr>
              <w:pStyle w:val="Tablebodytext"/>
            </w:pPr>
            <w:r>
              <w:t>(0.006)</w:t>
            </w:r>
          </w:p>
        </w:tc>
        <w:tc>
          <w:tcPr>
            <w:tcW w:w="249" w:type="dxa"/>
          </w:tcPr>
          <w:p w14:paraId="35E12CAB" w14:textId="77777777" w:rsidR="00C8798A" w:rsidRDefault="00C8798A" w:rsidP="00C8798A">
            <w:pPr>
              <w:pStyle w:val="Tablebodytext"/>
            </w:pPr>
          </w:p>
        </w:tc>
        <w:tc>
          <w:tcPr>
            <w:tcW w:w="1232" w:type="dxa"/>
          </w:tcPr>
          <w:p w14:paraId="35E12CAC" w14:textId="77777777" w:rsidR="00C8798A" w:rsidRDefault="00C8798A" w:rsidP="00C8798A">
            <w:pPr>
              <w:pStyle w:val="Tablebodytext"/>
            </w:pPr>
            <w:r>
              <w:t>(0.001)</w:t>
            </w:r>
          </w:p>
        </w:tc>
        <w:tc>
          <w:tcPr>
            <w:tcW w:w="1232" w:type="dxa"/>
          </w:tcPr>
          <w:p w14:paraId="35E12CAD" w14:textId="77777777" w:rsidR="00C8798A" w:rsidRDefault="00C8798A" w:rsidP="00C8798A">
            <w:pPr>
              <w:pStyle w:val="Tablebodytext"/>
            </w:pPr>
            <w:r>
              <w:t>(0.001)</w:t>
            </w:r>
          </w:p>
        </w:tc>
        <w:tc>
          <w:tcPr>
            <w:tcW w:w="249" w:type="dxa"/>
          </w:tcPr>
          <w:p w14:paraId="35E12CAE" w14:textId="77777777" w:rsidR="00C8798A" w:rsidRDefault="00C8798A" w:rsidP="00C8798A">
            <w:pPr>
              <w:pStyle w:val="Tablebodytext"/>
            </w:pPr>
          </w:p>
        </w:tc>
        <w:tc>
          <w:tcPr>
            <w:tcW w:w="1232" w:type="dxa"/>
          </w:tcPr>
          <w:p w14:paraId="35E12CAF" w14:textId="77777777" w:rsidR="00C8798A" w:rsidRDefault="00C8798A" w:rsidP="00C8798A">
            <w:pPr>
              <w:pStyle w:val="Tablebodytext"/>
            </w:pPr>
            <w:r>
              <w:t>(0.033)</w:t>
            </w:r>
          </w:p>
        </w:tc>
      </w:tr>
      <w:tr w:rsidR="00C8798A" w14:paraId="35E12CB9"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B1" w14:textId="77777777" w:rsidR="00C8798A" w:rsidRDefault="00C8798A" w:rsidP="00C8798A">
            <w:pPr>
              <w:pStyle w:val="Tablebodytext"/>
            </w:pPr>
            <w:r>
              <w:rPr>
                <w:i/>
                <w:iCs/>
              </w:rPr>
              <w:t>H</w:t>
            </w:r>
            <w:r>
              <w:t>×</w:t>
            </w:r>
            <w:r>
              <w:rPr>
                <w:i/>
                <w:iCs/>
              </w:rPr>
              <w:t>ExpInt</w:t>
            </w:r>
          </w:p>
        </w:tc>
        <w:tc>
          <w:tcPr>
            <w:tcW w:w="1233" w:type="dxa"/>
          </w:tcPr>
          <w:p w14:paraId="35E12CB2" w14:textId="77777777" w:rsidR="00C8798A" w:rsidRDefault="00C8798A" w:rsidP="00C8798A">
            <w:pPr>
              <w:pStyle w:val="Tablebodytext"/>
            </w:pPr>
            <w:r>
              <w:t>0.032</w:t>
            </w:r>
          </w:p>
        </w:tc>
        <w:tc>
          <w:tcPr>
            <w:tcW w:w="1233" w:type="dxa"/>
          </w:tcPr>
          <w:p w14:paraId="35E12CB3" w14:textId="77777777" w:rsidR="00C8798A" w:rsidRDefault="00C8798A" w:rsidP="00C8798A">
            <w:pPr>
              <w:pStyle w:val="Tablebodytext"/>
            </w:pPr>
            <w:r>
              <w:t>-0.049</w:t>
            </w:r>
          </w:p>
        </w:tc>
        <w:tc>
          <w:tcPr>
            <w:tcW w:w="249" w:type="dxa"/>
          </w:tcPr>
          <w:p w14:paraId="35E12CB4" w14:textId="77777777" w:rsidR="00C8798A" w:rsidRDefault="00C8798A" w:rsidP="00C8798A">
            <w:pPr>
              <w:pStyle w:val="Tablebodytext"/>
            </w:pPr>
          </w:p>
        </w:tc>
        <w:tc>
          <w:tcPr>
            <w:tcW w:w="1232" w:type="dxa"/>
          </w:tcPr>
          <w:p w14:paraId="35E12CB5" w14:textId="77777777" w:rsidR="00C8798A" w:rsidRDefault="00C8798A" w:rsidP="00C8798A">
            <w:pPr>
              <w:pStyle w:val="Tablebodytext"/>
            </w:pPr>
            <w:r>
              <w:t>-0.070***</w:t>
            </w:r>
          </w:p>
        </w:tc>
        <w:tc>
          <w:tcPr>
            <w:tcW w:w="1232" w:type="dxa"/>
          </w:tcPr>
          <w:p w14:paraId="35E12CB6" w14:textId="77777777" w:rsidR="00C8798A" w:rsidRDefault="00C8798A" w:rsidP="00C8798A">
            <w:pPr>
              <w:pStyle w:val="Tablebodytext"/>
            </w:pPr>
            <w:r>
              <w:t>0.059***</w:t>
            </w:r>
          </w:p>
        </w:tc>
        <w:tc>
          <w:tcPr>
            <w:tcW w:w="249" w:type="dxa"/>
          </w:tcPr>
          <w:p w14:paraId="35E12CB7" w14:textId="77777777" w:rsidR="00C8798A" w:rsidRDefault="00C8798A" w:rsidP="00C8798A">
            <w:pPr>
              <w:pStyle w:val="Tablebodytext"/>
            </w:pPr>
          </w:p>
        </w:tc>
        <w:tc>
          <w:tcPr>
            <w:tcW w:w="1232" w:type="dxa"/>
          </w:tcPr>
          <w:p w14:paraId="35E12CB8" w14:textId="77777777" w:rsidR="00C8798A" w:rsidRDefault="00C8798A" w:rsidP="00C8798A">
            <w:pPr>
              <w:pStyle w:val="Tablebodytext"/>
            </w:pPr>
            <w:r>
              <w:t>0.120</w:t>
            </w:r>
          </w:p>
        </w:tc>
      </w:tr>
      <w:tr w:rsidR="00C8798A" w14:paraId="35E12CC2"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tcPr>
          <w:p w14:paraId="35E12CBA" w14:textId="77777777" w:rsidR="00C8798A" w:rsidRDefault="00C8798A" w:rsidP="00C8798A">
            <w:pPr>
              <w:pStyle w:val="Tablebodytext"/>
            </w:pPr>
            <w:r>
              <w:t>×</w:t>
            </w:r>
            <w:r>
              <w:rPr>
                <w:i/>
                <w:iCs/>
              </w:rPr>
              <w:t>Type</w:t>
            </w:r>
          </w:p>
        </w:tc>
        <w:tc>
          <w:tcPr>
            <w:tcW w:w="1233" w:type="dxa"/>
          </w:tcPr>
          <w:p w14:paraId="35E12CBB" w14:textId="77777777" w:rsidR="00C8798A" w:rsidRDefault="00C8798A" w:rsidP="00C8798A">
            <w:pPr>
              <w:pStyle w:val="Tablebodytext"/>
            </w:pPr>
            <w:r>
              <w:t>(0.088)</w:t>
            </w:r>
          </w:p>
        </w:tc>
        <w:tc>
          <w:tcPr>
            <w:tcW w:w="1233" w:type="dxa"/>
          </w:tcPr>
          <w:p w14:paraId="35E12CBC" w14:textId="77777777" w:rsidR="00C8798A" w:rsidRDefault="00C8798A" w:rsidP="00C8798A">
            <w:pPr>
              <w:pStyle w:val="Tablebodytext"/>
            </w:pPr>
            <w:r>
              <w:t>(0.046)</w:t>
            </w:r>
          </w:p>
        </w:tc>
        <w:tc>
          <w:tcPr>
            <w:tcW w:w="249" w:type="dxa"/>
          </w:tcPr>
          <w:p w14:paraId="35E12CBD" w14:textId="77777777" w:rsidR="00C8798A" w:rsidRDefault="00C8798A" w:rsidP="00C8798A">
            <w:pPr>
              <w:pStyle w:val="Tablebodytext"/>
            </w:pPr>
          </w:p>
        </w:tc>
        <w:tc>
          <w:tcPr>
            <w:tcW w:w="1232" w:type="dxa"/>
          </w:tcPr>
          <w:p w14:paraId="35E12CBE" w14:textId="77777777" w:rsidR="00C8798A" w:rsidRDefault="00C8798A" w:rsidP="00C8798A">
            <w:pPr>
              <w:pStyle w:val="Tablebodytext"/>
            </w:pPr>
            <w:r>
              <w:t>(0.018)</w:t>
            </w:r>
          </w:p>
        </w:tc>
        <w:tc>
          <w:tcPr>
            <w:tcW w:w="1232" w:type="dxa"/>
          </w:tcPr>
          <w:p w14:paraId="35E12CBF" w14:textId="77777777" w:rsidR="00C8798A" w:rsidRDefault="00C8798A" w:rsidP="00C8798A">
            <w:pPr>
              <w:pStyle w:val="Tablebodytext"/>
            </w:pPr>
            <w:r>
              <w:t>(0.016)</w:t>
            </w:r>
          </w:p>
        </w:tc>
        <w:tc>
          <w:tcPr>
            <w:tcW w:w="249" w:type="dxa"/>
          </w:tcPr>
          <w:p w14:paraId="35E12CC0" w14:textId="77777777" w:rsidR="00C8798A" w:rsidRDefault="00C8798A" w:rsidP="00C8798A">
            <w:pPr>
              <w:pStyle w:val="Tablebodytext"/>
            </w:pPr>
          </w:p>
        </w:tc>
        <w:tc>
          <w:tcPr>
            <w:tcW w:w="1232" w:type="dxa"/>
          </w:tcPr>
          <w:p w14:paraId="35E12CC1" w14:textId="77777777" w:rsidR="00C8798A" w:rsidRDefault="00C8798A" w:rsidP="00C8798A">
            <w:pPr>
              <w:pStyle w:val="Tablebodytext"/>
            </w:pPr>
            <w:r>
              <w:t>(0.248)</w:t>
            </w:r>
          </w:p>
        </w:tc>
      </w:tr>
      <w:tr w:rsidR="00C8798A" w14:paraId="35E12CCB"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C3" w14:textId="77777777" w:rsidR="00C8798A" w:rsidRDefault="00C8798A" w:rsidP="00C8798A">
            <w:pPr>
              <w:pStyle w:val="Tablebodytext"/>
            </w:pPr>
            <w:r>
              <w:t xml:space="preserve"> Years:</w:t>
            </w:r>
          </w:p>
        </w:tc>
        <w:tc>
          <w:tcPr>
            <w:tcW w:w="1233" w:type="dxa"/>
          </w:tcPr>
          <w:p w14:paraId="35E12CC4" w14:textId="77777777" w:rsidR="00C8798A" w:rsidRDefault="00C8798A" w:rsidP="00C8798A">
            <w:pPr>
              <w:pStyle w:val="Tablebodytext"/>
            </w:pPr>
            <w:r>
              <w:t>2002–2005</w:t>
            </w:r>
          </w:p>
        </w:tc>
        <w:tc>
          <w:tcPr>
            <w:tcW w:w="1233" w:type="dxa"/>
          </w:tcPr>
          <w:p w14:paraId="35E12CC5" w14:textId="77777777" w:rsidR="00C8798A" w:rsidRDefault="00C8798A" w:rsidP="00C8798A">
            <w:pPr>
              <w:pStyle w:val="Tablebodytext"/>
            </w:pPr>
            <w:r>
              <w:t>2006–2014</w:t>
            </w:r>
          </w:p>
        </w:tc>
        <w:tc>
          <w:tcPr>
            <w:tcW w:w="249" w:type="dxa"/>
          </w:tcPr>
          <w:p w14:paraId="35E12CC6" w14:textId="77777777" w:rsidR="00C8798A" w:rsidRDefault="00C8798A" w:rsidP="00C8798A">
            <w:pPr>
              <w:pStyle w:val="Tablebodytext"/>
            </w:pPr>
          </w:p>
        </w:tc>
        <w:tc>
          <w:tcPr>
            <w:tcW w:w="1232" w:type="dxa"/>
          </w:tcPr>
          <w:p w14:paraId="35E12CC7" w14:textId="77777777" w:rsidR="00C8798A" w:rsidRDefault="00C8798A" w:rsidP="00C8798A">
            <w:pPr>
              <w:pStyle w:val="Tablebodytext"/>
            </w:pPr>
            <w:r>
              <w:t>2002–2005</w:t>
            </w:r>
          </w:p>
        </w:tc>
        <w:tc>
          <w:tcPr>
            <w:tcW w:w="1232" w:type="dxa"/>
          </w:tcPr>
          <w:p w14:paraId="35E12CC8" w14:textId="77777777" w:rsidR="00C8798A" w:rsidRDefault="00C8798A" w:rsidP="00C8798A">
            <w:pPr>
              <w:pStyle w:val="Tablebodytext"/>
            </w:pPr>
            <w:r>
              <w:t>2006–201</w:t>
            </w:r>
            <w:r w:rsidR="002C4804">
              <w:t>4</w:t>
            </w:r>
          </w:p>
        </w:tc>
        <w:tc>
          <w:tcPr>
            <w:tcW w:w="249" w:type="dxa"/>
          </w:tcPr>
          <w:p w14:paraId="35E12CC9" w14:textId="77777777" w:rsidR="00C8798A" w:rsidRDefault="00C8798A" w:rsidP="00C8798A">
            <w:pPr>
              <w:pStyle w:val="Tablebodytext"/>
            </w:pPr>
          </w:p>
        </w:tc>
        <w:tc>
          <w:tcPr>
            <w:tcW w:w="1232" w:type="dxa"/>
          </w:tcPr>
          <w:p w14:paraId="35E12CCA" w14:textId="77777777" w:rsidR="00C8798A" w:rsidRDefault="00C8798A" w:rsidP="00C8798A">
            <w:pPr>
              <w:pStyle w:val="Tablebodytext"/>
            </w:pPr>
            <w:r>
              <w:t>2010–2014</w:t>
            </w:r>
          </w:p>
        </w:tc>
      </w:tr>
      <w:tr w:rsidR="00C8798A" w14:paraId="35E12CD4"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tcPr>
          <w:p w14:paraId="35E12CCC" w14:textId="77777777" w:rsidR="00C8798A" w:rsidRDefault="00C8798A" w:rsidP="00C8798A">
            <w:pPr>
              <w:pStyle w:val="Tablebodytext"/>
            </w:pPr>
            <w:r>
              <w:t>Type:</w:t>
            </w:r>
          </w:p>
        </w:tc>
        <w:tc>
          <w:tcPr>
            <w:tcW w:w="1233" w:type="dxa"/>
          </w:tcPr>
          <w:p w14:paraId="35E12CCD" w14:textId="77777777" w:rsidR="00C8798A" w:rsidRDefault="00C8798A" w:rsidP="00C8798A">
            <w:pPr>
              <w:pStyle w:val="Tablebodytext"/>
            </w:pPr>
            <w:r>
              <w:rPr>
                <w:i/>
                <w:iCs/>
              </w:rPr>
              <w:t>LP</w:t>
            </w:r>
            <w:r>
              <w:t>(</w:t>
            </w:r>
            <w:r>
              <w:rPr>
                <w:i/>
                <w:iCs/>
              </w:rPr>
              <w:t>Q</w:t>
            </w:r>
            <w:r>
              <w:t>3/</w:t>
            </w:r>
            <w:r>
              <w:rPr>
                <w:i/>
                <w:iCs/>
              </w:rPr>
              <w:t>Q</w:t>
            </w:r>
            <w:r>
              <w:t>1)</w:t>
            </w:r>
          </w:p>
        </w:tc>
        <w:tc>
          <w:tcPr>
            <w:tcW w:w="1233" w:type="dxa"/>
          </w:tcPr>
          <w:p w14:paraId="35E12CCE" w14:textId="77777777" w:rsidR="00C8798A" w:rsidRDefault="00C8798A" w:rsidP="00C8798A">
            <w:pPr>
              <w:pStyle w:val="Tablebodytext"/>
            </w:pPr>
            <w:r>
              <w:rPr>
                <w:i/>
                <w:iCs/>
              </w:rPr>
              <w:t>LP</w:t>
            </w:r>
            <w:r>
              <w:t>(</w:t>
            </w:r>
            <w:r>
              <w:rPr>
                <w:i/>
                <w:iCs/>
              </w:rPr>
              <w:t>Q</w:t>
            </w:r>
            <w:r>
              <w:t>3/</w:t>
            </w:r>
            <w:r>
              <w:rPr>
                <w:i/>
                <w:iCs/>
              </w:rPr>
              <w:t>Q</w:t>
            </w:r>
            <w:r>
              <w:t>1)</w:t>
            </w:r>
          </w:p>
        </w:tc>
        <w:tc>
          <w:tcPr>
            <w:tcW w:w="249" w:type="dxa"/>
          </w:tcPr>
          <w:p w14:paraId="35E12CCF" w14:textId="77777777" w:rsidR="00C8798A" w:rsidRDefault="00C8798A" w:rsidP="00C8798A">
            <w:pPr>
              <w:pStyle w:val="Tablebodytext"/>
            </w:pPr>
          </w:p>
        </w:tc>
        <w:tc>
          <w:tcPr>
            <w:tcW w:w="1232" w:type="dxa"/>
          </w:tcPr>
          <w:p w14:paraId="35E12CD0" w14:textId="77777777" w:rsidR="00C8798A" w:rsidRDefault="00C8798A" w:rsidP="00C8798A">
            <w:pPr>
              <w:pStyle w:val="Tablebodytext"/>
            </w:pPr>
            <w:r>
              <w:rPr>
                <w:i/>
                <w:iCs/>
              </w:rPr>
              <w:t>LPSkew</w:t>
            </w:r>
          </w:p>
        </w:tc>
        <w:tc>
          <w:tcPr>
            <w:tcW w:w="1232" w:type="dxa"/>
          </w:tcPr>
          <w:p w14:paraId="35E12CD1" w14:textId="77777777" w:rsidR="00C8798A" w:rsidRDefault="00C8798A" w:rsidP="00C8798A">
            <w:pPr>
              <w:pStyle w:val="Tablebodytext"/>
            </w:pPr>
            <w:r>
              <w:rPr>
                <w:i/>
                <w:iCs/>
              </w:rPr>
              <w:t>LPSkew</w:t>
            </w:r>
          </w:p>
        </w:tc>
        <w:tc>
          <w:tcPr>
            <w:tcW w:w="249" w:type="dxa"/>
          </w:tcPr>
          <w:p w14:paraId="35E12CD2" w14:textId="77777777" w:rsidR="00C8798A" w:rsidRDefault="00C8798A" w:rsidP="00C8798A">
            <w:pPr>
              <w:pStyle w:val="Tablebodytext"/>
            </w:pPr>
          </w:p>
        </w:tc>
        <w:tc>
          <w:tcPr>
            <w:tcW w:w="1232" w:type="dxa"/>
          </w:tcPr>
          <w:p w14:paraId="35E12CD3" w14:textId="77777777" w:rsidR="00C8798A" w:rsidRDefault="00C8798A" w:rsidP="00C8798A">
            <w:pPr>
              <w:pStyle w:val="Tablebodytext"/>
            </w:pPr>
            <w:r>
              <w:rPr>
                <w:i/>
                <w:iCs/>
              </w:rPr>
              <w:t>Digital</w:t>
            </w:r>
          </w:p>
        </w:tc>
      </w:tr>
      <w:tr w:rsidR="00C8798A" w14:paraId="35E12CDD"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D5" w14:textId="77777777" w:rsidR="00C8798A" w:rsidRDefault="00C8798A" w:rsidP="00C8798A">
            <w:pPr>
              <w:pStyle w:val="Tablebodytext"/>
            </w:pPr>
            <w:r>
              <w:t xml:space="preserve"> Adjusted R</w:t>
            </w:r>
            <w:r>
              <w:fldChar w:fldCharType="begin"/>
            </w:r>
            <w:r>
              <w:instrText xml:space="preserve"> EQ \s\up5(</w:instrText>
            </w:r>
            <w:r>
              <w:rPr>
                <w:sz w:val="16"/>
                <w:szCs w:val="16"/>
              </w:rPr>
              <w:instrText>2</w:instrText>
            </w:r>
            <w:r>
              <w:instrText>)</w:instrText>
            </w:r>
            <w:r>
              <w:fldChar w:fldCharType="end"/>
            </w:r>
          </w:p>
        </w:tc>
        <w:tc>
          <w:tcPr>
            <w:tcW w:w="1233" w:type="dxa"/>
          </w:tcPr>
          <w:p w14:paraId="35E12CD6" w14:textId="77777777" w:rsidR="00C8798A" w:rsidRDefault="00C8798A" w:rsidP="00C8798A">
            <w:pPr>
              <w:pStyle w:val="Tablebodytext"/>
            </w:pPr>
            <w:r>
              <w:t>0.072</w:t>
            </w:r>
          </w:p>
        </w:tc>
        <w:tc>
          <w:tcPr>
            <w:tcW w:w="1233" w:type="dxa"/>
          </w:tcPr>
          <w:p w14:paraId="35E12CD7" w14:textId="77777777" w:rsidR="00C8798A" w:rsidRDefault="00C8798A" w:rsidP="00C8798A">
            <w:pPr>
              <w:pStyle w:val="Tablebodytext"/>
            </w:pPr>
            <w:r>
              <w:t>0.046</w:t>
            </w:r>
          </w:p>
        </w:tc>
        <w:tc>
          <w:tcPr>
            <w:tcW w:w="249" w:type="dxa"/>
          </w:tcPr>
          <w:p w14:paraId="35E12CD8" w14:textId="77777777" w:rsidR="00C8798A" w:rsidRDefault="00C8798A" w:rsidP="00C8798A">
            <w:pPr>
              <w:pStyle w:val="Tablebodytext"/>
            </w:pPr>
          </w:p>
        </w:tc>
        <w:tc>
          <w:tcPr>
            <w:tcW w:w="1232" w:type="dxa"/>
          </w:tcPr>
          <w:p w14:paraId="35E12CD9" w14:textId="77777777" w:rsidR="00C8798A" w:rsidRDefault="00C8798A" w:rsidP="00C8798A">
            <w:pPr>
              <w:pStyle w:val="Tablebodytext"/>
            </w:pPr>
            <w:r>
              <w:t>0.087</w:t>
            </w:r>
          </w:p>
        </w:tc>
        <w:tc>
          <w:tcPr>
            <w:tcW w:w="1232" w:type="dxa"/>
          </w:tcPr>
          <w:p w14:paraId="35E12CDA" w14:textId="77777777" w:rsidR="00C8798A" w:rsidRDefault="00C8798A" w:rsidP="00C8798A">
            <w:pPr>
              <w:pStyle w:val="Tablebodytext"/>
            </w:pPr>
            <w:r>
              <w:t>0.060</w:t>
            </w:r>
          </w:p>
        </w:tc>
        <w:tc>
          <w:tcPr>
            <w:tcW w:w="249" w:type="dxa"/>
          </w:tcPr>
          <w:p w14:paraId="35E12CDB" w14:textId="77777777" w:rsidR="00C8798A" w:rsidRDefault="00C8798A" w:rsidP="00C8798A">
            <w:pPr>
              <w:pStyle w:val="Tablebodytext"/>
            </w:pPr>
          </w:p>
        </w:tc>
        <w:tc>
          <w:tcPr>
            <w:tcW w:w="1232" w:type="dxa"/>
          </w:tcPr>
          <w:p w14:paraId="35E12CDC" w14:textId="77777777" w:rsidR="00C8798A" w:rsidRDefault="00C8798A" w:rsidP="00C8798A">
            <w:pPr>
              <w:pStyle w:val="Tablebodytext"/>
            </w:pPr>
            <w:r>
              <w:t>0.050</w:t>
            </w:r>
          </w:p>
        </w:tc>
      </w:tr>
      <w:tr w:rsidR="00C8798A" w14:paraId="35E12CE6" w14:textId="77777777" w:rsidTr="00DD35AF">
        <w:trPr>
          <w:cnfStyle w:val="000000100000" w:firstRow="0" w:lastRow="0" w:firstColumn="0" w:lastColumn="0" w:oddVBand="0" w:evenVBand="0" w:oddHBand="1" w:evenHBand="0" w:firstRowFirstColumn="0" w:firstRowLastColumn="0" w:lastRowFirstColumn="0" w:lastRowLastColumn="0"/>
        </w:trPr>
        <w:tc>
          <w:tcPr>
            <w:tcW w:w="1958" w:type="dxa"/>
          </w:tcPr>
          <w:p w14:paraId="35E12CDE" w14:textId="77777777" w:rsidR="00C8798A" w:rsidRDefault="00C8798A" w:rsidP="00C8798A">
            <w:pPr>
              <w:pStyle w:val="Tablebodytext"/>
            </w:pPr>
            <w:r>
              <w:t>F Statistic</w:t>
            </w:r>
          </w:p>
        </w:tc>
        <w:tc>
          <w:tcPr>
            <w:tcW w:w="1233" w:type="dxa"/>
          </w:tcPr>
          <w:p w14:paraId="35E12CDF" w14:textId="77777777" w:rsidR="00C8798A" w:rsidRDefault="00C8798A" w:rsidP="00C8798A">
            <w:pPr>
              <w:pStyle w:val="Tablebodytext"/>
            </w:pPr>
            <w:r>
              <w:t>10.440***</w:t>
            </w:r>
          </w:p>
        </w:tc>
        <w:tc>
          <w:tcPr>
            <w:tcW w:w="1233" w:type="dxa"/>
          </w:tcPr>
          <w:p w14:paraId="35E12CE0" w14:textId="77777777" w:rsidR="00C8798A" w:rsidRDefault="00C8798A" w:rsidP="00C8798A">
            <w:pPr>
              <w:pStyle w:val="Tablebodytext"/>
            </w:pPr>
            <w:r>
              <w:t>14.861***</w:t>
            </w:r>
          </w:p>
        </w:tc>
        <w:tc>
          <w:tcPr>
            <w:tcW w:w="249" w:type="dxa"/>
          </w:tcPr>
          <w:p w14:paraId="35E12CE1" w14:textId="77777777" w:rsidR="00C8798A" w:rsidRDefault="00C8798A" w:rsidP="00C8798A">
            <w:pPr>
              <w:pStyle w:val="Tablebodytext"/>
            </w:pPr>
          </w:p>
        </w:tc>
        <w:tc>
          <w:tcPr>
            <w:tcW w:w="1232" w:type="dxa"/>
          </w:tcPr>
          <w:p w14:paraId="35E12CE2" w14:textId="77777777" w:rsidR="00C8798A" w:rsidRDefault="00C8798A" w:rsidP="00C8798A">
            <w:pPr>
              <w:pStyle w:val="Tablebodytext"/>
            </w:pPr>
            <w:r>
              <w:t>12.528***</w:t>
            </w:r>
          </w:p>
        </w:tc>
        <w:tc>
          <w:tcPr>
            <w:tcW w:w="1232" w:type="dxa"/>
          </w:tcPr>
          <w:p w14:paraId="35E12CE3" w14:textId="77777777" w:rsidR="00C8798A" w:rsidRDefault="00C8798A" w:rsidP="00C8798A">
            <w:pPr>
              <w:pStyle w:val="Tablebodytext"/>
            </w:pPr>
            <w:r>
              <w:t>19.096***</w:t>
            </w:r>
          </w:p>
        </w:tc>
        <w:tc>
          <w:tcPr>
            <w:tcW w:w="249" w:type="dxa"/>
          </w:tcPr>
          <w:p w14:paraId="35E12CE4" w14:textId="77777777" w:rsidR="00C8798A" w:rsidRDefault="00C8798A" w:rsidP="00C8798A">
            <w:pPr>
              <w:pStyle w:val="Tablebodytext"/>
            </w:pPr>
          </w:p>
        </w:tc>
        <w:tc>
          <w:tcPr>
            <w:tcW w:w="1232" w:type="dxa"/>
          </w:tcPr>
          <w:p w14:paraId="35E12CE5" w14:textId="77777777" w:rsidR="00C8798A" w:rsidRDefault="00C8798A" w:rsidP="00C8798A">
            <w:pPr>
              <w:pStyle w:val="Tablebodytext"/>
            </w:pPr>
            <w:r>
              <w:t>9.278***</w:t>
            </w:r>
          </w:p>
        </w:tc>
      </w:tr>
      <w:tr w:rsidR="00C8798A" w14:paraId="35E12CEF" w14:textId="77777777" w:rsidTr="00DD35AF">
        <w:trPr>
          <w:cnfStyle w:val="000000010000" w:firstRow="0" w:lastRow="0" w:firstColumn="0" w:lastColumn="0" w:oddVBand="0" w:evenVBand="0" w:oddHBand="0" w:evenHBand="1" w:firstRowFirstColumn="0" w:firstRowLastColumn="0" w:lastRowFirstColumn="0" w:lastRowLastColumn="0"/>
        </w:trPr>
        <w:tc>
          <w:tcPr>
            <w:tcW w:w="1958" w:type="dxa"/>
          </w:tcPr>
          <w:p w14:paraId="35E12CE7" w14:textId="77777777" w:rsidR="00C8798A" w:rsidRDefault="00C8798A" w:rsidP="00C8798A">
            <w:pPr>
              <w:pStyle w:val="Tablebodytext"/>
            </w:pPr>
            <w:r>
              <w:t>#Obs</w:t>
            </w:r>
          </w:p>
        </w:tc>
        <w:tc>
          <w:tcPr>
            <w:tcW w:w="1233" w:type="dxa"/>
          </w:tcPr>
          <w:p w14:paraId="35E12CE8" w14:textId="77777777" w:rsidR="00C8798A" w:rsidRDefault="00C8798A" w:rsidP="00C8798A">
            <w:pPr>
              <w:pStyle w:val="Tablebodytext"/>
            </w:pPr>
            <w:r>
              <w:t>820</w:t>
            </w:r>
          </w:p>
        </w:tc>
        <w:tc>
          <w:tcPr>
            <w:tcW w:w="1233" w:type="dxa"/>
          </w:tcPr>
          <w:p w14:paraId="35E12CE9" w14:textId="77777777" w:rsidR="00C8798A" w:rsidRDefault="00C8798A" w:rsidP="00C8798A">
            <w:pPr>
              <w:pStyle w:val="Tablebodytext"/>
            </w:pPr>
            <w:r>
              <w:t>1,845</w:t>
            </w:r>
          </w:p>
        </w:tc>
        <w:tc>
          <w:tcPr>
            <w:tcW w:w="249" w:type="dxa"/>
          </w:tcPr>
          <w:p w14:paraId="35E12CEA" w14:textId="77777777" w:rsidR="00C8798A" w:rsidRDefault="00C8798A" w:rsidP="00C8798A">
            <w:pPr>
              <w:pStyle w:val="Tablebodytext"/>
            </w:pPr>
          </w:p>
        </w:tc>
        <w:tc>
          <w:tcPr>
            <w:tcW w:w="1232" w:type="dxa"/>
          </w:tcPr>
          <w:p w14:paraId="35E12CEB" w14:textId="77777777" w:rsidR="00C8798A" w:rsidRDefault="00C8798A" w:rsidP="00C8798A">
            <w:pPr>
              <w:pStyle w:val="Tablebodytext"/>
            </w:pPr>
            <w:r>
              <w:t>820</w:t>
            </w:r>
          </w:p>
        </w:tc>
        <w:tc>
          <w:tcPr>
            <w:tcW w:w="1232" w:type="dxa"/>
          </w:tcPr>
          <w:p w14:paraId="35E12CEC" w14:textId="77777777" w:rsidR="00C8798A" w:rsidRDefault="00C8798A" w:rsidP="00C8798A">
            <w:pPr>
              <w:pStyle w:val="Tablebodytext"/>
            </w:pPr>
            <w:r>
              <w:t>1,845</w:t>
            </w:r>
          </w:p>
        </w:tc>
        <w:tc>
          <w:tcPr>
            <w:tcW w:w="249" w:type="dxa"/>
          </w:tcPr>
          <w:p w14:paraId="35E12CED" w14:textId="77777777" w:rsidR="00C8798A" w:rsidRDefault="00C8798A" w:rsidP="00C8798A">
            <w:pPr>
              <w:pStyle w:val="Tablebodytext"/>
            </w:pPr>
          </w:p>
        </w:tc>
        <w:tc>
          <w:tcPr>
            <w:tcW w:w="1232" w:type="dxa"/>
          </w:tcPr>
          <w:p w14:paraId="35E12CEE" w14:textId="77777777" w:rsidR="00C8798A" w:rsidRDefault="00C8798A" w:rsidP="00C8798A">
            <w:pPr>
              <w:pStyle w:val="Tablebodytext"/>
            </w:pPr>
            <w:r>
              <w:t>1,025</w:t>
            </w:r>
          </w:p>
        </w:tc>
      </w:tr>
    </w:tbl>
    <w:p w14:paraId="35E12CF0" w14:textId="77777777" w:rsidR="00DD35AF" w:rsidRPr="00C62F3A" w:rsidRDefault="00DD35AF" w:rsidP="007307B1">
      <w:pPr>
        <w:pStyle w:val="Note"/>
        <w:ind w:left="-1843"/>
      </w:pPr>
      <w:r>
        <w:t>Notes: Numbers in parentheses are standard errors. ***, ** and * indicate significances at 1%, 5% and 10% levels, respectively.</w:t>
      </w:r>
    </w:p>
    <w:p w14:paraId="35E12CF1" w14:textId="77777777" w:rsidR="00DD35AF" w:rsidRDefault="00DD35AF" w:rsidP="007307B1">
      <w:pPr>
        <w:pStyle w:val="Source"/>
        <w:ind w:left="-1843"/>
      </w:pPr>
      <w:r>
        <w:t>Source: Department of Industry, Innovation and Science (2019)</w:t>
      </w:r>
    </w:p>
    <w:p w14:paraId="35E12CF2" w14:textId="77777777" w:rsidR="00EA7A35" w:rsidRDefault="00EA7A35" w:rsidP="00EA7A35">
      <w:pPr>
        <w:pStyle w:val="BodyText"/>
        <w:rPr>
          <w:lang w:val="en"/>
        </w:rPr>
      </w:pPr>
    </w:p>
    <w:p w14:paraId="35E12CF3" w14:textId="77777777" w:rsidR="00EA7A35" w:rsidRDefault="00EA7A35" w:rsidP="00EA7A35">
      <w:pPr>
        <w:pStyle w:val="Heading1"/>
        <w:rPr>
          <w:lang w:val="en"/>
        </w:rPr>
      </w:pPr>
      <w:r>
        <w:rPr>
          <w:lang w:val="en"/>
        </w:rPr>
        <w:lastRenderedPageBreak/>
        <w:t>Conclusion</w:t>
      </w:r>
    </w:p>
    <w:p w14:paraId="35E12CF4" w14:textId="0672004B" w:rsidR="00EA7A35" w:rsidRDefault="00EA7A35" w:rsidP="00EA7A35">
      <w:pPr>
        <w:spacing w:before="60" w:line="270" w:lineRule="exact"/>
        <w:ind w:left="0"/>
      </w:pPr>
      <w:r>
        <w:t>Market concentration is increasing in many advanced economies. Australia has also been experiencing a rise in market concentration since 2007. However, most of the increase in concentration has taken place in industries that are more concentrated than others. The evidence points to the industry’s e</w:t>
      </w:r>
      <w:r w:rsidR="00AF06FB">
        <w:t>xport intensity as one</w:t>
      </w:r>
      <w:r>
        <w:t xml:space="preserve"> factor behi</w:t>
      </w:r>
      <w:r w:rsidR="00FD1E89">
        <w:t>nd the increase</w:t>
      </w:r>
      <w:r>
        <w:t>. Where the industry is also digitally mature or inhabited by a few top performers</w:t>
      </w:r>
      <w:r w:rsidR="00BC5B6B">
        <w:t>, in addition to being export oriented</w:t>
      </w:r>
      <w:r>
        <w:t>, the in</w:t>
      </w:r>
      <w:r w:rsidR="00D16A22">
        <w:t>crease in market concentration accelerates.</w:t>
      </w:r>
      <w:r>
        <w:t xml:space="preserve"> </w:t>
      </w:r>
    </w:p>
    <w:p w14:paraId="35E12CF5" w14:textId="0B23306A" w:rsidR="00EA7A35" w:rsidRDefault="00EA7A35" w:rsidP="005A6EA3">
      <w:pPr>
        <w:spacing w:line="270" w:lineRule="exact"/>
        <w:ind w:left="0"/>
      </w:pPr>
      <w:r>
        <w:t xml:space="preserve">The evidence suggests that in most cases market power and falling competition </w:t>
      </w:r>
      <w:r w:rsidR="00115990">
        <w:t>go hand-in-hand with</w:t>
      </w:r>
      <w:r>
        <w:t xml:space="preserve"> the increasing market concentration. However, for exporting industries the increase in market concentration appears to be in tandem with an increase in productivity, suggesting that productive or innovative firms are driving the trend. Average productivity falls elsewhere with an increase in market concentration.</w:t>
      </w:r>
    </w:p>
    <w:p w14:paraId="35E12CF6" w14:textId="77777777" w:rsidR="00EA7A35" w:rsidRDefault="00EA7A35" w:rsidP="005A6EA3">
      <w:pPr>
        <w:spacing w:line="270" w:lineRule="exact"/>
        <w:ind w:left="0"/>
      </w:pPr>
      <w:r>
        <w:t>In either case, the increasing concentration of the markets is not especially to be celebrated. There are great concerns that when firms get large beyond certain scales, whether they are productive or otherwise, they will unequivocally use their size advantage to bend the rules and gain advantage through influencing the political process (Stiglitz, 2019). To stay on top of the ladder, large firms have the option to innovate or lobby (Zingales, 2017). As the cheaper and more effective option with proven outcomes, lobbying is increasingly becoming the preferred strategy.</w:t>
      </w:r>
    </w:p>
    <w:p w14:paraId="35E12CF7" w14:textId="77777777" w:rsidR="00EA7A35" w:rsidRDefault="00EA7A35" w:rsidP="005A6EA3">
      <w:pPr>
        <w:spacing w:line="270" w:lineRule="exact"/>
        <w:ind w:left="0"/>
      </w:pPr>
      <w:r>
        <w:t>Any policy wishing to address the issue should take note of these views. For one thing, it needs to distinguish that the increasing market concentration might not necessarily be a result of anti-competitive actions. An industry-by-industry approach might be better suited for such policies. Second, it needs to be aware that there is a critical size for firms beyond which they become too powerful to tolerate competition. An antitrust approach might be required when dealing with firms who have reached that point.</w:t>
      </w:r>
    </w:p>
    <w:p w14:paraId="35E12CF8" w14:textId="77777777" w:rsidR="00EA7A35" w:rsidRDefault="00EA7A35" w:rsidP="00EA7A35">
      <w:pPr>
        <w:pStyle w:val="BodyText"/>
        <w:rPr>
          <w:lang w:val="en"/>
        </w:rPr>
      </w:pPr>
    </w:p>
    <w:p w14:paraId="35E12CF9" w14:textId="77777777" w:rsidR="00EA7A35" w:rsidRDefault="00EA7A35" w:rsidP="00EA7A35">
      <w:pPr>
        <w:pStyle w:val="BodyText"/>
        <w:rPr>
          <w:lang w:val="en"/>
        </w:rPr>
      </w:pPr>
    </w:p>
    <w:p w14:paraId="35E12CFA" w14:textId="77777777" w:rsidR="00EA7A35" w:rsidRDefault="00EA7A35" w:rsidP="00EA7A35">
      <w:pPr>
        <w:pStyle w:val="Heading6"/>
        <w:rPr>
          <w:lang w:val="en"/>
        </w:rPr>
      </w:pPr>
      <w:r>
        <w:rPr>
          <w:lang w:val="en"/>
        </w:rPr>
        <w:lastRenderedPageBreak/>
        <w:t>Concentrated Industries</w:t>
      </w:r>
    </w:p>
    <w:p w14:paraId="35E12CFB" w14:textId="564254BD" w:rsidR="00EA7A35" w:rsidRDefault="00EA7A35" w:rsidP="00EA7A35">
      <w:pPr>
        <w:spacing w:before="60" w:line="270" w:lineRule="exact"/>
        <w:ind w:left="0"/>
      </w:pPr>
      <w:r>
        <w:t>A few industries in Australia are in the spotlight as being too concentrated or lacking competition. In this part, I will briefly look at these industries and show how concentrated they are compared to the other industries. Minifie (2017) especially names a few: Supermarkets, domestic air transportation, fuel retail, and liqueur retail. To that I will also add the banking sector.</w:t>
      </w:r>
      <w:r w:rsidR="00CB371C">
        <w:t xml:space="preserve"> Table 8.1 puts these industries within the context based on their HHI.</w:t>
      </w:r>
    </w:p>
    <w:p w14:paraId="35E12CFD" w14:textId="77777777" w:rsidR="00EA7A35" w:rsidRDefault="00EA7A35" w:rsidP="007307B1">
      <w:pPr>
        <w:pStyle w:val="Caption"/>
        <w:ind w:left="-993"/>
      </w:pPr>
      <w:r w:rsidRPr="000618FB">
        <w:t xml:space="preserve">Table </w:t>
      </w:r>
      <w:r>
        <w:rPr>
          <w:noProof/>
        </w:rPr>
        <w:fldChar w:fldCharType="begin"/>
      </w:r>
      <w:r>
        <w:rPr>
          <w:noProof/>
        </w:rPr>
        <w:instrText xml:space="preserve"> STYLEREF 1 \s </w:instrText>
      </w:r>
      <w:r>
        <w:rPr>
          <w:noProof/>
        </w:rPr>
        <w:fldChar w:fldCharType="separate"/>
      </w:r>
      <w:r w:rsidR="00A20DE7">
        <w:rPr>
          <w:noProof/>
        </w:rPr>
        <w:t>8</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A20DE7">
        <w:rPr>
          <w:noProof/>
        </w:rPr>
        <w:t>1</w:t>
      </w:r>
      <w:r>
        <w:rPr>
          <w:noProof/>
        </w:rPr>
        <w:fldChar w:fldCharType="end"/>
      </w:r>
      <w:r w:rsidRPr="000618FB">
        <w:t xml:space="preserve">: </w:t>
      </w:r>
      <w:r>
        <w:t>The most concentrated industries; a longer list.</w:t>
      </w:r>
    </w:p>
    <w:tbl>
      <w:tblPr>
        <w:tblStyle w:val="OCETable"/>
        <w:tblW w:w="5709" w:type="pct"/>
        <w:tblInd w:w="-993" w:type="dxa"/>
        <w:tblLayout w:type="fixed"/>
        <w:tblLook w:val="04A0" w:firstRow="1" w:lastRow="0" w:firstColumn="1" w:lastColumn="0" w:noHBand="0" w:noVBand="1"/>
        <w:tblCaption w:val="Table 8.1"/>
        <w:tblDescription w:val="Depository Banking stands at 12th most conentrated, Air transportation is 13th most concentrated, Supermarkets and Groceries is 17th most concentrated and Fuel Retailing is 77th most concentrated industry found in the data."/>
      </w:tblPr>
      <w:tblGrid>
        <w:gridCol w:w="837"/>
        <w:gridCol w:w="907"/>
        <w:gridCol w:w="964"/>
        <w:gridCol w:w="2860"/>
        <w:gridCol w:w="1152"/>
        <w:gridCol w:w="1152"/>
      </w:tblGrid>
      <w:tr w:rsidR="00EA7A35" w14:paraId="35E12D04" w14:textId="77777777" w:rsidTr="008677CA">
        <w:trPr>
          <w:cnfStyle w:val="100000000000" w:firstRow="1" w:lastRow="0" w:firstColumn="0" w:lastColumn="0" w:oddVBand="0" w:evenVBand="0" w:oddHBand="0" w:evenHBand="0" w:firstRowFirstColumn="0" w:firstRowLastColumn="0" w:lastRowFirstColumn="0" w:lastRowLastColumn="0"/>
          <w:tblHeader/>
        </w:trPr>
        <w:tc>
          <w:tcPr>
            <w:tcW w:w="837" w:type="dxa"/>
          </w:tcPr>
          <w:p w14:paraId="35E12CFE" w14:textId="77777777" w:rsidR="00EA7A35" w:rsidRDefault="00EA7A35" w:rsidP="00EA7A35">
            <w:pPr>
              <w:pStyle w:val="Tableheadertext"/>
            </w:pPr>
            <w:r>
              <w:t>Rank</w:t>
            </w:r>
          </w:p>
        </w:tc>
        <w:tc>
          <w:tcPr>
            <w:tcW w:w="907" w:type="dxa"/>
          </w:tcPr>
          <w:p w14:paraId="35E12CFF" w14:textId="77777777" w:rsidR="00EA7A35" w:rsidRDefault="00EA7A35" w:rsidP="00EA7A35">
            <w:pPr>
              <w:pStyle w:val="Tableheadertext"/>
            </w:pPr>
            <w:r>
              <w:t>ANZSIC</w:t>
            </w:r>
          </w:p>
        </w:tc>
        <w:tc>
          <w:tcPr>
            <w:tcW w:w="964" w:type="dxa"/>
          </w:tcPr>
          <w:p w14:paraId="35E12D00" w14:textId="77777777" w:rsidR="00EA7A35" w:rsidRDefault="00EA7A35" w:rsidP="00EA7A35">
            <w:pPr>
              <w:pStyle w:val="Tableheadertext"/>
            </w:pPr>
            <w:r>
              <w:t>Division</w:t>
            </w:r>
          </w:p>
        </w:tc>
        <w:tc>
          <w:tcPr>
            <w:tcW w:w="2860" w:type="dxa"/>
          </w:tcPr>
          <w:p w14:paraId="35E12D01" w14:textId="77777777" w:rsidR="00EA7A35" w:rsidRDefault="00EA7A35" w:rsidP="00EA7A35">
            <w:pPr>
              <w:pStyle w:val="Tableheadertext"/>
            </w:pPr>
            <w:r>
              <w:t>Description</w:t>
            </w:r>
          </w:p>
        </w:tc>
        <w:tc>
          <w:tcPr>
            <w:tcW w:w="1152" w:type="dxa"/>
          </w:tcPr>
          <w:p w14:paraId="35E12D02" w14:textId="77777777" w:rsidR="00EA7A35" w:rsidRDefault="00EA7A35" w:rsidP="00EA7A35">
            <w:pPr>
              <w:pStyle w:val="Tableheadertext"/>
            </w:pPr>
            <w:r>
              <w:t xml:space="preserve">Average </w:t>
            </w:r>
            <w:r>
              <w:rPr>
                <w:i/>
                <w:iCs/>
              </w:rPr>
              <w:t>H</w:t>
            </w:r>
          </w:p>
        </w:tc>
        <w:tc>
          <w:tcPr>
            <w:tcW w:w="1152" w:type="dxa"/>
          </w:tcPr>
          <w:p w14:paraId="35E12D03" w14:textId="77777777" w:rsidR="00EA7A35" w:rsidRDefault="00EA7A35" w:rsidP="00EA7A35">
            <w:pPr>
              <w:pStyle w:val="Tableheadertext"/>
            </w:pPr>
            <w:r>
              <w:t xml:space="preserve">Average </w:t>
            </w:r>
            <w:r>
              <w:rPr>
                <w:i/>
                <w:iCs/>
              </w:rPr>
              <w:t>N</w:t>
            </w:r>
          </w:p>
        </w:tc>
      </w:tr>
      <w:tr w:rsidR="00EA7A35" w14:paraId="35E12D0B" w14:textId="77777777" w:rsidTr="008677CA">
        <w:trPr>
          <w:cnfStyle w:val="000000100000" w:firstRow="0" w:lastRow="0" w:firstColumn="0" w:lastColumn="0" w:oddVBand="0" w:evenVBand="0" w:oddHBand="1" w:evenHBand="0" w:firstRowFirstColumn="0" w:firstRowLastColumn="0" w:lastRowFirstColumn="0" w:lastRowLastColumn="0"/>
        </w:trPr>
        <w:tc>
          <w:tcPr>
            <w:tcW w:w="837" w:type="dxa"/>
          </w:tcPr>
          <w:p w14:paraId="35E12D05" w14:textId="77777777" w:rsidR="00EA7A35" w:rsidRDefault="00EA7A35" w:rsidP="00EA7A35">
            <w:pPr>
              <w:pStyle w:val="Tablebodytext"/>
            </w:pPr>
            <w:r>
              <w:t xml:space="preserve"> 77</w:t>
            </w:r>
          </w:p>
        </w:tc>
        <w:tc>
          <w:tcPr>
            <w:tcW w:w="907" w:type="dxa"/>
          </w:tcPr>
          <w:p w14:paraId="35E12D06" w14:textId="77777777" w:rsidR="00EA7A35" w:rsidRDefault="00EA7A35" w:rsidP="00EA7A35">
            <w:pPr>
              <w:pStyle w:val="Tablebodytext"/>
            </w:pPr>
            <w:r>
              <w:t>400</w:t>
            </w:r>
          </w:p>
        </w:tc>
        <w:tc>
          <w:tcPr>
            <w:tcW w:w="964" w:type="dxa"/>
          </w:tcPr>
          <w:p w14:paraId="35E12D07" w14:textId="77777777" w:rsidR="00EA7A35" w:rsidRDefault="00EA7A35" w:rsidP="00EA7A35">
            <w:pPr>
              <w:pStyle w:val="Tablebodytext"/>
            </w:pPr>
            <w:r>
              <w:t>G</w:t>
            </w:r>
          </w:p>
        </w:tc>
        <w:tc>
          <w:tcPr>
            <w:tcW w:w="2860" w:type="dxa"/>
          </w:tcPr>
          <w:p w14:paraId="35E12D08" w14:textId="77777777" w:rsidR="00EA7A35" w:rsidRDefault="00EA7A35" w:rsidP="00EA7A35">
            <w:pPr>
              <w:pStyle w:val="Tablebodytext"/>
            </w:pPr>
            <w:r>
              <w:t>Fuel Retailing</w:t>
            </w:r>
          </w:p>
        </w:tc>
        <w:tc>
          <w:tcPr>
            <w:tcW w:w="1152" w:type="dxa"/>
          </w:tcPr>
          <w:p w14:paraId="35E12D09" w14:textId="77777777" w:rsidR="00EA7A35" w:rsidRDefault="00EA7A35" w:rsidP="00EA7A35">
            <w:pPr>
              <w:pStyle w:val="Tablebodytext"/>
            </w:pPr>
            <w:r>
              <w:t>0.072</w:t>
            </w:r>
          </w:p>
        </w:tc>
        <w:tc>
          <w:tcPr>
            <w:tcW w:w="1152" w:type="dxa"/>
          </w:tcPr>
          <w:p w14:paraId="35E12D0A" w14:textId="77777777" w:rsidR="00EA7A35" w:rsidRDefault="00EA7A35" w:rsidP="00EA7A35">
            <w:pPr>
              <w:pStyle w:val="Tablebodytext"/>
            </w:pPr>
            <w:r>
              <w:t>4,070</w:t>
            </w:r>
          </w:p>
        </w:tc>
      </w:tr>
      <w:tr w:rsidR="00EA7A35" w14:paraId="35E12D12" w14:textId="77777777" w:rsidTr="008677CA">
        <w:trPr>
          <w:cnfStyle w:val="000000010000" w:firstRow="0" w:lastRow="0" w:firstColumn="0" w:lastColumn="0" w:oddVBand="0" w:evenVBand="0" w:oddHBand="0" w:evenHBand="1" w:firstRowFirstColumn="0" w:firstRowLastColumn="0" w:lastRowFirstColumn="0" w:lastRowLastColumn="0"/>
        </w:trPr>
        <w:tc>
          <w:tcPr>
            <w:tcW w:w="837" w:type="dxa"/>
          </w:tcPr>
          <w:p w14:paraId="35E12D0C" w14:textId="77777777" w:rsidR="00EA7A35" w:rsidRDefault="00EA7A35" w:rsidP="00EA7A35">
            <w:pPr>
              <w:pStyle w:val="Tablebodytext"/>
            </w:pPr>
            <w:r>
              <w:rPr>
                <w:rFonts w:ascii="Cambria Math" w:hAnsi="Cambria Math" w:cs="Cambria Math"/>
              </w:rPr>
              <w:t>⋮</w:t>
            </w:r>
          </w:p>
        </w:tc>
        <w:tc>
          <w:tcPr>
            <w:tcW w:w="907" w:type="dxa"/>
          </w:tcPr>
          <w:p w14:paraId="35E12D0D" w14:textId="77777777" w:rsidR="00EA7A35" w:rsidRDefault="00EA7A35" w:rsidP="00EA7A35">
            <w:pPr>
              <w:pStyle w:val="Tablebodytext"/>
            </w:pPr>
            <w:r>
              <w:rPr>
                <w:rFonts w:ascii="Cambria Math" w:hAnsi="Cambria Math" w:cs="Cambria Math"/>
              </w:rPr>
              <w:t>⋮</w:t>
            </w:r>
          </w:p>
        </w:tc>
        <w:tc>
          <w:tcPr>
            <w:tcW w:w="964" w:type="dxa"/>
          </w:tcPr>
          <w:p w14:paraId="35E12D0E" w14:textId="77777777" w:rsidR="00EA7A35" w:rsidRDefault="00EA7A35" w:rsidP="00EA7A35">
            <w:pPr>
              <w:pStyle w:val="Tablebodytext"/>
            </w:pPr>
            <w:r>
              <w:rPr>
                <w:rFonts w:ascii="Cambria Math" w:hAnsi="Cambria Math" w:cs="Cambria Math"/>
              </w:rPr>
              <w:t>⋮</w:t>
            </w:r>
          </w:p>
        </w:tc>
        <w:tc>
          <w:tcPr>
            <w:tcW w:w="2860" w:type="dxa"/>
          </w:tcPr>
          <w:p w14:paraId="35E12D0F" w14:textId="77777777" w:rsidR="00EA7A35" w:rsidRDefault="00EA7A35" w:rsidP="00EA7A35">
            <w:pPr>
              <w:pStyle w:val="Tablebodytext"/>
            </w:pPr>
            <w:r>
              <w:rPr>
                <w:rFonts w:ascii="Cambria Math" w:hAnsi="Cambria Math" w:cs="Cambria Math"/>
              </w:rPr>
              <w:t>⋮</w:t>
            </w:r>
          </w:p>
        </w:tc>
        <w:tc>
          <w:tcPr>
            <w:tcW w:w="1152" w:type="dxa"/>
          </w:tcPr>
          <w:p w14:paraId="35E12D10" w14:textId="77777777" w:rsidR="00EA7A35" w:rsidRDefault="00EA7A35" w:rsidP="00EA7A35">
            <w:pPr>
              <w:pStyle w:val="Tablebodytext"/>
            </w:pPr>
            <w:r>
              <w:rPr>
                <w:rFonts w:ascii="Cambria Math" w:hAnsi="Cambria Math" w:cs="Cambria Math"/>
              </w:rPr>
              <w:t>⋮</w:t>
            </w:r>
          </w:p>
        </w:tc>
        <w:tc>
          <w:tcPr>
            <w:tcW w:w="1152" w:type="dxa"/>
          </w:tcPr>
          <w:p w14:paraId="35E12D11" w14:textId="77777777" w:rsidR="00EA7A35" w:rsidRDefault="00EA7A35" w:rsidP="00EA7A35">
            <w:pPr>
              <w:pStyle w:val="Tablebodytext"/>
            </w:pPr>
            <w:r>
              <w:rPr>
                <w:rFonts w:ascii="Cambria Math" w:hAnsi="Cambria Math" w:cs="Cambria Math"/>
              </w:rPr>
              <w:t>⋮</w:t>
            </w:r>
          </w:p>
        </w:tc>
      </w:tr>
      <w:tr w:rsidR="00EA7A35" w14:paraId="35E12D19" w14:textId="77777777" w:rsidTr="008677CA">
        <w:trPr>
          <w:cnfStyle w:val="000000100000" w:firstRow="0" w:lastRow="0" w:firstColumn="0" w:lastColumn="0" w:oddVBand="0" w:evenVBand="0" w:oddHBand="1" w:evenHBand="0" w:firstRowFirstColumn="0" w:firstRowLastColumn="0" w:lastRowFirstColumn="0" w:lastRowLastColumn="0"/>
        </w:trPr>
        <w:tc>
          <w:tcPr>
            <w:tcW w:w="837" w:type="dxa"/>
          </w:tcPr>
          <w:p w14:paraId="35E12D13" w14:textId="77777777" w:rsidR="00EA7A35" w:rsidRDefault="00EA7A35" w:rsidP="00EA7A35">
            <w:pPr>
              <w:pStyle w:val="Tablebodytext"/>
            </w:pPr>
            <w:r>
              <w:t>17</w:t>
            </w:r>
          </w:p>
        </w:tc>
        <w:tc>
          <w:tcPr>
            <w:tcW w:w="907" w:type="dxa"/>
          </w:tcPr>
          <w:p w14:paraId="35E12D14" w14:textId="77777777" w:rsidR="00EA7A35" w:rsidRDefault="00EA7A35" w:rsidP="00EA7A35">
            <w:pPr>
              <w:pStyle w:val="Tablebodytext"/>
            </w:pPr>
            <w:r>
              <w:t>411</w:t>
            </w:r>
          </w:p>
        </w:tc>
        <w:tc>
          <w:tcPr>
            <w:tcW w:w="964" w:type="dxa"/>
          </w:tcPr>
          <w:p w14:paraId="35E12D15" w14:textId="77777777" w:rsidR="00EA7A35" w:rsidRDefault="00EA7A35" w:rsidP="00EA7A35">
            <w:pPr>
              <w:pStyle w:val="Tablebodytext"/>
            </w:pPr>
            <w:r>
              <w:t>G</w:t>
            </w:r>
          </w:p>
        </w:tc>
        <w:tc>
          <w:tcPr>
            <w:tcW w:w="2860" w:type="dxa"/>
          </w:tcPr>
          <w:p w14:paraId="35E12D16" w14:textId="77777777" w:rsidR="00EA7A35" w:rsidRDefault="00EA7A35" w:rsidP="00EA7A35">
            <w:pPr>
              <w:pStyle w:val="Tablebodytext"/>
            </w:pPr>
            <w:r>
              <w:t>Supermarkets and Groceries</w:t>
            </w:r>
          </w:p>
        </w:tc>
        <w:tc>
          <w:tcPr>
            <w:tcW w:w="1152" w:type="dxa"/>
          </w:tcPr>
          <w:p w14:paraId="35E12D17" w14:textId="77777777" w:rsidR="00EA7A35" w:rsidRDefault="00EA7A35" w:rsidP="00EA7A35">
            <w:pPr>
              <w:pStyle w:val="Tablebodytext"/>
            </w:pPr>
            <w:r>
              <w:t>0.252</w:t>
            </w:r>
          </w:p>
        </w:tc>
        <w:tc>
          <w:tcPr>
            <w:tcW w:w="1152" w:type="dxa"/>
          </w:tcPr>
          <w:p w14:paraId="35E12D18" w14:textId="77777777" w:rsidR="00EA7A35" w:rsidRDefault="00EA7A35" w:rsidP="00EA7A35">
            <w:pPr>
              <w:pStyle w:val="Tablebodytext"/>
            </w:pPr>
            <w:r>
              <w:t>9,635</w:t>
            </w:r>
          </w:p>
        </w:tc>
      </w:tr>
      <w:tr w:rsidR="00EA7A35" w14:paraId="35E12D20" w14:textId="77777777" w:rsidTr="008677CA">
        <w:trPr>
          <w:cnfStyle w:val="000000010000" w:firstRow="0" w:lastRow="0" w:firstColumn="0" w:lastColumn="0" w:oddVBand="0" w:evenVBand="0" w:oddHBand="0" w:evenHBand="1" w:firstRowFirstColumn="0" w:firstRowLastColumn="0" w:lastRowFirstColumn="0" w:lastRowLastColumn="0"/>
        </w:trPr>
        <w:tc>
          <w:tcPr>
            <w:tcW w:w="837" w:type="dxa"/>
          </w:tcPr>
          <w:p w14:paraId="35E12D1A" w14:textId="77777777" w:rsidR="00EA7A35" w:rsidRDefault="00EA7A35" w:rsidP="00EA7A35">
            <w:pPr>
              <w:pStyle w:val="Tablebodytext"/>
            </w:pPr>
            <w:r>
              <w:rPr>
                <w:rFonts w:ascii="Cambria Math" w:hAnsi="Cambria Math" w:cs="Cambria Math"/>
              </w:rPr>
              <w:t>⋮</w:t>
            </w:r>
          </w:p>
        </w:tc>
        <w:tc>
          <w:tcPr>
            <w:tcW w:w="907" w:type="dxa"/>
          </w:tcPr>
          <w:p w14:paraId="35E12D1B" w14:textId="77777777" w:rsidR="00EA7A35" w:rsidRDefault="00EA7A35" w:rsidP="00EA7A35">
            <w:pPr>
              <w:pStyle w:val="Tablebodytext"/>
            </w:pPr>
            <w:r>
              <w:rPr>
                <w:rFonts w:ascii="Cambria Math" w:hAnsi="Cambria Math" w:cs="Cambria Math"/>
              </w:rPr>
              <w:t>⋮</w:t>
            </w:r>
          </w:p>
        </w:tc>
        <w:tc>
          <w:tcPr>
            <w:tcW w:w="964" w:type="dxa"/>
          </w:tcPr>
          <w:p w14:paraId="35E12D1C" w14:textId="77777777" w:rsidR="00EA7A35" w:rsidRDefault="00EA7A35" w:rsidP="00EA7A35">
            <w:pPr>
              <w:pStyle w:val="Tablebodytext"/>
            </w:pPr>
            <w:r>
              <w:rPr>
                <w:rFonts w:ascii="Cambria Math" w:hAnsi="Cambria Math" w:cs="Cambria Math"/>
              </w:rPr>
              <w:t>⋮</w:t>
            </w:r>
          </w:p>
        </w:tc>
        <w:tc>
          <w:tcPr>
            <w:tcW w:w="2860" w:type="dxa"/>
          </w:tcPr>
          <w:p w14:paraId="35E12D1D" w14:textId="77777777" w:rsidR="00EA7A35" w:rsidRDefault="00EA7A35" w:rsidP="00EA7A35">
            <w:pPr>
              <w:pStyle w:val="Tablebodytext"/>
            </w:pPr>
            <w:r>
              <w:rPr>
                <w:rFonts w:ascii="Cambria Math" w:hAnsi="Cambria Math" w:cs="Cambria Math"/>
              </w:rPr>
              <w:t>⋮</w:t>
            </w:r>
          </w:p>
        </w:tc>
        <w:tc>
          <w:tcPr>
            <w:tcW w:w="1152" w:type="dxa"/>
          </w:tcPr>
          <w:p w14:paraId="35E12D1E" w14:textId="77777777" w:rsidR="00EA7A35" w:rsidRDefault="00EA7A35" w:rsidP="00EA7A35">
            <w:pPr>
              <w:pStyle w:val="Tablebodytext"/>
            </w:pPr>
            <w:r>
              <w:rPr>
                <w:rFonts w:ascii="Cambria Math" w:hAnsi="Cambria Math" w:cs="Cambria Math"/>
              </w:rPr>
              <w:t>⋮</w:t>
            </w:r>
          </w:p>
        </w:tc>
        <w:tc>
          <w:tcPr>
            <w:tcW w:w="1152" w:type="dxa"/>
          </w:tcPr>
          <w:p w14:paraId="35E12D1F" w14:textId="77777777" w:rsidR="00EA7A35" w:rsidRDefault="00EA7A35" w:rsidP="00EA7A35">
            <w:pPr>
              <w:pStyle w:val="Tablebodytext"/>
            </w:pPr>
            <w:r>
              <w:rPr>
                <w:rFonts w:ascii="Cambria Math" w:hAnsi="Cambria Math" w:cs="Cambria Math"/>
              </w:rPr>
              <w:t>⋮</w:t>
            </w:r>
          </w:p>
        </w:tc>
      </w:tr>
      <w:tr w:rsidR="00EA7A35" w14:paraId="35E12D27" w14:textId="77777777" w:rsidTr="008677CA">
        <w:trPr>
          <w:cnfStyle w:val="000000100000" w:firstRow="0" w:lastRow="0" w:firstColumn="0" w:lastColumn="0" w:oddVBand="0" w:evenVBand="0" w:oddHBand="1" w:evenHBand="0" w:firstRowFirstColumn="0" w:firstRowLastColumn="0" w:lastRowFirstColumn="0" w:lastRowLastColumn="0"/>
        </w:trPr>
        <w:tc>
          <w:tcPr>
            <w:tcW w:w="837" w:type="dxa"/>
          </w:tcPr>
          <w:p w14:paraId="35E12D21" w14:textId="77777777" w:rsidR="00EA7A35" w:rsidRDefault="00EA7A35" w:rsidP="00EA7A35">
            <w:pPr>
              <w:pStyle w:val="Tablebodytext"/>
            </w:pPr>
            <w:r>
              <w:t>13</w:t>
            </w:r>
          </w:p>
        </w:tc>
        <w:tc>
          <w:tcPr>
            <w:tcW w:w="907" w:type="dxa"/>
          </w:tcPr>
          <w:p w14:paraId="35E12D22" w14:textId="77777777" w:rsidR="00EA7A35" w:rsidRDefault="00EA7A35" w:rsidP="00EA7A35">
            <w:pPr>
              <w:pStyle w:val="Tablebodytext"/>
            </w:pPr>
            <w:r>
              <w:t>490</w:t>
            </w:r>
          </w:p>
        </w:tc>
        <w:tc>
          <w:tcPr>
            <w:tcW w:w="964" w:type="dxa"/>
          </w:tcPr>
          <w:p w14:paraId="35E12D23" w14:textId="77777777" w:rsidR="00EA7A35" w:rsidRDefault="00EA7A35" w:rsidP="00EA7A35">
            <w:pPr>
              <w:pStyle w:val="Tablebodytext"/>
            </w:pPr>
            <w:r>
              <w:t>I</w:t>
            </w:r>
          </w:p>
        </w:tc>
        <w:tc>
          <w:tcPr>
            <w:tcW w:w="2860" w:type="dxa"/>
          </w:tcPr>
          <w:p w14:paraId="35E12D24" w14:textId="77777777" w:rsidR="00EA7A35" w:rsidRDefault="00EA7A35" w:rsidP="00EA7A35">
            <w:pPr>
              <w:pStyle w:val="Tablebodytext"/>
            </w:pPr>
            <w:r>
              <w:t>Air Transportation</w:t>
            </w:r>
          </w:p>
        </w:tc>
        <w:tc>
          <w:tcPr>
            <w:tcW w:w="1152" w:type="dxa"/>
          </w:tcPr>
          <w:p w14:paraId="35E12D25" w14:textId="77777777" w:rsidR="00EA7A35" w:rsidRDefault="00EA7A35" w:rsidP="00EA7A35">
            <w:pPr>
              <w:pStyle w:val="Tablebodytext"/>
            </w:pPr>
            <w:r>
              <w:t>0.278</w:t>
            </w:r>
          </w:p>
        </w:tc>
        <w:tc>
          <w:tcPr>
            <w:tcW w:w="1152" w:type="dxa"/>
          </w:tcPr>
          <w:p w14:paraId="35E12D26" w14:textId="77777777" w:rsidR="00EA7A35" w:rsidRDefault="00EA7A35" w:rsidP="00EA7A35">
            <w:pPr>
              <w:pStyle w:val="Tablebodytext"/>
            </w:pPr>
            <w:r>
              <w:t>1,142</w:t>
            </w:r>
          </w:p>
        </w:tc>
      </w:tr>
      <w:tr w:rsidR="00EA7A35" w14:paraId="35E12D2E" w14:textId="77777777" w:rsidTr="008677CA">
        <w:trPr>
          <w:cnfStyle w:val="000000010000" w:firstRow="0" w:lastRow="0" w:firstColumn="0" w:lastColumn="0" w:oddVBand="0" w:evenVBand="0" w:oddHBand="0" w:evenHBand="1" w:firstRowFirstColumn="0" w:firstRowLastColumn="0" w:lastRowFirstColumn="0" w:lastRowLastColumn="0"/>
        </w:trPr>
        <w:tc>
          <w:tcPr>
            <w:tcW w:w="837" w:type="dxa"/>
          </w:tcPr>
          <w:p w14:paraId="35E12D28" w14:textId="77777777" w:rsidR="00EA7A35" w:rsidRDefault="00EA7A35" w:rsidP="00EA7A35">
            <w:pPr>
              <w:pStyle w:val="Tablebodytext"/>
            </w:pPr>
            <w:r>
              <w:t>12</w:t>
            </w:r>
          </w:p>
        </w:tc>
        <w:tc>
          <w:tcPr>
            <w:tcW w:w="907" w:type="dxa"/>
          </w:tcPr>
          <w:p w14:paraId="35E12D29" w14:textId="77777777" w:rsidR="00EA7A35" w:rsidRDefault="00EA7A35" w:rsidP="00EA7A35">
            <w:pPr>
              <w:pStyle w:val="Tablebodytext"/>
            </w:pPr>
            <w:r>
              <w:t>622</w:t>
            </w:r>
          </w:p>
        </w:tc>
        <w:tc>
          <w:tcPr>
            <w:tcW w:w="964" w:type="dxa"/>
          </w:tcPr>
          <w:p w14:paraId="35E12D2A" w14:textId="77777777" w:rsidR="00EA7A35" w:rsidRDefault="00EA7A35" w:rsidP="00EA7A35">
            <w:pPr>
              <w:pStyle w:val="Tablebodytext"/>
            </w:pPr>
            <w:r>
              <w:t>K</w:t>
            </w:r>
          </w:p>
        </w:tc>
        <w:tc>
          <w:tcPr>
            <w:tcW w:w="2860" w:type="dxa"/>
          </w:tcPr>
          <w:p w14:paraId="35E12D2B" w14:textId="77777777" w:rsidR="00EA7A35" w:rsidRDefault="00EA7A35" w:rsidP="00EA7A35">
            <w:pPr>
              <w:pStyle w:val="Tablebodytext"/>
            </w:pPr>
            <w:r>
              <w:t>Depository Banking</w:t>
            </w:r>
          </w:p>
        </w:tc>
        <w:tc>
          <w:tcPr>
            <w:tcW w:w="1152" w:type="dxa"/>
          </w:tcPr>
          <w:p w14:paraId="35E12D2C" w14:textId="77777777" w:rsidR="00EA7A35" w:rsidRDefault="00EA7A35" w:rsidP="00EA7A35">
            <w:pPr>
              <w:pStyle w:val="Tablebodytext"/>
            </w:pPr>
            <w:r>
              <w:t>0.287</w:t>
            </w:r>
          </w:p>
        </w:tc>
        <w:tc>
          <w:tcPr>
            <w:tcW w:w="1152" w:type="dxa"/>
          </w:tcPr>
          <w:p w14:paraId="35E12D2D" w14:textId="77777777" w:rsidR="00EA7A35" w:rsidRDefault="00EA7A35" w:rsidP="00EA7A35">
            <w:pPr>
              <w:pStyle w:val="Tablebodytext"/>
            </w:pPr>
            <w:r>
              <w:t>907</w:t>
            </w:r>
          </w:p>
        </w:tc>
      </w:tr>
      <w:tr w:rsidR="00EA7A35" w14:paraId="35E12D35" w14:textId="77777777" w:rsidTr="008677CA">
        <w:trPr>
          <w:cnfStyle w:val="000000100000" w:firstRow="0" w:lastRow="0" w:firstColumn="0" w:lastColumn="0" w:oddVBand="0" w:evenVBand="0" w:oddHBand="1" w:evenHBand="0" w:firstRowFirstColumn="0" w:firstRowLastColumn="0" w:lastRowFirstColumn="0" w:lastRowLastColumn="0"/>
        </w:trPr>
        <w:tc>
          <w:tcPr>
            <w:tcW w:w="837" w:type="dxa"/>
          </w:tcPr>
          <w:p w14:paraId="35E12D2F" w14:textId="77777777" w:rsidR="00EA7A35" w:rsidRDefault="00EA7A35" w:rsidP="00EA7A35">
            <w:pPr>
              <w:pStyle w:val="Tablebodytext"/>
            </w:pPr>
            <w:r>
              <w:rPr>
                <w:rFonts w:ascii="Cambria Math" w:hAnsi="Cambria Math" w:cs="Cambria Math"/>
              </w:rPr>
              <w:t>⋮</w:t>
            </w:r>
          </w:p>
        </w:tc>
        <w:tc>
          <w:tcPr>
            <w:tcW w:w="907" w:type="dxa"/>
          </w:tcPr>
          <w:p w14:paraId="35E12D30" w14:textId="77777777" w:rsidR="00EA7A35" w:rsidRDefault="00EA7A35" w:rsidP="00EA7A35">
            <w:pPr>
              <w:pStyle w:val="Tablebodytext"/>
            </w:pPr>
            <w:r>
              <w:rPr>
                <w:rFonts w:ascii="Cambria Math" w:hAnsi="Cambria Math" w:cs="Cambria Math"/>
              </w:rPr>
              <w:t>⋮</w:t>
            </w:r>
          </w:p>
        </w:tc>
        <w:tc>
          <w:tcPr>
            <w:tcW w:w="964" w:type="dxa"/>
          </w:tcPr>
          <w:p w14:paraId="35E12D31" w14:textId="77777777" w:rsidR="00EA7A35" w:rsidRDefault="00EA7A35" w:rsidP="00EA7A35">
            <w:pPr>
              <w:pStyle w:val="Tablebodytext"/>
            </w:pPr>
            <w:r>
              <w:rPr>
                <w:rFonts w:ascii="Cambria Math" w:hAnsi="Cambria Math" w:cs="Cambria Math"/>
              </w:rPr>
              <w:t>⋮</w:t>
            </w:r>
          </w:p>
        </w:tc>
        <w:tc>
          <w:tcPr>
            <w:tcW w:w="2860" w:type="dxa"/>
          </w:tcPr>
          <w:p w14:paraId="35E12D32" w14:textId="77777777" w:rsidR="00EA7A35" w:rsidRDefault="00EA7A35" w:rsidP="00EA7A35">
            <w:pPr>
              <w:pStyle w:val="Tablebodytext"/>
            </w:pPr>
            <w:r>
              <w:rPr>
                <w:rFonts w:ascii="Cambria Math" w:hAnsi="Cambria Math" w:cs="Cambria Math"/>
              </w:rPr>
              <w:t>⋮</w:t>
            </w:r>
          </w:p>
        </w:tc>
        <w:tc>
          <w:tcPr>
            <w:tcW w:w="1152" w:type="dxa"/>
          </w:tcPr>
          <w:p w14:paraId="35E12D33" w14:textId="77777777" w:rsidR="00EA7A35" w:rsidRDefault="00EA7A35" w:rsidP="00EA7A35">
            <w:pPr>
              <w:pStyle w:val="Tablebodytext"/>
            </w:pPr>
            <w:r>
              <w:rPr>
                <w:rFonts w:ascii="Cambria Math" w:hAnsi="Cambria Math" w:cs="Cambria Math"/>
              </w:rPr>
              <w:t>⋮</w:t>
            </w:r>
          </w:p>
        </w:tc>
        <w:tc>
          <w:tcPr>
            <w:tcW w:w="1152" w:type="dxa"/>
          </w:tcPr>
          <w:p w14:paraId="35E12D34" w14:textId="77777777" w:rsidR="00EA7A35" w:rsidRDefault="00EA7A35" w:rsidP="00EA7A35">
            <w:pPr>
              <w:pStyle w:val="Tablebodytext"/>
            </w:pPr>
            <w:r>
              <w:rPr>
                <w:rFonts w:ascii="Cambria Math" w:hAnsi="Cambria Math" w:cs="Cambria Math"/>
              </w:rPr>
              <w:t>⋮</w:t>
            </w:r>
          </w:p>
        </w:tc>
      </w:tr>
      <w:tr w:rsidR="00EA7A35" w14:paraId="35E12D3C" w14:textId="77777777" w:rsidTr="008677CA">
        <w:trPr>
          <w:cnfStyle w:val="000000010000" w:firstRow="0" w:lastRow="0" w:firstColumn="0" w:lastColumn="0" w:oddVBand="0" w:evenVBand="0" w:oddHBand="0" w:evenHBand="1" w:firstRowFirstColumn="0" w:firstRowLastColumn="0" w:lastRowFirstColumn="0" w:lastRowLastColumn="0"/>
        </w:trPr>
        <w:tc>
          <w:tcPr>
            <w:tcW w:w="837" w:type="dxa"/>
          </w:tcPr>
          <w:p w14:paraId="35E12D36" w14:textId="77777777" w:rsidR="00EA7A35" w:rsidRDefault="00EA7A35" w:rsidP="00EA7A35">
            <w:pPr>
              <w:pStyle w:val="Tablebodytext"/>
            </w:pPr>
            <w:r>
              <w:t>5</w:t>
            </w:r>
          </w:p>
        </w:tc>
        <w:tc>
          <w:tcPr>
            <w:tcW w:w="907" w:type="dxa"/>
          </w:tcPr>
          <w:p w14:paraId="35E12D37" w14:textId="77777777" w:rsidR="00EA7A35" w:rsidRDefault="00EA7A35" w:rsidP="00EA7A35">
            <w:pPr>
              <w:pStyle w:val="Tablebodytext"/>
            </w:pPr>
            <w:r>
              <w:t>580</w:t>
            </w:r>
          </w:p>
        </w:tc>
        <w:tc>
          <w:tcPr>
            <w:tcW w:w="964" w:type="dxa"/>
          </w:tcPr>
          <w:p w14:paraId="35E12D38" w14:textId="77777777" w:rsidR="00EA7A35" w:rsidRDefault="00EA7A35" w:rsidP="00EA7A35">
            <w:pPr>
              <w:pStyle w:val="Tablebodytext"/>
            </w:pPr>
            <w:r>
              <w:t>J</w:t>
            </w:r>
          </w:p>
        </w:tc>
        <w:tc>
          <w:tcPr>
            <w:tcW w:w="2860" w:type="dxa"/>
          </w:tcPr>
          <w:p w14:paraId="35E12D39" w14:textId="77777777" w:rsidR="00EA7A35" w:rsidRDefault="00EA7A35" w:rsidP="00EA7A35">
            <w:pPr>
              <w:pStyle w:val="Tablebodytext"/>
            </w:pPr>
            <w:r>
              <w:t>Telecommunication Services</w:t>
            </w:r>
          </w:p>
        </w:tc>
        <w:tc>
          <w:tcPr>
            <w:tcW w:w="1152" w:type="dxa"/>
          </w:tcPr>
          <w:p w14:paraId="35E12D3A" w14:textId="77777777" w:rsidR="00EA7A35" w:rsidRDefault="00EA7A35" w:rsidP="00EA7A35">
            <w:pPr>
              <w:pStyle w:val="Tablebodytext"/>
            </w:pPr>
            <w:r>
              <w:t>0.389</w:t>
            </w:r>
          </w:p>
        </w:tc>
        <w:tc>
          <w:tcPr>
            <w:tcW w:w="1152" w:type="dxa"/>
          </w:tcPr>
          <w:p w14:paraId="35E12D3B" w14:textId="77777777" w:rsidR="00EA7A35" w:rsidRDefault="00EA7A35" w:rsidP="00EA7A35">
            <w:pPr>
              <w:pStyle w:val="Tablebodytext"/>
            </w:pPr>
            <w:r>
              <w:t>1,252</w:t>
            </w:r>
          </w:p>
        </w:tc>
      </w:tr>
      <w:tr w:rsidR="00EA7A35" w14:paraId="35E12D43" w14:textId="77777777" w:rsidTr="008677CA">
        <w:trPr>
          <w:cnfStyle w:val="000000100000" w:firstRow="0" w:lastRow="0" w:firstColumn="0" w:lastColumn="0" w:oddVBand="0" w:evenVBand="0" w:oddHBand="1" w:evenHBand="0" w:firstRowFirstColumn="0" w:firstRowLastColumn="0" w:lastRowFirstColumn="0" w:lastRowLastColumn="0"/>
        </w:trPr>
        <w:tc>
          <w:tcPr>
            <w:tcW w:w="837" w:type="dxa"/>
          </w:tcPr>
          <w:p w14:paraId="35E12D3D" w14:textId="77777777" w:rsidR="00EA7A35" w:rsidRDefault="00EA7A35" w:rsidP="00EA7A35">
            <w:pPr>
              <w:pStyle w:val="Tablebodytext"/>
            </w:pPr>
            <w:r>
              <w:t>4</w:t>
            </w:r>
          </w:p>
        </w:tc>
        <w:tc>
          <w:tcPr>
            <w:tcW w:w="907" w:type="dxa"/>
          </w:tcPr>
          <w:p w14:paraId="35E12D3E" w14:textId="77777777" w:rsidR="00EA7A35" w:rsidRDefault="00EA7A35" w:rsidP="00EA7A35">
            <w:pPr>
              <w:pStyle w:val="Tablebodytext"/>
            </w:pPr>
            <w:r>
              <w:t>161</w:t>
            </w:r>
          </w:p>
        </w:tc>
        <w:tc>
          <w:tcPr>
            <w:tcW w:w="964" w:type="dxa"/>
          </w:tcPr>
          <w:p w14:paraId="35E12D3F" w14:textId="77777777" w:rsidR="00EA7A35" w:rsidRDefault="00EA7A35" w:rsidP="00EA7A35">
            <w:pPr>
              <w:pStyle w:val="Tablebodytext"/>
            </w:pPr>
            <w:r>
              <w:t>C</w:t>
            </w:r>
          </w:p>
        </w:tc>
        <w:tc>
          <w:tcPr>
            <w:tcW w:w="2860" w:type="dxa"/>
          </w:tcPr>
          <w:p w14:paraId="35E12D40" w14:textId="77777777" w:rsidR="00EA7A35" w:rsidRDefault="00EA7A35" w:rsidP="00EA7A35">
            <w:pPr>
              <w:pStyle w:val="Tablebodytext"/>
            </w:pPr>
            <w:r>
              <w:t>Printing and Support Services</w:t>
            </w:r>
          </w:p>
        </w:tc>
        <w:tc>
          <w:tcPr>
            <w:tcW w:w="1152" w:type="dxa"/>
          </w:tcPr>
          <w:p w14:paraId="35E12D41" w14:textId="77777777" w:rsidR="00EA7A35" w:rsidRDefault="00EA7A35" w:rsidP="00EA7A35">
            <w:pPr>
              <w:pStyle w:val="Tablebodytext"/>
            </w:pPr>
            <w:r>
              <w:t>0.421</w:t>
            </w:r>
          </w:p>
        </w:tc>
        <w:tc>
          <w:tcPr>
            <w:tcW w:w="1152" w:type="dxa"/>
          </w:tcPr>
          <w:p w14:paraId="35E12D42" w14:textId="77777777" w:rsidR="00EA7A35" w:rsidRDefault="00EA7A35" w:rsidP="00EA7A35">
            <w:pPr>
              <w:pStyle w:val="Tablebodytext"/>
            </w:pPr>
            <w:r>
              <w:t>7,042</w:t>
            </w:r>
          </w:p>
        </w:tc>
      </w:tr>
      <w:tr w:rsidR="00EA7A35" w14:paraId="35E12D4A" w14:textId="77777777" w:rsidTr="008677CA">
        <w:trPr>
          <w:cnfStyle w:val="000000010000" w:firstRow="0" w:lastRow="0" w:firstColumn="0" w:lastColumn="0" w:oddVBand="0" w:evenVBand="0" w:oddHBand="0" w:evenHBand="1" w:firstRowFirstColumn="0" w:firstRowLastColumn="0" w:lastRowFirstColumn="0" w:lastRowLastColumn="0"/>
        </w:trPr>
        <w:tc>
          <w:tcPr>
            <w:tcW w:w="837" w:type="dxa"/>
          </w:tcPr>
          <w:p w14:paraId="35E12D44" w14:textId="77777777" w:rsidR="00EA7A35" w:rsidRDefault="00EA7A35" w:rsidP="00EA7A35">
            <w:pPr>
              <w:pStyle w:val="Tablebodytext"/>
            </w:pPr>
            <w:r>
              <w:t>3</w:t>
            </w:r>
          </w:p>
        </w:tc>
        <w:tc>
          <w:tcPr>
            <w:tcW w:w="907" w:type="dxa"/>
          </w:tcPr>
          <w:p w14:paraId="35E12D45" w14:textId="77777777" w:rsidR="00EA7A35" w:rsidRDefault="00EA7A35" w:rsidP="00EA7A35">
            <w:pPr>
              <w:pStyle w:val="Tablebodytext"/>
            </w:pPr>
            <w:r>
              <w:t>221</w:t>
            </w:r>
          </w:p>
        </w:tc>
        <w:tc>
          <w:tcPr>
            <w:tcW w:w="964" w:type="dxa"/>
          </w:tcPr>
          <w:p w14:paraId="35E12D46" w14:textId="77777777" w:rsidR="00EA7A35" w:rsidRDefault="00EA7A35" w:rsidP="00EA7A35">
            <w:pPr>
              <w:pStyle w:val="Tablebodytext"/>
            </w:pPr>
            <w:r>
              <w:t>C</w:t>
            </w:r>
          </w:p>
        </w:tc>
        <w:tc>
          <w:tcPr>
            <w:tcW w:w="2860" w:type="dxa"/>
          </w:tcPr>
          <w:p w14:paraId="35E12D47" w14:textId="77777777" w:rsidR="00EA7A35" w:rsidRDefault="00EA7A35" w:rsidP="00EA7A35">
            <w:pPr>
              <w:pStyle w:val="Tablebodytext"/>
            </w:pPr>
            <w:r>
              <w:t>Iron and Steel Forging</w:t>
            </w:r>
          </w:p>
        </w:tc>
        <w:tc>
          <w:tcPr>
            <w:tcW w:w="1152" w:type="dxa"/>
          </w:tcPr>
          <w:p w14:paraId="35E12D48" w14:textId="77777777" w:rsidR="00EA7A35" w:rsidRDefault="00EA7A35" w:rsidP="00EA7A35">
            <w:pPr>
              <w:pStyle w:val="Tablebodytext"/>
            </w:pPr>
            <w:r>
              <w:t>0.435</w:t>
            </w:r>
          </w:p>
        </w:tc>
        <w:tc>
          <w:tcPr>
            <w:tcW w:w="1152" w:type="dxa"/>
          </w:tcPr>
          <w:p w14:paraId="35E12D49" w14:textId="77777777" w:rsidR="00EA7A35" w:rsidRDefault="00EA7A35" w:rsidP="00EA7A35">
            <w:pPr>
              <w:pStyle w:val="Tablebodytext"/>
            </w:pPr>
            <w:r>
              <w:t>114</w:t>
            </w:r>
          </w:p>
        </w:tc>
      </w:tr>
      <w:tr w:rsidR="00EA7A35" w14:paraId="35E12D51" w14:textId="77777777" w:rsidTr="008677CA">
        <w:trPr>
          <w:cnfStyle w:val="000000100000" w:firstRow="0" w:lastRow="0" w:firstColumn="0" w:lastColumn="0" w:oddVBand="0" w:evenVBand="0" w:oddHBand="1" w:evenHBand="0" w:firstRowFirstColumn="0" w:firstRowLastColumn="0" w:lastRowFirstColumn="0" w:lastRowLastColumn="0"/>
        </w:trPr>
        <w:tc>
          <w:tcPr>
            <w:tcW w:w="837" w:type="dxa"/>
          </w:tcPr>
          <w:p w14:paraId="35E12D4B" w14:textId="77777777" w:rsidR="00EA7A35" w:rsidRDefault="00EA7A35" w:rsidP="00EA7A35">
            <w:pPr>
              <w:pStyle w:val="Tablebodytext"/>
            </w:pPr>
            <w:r>
              <w:t>2</w:t>
            </w:r>
          </w:p>
        </w:tc>
        <w:tc>
          <w:tcPr>
            <w:tcW w:w="907" w:type="dxa"/>
          </w:tcPr>
          <w:p w14:paraId="35E12D4C" w14:textId="77777777" w:rsidR="00EA7A35" w:rsidRDefault="00EA7A35" w:rsidP="00EA7A35">
            <w:pPr>
              <w:pStyle w:val="Tablebodytext"/>
            </w:pPr>
            <w:r>
              <w:t>822</w:t>
            </w:r>
          </w:p>
        </w:tc>
        <w:tc>
          <w:tcPr>
            <w:tcW w:w="964" w:type="dxa"/>
          </w:tcPr>
          <w:p w14:paraId="35E12D4D" w14:textId="77777777" w:rsidR="00EA7A35" w:rsidRDefault="00EA7A35" w:rsidP="00EA7A35">
            <w:pPr>
              <w:pStyle w:val="Tablebodytext"/>
            </w:pPr>
            <w:r>
              <w:t>P</w:t>
            </w:r>
          </w:p>
        </w:tc>
        <w:tc>
          <w:tcPr>
            <w:tcW w:w="2860" w:type="dxa"/>
          </w:tcPr>
          <w:p w14:paraId="35E12D4E" w14:textId="77777777" w:rsidR="00EA7A35" w:rsidRDefault="00EA7A35" w:rsidP="00EA7A35">
            <w:pPr>
              <w:pStyle w:val="Tablebodytext"/>
            </w:pPr>
            <w:r>
              <w:t>Educational Support Services</w:t>
            </w:r>
          </w:p>
        </w:tc>
        <w:tc>
          <w:tcPr>
            <w:tcW w:w="1152" w:type="dxa"/>
          </w:tcPr>
          <w:p w14:paraId="35E12D4F" w14:textId="77777777" w:rsidR="00EA7A35" w:rsidRDefault="00EA7A35" w:rsidP="00EA7A35">
            <w:pPr>
              <w:pStyle w:val="Tablebodytext"/>
            </w:pPr>
            <w:r>
              <w:t>0.491</w:t>
            </w:r>
          </w:p>
        </w:tc>
        <w:tc>
          <w:tcPr>
            <w:tcW w:w="1152" w:type="dxa"/>
          </w:tcPr>
          <w:p w14:paraId="35E12D50" w14:textId="77777777" w:rsidR="00EA7A35" w:rsidRDefault="00EA7A35" w:rsidP="00EA7A35">
            <w:pPr>
              <w:pStyle w:val="Tablebodytext"/>
            </w:pPr>
            <w:r>
              <w:t>930</w:t>
            </w:r>
          </w:p>
        </w:tc>
      </w:tr>
      <w:tr w:rsidR="00EA7A35" w14:paraId="35E12D58" w14:textId="77777777" w:rsidTr="008677CA">
        <w:trPr>
          <w:cnfStyle w:val="000000010000" w:firstRow="0" w:lastRow="0" w:firstColumn="0" w:lastColumn="0" w:oddVBand="0" w:evenVBand="0" w:oddHBand="0" w:evenHBand="1" w:firstRowFirstColumn="0" w:firstRowLastColumn="0" w:lastRowFirstColumn="0" w:lastRowLastColumn="0"/>
        </w:trPr>
        <w:tc>
          <w:tcPr>
            <w:tcW w:w="837" w:type="dxa"/>
          </w:tcPr>
          <w:p w14:paraId="35E12D52" w14:textId="77777777" w:rsidR="00EA7A35" w:rsidRDefault="00EA7A35" w:rsidP="00EA7A35">
            <w:pPr>
              <w:pStyle w:val="Tablebodytext"/>
            </w:pPr>
            <w:r>
              <w:t>1</w:t>
            </w:r>
          </w:p>
        </w:tc>
        <w:tc>
          <w:tcPr>
            <w:tcW w:w="907" w:type="dxa"/>
          </w:tcPr>
          <w:p w14:paraId="35E12D53" w14:textId="77777777" w:rsidR="00EA7A35" w:rsidRDefault="00EA7A35" w:rsidP="00EA7A35">
            <w:pPr>
              <w:pStyle w:val="Tablebodytext"/>
            </w:pPr>
            <w:r>
              <w:t>262</w:t>
            </w:r>
          </w:p>
        </w:tc>
        <w:tc>
          <w:tcPr>
            <w:tcW w:w="964" w:type="dxa"/>
          </w:tcPr>
          <w:p w14:paraId="35E12D54" w14:textId="77777777" w:rsidR="00EA7A35" w:rsidRDefault="00EA7A35" w:rsidP="00EA7A35">
            <w:pPr>
              <w:pStyle w:val="Tablebodytext"/>
            </w:pPr>
            <w:r>
              <w:t>D</w:t>
            </w:r>
          </w:p>
        </w:tc>
        <w:tc>
          <w:tcPr>
            <w:tcW w:w="2860" w:type="dxa"/>
          </w:tcPr>
          <w:p w14:paraId="35E12D55" w14:textId="77777777" w:rsidR="00EA7A35" w:rsidRDefault="00EA7A35" w:rsidP="00EA7A35">
            <w:pPr>
              <w:pStyle w:val="Tablebodytext"/>
            </w:pPr>
            <w:r>
              <w:t>Electricity Transmission</w:t>
            </w:r>
          </w:p>
        </w:tc>
        <w:tc>
          <w:tcPr>
            <w:tcW w:w="1152" w:type="dxa"/>
          </w:tcPr>
          <w:p w14:paraId="35E12D56" w14:textId="77777777" w:rsidR="00EA7A35" w:rsidRDefault="00EA7A35" w:rsidP="00EA7A35">
            <w:pPr>
              <w:pStyle w:val="Tablebodytext"/>
            </w:pPr>
            <w:r>
              <w:t>0.568</w:t>
            </w:r>
          </w:p>
        </w:tc>
        <w:tc>
          <w:tcPr>
            <w:tcW w:w="1152" w:type="dxa"/>
          </w:tcPr>
          <w:p w14:paraId="35E12D57" w14:textId="77777777" w:rsidR="00EA7A35" w:rsidRDefault="00EA7A35" w:rsidP="00EA7A35">
            <w:pPr>
              <w:pStyle w:val="Tablebodytext"/>
            </w:pPr>
            <w:r>
              <w:t>31</w:t>
            </w:r>
          </w:p>
        </w:tc>
      </w:tr>
      <w:tr w:rsidR="00EA7A35" w14:paraId="35E12D5D" w14:textId="77777777" w:rsidTr="008677CA">
        <w:trPr>
          <w:cnfStyle w:val="000000100000" w:firstRow="0" w:lastRow="0" w:firstColumn="0" w:lastColumn="0" w:oddVBand="0" w:evenVBand="0" w:oddHBand="1" w:evenHBand="0" w:firstRowFirstColumn="0" w:firstRowLastColumn="0" w:lastRowFirstColumn="0" w:lastRowLastColumn="0"/>
        </w:trPr>
        <w:tc>
          <w:tcPr>
            <w:tcW w:w="837" w:type="dxa"/>
          </w:tcPr>
          <w:p w14:paraId="35E12D59" w14:textId="77777777" w:rsidR="00EA7A35" w:rsidRDefault="00EA7A35" w:rsidP="00EA7A35">
            <w:pPr>
              <w:pStyle w:val="Tablebodytext"/>
            </w:pPr>
          </w:p>
        </w:tc>
        <w:tc>
          <w:tcPr>
            <w:tcW w:w="907" w:type="dxa"/>
          </w:tcPr>
          <w:p w14:paraId="35E12D5A" w14:textId="77777777" w:rsidR="00EA7A35" w:rsidRDefault="00EA7A35" w:rsidP="00EA7A35">
            <w:pPr>
              <w:pStyle w:val="Tablebodytext"/>
            </w:pPr>
          </w:p>
        </w:tc>
        <w:tc>
          <w:tcPr>
            <w:tcW w:w="964" w:type="dxa"/>
          </w:tcPr>
          <w:p w14:paraId="35E12D5B" w14:textId="77777777" w:rsidR="00EA7A35" w:rsidRDefault="00EA7A35" w:rsidP="00EA7A35">
            <w:pPr>
              <w:pStyle w:val="Tablebodytext"/>
            </w:pPr>
          </w:p>
        </w:tc>
        <w:tc>
          <w:tcPr>
            <w:tcW w:w="5164" w:type="dxa"/>
            <w:gridSpan w:val="3"/>
          </w:tcPr>
          <w:p w14:paraId="35E12D5C" w14:textId="77777777" w:rsidR="00EA7A35" w:rsidRDefault="00EA7A35" w:rsidP="00EA7A35">
            <w:pPr>
              <w:pStyle w:val="Tablebodytext"/>
            </w:pPr>
            <w:r>
              <w:t>#Industries = 203</w:t>
            </w:r>
          </w:p>
        </w:tc>
      </w:tr>
    </w:tbl>
    <w:p w14:paraId="35E12D5E" w14:textId="1F04D3AF" w:rsidR="00B476DF" w:rsidRPr="00C62F3A" w:rsidRDefault="00B476DF" w:rsidP="007307B1">
      <w:pPr>
        <w:pStyle w:val="Note"/>
        <w:ind w:left="-993"/>
      </w:pPr>
      <w:r>
        <w:t>Notes: Industries with fewer than 10 firms are excluded for confidentiality protection.</w:t>
      </w:r>
      <w:r w:rsidR="0093093C">
        <w:t xml:space="preserve"> Averages are taken by industry over the years.</w:t>
      </w:r>
    </w:p>
    <w:p w14:paraId="35E12D5F" w14:textId="77777777" w:rsidR="00B476DF" w:rsidRDefault="003961D5" w:rsidP="007307B1">
      <w:pPr>
        <w:pStyle w:val="Source"/>
        <w:ind w:left="-993"/>
      </w:pPr>
      <w:r>
        <w:t>Source: Department of Industry, Innovation and Science (2019)</w:t>
      </w:r>
    </w:p>
    <w:p w14:paraId="35E12D60" w14:textId="77777777" w:rsidR="00BD08ED" w:rsidRDefault="00BD08ED" w:rsidP="005A6EA3">
      <w:pPr>
        <w:spacing w:before="240" w:line="270" w:lineRule="exact"/>
        <w:ind w:left="0"/>
      </w:pPr>
      <w:r>
        <w:t xml:space="preserve">Australia’s banking industry, though populated by several institutions, is dominated by four major banks, often dubbed as the </w:t>
      </w:r>
      <w:hyperlink r:id="rId23" w:history="1">
        <w:r w:rsidRPr="00D16832">
          <w:rPr>
            <w:rFonts w:asciiTheme="minorHAnsi" w:hAnsiTheme="minorHAnsi" w:cstheme="minorHAnsi"/>
            <w:i/>
            <w:iCs/>
            <w:color w:val="005CAF" w:themeColor="accent1"/>
            <w:u w:val="single"/>
          </w:rPr>
          <w:t>Big4</w:t>
        </w:r>
      </w:hyperlink>
      <w:r>
        <w:t>. These four banks are: Commonwealth Bank of Australia (CBA), Westpac, National Australia Bank (NAB), and Australia and New Zealand Bank (ANZ). Together, they control ab</w:t>
      </w:r>
      <w:r w:rsidR="00CB4F7F">
        <w:t>o</w:t>
      </w:r>
      <w:r>
        <w:t>ut 80 per cent of the home loan market in Australia. In Table 8.1, the sector Depository Banking (ANZSIC 622) is positioned as the 12th most concentrated industry. Note that a few very concentrated industries populated by fewer than 10 firms are dropped for confidentiality protection.</w:t>
      </w:r>
    </w:p>
    <w:p w14:paraId="0DB9E9B5" w14:textId="52FB9814" w:rsidR="0067609C" w:rsidRDefault="0067609C" w:rsidP="0067609C">
      <w:pPr>
        <w:spacing w:line="270" w:lineRule="exact"/>
        <w:ind w:left="0"/>
      </w:pPr>
      <w:r>
        <w:t xml:space="preserve">When it comes to domestic air transport, the Australian market is practically served by two carriers: Qantas and Virgin Australia. In the associated ANZSIC, air transportation includes both domestic and international operators, hence, the sheer concentration of the industry is not as evident when using the data for this ANZSIC. In Table 8.1, this industry is positioned as the 13th most concentrated industry </w:t>
      </w:r>
      <w:r w:rsidR="00780904">
        <w:t xml:space="preserve">and </w:t>
      </w:r>
      <w:r>
        <w:t>just behind the banking sector.</w:t>
      </w:r>
    </w:p>
    <w:p w14:paraId="35E12D61" w14:textId="1A787644" w:rsidR="00BD08ED" w:rsidRDefault="00BD08ED" w:rsidP="005A6EA3">
      <w:pPr>
        <w:spacing w:line="270" w:lineRule="exact"/>
        <w:ind w:left="0"/>
      </w:pPr>
      <w:r>
        <w:t xml:space="preserve">The supermarket industry in Australia is also considered </w:t>
      </w:r>
      <w:hyperlink r:id="rId24" w:history="1">
        <w:r w:rsidRPr="00D16832">
          <w:rPr>
            <w:rFonts w:asciiTheme="minorHAnsi" w:hAnsiTheme="minorHAnsi" w:cstheme="minorHAnsi"/>
            <w:color w:val="005CAF" w:themeColor="accent1"/>
            <w:u w:val="single"/>
          </w:rPr>
          <w:t>very concentrated</w:t>
        </w:r>
      </w:hyperlink>
      <w:r>
        <w:t xml:space="preserve">, though competition is rife in the industry. The two largest supermarket chains, </w:t>
      </w:r>
      <w:r>
        <w:lastRenderedPageBreak/>
        <w:t>Coles and Woolworth</w:t>
      </w:r>
      <w:r w:rsidR="00D84B5E">
        <w:t>s</w:t>
      </w:r>
      <w:r>
        <w:t xml:space="preserve">, together hold a commanding share of the market. However, in the recent years, their control has loosened with the entry and the expansion of the German chain, Aldi. In Table 8.1, this </w:t>
      </w:r>
      <w:r w:rsidR="0067609C">
        <w:t>industry is positioned as the 17</w:t>
      </w:r>
      <w:r>
        <w:t>th most concentrated industr</w:t>
      </w:r>
      <w:r w:rsidR="0067609C">
        <w:t>y</w:t>
      </w:r>
      <w:r>
        <w:t>.</w:t>
      </w:r>
    </w:p>
    <w:p w14:paraId="35E12D63" w14:textId="759D63FD" w:rsidR="00BD08ED" w:rsidRDefault="00BD08ED" w:rsidP="005A6EA3">
      <w:pPr>
        <w:spacing w:line="270" w:lineRule="exact"/>
        <w:ind w:left="0"/>
      </w:pPr>
      <w:r>
        <w:t xml:space="preserve">Fuel retail industry in Australia is often </w:t>
      </w:r>
      <w:r w:rsidR="00153554">
        <w:t>associated with the dominance of a few</w:t>
      </w:r>
      <w:r>
        <w:t xml:space="preserve"> </w:t>
      </w:r>
      <w:hyperlink r:id="rId25" w:history="1">
        <w:r w:rsidR="004A6817">
          <w:rPr>
            <w:rFonts w:asciiTheme="minorHAnsi" w:hAnsiTheme="minorHAnsi" w:cstheme="minorHAnsi"/>
            <w:color w:val="005CAF" w:themeColor="accent1"/>
            <w:u w:val="single"/>
          </w:rPr>
          <w:t>large players</w:t>
        </w:r>
      </w:hyperlink>
      <w:r>
        <w:t xml:space="preserve">. The industry is </w:t>
      </w:r>
      <w:r w:rsidR="00153554">
        <w:t xml:space="preserve">practically </w:t>
      </w:r>
      <w:r>
        <w:t>dominated by four suppliers: Caltex, BP, Cole</w:t>
      </w:r>
      <w:r w:rsidR="00750EC6">
        <w:t>s and Woolworths. There are also several independent</w:t>
      </w:r>
      <w:r>
        <w:t xml:space="preserve"> suppliers; however, their individual share of the market is not very sizable. In Table 8.1, this industry stands at the 77th position. The industry is probably not as concentrated and not with so much market power as many people would like to believe.</w:t>
      </w:r>
    </w:p>
    <w:p w14:paraId="35E12D65" w14:textId="77777777" w:rsidR="009016E2" w:rsidRDefault="009016E2" w:rsidP="009016E2">
      <w:pPr>
        <w:pStyle w:val="UnnumberedHeading"/>
        <w:rPr>
          <w:lang w:val="en"/>
        </w:rPr>
      </w:pPr>
      <w:r>
        <w:rPr>
          <w:lang w:val="en"/>
        </w:rPr>
        <w:t>Disclaimer</w:t>
      </w:r>
    </w:p>
    <w:p w14:paraId="35E12D66" w14:textId="77777777" w:rsidR="009016E2" w:rsidRPr="009016E2" w:rsidRDefault="009016E2" w:rsidP="009016E2">
      <w:pPr>
        <w:pStyle w:val="NormalWeb"/>
        <w:jc w:val="both"/>
        <w:rPr>
          <w:rFonts w:asciiTheme="minorHAnsi" w:hAnsiTheme="minorHAnsi" w:cstheme="minorHAnsi"/>
          <w:sz w:val="20"/>
          <w:szCs w:val="20"/>
        </w:rPr>
      </w:pPr>
      <w:r w:rsidRPr="009016E2">
        <w:rPr>
          <w:rFonts w:asciiTheme="minorHAnsi" w:hAnsiTheme="minorHAnsi" w:cstheme="minorHAnsi"/>
          <w:sz w:val="20"/>
          <w:szCs w:val="20"/>
        </w:rPr>
        <w:t>The results of these studies are based, in part, on ABR data supplied by the Registrar to the ABS under A New Tax System (Australian Business Number) Act 1999 and tax data supplied by the ATO to the ABS under the Taxation Administration Act 1953. These require that such data is only used for the purpose of carrying out functions of the ABS. No individual information collected under the Census and Statistics Act 1905 is provided back to the Registrar or ATO for administrative or regulatory purposes. Any discussion of data limitations or weaknesses is in the context of using the data for statistical purposes, and is not related to the ability of the data to support the ABR or ATO’s core operational requirements. Legislative requirements to ensure privacy and secrecy of this data have been followed. Only people authorised under the Australian Bureau of Statistics Act 1975 have been allowed to view data about any particular firm in conducting these analyses. In accordance with the Census and Statistics Act 1905, results have been confidentialised to ensure that they are not likely to enable identification of a particular person or organisation.</w:t>
      </w:r>
    </w:p>
    <w:p w14:paraId="35E12D68" w14:textId="77777777" w:rsidR="00A82EC9" w:rsidRDefault="00A82EC9" w:rsidP="00A82EC9">
      <w:pPr>
        <w:pStyle w:val="UnnumberedHeading"/>
        <w:rPr>
          <w:lang w:val="en"/>
        </w:rPr>
      </w:pPr>
      <w:r>
        <w:rPr>
          <w:lang w:val="en"/>
        </w:rPr>
        <w:t>References</w:t>
      </w:r>
    </w:p>
    <w:p w14:paraId="35E12D69" w14:textId="64010DE1" w:rsidR="00A82EC9" w:rsidRPr="00414EA8" w:rsidRDefault="00542CFA" w:rsidP="00A82EC9">
      <w:pPr>
        <w:pStyle w:val="NormalWeb"/>
        <w:rPr>
          <w:rFonts w:asciiTheme="minorHAnsi" w:hAnsiTheme="minorHAnsi" w:cstheme="minorHAnsi"/>
          <w:sz w:val="20"/>
          <w:szCs w:val="20"/>
        </w:rPr>
      </w:pPr>
      <w:r>
        <w:rPr>
          <w:rFonts w:asciiTheme="minorHAnsi" w:hAnsiTheme="minorHAnsi" w:cstheme="minorHAnsi"/>
          <w:sz w:val="20"/>
          <w:szCs w:val="20"/>
        </w:rPr>
        <w:t>Aghion P,</w:t>
      </w:r>
      <w:r w:rsidR="00A82EC9" w:rsidRPr="00414EA8">
        <w:rPr>
          <w:rFonts w:asciiTheme="minorHAnsi" w:hAnsiTheme="minorHAnsi" w:cstheme="minorHAnsi"/>
          <w:sz w:val="20"/>
          <w:szCs w:val="20"/>
        </w:rPr>
        <w:t xml:space="preserve"> Fally</w:t>
      </w:r>
      <w:r>
        <w:rPr>
          <w:rFonts w:asciiTheme="minorHAnsi" w:hAnsiTheme="minorHAnsi" w:cstheme="minorHAnsi"/>
          <w:sz w:val="20"/>
          <w:szCs w:val="20"/>
        </w:rPr>
        <w:t xml:space="preserve"> T</w:t>
      </w:r>
      <w:r w:rsidR="00414EA8">
        <w:rPr>
          <w:rFonts w:asciiTheme="minorHAnsi" w:hAnsiTheme="minorHAnsi" w:cstheme="minorHAnsi"/>
          <w:sz w:val="20"/>
          <w:szCs w:val="20"/>
        </w:rPr>
        <w:t xml:space="preserve"> &amp;</w:t>
      </w:r>
      <w:r>
        <w:rPr>
          <w:rFonts w:asciiTheme="minorHAnsi" w:hAnsiTheme="minorHAnsi" w:cstheme="minorHAnsi"/>
          <w:sz w:val="20"/>
          <w:szCs w:val="20"/>
        </w:rPr>
        <w:t xml:space="preserve"> </w:t>
      </w:r>
      <w:r w:rsidR="00414EA8">
        <w:rPr>
          <w:rFonts w:asciiTheme="minorHAnsi" w:hAnsiTheme="minorHAnsi" w:cstheme="minorHAnsi"/>
          <w:sz w:val="20"/>
          <w:szCs w:val="20"/>
        </w:rPr>
        <w:t>Scarpetta</w:t>
      </w:r>
      <w:r>
        <w:rPr>
          <w:rFonts w:asciiTheme="minorHAnsi" w:hAnsiTheme="minorHAnsi" w:cstheme="minorHAnsi"/>
          <w:sz w:val="20"/>
          <w:szCs w:val="20"/>
        </w:rPr>
        <w:t xml:space="preserve"> S</w:t>
      </w:r>
      <w:r w:rsidR="00414EA8">
        <w:rPr>
          <w:rFonts w:asciiTheme="minorHAnsi" w:hAnsiTheme="minorHAnsi" w:cstheme="minorHAnsi"/>
          <w:sz w:val="20"/>
          <w:szCs w:val="20"/>
        </w:rPr>
        <w:t xml:space="preserve"> (2007) </w:t>
      </w:r>
      <w:hyperlink r:id="rId26" w:history="1">
        <w:r w:rsidR="00A82EC9" w:rsidRPr="00414EA8">
          <w:rPr>
            <w:rStyle w:val="Hyperlink"/>
            <w:rFonts w:asciiTheme="minorHAnsi" w:hAnsiTheme="minorHAnsi" w:cstheme="minorHAnsi"/>
            <w:sz w:val="20"/>
            <w:szCs w:val="20"/>
          </w:rPr>
          <w:t>Credit Constraints as a Barrier to the Entry and Post-entry Growth of Firms</w:t>
        </w:r>
      </w:hyperlink>
      <w:r w:rsidR="00414EA8" w:rsidRPr="00414EA8">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414EA8">
        <w:rPr>
          <w:rStyle w:val="Emphasis"/>
          <w:rFonts w:asciiTheme="minorHAnsi" w:hAnsiTheme="minorHAnsi" w:cstheme="minorHAnsi"/>
          <w:i w:val="0"/>
          <w:sz w:val="20"/>
          <w:szCs w:val="20"/>
        </w:rPr>
        <w:t>Economic Policy</w:t>
      </w:r>
      <w:r w:rsidR="00A82EC9" w:rsidRPr="00414EA8">
        <w:rPr>
          <w:rFonts w:asciiTheme="minorHAnsi" w:hAnsiTheme="minorHAnsi" w:cstheme="minorHAnsi"/>
          <w:sz w:val="20"/>
          <w:szCs w:val="20"/>
        </w:rPr>
        <w:t xml:space="preserve">, 22(52), </w:t>
      </w:r>
      <w:r w:rsidR="00414EA8" w:rsidRPr="00414EA8">
        <w:rPr>
          <w:rFonts w:asciiTheme="minorHAnsi" w:hAnsiTheme="minorHAnsi" w:cstheme="minorHAnsi"/>
          <w:sz w:val="20"/>
          <w:szCs w:val="20"/>
        </w:rPr>
        <w:t xml:space="preserve">pp. </w:t>
      </w:r>
      <w:r w:rsidR="00A82EC9" w:rsidRPr="00414EA8">
        <w:rPr>
          <w:rFonts w:asciiTheme="minorHAnsi" w:hAnsiTheme="minorHAnsi" w:cstheme="minorHAnsi"/>
          <w:sz w:val="20"/>
          <w:szCs w:val="20"/>
        </w:rPr>
        <w:t xml:space="preserve">732–779. </w:t>
      </w:r>
    </w:p>
    <w:p w14:paraId="35E12D6A" w14:textId="128F355D" w:rsidR="00A82EC9" w:rsidRPr="00414EA8" w:rsidRDefault="00542CFA" w:rsidP="00A82EC9">
      <w:pPr>
        <w:pStyle w:val="NormalWeb"/>
        <w:rPr>
          <w:rFonts w:asciiTheme="minorHAnsi" w:hAnsiTheme="minorHAnsi" w:cstheme="minorHAnsi"/>
          <w:sz w:val="20"/>
          <w:szCs w:val="20"/>
        </w:rPr>
      </w:pPr>
      <w:r>
        <w:rPr>
          <w:rFonts w:asciiTheme="minorHAnsi" w:hAnsiTheme="minorHAnsi" w:cstheme="minorHAnsi"/>
          <w:sz w:val="20"/>
          <w:szCs w:val="20"/>
        </w:rPr>
        <w:t>Autor</w:t>
      </w:r>
      <w:r w:rsidR="00A82EC9" w:rsidRPr="00414EA8">
        <w:rPr>
          <w:rFonts w:asciiTheme="minorHAnsi" w:hAnsiTheme="minorHAnsi" w:cstheme="minorHAnsi"/>
          <w:sz w:val="20"/>
          <w:szCs w:val="20"/>
        </w:rPr>
        <w:t xml:space="preserve"> D, Dorn</w:t>
      </w:r>
      <w:r>
        <w:rPr>
          <w:rFonts w:asciiTheme="minorHAnsi" w:hAnsiTheme="minorHAnsi" w:cstheme="minorHAnsi"/>
          <w:sz w:val="20"/>
          <w:szCs w:val="20"/>
        </w:rPr>
        <w:t xml:space="preserve"> D</w:t>
      </w:r>
      <w:r w:rsidR="00A82EC9" w:rsidRPr="00414EA8">
        <w:rPr>
          <w:rFonts w:asciiTheme="minorHAnsi" w:hAnsiTheme="minorHAnsi" w:cstheme="minorHAnsi"/>
          <w:sz w:val="20"/>
          <w:szCs w:val="20"/>
        </w:rPr>
        <w:t xml:space="preserve">, </w:t>
      </w:r>
      <w:r w:rsidR="00414EA8">
        <w:rPr>
          <w:rFonts w:asciiTheme="minorHAnsi" w:hAnsiTheme="minorHAnsi" w:cstheme="minorHAnsi"/>
          <w:sz w:val="20"/>
          <w:szCs w:val="20"/>
        </w:rPr>
        <w:t>Katz</w:t>
      </w:r>
      <w:r>
        <w:rPr>
          <w:rFonts w:asciiTheme="minorHAnsi" w:hAnsiTheme="minorHAnsi" w:cstheme="minorHAnsi"/>
          <w:sz w:val="20"/>
          <w:szCs w:val="20"/>
        </w:rPr>
        <w:t xml:space="preserve"> LF</w:t>
      </w:r>
      <w:r w:rsidR="00414EA8">
        <w:rPr>
          <w:rFonts w:asciiTheme="minorHAnsi" w:hAnsiTheme="minorHAnsi" w:cstheme="minorHAnsi"/>
          <w:sz w:val="20"/>
          <w:szCs w:val="20"/>
        </w:rPr>
        <w:t xml:space="preserve">, Patterson </w:t>
      </w:r>
      <w:r>
        <w:rPr>
          <w:rFonts w:asciiTheme="minorHAnsi" w:hAnsiTheme="minorHAnsi" w:cstheme="minorHAnsi"/>
          <w:sz w:val="20"/>
          <w:szCs w:val="20"/>
        </w:rPr>
        <w:t xml:space="preserve">C </w:t>
      </w:r>
      <w:r w:rsidR="00414EA8">
        <w:rPr>
          <w:rFonts w:asciiTheme="minorHAnsi" w:hAnsiTheme="minorHAnsi" w:cstheme="minorHAnsi"/>
          <w:sz w:val="20"/>
          <w:szCs w:val="20"/>
        </w:rPr>
        <w:t xml:space="preserve">&amp; Van Reenen </w:t>
      </w:r>
      <w:r>
        <w:rPr>
          <w:rFonts w:asciiTheme="minorHAnsi" w:hAnsiTheme="minorHAnsi" w:cstheme="minorHAnsi"/>
          <w:sz w:val="20"/>
          <w:szCs w:val="20"/>
        </w:rPr>
        <w:t xml:space="preserve">J </w:t>
      </w:r>
      <w:r w:rsidR="00414EA8">
        <w:rPr>
          <w:rFonts w:asciiTheme="minorHAnsi" w:hAnsiTheme="minorHAnsi" w:cstheme="minorHAnsi"/>
          <w:sz w:val="20"/>
          <w:szCs w:val="20"/>
        </w:rPr>
        <w:t xml:space="preserve">(2017) </w:t>
      </w:r>
      <w:hyperlink r:id="rId27" w:history="1">
        <w:r w:rsidR="00A82EC9" w:rsidRPr="00414EA8">
          <w:rPr>
            <w:rStyle w:val="Hyperlink"/>
            <w:rFonts w:asciiTheme="minorHAnsi" w:hAnsiTheme="minorHAnsi" w:cstheme="minorHAnsi"/>
            <w:sz w:val="20"/>
            <w:szCs w:val="20"/>
          </w:rPr>
          <w:t>Concentrating on the Fall of the Labor Share</w:t>
        </w:r>
      </w:hyperlink>
      <w:r w:rsidR="00414EA8">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414EA8">
        <w:rPr>
          <w:rStyle w:val="Emphasis"/>
          <w:rFonts w:asciiTheme="minorHAnsi" w:hAnsiTheme="minorHAnsi" w:cstheme="minorHAnsi"/>
          <w:i w:val="0"/>
          <w:sz w:val="20"/>
          <w:szCs w:val="20"/>
        </w:rPr>
        <w:t>American Economic Review</w:t>
      </w:r>
      <w:r w:rsidR="00A82EC9" w:rsidRPr="00414EA8">
        <w:rPr>
          <w:rFonts w:asciiTheme="minorHAnsi" w:hAnsiTheme="minorHAnsi" w:cstheme="minorHAnsi"/>
          <w:sz w:val="20"/>
          <w:szCs w:val="20"/>
        </w:rPr>
        <w:t xml:space="preserve">, 107(5), 180–185. </w:t>
      </w:r>
    </w:p>
    <w:p w14:paraId="35E12D6B" w14:textId="3A4DA579" w:rsidR="00A82EC9" w:rsidRPr="00414EA8" w:rsidRDefault="00653C62" w:rsidP="00A82EC9">
      <w:pPr>
        <w:pStyle w:val="NormalWeb"/>
        <w:rPr>
          <w:rFonts w:asciiTheme="minorHAnsi" w:hAnsiTheme="minorHAnsi" w:cstheme="minorHAnsi"/>
          <w:sz w:val="20"/>
          <w:szCs w:val="20"/>
        </w:rPr>
      </w:pPr>
      <w:r>
        <w:rPr>
          <w:rFonts w:asciiTheme="minorHAnsi" w:hAnsiTheme="minorHAnsi" w:cstheme="minorHAnsi"/>
          <w:sz w:val="20"/>
          <w:szCs w:val="20"/>
        </w:rPr>
        <w:t>Baily MN</w:t>
      </w:r>
      <w:r w:rsidR="00414EA8">
        <w:rPr>
          <w:rFonts w:asciiTheme="minorHAnsi" w:hAnsiTheme="minorHAnsi" w:cstheme="minorHAnsi"/>
          <w:sz w:val="20"/>
          <w:szCs w:val="20"/>
        </w:rPr>
        <w:t xml:space="preserve">, Hulten </w:t>
      </w:r>
      <w:r>
        <w:rPr>
          <w:rFonts w:asciiTheme="minorHAnsi" w:hAnsiTheme="minorHAnsi" w:cstheme="minorHAnsi"/>
          <w:sz w:val="20"/>
          <w:szCs w:val="20"/>
        </w:rPr>
        <w:t xml:space="preserve">C </w:t>
      </w:r>
      <w:r w:rsidR="00414EA8">
        <w:rPr>
          <w:rFonts w:asciiTheme="minorHAnsi" w:hAnsiTheme="minorHAnsi" w:cstheme="minorHAnsi"/>
          <w:sz w:val="20"/>
          <w:szCs w:val="20"/>
        </w:rPr>
        <w:t xml:space="preserve">&amp; Campbell </w:t>
      </w:r>
      <w:r>
        <w:rPr>
          <w:rFonts w:asciiTheme="minorHAnsi" w:hAnsiTheme="minorHAnsi" w:cstheme="minorHAnsi"/>
          <w:sz w:val="20"/>
          <w:szCs w:val="20"/>
        </w:rPr>
        <w:t xml:space="preserve">D </w:t>
      </w:r>
      <w:r w:rsidR="00414EA8">
        <w:rPr>
          <w:rFonts w:asciiTheme="minorHAnsi" w:hAnsiTheme="minorHAnsi" w:cstheme="minorHAnsi"/>
          <w:sz w:val="20"/>
          <w:szCs w:val="20"/>
        </w:rPr>
        <w:t xml:space="preserve">(1992) </w:t>
      </w:r>
      <w:r w:rsidR="00A82EC9" w:rsidRPr="00414EA8">
        <w:rPr>
          <w:rFonts w:asciiTheme="minorHAnsi" w:hAnsiTheme="minorHAnsi" w:cstheme="minorHAnsi"/>
          <w:sz w:val="20"/>
          <w:szCs w:val="20"/>
        </w:rPr>
        <w:t>Productivity Dy</w:t>
      </w:r>
      <w:r w:rsidR="00414EA8">
        <w:rPr>
          <w:rFonts w:asciiTheme="minorHAnsi" w:hAnsiTheme="minorHAnsi" w:cstheme="minorHAnsi"/>
          <w:sz w:val="20"/>
          <w:szCs w:val="20"/>
        </w:rPr>
        <w:t>namics in Manufacturing Plants,</w:t>
      </w:r>
      <w:r w:rsidR="00A82EC9" w:rsidRPr="00414EA8">
        <w:rPr>
          <w:rFonts w:asciiTheme="minorHAnsi" w:hAnsiTheme="minorHAnsi" w:cstheme="minorHAnsi"/>
          <w:sz w:val="20"/>
          <w:szCs w:val="20"/>
        </w:rPr>
        <w:t xml:space="preserve"> </w:t>
      </w:r>
      <w:r w:rsidR="00A82EC9" w:rsidRPr="00414EA8">
        <w:rPr>
          <w:rStyle w:val="Emphasis"/>
          <w:rFonts w:asciiTheme="minorHAnsi" w:hAnsiTheme="minorHAnsi" w:cstheme="minorHAnsi"/>
          <w:i w:val="0"/>
          <w:sz w:val="20"/>
          <w:szCs w:val="20"/>
        </w:rPr>
        <w:t>Brookings Papers on Economic Activity</w:t>
      </w:r>
      <w:r w:rsidR="00A82EC9" w:rsidRPr="00414EA8">
        <w:rPr>
          <w:rFonts w:asciiTheme="minorHAnsi" w:hAnsiTheme="minorHAnsi" w:cstheme="minorHAnsi"/>
          <w:sz w:val="20"/>
          <w:szCs w:val="20"/>
        </w:rPr>
        <w:t xml:space="preserve">, 187–249. </w:t>
      </w:r>
    </w:p>
    <w:p w14:paraId="35E12D6C" w14:textId="15B7BFF5" w:rsidR="00A82EC9" w:rsidRPr="00414EA8" w:rsidRDefault="008F4E24" w:rsidP="00A82EC9">
      <w:pPr>
        <w:pStyle w:val="NormalWeb"/>
        <w:rPr>
          <w:rFonts w:asciiTheme="minorHAnsi" w:hAnsiTheme="minorHAnsi" w:cstheme="minorHAnsi"/>
          <w:sz w:val="20"/>
          <w:szCs w:val="20"/>
        </w:rPr>
      </w:pPr>
      <w:r>
        <w:rPr>
          <w:rFonts w:asciiTheme="minorHAnsi" w:hAnsiTheme="minorHAnsi" w:cstheme="minorHAnsi"/>
          <w:sz w:val="20"/>
          <w:szCs w:val="20"/>
        </w:rPr>
        <w:t>Bajgar</w:t>
      </w:r>
      <w:r w:rsidR="00A82EC9" w:rsidRPr="00414EA8">
        <w:rPr>
          <w:rFonts w:asciiTheme="minorHAnsi" w:hAnsiTheme="minorHAnsi" w:cstheme="minorHAnsi"/>
          <w:sz w:val="20"/>
          <w:szCs w:val="20"/>
        </w:rPr>
        <w:t xml:space="preserve"> M, Berlingieri</w:t>
      </w:r>
      <w:r>
        <w:rPr>
          <w:rFonts w:asciiTheme="minorHAnsi" w:hAnsiTheme="minorHAnsi" w:cstheme="minorHAnsi"/>
          <w:sz w:val="20"/>
          <w:szCs w:val="20"/>
        </w:rPr>
        <w:t xml:space="preserve"> G</w:t>
      </w:r>
      <w:r w:rsidR="00A82EC9" w:rsidRPr="00414EA8">
        <w:rPr>
          <w:rFonts w:asciiTheme="minorHAnsi" w:hAnsiTheme="minorHAnsi" w:cstheme="minorHAnsi"/>
          <w:sz w:val="20"/>
          <w:szCs w:val="20"/>
        </w:rPr>
        <w:t>, C</w:t>
      </w:r>
      <w:r w:rsidR="00414EA8">
        <w:rPr>
          <w:rFonts w:asciiTheme="minorHAnsi" w:hAnsiTheme="minorHAnsi" w:cstheme="minorHAnsi"/>
          <w:sz w:val="20"/>
          <w:szCs w:val="20"/>
        </w:rPr>
        <w:t>alligaris</w:t>
      </w:r>
      <w:r>
        <w:rPr>
          <w:rFonts w:asciiTheme="minorHAnsi" w:hAnsiTheme="minorHAnsi" w:cstheme="minorHAnsi"/>
          <w:sz w:val="20"/>
          <w:szCs w:val="20"/>
        </w:rPr>
        <w:t xml:space="preserve"> S</w:t>
      </w:r>
      <w:r w:rsidR="00414EA8">
        <w:rPr>
          <w:rFonts w:asciiTheme="minorHAnsi" w:hAnsiTheme="minorHAnsi" w:cstheme="minorHAnsi"/>
          <w:sz w:val="20"/>
          <w:szCs w:val="20"/>
        </w:rPr>
        <w:t xml:space="preserve">, Criscuolo </w:t>
      </w:r>
      <w:r>
        <w:rPr>
          <w:rFonts w:asciiTheme="minorHAnsi" w:hAnsiTheme="minorHAnsi" w:cstheme="minorHAnsi"/>
          <w:sz w:val="20"/>
          <w:szCs w:val="20"/>
        </w:rPr>
        <w:t xml:space="preserve">C </w:t>
      </w:r>
      <w:r w:rsidR="00414EA8">
        <w:rPr>
          <w:rFonts w:asciiTheme="minorHAnsi" w:hAnsiTheme="minorHAnsi" w:cstheme="minorHAnsi"/>
          <w:sz w:val="20"/>
          <w:szCs w:val="20"/>
        </w:rPr>
        <w:t>&amp; Timmis</w:t>
      </w:r>
      <w:r>
        <w:rPr>
          <w:rFonts w:asciiTheme="minorHAnsi" w:hAnsiTheme="minorHAnsi" w:cstheme="minorHAnsi"/>
          <w:sz w:val="20"/>
          <w:szCs w:val="20"/>
        </w:rPr>
        <w:t xml:space="preserve"> J</w:t>
      </w:r>
      <w:r w:rsidR="00414EA8">
        <w:rPr>
          <w:rFonts w:asciiTheme="minorHAnsi" w:hAnsiTheme="minorHAnsi" w:cstheme="minorHAnsi"/>
          <w:sz w:val="20"/>
          <w:szCs w:val="20"/>
        </w:rPr>
        <w:t xml:space="preserve"> (2019) </w:t>
      </w:r>
      <w:hyperlink r:id="rId28" w:history="1">
        <w:r w:rsidR="00A82EC9" w:rsidRPr="00414EA8">
          <w:rPr>
            <w:rStyle w:val="Hyperlink"/>
            <w:rFonts w:asciiTheme="minorHAnsi" w:hAnsiTheme="minorHAnsi" w:cstheme="minorHAnsi"/>
            <w:sz w:val="20"/>
            <w:szCs w:val="20"/>
          </w:rPr>
          <w:t>Industry Concentration in Europe and North America</w:t>
        </w:r>
      </w:hyperlink>
      <w:r w:rsidR="00414EA8">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414EA8">
        <w:rPr>
          <w:rStyle w:val="Emphasis"/>
          <w:rFonts w:asciiTheme="minorHAnsi" w:hAnsiTheme="minorHAnsi" w:cstheme="minorHAnsi"/>
          <w:i w:val="0"/>
          <w:sz w:val="20"/>
          <w:szCs w:val="20"/>
        </w:rPr>
        <w:t>OECD</w:t>
      </w:r>
      <w:r w:rsidR="00A82EC9" w:rsidRPr="00414EA8">
        <w:rPr>
          <w:rFonts w:asciiTheme="minorHAnsi" w:hAnsiTheme="minorHAnsi" w:cstheme="minorHAnsi"/>
          <w:sz w:val="20"/>
          <w:szCs w:val="20"/>
        </w:rPr>
        <w:t xml:space="preserve">, Productivity Working Paper, No.18. </w:t>
      </w:r>
    </w:p>
    <w:p w14:paraId="35E12D6D" w14:textId="055AADDE" w:rsidR="00A82EC9" w:rsidRPr="00414EA8" w:rsidRDefault="00A45981" w:rsidP="00A82EC9">
      <w:pPr>
        <w:pStyle w:val="NormalWeb"/>
        <w:rPr>
          <w:rFonts w:asciiTheme="minorHAnsi" w:hAnsiTheme="minorHAnsi" w:cstheme="minorHAnsi"/>
          <w:sz w:val="20"/>
          <w:szCs w:val="20"/>
        </w:rPr>
      </w:pPr>
      <w:r>
        <w:rPr>
          <w:rFonts w:asciiTheme="minorHAnsi" w:hAnsiTheme="minorHAnsi" w:cstheme="minorHAnsi"/>
          <w:sz w:val="20"/>
          <w:szCs w:val="20"/>
        </w:rPr>
        <w:t>Bakhtia</w:t>
      </w:r>
      <w:r w:rsidR="008F4E24">
        <w:rPr>
          <w:rFonts w:asciiTheme="minorHAnsi" w:hAnsiTheme="minorHAnsi" w:cstheme="minorHAnsi"/>
          <w:sz w:val="20"/>
          <w:szCs w:val="20"/>
        </w:rPr>
        <w:t>ri S</w:t>
      </w:r>
      <w:r>
        <w:rPr>
          <w:rFonts w:asciiTheme="minorHAnsi" w:hAnsiTheme="minorHAnsi" w:cstheme="minorHAnsi"/>
          <w:sz w:val="20"/>
          <w:szCs w:val="20"/>
        </w:rPr>
        <w:t xml:space="preserve"> (2012) </w:t>
      </w:r>
      <w:hyperlink r:id="rId29" w:history="1">
        <w:r w:rsidR="00A82EC9" w:rsidRPr="00414EA8">
          <w:rPr>
            <w:rStyle w:val="Hyperlink"/>
            <w:rFonts w:asciiTheme="minorHAnsi" w:hAnsiTheme="minorHAnsi" w:cstheme="minorHAnsi"/>
            <w:sz w:val="20"/>
            <w:szCs w:val="20"/>
          </w:rPr>
          <w:t>Markets and the Non-monotonic Relation between Productivity and Establishment Size</w:t>
        </w:r>
      </w:hyperlink>
      <w:r>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A45981">
        <w:rPr>
          <w:rStyle w:val="Emphasis"/>
          <w:rFonts w:asciiTheme="minorHAnsi" w:hAnsiTheme="minorHAnsi" w:cstheme="minorHAnsi"/>
          <w:i w:val="0"/>
          <w:sz w:val="20"/>
          <w:szCs w:val="20"/>
        </w:rPr>
        <w:t>Canadian Journal of Economics</w:t>
      </w:r>
      <w:r w:rsidR="00A82EC9" w:rsidRPr="00414EA8">
        <w:rPr>
          <w:rFonts w:asciiTheme="minorHAnsi" w:hAnsiTheme="minorHAnsi" w:cstheme="minorHAnsi"/>
          <w:sz w:val="20"/>
          <w:szCs w:val="20"/>
        </w:rPr>
        <w:t xml:space="preserve">, 45(1), 345–372. </w:t>
      </w:r>
    </w:p>
    <w:p w14:paraId="35E12D6E" w14:textId="4243CBBF" w:rsidR="00A82EC9" w:rsidRPr="00414EA8" w:rsidRDefault="008F4E24" w:rsidP="00A82EC9">
      <w:pPr>
        <w:pStyle w:val="NormalWeb"/>
        <w:rPr>
          <w:rFonts w:asciiTheme="minorHAnsi" w:hAnsiTheme="minorHAnsi" w:cstheme="minorHAnsi"/>
          <w:sz w:val="20"/>
          <w:szCs w:val="20"/>
        </w:rPr>
      </w:pPr>
      <w:r>
        <w:rPr>
          <w:rFonts w:asciiTheme="minorHAnsi" w:hAnsiTheme="minorHAnsi" w:cstheme="minorHAnsi"/>
          <w:sz w:val="20"/>
          <w:szCs w:val="20"/>
        </w:rPr>
        <w:t>Bakhtiari S</w:t>
      </w:r>
      <w:r w:rsidR="00A45981">
        <w:rPr>
          <w:rFonts w:asciiTheme="minorHAnsi" w:hAnsiTheme="minorHAnsi" w:cstheme="minorHAnsi"/>
          <w:sz w:val="20"/>
          <w:szCs w:val="20"/>
        </w:rPr>
        <w:t xml:space="preserve"> (2019) </w:t>
      </w:r>
      <w:hyperlink r:id="rId30" w:history="1">
        <w:r w:rsidR="00A82EC9" w:rsidRPr="00414EA8">
          <w:rPr>
            <w:rStyle w:val="Hyperlink"/>
            <w:rFonts w:asciiTheme="minorHAnsi" w:hAnsiTheme="minorHAnsi" w:cstheme="minorHAnsi"/>
            <w:sz w:val="20"/>
            <w:szCs w:val="20"/>
          </w:rPr>
          <w:t>Entrepreneurship Dynamics in Australia: Lessons from Micro-data</w:t>
        </w:r>
      </w:hyperlink>
      <w:r w:rsidR="00A45981">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A45981">
        <w:rPr>
          <w:rStyle w:val="Emphasis"/>
          <w:rFonts w:asciiTheme="minorHAnsi" w:hAnsiTheme="minorHAnsi" w:cstheme="minorHAnsi"/>
          <w:i w:val="0"/>
          <w:sz w:val="20"/>
          <w:szCs w:val="20"/>
        </w:rPr>
        <w:t>Economic Record</w:t>
      </w:r>
      <w:r w:rsidR="000C1E2A">
        <w:rPr>
          <w:rFonts w:asciiTheme="minorHAnsi" w:hAnsiTheme="minorHAnsi" w:cstheme="minorHAnsi"/>
          <w:sz w:val="20"/>
          <w:szCs w:val="20"/>
        </w:rPr>
        <w:t>, 95(308), 114‒140.</w:t>
      </w:r>
    </w:p>
    <w:p w14:paraId="35E12D6F" w14:textId="0F1BDDAD" w:rsidR="00A82EC9" w:rsidRPr="00414EA8" w:rsidRDefault="00A82EC9" w:rsidP="00A82EC9">
      <w:pPr>
        <w:pStyle w:val="NormalWeb"/>
        <w:rPr>
          <w:rFonts w:asciiTheme="minorHAnsi" w:hAnsiTheme="minorHAnsi" w:cstheme="minorHAnsi"/>
          <w:sz w:val="20"/>
          <w:szCs w:val="20"/>
        </w:rPr>
      </w:pPr>
      <w:r w:rsidRPr="00414EA8">
        <w:rPr>
          <w:rFonts w:asciiTheme="minorHAnsi" w:hAnsiTheme="minorHAnsi" w:cstheme="minorHAnsi"/>
          <w:sz w:val="20"/>
          <w:szCs w:val="20"/>
        </w:rPr>
        <w:t>Bartel</w:t>
      </w:r>
      <w:r w:rsidR="008F4E24">
        <w:rPr>
          <w:rFonts w:asciiTheme="minorHAnsi" w:hAnsiTheme="minorHAnsi" w:cstheme="minorHAnsi"/>
          <w:sz w:val="20"/>
          <w:szCs w:val="20"/>
        </w:rPr>
        <w:t>sman E</w:t>
      </w:r>
      <w:r w:rsidR="00A45981">
        <w:rPr>
          <w:rFonts w:asciiTheme="minorHAnsi" w:hAnsiTheme="minorHAnsi" w:cstheme="minorHAnsi"/>
          <w:sz w:val="20"/>
          <w:szCs w:val="20"/>
        </w:rPr>
        <w:t xml:space="preserve">J &amp; Doms </w:t>
      </w:r>
      <w:r w:rsidR="008F4E24">
        <w:rPr>
          <w:rFonts w:asciiTheme="minorHAnsi" w:hAnsiTheme="minorHAnsi" w:cstheme="minorHAnsi"/>
          <w:sz w:val="20"/>
          <w:szCs w:val="20"/>
        </w:rPr>
        <w:t xml:space="preserve">M </w:t>
      </w:r>
      <w:r w:rsidR="00A45981">
        <w:rPr>
          <w:rFonts w:asciiTheme="minorHAnsi" w:hAnsiTheme="minorHAnsi" w:cstheme="minorHAnsi"/>
          <w:sz w:val="20"/>
          <w:szCs w:val="20"/>
        </w:rPr>
        <w:t xml:space="preserve">(2000) </w:t>
      </w:r>
      <w:hyperlink r:id="rId31" w:history="1">
        <w:r w:rsidRPr="00414EA8">
          <w:rPr>
            <w:rStyle w:val="Hyperlink"/>
            <w:rFonts w:asciiTheme="minorHAnsi" w:hAnsiTheme="minorHAnsi" w:cstheme="minorHAnsi"/>
            <w:sz w:val="20"/>
            <w:szCs w:val="20"/>
          </w:rPr>
          <w:t>Understanding Productivity: Lessons from Longitudinal Microdata</w:t>
        </w:r>
      </w:hyperlink>
      <w:r w:rsidR="001D2C38">
        <w:rPr>
          <w:rFonts w:asciiTheme="minorHAnsi" w:hAnsiTheme="minorHAnsi" w:cstheme="minorHAnsi"/>
          <w:sz w:val="20"/>
          <w:szCs w:val="20"/>
        </w:rPr>
        <w:t>,</w:t>
      </w:r>
      <w:r w:rsidRPr="00414EA8">
        <w:rPr>
          <w:rFonts w:asciiTheme="minorHAnsi" w:hAnsiTheme="minorHAnsi" w:cstheme="minorHAnsi"/>
          <w:sz w:val="20"/>
          <w:szCs w:val="20"/>
        </w:rPr>
        <w:t xml:space="preserve"> </w:t>
      </w:r>
      <w:r w:rsidRPr="001D2C38">
        <w:rPr>
          <w:rStyle w:val="Emphasis"/>
          <w:rFonts w:asciiTheme="minorHAnsi" w:hAnsiTheme="minorHAnsi" w:cstheme="minorHAnsi"/>
          <w:i w:val="0"/>
          <w:sz w:val="20"/>
          <w:szCs w:val="20"/>
        </w:rPr>
        <w:t>Journal of Economic Literature</w:t>
      </w:r>
      <w:r w:rsidRPr="00414EA8">
        <w:rPr>
          <w:rFonts w:asciiTheme="minorHAnsi" w:hAnsiTheme="minorHAnsi" w:cstheme="minorHAnsi"/>
          <w:sz w:val="20"/>
          <w:szCs w:val="20"/>
        </w:rPr>
        <w:t xml:space="preserve">, 38(3), 569–594. </w:t>
      </w:r>
    </w:p>
    <w:p w14:paraId="35E12D70" w14:textId="7E852E07" w:rsidR="00A82EC9" w:rsidRPr="00414EA8" w:rsidRDefault="00713B45" w:rsidP="00A82EC9">
      <w:pPr>
        <w:pStyle w:val="NormalWeb"/>
        <w:rPr>
          <w:rFonts w:asciiTheme="minorHAnsi" w:hAnsiTheme="minorHAnsi" w:cstheme="minorHAnsi"/>
          <w:sz w:val="20"/>
          <w:szCs w:val="20"/>
        </w:rPr>
      </w:pPr>
      <w:r>
        <w:rPr>
          <w:rFonts w:asciiTheme="minorHAnsi" w:hAnsiTheme="minorHAnsi" w:cstheme="minorHAnsi"/>
          <w:sz w:val="20"/>
          <w:szCs w:val="20"/>
        </w:rPr>
        <w:lastRenderedPageBreak/>
        <w:t>De Loecker J</w:t>
      </w:r>
      <w:r w:rsidR="001D2C38">
        <w:rPr>
          <w:rFonts w:asciiTheme="minorHAnsi" w:hAnsiTheme="minorHAnsi" w:cstheme="minorHAnsi"/>
          <w:sz w:val="20"/>
          <w:szCs w:val="20"/>
        </w:rPr>
        <w:t xml:space="preserve"> &amp; Warzynski</w:t>
      </w:r>
      <w:r>
        <w:rPr>
          <w:rFonts w:asciiTheme="minorHAnsi" w:hAnsiTheme="minorHAnsi" w:cstheme="minorHAnsi"/>
          <w:sz w:val="20"/>
          <w:szCs w:val="20"/>
        </w:rPr>
        <w:t xml:space="preserve"> F</w:t>
      </w:r>
      <w:r w:rsidR="001D2C38">
        <w:rPr>
          <w:rFonts w:asciiTheme="minorHAnsi" w:hAnsiTheme="minorHAnsi" w:cstheme="minorHAnsi"/>
          <w:sz w:val="20"/>
          <w:szCs w:val="20"/>
        </w:rPr>
        <w:t xml:space="preserve"> (2012) </w:t>
      </w:r>
      <w:hyperlink r:id="rId32" w:history="1">
        <w:r w:rsidR="00A82EC9" w:rsidRPr="00414EA8">
          <w:rPr>
            <w:rStyle w:val="Hyperlink"/>
            <w:rFonts w:asciiTheme="minorHAnsi" w:hAnsiTheme="minorHAnsi" w:cstheme="minorHAnsi"/>
            <w:sz w:val="20"/>
            <w:szCs w:val="20"/>
          </w:rPr>
          <w:t>Markups and Firm-Level Export Status</w:t>
        </w:r>
      </w:hyperlink>
      <w:r w:rsidR="004A01FE">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4A01FE">
        <w:rPr>
          <w:rStyle w:val="Emphasis"/>
          <w:rFonts w:asciiTheme="minorHAnsi" w:hAnsiTheme="minorHAnsi" w:cstheme="minorHAnsi"/>
          <w:i w:val="0"/>
          <w:sz w:val="20"/>
          <w:szCs w:val="20"/>
        </w:rPr>
        <w:t>American Economic Review</w:t>
      </w:r>
      <w:r w:rsidR="00A82EC9" w:rsidRPr="00414EA8">
        <w:rPr>
          <w:rFonts w:asciiTheme="minorHAnsi" w:hAnsiTheme="minorHAnsi" w:cstheme="minorHAnsi"/>
          <w:sz w:val="20"/>
          <w:szCs w:val="20"/>
        </w:rPr>
        <w:t xml:space="preserve">, 102(6), 2437–2471. </w:t>
      </w:r>
    </w:p>
    <w:p w14:paraId="35E12D71" w14:textId="2BD3472E" w:rsidR="00A82EC9" w:rsidRPr="00414EA8" w:rsidRDefault="00A82EC9" w:rsidP="00A82EC9">
      <w:pPr>
        <w:pStyle w:val="NormalWeb"/>
        <w:rPr>
          <w:rFonts w:asciiTheme="minorHAnsi" w:hAnsiTheme="minorHAnsi" w:cstheme="minorHAnsi"/>
          <w:sz w:val="20"/>
          <w:szCs w:val="20"/>
        </w:rPr>
      </w:pPr>
      <w:r w:rsidRPr="00414EA8">
        <w:rPr>
          <w:rFonts w:asciiTheme="minorHAnsi" w:hAnsiTheme="minorHAnsi" w:cstheme="minorHAnsi"/>
          <w:sz w:val="20"/>
          <w:szCs w:val="20"/>
        </w:rPr>
        <w:t>Donis</w:t>
      </w:r>
      <w:r w:rsidR="00713B45">
        <w:rPr>
          <w:rFonts w:asciiTheme="minorHAnsi" w:hAnsiTheme="minorHAnsi" w:cstheme="minorHAnsi"/>
          <w:sz w:val="20"/>
          <w:szCs w:val="20"/>
        </w:rPr>
        <w:t xml:space="preserve">moni MP, </w:t>
      </w:r>
      <w:r w:rsidR="00576C4E">
        <w:rPr>
          <w:rFonts w:asciiTheme="minorHAnsi" w:hAnsiTheme="minorHAnsi" w:cstheme="minorHAnsi"/>
          <w:sz w:val="20"/>
          <w:szCs w:val="20"/>
        </w:rPr>
        <w:t xml:space="preserve">Geroski </w:t>
      </w:r>
      <w:r w:rsidR="00713B45">
        <w:rPr>
          <w:rFonts w:asciiTheme="minorHAnsi" w:hAnsiTheme="minorHAnsi" w:cstheme="minorHAnsi"/>
          <w:sz w:val="20"/>
          <w:szCs w:val="20"/>
        </w:rPr>
        <w:t xml:space="preserve">P </w:t>
      </w:r>
      <w:r w:rsidR="00576C4E">
        <w:rPr>
          <w:rFonts w:asciiTheme="minorHAnsi" w:hAnsiTheme="minorHAnsi" w:cstheme="minorHAnsi"/>
          <w:sz w:val="20"/>
          <w:szCs w:val="20"/>
        </w:rPr>
        <w:t>&amp; Jacquemin</w:t>
      </w:r>
      <w:r w:rsidR="00713B45">
        <w:rPr>
          <w:rFonts w:asciiTheme="minorHAnsi" w:hAnsiTheme="minorHAnsi" w:cstheme="minorHAnsi"/>
          <w:sz w:val="20"/>
          <w:szCs w:val="20"/>
        </w:rPr>
        <w:t xml:space="preserve"> A</w:t>
      </w:r>
      <w:r w:rsidR="00576C4E">
        <w:rPr>
          <w:rFonts w:asciiTheme="minorHAnsi" w:hAnsiTheme="minorHAnsi" w:cstheme="minorHAnsi"/>
          <w:sz w:val="20"/>
          <w:szCs w:val="20"/>
        </w:rPr>
        <w:t xml:space="preserve"> (1984) </w:t>
      </w:r>
      <w:hyperlink r:id="rId33" w:history="1">
        <w:r w:rsidRPr="00414EA8">
          <w:rPr>
            <w:rStyle w:val="Hyperlink"/>
            <w:rFonts w:asciiTheme="minorHAnsi" w:hAnsiTheme="minorHAnsi" w:cstheme="minorHAnsi"/>
            <w:sz w:val="20"/>
            <w:szCs w:val="20"/>
          </w:rPr>
          <w:t>Concentration Indices and Market Power: Two Views</w:t>
        </w:r>
      </w:hyperlink>
      <w:r w:rsidR="00576C4E">
        <w:rPr>
          <w:rFonts w:asciiTheme="minorHAnsi" w:hAnsiTheme="minorHAnsi" w:cstheme="minorHAnsi"/>
          <w:sz w:val="20"/>
          <w:szCs w:val="20"/>
        </w:rPr>
        <w:t>,</w:t>
      </w:r>
      <w:r w:rsidRPr="00414EA8">
        <w:rPr>
          <w:rFonts w:asciiTheme="minorHAnsi" w:hAnsiTheme="minorHAnsi" w:cstheme="minorHAnsi"/>
          <w:sz w:val="20"/>
          <w:szCs w:val="20"/>
        </w:rPr>
        <w:t xml:space="preserve"> </w:t>
      </w:r>
      <w:r w:rsidRPr="00576C4E">
        <w:rPr>
          <w:rStyle w:val="Emphasis"/>
          <w:rFonts w:asciiTheme="minorHAnsi" w:hAnsiTheme="minorHAnsi" w:cstheme="minorHAnsi"/>
          <w:i w:val="0"/>
          <w:sz w:val="20"/>
          <w:szCs w:val="20"/>
        </w:rPr>
        <w:t>Journal of Industrial Economics</w:t>
      </w:r>
      <w:r w:rsidRPr="00414EA8">
        <w:rPr>
          <w:rFonts w:asciiTheme="minorHAnsi" w:hAnsiTheme="minorHAnsi" w:cstheme="minorHAnsi"/>
          <w:sz w:val="20"/>
          <w:szCs w:val="20"/>
        </w:rPr>
        <w:t xml:space="preserve">, 32(4), 419–434. </w:t>
      </w:r>
    </w:p>
    <w:p w14:paraId="35E12D72" w14:textId="5263061A" w:rsidR="00A82EC9" w:rsidRPr="00414EA8" w:rsidRDefault="007F7BDB" w:rsidP="00A82EC9">
      <w:pPr>
        <w:pStyle w:val="NormalWeb"/>
        <w:rPr>
          <w:rFonts w:asciiTheme="minorHAnsi" w:hAnsiTheme="minorHAnsi" w:cstheme="minorHAnsi"/>
          <w:sz w:val="20"/>
          <w:szCs w:val="20"/>
        </w:rPr>
      </w:pPr>
      <w:r>
        <w:rPr>
          <w:rFonts w:asciiTheme="minorHAnsi" w:hAnsiTheme="minorHAnsi" w:cstheme="minorHAnsi"/>
          <w:sz w:val="20"/>
          <w:szCs w:val="20"/>
        </w:rPr>
        <w:t>Guschanski</w:t>
      </w:r>
      <w:r w:rsidR="00576C4E">
        <w:rPr>
          <w:rFonts w:asciiTheme="minorHAnsi" w:hAnsiTheme="minorHAnsi" w:cstheme="minorHAnsi"/>
          <w:sz w:val="20"/>
          <w:szCs w:val="20"/>
        </w:rPr>
        <w:t xml:space="preserve"> A &amp; Onaran</w:t>
      </w:r>
      <w:r>
        <w:rPr>
          <w:rFonts w:asciiTheme="minorHAnsi" w:hAnsiTheme="minorHAnsi" w:cstheme="minorHAnsi"/>
          <w:sz w:val="20"/>
          <w:szCs w:val="20"/>
        </w:rPr>
        <w:t xml:space="preserve"> O</w:t>
      </w:r>
      <w:r w:rsidR="00576C4E">
        <w:rPr>
          <w:rFonts w:asciiTheme="minorHAnsi" w:hAnsiTheme="minorHAnsi" w:cstheme="minorHAnsi"/>
          <w:sz w:val="20"/>
          <w:szCs w:val="20"/>
        </w:rPr>
        <w:t xml:space="preserve"> (2018) </w:t>
      </w:r>
      <w:hyperlink r:id="rId34" w:history="1">
        <w:r w:rsidR="00A82EC9" w:rsidRPr="00414EA8">
          <w:rPr>
            <w:rStyle w:val="Hyperlink"/>
            <w:rFonts w:asciiTheme="minorHAnsi" w:hAnsiTheme="minorHAnsi" w:cstheme="minorHAnsi"/>
            <w:sz w:val="20"/>
            <w:szCs w:val="20"/>
          </w:rPr>
          <w:t>The Labour Share and Financialisation: Evidence from Publicly Listed Firms</w:t>
        </w:r>
      </w:hyperlink>
      <w:r w:rsidR="00576C4E">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576C4E">
        <w:rPr>
          <w:rStyle w:val="Emphasis"/>
          <w:rFonts w:asciiTheme="minorHAnsi" w:hAnsiTheme="minorHAnsi" w:cstheme="minorHAnsi"/>
          <w:i w:val="0"/>
          <w:sz w:val="20"/>
          <w:szCs w:val="20"/>
        </w:rPr>
        <w:t>Greenwich Papers in Political Economy</w:t>
      </w:r>
      <w:r w:rsidR="00A82EC9" w:rsidRPr="00414EA8">
        <w:rPr>
          <w:rFonts w:asciiTheme="minorHAnsi" w:hAnsiTheme="minorHAnsi" w:cstheme="minorHAnsi"/>
          <w:sz w:val="20"/>
          <w:szCs w:val="20"/>
        </w:rPr>
        <w:t xml:space="preserve">, University of Greenwich, Paper No. GPERC59. </w:t>
      </w:r>
    </w:p>
    <w:p w14:paraId="35E12D73" w14:textId="63C869DB" w:rsidR="00A82EC9" w:rsidRPr="00414EA8" w:rsidRDefault="00A82EC9" w:rsidP="00A82EC9">
      <w:pPr>
        <w:pStyle w:val="NormalWeb"/>
        <w:rPr>
          <w:rFonts w:asciiTheme="minorHAnsi" w:hAnsiTheme="minorHAnsi" w:cstheme="minorHAnsi"/>
          <w:sz w:val="20"/>
          <w:szCs w:val="20"/>
        </w:rPr>
      </w:pPr>
      <w:r w:rsidRPr="00414EA8">
        <w:rPr>
          <w:rFonts w:asciiTheme="minorHAnsi" w:hAnsiTheme="minorHAnsi" w:cstheme="minorHAnsi"/>
          <w:sz w:val="20"/>
          <w:szCs w:val="20"/>
        </w:rPr>
        <w:t>Halti</w:t>
      </w:r>
      <w:r w:rsidR="00D21435">
        <w:rPr>
          <w:rFonts w:asciiTheme="minorHAnsi" w:hAnsiTheme="minorHAnsi" w:cstheme="minorHAnsi"/>
          <w:sz w:val="20"/>
          <w:szCs w:val="20"/>
        </w:rPr>
        <w:t>wanger JC</w:t>
      </w:r>
      <w:r w:rsidR="00576C4E">
        <w:rPr>
          <w:rFonts w:asciiTheme="minorHAnsi" w:hAnsiTheme="minorHAnsi" w:cstheme="minorHAnsi"/>
          <w:sz w:val="20"/>
          <w:szCs w:val="20"/>
        </w:rPr>
        <w:t>, Jarmin</w:t>
      </w:r>
      <w:r w:rsidR="00D21435">
        <w:rPr>
          <w:rFonts w:asciiTheme="minorHAnsi" w:hAnsiTheme="minorHAnsi" w:cstheme="minorHAnsi"/>
          <w:sz w:val="20"/>
          <w:szCs w:val="20"/>
        </w:rPr>
        <w:t xml:space="preserve"> RS</w:t>
      </w:r>
      <w:r w:rsidR="00576C4E">
        <w:rPr>
          <w:rFonts w:asciiTheme="minorHAnsi" w:hAnsiTheme="minorHAnsi" w:cstheme="minorHAnsi"/>
          <w:sz w:val="20"/>
          <w:szCs w:val="20"/>
        </w:rPr>
        <w:t xml:space="preserve"> &amp; Miranda</w:t>
      </w:r>
      <w:r w:rsidR="00D21435">
        <w:rPr>
          <w:rFonts w:asciiTheme="minorHAnsi" w:hAnsiTheme="minorHAnsi" w:cstheme="minorHAnsi"/>
          <w:sz w:val="20"/>
          <w:szCs w:val="20"/>
        </w:rPr>
        <w:t xml:space="preserve"> J</w:t>
      </w:r>
      <w:r w:rsidR="00576C4E">
        <w:rPr>
          <w:rFonts w:asciiTheme="minorHAnsi" w:hAnsiTheme="minorHAnsi" w:cstheme="minorHAnsi"/>
          <w:sz w:val="20"/>
          <w:szCs w:val="20"/>
        </w:rPr>
        <w:t xml:space="preserve"> (2013) </w:t>
      </w:r>
      <w:hyperlink r:id="rId35" w:history="1">
        <w:r w:rsidRPr="00414EA8">
          <w:rPr>
            <w:rStyle w:val="Hyperlink"/>
            <w:rFonts w:asciiTheme="minorHAnsi" w:hAnsiTheme="minorHAnsi" w:cstheme="minorHAnsi"/>
            <w:sz w:val="20"/>
            <w:szCs w:val="20"/>
          </w:rPr>
          <w:t>Who Creates Jobs? Small vs. Large vs. Young</w:t>
        </w:r>
      </w:hyperlink>
      <w:r w:rsidRPr="00414EA8">
        <w:rPr>
          <w:rFonts w:asciiTheme="minorHAnsi" w:hAnsiTheme="minorHAnsi" w:cstheme="minorHAnsi"/>
          <w:sz w:val="20"/>
          <w:szCs w:val="20"/>
        </w:rPr>
        <w:t xml:space="preserve">, </w:t>
      </w:r>
      <w:r w:rsidRPr="00576C4E">
        <w:rPr>
          <w:rStyle w:val="Emphasis"/>
          <w:rFonts w:asciiTheme="minorHAnsi" w:hAnsiTheme="minorHAnsi" w:cstheme="minorHAnsi"/>
          <w:i w:val="0"/>
          <w:sz w:val="20"/>
          <w:szCs w:val="20"/>
        </w:rPr>
        <w:t>Review of Economics and Statistics</w:t>
      </w:r>
      <w:r w:rsidRPr="00414EA8">
        <w:rPr>
          <w:rFonts w:asciiTheme="minorHAnsi" w:hAnsiTheme="minorHAnsi" w:cstheme="minorHAnsi"/>
          <w:sz w:val="20"/>
          <w:szCs w:val="20"/>
        </w:rPr>
        <w:t xml:space="preserve">, 95(2), 347–361. </w:t>
      </w:r>
    </w:p>
    <w:p w14:paraId="35E12D74" w14:textId="75164DAF" w:rsidR="00A82EC9" w:rsidRPr="00414EA8" w:rsidRDefault="00747243" w:rsidP="00A82EC9">
      <w:pPr>
        <w:pStyle w:val="NormalWeb"/>
        <w:rPr>
          <w:rFonts w:asciiTheme="minorHAnsi" w:hAnsiTheme="minorHAnsi" w:cstheme="minorHAnsi"/>
          <w:sz w:val="20"/>
          <w:szCs w:val="20"/>
        </w:rPr>
      </w:pPr>
      <w:r>
        <w:rPr>
          <w:rFonts w:asciiTheme="minorHAnsi" w:hAnsiTheme="minorHAnsi" w:cstheme="minorHAnsi"/>
          <w:sz w:val="20"/>
          <w:szCs w:val="20"/>
        </w:rPr>
        <w:t>Hansell D.</w:t>
      </w:r>
      <w:r w:rsidR="005B00A4">
        <w:rPr>
          <w:rFonts w:asciiTheme="minorHAnsi" w:hAnsiTheme="minorHAnsi" w:cstheme="minorHAnsi"/>
          <w:sz w:val="20"/>
          <w:szCs w:val="20"/>
        </w:rPr>
        <w:t xml:space="preserve"> &amp;</w:t>
      </w:r>
      <w:r>
        <w:rPr>
          <w:rFonts w:asciiTheme="minorHAnsi" w:hAnsiTheme="minorHAnsi" w:cstheme="minorHAnsi"/>
          <w:sz w:val="20"/>
          <w:szCs w:val="20"/>
        </w:rPr>
        <w:t xml:space="preserve"> </w:t>
      </w:r>
      <w:r w:rsidR="005B00A4">
        <w:rPr>
          <w:rFonts w:asciiTheme="minorHAnsi" w:hAnsiTheme="minorHAnsi" w:cstheme="minorHAnsi"/>
          <w:sz w:val="20"/>
          <w:szCs w:val="20"/>
        </w:rPr>
        <w:t>Rafi</w:t>
      </w:r>
      <w:r>
        <w:rPr>
          <w:rFonts w:asciiTheme="minorHAnsi" w:hAnsiTheme="minorHAnsi" w:cstheme="minorHAnsi"/>
          <w:sz w:val="20"/>
          <w:szCs w:val="20"/>
        </w:rPr>
        <w:t xml:space="preserve"> B.</w:t>
      </w:r>
      <w:r w:rsidR="005B00A4">
        <w:rPr>
          <w:rFonts w:asciiTheme="minorHAnsi" w:hAnsiTheme="minorHAnsi" w:cstheme="minorHAnsi"/>
          <w:sz w:val="20"/>
          <w:szCs w:val="20"/>
        </w:rPr>
        <w:t xml:space="preserve"> (2018) </w:t>
      </w:r>
      <w:hyperlink r:id="rId36" w:history="1">
        <w:r w:rsidR="00A82EC9" w:rsidRPr="00414EA8">
          <w:rPr>
            <w:rStyle w:val="Hyperlink"/>
            <w:rFonts w:asciiTheme="minorHAnsi" w:hAnsiTheme="minorHAnsi" w:cstheme="minorHAnsi"/>
            <w:sz w:val="20"/>
            <w:szCs w:val="20"/>
          </w:rPr>
          <w:t>Firm-Level Analysis Using the ABS’ Business Longitudinal Analysis Data Environment (BLADE)</w:t>
        </w:r>
      </w:hyperlink>
      <w:r w:rsidR="005B00A4">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5B00A4">
        <w:rPr>
          <w:rStyle w:val="Emphasis"/>
          <w:rFonts w:asciiTheme="minorHAnsi" w:hAnsiTheme="minorHAnsi" w:cstheme="minorHAnsi"/>
          <w:i w:val="0"/>
          <w:sz w:val="20"/>
          <w:szCs w:val="20"/>
        </w:rPr>
        <w:t>Australian Economic Review</w:t>
      </w:r>
      <w:r w:rsidR="00A82EC9" w:rsidRPr="00414EA8">
        <w:rPr>
          <w:rFonts w:asciiTheme="minorHAnsi" w:hAnsiTheme="minorHAnsi" w:cstheme="minorHAnsi"/>
          <w:sz w:val="20"/>
          <w:szCs w:val="20"/>
        </w:rPr>
        <w:t xml:space="preserve">, 51(1), 132–138. </w:t>
      </w:r>
    </w:p>
    <w:p w14:paraId="35E12D75" w14:textId="392B52B9" w:rsidR="00A82EC9" w:rsidRPr="00414EA8" w:rsidRDefault="00FE4E2B" w:rsidP="00A82EC9">
      <w:pPr>
        <w:pStyle w:val="NormalWeb"/>
        <w:rPr>
          <w:rFonts w:asciiTheme="minorHAnsi" w:hAnsiTheme="minorHAnsi" w:cstheme="minorHAnsi"/>
          <w:sz w:val="20"/>
          <w:szCs w:val="20"/>
        </w:rPr>
      </w:pPr>
      <w:r>
        <w:rPr>
          <w:rFonts w:asciiTheme="minorHAnsi" w:hAnsiTheme="minorHAnsi" w:cstheme="minorHAnsi"/>
          <w:sz w:val="20"/>
          <w:szCs w:val="20"/>
        </w:rPr>
        <w:t>Hotelling</w:t>
      </w:r>
      <w:r w:rsidR="00050EFA">
        <w:rPr>
          <w:rFonts w:asciiTheme="minorHAnsi" w:hAnsiTheme="minorHAnsi" w:cstheme="minorHAnsi"/>
          <w:sz w:val="20"/>
          <w:szCs w:val="20"/>
        </w:rPr>
        <w:t xml:space="preserve"> H (1933) </w:t>
      </w:r>
      <w:hyperlink r:id="rId37" w:history="1">
        <w:r w:rsidR="00A82EC9" w:rsidRPr="00414EA8">
          <w:rPr>
            <w:rStyle w:val="Hyperlink"/>
            <w:rFonts w:asciiTheme="minorHAnsi" w:hAnsiTheme="minorHAnsi" w:cstheme="minorHAnsi"/>
            <w:sz w:val="20"/>
            <w:szCs w:val="20"/>
          </w:rPr>
          <w:t>Analysis of a Complex of Statistical Variables into Principal Components</w:t>
        </w:r>
      </w:hyperlink>
      <w:r w:rsidR="00050EFA">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050EFA">
        <w:rPr>
          <w:rStyle w:val="Emphasis"/>
          <w:rFonts w:asciiTheme="minorHAnsi" w:hAnsiTheme="minorHAnsi" w:cstheme="minorHAnsi"/>
          <w:i w:val="0"/>
          <w:sz w:val="20"/>
          <w:szCs w:val="20"/>
        </w:rPr>
        <w:t>Journal of Educational Psychology</w:t>
      </w:r>
      <w:r w:rsidR="00A82EC9" w:rsidRPr="00414EA8">
        <w:rPr>
          <w:rFonts w:asciiTheme="minorHAnsi" w:hAnsiTheme="minorHAnsi" w:cstheme="minorHAnsi"/>
          <w:sz w:val="20"/>
          <w:szCs w:val="20"/>
        </w:rPr>
        <w:t xml:space="preserve">, 24(6), 417–441. </w:t>
      </w:r>
    </w:p>
    <w:p w14:paraId="256CCA8F" w14:textId="77777777" w:rsidR="00C258CE" w:rsidRDefault="00FE4E2B" w:rsidP="00A82EC9">
      <w:pPr>
        <w:pStyle w:val="NormalWeb"/>
        <w:rPr>
          <w:rFonts w:asciiTheme="minorHAnsi" w:hAnsiTheme="minorHAnsi" w:cstheme="minorHAnsi"/>
          <w:sz w:val="20"/>
          <w:szCs w:val="20"/>
        </w:rPr>
      </w:pPr>
      <w:r>
        <w:rPr>
          <w:rFonts w:asciiTheme="minorHAnsi" w:hAnsiTheme="minorHAnsi" w:cstheme="minorHAnsi"/>
          <w:sz w:val="20"/>
          <w:szCs w:val="20"/>
        </w:rPr>
        <w:t>Minifie J</w:t>
      </w:r>
      <w:r w:rsidR="00A82EC9" w:rsidRPr="00414EA8">
        <w:rPr>
          <w:rFonts w:asciiTheme="minorHAnsi" w:hAnsiTheme="minorHAnsi" w:cstheme="minorHAnsi"/>
          <w:sz w:val="20"/>
          <w:szCs w:val="20"/>
        </w:rPr>
        <w:t xml:space="preserve"> (2017) </w:t>
      </w:r>
      <w:hyperlink r:id="rId38" w:history="1">
        <w:r w:rsidR="00A82EC9" w:rsidRPr="00414EA8">
          <w:rPr>
            <w:rStyle w:val="Hyperlink"/>
            <w:rFonts w:asciiTheme="minorHAnsi" w:hAnsiTheme="minorHAnsi" w:cstheme="minorHAnsi"/>
            <w:sz w:val="20"/>
            <w:szCs w:val="20"/>
          </w:rPr>
          <w:t>Competition in Australia: Too Much of a Good Thing?</w:t>
        </w:r>
      </w:hyperlink>
      <w:r w:rsidR="00050EFA">
        <w:rPr>
          <w:rFonts w:asciiTheme="minorHAnsi" w:hAnsiTheme="minorHAnsi" w:cstheme="minorHAnsi"/>
          <w:sz w:val="20"/>
          <w:szCs w:val="20"/>
        </w:rPr>
        <w:t xml:space="preserve"> </w:t>
      </w:r>
      <w:r w:rsidR="00A82EC9" w:rsidRPr="00050EFA">
        <w:rPr>
          <w:rStyle w:val="Emphasis"/>
          <w:rFonts w:asciiTheme="minorHAnsi" w:hAnsiTheme="minorHAnsi" w:cstheme="minorHAnsi"/>
          <w:i w:val="0"/>
          <w:sz w:val="20"/>
          <w:szCs w:val="20"/>
        </w:rPr>
        <w:t>Grattan Institute</w:t>
      </w:r>
      <w:r w:rsidR="00A82EC9" w:rsidRPr="00414EA8">
        <w:rPr>
          <w:rFonts w:asciiTheme="minorHAnsi" w:hAnsiTheme="minorHAnsi" w:cstheme="minorHAnsi"/>
          <w:sz w:val="20"/>
          <w:szCs w:val="20"/>
        </w:rPr>
        <w:t xml:space="preserve">, December 3rd. </w:t>
      </w:r>
    </w:p>
    <w:p w14:paraId="35E12D76" w14:textId="59A390E9" w:rsidR="00A82EC9" w:rsidRPr="00414EA8" w:rsidRDefault="00A82EC9" w:rsidP="00A82EC9">
      <w:pPr>
        <w:pStyle w:val="NormalWeb"/>
        <w:rPr>
          <w:rFonts w:asciiTheme="minorHAnsi" w:hAnsiTheme="minorHAnsi" w:cstheme="minorHAnsi"/>
          <w:sz w:val="20"/>
          <w:szCs w:val="20"/>
        </w:rPr>
      </w:pPr>
      <w:r w:rsidRPr="00414EA8">
        <w:rPr>
          <w:rFonts w:asciiTheme="minorHAnsi" w:hAnsiTheme="minorHAnsi" w:cstheme="minorHAnsi"/>
          <w:sz w:val="20"/>
          <w:szCs w:val="20"/>
        </w:rPr>
        <w:t xml:space="preserve">OECD (2017) </w:t>
      </w:r>
      <w:hyperlink r:id="rId39" w:history="1">
        <w:r w:rsidRPr="00414EA8">
          <w:rPr>
            <w:rStyle w:val="Hyperlink"/>
            <w:rFonts w:asciiTheme="minorHAnsi" w:hAnsiTheme="minorHAnsi" w:cstheme="minorHAnsi"/>
            <w:i/>
            <w:iCs/>
            <w:sz w:val="20"/>
            <w:szCs w:val="20"/>
          </w:rPr>
          <w:t>Science, Technology and Industry Scoreboard 2017</w:t>
        </w:r>
      </w:hyperlink>
      <w:r w:rsidRPr="00414EA8">
        <w:rPr>
          <w:rFonts w:asciiTheme="minorHAnsi" w:hAnsiTheme="minorHAnsi" w:cstheme="minorHAnsi"/>
          <w:sz w:val="20"/>
          <w:szCs w:val="20"/>
        </w:rPr>
        <w:t xml:space="preserve">, Organisation of Economic Cooperation and Development, Chp.1, Graph 1.31. </w:t>
      </w:r>
    </w:p>
    <w:p w14:paraId="35E12D77" w14:textId="1A9F2D56" w:rsidR="00A82EC9" w:rsidRPr="00414EA8" w:rsidRDefault="00FE4E2B" w:rsidP="00A82EC9">
      <w:pPr>
        <w:pStyle w:val="NormalWeb"/>
        <w:rPr>
          <w:rFonts w:asciiTheme="minorHAnsi" w:hAnsiTheme="minorHAnsi" w:cstheme="minorHAnsi"/>
          <w:sz w:val="20"/>
          <w:szCs w:val="20"/>
        </w:rPr>
      </w:pPr>
      <w:r>
        <w:rPr>
          <w:rFonts w:asciiTheme="minorHAnsi" w:hAnsiTheme="minorHAnsi" w:cstheme="minorHAnsi"/>
          <w:sz w:val="20"/>
          <w:szCs w:val="20"/>
        </w:rPr>
        <w:t>Shambaugh J</w:t>
      </w:r>
      <w:r w:rsidR="00A82EC9" w:rsidRPr="00414EA8">
        <w:rPr>
          <w:rFonts w:asciiTheme="minorHAnsi" w:hAnsiTheme="minorHAnsi" w:cstheme="minorHAnsi"/>
          <w:sz w:val="20"/>
          <w:szCs w:val="20"/>
        </w:rPr>
        <w:t xml:space="preserve">, </w:t>
      </w:r>
      <w:r w:rsidR="00050EFA">
        <w:rPr>
          <w:rFonts w:asciiTheme="minorHAnsi" w:hAnsiTheme="minorHAnsi" w:cstheme="minorHAnsi"/>
          <w:sz w:val="20"/>
          <w:szCs w:val="20"/>
        </w:rPr>
        <w:t>Nunn</w:t>
      </w:r>
      <w:r>
        <w:rPr>
          <w:rFonts w:asciiTheme="minorHAnsi" w:hAnsiTheme="minorHAnsi" w:cstheme="minorHAnsi"/>
          <w:sz w:val="20"/>
          <w:szCs w:val="20"/>
        </w:rPr>
        <w:t xml:space="preserve"> R.</w:t>
      </w:r>
      <w:r w:rsidR="00050EFA">
        <w:rPr>
          <w:rFonts w:asciiTheme="minorHAnsi" w:hAnsiTheme="minorHAnsi" w:cstheme="minorHAnsi"/>
          <w:sz w:val="20"/>
          <w:szCs w:val="20"/>
        </w:rPr>
        <w:t>, Breitwieser</w:t>
      </w:r>
      <w:r>
        <w:rPr>
          <w:rFonts w:asciiTheme="minorHAnsi" w:hAnsiTheme="minorHAnsi" w:cstheme="minorHAnsi"/>
          <w:sz w:val="20"/>
          <w:szCs w:val="20"/>
        </w:rPr>
        <w:t xml:space="preserve"> A</w:t>
      </w:r>
      <w:r w:rsidR="00050EFA">
        <w:rPr>
          <w:rFonts w:asciiTheme="minorHAnsi" w:hAnsiTheme="minorHAnsi" w:cstheme="minorHAnsi"/>
          <w:sz w:val="20"/>
          <w:szCs w:val="20"/>
        </w:rPr>
        <w:t xml:space="preserve"> &amp; Liu </w:t>
      </w:r>
      <w:r>
        <w:rPr>
          <w:rFonts w:asciiTheme="minorHAnsi" w:hAnsiTheme="minorHAnsi" w:cstheme="minorHAnsi"/>
          <w:sz w:val="20"/>
          <w:szCs w:val="20"/>
        </w:rPr>
        <w:t xml:space="preserve">P </w:t>
      </w:r>
      <w:r w:rsidR="00050EFA">
        <w:rPr>
          <w:rFonts w:asciiTheme="minorHAnsi" w:hAnsiTheme="minorHAnsi" w:cstheme="minorHAnsi"/>
          <w:sz w:val="20"/>
          <w:szCs w:val="20"/>
        </w:rPr>
        <w:t xml:space="preserve">(2018) </w:t>
      </w:r>
      <w:hyperlink r:id="rId40" w:history="1">
        <w:r w:rsidR="00A82EC9" w:rsidRPr="00414EA8">
          <w:rPr>
            <w:rStyle w:val="Hyperlink"/>
            <w:rFonts w:asciiTheme="minorHAnsi" w:hAnsiTheme="minorHAnsi" w:cstheme="minorHAnsi"/>
            <w:sz w:val="20"/>
            <w:szCs w:val="20"/>
          </w:rPr>
          <w:t>The State of Competition and Dynamism: Facts about Concentration, Start-ups, and Related Policies</w:t>
        </w:r>
      </w:hyperlink>
      <w:r w:rsidR="00050EFA">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050EFA">
        <w:rPr>
          <w:rStyle w:val="Emphasis"/>
          <w:rFonts w:asciiTheme="minorHAnsi" w:hAnsiTheme="minorHAnsi" w:cstheme="minorHAnsi"/>
          <w:i w:val="0"/>
          <w:sz w:val="20"/>
          <w:szCs w:val="20"/>
        </w:rPr>
        <w:t>Brookings Institution</w:t>
      </w:r>
      <w:r w:rsidR="00A82EC9" w:rsidRPr="00414EA8">
        <w:rPr>
          <w:rFonts w:asciiTheme="minorHAnsi" w:hAnsiTheme="minorHAnsi" w:cstheme="minorHAnsi"/>
          <w:sz w:val="20"/>
          <w:szCs w:val="20"/>
        </w:rPr>
        <w:t xml:space="preserve">, Economic Facts Report, June. </w:t>
      </w:r>
    </w:p>
    <w:p w14:paraId="35E12D78" w14:textId="6FC5C464" w:rsidR="00A82EC9" w:rsidRPr="00414EA8" w:rsidRDefault="002B4E72" w:rsidP="00A82EC9">
      <w:pPr>
        <w:pStyle w:val="NormalWeb"/>
        <w:rPr>
          <w:rFonts w:asciiTheme="minorHAnsi" w:hAnsiTheme="minorHAnsi" w:cstheme="minorHAnsi"/>
          <w:sz w:val="20"/>
          <w:szCs w:val="20"/>
        </w:rPr>
      </w:pPr>
      <w:r>
        <w:rPr>
          <w:rFonts w:asciiTheme="minorHAnsi" w:hAnsiTheme="minorHAnsi" w:cstheme="minorHAnsi"/>
          <w:sz w:val="20"/>
          <w:szCs w:val="20"/>
        </w:rPr>
        <w:t>Stiglitz JE (</w:t>
      </w:r>
      <w:r w:rsidR="00050EFA">
        <w:rPr>
          <w:rFonts w:asciiTheme="minorHAnsi" w:hAnsiTheme="minorHAnsi" w:cstheme="minorHAnsi"/>
          <w:sz w:val="20"/>
          <w:szCs w:val="20"/>
        </w:rPr>
        <w:t xml:space="preserve">2019) </w:t>
      </w:r>
      <w:hyperlink r:id="rId41" w:history="1">
        <w:r w:rsidR="00A82EC9" w:rsidRPr="00414EA8">
          <w:rPr>
            <w:rStyle w:val="Hyperlink"/>
            <w:rFonts w:asciiTheme="minorHAnsi" w:hAnsiTheme="minorHAnsi" w:cstheme="minorHAnsi"/>
            <w:sz w:val="20"/>
            <w:szCs w:val="20"/>
          </w:rPr>
          <w:t>Market Concentration is Threatening the US Economy</w:t>
        </w:r>
      </w:hyperlink>
      <w:r w:rsidR="00050EFA">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050EFA">
        <w:rPr>
          <w:rStyle w:val="Emphasis"/>
          <w:rFonts w:asciiTheme="minorHAnsi" w:hAnsiTheme="minorHAnsi" w:cstheme="minorHAnsi"/>
          <w:i w:val="0"/>
          <w:sz w:val="20"/>
          <w:szCs w:val="20"/>
        </w:rPr>
        <w:t>Project Syndicate</w:t>
      </w:r>
      <w:r w:rsidR="00A82EC9" w:rsidRPr="00414EA8">
        <w:rPr>
          <w:rFonts w:asciiTheme="minorHAnsi" w:hAnsiTheme="minorHAnsi" w:cstheme="minorHAnsi"/>
          <w:sz w:val="20"/>
          <w:szCs w:val="20"/>
        </w:rPr>
        <w:t xml:space="preserve">, March 11. </w:t>
      </w:r>
    </w:p>
    <w:p w14:paraId="35E12D79" w14:textId="13B45F3A" w:rsidR="00A82EC9" w:rsidRPr="00414EA8" w:rsidRDefault="00EF73FA" w:rsidP="00D517FD">
      <w:pPr>
        <w:pStyle w:val="NormalWeb"/>
        <w:rPr>
          <w:rFonts w:asciiTheme="minorHAnsi" w:hAnsiTheme="minorHAnsi" w:cstheme="minorHAnsi"/>
          <w:sz w:val="20"/>
          <w:szCs w:val="20"/>
          <w:lang w:val="en"/>
        </w:rPr>
      </w:pPr>
      <w:r>
        <w:rPr>
          <w:rFonts w:asciiTheme="minorHAnsi" w:hAnsiTheme="minorHAnsi" w:cstheme="minorHAnsi"/>
          <w:sz w:val="20"/>
          <w:szCs w:val="20"/>
        </w:rPr>
        <w:t>Zingales L</w:t>
      </w:r>
      <w:r w:rsidR="00050EFA">
        <w:rPr>
          <w:rFonts w:asciiTheme="minorHAnsi" w:hAnsiTheme="minorHAnsi" w:cstheme="minorHAnsi"/>
          <w:sz w:val="20"/>
          <w:szCs w:val="20"/>
        </w:rPr>
        <w:t xml:space="preserve"> (2017) </w:t>
      </w:r>
      <w:hyperlink r:id="rId42" w:history="1">
        <w:r w:rsidR="00A82EC9" w:rsidRPr="00414EA8">
          <w:rPr>
            <w:rStyle w:val="Hyperlink"/>
            <w:rFonts w:asciiTheme="minorHAnsi" w:hAnsiTheme="minorHAnsi" w:cstheme="minorHAnsi"/>
            <w:sz w:val="20"/>
            <w:szCs w:val="20"/>
          </w:rPr>
          <w:t>Towards a Political Theory of the Firm</w:t>
        </w:r>
      </w:hyperlink>
      <w:r w:rsidR="00050EFA">
        <w:rPr>
          <w:rFonts w:asciiTheme="minorHAnsi" w:hAnsiTheme="minorHAnsi" w:cstheme="minorHAnsi"/>
          <w:sz w:val="20"/>
          <w:szCs w:val="20"/>
        </w:rPr>
        <w:t>,</w:t>
      </w:r>
      <w:r w:rsidR="00A82EC9" w:rsidRPr="00414EA8">
        <w:rPr>
          <w:rFonts w:asciiTheme="minorHAnsi" w:hAnsiTheme="minorHAnsi" w:cstheme="minorHAnsi"/>
          <w:sz w:val="20"/>
          <w:szCs w:val="20"/>
        </w:rPr>
        <w:t xml:space="preserve"> </w:t>
      </w:r>
      <w:r w:rsidR="00A82EC9" w:rsidRPr="00050EFA">
        <w:rPr>
          <w:rStyle w:val="Emphasis"/>
          <w:rFonts w:asciiTheme="minorHAnsi" w:hAnsiTheme="minorHAnsi" w:cstheme="minorHAnsi"/>
          <w:i w:val="0"/>
          <w:sz w:val="20"/>
          <w:szCs w:val="20"/>
        </w:rPr>
        <w:t>Journal of Economic Perspectives</w:t>
      </w:r>
      <w:r w:rsidR="00A82EC9" w:rsidRPr="00414EA8">
        <w:rPr>
          <w:rFonts w:asciiTheme="minorHAnsi" w:hAnsiTheme="minorHAnsi" w:cstheme="minorHAnsi"/>
          <w:sz w:val="20"/>
          <w:szCs w:val="20"/>
        </w:rPr>
        <w:t>, 31(3), 113–130.</w:t>
      </w:r>
    </w:p>
    <w:sectPr w:rsidR="00A82EC9" w:rsidRPr="00414EA8" w:rsidSect="0063036B">
      <w:footerReference w:type="default" r:id="rId43"/>
      <w:footerReference w:type="first" r:id="rId44"/>
      <w:pgSz w:w="11906" w:h="16838" w:code="9"/>
      <w:pgMar w:top="1440" w:right="1440" w:bottom="1440" w:left="357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12D8E" w14:textId="77777777" w:rsidR="00412E34" w:rsidRDefault="00412E34" w:rsidP="00F244EA">
      <w:pPr>
        <w:spacing w:after="0" w:line="240" w:lineRule="auto"/>
      </w:pPr>
      <w:r>
        <w:separator/>
      </w:r>
    </w:p>
  </w:endnote>
  <w:endnote w:type="continuationSeparator" w:id="0">
    <w:p w14:paraId="35E12D8F" w14:textId="77777777" w:rsidR="00412E34" w:rsidRDefault="00412E34"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12D90" w14:textId="77777777" w:rsidR="00412E34" w:rsidRPr="001C2E57" w:rsidRDefault="00412E34" w:rsidP="00301D88">
    <w:pPr>
      <w:pStyle w:val="Footer"/>
      <w:tabs>
        <w:tab w:val="clear" w:pos="9680"/>
      </w:tabs>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A20DE7">
      <w:rPr>
        <w:noProof/>
      </w:rPr>
      <w:instrText>Trends in Market Concentration of Australian Industries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A20DE7">
      <w:rPr>
        <w:noProof/>
      </w:rPr>
      <w:instrText>Trends in Market Concentration of Australian Industries</w:instrText>
    </w:r>
    <w:r>
      <w:rPr>
        <w:noProof/>
      </w:rPr>
      <w:fldChar w:fldCharType="end"/>
    </w:r>
    <w:r w:rsidRPr="001C2E57">
      <w:instrText xml:space="preserve"> </w:instrText>
    </w:r>
    <w:r w:rsidRPr="001C2E57">
      <w:fldChar w:fldCharType="separate"/>
    </w:r>
    <w:r w:rsidR="00A20DE7">
      <w:rPr>
        <w:noProof/>
      </w:rPr>
      <w:t>Trends in Market Concentration of Australian Industries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A20DE7">
      <w:rPr>
        <w:noProof/>
      </w:rPr>
      <w:t>30</w:t>
    </w:r>
    <w:r w:rsidRPr="001C2E5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12D91" w14:textId="77777777" w:rsidR="00412E34" w:rsidRPr="001C2E57" w:rsidRDefault="00412E34"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A20DE7">
      <w:rPr>
        <w:noProof/>
      </w:rPr>
      <w:instrText>Trends in Market Concentration of Australian Industries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A20DE7">
      <w:rPr>
        <w:noProof/>
      </w:rPr>
      <w:instrText>Trends in Market Concentration of Australian Industries</w:instrText>
    </w:r>
    <w:r>
      <w:rPr>
        <w:noProof/>
      </w:rPr>
      <w:fldChar w:fldCharType="end"/>
    </w:r>
    <w:r w:rsidRPr="001C2E57">
      <w:instrText xml:space="preserve"> </w:instrText>
    </w:r>
    <w:r w:rsidRPr="001C2E57">
      <w:fldChar w:fldCharType="separate"/>
    </w:r>
    <w:r w:rsidR="00A20DE7">
      <w:rPr>
        <w:noProof/>
      </w:rPr>
      <w:t>Trends in Market Concentration of Australian Industries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12D8C" w14:textId="77777777" w:rsidR="00412E34" w:rsidRDefault="00412E34" w:rsidP="00F244EA">
      <w:pPr>
        <w:spacing w:after="0" w:line="240" w:lineRule="auto"/>
      </w:pPr>
      <w:r>
        <w:separator/>
      </w:r>
    </w:p>
  </w:footnote>
  <w:footnote w:type="continuationSeparator" w:id="0">
    <w:p w14:paraId="35E12D8D" w14:textId="77777777" w:rsidR="00412E34" w:rsidRDefault="00412E34" w:rsidP="00F244EA">
      <w:pPr>
        <w:spacing w:after="0" w:line="240" w:lineRule="auto"/>
      </w:pPr>
      <w:r>
        <w:continuationSeparator/>
      </w:r>
    </w:p>
  </w:footnote>
  <w:footnote w:id="1">
    <w:p w14:paraId="35E12D92" w14:textId="77777777" w:rsidR="00412E34" w:rsidRDefault="00412E34" w:rsidP="00F32754">
      <w:pPr>
        <w:pStyle w:val="FootnoteText"/>
        <w:spacing w:line="270" w:lineRule="exact"/>
        <w:ind w:left="0"/>
      </w:pPr>
      <w:r w:rsidRPr="009B6C0E">
        <w:rPr>
          <w:rStyle w:val="FootnoteReference"/>
          <w:rFonts w:eastAsiaTheme="majorEastAsia"/>
        </w:rPr>
        <w:footnoteRef/>
      </w:r>
      <w:r>
        <w:t xml:space="preserve"> Note that </w:t>
      </w:r>
    </w:p>
    <w:p w14:paraId="35E12D93" w14:textId="77777777" w:rsidR="00412E34" w:rsidRDefault="00412E34" w:rsidP="00625CBF">
      <w:pPr>
        <w:pStyle w:val="equation"/>
        <w:tabs>
          <w:tab w:val="center" w:pos="4019"/>
        </w:tabs>
        <w:spacing w:line="360" w:lineRule="exact"/>
      </w:pPr>
      <w:r>
        <w:tab/>
      </w:r>
      <w:r>
        <w:fldChar w:fldCharType="begin"/>
      </w:r>
      <w:r>
        <w:instrText xml:space="preserve"> EQ  \F(1,2)Δ\s\do5(</w:instrText>
      </w:r>
      <w:r>
        <w:rPr>
          <w:sz w:val="16"/>
          <w:szCs w:val="16"/>
        </w:rPr>
        <w:instrText>2</w:instrText>
      </w:r>
      <w:r>
        <w:instrText>)</w:instrText>
      </w:r>
      <w:r>
        <w:rPr>
          <w:i/>
          <w:iCs/>
        </w:rPr>
        <w:instrText>H</w:instrText>
      </w:r>
      <w:r>
        <w:instrText>\s\do5(</w:instrText>
      </w:r>
      <w:r>
        <w:rPr>
          <w:i/>
          <w:iCs/>
          <w:sz w:val="16"/>
          <w:szCs w:val="16"/>
        </w:rPr>
        <w:instrText>it</w:instrText>
      </w:r>
      <w:r>
        <w:instrText>)= \F(1,2)(</w:instrText>
      </w:r>
      <w:r>
        <w:rPr>
          <w:i/>
          <w:iCs/>
        </w:rPr>
        <w:instrText>H</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+2</w:instrText>
      </w:r>
      <w:r>
        <w:instrText>)−</w:instrText>
      </w:r>
      <w:r>
        <w:rPr>
          <w:i/>
          <w:iCs/>
        </w:rPr>
        <w:instrText>H</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+1</w:instrText>
      </w:r>
      <w:r>
        <w:instrText>))+ \F(1,2)(</w:instrText>
      </w:r>
      <w:r>
        <w:rPr>
          <w:i/>
          <w:iCs/>
        </w:rPr>
        <w:instrText>H</w:instrText>
      </w:r>
      <w:r>
        <w:instrText>\s\do5(</w:instrText>
      </w:r>
      <w:r>
        <w:rPr>
          <w:i/>
          <w:iCs/>
          <w:sz w:val="16"/>
          <w:szCs w:val="16"/>
        </w:rPr>
        <w:instrText>i</w:instrText>
      </w:r>
      <w:r>
        <w:rPr>
          <w:sz w:val="16"/>
          <w:szCs w:val="16"/>
        </w:rPr>
        <w:instrText>\,</w:instrText>
      </w:r>
      <w:r>
        <w:rPr>
          <w:i/>
          <w:iCs/>
          <w:sz w:val="16"/>
          <w:szCs w:val="16"/>
        </w:rPr>
        <w:instrText>t</w:instrText>
      </w:r>
      <w:r>
        <w:rPr>
          <w:sz w:val="16"/>
          <w:szCs w:val="16"/>
        </w:rPr>
        <w:instrText>+1</w:instrText>
      </w:r>
      <w:r>
        <w:instrText>)−</w:instrText>
      </w:r>
      <w:r>
        <w:rPr>
          <w:i/>
          <w:iCs/>
        </w:rPr>
        <w:instrText>H</w:instrText>
      </w:r>
      <w:r>
        <w:instrText>\s\do5(</w:instrText>
      </w:r>
      <w:r>
        <w:rPr>
          <w:i/>
          <w:iCs/>
          <w:sz w:val="16"/>
          <w:szCs w:val="16"/>
        </w:rPr>
        <w:instrText>it</w:instrText>
      </w:r>
      <w:r>
        <w:instrText>))\,</w:instrText>
      </w:r>
      <w:r>
        <w:fldChar w:fldCharType="end"/>
      </w:r>
    </w:p>
    <w:p w14:paraId="35E12D94" w14:textId="77777777" w:rsidR="00412E34" w:rsidRDefault="00412E34" w:rsidP="00F32754">
      <w:pPr>
        <w:spacing w:line="270" w:lineRule="exact"/>
        <w:ind w:left="0"/>
      </w:pPr>
      <w:r>
        <w:t>and applies a smoothing filter in the form of averaging.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7A3A93"/>
    <w:multiLevelType w:val="multilevel"/>
    <w:tmpl w:val="7D22E52C"/>
    <w:numStyleLink w:val="OCEBulletedList"/>
  </w:abstractNum>
  <w:abstractNum w:abstractNumId="2" w15:restartNumberingAfterBreak="0">
    <w:nsid w:val="05B7681B"/>
    <w:multiLevelType w:val="multilevel"/>
    <w:tmpl w:val="A3F68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933F4"/>
    <w:multiLevelType w:val="multilevel"/>
    <w:tmpl w:val="7D22E52C"/>
    <w:numStyleLink w:val="OCEBulletedList"/>
  </w:abstractNum>
  <w:abstractNum w:abstractNumId="4" w15:restartNumberingAfterBreak="0">
    <w:nsid w:val="159A6EC1"/>
    <w:multiLevelType w:val="multilevel"/>
    <w:tmpl w:val="3BFA39A6"/>
    <w:numStyleLink w:val="OCENumberedList"/>
  </w:abstractNum>
  <w:abstractNum w:abstractNumId="5"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6"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8" w15:restartNumberingAfterBreak="0">
    <w:nsid w:val="1A572D9B"/>
    <w:multiLevelType w:val="multilevel"/>
    <w:tmpl w:val="2FAC326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9."/>
      <w:lvlJc w:val="left"/>
      <w:pPr>
        <w:ind w:left="-32767" w:firstLine="0"/>
      </w:pPr>
      <w:rPr>
        <w:rFonts w:hint="default"/>
      </w:rPr>
    </w:lvl>
  </w:abstractNum>
  <w:abstractNum w:abstractNumId="9" w15:restartNumberingAfterBreak="0">
    <w:nsid w:val="343D5378"/>
    <w:multiLevelType w:val="multilevel"/>
    <w:tmpl w:val="7D22E52C"/>
    <w:numStyleLink w:val="OCEBulletedList"/>
  </w:abstractNum>
  <w:abstractNum w:abstractNumId="10"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1" w15:restartNumberingAfterBreak="0">
    <w:nsid w:val="413C507C"/>
    <w:multiLevelType w:val="multilevel"/>
    <w:tmpl w:val="7D22E52C"/>
    <w:numStyleLink w:val="OCEBulletedList"/>
  </w:abstractNum>
  <w:abstractNum w:abstractNumId="12"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4B94390E"/>
    <w:multiLevelType w:val="multilevel"/>
    <w:tmpl w:val="7D22E52C"/>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3813CDC"/>
    <w:multiLevelType w:val="multilevel"/>
    <w:tmpl w:val="D5BAF582"/>
    <w:numStyleLink w:val="OCEHeadings"/>
  </w:abstractNum>
  <w:abstractNum w:abstractNumId="15" w15:restartNumberingAfterBreak="0">
    <w:nsid w:val="69925004"/>
    <w:multiLevelType w:val="multilevel"/>
    <w:tmpl w:val="7D22E52C"/>
    <w:numStyleLink w:val="OCEBulletedList"/>
  </w:abstractNum>
  <w:abstractNum w:abstractNumId="16" w15:restartNumberingAfterBreak="0">
    <w:nsid w:val="755C274A"/>
    <w:multiLevelType w:val="multilevel"/>
    <w:tmpl w:val="7D22E52C"/>
    <w:numStyleLink w:val="OCEBulletedList"/>
  </w:abstractNum>
  <w:abstractNum w:abstractNumId="17" w15:restartNumberingAfterBreak="0">
    <w:nsid w:val="768D4473"/>
    <w:multiLevelType w:val="multilevel"/>
    <w:tmpl w:val="7D22E52C"/>
    <w:numStyleLink w:val="OCEBulletedList"/>
  </w:abstractNum>
  <w:abstractNum w:abstractNumId="18" w15:restartNumberingAfterBreak="0">
    <w:nsid w:val="7AAF61C4"/>
    <w:multiLevelType w:val="multilevel"/>
    <w:tmpl w:val="7D22E52C"/>
    <w:numStyleLink w:val="OCEBulletedList"/>
  </w:abstractNum>
  <w:abstractNum w:abstractNumId="19"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0"/>
  </w:num>
  <w:num w:numId="4">
    <w:abstractNumId w:val="13"/>
  </w:num>
  <w:num w:numId="5">
    <w:abstractNumId w:val="7"/>
  </w:num>
  <w:num w:numId="6">
    <w:abstractNumId w:val="6"/>
  </w:num>
  <w:num w:numId="7">
    <w:abstractNumId w:val="12"/>
  </w:num>
  <w:num w:numId="8">
    <w:abstractNumId w:val="5"/>
  </w:num>
  <w:num w:numId="9">
    <w:abstractNumId w:val="14"/>
  </w:num>
  <w:num w:numId="10">
    <w:abstractNumId w:val="14"/>
  </w:num>
  <w:num w:numId="11">
    <w:abstractNumId w:val="16"/>
  </w:num>
  <w:num w:numId="12">
    <w:abstractNumId w:val="4"/>
  </w:num>
  <w:num w:numId="13">
    <w:abstractNumId w:val="13"/>
  </w:num>
  <w:num w:numId="14">
    <w:abstractNumId w:val="12"/>
  </w:num>
  <w:num w:numId="15">
    <w:abstractNumId w:val="12"/>
  </w:num>
  <w:num w:numId="16">
    <w:abstractNumId w:val="4"/>
  </w:num>
  <w:num w:numId="17">
    <w:abstractNumId w:val="5"/>
  </w:num>
  <w:num w:numId="18">
    <w:abstractNumId w:val="14"/>
  </w:num>
  <w:num w:numId="19">
    <w:abstractNumId w:val="14"/>
  </w:num>
  <w:num w:numId="20">
    <w:abstractNumId w:val="14"/>
  </w:num>
  <w:num w:numId="21">
    <w:abstractNumId w:val="8"/>
  </w:num>
  <w:num w:numId="22">
    <w:abstractNumId w:val="2"/>
  </w:num>
  <w:num w:numId="23">
    <w:abstractNumId w:val="15"/>
  </w:num>
  <w:num w:numId="24">
    <w:abstractNumId w:val="1"/>
  </w:num>
  <w:num w:numId="25">
    <w:abstractNumId w:val="13"/>
  </w:num>
  <w:num w:numId="26">
    <w:abstractNumId w:val="13"/>
  </w:num>
  <w:num w:numId="27">
    <w:abstractNumId w:val="11"/>
  </w:num>
  <w:num w:numId="28">
    <w:abstractNumId w:val="9"/>
  </w:num>
  <w:num w:numId="29">
    <w:abstractNumId w:val="17"/>
  </w:num>
  <w:num w:numId="30">
    <w:abstractNumId w:val="18"/>
  </w:num>
  <w:num w:numId="31">
    <w:abstractNumId w:val="3"/>
  </w:num>
  <w:num w:numId="32">
    <w:abstractNumId w:val="12"/>
  </w:num>
  <w:num w:numId="33">
    <w:abstractNumId w:val="12"/>
  </w:num>
  <w:num w:numId="34">
    <w:abstractNumId w:val="13"/>
  </w:num>
  <w:num w:numId="35">
    <w:abstractNumId w:val="13"/>
  </w:num>
  <w:num w:numId="36">
    <w:abstractNumId w:val="14"/>
    <w:lvlOverride w:ilvl="1">
      <w:lvl w:ilvl="1">
        <w:start w:val="1"/>
        <w:numFmt w:val="decimal"/>
        <w:pStyle w:val="Heading2"/>
        <w:lvlText w:val="%1.%2"/>
        <w:lvlJc w:val="left"/>
        <w:pPr>
          <w:ind w:left="3402" w:hanging="709"/>
        </w:pPr>
        <w:rPr>
          <w:rFonts w:hint="default"/>
        </w:rPr>
      </w:lvl>
    </w:lvlOverride>
    <w:lvlOverride w:ilvl="5">
      <w:lvl w:ilvl="5">
        <w:start w:val="1"/>
        <w:numFmt w:val="upperLetter"/>
        <w:pStyle w:val="Heading6"/>
        <w:lvlText w:val="Appendix %6"/>
        <w:lvlJc w:val="left"/>
        <w:pPr>
          <w:ind w:left="2381" w:hanging="2381"/>
        </w:pPr>
        <w:rPr>
          <w:rFonts w:hint="default"/>
        </w:rPr>
      </w:lvl>
    </w:lvlOverride>
    <w:lvlOverride w:ilvl="6">
      <w:lvl w:ilvl="6">
        <w:start w:val="1"/>
        <w:numFmt w:val="decimal"/>
        <w:pStyle w:val="Heading7"/>
        <w:lvlText w:val="%6.%7"/>
        <w:lvlJc w:val="left"/>
        <w:pPr>
          <w:ind w:left="709" w:hanging="709"/>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99"/>
    <w:rsid w:val="00000A47"/>
    <w:rsid w:val="00002F55"/>
    <w:rsid w:val="000036F1"/>
    <w:rsid w:val="00003B81"/>
    <w:rsid w:val="00004365"/>
    <w:rsid w:val="00004BF6"/>
    <w:rsid w:val="00007EBB"/>
    <w:rsid w:val="00007FE3"/>
    <w:rsid w:val="00010903"/>
    <w:rsid w:val="0001161C"/>
    <w:rsid w:val="00011BE7"/>
    <w:rsid w:val="000122D8"/>
    <w:rsid w:val="00013F4A"/>
    <w:rsid w:val="00013F80"/>
    <w:rsid w:val="00017BB5"/>
    <w:rsid w:val="000238B9"/>
    <w:rsid w:val="0002648C"/>
    <w:rsid w:val="00035325"/>
    <w:rsid w:val="00037B42"/>
    <w:rsid w:val="00041FE3"/>
    <w:rsid w:val="00043051"/>
    <w:rsid w:val="00047373"/>
    <w:rsid w:val="00050EFA"/>
    <w:rsid w:val="00052F8A"/>
    <w:rsid w:val="0005753A"/>
    <w:rsid w:val="00060184"/>
    <w:rsid w:val="00060761"/>
    <w:rsid w:val="00060CE1"/>
    <w:rsid w:val="000614AF"/>
    <w:rsid w:val="000618FB"/>
    <w:rsid w:val="000641E0"/>
    <w:rsid w:val="0006492D"/>
    <w:rsid w:val="00065984"/>
    <w:rsid w:val="00066F10"/>
    <w:rsid w:val="00067812"/>
    <w:rsid w:val="00070749"/>
    <w:rsid w:val="0007137D"/>
    <w:rsid w:val="000728D2"/>
    <w:rsid w:val="00074B79"/>
    <w:rsid w:val="00076E42"/>
    <w:rsid w:val="00082BF4"/>
    <w:rsid w:val="00090174"/>
    <w:rsid w:val="000904D3"/>
    <w:rsid w:val="000920D2"/>
    <w:rsid w:val="000A011E"/>
    <w:rsid w:val="000A1A2F"/>
    <w:rsid w:val="000A29BA"/>
    <w:rsid w:val="000A3D7F"/>
    <w:rsid w:val="000A4E45"/>
    <w:rsid w:val="000A5452"/>
    <w:rsid w:val="000A5946"/>
    <w:rsid w:val="000A5CFF"/>
    <w:rsid w:val="000A6370"/>
    <w:rsid w:val="000A63C0"/>
    <w:rsid w:val="000A6F5B"/>
    <w:rsid w:val="000B279E"/>
    <w:rsid w:val="000B2C1B"/>
    <w:rsid w:val="000B2DFC"/>
    <w:rsid w:val="000B5840"/>
    <w:rsid w:val="000B5BC7"/>
    <w:rsid w:val="000B7F7A"/>
    <w:rsid w:val="000C03CF"/>
    <w:rsid w:val="000C0DD7"/>
    <w:rsid w:val="000C19CB"/>
    <w:rsid w:val="000C1E2A"/>
    <w:rsid w:val="000C5C3C"/>
    <w:rsid w:val="000C6AD6"/>
    <w:rsid w:val="000D07B6"/>
    <w:rsid w:val="000D140C"/>
    <w:rsid w:val="000D33DA"/>
    <w:rsid w:val="000D5123"/>
    <w:rsid w:val="000E415F"/>
    <w:rsid w:val="000F0380"/>
    <w:rsid w:val="000F0460"/>
    <w:rsid w:val="000F0E5C"/>
    <w:rsid w:val="000F69EA"/>
    <w:rsid w:val="00100343"/>
    <w:rsid w:val="00100B74"/>
    <w:rsid w:val="00101A29"/>
    <w:rsid w:val="00107A3F"/>
    <w:rsid w:val="00110ABB"/>
    <w:rsid w:val="00112208"/>
    <w:rsid w:val="00114BB1"/>
    <w:rsid w:val="00115990"/>
    <w:rsid w:val="0011640A"/>
    <w:rsid w:val="00116E58"/>
    <w:rsid w:val="0012045F"/>
    <w:rsid w:val="00120E94"/>
    <w:rsid w:val="001243D4"/>
    <w:rsid w:val="001246EC"/>
    <w:rsid w:val="00125971"/>
    <w:rsid w:val="0013066A"/>
    <w:rsid w:val="00134B28"/>
    <w:rsid w:val="00135E19"/>
    <w:rsid w:val="00141F95"/>
    <w:rsid w:val="00142630"/>
    <w:rsid w:val="00144378"/>
    <w:rsid w:val="0015000D"/>
    <w:rsid w:val="001517A1"/>
    <w:rsid w:val="00153554"/>
    <w:rsid w:val="00156B5B"/>
    <w:rsid w:val="00163D6E"/>
    <w:rsid w:val="001651E2"/>
    <w:rsid w:val="001658D2"/>
    <w:rsid w:val="00166576"/>
    <w:rsid w:val="00166996"/>
    <w:rsid w:val="0017293E"/>
    <w:rsid w:val="001732B4"/>
    <w:rsid w:val="00174624"/>
    <w:rsid w:val="0017468E"/>
    <w:rsid w:val="00180E4F"/>
    <w:rsid w:val="00182B15"/>
    <w:rsid w:val="001862AC"/>
    <w:rsid w:val="00186D3D"/>
    <w:rsid w:val="001900EE"/>
    <w:rsid w:val="0019168F"/>
    <w:rsid w:val="00195C83"/>
    <w:rsid w:val="001A12CC"/>
    <w:rsid w:val="001A322A"/>
    <w:rsid w:val="001A3451"/>
    <w:rsid w:val="001A48B2"/>
    <w:rsid w:val="001A4E10"/>
    <w:rsid w:val="001A6352"/>
    <w:rsid w:val="001B032F"/>
    <w:rsid w:val="001B345E"/>
    <w:rsid w:val="001B389A"/>
    <w:rsid w:val="001B3F96"/>
    <w:rsid w:val="001B54B9"/>
    <w:rsid w:val="001B6316"/>
    <w:rsid w:val="001B6554"/>
    <w:rsid w:val="001C16D9"/>
    <w:rsid w:val="001C25AC"/>
    <w:rsid w:val="001C4733"/>
    <w:rsid w:val="001C4FFC"/>
    <w:rsid w:val="001C5291"/>
    <w:rsid w:val="001D07A5"/>
    <w:rsid w:val="001D1B60"/>
    <w:rsid w:val="001D204F"/>
    <w:rsid w:val="001D2C38"/>
    <w:rsid w:val="001D2E2D"/>
    <w:rsid w:val="001D3DAE"/>
    <w:rsid w:val="001D4374"/>
    <w:rsid w:val="001E2136"/>
    <w:rsid w:val="001E4942"/>
    <w:rsid w:val="001F1E5D"/>
    <w:rsid w:val="001F551B"/>
    <w:rsid w:val="001F5BC1"/>
    <w:rsid w:val="001F5F85"/>
    <w:rsid w:val="001F61C6"/>
    <w:rsid w:val="001F6212"/>
    <w:rsid w:val="001F6FAB"/>
    <w:rsid w:val="001F7477"/>
    <w:rsid w:val="001F74CA"/>
    <w:rsid w:val="002029E0"/>
    <w:rsid w:val="00206008"/>
    <w:rsid w:val="002076C8"/>
    <w:rsid w:val="00207D37"/>
    <w:rsid w:val="00214241"/>
    <w:rsid w:val="0022378D"/>
    <w:rsid w:val="00225842"/>
    <w:rsid w:val="00230DFF"/>
    <w:rsid w:val="00234CEA"/>
    <w:rsid w:val="002400CF"/>
    <w:rsid w:val="00246F21"/>
    <w:rsid w:val="00247B26"/>
    <w:rsid w:val="00251254"/>
    <w:rsid w:val="00252C28"/>
    <w:rsid w:val="00255773"/>
    <w:rsid w:val="00256B83"/>
    <w:rsid w:val="00256BD3"/>
    <w:rsid w:val="002630DD"/>
    <w:rsid w:val="0026576F"/>
    <w:rsid w:val="0026658D"/>
    <w:rsid w:val="00267323"/>
    <w:rsid w:val="00267507"/>
    <w:rsid w:val="00272952"/>
    <w:rsid w:val="002757A5"/>
    <w:rsid w:val="00280EB9"/>
    <w:rsid w:val="002830F6"/>
    <w:rsid w:val="002858C1"/>
    <w:rsid w:val="00285A2F"/>
    <w:rsid w:val="002866DE"/>
    <w:rsid w:val="0029234D"/>
    <w:rsid w:val="00292AE8"/>
    <w:rsid w:val="002A33E7"/>
    <w:rsid w:val="002A4444"/>
    <w:rsid w:val="002A6979"/>
    <w:rsid w:val="002A7F2D"/>
    <w:rsid w:val="002B1DD2"/>
    <w:rsid w:val="002B3220"/>
    <w:rsid w:val="002B4E72"/>
    <w:rsid w:val="002B5A6F"/>
    <w:rsid w:val="002B779D"/>
    <w:rsid w:val="002C1206"/>
    <w:rsid w:val="002C46C9"/>
    <w:rsid w:val="002C4804"/>
    <w:rsid w:val="002C7B38"/>
    <w:rsid w:val="002D0127"/>
    <w:rsid w:val="002D322E"/>
    <w:rsid w:val="002D4188"/>
    <w:rsid w:val="002D4DC6"/>
    <w:rsid w:val="002D56BA"/>
    <w:rsid w:val="002D5B73"/>
    <w:rsid w:val="002D5C65"/>
    <w:rsid w:val="002E3270"/>
    <w:rsid w:val="002E43BD"/>
    <w:rsid w:val="002F0EEF"/>
    <w:rsid w:val="002F2208"/>
    <w:rsid w:val="002F487F"/>
    <w:rsid w:val="002F56EE"/>
    <w:rsid w:val="002F73BE"/>
    <w:rsid w:val="00300738"/>
    <w:rsid w:val="00301D88"/>
    <w:rsid w:val="00301F6A"/>
    <w:rsid w:val="0030442F"/>
    <w:rsid w:val="003076BF"/>
    <w:rsid w:val="00307AD6"/>
    <w:rsid w:val="003108EF"/>
    <w:rsid w:val="00311A07"/>
    <w:rsid w:val="00311B71"/>
    <w:rsid w:val="003123D3"/>
    <w:rsid w:val="00315AE5"/>
    <w:rsid w:val="00315B65"/>
    <w:rsid w:val="00315C5C"/>
    <w:rsid w:val="00321F70"/>
    <w:rsid w:val="00322656"/>
    <w:rsid w:val="003322B1"/>
    <w:rsid w:val="00334CAB"/>
    <w:rsid w:val="00340E62"/>
    <w:rsid w:val="00345516"/>
    <w:rsid w:val="00347A7F"/>
    <w:rsid w:val="00350C19"/>
    <w:rsid w:val="00352356"/>
    <w:rsid w:val="00353889"/>
    <w:rsid w:val="00354E7E"/>
    <w:rsid w:val="00354EA2"/>
    <w:rsid w:val="003578A6"/>
    <w:rsid w:val="003641D9"/>
    <w:rsid w:val="00364BAD"/>
    <w:rsid w:val="003654F7"/>
    <w:rsid w:val="00367BA4"/>
    <w:rsid w:val="00370CD0"/>
    <w:rsid w:val="003712D9"/>
    <w:rsid w:val="00371F36"/>
    <w:rsid w:val="0037708E"/>
    <w:rsid w:val="00382BE7"/>
    <w:rsid w:val="00384E81"/>
    <w:rsid w:val="00385BB6"/>
    <w:rsid w:val="00387F73"/>
    <w:rsid w:val="003960C5"/>
    <w:rsid w:val="003961D5"/>
    <w:rsid w:val="003967EE"/>
    <w:rsid w:val="00396E87"/>
    <w:rsid w:val="003A253A"/>
    <w:rsid w:val="003A33D9"/>
    <w:rsid w:val="003A564E"/>
    <w:rsid w:val="003A5A88"/>
    <w:rsid w:val="003B12F3"/>
    <w:rsid w:val="003B141B"/>
    <w:rsid w:val="003B7ABC"/>
    <w:rsid w:val="003B7C70"/>
    <w:rsid w:val="003C0FAA"/>
    <w:rsid w:val="003C5819"/>
    <w:rsid w:val="003C587D"/>
    <w:rsid w:val="003D0E4F"/>
    <w:rsid w:val="003D1CCE"/>
    <w:rsid w:val="003D7074"/>
    <w:rsid w:val="003E246C"/>
    <w:rsid w:val="003E32D9"/>
    <w:rsid w:val="003E4494"/>
    <w:rsid w:val="003E50C4"/>
    <w:rsid w:val="003E762E"/>
    <w:rsid w:val="003F1303"/>
    <w:rsid w:val="003F7E51"/>
    <w:rsid w:val="00407BFB"/>
    <w:rsid w:val="00410B42"/>
    <w:rsid w:val="00411DCA"/>
    <w:rsid w:val="0041256E"/>
    <w:rsid w:val="00412E34"/>
    <w:rsid w:val="00413767"/>
    <w:rsid w:val="00414EA8"/>
    <w:rsid w:val="004253A5"/>
    <w:rsid w:val="00426883"/>
    <w:rsid w:val="00430E39"/>
    <w:rsid w:val="00431C6A"/>
    <w:rsid w:val="00432272"/>
    <w:rsid w:val="00432ABB"/>
    <w:rsid w:val="00434C78"/>
    <w:rsid w:val="00435FDB"/>
    <w:rsid w:val="0044360D"/>
    <w:rsid w:val="004459B3"/>
    <w:rsid w:val="00445DE2"/>
    <w:rsid w:val="00446808"/>
    <w:rsid w:val="00446C1F"/>
    <w:rsid w:val="00447193"/>
    <w:rsid w:val="00447972"/>
    <w:rsid w:val="00447B15"/>
    <w:rsid w:val="00453DB8"/>
    <w:rsid w:val="004561DA"/>
    <w:rsid w:val="0045635D"/>
    <w:rsid w:val="00457D05"/>
    <w:rsid w:val="0046406C"/>
    <w:rsid w:val="00464C8C"/>
    <w:rsid w:val="00464F71"/>
    <w:rsid w:val="00470759"/>
    <w:rsid w:val="00471582"/>
    <w:rsid w:val="0047180F"/>
    <w:rsid w:val="00474C4B"/>
    <w:rsid w:val="0047563C"/>
    <w:rsid w:val="00477C01"/>
    <w:rsid w:val="0048023B"/>
    <w:rsid w:val="00480CAF"/>
    <w:rsid w:val="004812C0"/>
    <w:rsid w:val="00483169"/>
    <w:rsid w:val="00483A01"/>
    <w:rsid w:val="00483F96"/>
    <w:rsid w:val="00493446"/>
    <w:rsid w:val="004939EA"/>
    <w:rsid w:val="004942C4"/>
    <w:rsid w:val="00495C1B"/>
    <w:rsid w:val="00496236"/>
    <w:rsid w:val="00496875"/>
    <w:rsid w:val="00496DA4"/>
    <w:rsid w:val="004A01FE"/>
    <w:rsid w:val="004A12AC"/>
    <w:rsid w:val="004A46E3"/>
    <w:rsid w:val="004A5598"/>
    <w:rsid w:val="004A6042"/>
    <w:rsid w:val="004A6817"/>
    <w:rsid w:val="004A752B"/>
    <w:rsid w:val="004A756B"/>
    <w:rsid w:val="004B0E4F"/>
    <w:rsid w:val="004B17CD"/>
    <w:rsid w:val="004B2C98"/>
    <w:rsid w:val="004B2FEA"/>
    <w:rsid w:val="004B3DA9"/>
    <w:rsid w:val="004B4E62"/>
    <w:rsid w:val="004B53E7"/>
    <w:rsid w:val="004B70E3"/>
    <w:rsid w:val="004B7AEA"/>
    <w:rsid w:val="004B7BB8"/>
    <w:rsid w:val="004C1602"/>
    <w:rsid w:val="004C2892"/>
    <w:rsid w:val="004C3A58"/>
    <w:rsid w:val="004C57DA"/>
    <w:rsid w:val="004C7203"/>
    <w:rsid w:val="004D142A"/>
    <w:rsid w:val="004E0B4D"/>
    <w:rsid w:val="004E1CA5"/>
    <w:rsid w:val="004E2E6A"/>
    <w:rsid w:val="004E33DE"/>
    <w:rsid w:val="004E3D67"/>
    <w:rsid w:val="004E744E"/>
    <w:rsid w:val="004F0959"/>
    <w:rsid w:val="004F3AB0"/>
    <w:rsid w:val="004F7D5E"/>
    <w:rsid w:val="00502804"/>
    <w:rsid w:val="00503C02"/>
    <w:rsid w:val="00505701"/>
    <w:rsid w:val="00506220"/>
    <w:rsid w:val="0051017B"/>
    <w:rsid w:val="0051079B"/>
    <w:rsid w:val="0051099B"/>
    <w:rsid w:val="00511756"/>
    <w:rsid w:val="005126DB"/>
    <w:rsid w:val="00513F90"/>
    <w:rsid w:val="005141A1"/>
    <w:rsid w:val="00516A09"/>
    <w:rsid w:val="00516D57"/>
    <w:rsid w:val="00520164"/>
    <w:rsid w:val="00521151"/>
    <w:rsid w:val="00522523"/>
    <w:rsid w:val="00522EBD"/>
    <w:rsid w:val="00523B54"/>
    <w:rsid w:val="00525CAD"/>
    <w:rsid w:val="00527CD7"/>
    <w:rsid w:val="00530869"/>
    <w:rsid w:val="00532498"/>
    <w:rsid w:val="005404E5"/>
    <w:rsid w:val="00542CFA"/>
    <w:rsid w:val="005453E2"/>
    <w:rsid w:val="0054575E"/>
    <w:rsid w:val="00550C82"/>
    <w:rsid w:val="00552C08"/>
    <w:rsid w:val="00556CF7"/>
    <w:rsid w:val="005577F2"/>
    <w:rsid w:val="005615F4"/>
    <w:rsid w:val="00562489"/>
    <w:rsid w:val="005704BB"/>
    <w:rsid w:val="00570C8E"/>
    <w:rsid w:val="0057169D"/>
    <w:rsid w:val="00573F05"/>
    <w:rsid w:val="005760C2"/>
    <w:rsid w:val="00576504"/>
    <w:rsid w:val="00576B53"/>
    <w:rsid w:val="00576C4E"/>
    <w:rsid w:val="005806FA"/>
    <w:rsid w:val="00584542"/>
    <w:rsid w:val="00585BB3"/>
    <w:rsid w:val="005862E9"/>
    <w:rsid w:val="00587701"/>
    <w:rsid w:val="00587FC8"/>
    <w:rsid w:val="005971FA"/>
    <w:rsid w:val="005A09DF"/>
    <w:rsid w:val="005A39A1"/>
    <w:rsid w:val="005A409E"/>
    <w:rsid w:val="005A65AA"/>
    <w:rsid w:val="005A6EA3"/>
    <w:rsid w:val="005B00A4"/>
    <w:rsid w:val="005B525D"/>
    <w:rsid w:val="005C4185"/>
    <w:rsid w:val="005C5D37"/>
    <w:rsid w:val="005C6FB9"/>
    <w:rsid w:val="005D0BB0"/>
    <w:rsid w:val="005D0DE5"/>
    <w:rsid w:val="005D3502"/>
    <w:rsid w:val="005D7981"/>
    <w:rsid w:val="005E121F"/>
    <w:rsid w:val="005E39BE"/>
    <w:rsid w:val="005E5AE3"/>
    <w:rsid w:val="005E6AC0"/>
    <w:rsid w:val="005E7981"/>
    <w:rsid w:val="005F20F1"/>
    <w:rsid w:val="005F4627"/>
    <w:rsid w:val="005F5226"/>
    <w:rsid w:val="005F74B5"/>
    <w:rsid w:val="00603F30"/>
    <w:rsid w:val="00604241"/>
    <w:rsid w:val="006043C0"/>
    <w:rsid w:val="00611312"/>
    <w:rsid w:val="0061140B"/>
    <w:rsid w:val="006128D9"/>
    <w:rsid w:val="006169F9"/>
    <w:rsid w:val="00616A03"/>
    <w:rsid w:val="0062058C"/>
    <w:rsid w:val="00620945"/>
    <w:rsid w:val="00625CBF"/>
    <w:rsid w:val="0063036B"/>
    <w:rsid w:val="006321E5"/>
    <w:rsid w:val="00632C94"/>
    <w:rsid w:val="006346A5"/>
    <w:rsid w:val="00635987"/>
    <w:rsid w:val="006370E6"/>
    <w:rsid w:val="00640B00"/>
    <w:rsid w:val="00641BBD"/>
    <w:rsid w:val="006446EF"/>
    <w:rsid w:val="00646834"/>
    <w:rsid w:val="006475C6"/>
    <w:rsid w:val="0065093E"/>
    <w:rsid w:val="0065213F"/>
    <w:rsid w:val="00652811"/>
    <w:rsid w:val="00653C62"/>
    <w:rsid w:val="0065696F"/>
    <w:rsid w:val="00665B3D"/>
    <w:rsid w:val="006672F4"/>
    <w:rsid w:val="00670810"/>
    <w:rsid w:val="00671033"/>
    <w:rsid w:val="00671B11"/>
    <w:rsid w:val="00672152"/>
    <w:rsid w:val="006721A2"/>
    <w:rsid w:val="006743D7"/>
    <w:rsid w:val="0067609C"/>
    <w:rsid w:val="00683C22"/>
    <w:rsid w:val="00684893"/>
    <w:rsid w:val="00685BE0"/>
    <w:rsid w:val="00685F6E"/>
    <w:rsid w:val="006915ED"/>
    <w:rsid w:val="00692166"/>
    <w:rsid w:val="00697FD7"/>
    <w:rsid w:val="006A12D8"/>
    <w:rsid w:val="006A2248"/>
    <w:rsid w:val="006A3983"/>
    <w:rsid w:val="006A553E"/>
    <w:rsid w:val="006A6873"/>
    <w:rsid w:val="006B4BF2"/>
    <w:rsid w:val="006C0A8C"/>
    <w:rsid w:val="006C295D"/>
    <w:rsid w:val="006C5E1A"/>
    <w:rsid w:val="006C604E"/>
    <w:rsid w:val="006D3274"/>
    <w:rsid w:val="006D6C5F"/>
    <w:rsid w:val="006D7511"/>
    <w:rsid w:val="006D7B80"/>
    <w:rsid w:val="006E1824"/>
    <w:rsid w:val="006E4627"/>
    <w:rsid w:val="006F1F8D"/>
    <w:rsid w:val="006F398D"/>
    <w:rsid w:val="006F4A7F"/>
    <w:rsid w:val="00700679"/>
    <w:rsid w:val="00703105"/>
    <w:rsid w:val="00712467"/>
    <w:rsid w:val="0071259C"/>
    <w:rsid w:val="00712F84"/>
    <w:rsid w:val="00713B45"/>
    <w:rsid w:val="007202F0"/>
    <w:rsid w:val="00722986"/>
    <w:rsid w:val="0072328B"/>
    <w:rsid w:val="00727D3D"/>
    <w:rsid w:val="007307B1"/>
    <w:rsid w:val="00730ADA"/>
    <w:rsid w:val="00731E8B"/>
    <w:rsid w:val="00732BB5"/>
    <w:rsid w:val="0073384B"/>
    <w:rsid w:val="00746272"/>
    <w:rsid w:val="00746291"/>
    <w:rsid w:val="00746DCC"/>
    <w:rsid w:val="00747243"/>
    <w:rsid w:val="00750EC6"/>
    <w:rsid w:val="00751128"/>
    <w:rsid w:val="00752049"/>
    <w:rsid w:val="007529B4"/>
    <w:rsid w:val="00754819"/>
    <w:rsid w:val="00756AA3"/>
    <w:rsid w:val="007602FD"/>
    <w:rsid w:val="00765582"/>
    <w:rsid w:val="00765BAA"/>
    <w:rsid w:val="00766E58"/>
    <w:rsid w:val="00767248"/>
    <w:rsid w:val="007719E5"/>
    <w:rsid w:val="007765E4"/>
    <w:rsid w:val="00780904"/>
    <w:rsid w:val="007812AE"/>
    <w:rsid w:val="00785E00"/>
    <w:rsid w:val="0079046B"/>
    <w:rsid w:val="00792D85"/>
    <w:rsid w:val="00795CA9"/>
    <w:rsid w:val="00796467"/>
    <w:rsid w:val="007A59E6"/>
    <w:rsid w:val="007A6224"/>
    <w:rsid w:val="007A6BA0"/>
    <w:rsid w:val="007A7202"/>
    <w:rsid w:val="007A7D5A"/>
    <w:rsid w:val="007B315F"/>
    <w:rsid w:val="007B3AAC"/>
    <w:rsid w:val="007C6F2D"/>
    <w:rsid w:val="007D5E09"/>
    <w:rsid w:val="007D613D"/>
    <w:rsid w:val="007D7031"/>
    <w:rsid w:val="007D7C0B"/>
    <w:rsid w:val="007D7D86"/>
    <w:rsid w:val="007E42AC"/>
    <w:rsid w:val="007E6036"/>
    <w:rsid w:val="007F13C4"/>
    <w:rsid w:val="007F194E"/>
    <w:rsid w:val="007F5E1A"/>
    <w:rsid w:val="007F75D3"/>
    <w:rsid w:val="007F7BDB"/>
    <w:rsid w:val="008006BA"/>
    <w:rsid w:val="00802621"/>
    <w:rsid w:val="008057E6"/>
    <w:rsid w:val="00810F3D"/>
    <w:rsid w:val="00811315"/>
    <w:rsid w:val="00813A01"/>
    <w:rsid w:val="008174F6"/>
    <w:rsid w:val="00817A6A"/>
    <w:rsid w:val="00820F49"/>
    <w:rsid w:val="008233B0"/>
    <w:rsid w:val="0082355B"/>
    <w:rsid w:val="00823F43"/>
    <w:rsid w:val="008240FF"/>
    <w:rsid w:val="00832CAA"/>
    <w:rsid w:val="008338C6"/>
    <w:rsid w:val="00836280"/>
    <w:rsid w:val="00836BF4"/>
    <w:rsid w:val="00847122"/>
    <w:rsid w:val="00847791"/>
    <w:rsid w:val="00850C5D"/>
    <w:rsid w:val="008515B0"/>
    <w:rsid w:val="008519CE"/>
    <w:rsid w:val="00855182"/>
    <w:rsid w:val="008569C7"/>
    <w:rsid w:val="00861B19"/>
    <w:rsid w:val="008620BF"/>
    <w:rsid w:val="0086611B"/>
    <w:rsid w:val="008677CA"/>
    <w:rsid w:val="0087267D"/>
    <w:rsid w:val="008729B5"/>
    <w:rsid w:val="008735F6"/>
    <w:rsid w:val="00876BAA"/>
    <w:rsid w:val="00881C1C"/>
    <w:rsid w:val="00882445"/>
    <w:rsid w:val="0088317C"/>
    <w:rsid w:val="00885F84"/>
    <w:rsid w:val="00890F2D"/>
    <w:rsid w:val="0089465B"/>
    <w:rsid w:val="00895006"/>
    <w:rsid w:val="00895030"/>
    <w:rsid w:val="008A1F4D"/>
    <w:rsid w:val="008A25C6"/>
    <w:rsid w:val="008A3D49"/>
    <w:rsid w:val="008A542C"/>
    <w:rsid w:val="008A5DBC"/>
    <w:rsid w:val="008B4FA8"/>
    <w:rsid w:val="008B5677"/>
    <w:rsid w:val="008B5EA3"/>
    <w:rsid w:val="008C35E5"/>
    <w:rsid w:val="008C3E24"/>
    <w:rsid w:val="008C6145"/>
    <w:rsid w:val="008C7439"/>
    <w:rsid w:val="008D0685"/>
    <w:rsid w:val="008D1F5D"/>
    <w:rsid w:val="008D2E53"/>
    <w:rsid w:val="008D4E56"/>
    <w:rsid w:val="008D5B59"/>
    <w:rsid w:val="008E19B1"/>
    <w:rsid w:val="008E4D04"/>
    <w:rsid w:val="008F03FE"/>
    <w:rsid w:val="008F28CD"/>
    <w:rsid w:val="008F3372"/>
    <w:rsid w:val="008F4093"/>
    <w:rsid w:val="008F4E24"/>
    <w:rsid w:val="008F55F3"/>
    <w:rsid w:val="008F5AC4"/>
    <w:rsid w:val="009016E2"/>
    <w:rsid w:val="0090240E"/>
    <w:rsid w:val="00903E9B"/>
    <w:rsid w:val="0090646F"/>
    <w:rsid w:val="00917C8D"/>
    <w:rsid w:val="00917F97"/>
    <w:rsid w:val="00921365"/>
    <w:rsid w:val="00921942"/>
    <w:rsid w:val="00922A46"/>
    <w:rsid w:val="0092504F"/>
    <w:rsid w:val="009301C2"/>
    <w:rsid w:val="0093093C"/>
    <w:rsid w:val="0093214E"/>
    <w:rsid w:val="0093309C"/>
    <w:rsid w:val="00935433"/>
    <w:rsid w:val="009366BF"/>
    <w:rsid w:val="00940A3B"/>
    <w:rsid w:val="00944C03"/>
    <w:rsid w:val="00947AD1"/>
    <w:rsid w:val="00951561"/>
    <w:rsid w:val="009547E5"/>
    <w:rsid w:val="00960F04"/>
    <w:rsid w:val="009635EF"/>
    <w:rsid w:val="00973C7C"/>
    <w:rsid w:val="00974EA2"/>
    <w:rsid w:val="009814A3"/>
    <w:rsid w:val="0098223A"/>
    <w:rsid w:val="009828CA"/>
    <w:rsid w:val="009861EC"/>
    <w:rsid w:val="0099012D"/>
    <w:rsid w:val="009A0478"/>
    <w:rsid w:val="009A3B62"/>
    <w:rsid w:val="009B1592"/>
    <w:rsid w:val="009B3448"/>
    <w:rsid w:val="009B5C1C"/>
    <w:rsid w:val="009B7D03"/>
    <w:rsid w:val="009C15B0"/>
    <w:rsid w:val="009C187E"/>
    <w:rsid w:val="009C25FD"/>
    <w:rsid w:val="009C30C8"/>
    <w:rsid w:val="009C3B91"/>
    <w:rsid w:val="009D1323"/>
    <w:rsid w:val="009D2673"/>
    <w:rsid w:val="009D6B76"/>
    <w:rsid w:val="009D6D28"/>
    <w:rsid w:val="009E01B6"/>
    <w:rsid w:val="009E11E2"/>
    <w:rsid w:val="009E16E5"/>
    <w:rsid w:val="009E29F9"/>
    <w:rsid w:val="009E410B"/>
    <w:rsid w:val="009E42B5"/>
    <w:rsid w:val="009E5DBE"/>
    <w:rsid w:val="009F02A0"/>
    <w:rsid w:val="009F2590"/>
    <w:rsid w:val="009F5FB3"/>
    <w:rsid w:val="009F78F1"/>
    <w:rsid w:val="00A001C7"/>
    <w:rsid w:val="00A01741"/>
    <w:rsid w:val="00A03095"/>
    <w:rsid w:val="00A03212"/>
    <w:rsid w:val="00A03C28"/>
    <w:rsid w:val="00A05049"/>
    <w:rsid w:val="00A05086"/>
    <w:rsid w:val="00A0712A"/>
    <w:rsid w:val="00A07FE5"/>
    <w:rsid w:val="00A1052F"/>
    <w:rsid w:val="00A11803"/>
    <w:rsid w:val="00A13119"/>
    <w:rsid w:val="00A15233"/>
    <w:rsid w:val="00A15A6F"/>
    <w:rsid w:val="00A15B2D"/>
    <w:rsid w:val="00A20DE7"/>
    <w:rsid w:val="00A21466"/>
    <w:rsid w:val="00A22938"/>
    <w:rsid w:val="00A25395"/>
    <w:rsid w:val="00A30089"/>
    <w:rsid w:val="00A32C6A"/>
    <w:rsid w:val="00A3749F"/>
    <w:rsid w:val="00A374F9"/>
    <w:rsid w:val="00A426CF"/>
    <w:rsid w:val="00A43EC9"/>
    <w:rsid w:val="00A45981"/>
    <w:rsid w:val="00A45C3D"/>
    <w:rsid w:val="00A46192"/>
    <w:rsid w:val="00A503BF"/>
    <w:rsid w:val="00A527F7"/>
    <w:rsid w:val="00A52AFD"/>
    <w:rsid w:val="00A56D66"/>
    <w:rsid w:val="00A5742D"/>
    <w:rsid w:val="00A61083"/>
    <w:rsid w:val="00A646CC"/>
    <w:rsid w:val="00A65155"/>
    <w:rsid w:val="00A67E97"/>
    <w:rsid w:val="00A7049C"/>
    <w:rsid w:val="00A70ECE"/>
    <w:rsid w:val="00A71905"/>
    <w:rsid w:val="00A71A91"/>
    <w:rsid w:val="00A74010"/>
    <w:rsid w:val="00A82EC9"/>
    <w:rsid w:val="00A84879"/>
    <w:rsid w:val="00A84D04"/>
    <w:rsid w:val="00A87C5A"/>
    <w:rsid w:val="00A90D4B"/>
    <w:rsid w:val="00A9133A"/>
    <w:rsid w:val="00A955B9"/>
    <w:rsid w:val="00A95F9C"/>
    <w:rsid w:val="00AA27AF"/>
    <w:rsid w:val="00AA71B0"/>
    <w:rsid w:val="00AA7485"/>
    <w:rsid w:val="00AA785F"/>
    <w:rsid w:val="00AB28E0"/>
    <w:rsid w:val="00AB3F23"/>
    <w:rsid w:val="00AB46B7"/>
    <w:rsid w:val="00AB4844"/>
    <w:rsid w:val="00AB4C03"/>
    <w:rsid w:val="00AB4D42"/>
    <w:rsid w:val="00AC0A27"/>
    <w:rsid w:val="00AC0EE4"/>
    <w:rsid w:val="00AC445F"/>
    <w:rsid w:val="00AD0224"/>
    <w:rsid w:val="00AD0C7B"/>
    <w:rsid w:val="00AD3272"/>
    <w:rsid w:val="00AD6E41"/>
    <w:rsid w:val="00AE3349"/>
    <w:rsid w:val="00AE46E9"/>
    <w:rsid w:val="00AE6788"/>
    <w:rsid w:val="00AF0526"/>
    <w:rsid w:val="00AF06FB"/>
    <w:rsid w:val="00AF1D6E"/>
    <w:rsid w:val="00AF2F00"/>
    <w:rsid w:val="00B0306F"/>
    <w:rsid w:val="00B05C16"/>
    <w:rsid w:val="00B0602D"/>
    <w:rsid w:val="00B07512"/>
    <w:rsid w:val="00B124FA"/>
    <w:rsid w:val="00B15477"/>
    <w:rsid w:val="00B16326"/>
    <w:rsid w:val="00B16F86"/>
    <w:rsid w:val="00B2365E"/>
    <w:rsid w:val="00B23B14"/>
    <w:rsid w:val="00B27CBF"/>
    <w:rsid w:val="00B31763"/>
    <w:rsid w:val="00B3291A"/>
    <w:rsid w:val="00B343CA"/>
    <w:rsid w:val="00B42D88"/>
    <w:rsid w:val="00B438A3"/>
    <w:rsid w:val="00B44F7B"/>
    <w:rsid w:val="00B476DF"/>
    <w:rsid w:val="00B51CF2"/>
    <w:rsid w:val="00B5752F"/>
    <w:rsid w:val="00B6022F"/>
    <w:rsid w:val="00B64EE0"/>
    <w:rsid w:val="00B67312"/>
    <w:rsid w:val="00B67813"/>
    <w:rsid w:val="00B72E9A"/>
    <w:rsid w:val="00B76076"/>
    <w:rsid w:val="00B762FC"/>
    <w:rsid w:val="00B766F7"/>
    <w:rsid w:val="00B76E6A"/>
    <w:rsid w:val="00B80788"/>
    <w:rsid w:val="00B80B54"/>
    <w:rsid w:val="00B8280B"/>
    <w:rsid w:val="00B84180"/>
    <w:rsid w:val="00B857CA"/>
    <w:rsid w:val="00B9127E"/>
    <w:rsid w:val="00B924F0"/>
    <w:rsid w:val="00B940DA"/>
    <w:rsid w:val="00B96F46"/>
    <w:rsid w:val="00BA05AA"/>
    <w:rsid w:val="00BA31B0"/>
    <w:rsid w:val="00BA478A"/>
    <w:rsid w:val="00BB087B"/>
    <w:rsid w:val="00BB394D"/>
    <w:rsid w:val="00BC05D4"/>
    <w:rsid w:val="00BC1EBA"/>
    <w:rsid w:val="00BC412E"/>
    <w:rsid w:val="00BC5B6B"/>
    <w:rsid w:val="00BD08ED"/>
    <w:rsid w:val="00BD1765"/>
    <w:rsid w:val="00BD771A"/>
    <w:rsid w:val="00BD7D60"/>
    <w:rsid w:val="00BF6B96"/>
    <w:rsid w:val="00BF7420"/>
    <w:rsid w:val="00C003CB"/>
    <w:rsid w:val="00C00493"/>
    <w:rsid w:val="00C005AE"/>
    <w:rsid w:val="00C0070E"/>
    <w:rsid w:val="00C05DA9"/>
    <w:rsid w:val="00C11496"/>
    <w:rsid w:val="00C16EC7"/>
    <w:rsid w:val="00C21AAD"/>
    <w:rsid w:val="00C2262E"/>
    <w:rsid w:val="00C238A8"/>
    <w:rsid w:val="00C258CE"/>
    <w:rsid w:val="00C3014C"/>
    <w:rsid w:val="00C325FC"/>
    <w:rsid w:val="00C347B5"/>
    <w:rsid w:val="00C36E29"/>
    <w:rsid w:val="00C36EE4"/>
    <w:rsid w:val="00C4445F"/>
    <w:rsid w:val="00C44A93"/>
    <w:rsid w:val="00C4517A"/>
    <w:rsid w:val="00C50571"/>
    <w:rsid w:val="00C51D12"/>
    <w:rsid w:val="00C527E6"/>
    <w:rsid w:val="00C55C83"/>
    <w:rsid w:val="00C57069"/>
    <w:rsid w:val="00C5799E"/>
    <w:rsid w:val="00C648E0"/>
    <w:rsid w:val="00C65139"/>
    <w:rsid w:val="00C65595"/>
    <w:rsid w:val="00C726CD"/>
    <w:rsid w:val="00C73580"/>
    <w:rsid w:val="00C8039D"/>
    <w:rsid w:val="00C8621D"/>
    <w:rsid w:val="00C8798A"/>
    <w:rsid w:val="00C87BD2"/>
    <w:rsid w:val="00C9326C"/>
    <w:rsid w:val="00CA001F"/>
    <w:rsid w:val="00CA1216"/>
    <w:rsid w:val="00CA121A"/>
    <w:rsid w:val="00CA2ABF"/>
    <w:rsid w:val="00CB267B"/>
    <w:rsid w:val="00CB371C"/>
    <w:rsid w:val="00CB448F"/>
    <w:rsid w:val="00CB4F7F"/>
    <w:rsid w:val="00CC2CAB"/>
    <w:rsid w:val="00CC38E3"/>
    <w:rsid w:val="00CC6865"/>
    <w:rsid w:val="00CD00E3"/>
    <w:rsid w:val="00CD3477"/>
    <w:rsid w:val="00CD595F"/>
    <w:rsid w:val="00CE2C82"/>
    <w:rsid w:val="00CE51A0"/>
    <w:rsid w:val="00CE784B"/>
    <w:rsid w:val="00CF0D8C"/>
    <w:rsid w:val="00CF0FB2"/>
    <w:rsid w:val="00CF30D8"/>
    <w:rsid w:val="00CF357C"/>
    <w:rsid w:val="00CF4D53"/>
    <w:rsid w:val="00CF51DE"/>
    <w:rsid w:val="00CF52CC"/>
    <w:rsid w:val="00CF6976"/>
    <w:rsid w:val="00D006FC"/>
    <w:rsid w:val="00D010F6"/>
    <w:rsid w:val="00D01FAB"/>
    <w:rsid w:val="00D03244"/>
    <w:rsid w:val="00D04083"/>
    <w:rsid w:val="00D05F3F"/>
    <w:rsid w:val="00D078C6"/>
    <w:rsid w:val="00D12B36"/>
    <w:rsid w:val="00D1580C"/>
    <w:rsid w:val="00D15F7F"/>
    <w:rsid w:val="00D1663A"/>
    <w:rsid w:val="00D16832"/>
    <w:rsid w:val="00D16A22"/>
    <w:rsid w:val="00D16DBB"/>
    <w:rsid w:val="00D21435"/>
    <w:rsid w:val="00D30438"/>
    <w:rsid w:val="00D35D6F"/>
    <w:rsid w:val="00D367B5"/>
    <w:rsid w:val="00D37E46"/>
    <w:rsid w:val="00D43764"/>
    <w:rsid w:val="00D437D7"/>
    <w:rsid w:val="00D45BAF"/>
    <w:rsid w:val="00D45F2A"/>
    <w:rsid w:val="00D50174"/>
    <w:rsid w:val="00D5121F"/>
    <w:rsid w:val="00D517FD"/>
    <w:rsid w:val="00D519D2"/>
    <w:rsid w:val="00D53B4E"/>
    <w:rsid w:val="00D53B84"/>
    <w:rsid w:val="00D56EFB"/>
    <w:rsid w:val="00D620AE"/>
    <w:rsid w:val="00D66B6D"/>
    <w:rsid w:val="00D67873"/>
    <w:rsid w:val="00D70AF6"/>
    <w:rsid w:val="00D71A31"/>
    <w:rsid w:val="00D71BBF"/>
    <w:rsid w:val="00D755C0"/>
    <w:rsid w:val="00D77D5B"/>
    <w:rsid w:val="00D84868"/>
    <w:rsid w:val="00D84AAE"/>
    <w:rsid w:val="00D84B5E"/>
    <w:rsid w:val="00D8534F"/>
    <w:rsid w:val="00D85F56"/>
    <w:rsid w:val="00D86837"/>
    <w:rsid w:val="00D869EB"/>
    <w:rsid w:val="00D924A8"/>
    <w:rsid w:val="00D9288D"/>
    <w:rsid w:val="00D9357B"/>
    <w:rsid w:val="00D96258"/>
    <w:rsid w:val="00D9649E"/>
    <w:rsid w:val="00DA046E"/>
    <w:rsid w:val="00DA04D0"/>
    <w:rsid w:val="00DA7831"/>
    <w:rsid w:val="00DB2638"/>
    <w:rsid w:val="00DB46E3"/>
    <w:rsid w:val="00DB6D06"/>
    <w:rsid w:val="00DC0E9F"/>
    <w:rsid w:val="00DC10F5"/>
    <w:rsid w:val="00DC5EFA"/>
    <w:rsid w:val="00DC637E"/>
    <w:rsid w:val="00DD2175"/>
    <w:rsid w:val="00DD2763"/>
    <w:rsid w:val="00DD35AF"/>
    <w:rsid w:val="00DD43BB"/>
    <w:rsid w:val="00DD4AAB"/>
    <w:rsid w:val="00DD50F8"/>
    <w:rsid w:val="00DE1337"/>
    <w:rsid w:val="00DE242C"/>
    <w:rsid w:val="00DE40EE"/>
    <w:rsid w:val="00DE4703"/>
    <w:rsid w:val="00DE5FEB"/>
    <w:rsid w:val="00DE7755"/>
    <w:rsid w:val="00DF1E20"/>
    <w:rsid w:val="00DF53F2"/>
    <w:rsid w:val="00DF5522"/>
    <w:rsid w:val="00DF64BA"/>
    <w:rsid w:val="00DF7BBA"/>
    <w:rsid w:val="00E03969"/>
    <w:rsid w:val="00E0761A"/>
    <w:rsid w:val="00E122F2"/>
    <w:rsid w:val="00E12B1D"/>
    <w:rsid w:val="00E2097B"/>
    <w:rsid w:val="00E24CB8"/>
    <w:rsid w:val="00E25059"/>
    <w:rsid w:val="00E255C4"/>
    <w:rsid w:val="00E26E73"/>
    <w:rsid w:val="00E27448"/>
    <w:rsid w:val="00E2785A"/>
    <w:rsid w:val="00E278C0"/>
    <w:rsid w:val="00E32D2C"/>
    <w:rsid w:val="00E3314E"/>
    <w:rsid w:val="00E33D8D"/>
    <w:rsid w:val="00E35ECE"/>
    <w:rsid w:val="00E379FD"/>
    <w:rsid w:val="00E37C47"/>
    <w:rsid w:val="00E4080F"/>
    <w:rsid w:val="00E42758"/>
    <w:rsid w:val="00E429B4"/>
    <w:rsid w:val="00E45C78"/>
    <w:rsid w:val="00E46010"/>
    <w:rsid w:val="00E501EA"/>
    <w:rsid w:val="00E52C9F"/>
    <w:rsid w:val="00E530CD"/>
    <w:rsid w:val="00E57835"/>
    <w:rsid w:val="00E609D5"/>
    <w:rsid w:val="00E60AF7"/>
    <w:rsid w:val="00E614C0"/>
    <w:rsid w:val="00E63064"/>
    <w:rsid w:val="00E6385A"/>
    <w:rsid w:val="00E64624"/>
    <w:rsid w:val="00E66DFD"/>
    <w:rsid w:val="00E67D07"/>
    <w:rsid w:val="00E702BF"/>
    <w:rsid w:val="00E70B8A"/>
    <w:rsid w:val="00E70C38"/>
    <w:rsid w:val="00E776DF"/>
    <w:rsid w:val="00E77B01"/>
    <w:rsid w:val="00E80CBC"/>
    <w:rsid w:val="00E8157A"/>
    <w:rsid w:val="00E81C89"/>
    <w:rsid w:val="00E827BF"/>
    <w:rsid w:val="00E82990"/>
    <w:rsid w:val="00E830C8"/>
    <w:rsid w:val="00E83525"/>
    <w:rsid w:val="00E845F8"/>
    <w:rsid w:val="00E84DF0"/>
    <w:rsid w:val="00E85A86"/>
    <w:rsid w:val="00E9567E"/>
    <w:rsid w:val="00EA34B8"/>
    <w:rsid w:val="00EA7A35"/>
    <w:rsid w:val="00EB38F2"/>
    <w:rsid w:val="00EB68CB"/>
    <w:rsid w:val="00EB736A"/>
    <w:rsid w:val="00EC0098"/>
    <w:rsid w:val="00EC0548"/>
    <w:rsid w:val="00EC3441"/>
    <w:rsid w:val="00EC700F"/>
    <w:rsid w:val="00ED1389"/>
    <w:rsid w:val="00ED7056"/>
    <w:rsid w:val="00EE0A8B"/>
    <w:rsid w:val="00EF054B"/>
    <w:rsid w:val="00EF0AB2"/>
    <w:rsid w:val="00EF37CC"/>
    <w:rsid w:val="00EF7150"/>
    <w:rsid w:val="00EF73FA"/>
    <w:rsid w:val="00F0106B"/>
    <w:rsid w:val="00F04158"/>
    <w:rsid w:val="00F04CC2"/>
    <w:rsid w:val="00F057A8"/>
    <w:rsid w:val="00F05816"/>
    <w:rsid w:val="00F07260"/>
    <w:rsid w:val="00F1195C"/>
    <w:rsid w:val="00F12AAF"/>
    <w:rsid w:val="00F132F5"/>
    <w:rsid w:val="00F17117"/>
    <w:rsid w:val="00F1782E"/>
    <w:rsid w:val="00F20A86"/>
    <w:rsid w:val="00F20F51"/>
    <w:rsid w:val="00F21E62"/>
    <w:rsid w:val="00F228DB"/>
    <w:rsid w:val="00F244EA"/>
    <w:rsid w:val="00F24C38"/>
    <w:rsid w:val="00F26232"/>
    <w:rsid w:val="00F27390"/>
    <w:rsid w:val="00F317E0"/>
    <w:rsid w:val="00F32754"/>
    <w:rsid w:val="00F32A6C"/>
    <w:rsid w:val="00F334D2"/>
    <w:rsid w:val="00F34137"/>
    <w:rsid w:val="00F37625"/>
    <w:rsid w:val="00F40D99"/>
    <w:rsid w:val="00F45969"/>
    <w:rsid w:val="00F558B0"/>
    <w:rsid w:val="00F56A1E"/>
    <w:rsid w:val="00F61ECB"/>
    <w:rsid w:val="00F67D7A"/>
    <w:rsid w:val="00F73CF2"/>
    <w:rsid w:val="00F87674"/>
    <w:rsid w:val="00F87BD3"/>
    <w:rsid w:val="00F93FC9"/>
    <w:rsid w:val="00F94061"/>
    <w:rsid w:val="00F946CA"/>
    <w:rsid w:val="00F9775C"/>
    <w:rsid w:val="00FA5FDB"/>
    <w:rsid w:val="00FB1482"/>
    <w:rsid w:val="00FB28D2"/>
    <w:rsid w:val="00FB2996"/>
    <w:rsid w:val="00FB3DCF"/>
    <w:rsid w:val="00FB61FB"/>
    <w:rsid w:val="00FC05A6"/>
    <w:rsid w:val="00FC33C9"/>
    <w:rsid w:val="00FC33ED"/>
    <w:rsid w:val="00FC4976"/>
    <w:rsid w:val="00FC4D5C"/>
    <w:rsid w:val="00FD05A4"/>
    <w:rsid w:val="00FD0B43"/>
    <w:rsid w:val="00FD13F9"/>
    <w:rsid w:val="00FD1E89"/>
    <w:rsid w:val="00FD3EBC"/>
    <w:rsid w:val="00FD62ED"/>
    <w:rsid w:val="00FD6F22"/>
    <w:rsid w:val="00FE046E"/>
    <w:rsid w:val="00FE08FC"/>
    <w:rsid w:val="00FE4A3C"/>
    <w:rsid w:val="00FE4E2B"/>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26AA"/>
  <w15:docId w15:val="{BC099DA5-951B-4B02-8866-C6A12FD4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20" w:qFormat="1"/>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A86"/>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20"/>
      </w:numPr>
      <w:spacing w:before="300" w:line="280" w:lineRule="atLeast"/>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outlineLvl w:val="1"/>
    </w:pPr>
    <w:rPr>
      <w:bCs w:val="0"/>
      <w:iCs/>
      <w:color w:val="56B4DF"/>
      <w:sz w:val="22"/>
      <w:szCs w:val="28"/>
    </w:rPr>
  </w:style>
  <w:style w:type="paragraph" w:styleId="Heading3">
    <w:name w:val="heading 3"/>
    <w:aliases w:val="Heading 3 un-numbered"/>
    <w:basedOn w:val="BodyText"/>
    <w:next w:val="BodyText"/>
    <w:link w:val="Heading3Char"/>
    <w:qFormat/>
    <w:rsid w:val="002C7B38"/>
    <w:pPr>
      <w:keepNext/>
      <w:numPr>
        <w:ilvl w:val="2"/>
        <w:numId w:val="20"/>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20"/>
      </w:numPr>
      <w:spacing w:before="300" w:line="280" w:lineRule="atLeast"/>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20"/>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0"/>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aliases w:val="Heading 3 un-numbered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9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99"/>
    <w:rsid w:val="009F2590"/>
    <w:rPr>
      <w:rFonts w:ascii="Arial" w:eastAsia="Times New Roman" w:hAnsi="Arial"/>
      <w:color w:val="595A5B"/>
      <w:sz w:val="16"/>
    </w:rPr>
  </w:style>
  <w:style w:type="paragraph" w:styleId="Footer">
    <w:name w:val="footer"/>
    <w:basedOn w:val="Normal"/>
    <w:link w:val="FooterChar"/>
    <w:uiPriority w:val="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9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numPr>
        <w:numId w:val="35"/>
      </w:num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4C7203"/>
    <w:pPr>
      <w:numPr>
        <w:numId w:val="16"/>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nhideWhenUsed/>
    <w:rsid w:val="00E35ECE"/>
    <w:pPr>
      <w:spacing w:after="0" w:line="240" w:lineRule="auto"/>
      <w:ind w:left="0"/>
    </w:pPr>
  </w:style>
  <w:style w:type="character" w:customStyle="1" w:styleId="HeaderChar">
    <w:name w:val="Header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7"/>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6"/>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paragraph" w:customStyle="1" w:styleId="equationNum">
    <w:name w:val="equationNum"/>
    <w:basedOn w:val="Normal"/>
    <w:next w:val="Normal"/>
    <w:uiPriority w:val="99"/>
    <w:rsid w:val="00FC33C9"/>
    <w:pPr>
      <w:keepLines/>
      <w:autoSpaceDE w:val="0"/>
      <w:autoSpaceDN w:val="0"/>
      <w:adjustRightInd w:val="0"/>
      <w:spacing w:before="120" w:after="120" w:line="240" w:lineRule="auto"/>
      <w:ind w:left="0"/>
      <w:jc w:val="left"/>
    </w:pPr>
    <w:rPr>
      <w:rFonts w:ascii="Times New Roman" w:eastAsiaTheme="minorEastAsia" w:hAnsi="Times New Roman" w:cs="Times New Roman"/>
      <w:noProof/>
      <w:color w:val="auto"/>
      <w:sz w:val="24"/>
      <w:szCs w:val="24"/>
      <w:lang w:eastAsia="en-AU"/>
    </w:rPr>
  </w:style>
  <w:style w:type="paragraph" w:customStyle="1" w:styleId="Table">
    <w:name w:val="Table"/>
    <w:basedOn w:val="Normal"/>
    <w:uiPriority w:val="99"/>
    <w:rsid w:val="00141F95"/>
    <w:pPr>
      <w:keepLines/>
      <w:autoSpaceDE w:val="0"/>
      <w:autoSpaceDN w:val="0"/>
      <w:adjustRightInd w:val="0"/>
      <w:spacing w:before="120" w:after="0" w:line="240" w:lineRule="auto"/>
      <w:ind w:left="0"/>
      <w:jc w:val="center"/>
    </w:pPr>
    <w:rPr>
      <w:rFonts w:ascii="Times New Roman" w:eastAsiaTheme="minorEastAsia" w:hAnsi="Times New Roman" w:cs="Times New Roman"/>
      <w:noProof/>
      <w:color w:val="auto"/>
      <w:szCs w:val="20"/>
      <w:lang w:eastAsia="en-AU"/>
    </w:rPr>
  </w:style>
  <w:style w:type="paragraph" w:customStyle="1" w:styleId="equationArray">
    <w:name w:val="equationArray"/>
    <w:basedOn w:val="Normal"/>
    <w:next w:val="Normal"/>
    <w:uiPriority w:val="99"/>
    <w:rsid w:val="008C35E5"/>
    <w:pPr>
      <w:keepLines/>
      <w:autoSpaceDE w:val="0"/>
      <w:autoSpaceDN w:val="0"/>
      <w:adjustRightInd w:val="0"/>
      <w:spacing w:before="120" w:after="120" w:line="240" w:lineRule="auto"/>
      <w:ind w:left="0"/>
      <w:jc w:val="left"/>
    </w:pPr>
    <w:rPr>
      <w:rFonts w:ascii="Times New Roman" w:eastAsiaTheme="minorEastAsia" w:hAnsi="Times New Roman" w:cs="Times New Roman"/>
      <w:noProof/>
      <w:color w:val="auto"/>
      <w:sz w:val="24"/>
      <w:szCs w:val="24"/>
      <w:lang w:eastAsia="en-AU"/>
    </w:rPr>
  </w:style>
  <w:style w:type="paragraph" w:customStyle="1" w:styleId="equation">
    <w:name w:val="equation"/>
    <w:basedOn w:val="Normal"/>
    <w:next w:val="Normal"/>
    <w:uiPriority w:val="99"/>
    <w:rsid w:val="00F32754"/>
    <w:pPr>
      <w:keepLines/>
      <w:autoSpaceDE w:val="0"/>
      <w:autoSpaceDN w:val="0"/>
      <w:adjustRightInd w:val="0"/>
      <w:spacing w:before="120" w:after="120" w:line="240" w:lineRule="auto"/>
      <w:ind w:left="0"/>
      <w:jc w:val="left"/>
    </w:pPr>
    <w:rPr>
      <w:rFonts w:ascii="Times New Roman" w:eastAsiaTheme="minorEastAsia" w:hAnsi="Times New Roman" w:cs="Times New Roman"/>
      <w:noProof/>
      <w:color w:val="auto"/>
      <w:sz w:val="24"/>
      <w:szCs w:val="24"/>
      <w:lang w:eastAsia="en-AU"/>
    </w:rPr>
  </w:style>
  <w:style w:type="paragraph" w:styleId="NormalWeb">
    <w:name w:val="Normal (Web)"/>
    <w:basedOn w:val="Normal"/>
    <w:uiPriority w:val="99"/>
    <w:unhideWhenUsed/>
    <w:rsid w:val="00A82EC9"/>
    <w:pPr>
      <w:spacing w:before="100" w:beforeAutospacing="1" w:after="100" w:afterAutospacing="1" w:line="240" w:lineRule="auto"/>
      <w:ind w:left="0"/>
      <w:jc w:val="left"/>
    </w:pPr>
    <w:rPr>
      <w:rFonts w:ascii="Times New Roman" w:eastAsiaTheme="minorEastAsia" w:hAnsi="Times New Roman" w:cs="Times New Roman"/>
      <w:color w:val="auto"/>
      <w:sz w:val="24"/>
      <w:szCs w:val="24"/>
      <w:lang w:eastAsia="en-AU"/>
    </w:rPr>
  </w:style>
  <w:style w:type="character" w:styleId="Emphasis">
    <w:name w:val="Emphasis"/>
    <w:basedOn w:val="DefaultParagraphFont"/>
    <w:uiPriority w:val="20"/>
    <w:qFormat/>
    <w:rsid w:val="00A82EC9"/>
    <w:rPr>
      <w:i/>
      <w:iCs/>
    </w:rPr>
  </w:style>
  <w:style w:type="character" w:styleId="FollowedHyperlink">
    <w:name w:val="FollowedHyperlink"/>
    <w:basedOn w:val="DefaultParagraphFont"/>
    <w:uiPriority w:val="19"/>
    <w:semiHidden/>
    <w:unhideWhenUsed/>
    <w:rsid w:val="00E70B8A"/>
    <w:rPr>
      <w:color w:val="56B4E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doi.org/10.1111/j.1468-0327.2007.00190.x%20" TargetMode="External"/><Relationship Id="rId39" Type="http://schemas.openxmlformats.org/officeDocument/2006/relationships/hyperlink" Target="http://dx.doi.org/10.1787/888933617434"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gala.gre.ac.uk/19371/" TargetMode="External"/><Relationship Id="rId42" Type="http://schemas.openxmlformats.org/officeDocument/2006/relationships/hyperlink" Target="https://doi.org/10.1257/jep.31.3.113"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accc.gov.au/system/files/Petrol-market-shares-report.pdf" TargetMode="External"/><Relationship Id="rId33" Type="http://schemas.openxmlformats.org/officeDocument/2006/relationships/hyperlink" Target="https://doi.org/10.2307/2098227" TargetMode="External"/><Relationship Id="rId38" Type="http://schemas.openxmlformats.org/officeDocument/2006/relationships/hyperlink" Target="https://grattan.edu.au/report/competition-in-the-australian-economy/"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1111/j.1540-5982.2011.01698.x" TargetMode="External"/><Relationship Id="rId41" Type="http://schemas.openxmlformats.org/officeDocument/2006/relationships/hyperlink" Target="https://www.project-syndicate.org/commentary/united-states-economy-rising-market-power-by-joseph-e-stiglitz-2019-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tailworldmagazine.com.au/spotlight-australias-supermarkets-grocery-industry/" TargetMode="External"/><Relationship Id="rId32" Type="http://schemas.openxmlformats.org/officeDocument/2006/relationships/hyperlink" Target="https://doi.org/10.1257/aer.102.6.2437" TargetMode="External"/><Relationship Id="rId37" Type="http://schemas.openxmlformats.org/officeDocument/2006/relationships/hyperlink" Target="http://dx.doi.org/10.1037/h0071325" TargetMode="External"/><Relationship Id="rId40" Type="http://schemas.openxmlformats.org/officeDocument/2006/relationships/hyperlink" Target="https://www.brookings.edu/research/the-state-of-competition-and-dynamism-facts-about-concentration-start-ups-and-related-polici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dustry.gov.au/OCE" TargetMode="External"/><Relationship Id="rId23" Type="http://schemas.openxmlformats.org/officeDocument/2006/relationships/hyperlink" Target="https://en.wikipedia.org/wiki/Big_Four_(banking)" TargetMode="External"/><Relationship Id="rId28" Type="http://schemas.openxmlformats.org/officeDocument/2006/relationships/hyperlink" Target="https://doi.org/10.1787/2ff98246-en" TargetMode="External"/><Relationship Id="rId36" Type="http://schemas.openxmlformats.org/officeDocument/2006/relationships/hyperlink" Target="https://doi.org/10.1111/1467-8462.12253"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doi.org/10.1257/jel.38.3.569"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efeconomist@industry.gov.au" TargetMode="External"/><Relationship Id="rId22" Type="http://schemas.openxmlformats.org/officeDocument/2006/relationships/image" Target="media/image10.png"/><Relationship Id="rId27" Type="http://schemas.openxmlformats.org/officeDocument/2006/relationships/hyperlink" Target="https://doi.org/10.1257/aer.p20171102" TargetMode="External"/><Relationship Id="rId30" Type="http://schemas.openxmlformats.org/officeDocument/2006/relationships/hyperlink" Target="https://industry.gov.au/Office-of-the-Chief-Economist/Research-Papers/Pages/Entrepreneurship-Dynamics-in-Australia-Lessons-from-Micro-data.aspx" TargetMode="External"/><Relationship Id="rId35" Type="http://schemas.openxmlformats.org/officeDocument/2006/relationships/hyperlink" Target="http://doi.org/10.1162/REST_a_00288%20"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economicanalyticalservices/templates/OCE%20Portrai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950C6FD3F043AFA21B39738BB1B900"/>
        <w:category>
          <w:name w:val="General"/>
          <w:gallery w:val="placeholder"/>
        </w:category>
        <w:types>
          <w:type w:val="bbPlcHdr"/>
        </w:types>
        <w:behaviors>
          <w:behavior w:val="content"/>
        </w:behaviors>
        <w:guid w:val="{0E661DB3-5F28-44AE-A662-387D97C3628E}"/>
      </w:docPartPr>
      <w:docPartBody>
        <w:p w:rsidR="00577A4C" w:rsidRDefault="00577A4C" w:rsidP="00577A4C">
          <w:pPr>
            <w:pStyle w:val="26950C6FD3F043AFA21B39738BB1B900"/>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4C"/>
    <w:rsid w:val="00577A4C"/>
    <w:rsid w:val="00605944"/>
    <w:rsid w:val="007C1A04"/>
    <w:rsid w:val="0082724B"/>
    <w:rsid w:val="00AC18A4"/>
    <w:rsid w:val="00BB7CE0"/>
    <w:rsid w:val="00C4076B"/>
    <w:rsid w:val="00D67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A4C"/>
    <w:rPr>
      <w:color w:val="808080"/>
    </w:rPr>
  </w:style>
  <w:style w:type="paragraph" w:customStyle="1" w:styleId="26950C6FD3F043AFA21B39738BB1B900">
    <w:name w:val="26950C6FD3F043AFA21B39738BB1B900"/>
    <w:rsid w:val="00577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EASD</TermName>
          <TermId xmlns="http://schemas.microsoft.com/office/infopath/2007/PartnerControls">1266620e-6595-4ae2-a8cd-6f84eea2d88d</TermId>
        </TermInfo>
        <TermInfo xmlns="http://schemas.microsoft.com/office/infopath/2007/PartnerControls">
          <TermName xmlns="http://schemas.microsoft.com/office/infopath/2007/PartnerControls">IFA</TermName>
          <TermId xmlns="http://schemas.microsoft.com/office/infopath/2007/PartnerControls">a464322f-3cec-48f5-841c-7f7cfb4b0c6c</TermId>
        </TermInfo>
        <TermInfo xmlns="http://schemas.microsoft.com/office/infopath/2007/PartnerControls">
          <TermName xmlns="http://schemas.microsoft.com/office/infopath/2007/PartnerControls">IEB</TermName>
          <TermId xmlns="http://schemas.microsoft.com/office/infopath/2007/PartnerControls">7d4e5018-888a-465d-a16b-5d44a1fbf620</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b28facd8-3dc8-46bf-a2b8-d55c169e0df6</TermId>
        </TermInfo>
      </Terms>
    </pe2555c81638466f9eb614edb9ecde52>
    <TaxCatchAll xmlns="46486fd5-fff8-4cbe-a2d1-89ce7ea547a7">
      <Value>31</Value>
      <Value>2129</Value>
      <Value>82</Value>
      <Value>1959</Value>
      <Value>3</Value>
      <Value>121</Value>
      <Value>2380</Value>
    </TaxCatchAll>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7b4c149d-8b70-4bf0-8e72-df534d298464</TermId>
        </TermInfo>
      </Terms>
    </g7bcb40ba23249a78edca7d43a67c1c9>
    <_dlc_DocId xmlns="46486fd5-fff8-4cbe-a2d1-89ce7ea547a7">EUCW2WRC2PUD-1078297381-115</_dlc_DocId>
    <_dlc_DocIdUrl xmlns="46486fd5-fff8-4cbe-a2d1-89ce7ea547a7">
      <Url>https://dochub/div/economicanalyticalservices/businessfunctions/publicationsmgmt/researchpapers/_layouts/15/DocIdRedir.aspx?ID=EUCW2WRC2PUD-1078297381-115</Url>
      <Description>EUCW2WRC2PUD-1078297381-115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13" ma:contentTypeDescription="Create a new document." ma:contentTypeScope="" ma:versionID="2b51e9e855b9415189509934b9e71bf9">
  <xsd:schema xmlns:xsd="http://www.w3.org/2001/XMLSchema" xmlns:xs="http://www.w3.org/2001/XMLSchema" xmlns:p="http://schemas.microsoft.com/office/2006/metadata/properties" xmlns:ns1="http://schemas.microsoft.com/sharepoint/v3" xmlns:ns2="46486fd5-fff8-4cbe-a2d1-89ce7ea547a7" xmlns:ns3="e47d1c65-9f6c-49e5-a774-2c92ccb46d02" targetNamespace="http://schemas.microsoft.com/office/2006/metadata/properties" ma:root="true" ma:fieldsID="ec0e10c95204380d2daa2b83754d4d3a" ns1:_="" ns2:_="" ns3:_="">
    <xsd:import namespace="http://schemas.microsoft.com/sharepoint/v3"/>
    <xsd:import namespace="46486fd5-fff8-4cbe-a2d1-89ce7ea547a7"/>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2E28D-6947-480F-BBF1-3DFDF858D2EF}">
  <ds:schemaRefs>
    <ds:schemaRef ds:uri="http://purl.org/dc/elements/1.1/"/>
    <ds:schemaRef ds:uri="http://schemas.microsoft.com/office/2006/metadata/properties"/>
    <ds:schemaRef ds:uri="e47d1c65-9f6c-49e5-a774-2c92ccb46d02"/>
    <ds:schemaRef ds:uri="http://schemas.microsoft.com/sharepoint/v3"/>
    <ds:schemaRef ds:uri="http://purl.org/dc/terms/"/>
    <ds:schemaRef ds:uri="46486fd5-fff8-4cbe-a2d1-89ce7ea547a7"/>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6BC329-1087-45BA-A989-58D11ECB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EDBD2-23D7-4E56-9CFC-97C6144F6BD8}">
  <ds:schemaRefs>
    <ds:schemaRef ds:uri="http://schemas.microsoft.com/sharepoint/events"/>
  </ds:schemaRefs>
</ds:datastoreItem>
</file>

<file path=customXml/itemProps4.xml><?xml version="1.0" encoding="utf-8"?>
<ds:datastoreItem xmlns:ds="http://schemas.openxmlformats.org/officeDocument/2006/customXml" ds:itemID="{BA902024-C005-4DC0-B358-BDFF341AD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OCE%20Portrait%20Template.dotm</Template>
  <TotalTime>2</TotalTime>
  <Pages>32</Pages>
  <Words>9631</Words>
  <Characters>53117</Characters>
  <Application>Microsoft Office Word</Application>
  <DocSecurity>0</DocSecurity>
  <Lines>2023</Lines>
  <Paragraphs>1209</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61675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creator>Bakhtiari, Sasan</dc:creator>
  <cp:lastModifiedBy>Francis, Sophie</cp:lastModifiedBy>
  <cp:revision>3</cp:revision>
  <cp:lastPrinted>2019-09-08T23:26:00Z</cp:lastPrinted>
  <dcterms:created xsi:type="dcterms:W3CDTF">2019-09-08T22:34:00Z</dcterms:created>
  <dcterms:modified xsi:type="dcterms:W3CDTF">2019-09-08T23:27:00Z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0x010100642ABE2D4EDB3C45BCCA6C138F7C803F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c010d3bb-ff6a-4db0-81ae-715553d62a24</vt:lpwstr>
  </property>
  <property fmtid="{D5CDD505-2E9C-101B-9397-08002B2CF9AE}" pid="8" name="DocHub_Year">
    <vt:lpwstr>2380;#2019|7e451fe0-4dc6-437a-a849-bab7965a9aee</vt:lpwstr>
  </property>
  <property fmtid="{D5CDD505-2E9C-101B-9397-08002B2CF9AE}" pid="9" name="DocHub_DocumentType">
    <vt:lpwstr>121;#Research|b28facd8-3dc8-46bf-a2b8-d55c169e0df6</vt:lpwstr>
  </property>
  <property fmtid="{D5CDD505-2E9C-101B-9397-08002B2CF9AE}" pid="10" name="DocHub_SecurityClassification">
    <vt:lpwstr>3;#UNCLASSIFIED|6106d03b-a1a0-4e30-9d91-d5e9fb4314f9</vt:lpwstr>
  </property>
  <property fmtid="{D5CDD505-2E9C-101B-9397-08002B2CF9AE}" pid="11" name="DocHub_Keywords">
    <vt:lpwstr>31;#EASD|1266620e-6595-4ae2-a8cd-6f84eea2d88d;#1959;#IFA|a464322f-3cec-48f5-841c-7f7cfb4b0c6c;#2129;#IEB|7d4e5018-888a-465d-a16b-5d44a1fbf620</vt:lpwstr>
  </property>
  <property fmtid="{D5CDD505-2E9C-101B-9397-08002B2CF9AE}" pid="12" name="DocHub_WorkActivity">
    <vt:lpwstr>82;#Research|7b4c149d-8b70-4bf0-8e72-df534d298464</vt:lpwstr>
  </property>
  <property fmtid="{D5CDD505-2E9C-101B-9397-08002B2CF9AE}" pid="13" name="IconOverlay">
    <vt:lpwstr/>
  </property>
</Properties>
</file>