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541E6" w14:textId="7E36805C" w:rsidR="00CB3596" w:rsidRPr="00457736" w:rsidRDefault="00CB3596" w:rsidP="00426DC6">
      <w:pPr>
        <w:pStyle w:val="Covertitle"/>
        <w:rPr>
          <w:rFonts w:cs="Segoe UI"/>
          <w:b/>
          <w:color w:val="00264D"/>
          <w:sz w:val="64"/>
          <w:szCs w:val="64"/>
        </w:rPr>
      </w:pPr>
      <w:r w:rsidRPr="00457736">
        <w:rPr>
          <w:noProof/>
        </w:rPr>
        <w:drawing>
          <wp:anchor distT="0" distB="0" distL="114300" distR="114300" simplePos="0" relativeHeight="251658240" behindDoc="1" locked="0" layoutInCell="1" allowOverlap="1" wp14:anchorId="62E30E48" wp14:editId="69BD4343">
            <wp:simplePos x="0" y="0"/>
            <wp:positionH relativeFrom="page">
              <wp:align>left</wp:align>
            </wp:positionH>
            <wp:positionV relativeFrom="paragraph">
              <wp:posOffset>-3060700</wp:posOffset>
            </wp:positionV>
            <wp:extent cx="7546602" cy="10674792"/>
            <wp:effectExtent l="0" t="0" r="0" b="0"/>
            <wp:wrapNone/>
            <wp:docPr id="14358" name="Picture 14358" descr="Light grey background with thousands of tiny spots transitioning from yellow to orange to red in the top left corner and blue to red to orange to yellow in the bottom right corner. The spots form an irregular cloud. Heading is in dark blue, the subheading in soft orange." title="Title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cover_blue murmuration1.png"/>
                    <pic:cNvPicPr/>
                  </pic:nvPicPr>
                  <pic:blipFill>
                    <a:blip r:embed="rId13">
                      <a:extLst>
                        <a:ext uri="{28A0092B-C50C-407E-A947-70E740481C1C}">
                          <a14:useLocalDpi xmlns:a14="http://schemas.microsoft.com/office/drawing/2010/main" val="0"/>
                        </a:ext>
                      </a:extLst>
                    </a:blip>
                    <a:stretch>
                      <a:fillRect/>
                    </a:stretch>
                  </pic:blipFill>
                  <pic:spPr>
                    <a:xfrm>
                      <a:off x="0" y="0"/>
                      <a:ext cx="7546602" cy="10674792"/>
                    </a:xfrm>
                    <a:prstGeom prst="rect">
                      <a:avLst/>
                    </a:prstGeom>
                  </pic:spPr>
                </pic:pic>
              </a:graphicData>
            </a:graphic>
            <wp14:sizeRelH relativeFrom="page">
              <wp14:pctWidth>0</wp14:pctWidth>
            </wp14:sizeRelH>
            <wp14:sizeRelV relativeFrom="page">
              <wp14:pctHeight>0</wp14:pctHeight>
            </wp14:sizeRelV>
          </wp:anchor>
        </w:drawing>
      </w:r>
      <w:sdt>
        <w:sdtPr>
          <w:rPr>
            <w:rFonts w:cs="Segoe UI"/>
            <w:b/>
            <w:color w:val="FFFFFF" w:themeColor="background1"/>
            <w:sz w:val="64"/>
            <w:szCs w:val="64"/>
          </w:rPr>
          <w:id w:val="-1988776230"/>
          <w:docPartObj>
            <w:docPartGallery w:val="Cover Pages"/>
            <w:docPartUnique/>
          </w:docPartObj>
        </w:sdtPr>
        <w:sdtEndPr>
          <w:rPr>
            <w:color w:val="00264D"/>
            <w:sz w:val="36"/>
            <w:szCs w:val="36"/>
          </w:rPr>
        </w:sdtEndPr>
        <w:sdtContent>
          <w:sdt>
            <w:sdtPr>
              <w:rPr>
                <w:rFonts w:cs="Segoe UI"/>
                <w:b/>
                <w:color w:val="00264D" w:themeColor="background2"/>
                <w:sz w:val="64"/>
                <w:szCs w:val="64"/>
              </w:rPr>
              <w:alias w:val="Title"/>
              <w:tag w:val=""/>
              <w:id w:val="1156959810"/>
              <w:dataBinding w:prefixMappings="xmlns:ns0='http://purl.org/dc/elements/1.1/' xmlns:ns1='http://schemas.openxmlformats.org/package/2006/metadata/core-properties' " w:xpath="/ns1:coreProperties[1]/ns0:title[1]" w:storeItemID="{6C3C8BC8-F283-45AE-878A-BAB7291924A1}"/>
              <w:text/>
            </w:sdtPr>
            <w:sdtEndPr/>
            <w:sdtContent>
              <w:r w:rsidR="00B74AA5" w:rsidRPr="00457736">
                <w:rPr>
                  <w:rFonts w:cs="Segoe UI"/>
                  <w:b/>
                  <w:color w:val="00264D" w:themeColor="background2"/>
                  <w:sz w:val="64"/>
                  <w:szCs w:val="64"/>
                </w:rPr>
                <w:t xml:space="preserve">Performance Assessment </w:t>
              </w:r>
              <w:r w:rsidR="00B74AA5">
                <w:rPr>
                  <w:rFonts w:cs="Segoe UI"/>
                  <w:b/>
                  <w:color w:val="00264D" w:themeColor="background2"/>
                  <w:sz w:val="64"/>
                  <w:szCs w:val="64"/>
                </w:rPr>
                <w:t>of the Industry Growth Centres</w:t>
              </w:r>
            </w:sdtContent>
          </w:sdt>
        </w:sdtContent>
      </w:sdt>
    </w:p>
    <w:p w14:paraId="047DCBEC" w14:textId="212314EE" w:rsidR="00CB3596" w:rsidRPr="00482CDD" w:rsidRDefault="00AD2D4B" w:rsidP="00426DC6">
      <w:pPr>
        <w:pStyle w:val="CoverPage-Client"/>
        <w:spacing w:before="360"/>
        <w:rPr>
          <w:rFonts w:cs="Segoe UI"/>
          <w:color w:val="C97306" w:themeColor="accent3" w:themeShade="BF"/>
        </w:rPr>
      </w:pPr>
      <w:sdt>
        <w:sdtPr>
          <w:rPr>
            <w:rStyle w:val="CoverPage-ClientChar"/>
            <w:rFonts w:cs="Segoe UI"/>
            <w:color w:val="C97306" w:themeColor="accent3" w:themeShade="BF"/>
          </w:rPr>
          <w:alias w:val="Subject"/>
          <w:tag w:val=""/>
          <w:id w:val="881599226"/>
          <w:dataBinding w:prefixMappings="xmlns:ns0='http://purl.org/dc/elements/1.1/' xmlns:ns1='http://schemas.openxmlformats.org/package/2006/metadata/core-properties' " w:xpath="/ns1:coreProperties[1]/ns0:subject[1]" w:storeItemID="{6C3C8BC8-F283-45AE-878A-BAB7291924A1}"/>
          <w:text/>
        </w:sdtPr>
        <w:sdtEndPr>
          <w:rPr>
            <w:rStyle w:val="CoverPage-ClientChar"/>
          </w:rPr>
        </w:sdtEndPr>
        <w:sdtContent>
          <w:r w:rsidR="00B74AA5" w:rsidRPr="00482CDD">
            <w:rPr>
              <w:rStyle w:val="CoverPage-ClientChar"/>
              <w:rFonts w:cs="Segoe UI"/>
              <w:color w:val="C97306" w:themeColor="accent3" w:themeShade="BF"/>
            </w:rPr>
            <w:t>Prepared for the Department of Industry, Innovation and Science</w:t>
          </w:r>
        </w:sdtContent>
      </w:sdt>
    </w:p>
    <w:p w14:paraId="77C19437" w14:textId="77777777" w:rsidR="00CB3596" w:rsidRPr="00457736" w:rsidRDefault="00CB3596" w:rsidP="00426DC6">
      <w:pPr>
        <w:suppressAutoHyphens/>
        <w:spacing w:after="0" w:line="680" w:lineRule="exact"/>
        <w:sectPr w:rsidR="00CB3596" w:rsidRPr="00457736" w:rsidSect="00426DC6">
          <w:headerReference w:type="default" r:id="rId14"/>
          <w:footerReference w:type="default" r:id="rId15"/>
          <w:headerReference w:type="first" r:id="rId16"/>
          <w:pgSz w:w="11907" w:h="16839" w:code="9"/>
          <w:pgMar w:top="4820" w:right="1418" w:bottom="1701" w:left="1559" w:header="737" w:footer="567" w:gutter="0"/>
          <w:pgNumType w:start="0"/>
          <w:cols w:space="720"/>
          <w:titlePg/>
          <w:docGrid w:linePitch="360"/>
        </w:sectPr>
      </w:pPr>
    </w:p>
    <w:p w14:paraId="585FF179" w14:textId="77777777" w:rsidR="00426DC6" w:rsidRPr="00457736" w:rsidRDefault="00426DC6">
      <w:pPr>
        <w:spacing w:after="165"/>
      </w:pPr>
      <w:r w:rsidRPr="00457736">
        <w:br w:type="page"/>
      </w:r>
    </w:p>
    <w:p w14:paraId="73BF9395" w14:textId="77777777" w:rsidR="00426DC6" w:rsidRPr="00457736" w:rsidRDefault="00426DC6" w:rsidP="00426DC6">
      <w:pPr>
        <w:sectPr w:rsidR="00426DC6" w:rsidRPr="00457736" w:rsidSect="00426DC6">
          <w:headerReference w:type="default" r:id="rId17"/>
          <w:footerReference w:type="default" r:id="rId18"/>
          <w:type w:val="continuous"/>
          <w:pgSz w:w="11907" w:h="16839" w:code="9"/>
          <w:pgMar w:top="1418" w:right="1418" w:bottom="1701" w:left="1559" w:header="737" w:footer="567" w:gutter="0"/>
          <w:pgNumType w:start="1"/>
          <w:cols w:space="720"/>
          <w:docGrid w:linePitch="360"/>
        </w:sectPr>
      </w:pPr>
      <w:r w:rsidRPr="00457736">
        <w:lastRenderedPageBreak/>
        <w:br/>
      </w:r>
      <w:r w:rsidRPr="00457736">
        <w:rPr>
          <w:noProof/>
          <w:lang w:eastAsia="en-AU"/>
        </w:rPr>
        <mc:AlternateContent>
          <mc:Choice Requires="wps">
            <w:drawing>
              <wp:anchor distT="0" distB="0" distL="114300" distR="114300" simplePos="0" relativeHeight="251658241" behindDoc="0" locked="0" layoutInCell="0" allowOverlap="1" wp14:anchorId="2E6048BF" wp14:editId="1C4C81B6">
                <wp:simplePos x="0" y="0"/>
                <wp:positionH relativeFrom="margin">
                  <wp:posOffset>0</wp:posOffset>
                </wp:positionH>
                <wp:positionV relativeFrom="bottomMargin">
                  <wp:posOffset>0</wp:posOffset>
                </wp:positionV>
                <wp:extent cx="1720800" cy="313200"/>
                <wp:effectExtent l="0" t="0" r="0" b="0"/>
                <wp:wrapNone/>
                <wp:docPr id="820" name="Text Box 820"/>
                <wp:cNvGraphicFramePr/>
                <a:graphic xmlns:a="http://schemas.openxmlformats.org/drawingml/2006/main">
                  <a:graphicData uri="http://schemas.microsoft.com/office/word/2010/wordprocessingShape">
                    <wps:wsp>
                      <wps:cNvSpPr txBox="1"/>
                      <wps:spPr>
                        <a:xfrm>
                          <a:off x="0" y="0"/>
                          <a:ext cx="1720800" cy="31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F0337" w14:textId="77777777" w:rsidR="00F730E3" w:rsidRPr="00FD4AB1" w:rsidRDefault="00F730E3" w:rsidP="00426DC6">
                            <w:pPr>
                              <w:rPr>
                                <w:color w:val="A5A5A5"/>
                              </w:rPr>
                            </w:pPr>
                            <w:r w:rsidRPr="00FD4AB1">
                              <w:rPr>
                                <w:color w:val="A5A5A5"/>
                              </w:rPr>
                              <w:t>© Nous Group</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048BF" id="_x0000_t202" coordsize="21600,21600" o:spt="202" path="m,l,21600r21600,l21600,xe">
                <v:stroke joinstyle="miter"/>
                <v:path gradientshapeok="t" o:connecttype="rect"/>
              </v:shapetype>
              <v:shape id="Text Box 820" o:spid="_x0000_s1026" type="#_x0000_t202" style="position:absolute;margin-left:0;margin-top:0;width:135.5pt;height:24.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" o:allowincell="f" fillcolor="white [3201]" stroked="f" strokeweight=".5pt">
                <v:textbox inset="0">
                  <w:txbxContent>
                    <w:p w14:paraId="6FAF0337" w14:textId="77777777" w:rsidR="00F730E3" w:rsidRPr="00FD4AB1" w:rsidRDefault="00F730E3" w:rsidP="00426DC6">
                      <w:pPr>
                        <w:rPr>
                          <w:color w:val="A5A5A5"/>
                        </w:rPr>
                      </w:pPr>
                      <w:r w:rsidRPr="00FD4AB1">
                        <w:rPr>
                          <w:color w:val="A5A5A5"/>
                        </w:rPr>
                        <w:t>© Nous Group</w:t>
                      </w:r>
                    </w:p>
                  </w:txbxContent>
                </v:textbox>
                <w10:wrap anchorx="margin" anchory="margin"/>
              </v:shape>
            </w:pict>
          </mc:Fallback>
        </mc:AlternateContent>
      </w:r>
      <w:r w:rsidRPr="00457736">
        <w:t>This page is intentionally blank.</w:t>
      </w:r>
    </w:p>
    <w:p w14:paraId="178DB929" w14:textId="77777777" w:rsidR="00426DC6" w:rsidRPr="00457736" w:rsidRDefault="00426DC6" w:rsidP="00426DC6">
      <w:pPr>
        <w:pStyle w:val="ContentsHeading"/>
      </w:pPr>
      <w:r w:rsidRPr="00457736">
        <w:lastRenderedPageBreak/>
        <w:t>Contents</w:t>
      </w:r>
    </w:p>
    <w:p w14:paraId="42E3B6B9" w14:textId="006A997E" w:rsidR="00974BF9" w:rsidRDefault="00426DC6">
      <w:pPr>
        <w:pStyle w:val="TOC1"/>
        <w:rPr>
          <w:rFonts w:asciiTheme="minorHAnsi" w:eastAsiaTheme="minorEastAsia" w:hAnsiTheme="minorHAnsi"/>
          <w:sz w:val="22"/>
          <w:lang w:val="en-AU" w:eastAsia="en-AU"/>
        </w:rPr>
      </w:pPr>
      <w:r w:rsidRPr="00457736">
        <w:rPr>
          <w:lang w:val="en-AU" w:eastAsia="en-AU"/>
        </w:rPr>
        <w:fldChar w:fldCharType="begin"/>
      </w:r>
      <w:r w:rsidRPr="00457736">
        <w:rPr>
          <w:lang w:val="en-AU" w:eastAsia="en-AU"/>
        </w:rPr>
        <w:instrText xml:space="preserve"> TOC \o "1-3" \h \z \u </w:instrText>
      </w:r>
      <w:r w:rsidRPr="00457736">
        <w:rPr>
          <w:lang w:val="en-AU" w:eastAsia="en-AU"/>
        </w:rPr>
        <w:fldChar w:fldCharType="separate"/>
      </w:r>
      <w:hyperlink w:anchor="_Toc535922967" w:history="1">
        <w:r w:rsidR="00974BF9" w:rsidRPr="002F35D3">
          <w:rPr>
            <w:rStyle w:val="Hyperlink"/>
          </w:rPr>
          <w:t>Introduction</w:t>
        </w:r>
        <w:r w:rsidR="00974BF9">
          <w:rPr>
            <w:webHidden/>
          </w:rPr>
          <w:tab/>
        </w:r>
        <w:r w:rsidR="00974BF9">
          <w:rPr>
            <w:webHidden/>
          </w:rPr>
          <w:fldChar w:fldCharType="begin"/>
        </w:r>
        <w:r w:rsidR="00974BF9">
          <w:rPr>
            <w:webHidden/>
          </w:rPr>
          <w:instrText xml:space="preserve"> PAGEREF _Toc535922967 \h </w:instrText>
        </w:r>
        <w:r w:rsidR="00974BF9">
          <w:rPr>
            <w:webHidden/>
          </w:rPr>
        </w:r>
        <w:r w:rsidR="00974BF9">
          <w:rPr>
            <w:webHidden/>
          </w:rPr>
          <w:fldChar w:fldCharType="separate"/>
        </w:r>
        <w:r w:rsidR="00AD2D4B">
          <w:rPr>
            <w:webHidden/>
          </w:rPr>
          <w:t>4</w:t>
        </w:r>
        <w:r w:rsidR="00974BF9">
          <w:rPr>
            <w:webHidden/>
          </w:rPr>
          <w:fldChar w:fldCharType="end"/>
        </w:r>
      </w:hyperlink>
    </w:p>
    <w:p w14:paraId="34E5A402" w14:textId="022F6B26" w:rsidR="00974BF9" w:rsidRDefault="00AD2D4B">
      <w:pPr>
        <w:pStyle w:val="TOC1"/>
        <w:rPr>
          <w:rFonts w:asciiTheme="minorHAnsi" w:eastAsiaTheme="minorEastAsia" w:hAnsiTheme="minorHAnsi"/>
          <w:sz w:val="22"/>
          <w:lang w:val="en-AU" w:eastAsia="en-AU"/>
        </w:rPr>
      </w:pPr>
      <w:hyperlink w:anchor="_Toc535922968" w:history="1">
        <w:r w:rsidR="00974BF9" w:rsidRPr="002F35D3">
          <w:rPr>
            <w:rStyle w:val="Hyperlink"/>
          </w:rPr>
          <w:t>Overarching findings</w:t>
        </w:r>
        <w:r w:rsidR="00974BF9">
          <w:rPr>
            <w:webHidden/>
          </w:rPr>
          <w:tab/>
        </w:r>
        <w:r w:rsidR="00974BF9">
          <w:rPr>
            <w:webHidden/>
          </w:rPr>
          <w:fldChar w:fldCharType="begin"/>
        </w:r>
        <w:r w:rsidR="00974BF9">
          <w:rPr>
            <w:webHidden/>
          </w:rPr>
          <w:instrText xml:space="preserve"> PAGEREF _Toc535922968 \h </w:instrText>
        </w:r>
        <w:r w:rsidR="00974BF9">
          <w:rPr>
            <w:webHidden/>
          </w:rPr>
        </w:r>
        <w:r w:rsidR="00974BF9">
          <w:rPr>
            <w:webHidden/>
          </w:rPr>
          <w:fldChar w:fldCharType="separate"/>
        </w:r>
        <w:r>
          <w:rPr>
            <w:webHidden/>
          </w:rPr>
          <w:t>6</w:t>
        </w:r>
        <w:r w:rsidR="00974BF9">
          <w:rPr>
            <w:webHidden/>
          </w:rPr>
          <w:fldChar w:fldCharType="end"/>
        </w:r>
      </w:hyperlink>
    </w:p>
    <w:p w14:paraId="68D1C188" w14:textId="5CFE3643" w:rsidR="00974BF9" w:rsidRDefault="00AD2D4B">
      <w:pPr>
        <w:pStyle w:val="TOC1"/>
        <w:rPr>
          <w:rFonts w:asciiTheme="minorHAnsi" w:eastAsiaTheme="minorEastAsia" w:hAnsiTheme="minorHAnsi"/>
          <w:sz w:val="22"/>
          <w:lang w:val="en-AU" w:eastAsia="en-AU"/>
        </w:rPr>
      </w:pPr>
      <w:hyperlink w:anchor="_Toc535922969" w:history="1">
        <w:r w:rsidR="00974BF9" w:rsidRPr="002F35D3">
          <w:rPr>
            <w:rStyle w:val="Hyperlink"/>
          </w:rPr>
          <w:t>Advanced Manufacturing Growth Centre (AMGC)</w:t>
        </w:r>
        <w:r w:rsidR="00974BF9">
          <w:rPr>
            <w:webHidden/>
          </w:rPr>
          <w:tab/>
        </w:r>
        <w:r w:rsidR="00974BF9">
          <w:rPr>
            <w:webHidden/>
          </w:rPr>
          <w:fldChar w:fldCharType="begin"/>
        </w:r>
        <w:r w:rsidR="00974BF9">
          <w:rPr>
            <w:webHidden/>
          </w:rPr>
          <w:instrText xml:space="preserve"> PAGEREF _Toc535922969 \h </w:instrText>
        </w:r>
        <w:r w:rsidR="00974BF9">
          <w:rPr>
            <w:webHidden/>
          </w:rPr>
        </w:r>
        <w:r w:rsidR="00974BF9">
          <w:rPr>
            <w:webHidden/>
          </w:rPr>
          <w:fldChar w:fldCharType="separate"/>
        </w:r>
        <w:r>
          <w:rPr>
            <w:webHidden/>
          </w:rPr>
          <w:t>8</w:t>
        </w:r>
        <w:r w:rsidR="00974BF9">
          <w:rPr>
            <w:webHidden/>
          </w:rPr>
          <w:fldChar w:fldCharType="end"/>
        </w:r>
      </w:hyperlink>
    </w:p>
    <w:p w14:paraId="51FA7252" w14:textId="2B4125B4" w:rsidR="00974BF9" w:rsidRDefault="00AD2D4B">
      <w:pPr>
        <w:pStyle w:val="TOC1"/>
        <w:rPr>
          <w:rFonts w:asciiTheme="minorHAnsi" w:eastAsiaTheme="minorEastAsia" w:hAnsiTheme="minorHAnsi"/>
          <w:sz w:val="22"/>
          <w:lang w:val="en-AU" w:eastAsia="en-AU"/>
        </w:rPr>
      </w:pPr>
      <w:hyperlink w:anchor="_Toc535922970" w:history="1">
        <w:r w:rsidR="00974BF9" w:rsidRPr="002F35D3">
          <w:rPr>
            <w:rStyle w:val="Hyperlink"/>
          </w:rPr>
          <w:t>AustCyber</w:t>
        </w:r>
        <w:r w:rsidR="00974BF9">
          <w:rPr>
            <w:webHidden/>
          </w:rPr>
          <w:tab/>
        </w:r>
        <w:r w:rsidR="00974BF9">
          <w:rPr>
            <w:webHidden/>
          </w:rPr>
          <w:fldChar w:fldCharType="begin"/>
        </w:r>
        <w:r w:rsidR="00974BF9">
          <w:rPr>
            <w:webHidden/>
          </w:rPr>
          <w:instrText xml:space="preserve"> PAGEREF _Toc535922970 \h </w:instrText>
        </w:r>
        <w:r w:rsidR="00974BF9">
          <w:rPr>
            <w:webHidden/>
          </w:rPr>
        </w:r>
        <w:r w:rsidR="00974BF9">
          <w:rPr>
            <w:webHidden/>
          </w:rPr>
          <w:fldChar w:fldCharType="separate"/>
        </w:r>
        <w:r>
          <w:rPr>
            <w:webHidden/>
          </w:rPr>
          <w:t>11</w:t>
        </w:r>
        <w:r w:rsidR="00974BF9">
          <w:rPr>
            <w:webHidden/>
          </w:rPr>
          <w:fldChar w:fldCharType="end"/>
        </w:r>
      </w:hyperlink>
    </w:p>
    <w:p w14:paraId="10008D8E" w14:textId="02EF6DAE" w:rsidR="00974BF9" w:rsidRDefault="00AD2D4B">
      <w:pPr>
        <w:pStyle w:val="TOC1"/>
        <w:rPr>
          <w:rFonts w:asciiTheme="minorHAnsi" w:eastAsiaTheme="minorEastAsia" w:hAnsiTheme="minorHAnsi"/>
          <w:sz w:val="22"/>
          <w:lang w:val="en-AU" w:eastAsia="en-AU"/>
        </w:rPr>
      </w:pPr>
      <w:hyperlink w:anchor="_Toc535922971" w:history="1">
        <w:r w:rsidR="00974BF9" w:rsidRPr="002F35D3">
          <w:rPr>
            <w:rStyle w:val="Hyperlink"/>
          </w:rPr>
          <w:t>Food Innovation Australia Limited (FIAL)</w:t>
        </w:r>
        <w:r w:rsidR="00974BF9">
          <w:rPr>
            <w:webHidden/>
          </w:rPr>
          <w:tab/>
        </w:r>
        <w:r w:rsidR="00974BF9">
          <w:rPr>
            <w:webHidden/>
          </w:rPr>
          <w:fldChar w:fldCharType="begin"/>
        </w:r>
        <w:r w:rsidR="00974BF9">
          <w:rPr>
            <w:webHidden/>
          </w:rPr>
          <w:instrText xml:space="preserve"> PAGEREF _Toc535922971 \h </w:instrText>
        </w:r>
        <w:r w:rsidR="00974BF9">
          <w:rPr>
            <w:webHidden/>
          </w:rPr>
        </w:r>
        <w:r w:rsidR="00974BF9">
          <w:rPr>
            <w:webHidden/>
          </w:rPr>
          <w:fldChar w:fldCharType="separate"/>
        </w:r>
        <w:r>
          <w:rPr>
            <w:webHidden/>
          </w:rPr>
          <w:t>14</w:t>
        </w:r>
        <w:r w:rsidR="00974BF9">
          <w:rPr>
            <w:webHidden/>
          </w:rPr>
          <w:fldChar w:fldCharType="end"/>
        </w:r>
      </w:hyperlink>
    </w:p>
    <w:p w14:paraId="00434B4B" w14:textId="31F83D77" w:rsidR="00974BF9" w:rsidRDefault="00AD2D4B">
      <w:pPr>
        <w:pStyle w:val="TOC1"/>
        <w:rPr>
          <w:rFonts w:asciiTheme="minorHAnsi" w:eastAsiaTheme="minorEastAsia" w:hAnsiTheme="minorHAnsi"/>
          <w:sz w:val="22"/>
          <w:lang w:val="en-AU" w:eastAsia="en-AU"/>
        </w:rPr>
      </w:pPr>
      <w:hyperlink w:anchor="_Toc535922972" w:history="1">
        <w:r w:rsidR="00974BF9" w:rsidRPr="002F35D3">
          <w:rPr>
            <w:rStyle w:val="Hyperlink"/>
          </w:rPr>
          <w:t>METS Ignited</w:t>
        </w:r>
        <w:r w:rsidR="00974BF9">
          <w:rPr>
            <w:webHidden/>
          </w:rPr>
          <w:tab/>
        </w:r>
        <w:r w:rsidR="00974BF9">
          <w:rPr>
            <w:webHidden/>
          </w:rPr>
          <w:fldChar w:fldCharType="begin"/>
        </w:r>
        <w:r w:rsidR="00974BF9">
          <w:rPr>
            <w:webHidden/>
          </w:rPr>
          <w:instrText xml:space="preserve"> PAGEREF _Toc535922972 \h </w:instrText>
        </w:r>
        <w:r w:rsidR="00974BF9">
          <w:rPr>
            <w:webHidden/>
          </w:rPr>
        </w:r>
        <w:r w:rsidR="00974BF9">
          <w:rPr>
            <w:webHidden/>
          </w:rPr>
          <w:fldChar w:fldCharType="separate"/>
        </w:r>
        <w:r>
          <w:rPr>
            <w:webHidden/>
          </w:rPr>
          <w:t>17</w:t>
        </w:r>
        <w:r w:rsidR="00974BF9">
          <w:rPr>
            <w:webHidden/>
          </w:rPr>
          <w:fldChar w:fldCharType="end"/>
        </w:r>
      </w:hyperlink>
    </w:p>
    <w:p w14:paraId="30AC3365" w14:textId="295AA1E3" w:rsidR="00974BF9" w:rsidRDefault="00AD2D4B">
      <w:pPr>
        <w:pStyle w:val="TOC1"/>
        <w:rPr>
          <w:rFonts w:asciiTheme="minorHAnsi" w:eastAsiaTheme="minorEastAsia" w:hAnsiTheme="minorHAnsi"/>
          <w:sz w:val="22"/>
          <w:lang w:val="en-AU" w:eastAsia="en-AU"/>
        </w:rPr>
      </w:pPr>
      <w:hyperlink w:anchor="_Toc535922973" w:history="1">
        <w:r w:rsidR="00974BF9" w:rsidRPr="002F35D3">
          <w:rPr>
            <w:rStyle w:val="Hyperlink"/>
          </w:rPr>
          <w:t>MTPConnect</w:t>
        </w:r>
        <w:r w:rsidR="00974BF9">
          <w:rPr>
            <w:webHidden/>
          </w:rPr>
          <w:tab/>
        </w:r>
        <w:r w:rsidR="00974BF9">
          <w:rPr>
            <w:webHidden/>
          </w:rPr>
          <w:fldChar w:fldCharType="begin"/>
        </w:r>
        <w:r w:rsidR="00974BF9">
          <w:rPr>
            <w:webHidden/>
          </w:rPr>
          <w:instrText xml:space="preserve"> PAGEREF _Toc535922973 \h </w:instrText>
        </w:r>
        <w:r w:rsidR="00974BF9">
          <w:rPr>
            <w:webHidden/>
          </w:rPr>
        </w:r>
        <w:r w:rsidR="00974BF9">
          <w:rPr>
            <w:webHidden/>
          </w:rPr>
          <w:fldChar w:fldCharType="separate"/>
        </w:r>
        <w:r>
          <w:rPr>
            <w:webHidden/>
          </w:rPr>
          <w:t>20</w:t>
        </w:r>
        <w:r w:rsidR="00974BF9">
          <w:rPr>
            <w:webHidden/>
          </w:rPr>
          <w:fldChar w:fldCharType="end"/>
        </w:r>
      </w:hyperlink>
    </w:p>
    <w:p w14:paraId="593C778B" w14:textId="53EF5B13" w:rsidR="00974BF9" w:rsidRDefault="00AD2D4B">
      <w:pPr>
        <w:pStyle w:val="TOC1"/>
        <w:rPr>
          <w:rFonts w:asciiTheme="minorHAnsi" w:eastAsiaTheme="minorEastAsia" w:hAnsiTheme="minorHAnsi"/>
          <w:sz w:val="22"/>
          <w:lang w:val="en-AU" w:eastAsia="en-AU"/>
        </w:rPr>
      </w:pPr>
      <w:hyperlink w:anchor="_Toc535922974" w:history="1">
        <w:r w:rsidR="00974BF9" w:rsidRPr="002F35D3">
          <w:rPr>
            <w:rStyle w:val="Hyperlink"/>
          </w:rPr>
          <w:t>National Energy Resources Australia (NERA)</w:t>
        </w:r>
        <w:r w:rsidR="00974BF9">
          <w:rPr>
            <w:webHidden/>
          </w:rPr>
          <w:tab/>
        </w:r>
        <w:r w:rsidR="00974BF9">
          <w:rPr>
            <w:webHidden/>
          </w:rPr>
          <w:fldChar w:fldCharType="begin"/>
        </w:r>
        <w:r w:rsidR="00974BF9">
          <w:rPr>
            <w:webHidden/>
          </w:rPr>
          <w:instrText xml:space="preserve"> PAGEREF _Toc535922974 \h </w:instrText>
        </w:r>
        <w:r w:rsidR="00974BF9">
          <w:rPr>
            <w:webHidden/>
          </w:rPr>
        </w:r>
        <w:r w:rsidR="00974BF9">
          <w:rPr>
            <w:webHidden/>
          </w:rPr>
          <w:fldChar w:fldCharType="separate"/>
        </w:r>
        <w:r>
          <w:rPr>
            <w:webHidden/>
          </w:rPr>
          <w:t>23</w:t>
        </w:r>
        <w:r w:rsidR="00974BF9">
          <w:rPr>
            <w:webHidden/>
          </w:rPr>
          <w:fldChar w:fldCharType="end"/>
        </w:r>
      </w:hyperlink>
    </w:p>
    <w:p w14:paraId="6FC7E6FC" w14:textId="184C519D" w:rsidR="00426DC6" w:rsidRPr="00457736" w:rsidRDefault="00426DC6" w:rsidP="002B52AC">
      <w:pPr>
        <w:tabs>
          <w:tab w:val="left" w:pos="426"/>
        </w:tabs>
        <w:rPr>
          <w:lang w:eastAsia="en-AU"/>
        </w:rPr>
      </w:pPr>
      <w:r w:rsidRPr="00457736">
        <w:rPr>
          <w:lang w:eastAsia="en-AU"/>
        </w:rPr>
        <w:fldChar w:fldCharType="end"/>
      </w:r>
    </w:p>
    <w:p w14:paraId="62F55379" w14:textId="77777777" w:rsidR="00426DC6" w:rsidRPr="00457736" w:rsidRDefault="00426DC6" w:rsidP="00426DC6">
      <w:pPr>
        <w:rPr>
          <w:lang w:eastAsia="en-AU"/>
        </w:rPr>
        <w:sectPr w:rsidR="00426DC6" w:rsidRPr="00457736" w:rsidSect="00426DC6">
          <w:pgSz w:w="11907" w:h="16839" w:code="9"/>
          <w:pgMar w:top="1418" w:right="1418" w:bottom="1701" w:left="1559" w:header="720" w:footer="720" w:gutter="0"/>
          <w:cols w:space="720"/>
          <w:docGrid w:linePitch="360"/>
        </w:sectPr>
      </w:pPr>
    </w:p>
    <w:p w14:paraId="78902198" w14:textId="77777777" w:rsidR="00426DC6" w:rsidRPr="00457736" w:rsidRDefault="00426DC6" w:rsidP="00426DC6"/>
    <w:p w14:paraId="4C65BFDA" w14:textId="77777777" w:rsidR="00874B1C" w:rsidRPr="00457736" w:rsidRDefault="00F25BE3" w:rsidP="002C4C6A">
      <w:pPr>
        <w:pStyle w:val="Heading1"/>
        <w:sectPr w:rsidR="00874B1C" w:rsidRPr="00457736" w:rsidSect="006E713F">
          <w:headerReference w:type="even" r:id="rId19"/>
          <w:headerReference w:type="default" r:id="rId20"/>
          <w:footerReference w:type="default" r:id="rId21"/>
          <w:headerReference w:type="first" r:id="rId22"/>
          <w:footerReference w:type="first" r:id="rId23"/>
          <w:type w:val="continuous"/>
          <w:pgSz w:w="11907" w:h="16839" w:code="9"/>
          <w:pgMar w:top="1304" w:right="1304" w:bottom="1304" w:left="1304" w:header="720" w:footer="720" w:gutter="0"/>
          <w:cols w:space="720"/>
          <w:titlePg/>
          <w:docGrid w:linePitch="360"/>
        </w:sectPr>
      </w:pPr>
      <w:bookmarkStart w:id="1" w:name="_Toc531339600"/>
      <w:bookmarkStart w:id="2" w:name="_Toc535922967"/>
      <w:r w:rsidRPr="00457736">
        <w:lastRenderedPageBreak/>
        <w:t>Introduction</w:t>
      </w:r>
      <w:bookmarkEnd w:id="1"/>
      <w:bookmarkEnd w:id="2"/>
    </w:p>
    <w:p w14:paraId="767DDCF1" w14:textId="77777777" w:rsidR="000E5F5F" w:rsidRPr="00457736" w:rsidRDefault="000E5F5F" w:rsidP="000E5F5F">
      <w:r w:rsidRPr="00457736">
        <w:t xml:space="preserve">The Industry Growth Centres Initiative </w:t>
      </w:r>
      <w:r w:rsidR="004A75C7" w:rsidRPr="00457736">
        <w:t xml:space="preserve">(the Initiative) </w:t>
      </w:r>
      <w:r w:rsidRPr="00457736">
        <w:t xml:space="preserve">is an industry-led approach driving innovation, productivity and competitiveness by focusing on areas of competitive strength and strategic priority. Under the Initiative, six </w:t>
      </w:r>
      <w:r w:rsidR="00DF3025" w:rsidRPr="00457736">
        <w:t xml:space="preserve">Industry </w:t>
      </w:r>
      <w:r w:rsidRPr="00457736">
        <w:t xml:space="preserve">Growth Centres </w:t>
      </w:r>
      <w:r w:rsidR="00DF3025" w:rsidRPr="00457736">
        <w:t xml:space="preserve">were </w:t>
      </w:r>
      <w:r w:rsidRPr="00457736">
        <w:t xml:space="preserve">established </w:t>
      </w:r>
      <w:r w:rsidR="006F0465" w:rsidRPr="00457736">
        <w:t>by the Australian Government</w:t>
      </w:r>
      <w:r w:rsidRPr="00457736">
        <w:t>:</w:t>
      </w:r>
      <w:r w:rsidRPr="00457736" w:rsidDel="000A07A8">
        <w:t xml:space="preserve"> </w:t>
      </w:r>
    </w:p>
    <w:p w14:paraId="55920615" w14:textId="77777777" w:rsidR="000E5F5F" w:rsidRPr="00457736" w:rsidRDefault="00C07778" w:rsidP="00C07778">
      <w:pPr>
        <w:pStyle w:val="Bullet"/>
      </w:pPr>
      <w:r w:rsidRPr="00457736">
        <w:t>Advanced Manufacturing (</w:t>
      </w:r>
      <w:r w:rsidR="0048326D" w:rsidRPr="00457736">
        <w:t xml:space="preserve">Advanced Manufacturing Growth Centre or </w:t>
      </w:r>
      <w:r w:rsidRPr="00457736">
        <w:t>AMGC)</w:t>
      </w:r>
    </w:p>
    <w:p w14:paraId="5E002945" w14:textId="77777777" w:rsidR="000E5F5F" w:rsidRPr="00457736" w:rsidRDefault="00C07778" w:rsidP="00C07778">
      <w:pPr>
        <w:pStyle w:val="Bullet"/>
      </w:pPr>
      <w:r w:rsidRPr="00457736">
        <w:t>Cyber Security (</w:t>
      </w:r>
      <w:r w:rsidR="0048326D" w:rsidRPr="00457736">
        <w:t xml:space="preserve">Australian Cyber Security Growth Network or </w:t>
      </w:r>
      <w:proofErr w:type="spellStart"/>
      <w:r w:rsidRPr="00457736">
        <w:t>AustCyber</w:t>
      </w:r>
      <w:proofErr w:type="spellEnd"/>
      <w:r w:rsidRPr="00457736">
        <w:t>)</w:t>
      </w:r>
    </w:p>
    <w:p w14:paraId="473C2D82" w14:textId="77777777" w:rsidR="000E5F5F" w:rsidRPr="00457736" w:rsidRDefault="00C07778" w:rsidP="00C07778">
      <w:pPr>
        <w:pStyle w:val="Bullet"/>
      </w:pPr>
      <w:r w:rsidRPr="00457736">
        <w:t>Food and Agribusiness (</w:t>
      </w:r>
      <w:r w:rsidR="0048326D" w:rsidRPr="00457736">
        <w:t xml:space="preserve">Food Innovation Australia Limited or </w:t>
      </w:r>
      <w:r w:rsidRPr="00457736">
        <w:t>FIAL)</w:t>
      </w:r>
    </w:p>
    <w:p w14:paraId="6AAAAE37" w14:textId="77777777" w:rsidR="000E5F5F" w:rsidRPr="00457736" w:rsidRDefault="000E5F5F" w:rsidP="00C07778">
      <w:pPr>
        <w:pStyle w:val="Bullet"/>
      </w:pPr>
      <w:r w:rsidRPr="00457736">
        <w:t>Medical Te</w:t>
      </w:r>
      <w:r w:rsidR="00C07778" w:rsidRPr="00457736">
        <w:t>chnologies and Pharmaceuticals (</w:t>
      </w:r>
      <w:proofErr w:type="spellStart"/>
      <w:r w:rsidR="00C07778" w:rsidRPr="00457736">
        <w:t>MTPConnect</w:t>
      </w:r>
      <w:proofErr w:type="spellEnd"/>
      <w:r w:rsidR="00C07778" w:rsidRPr="00457736">
        <w:t>)</w:t>
      </w:r>
    </w:p>
    <w:p w14:paraId="30EA5397" w14:textId="4772315E" w:rsidR="000E5F5F" w:rsidRPr="00457736" w:rsidRDefault="000E5F5F" w:rsidP="00C07778">
      <w:pPr>
        <w:pStyle w:val="Bullet"/>
      </w:pPr>
      <w:r w:rsidRPr="00457736">
        <w:t>Mining Equipmen</w:t>
      </w:r>
      <w:r w:rsidR="00C07778" w:rsidRPr="00457736">
        <w:t>t, Technology and Services (METS Ignited</w:t>
      </w:r>
      <w:r w:rsidR="00D772C2" w:rsidRPr="00457736">
        <w:t>: and</w:t>
      </w:r>
    </w:p>
    <w:p w14:paraId="28959901" w14:textId="77777777" w:rsidR="000E5F5F" w:rsidRPr="00457736" w:rsidRDefault="000E5F5F" w:rsidP="00C07778">
      <w:pPr>
        <w:pStyle w:val="Bullet"/>
      </w:pPr>
      <w:r w:rsidRPr="00457736">
        <w:t>Oil, Gas and</w:t>
      </w:r>
      <w:r w:rsidR="00C07778" w:rsidRPr="00457736">
        <w:t xml:space="preserve"> Energy Resources (</w:t>
      </w:r>
      <w:r w:rsidR="009517A3" w:rsidRPr="00457736">
        <w:t>National</w:t>
      </w:r>
      <w:r w:rsidR="0048326D" w:rsidRPr="00457736">
        <w:t xml:space="preserve"> Energy Resources Australia or </w:t>
      </w:r>
      <w:r w:rsidR="00C07778" w:rsidRPr="00457736">
        <w:t>NERA).</w:t>
      </w:r>
    </w:p>
    <w:p w14:paraId="0E1B8A57" w14:textId="702613F9" w:rsidR="0009240A" w:rsidRPr="00457736" w:rsidRDefault="000F3554" w:rsidP="00423376">
      <w:r w:rsidRPr="00457736">
        <w:t xml:space="preserve">The Department of Industry, Innovation and Science (the Department) engaged Nous Group (Nous) to conduct </w:t>
      </w:r>
      <w:r w:rsidR="00F730E3">
        <w:t xml:space="preserve">a </w:t>
      </w:r>
      <w:r w:rsidRPr="00457736">
        <w:t>performance assessment of the six Industry Growth Centres (</w:t>
      </w:r>
      <w:r w:rsidR="00B3713F" w:rsidRPr="00457736">
        <w:t>Growth Centre</w:t>
      </w:r>
      <w:r w:rsidRPr="00457736">
        <w:t>s)</w:t>
      </w:r>
      <w:r w:rsidR="0009240A" w:rsidRPr="00457736">
        <w:t xml:space="preserve"> to support the Department and the Growth Centre Advisory Committee to make informed recommendations to </w:t>
      </w:r>
      <w:r w:rsidR="0009240A" w:rsidRPr="00457736">
        <w:t xml:space="preserve">the Minister about the future of </w:t>
      </w:r>
      <w:r w:rsidR="004F64D5" w:rsidRPr="00457736">
        <w:t xml:space="preserve">each of </w:t>
      </w:r>
      <w:r w:rsidR="0009240A" w:rsidRPr="00457736">
        <w:t xml:space="preserve">the </w:t>
      </w:r>
      <w:r w:rsidR="00B3713F" w:rsidRPr="00457736">
        <w:t>Growth Centre</w:t>
      </w:r>
      <w:r w:rsidR="0009240A" w:rsidRPr="00457736">
        <w:t>s.</w:t>
      </w:r>
    </w:p>
    <w:p w14:paraId="268E1C8F" w14:textId="01CB8B9E" w:rsidR="000F3554" w:rsidRPr="00457736" w:rsidRDefault="0009240A" w:rsidP="00423376">
      <w:r w:rsidRPr="00457736">
        <w:t xml:space="preserve">The </w:t>
      </w:r>
      <w:r w:rsidR="000F3554" w:rsidRPr="00457736">
        <w:t xml:space="preserve">performance assessment examined the extent to which each </w:t>
      </w:r>
      <w:r w:rsidR="00B3713F" w:rsidRPr="00457736">
        <w:t>Growth Centre</w:t>
      </w:r>
      <w:r w:rsidR="000F3554" w:rsidRPr="00457736">
        <w:t xml:space="preserve"> is:</w:t>
      </w:r>
    </w:p>
    <w:p w14:paraId="34EA5837" w14:textId="77777777" w:rsidR="000F3554" w:rsidRPr="00457736" w:rsidRDefault="000F3554" w:rsidP="003F1E06">
      <w:pPr>
        <w:pStyle w:val="Bullet"/>
      </w:pPr>
      <w:r w:rsidRPr="00457736">
        <w:t>Adding value to its sector and having a positive impact</w:t>
      </w:r>
      <w:r w:rsidR="0039228D" w:rsidRPr="00457736">
        <w:t>;</w:t>
      </w:r>
    </w:p>
    <w:p w14:paraId="1D470DA6" w14:textId="77777777" w:rsidR="000F3554" w:rsidRPr="00457736" w:rsidRDefault="000F3554" w:rsidP="003F1E06">
      <w:pPr>
        <w:pStyle w:val="Bullet"/>
      </w:pPr>
      <w:r w:rsidRPr="00457736">
        <w:t>Meeting</w:t>
      </w:r>
      <w:r w:rsidR="0039228D" w:rsidRPr="00457736">
        <w:t xml:space="preserve"> funding agreement requirements;</w:t>
      </w:r>
    </w:p>
    <w:p w14:paraId="49E360B6" w14:textId="77777777" w:rsidR="000F3554" w:rsidRPr="00457736" w:rsidRDefault="000F3554" w:rsidP="003F1E06">
      <w:pPr>
        <w:pStyle w:val="Bullet"/>
      </w:pPr>
      <w:r w:rsidRPr="00457736">
        <w:t xml:space="preserve">Addressing sector challenges as outlined in its </w:t>
      </w:r>
      <w:r w:rsidR="004924F8" w:rsidRPr="00457736">
        <w:t>Sector Competitiveness Plans</w:t>
      </w:r>
      <w:r w:rsidR="0039228D" w:rsidRPr="00457736">
        <w:t>; and</w:t>
      </w:r>
    </w:p>
    <w:p w14:paraId="330203EE" w14:textId="77777777" w:rsidR="000F3554" w:rsidRPr="00457736" w:rsidRDefault="000F3554" w:rsidP="003F1E06">
      <w:pPr>
        <w:pStyle w:val="Bullet"/>
      </w:pPr>
      <w:r w:rsidRPr="00457736">
        <w:t>Collecting appropriate data in accordance with the Initiative</w:t>
      </w:r>
      <w:r w:rsidR="004A75C7" w:rsidRPr="00457736">
        <w:t>’s</w:t>
      </w:r>
      <w:r w:rsidRPr="00457736">
        <w:t xml:space="preserve"> Evaluation Strategy and Data Framework.</w:t>
      </w:r>
    </w:p>
    <w:p w14:paraId="6F5D84D2" w14:textId="741D6E61" w:rsidR="003F1E06" w:rsidRPr="00457736" w:rsidRDefault="00E7352C" w:rsidP="00FB0397">
      <w:pPr>
        <w:rPr>
          <w:lang w:eastAsia="en-AU"/>
        </w:rPr>
      </w:pPr>
      <w:r w:rsidRPr="00457736">
        <w:rPr>
          <w:lang w:eastAsia="en-AU"/>
        </w:rPr>
        <w:t>The performance assessment considered progress against the</w:t>
      </w:r>
      <w:r w:rsidR="00B93D97" w:rsidRPr="00457736">
        <w:rPr>
          <w:lang w:eastAsia="en-AU"/>
        </w:rPr>
        <w:t xml:space="preserve"> </w:t>
      </w:r>
      <w:r w:rsidR="009B62B8" w:rsidRPr="00457736">
        <w:rPr>
          <w:lang w:eastAsia="en-AU"/>
        </w:rPr>
        <w:t>I</w:t>
      </w:r>
      <w:r w:rsidRPr="00457736">
        <w:rPr>
          <w:lang w:eastAsia="en-AU"/>
        </w:rPr>
        <w:t>nitiative’s four key objectives</w:t>
      </w:r>
      <w:r w:rsidR="0009240A" w:rsidRPr="00457736">
        <w:rPr>
          <w:lang w:eastAsia="en-AU"/>
        </w:rPr>
        <w:t xml:space="preserve"> </w:t>
      </w:r>
      <w:r w:rsidR="00416A2D" w:rsidRPr="00457736">
        <w:rPr>
          <w:lang w:eastAsia="en-AU"/>
        </w:rPr>
        <w:t xml:space="preserve">shown in </w:t>
      </w:r>
      <w:r w:rsidR="00416A2D" w:rsidRPr="00457736">
        <w:rPr>
          <w:lang w:eastAsia="en-AU"/>
        </w:rPr>
        <w:fldChar w:fldCharType="begin"/>
      </w:r>
      <w:r w:rsidR="00416A2D" w:rsidRPr="00457736">
        <w:rPr>
          <w:lang w:eastAsia="en-AU"/>
        </w:rPr>
        <w:instrText xml:space="preserve"> REF _Ref531339519 \h </w:instrText>
      </w:r>
      <w:r w:rsidR="00416A2D" w:rsidRPr="00457736">
        <w:rPr>
          <w:lang w:eastAsia="en-AU"/>
        </w:rPr>
      </w:r>
      <w:r w:rsidR="00416A2D" w:rsidRPr="00457736">
        <w:rPr>
          <w:lang w:eastAsia="en-AU"/>
        </w:rPr>
        <w:fldChar w:fldCharType="separate"/>
      </w:r>
      <w:r w:rsidR="00AD2D4B" w:rsidRPr="00457736">
        <w:t xml:space="preserve">Figure </w:t>
      </w:r>
      <w:r w:rsidR="00AD2D4B">
        <w:rPr>
          <w:noProof/>
        </w:rPr>
        <w:t>1</w:t>
      </w:r>
      <w:r w:rsidR="00416A2D" w:rsidRPr="00457736">
        <w:rPr>
          <w:lang w:eastAsia="en-AU"/>
        </w:rPr>
        <w:fldChar w:fldCharType="end"/>
      </w:r>
      <w:r w:rsidR="00416A2D" w:rsidRPr="00457736">
        <w:rPr>
          <w:lang w:eastAsia="en-AU"/>
        </w:rPr>
        <w:t xml:space="preserve"> </w:t>
      </w:r>
      <w:r w:rsidR="00416A2D" w:rsidRPr="00457736">
        <w:rPr>
          <w:lang w:eastAsia="en-AU"/>
        </w:rPr>
        <w:fldChar w:fldCharType="begin"/>
      </w:r>
      <w:r w:rsidR="00416A2D" w:rsidRPr="00457736">
        <w:rPr>
          <w:lang w:eastAsia="en-AU"/>
        </w:rPr>
        <w:instrText xml:space="preserve"> REF _Ref531339522 \p \h </w:instrText>
      </w:r>
      <w:r w:rsidR="00416A2D" w:rsidRPr="00457736">
        <w:rPr>
          <w:lang w:eastAsia="en-AU"/>
        </w:rPr>
      </w:r>
      <w:r w:rsidR="00416A2D" w:rsidRPr="00457736">
        <w:rPr>
          <w:lang w:eastAsia="en-AU"/>
        </w:rPr>
        <w:fldChar w:fldCharType="separate"/>
      </w:r>
      <w:r w:rsidR="00AD2D4B">
        <w:rPr>
          <w:lang w:eastAsia="en-AU"/>
        </w:rPr>
        <w:t>below</w:t>
      </w:r>
      <w:r w:rsidR="00416A2D" w:rsidRPr="00457736">
        <w:rPr>
          <w:lang w:eastAsia="en-AU"/>
        </w:rPr>
        <w:fldChar w:fldCharType="end"/>
      </w:r>
      <w:r w:rsidR="00416A2D" w:rsidRPr="00457736">
        <w:rPr>
          <w:lang w:eastAsia="en-AU"/>
        </w:rPr>
        <w:t>.</w:t>
      </w:r>
      <w:r w:rsidR="007F6D1C" w:rsidRPr="00457736">
        <w:rPr>
          <w:lang w:eastAsia="en-AU"/>
        </w:rPr>
        <w:t xml:space="preserve"> The assessment did not assess the overall impact of the </w:t>
      </w:r>
      <w:r w:rsidR="00DA3CEF" w:rsidRPr="00457736">
        <w:rPr>
          <w:lang w:eastAsia="en-AU"/>
        </w:rPr>
        <w:t>Initiative</w:t>
      </w:r>
      <w:r w:rsidR="007F6D1C" w:rsidRPr="00457736">
        <w:rPr>
          <w:lang w:eastAsia="en-AU"/>
        </w:rPr>
        <w:t>.</w:t>
      </w:r>
    </w:p>
    <w:p w14:paraId="71BD5171" w14:textId="77777777" w:rsidR="00FB0397" w:rsidRPr="00457736" w:rsidRDefault="00FB0397" w:rsidP="00FB0397">
      <w:r w:rsidRPr="00457736">
        <w:rPr>
          <w:lang w:eastAsia="en-AU"/>
        </w:rPr>
        <w:t xml:space="preserve">Each Growth Centre currently receives operational funding of </w:t>
      </w:r>
      <w:r w:rsidR="00C80F0A" w:rsidRPr="00457736">
        <w:rPr>
          <w:lang w:eastAsia="en-AU"/>
        </w:rPr>
        <w:t xml:space="preserve">$3.5 million </w:t>
      </w:r>
      <w:r w:rsidRPr="00457736">
        <w:rPr>
          <w:lang w:eastAsia="en-AU"/>
        </w:rPr>
        <w:t xml:space="preserve">per year for four years from its inception. In addition, </w:t>
      </w:r>
      <w:r w:rsidR="00B3713F" w:rsidRPr="00457736">
        <w:rPr>
          <w:lang w:eastAsia="en-AU"/>
        </w:rPr>
        <w:t>Growth Centre</w:t>
      </w:r>
      <w:r w:rsidR="00C07778" w:rsidRPr="00457736">
        <w:rPr>
          <w:lang w:eastAsia="en-AU"/>
        </w:rPr>
        <w:t xml:space="preserve">s </w:t>
      </w:r>
      <w:r w:rsidRPr="00457736">
        <w:rPr>
          <w:lang w:eastAsia="en-AU"/>
        </w:rPr>
        <w:t xml:space="preserve">are </w:t>
      </w:r>
      <w:r w:rsidR="00D21BB6" w:rsidRPr="00457736">
        <w:rPr>
          <w:lang w:eastAsia="en-AU"/>
        </w:rPr>
        <w:t xml:space="preserve">to </w:t>
      </w:r>
      <w:r w:rsidRPr="00457736">
        <w:rPr>
          <w:lang w:eastAsia="en-AU"/>
        </w:rPr>
        <w:t>receiv</w:t>
      </w:r>
      <w:r w:rsidR="00C07778" w:rsidRPr="00457736">
        <w:rPr>
          <w:lang w:eastAsia="en-AU"/>
        </w:rPr>
        <w:t>e</w:t>
      </w:r>
      <w:r w:rsidRPr="00457736">
        <w:rPr>
          <w:lang w:eastAsia="en-AU"/>
        </w:rPr>
        <w:t xml:space="preserve"> funding to undertake collaborative projects (between firms and/or between firms and </w:t>
      </w:r>
      <w:r w:rsidR="007F6D1C" w:rsidRPr="00457736">
        <w:rPr>
          <w:lang w:eastAsia="en-AU"/>
        </w:rPr>
        <w:t>research organisations</w:t>
      </w:r>
      <w:r w:rsidRPr="00457736">
        <w:rPr>
          <w:lang w:eastAsia="en-AU"/>
        </w:rPr>
        <w:t xml:space="preserve">) that have sector-wide benefit. To October 2018, the six </w:t>
      </w:r>
      <w:r w:rsidR="00B3713F" w:rsidRPr="00457736">
        <w:rPr>
          <w:lang w:eastAsia="en-AU"/>
        </w:rPr>
        <w:t>Growth Centre</w:t>
      </w:r>
      <w:r w:rsidR="00C07778" w:rsidRPr="00457736">
        <w:rPr>
          <w:lang w:eastAsia="en-AU"/>
        </w:rPr>
        <w:t xml:space="preserve">s </w:t>
      </w:r>
      <w:r w:rsidRPr="00457736">
        <w:rPr>
          <w:lang w:eastAsia="en-AU"/>
        </w:rPr>
        <w:t>have been granted around $46.4</w:t>
      </w:r>
      <w:r w:rsidR="00A03FA4" w:rsidRPr="00457736">
        <w:rPr>
          <w:lang w:eastAsia="en-AU"/>
        </w:rPr>
        <w:t xml:space="preserve"> million </w:t>
      </w:r>
      <w:r w:rsidRPr="00457736">
        <w:rPr>
          <w:lang w:eastAsia="en-AU"/>
        </w:rPr>
        <w:t xml:space="preserve">to </w:t>
      </w:r>
      <w:r w:rsidR="004F64D5" w:rsidRPr="00457736">
        <w:rPr>
          <w:lang w:eastAsia="en-AU"/>
        </w:rPr>
        <w:t xml:space="preserve">fund </w:t>
      </w:r>
      <w:r w:rsidRPr="00457736">
        <w:rPr>
          <w:lang w:eastAsia="en-AU"/>
        </w:rPr>
        <w:t>collaborative projects.</w:t>
      </w:r>
    </w:p>
    <w:p w14:paraId="06EA3E49" w14:textId="77777777" w:rsidR="00874B1C" w:rsidRPr="00457736" w:rsidRDefault="00874B1C" w:rsidP="00423376">
      <w:pPr>
        <w:sectPr w:rsidR="00874B1C" w:rsidRPr="00457736" w:rsidSect="006E713F">
          <w:type w:val="continuous"/>
          <w:pgSz w:w="11907" w:h="16839" w:code="9"/>
          <w:pgMar w:top="1304" w:right="1304" w:bottom="1304" w:left="1304" w:header="720" w:footer="720" w:gutter="0"/>
          <w:cols w:num="2" w:space="720"/>
          <w:titlePg/>
          <w:docGrid w:linePitch="360"/>
        </w:sectPr>
      </w:pPr>
    </w:p>
    <w:p w14:paraId="63642F17" w14:textId="77777777" w:rsidR="00416A2D" w:rsidRPr="00457736" w:rsidRDefault="000F3554" w:rsidP="00416A2D">
      <w:pPr>
        <w:pStyle w:val="Caption"/>
      </w:pPr>
      <w:bookmarkStart w:id="3" w:name="_Ref530495481"/>
      <w:bookmarkStart w:id="4" w:name="_Ref531278471"/>
      <w:bookmarkStart w:id="5" w:name="_Ref531339519"/>
      <w:bookmarkStart w:id="6" w:name="_Ref531339522"/>
      <w:bookmarkStart w:id="7" w:name="_Ref530495485"/>
      <w:r w:rsidRPr="00457736">
        <w:t xml:space="preserve">Figure </w:t>
      </w:r>
      <w:r w:rsidRPr="00457736">
        <w:fldChar w:fldCharType="begin"/>
      </w:r>
      <w:r w:rsidRPr="00457736">
        <w:instrText xml:space="preserve"> SEQ Figure \* ARABIC </w:instrText>
      </w:r>
      <w:r w:rsidRPr="00457736">
        <w:fldChar w:fldCharType="separate"/>
      </w:r>
      <w:r w:rsidR="00AD2D4B">
        <w:rPr>
          <w:noProof/>
        </w:rPr>
        <w:t>1</w:t>
      </w:r>
      <w:r w:rsidRPr="00457736">
        <w:fldChar w:fldCharType="end"/>
      </w:r>
      <w:bookmarkEnd w:id="3"/>
      <w:bookmarkEnd w:id="4"/>
      <w:bookmarkEnd w:id="5"/>
      <w:r w:rsidRPr="00457736">
        <w:t xml:space="preserve"> | </w:t>
      </w:r>
      <w:r w:rsidR="00416A2D" w:rsidRPr="00457736">
        <w:t>Overview of the Growth Centre objectives, core outputs and intended outcomes</w:t>
      </w:r>
      <w:bookmarkEnd w:id="6"/>
      <w:r w:rsidR="00416A2D" w:rsidRPr="00457736">
        <w:t xml:space="preserve"> </w:t>
      </w:r>
    </w:p>
    <w:p w14:paraId="156F6484" w14:textId="1559D1AC" w:rsidR="00416A2D" w:rsidRPr="00457736" w:rsidRDefault="00BE7760" w:rsidP="00416A2D">
      <w:r w:rsidRPr="00BE7760">
        <w:rPr>
          <w:noProof/>
          <w:lang w:eastAsia="en-AU"/>
        </w:rPr>
        <w:drawing>
          <wp:inline distT="0" distB="0" distL="0" distR="0" wp14:anchorId="09534459" wp14:editId="54298640">
            <wp:extent cx="5904865" cy="2458275"/>
            <wp:effectExtent l="0" t="0" r="635" b="0"/>
            <wp:docPr id="5" name="Picture 5" descr="The image in table format lists objectives, core outputs and outcomes of the Growth Centres. &#10;Objective: Increasing collaboration and commercialisation, enhancing management and workforce skills, Improving international opportunities and market access, identifying opportunities for regulatory reform. Core Outputs: Sector Competitiveness Plan, Sector Regulation Reform Agenda, Industry Knowledge Priorities, Project Funds. Outcomes: A reduction in the cost of doing business through regulatory reform. Increased R&amp;D coordination and collaboration leading to improved commercialisation outcomes. More businesses, including small and medium enterprises, integrated into domestic and global supply chains and markets leading to increased export income. Improved management and workforce skills of businesses. Improved employment opportunities and contribution to the creation of high-skilled jobs. " title="Figure 1: Overview of the Growth Centre objectives, core outputs and intende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4865" cy="2458275"/>
                    </a:xfrm>
                    <a:prstGeom prst="rect">
                      <a:avLst/>
                    </a:prstGeom>
                    <a:noFill/>
                    <a:ln>
                      <a:noFill/>
                    </a:ln>
                  </pic:spPr>
                </pic:pic>
              </a:graphicData>
            </a:graphic>
          </wp:inline>
        </w:drawing>
      </w:r>
    </w:p>
    <w:p w14:paraId="6D6FE9A7" w14:textId="77777777" w:rsidR="00416A2D" w:rsidRPr="00457736" w:rsidRDefault="00416A2D" w:rsidP="0091573F">
      <w:pPr>
        <w:pStyle w:val="Source"/>
      </w:pPr>
      <w:r w:rsidRPr="00457736">
        <w:t>Source: Department of Industry, Innovation and Science (2016, Industry Growth Centres Initiative: Program Guidelines</w:t>
      </w:r>
      <w:r w:rsidR="000D24AC" w:rsidRPr="00457736">
        <w:t>)</w:t>
      </w:r>
    </w:p>
    <w:p w14:paraId="7963935E" w14:textId="77777777" w:rsidR="006F0465" w:rsidRDefault="006F0465" w:rsidP="00416A2D">
      <w:pPr>
        <w:rPr>
          <w:lang w:eastAsia="en-AU"/>
        </w:rPr>
      </w:pPr>
    </w:p>
    <w:p w14:paraId="7C1965F8" w14:textId="77777777" w:rsidR="00457736" w:rsidRPr="00457736" w:rsidRDefault="00457736" w:rsidP="00416A2D">
      <w:pPr>
        <w:rPr>
          <w:lang w:eastAsia="en-AU"/>
        </w:rPr>
        <w:sectPr w:rsidR="00457736" w:rsidRPr="00457736" w:rsidSect="006E713F">
          <w:type w:val="continuous"/>
          <w:pgSz w:w="11907" w:h="16839" w:code="9"/>
          <w:pgMar w:top="1304" w:right="1304" w:bottom="1304" w:left="1304" w:header="720" w:footer="720" w:gutter="0"/>
          <w:cols w:space="720"/>
          <w:titlePg/>
          <w:docGrid w:linePitch="360"/>
        </w:sectPr>
      </w:pPr>
    </w:p>
    <w:p w14:paraId="7569DFCA" w14:textId="282083DD" w:rsidR="006F0465" w:rsidRPr="00457736" w:rsidRDefault="006F0465" w:rsidP="006F0465">
      <w:r w:rsidRPr="00457736">
        <w:lastRenderedPageBreak/>
        <w:t>The performance assessment drew upon an extensive desktop review, an online survey that was distributed by Growth Centres, and interviews with the Department, Growth Centres and their</w:t>
      </w:r>
      <w:r w:rsidR="000F3B13">
        <w:t xml:space="preserve"> stakeholders.</w:t>
      </w:r>
    </w:p>
    <w:p w14:paraId="79BB3C98" w14:textId="026F7C3F" w:rsidR="006F0465" w:rsidRPr="00457736" w:rsidRDefault="006F0465" w:rsidP="006F0465">
      <w:r w:rsidRPr="00457736">
        <w:t xml:space="preserve">Further </w:t>
      </w:r>
      <w:r w:rsidR="000851AF" w:rsidRPr="00457736">
        <w:t xml:space="preserve">information about </w:t>
      </w:r>
      <w:r w:rsidRPr="00457736">
        <w:t xml:space="preserve">the stakeholder engagement that informed </w:t>
      </w:r>
      <w:r w:rsidR="000851AF" w:rsidRPr="00457736">
        <w:t xml:space="preserve">the assessment is provided in </w:t>
      </w:r>
      <w:r w:rsidR="000851AF" w:rsidRPr="00457736">
        <w:fldChar w:fldCharType="begin"/>
      </w:r>
      <w:r w:rsidR="000851AF" w:rsidRPr="00457736">
        <w:instrText xml:space="preserve"> REF _Ref534369603 \h </w:instrText>
      </w:r>
      <w:r w:rsidR="000851AF" w:rsidRPr="00457736">
        <w:fldChar w:fldCharType="separate"/>
      </w:r>
      <w:r w:rsidR="00AD2D4B" w:rsidRPr="00457736">
        <w:t xml:space="preserve">Figure </w:t>
      </w:r>
      <w:r w:rsidR="00AD2D4B">
        <w:rPr>
          <w:noProof/>
        </w:rPr>
        <w:t>2</w:t>
      </w:r>
      <w:r w:rsidR="000851AF" w:rsidRPr="00457736">
        <w:fldChar w:fldCharType="end"/>
      </w:r>
      <w:r w:rsidR="000851AF" w:rsidRPr="00457736">
        <w:t xml:space="preserve"> </w:t>
      </w:r>
      <w:r w:rsidR="000851AF" w:rsidRPr="00457736">
        <w:fldChar w:fldCharType="begin"/>
      </w:r>
      <w:r w:rsidR="000851AF" w:rsidRPr="00457736">
        <w:instrText xml:space="preserve"> REF _Ref534369606 \p \h </w:instrText>
      </w:r>
      <w:r w:rsidR="000851AF" w:rsidRPr="00457736">
        <w:fldChar w:fldCharType="separate"/>
      </w:r>
      <w:r w:rsidR="00AD2D4B">
        <w:t>below</w:t>
      </w:r>
      <w:r w:rsidR="000851AF" w:rsidRPr="00457736">
        <w:fldChar w:fldCharType="end"/>
      </w:r>
      <w:r w:rsidR="000851AF" w:rsidRPr="00457736">
        <w:t>.</w:t>
      </w:r>
    </w:p>
    <w:p w14:paraId="1F1088EF" w14:textId="09FE30E4" w:rsidR="006F0465" w:rsidRPr="00457736" w:rsidRDefault="006F0465" w:rsidP="006F0465">
      <w:r w:rsidRPr="00457736">
        <w:t xml:space="preserve">The performance assessment </w:t>
      </w:r>
      <w:r w:rsidR="00F730E3">
        <w:t xml:space="preserve">was </w:t>
      </w:r>
      <w:r w:rsidRPr="00457736">
        <w:t xml:space="preserve">conducted between August and October 2018. </w:t>
      </w:r>
    </w:p>
    <w:p w14:paraId="5861FA16" w14:textId="77777777" w:rsidR="006F0465" w:rsidRPr="00457736" w:rsidRDefault="006F0465" w:rsidP="006F0465">
      <w:bookmarkStart w:id="8" w:name="_Ref531339596"/>
    </w:p>
    <w:p w14:paraId="41C3FFD9" w14:textId="77777777" w:rsidR="006F0465" w:rsidRPr="00457736" w:rsidRDefault="006F0465" w:rsidP="006F0465">
      <w:pPr>
        <w:sectPr w:rsidR="006F0465" w:rsidRPr="00457736" w:rsidSect="00FB5FBF">
          <w:pgSz w:w="11907" w:h="16839" w:code="9"/>
          <w:pgMar w:top="1304" w:right="1304" w:bottom="1304" w:left="1304" w:header="720" w:footer="720" w:gutter="0"/>
          <w:cols w:num="2" w:space="720"/>
          <w:docGrid w:linePitch="360"/>
        </w:sectPr>
      </w:pPr>
    </w:p>
    <w:p w14:paraId="173B0A37" w14:textId="77777777" w:rsidR="000F3554" w:rsidRPr="00457736" w:rsidRDefault="000F3554" w:rsidP="000F3554">
      <w:pPr>
        <w:pStyle w:val="Caption"/>
      </w:pPr>
      <w:bookmarkStart w:id="9" w:name="_Ref534369603"/>
      <w:bookmarkStart w:id="10" w:name="_Ref534369606"/>
      <w:r w:rsidRPr="00457736">
        <w:t xml:space="preserve">Figure </w:t>
      </w:r>
      <w:r w:rsidRPr="00457736">
        <w:fldChar w:fldCharType="begin"/>
      </w:r>
      <w:r w:rsidRPr="00457736">
        <w:instrText xml:space="preserve"> SEQ Figure \* ARABIC </w:instrText>
      </w:r>
      <w:r w:rsidRPr="00457736">
        <w:fldChar w:fldCharType="separate"/>
      </w:r>
      <w:r w:rsidR="00AD2D4B">
        <w:rPr>
          <w:noProof/>
        </w:rPr>
        <w:t>2</w:t>
      </w:r>
      <w:r w:rsidRPr="00457736">
        <w:fldChar w:fldCharType="end"/>
      </w:r>
      <w:bookmarkEnd w:id="8"/>
      <w:bookmarkEnd w:id="9"/>
      <w:r w:rsidRPr="00457736">
        <w:t xml:space="preserve"> | Engagement with </w:t>
      </w:r>
      <w:r w:rsidR="00B3713F" w:rsidRPr="00457736">
        <w:t>Growth Centre</w:t>
      </w:r>
      <w:r w:rsidRPr="00457736">
        <w:t xml:space="preserve"> stakeholders</w:t>
      </w:r>
      <w:bookmarkEnd w:id="7"/>
      <w:bookmarkEnd w:id="10"/>
      <w:r w:rsidRPr="00457736">
        <w:t xml:space="preserve"> </w:t>
      </w:r>
    </w:p>
    <w:tbl>
      <w:tblPr>
        <w:tblStyle w:val="NousTableTopandside"/>
        <w:tblW w:w="5000" w:type="pct"/>
        <w:tblLook w:val="0620" w:firstRow="1" w:lastRow="0" w:firstColumn="0" w:lastColumn="0" w:noHBand="1" w:noVBand="1"/>
        <w:tblCaption w:val="The table shows data for each Growth Centre relating to numbers of stakeholders invited to partake in the survey, how stakeholders were chosen and the number of respondents for each Growth Centre.  "/>
        <w:tblDescription w:val="Each Growth Centre is listed as a row with the following information listed in corresponding columns - survey responses, respondents invited by GC, response rate, distribution rationale and stakeholders interviewed                                                                                                                               "/>
      </w:tblPr>
      <w:tblGrid>
        <w:gridCol w:w="1191"/>
        <w:gridCol w:w="1001"/>
        <w:gridCol w:w="1352"/>
        <w:gridCol w:w="1276"/>
        <w:gridCol w:w="3253"/>
        <w:gridCol w:w="1226"/>
      </w:tblGrid>
      <w:tr w:rsidR="00CB3596" w:rsidRPr="00457736" w14:paraId="464665C0" w14:textId="77777777" w:rsidTr="002C37F7">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4F03A66A" w14:textId="77777777" w:rsidR="00CB3596" w:rsidRPr="00457736" w:rsidRDefault="00CB3596" w:rsidP="0039228D">
            <w:pPr>
              <w:pStyle w:val="TableNheader"/>
              <w:keepNext/>
              <w:jc w:val="center"/>
              <w:rPr>
                <w:color w:val="00264D"/>
                <w:lang w:eastAsia="en-AU"/>
              </w:rPr>
            </w:pPr>
            <w:r w:rsidRPr="00457736">
              <w:rPr>
                <w:lang w:eastAsia="en-AU"/>
              </w:rPr>
              <w:t>Growth Centre</w:t>
            </w:r>
          </w:p>
        </w:tc>
        <w:tc>
          <w:tcPr>
            <w:tcW w:w="0" w:type="auto"/>
            <w:hideMark/>
          </w:tcPr>
          <w:p w14:paraId="5A140074" w14:textId="77777777" w:rsidR="00CB3596" w:rsidRPr="00457736" w:rsidRDefault="00CB3596" w:rsidP="0039228D">
            <w:pPr>
              <w:pStyle w:val="TableNheader"/>
              <w:keepNext/>
              <w:jc w:val="center"/>
              <w:rPr>
                <w:color w:val="00264D"/>
                <w:lang w:eastAsia="en-AU"/>
              </w:rPr>
            </w:pPr>
            <w:r w:rsidRPr="00457736">
              <w:rPr>
                <w:lang w:eastAsia="en-AU"/>
              </w:rPr>
              <w:t>Survey responses</w:t>
            </w:r>
          </w:p>
        </w:tc>
        <w:tc>
          <w:tcPr>
            <w:tcW w:w="727" w:type="pct"/>
            <w:hideMark/>
          </w:tcPr>
          <w:p w14:paraId="4C625B13" w14:textId="77777777" w:rsidR="00CB3596" w:rsidRPr="00457736" w:rsidRDefault="00CB3596" w:rsidP="0039228D">
            <w:pPr>
              <w:pStyle w:val="TableNheader"/>
              <w:keepNext/>
              <w:jc w:val="center"/>
              <w:rPr>
                <w:color w:val="00264D"/>
                <w:lang w:eastAsia="en-AU"/>
              </w:rPr>
            </w:pPr>
            <w:r w:rsidRPr="00457736">
              <w:rPr>
                <w:lang w:eastAsia="en-AU"/>
              </w:rPr>
              <w:t>Respondents invited by GC</w:t>
            </w:r>
          </w:p>
        </w:tc>
        <w:tc>
          <w:tcPr>
            <w:tcW w:w="686" w:type="pct"/>
            <w:hideMark/>
          </w:tcPr>
          <w:p w14:paraId="744CC82F" w14:textId="77777777" w:rsidR="00CB3596" w:rsidRPr="00457736" w:rsidRDefault="00CB3596" w:rsidP="0039228D">
            <w:pPr>
              <w:pStyle w:val="TableNheader"/>
              <w:keepNext/>
              <w:jc w:val="center"/>
              <w:rPr>
                <w:color w:val="00264D"/>
                <w:lang w:eastAsia="en-AU"/>
              </w:rPr>
            </w:pPr>
            <w:r w:rsidRPr="00457736">
              <w:rPr>
                <w:lang w:eastAsia="en-AU"/>
              </w:rPr>
              <w:t>Response rate</w:t>
            </w:r>
            <w:r w:rsidR="00A03FA4" w:rsidRPr="00457736">
              <w:rPr>
                <w:rStyle w:val="FootnoteReference"/>
                <w:lang w:eastAsia="en-AU"/>
              </w:rPr>
              <w:footnoteReference w:id="2"/>
            </w:r>
          </w:p>
        </w:tc>
        <w:tc>
          <w:tcPr>
            <w:tcW w:w="1749" w:type="pct"/>
            <w:hideMark/>
          </w:tcPr>
          <w:p w14:paraId="40A89C93" w14:textId="77777777" w:rsidR="00CB3596" w:rsidRPr="00457736" w:rsidRDefault="00CB3596" w:rsidP="0039228D">
            <w:pPr>
              <w:pStyle w:val="TableNheader"/>
              <w:keepNext/>
              <w:jc w:val="center"/>
              <w:rPr>
                <w:color w:val="00264D"/>
                <w:lang w:eastAsia="en-AU"/>
              </w:rPr>
            </w:pPr>
            <w:r w:rsidRPr="00457736">
              <w:rPr>
                <w:lang w:eastAsia="en-AU"/>
              </w:rPr>
              <w:t>Distribution rationale</w:t>
            </w:r>
          </w:p>
        </w:tc>
        <w:tc>
          <w:tcPr>
            <w:tcW w:w="659" w:type="pct"/>
            <w:hideMark/>
          </w:tcPr>
          <w:p w14:paraId="1F8B83A7" w14:textId="77777777" w:rsidR="00CB3596" w:rsidRPr="00457736" w:rsidRDefault="00CB3596" w:rsidP="0039228D">
            <w:pPr>
              <w:pStyle w:val="TableNheader"/>
              <w:keepNext/>
              <w:jc w:val="center"/>
              <w:rPr>
                <w:color w:val="00264D"/>
                <w:lang w:eastAsia="en-AU"/>
              </w:rPr>
            </w:pPr>
            <w:r w:rsidRPr="00457736">
              <w:rPr>
                <w:lang w:eastAsia="en-AU"/>
              </w:rPr>
              <w:t>Stakeholders interviewed</w:t>
            </w:r>
          </w:p>
        </w:tc>
      </w:tr>
      <w:tr w:rsidR="00CB3596" w:rsidRPr="00457736" w14:paraId="7216024B" w14:textId="77777777" w:rsidTr="0069101C">
        <w:tc>
          <w:tcPr>
            <w:tcW w:w="0" w:type="auto"/>
            <w:hideMark/>
          </w:tcPr>
          <w:p w14:paraId="15BA468D" w14:textId="77777777" w:rsidR="00CB3596" w:rsidRPr="00457736" w:rsidRDefault="00CB3596" w:rsidP="003F1E06">
            <w:pPr>
              <w:pStyle w:val="TableNText"/>
              <w:keepNext/>
              <w:rPr>
                <w:color w:val="00264D"/>
                <w:lang w:eastAsia="en-AU"/>
              </w:rPr>
            </w:pPr>
            <w:r w:rsidRPr="00457736">
              <w:rPr>
                <w:lang w:eastAsia="en-AU"/>
              </w:rPr>
              <w:t>AMGC</w:t>
            </w:r>
          </w:p>
        </w:tc>
        <w:tc>
          <w:tcPr>
            <w:tcW w:w="0" w:type="auto"/>
            <w:hideMark/>
          </w:tcPr>
          <w:p w14:paraId="263153DC" w14:textId="77777777" w:rsidR="00CB3596" w:rsidRPr="00457736" w:rsidRDefault="00CB3596" w:rsidP="003F1E06">
            <w:pPr>
              <w:pStyle w:val="TableNText"/>
              <w:keepNext/>
              <w:jc w:val="center"/>
              <w:rPr>
                <w:color w:val="000000"/>
                <w:lang w:eastAsia="en-AU"/>
              </w:rPr>
            </w:pPr>
            <w:r w:rsidRPr="00457736">
              <w:rPr>
                <w:color w:val="000000"/>
                <w:lang w:eastAsia="en-AU"/>
              </w:rPr>
              <w:t>111</w:t>
            </w:r>
          </w:p>
        </w:tc>
        <w:tc>
          <w:tcPr>
            <w:tcW w:w="727" w:type="pct"/>
            <w:hideMark/>
          </w:tcPr>
          <w:p w14:paraId="4D6AE115" w14:textId="77777777" w:rsidR="00CB3596" w:rsidRPr="00457736" w:rsidRDefault="00CB3596" w:rsidP="003F1E06">
            <w:pPr>
              <w:pStyle w:val="TableNText"/>
              <w:keepNext/>
              <w:jc w:val="center"/>
              <w:rPr>
                <w:color w:val="000000"/>
                <w:lang w:eastAsia="en-AU"/>
              </w:rPr>
            </w:pPr>
            <w:r w:rsidRPr="00457736">
              <w:rPr>
                <w:color w:val="000000"/>
                <w:lang w:eastAsia="en-AU"/>
              </w:rPr>
              <w:t>193</w:t>
            </w:r>
          </w:p>
        </w:tc>
        <w:tc>
          <w:tcPr>
            <w:tcW w:w="686" w:type="pct"/>
            <w:hideMark/>
          </w:tcPr>
          <w:p w14:paraId="1849CB62" w14:textId="77777777" w:rsidR="00CB3596" w:rsidRPr="00457736" w:rsidRDefault="00CB3596" w:rsidP="003F1E06">
            <w:pPr>
              <w:pStyle w:val="TableNText"/>
              <w:keepNext/>
              <w:jc w:val="center"/>
              <w:rPr>
                <w:color w:val="000000"/>
                <w:lang w:eastAsia="en-AU"/>
              </w:rPr>
            </w:pPr>
            <w:r w:rsidRPr="00457736">
              <w:rPr>
                <w:color w:val="000000"/>
                <w:lang w:eastAsia="en-AU"/>
              </w:rPr>
              <w:t>57</w:t>
            </w:r>
            <w:r w:rsidR="00210D33" w:rsidRPr="00457736">
              <w:rPr>
                <w:color w:val="000000"/>
                <w:lang w:eastAsia="en-AU"/>
              </w:rPr>
              <w:t xml:space="preserve"> </w:t>
            </w:r>
            <w:r w:rsidR="00D12938" w:rsidRPr="00457736">
              <w:rPr>
                <w:color w:val="000000"/>
                <w:lang w:eastAsia="en-AU"/>
              </w:rPr>
              <w:t>per cent</w:t>
            </w:r>
          </w:p>
        </w:tc>
        <w:tc>
          <w:tcPr>
            <w:tcW w:w="1749" w:type="pct"/>
            <w:hideMark/>
          </w:tcPr>
          <w:p w14:paraId="620C1F87" w14:textId="77777777" w:rsidR="00CB3596" w:rsidRPr="00457736" w:rsidRDefault="00CB3596" w:rsidP="003F1E06">
            <w:pPr>
              <w:pStyle w:val="TableNText"/>
              <w:keepNext/>
              <w:rPr>
                <w:color w:val="000000"/>
                <w:lang w:eastAsia="en-AU"/>
              </w:rPr>
            </w:pPr>
            <w:r w:rsidRPr="00457736">
              <w:rPr>
                <w:color w:val="000000"/>
                <w:lang w:eastAsia="en-AU"/>
              </w:rPr>
              <w:t xml:space="preserve">Distributed to </w:t>
            </w:r>
            <w:r w:rsidR="00210D33" w:rsidRPr="00457736">
              <w:rPr>
                <w:color w:val="000000"/>
                <w:lang w:eastAsia="en-AU"/>
              </w:rPr>
              <w:t xml:space="preserve">selected </w:t>
            </w:r>
            <w:r w:rsidRPr="00457736">
              <w:rPr>
                <w:color w:val="000000"/>
                <w:lang w:eastAsia="en-AU"/>
              </w:rPr>
              <w:t xml:space="preserve">members </w:t>
            </w:r>
            <w:r w:rsidR="00F559B7" w:rsidRPr="00457736">
              <w:rPr>
                <w:color w:val="000000"/>
                <w:lang w:eastAsia="en-AU"/>
              </w:rPr>
              <w:t xml:space="preserve">that AMGC </w:t>
            </w:r>
            <w:r w:rsidRPr="00457736">
              <w:rPr>
                <w:color w:val="000000"/>
                <w:lang w:eastAsia="en-AU"/>
              </w:rPr>
              <w:t>ha</w:t>
            </w:r>
            <w:r w:rsidR="00D26AF9" w:rsidRPr="00457736">
              <w:rPr>
                <w:color w:val="000000"/>
                <w:lang w:eastAsia="en-AU"/>
              </w:rPr>
              <w:t>s</w:t>
            </w:r>
            <w:r w:rsidR="000F3B13">
              <w:rPr>
                <w:color w:val="000000"/>
                <w:lang w:eastAsia="en-AU"/>
              </w:rPr>
              <w:t xml:space="preserve"> a high-</w:t>
            </w:r>
            <w:r w:rsidRPr="00457736">
              <w:rPr>
                <w:color w:val="000000"/>
                <w:lang w:eastAsia="en-AU"/>
              </w:rPr>
              <w:t>level of engagement</w:t>
            </w:r>
            <w:r w:rsidR="00F559B7" w:rsidRPr="00457736">
              <w:rPr>
                <w:color w:val="000000"/>
                <w:lang w:eastAsia="en-AU"/>
              </w:rPr>
              <w:t xml:space="preserve"> with</w:t>
            </w:r>
            <w:r w:rsidR="00D26AF9" w:rsidRPr="00457736">
              <w:rPr>
                <w:color w:val="000000"/>
                <w:lang w:eastAsia="en-AU"/>
              </w:rPr>
              <w:t>.</w:t>
            </w:r>
          </w:p>
        </w:tc>
        <w:tc>
          <w:tcPr>
            <w:tcW w:w="659" w:type="pct"/>
            <w:hideMark/>
          </w:tcPr>
          <w:p w14:paraId="06226F57" w14:textId="77777777" w:rsidR="00CB3596" w:rsidRPr="00457736" w:rsidRDefault="00CB3596" w:rsidP="003F1E06">
            <w:pPr>
              <w:pStyle w:val="TableNText"/>
              <w:keepNext/>
              <w:jc w:val="center"/>
              <w:rPr>
                <w:color w:val="000000"/>
                <w:lang w:eastAsia="en-AU"/>
              </w:rPr>
            </w:pPr>
            <w:r w:rsidRPr="00457736">
              <w:rPr>
                <w:color w:val="000000"/>
                <w:lang w:eastAsia="en-AU"/>
              </w:rPr>
              <w:t>7</w:t>
            </w:r>
          </w:p>
        </w:tc>
      </w:tr>
      <w:tr w:rsidR="00CB3596" w:rsidRPr="00457736" w14:paraId="09BE362B" w14:textId="77777777" w:rsidTr="0069101C">
        <w:tc>
          <w:tcPr>
            <w:tcW w:w="0" w:type="auto"/>
            <w:hideMark/>
          </w:tcPr>
          <w:p w14:paraId="5162DF19" w14:textId="77777777" w:rsidR="00CB3596" w:rsidRPr="00457736" w:rsidRDefault="00CB3596" w:rsidP="003F1E06">
            <w:pPr>
              <w:pStyle w:val="TableNText"/>
              <w:keepNext/>
              <w:rPr>
                <w:color w:val="00264D"/>
                <w:lang w:eastAsia="en-AU"/>
              </w:rPr>
            </w:pPr>
            <w:proofErr w:type="spellStart"/>
            <w:r w:rsidRPr="00457736">
              <w:rPr>
                <w:lang w:eastAsia="en-AU"/>
              </w:rPr>
              <w:t>AustCyber</w:t>
            </w:r>
            <w:proofErr w:type="spellEnd"/>
          </w:p>
        </w:tc>
        <w:tc>
          <w:tcPr>
            <w:tcW w:w="0" w:type="auto"/>
            <w:hideMark/>
          </w:tcPr>
          <w:p w14:paraId="591592A1" w14:textId="77777777" w:rsidR="00CB3596" w:rsidRPr="00457736" w:rsidRDefault="00CB3596" w:rsidP="003F1E06">
            <w:pPr>
              <w:pStyle w:val="TableNText"/>
              <w:keepNext/>
              <w:jc w:val="center"/>
              <w:rPr>
                <w:color w:val="000000"/>
                <w:lang w:eastAsia="en-AU"/>
              </w:rPr>
            </w:pPr>
            <w:r w:rsidRPr="00457736">
              <w:rPr>
                <w:color w:val="000000"/>
                <w:lang w:eastAsia="en-AU"/>
              </w:rPr>
              <w:t>132</w:t>
            </w:r>
          </w:p>
        </w:tc>
        <w:tc>
          <w:tcPr>
            <w:tcW w:w="727" w:type="pct"/>
            <w:hideMark/>
          </w:tcPr>
          <w:p w14:paraId="2BA70E72" w14:textId="77777777" w:rsidR="00CB3596" w:rsidRPr="00457736" w:rsidRDefault="00CB3596" w:rsidP="003F1E06">
            <w:pPr>
              <w:pStyle w:val="TableNText"/>
              <w:keepNext/>
              <w:jc w:val="center"/>
              <w:rPr>
                <w:color w:val="000000"/>
                <w:lang w:eastAsia="en-AU"/>
              </w:rPr>
            </w:pPr>
            <w:r w:rsidRPr="00457736">
              <w:rPr>
                <w:color w:val="000000"/>
                <w:lang w:eastAsia="en-AU"/>
              </w:rPr>
              <w:t>624</w:t>
            </w:r>
          </w:p>
        </w:tc>
        <w:tc>
          <w:tcPr>
            <w:tcW w:w="686" w:type="pct"/>
            <w:hideMark/>
          </w:tcPr>
          <w:p w14:paraId="42E1EABB" w14:textId="77777777" w:rsidR="00CB3596" w:rsidRPr="00457736" w:rsidRDefault="00CB3596" w:rsidP="003F1E06">
            <w:pPr>
              <w:pStyle w:val="TableNText"/>
              <w:keepNext/>
              <w:jc w:val="center"/>
              <w:rPr>
                <w:color w:val="000000"/>
                <w:lang w:eastAsia="en-AU"/>
              </w:rPr>
            </w:pPr>
            <w:r w:rsidRPr="00457736">
              <w:rPr>
                <w:color w:val="000000"/>
                <w:lang w:eastAsia="en-AU"/>
              </w:rPr>
              <w:t>21</w:t>
            </w:r>
            <w:r w:rsidR="00210D33" w:rsidRPr="00457736">
              <w:rPr>
                <w:color w:val="000000"/>
                <w:lang w:eastAsia="en-AU"/>
              </w:rPr>
              <w:t xml:space="preserve"> </w:t>
            </w:r>
            <w:r w:rsidR="00D12938" w:rsidRPr="00457736">
              <w:rPr>
                <w:color w:val="000000"/>
                <w:lang w:eastAsia="en-AU"/>
              </w:rPr>
              <w:t>per cent</w:t>
            </w:r>
          </w:p>
        </w:tc>
        <w:tc>
          <w:tcPr>
            <w:tcW w:w="1749" w:type="pct"/>
            <w:hideMark/>
          </w:tcPr>
          <w:p w14:paraId="6FF6CE10" w14:textId="77777777" w:rsidR="00CB3596" w:rsidRPr="00457736" w:rsidRDefault="00CB3596" w:rsidP="003F1E06">
            <w:pPr>
              <w:pStyle w:val="TableNText"/>
              <w:keepNext/>
              <w:rPr>
                <w:color w:val="000000"/>
                <w:lang w:eastAsia="en-AU"/>
              </w:rPr>
            </w:pPr>
            <w:r w:rsidRPr="00457736">
              <w:rPr>
                <w:color w:val="000000"/>
                <w:lang w:eastAsia="en-AU"/>
              </w:rPr>
              <w:t xml:space="preserve">Distributed to 331 stakeholders who actively engage with </w:t>
            </w:r>
            <w:proofErr w:type="spellStart"/>
            <w:r w:rsidRPr="00457736">
              <w:rPr>
                <w:color w:val="000000"/>
                <w:lang w:eastAsia="en-AU"/>
              </w:rPr>
              <w:t>AustCyber</w:t>
            </w:r>
            <w:proofErr w:type="spellEnd"/>
            <w:r w:rsidRPr="00457736">
              <w:rPr>
                <w:color w:val="000000"/>
                <w:lang w:eastAsia="en-AU"/>
              </w:rPr>
              <w:t xml:space="preserve">. </w:t>
            </w:r>
            <w:proofErr w:type="spellStart"/>
            <w:r w:rsidRPr="00457736">
              <w:rPr>
                <w:color w:val="000000"/>
                <w:lang w:eastAsia="en-AU"/>
              </w:rPr>
              <w:t>Ribit</w:t>
            </w:r>
            <w:proofErr w:type="spellEnd"/>
            <w:r w:rsidRPr="00457736">
              <w:rPr>
                <w:color w:val="000000"/>
                <w:lang w:eastAsia="en-AU"/>
              </w:rPr>
              <w:t xml:space="preserve"> also distributed the survey to 238 students and 55 employers who attended joint </w:t>
            </w:r>
            <w:proofErr w:type="spellStart"/>
            <w:r w:rsidRPr="00457736">
              <w:rPr>
                <w:color w:val="000000"/>
                <w:lang w:eastAsia="en-AU"/>
              </w:rPr>
              <w:t>AustCyber</w:t>
            </w:r>
            <w:proofErr w:type="spellEnd"/>
            <w:r w:rsidRPr="00457736">
              <w:rPr>
                <w:color w:val="000000"/>
                <w:lang w:eastAsia="en-AU"/>
              </w:rPr>
              <w:t>/</w:t>
            </w:r>
            <w:proofErr w:type="spellStart"/>
            <w:r w:rsidRPr="00457736">
              <w:rPr>
                <w:color w:val="000000"/>
                <w:lang w:eastAsia="en-AU"/>
              </w:rPr>
              <w:t>Ribit</w:t>
            </w:r>
            <w:proofErr w:type="spellEnd"/>
            <w:r w:rsidRPr="00457736">
              <w:rPr>
                <w:color w:val="000000"/>
                <w:lang w:eastAsia="en-AU"/>
              </w:rPr>
              <w:t xml:space="preserve"> event</w:t>
            </w:r>
            <w:r w:rsidR="00524E69" w:rsidRPr="00457736">
              <w:rPr>
                <w:color w:val="000000"/>
                <w:lang w:eastAsia="en-AU"/>
              </w:rPr>
              <w:t>s</w:t>
            </w:r>
            <w:r w:rsidRPr="00457736">
              <w:rPr>
                <w:color w:val="000000"/>
                <w:lang w:eastAsia="en-AU"/>
              </w:rPr>
              <w:t>.</w:t>
            </w:r>
          </w:p>
        </w:tc>
        <w:tc>
          <w:tcPr>
            <w:tcW w:w="659" w:type="pct"/>
            <w:hideMark/>
          </w:tcPr>
          <w:p w14:paraId="6A4C3C9D" w14:textId="77777777" w:rsidR="00CB3596" w:rsidRPr="00457736" w:rsidRDefault="00CB3596" w:rsidP="003F1E06">
            <w:pPr>
              <w:pStyle w:val="TableNText"/>
              <w:keepNext/>
              <w:jc w:val="center"/>
              <w:rPr>
                <w:color w:val="000000"/>
                <w:lang w:eastAsia="en-AU"/>
              </w:rPr>
            </w:pPr>
            <w:r w:rsidRPr="00457736">
              <w:rPr>
                <w:color w:val="000000"/>
                <w:lang w:eastAsia="en-AU"/>
              </w:rPr>
              <w:t>6</w:t>
            </w:r>
          </w:p>
        </w:tc>
      </w:tr>
      <w:tr w:rsidR="00CB3596" w:rsidRPr="00457736" w14:paraId="01FABE53" w14:textId="77777777" w:rsidTr="0069101C">
        <w:tc>
          <w:tcPr>
            <w:tcW w:w="0" w:type="auto"/>
            <w:hideMark/>
          </w:tcPr>
          <w:p w14:paraId="6130CF02" w14:textId="77777777" w:rsidR="00CB3596" w:rsidRPr="00457736" w:rsidRDefault="00CB3596" w:rsidP="003F1E06">
            <w:pPr>
              <w:pStyle w:val="TableNText"/>
              <w:keepNext/>
              <w:rPr>
                <w:color w:val="00264D"/>
                <w:lang w:eastAsia="en-AU"/>
              </w:rPr>
            </w:pPr>
            <w:r w:rsidRPr="00457736">
              <w:rPr>
                <w:lang w:eastAsia="en-AU"/>
              </w:rPr>
              <w:t>FIAL</w:t>
            </w:r>
          </w:p>
        </w:tc>
        <w:tc>
          <w:tcPr>
            <w:tcW w:w="0" w:type="auto"/>
            <w:hideMark/>
          </w:tcPr>
          <w:p w14:paraId="28827331" w14:textId="77777777" w:rsidR="00CB3596" w:rsidRPr="00457736" w:rsidRDefault="00CB3596" w:rsidP="003F1E06">
            <w:pPr>
              <w:pStyle w:val="TableNText"/>
              <w:keepNext/>
              <w:jc w:val="center"/>
              <w:rPr>
                <w:color w:val="000000"/>
                <w:lang w:eastAsia="en-AU"/>
              </w:rPr>
            </w:pPr>
            <w:r w:rsidRPr="00457736">
              <w:rPr>
                <w:color w:val="000000"/>
                <w:lang w:eastAsia="en-AU"/>
              </w:rPr>
              <w:t>417</w:t>
            </w:r>
          </w:p>
        </w:tc>
        <w:tc>
          <w:tcPr>
            <w:tcW w:w="727" w:type="pct"/>
            <w:hideMark/>
          </w:tcPr>
          <w:p w14:paraId="2F89F51F" w14:textId="77777777" w:rsidR="00CB3596" w:rsidRPr="00457736" w:rsidRDefault="00CB3596" w:rsidP="003F1E06">
            <w:pPr>
              <w:pStyle w:val="TableNText"/>
              <w:keepNext/>
              <w:jc w:val="center"/>
              <w:rPr>
                <w:color w:val="000000"/>
                <w:lang w:eastAsia="en-AU"/>
              </w:rPr>
            </w:pPr>
            <w:r w:rsidRPr="00457736">
              <w:rPr>
                <w:color w:val="000000"/>
                <w:lang w:eastAsia="en-AU"/>
              </w:rPr>
              <w:t>~4,000</w:t>
            </w:r>
          </w:p>
        </w:tc>
        <w:tc>
          <w:tcPr>
            <w:tcW w:w="686" w:type="pct"/>
            <w:hideMark/>
          </w:tcPr>
          <w:p w14:paraId="5A8D6354" w14:textId="77777777" w:rsidR="00CB3596" w:rsidRPr="00457736" w:rsidRDefault="00CB3596" w:rsidP="003F1E06">
            <w:pPr>
              <w:pStyle w:val="TableNText"/>
              <w:keepNext/>
              <w:jc w:val="center"/>
              <w:rPr>
                <w:color w:val="000000"/>
                <w:lang w:eastAsia="en-AU"/>
              </w:rPr>
            </w:pPr>
            <w:r w:rsidRPr="00457736">
              <w:rPr>
                <w:color w:val="000000"/>
                <w:lang w:eastAsia="en-AU"/>
              </w:rPr>
              <w:t>~10</w:t>
            </w:r>
            <w:r w:rsidR="00210D33" w:rsidRPr="00457736">
              <w:rPr>
                <w:color w:val="000000"/>
                <w:lang w:eastAsia="en-AU"/>
              </w:rPr>
              <w:t xml:space="preserve"> </w:t>
            </w:r>
            <w:r w:rsidR="00D12938" w:rsidRPr="00457736">
              <w:rPr>
                <w:color w:val="000000"/>
                <w:lang w:eastAsia="en-AU"/>
              </w:rPr>
              <w:t>per cent</w:t>
            </w:r>
          </w:p>
        </w:tc>
        <w:tc>
          <w:tcPr>
            <w:tcW w:w="1749" w:type="pct"/>
            <w:hideMark/>
          </w:tcPr>
          <w:p w14:paraId="7D2868C6" w14:textId="77777777" w:rsidR="00CB3596" w:rsidRPr="00457736" w:rsidRDefault="00F559B7" w:rsidP="003F1E06">
            <w:pPr>
              <w:pStyle w:val="TableNText"/>
              <w:keepNext/>
              <w:rPr>
                <w:color w:val="000000"/>
                <w:lang w:eastAsia="en-AU"/>
              </w:rPr>
            </w:pPr>
            <w:r w:rsidRPr="00457736">
              <w:rPr>
                <w:color w:val="000000"/>
                <w:lang w:eastAsia="en-AU"/>
              </w:rPr>
              <w:t>D</w:t>
            </w:r>
            <w:r w:rsidR="00CB3596" w:rsidRPr="00457736">
              <w:rPr>
                <w:color w:val="000000"/>
                <w:lang w:eastAsia="en-AU"/>
              </w:rPr>
              <w:t xml:space="preserve">istributed to all contacts in </w:t>
            </w:r>
            <w:r w:rsidRPr="00457736">
              <w:rPr>
                <w:color w:val="000000"/>
                <w:lang w:eastAsia="en-AU"/>
              </w:rPr>
              <w:t>FIAL’s Customer Relationship Management</w:t>
            </w:r>
            <w:r w:rsidR="008B05FF" w:rsidRPr="00457736">
              <w:rPr>
                <w:color w:val="000000"/>
                <w:lang w:eastAsia="en-AU"/>
              </w:rPr>
              <w:t xml:space="preserve"> </w:t>
            </w:r>
            <w:r w:rsidR="00D772C2" w:rsidRPr="00457736">
              <w:rPr>
                <w:color w:val="000000"/>
                <w:lang w:eastAsia="en-AU"/>
              </w:rPr>
              <w:t>System</w:t>
            </w:r>
            <w:r w:rsidR="00CB3596" w:rsidRPr="00457736">
              <w:rPr>
                <w:color w:val="000000"/>
                <w:lang w:eastAsia="en-AU"/>
              </w:rPr>
              <w:t xml:space="preserve"> </w:t>
            </w:r>
            <w:r w:rsidRPr="00457736">
              <w:rPr>
                <w:color w:val="000000"/>
                <w:lang w:eastAsia="en-AU"/>
              </w:rPr>
              <w:t>(</w:t>
            </w:r>
            <w:r w:rsidR="00CB3596" w:rsidRPr="00457736">
              <w:rPr>
                <w:color w:val="000000"/>
                <w:lang w:eastAsia="en-AU"/>
              </w:rPr>
              <w:t>CRM</w:t>
            </w:r>
            <w:r w:rsidRPr="00457736">
              <w:rPr>
                <w:color w:val="000000"/>
                <w:lang w:eastAsia="en-AU"/>
              </w:rPr>
              <w:t>)</w:t>
            </w:r>
            <w:r w:rsidR="00CB3596" w:rsidRPr="00457736">
              <w:rPr>
                <w:color w:val="000000"/>
                <w:lang w:eastAsia="en-AU"/>
              </w:rPr>
              <w:t xml:space="preserve"> who have agreed to receive their </w:t>
            </w:r>
            <w:proofErr w:type="spellStart"/>
            <w:r w:rsidR="00CB3596" w:rsidRPr="00457736">
              <w:rPr>
                <w:color w:val="000000"/>
                <w:lang w:eastAsia="en-AU"/>
              </w:rPr>
              <w:t>mailouts</w:t>
            </w:r>
            <w:proofErr w:type="spellEnd"/>
            <w:r w:rsidR="00CB3596" w:rsidRPr="00457736">
              <w:rPr>
                <w:color w:val="000000"/>
                <w:lang w:eastAsia="en-AU"/>
              </w:rPr>
              <w:t>.</w:t>
            </w:r>
          </w:p>
        </w:tc>
        <w:tc>
          <w:tcPr>
            <w:tcW w:w="659" w:type="pct"/>
            <w:hideMark/>
          </w:tcPr>
          <w:p w14:paraId="12487D47" w14:textId="77777777" w:rsidR="00CB3596" w:rsidRPr="00457736" w:rsidRDefault="00CB3596" w:rsidP="003F1E06">
            <w:pPr>
              <w:pStyle w:val="TableNText"/>
              <w:keepNext/>
              <w:jc w:val="center"/>
              <w:rPr>
                <w:color w:val="000000"/>
                <w:lang w:eastAsia="en-AU"/>
              </w:rPr>
            </w:pPr>
            <w:r w:rsidRPr="00457736">
              <w:rPr>
                <w:color w:val="000000"/>
                <w:lang w:eastAsia="en-AU"/>
              </w:rPr>
              <w:t>8</w:t>
            </w:r>
          </w:p>
        </w:tc>
      </w:tr>
      <w:tr w:rsidR="00CB3596" w:rsidRPr="00457736" w14:paraId="5737637D" w14:textId="77777777" w:rsidTr="0069101C">
        <w:tc>
          <w:tcPr>
            <w:tcW w:w="0" w:type="auto"/>
            <w:hideMark/>
          </w:tcPr>
          <w:p w14:paraId="0B642C1B" w14:textId="77777777" w:rsidR="00CB3596" w:rsidRPr="00457736" w:rsidRDefault="00CB3596" w:rsidP="003F1E06">
            <w:pPr>
              <w:pStyle w:val="TableNText"/>
              <w:keepNext/>
              <w:rPr>
                <w:color w:val="00264D"/>
                <w:lang w:eastAsia="en-AU"/>
              </w:rPr>
            </w:pPr>
            <w:r w:rsidRPr="00457736">
              <w:rPr>
                <w:lang w:eastAsia="en-AU"/>
              </w:rPr>
              <w:t>METS Ignited</w:t>
            </w:r>
          </w:p>
        </w:tc>
        <w:tc>
          <w:tcPr>
            <w:tcW w:w="0" w:type="auto"/>
            <w:hideMark/>
          </w:tcPr>
          <w:p w14:paraId="1CFCB2E6" w14:textId="77777777" w:rsidR="00CB3596" w:rsidRPr="00457736" w:rsidRDefault="00CB3596" w:rsidP="003F1E06">
            <w:pPr>
              <w:pStyle w:val="TableNText"/>
              <w:keepNext/>
              <w:jc w:val="center"/>
              <w:rPr>
                <w:color w:val="000000"/>
                <w:lang w:eastAsia="en-AU"/>
              </w:rPr>
            </w:pPr>
            <w:r w:rsidRPr="00457736">
              <w:rPr>
                <w:color w:val="000000"/>
                <w:lang w:eastAsia="en-AU"/>
              </w:rPr>
              <w:t>216</w:t>
            </w:r>
          </w:p>
        </w:tc>
        <w:tc>
          <w:tcPr>
            <w:tcW w:w="727" w:type="pct"/>
            <w:hideMark/>
          </w:tcPr>
          <w:p w14:paraId="2567D6AC" w14:textId="77777777" w:rsidR="00CB3596" w:rsidRPr="00457736" w:rsidRDefault="00CB3596" w:rsidP="003F1E06">
            <w:pPr>
              <w:pStyle w:val="TableNText"/>
              <w:keepNext/>
              <w:jc w:val="center"/>
              <w:rPr>
                <w:color w:val="000000"/>
                <w:lang w:eastAsia="en-AU"/>
              </w:rPr>
            </w:pPr>
            <w:r w:rsidRPr="00457736">
              <w:rPr>
                <w:color w:val="000000"/>
                <w:lang w:eastAsia="en-AU"/>
              </w:rPr>
              <w:t>1,270</w:t>
            </w:r>
          </w:p>
        </w:tc>
        <w:tc>
          <w:tcPr>
            <w:tcW w:w="686" w:type="pct"/>
            <w:hideMark/>
          </w:tcPr>
          <w:p w14:paraId="1BA346C3" w14:textId="77777777" w:rsidR="00CB3596" w:rsidRPr="00457736" w:rsidRDefault="00CB3596" w:rsidP="003F1E06">
            <w:pPr>
              <w:pStyle w:val="TableNText"/>
              <w:keepNext/>
              <w:jc w:val="center"/>
              <w:rPr>
                <w:color w:val="000000"/>
                <w:lang w:eastAsia="en-AU"/>
              </w:rPr>
            </w:pPr>
            <w:r w:rsidRPr="00457736">
              <w:rPr>
                <w:color w:val="000000"/>
                <w:lang w:eastAsia="en-AU"/>
              </w:rPr>
              <w:t>17</w:t>
            </w:r>
            <w:r w:rsidR="00210D33" w:rsidRPr="00457736">
              <w:rPr>
                <w:color w:val="000000"/>
                <w:lang w:eastAsia="en-AU"/>
              </w:rPr>
              <w:t xml:space="preserve"> </w:t>
            </w:r>
            <w:r w:rsidR="00D12938" w:rsidRPr="00457736">
              <w:rPr>
                <w:color w:val="000000"/>
                <w:lang w:eastAsia="en-AU"/>
              </w:rPr>
              <w:t>per cent</w:t>
            </w:r>
          </w:p>
        </w:tc>
        <w:tc>
          <w:tcPr>
            <w:tcW w:w="1749" w:type="pct"/>
            <w:hideMark/>
          </w:tcPr>
          <w:p w14:paraId="61DE607F" w14:textId="77777777" w:rsidR="00CB3596" w:rsidRPr="00457736" w:rsidRDefault="00CB3596" w:rsidP="003F1E06">
            <w:pPr>
              <w:pStyle w:val="TableNText"/>
              <w:keepNext/>
              <w:rPr>
                <w:color w:val="000000"/>
                <w:lang w:eastAsia="en-AU"/>
              </w:rPr>
            </w:pPr>
            <w:r w:rsidRPr="00457736">
              <w:rPr>
                <w:color w:val="000000"/>
                <w:lang w:eastAsia="en-AU"/>
              </w:rPr>
              <w:t xml:space="preserve">Distributed to contacts who have had active engagement with </w:t>
            </w:r>
            <w:r w:rsidR="00E41B2A" w:rsidRPr="00457736">
              <w:rPr>
                <w:color w:val="000000"/>
                <w:lang w:eastAsia="en-AU"/>
              </w:rPr>
              <w:t xml:space="preserve">METS Ignited </w:t>
            </w:r>
            <w:r w:rsidR="00347F2B" w:rsidRPr="00457736">
              <w:rPr>
                <w:color w:val="000000"/>
                <w:lang w:eastAsia="en-AU"/>
              </w:rPr>
              <w:t xml:space="preserve">(e.g. </w:t>
            </w:r>
            <w:r w:rsidRPr="00457736">
              <w:rPr>
                <w:color w:val="000000"/>
                <w:lang w:eastAsia="en-AU"/>
              </w:rPr>
              <w:t xml:space="preserve">attended at least one </w:t>
            </w:r>
            <w:r w:rsidR="00E41B2A" w:rsidRPr="00457736">
              <w:rPr>
                <w:color w:val="000000"/>
                <w:lang w:eastAsia="en-AU"/>
              </w:rPr>
              <w:t xml:space="preserve">METS Ignited </w:t>
            </w:r>
            <w:r w:rsidR="00347F2B" w:rsidRPr="00457736">
              <w:rPr>
                <w:color w:val="000000"/>
                <w:lang w:eastAsia="en-AU"/>
              </w:rPr>
              <w:t>event).</w:t>
            </w:r>
          </w:p>
        </w:tc>
        <w:tc>
          <w:tcPr>
            <w:tcW w:w="659" w:type="pct"/>
            <w:hideMark/>
          </w:tcPr>
          <w:p w14:paraId="2B28CC6E" w14:textId="77777777" w:rsidR="00CB3596" w:rsidRPr="00457736" w:rsidRDefault="00CB3596" w:rsidP="003F1E06">
            <w:pPr>
              <w:pStyle w:val="TableNText"/>
              <w:keepNext/>
              <w:jc w:val="center"/>
              <w:rPr>
                <w:color w:val="000000"/>
                <w:lang w:eastAsia="en-AU"/>
              </w:rPr>
            </w:pPr>
            <w:r w:rsidRPr="00457736">
              <w:rPr>
                <w:color w:val="000000"/>
                <w:lang w:eastAsia="en-AU"/>
              </w:rPr>
              <w:t>6</w:t>
            </w:r>
          </w:p>
        </w:tc>
      </w:tr>
      <w:tr w:rsidR="00CB3596" w:rsidRPr="00457736" w14:paraId="4CECF029" w14:textId="77777777" w:rsidTr="0069101C">
        <w:tc>
          <w:tcPr>
            <w:tcW w:w="0" w:type="auto"/>
            <w:hideMark/>
          </w:tcPr>
          <w:p w14:paraId="02F08FDA" w14:textId="77777777" w:rsidR="00CB3596" w:rsidRPr="00457736" w:rsidRDefault="00CB3596" w:rsidP="003F1E06">
            <w:pPr>
              <w:pStyle w:val="TableNText"/>
              <w:keepNext/>
              <w:rPr>
                <w:color w:val="00264D"/>
                <w:lang w:eastAsia="en-AU"/>
              </w:rPr>
            </w:pPr>
            <w:proofErr w:type="spellStart"/>
            <w:r w:rsidRPr="00457736">
              <w:rPr>
                <w:lang w:eastAsia="en-AU"/>
              </w:rPr>
              <w:t>MTPConnect</w:t>
            </w:r>
            <w:proofErr w:type="spellEnd"/>
          </w:p>
        </w:tc>
        <w:tc>
          <w:tcPr>
            <w:tcW w:w="0" w:type="auto"/>
            <w:hideMark/>
          </w:tcPr>
          <w:p w14:paraId="61CB3EB6" w14:textId="77777777" w:rsidR="00CB3596" w:rsidRPr="00457736" w:rsidRDefault="00CB3596" w:rsidP="003F1E06">
            <w:pPr>
              <w:pStyle w:val="TableNText"/>
              <w:keepNext/>
              <w:jc w:val="center"/>
              <w:rPr>
                <w:color w:val="000000"/>
                <w:lang w:eastAsia="en-AU"/>
              </w:rPr>
            </w:pPr>
            <w:r w:rsidRPr="00457736">
              <w:rPr>
                <w:color w:val="000000"/>
                <w:lang w:eastAsia="en-AU"/>
              </w:rPr>
              <w:t>307</w:t>
            </w:r>
          </w:p>
        </w:tc>
        <w:tc>
          <w:tcPr>
            <w:tcW w:w="727" w:type="pct"/>
            <w:hideMark/>
          </w:tcPr>
          <w:p w14:paraId="4D31C5E1" w14:textId="77777777" w:rsidR="00CB3596" w:rsidRPr="00457736" w:rsidRDefault="00CB3596" w:rsidP="003F1E06">
            <w:pPr>
              <w:pStyle w:val="TableNText"/>
              <w:keepNext/>
              <w:jc w:val="center"/>
              <w:rPr>
                <w:color w:val="000000"/>
                <w:lang w:eastAsia="en-AU"/>
              </w:rPr>
            </w:pPr>
            <w:r w:rsidRPr="00457736">
              <w:rPr>
                <w:color w:val="000000"/>
                <w:lang w:eastAsia="en-AU"/>
              </w:rPr>
              <w:t>2,323</w:t>
            </w:r>
          </w:p>
        </w:tc>
        <w:tc>
          <w:tcPr>
            <w:tcW w:w="686" w:type="pct"/>
            <w:hideMark/>
          </w:tcPr>
          <w:p w14:paraId="09811997" w14:textId="77777777" w:rsidR="00CB3596" w:rsidRPr="00457736" w:rsidRDefault="00CB3596" w:rsidP="003F1E06">
            <w:pPr>
              <w:pStyle w:val="TableNText"/>
              <w:keepNext/>
              <w:jc w:val="center"/>
              <w:rPr>
                <w:color w:val="000000"/>
                <w:lang w:eastAsia="en-AU"/>
              </w:rPr>
            </w:pPr>
            <w:r w:rsidRPr="00457736">
              <w:rPr>
                <w:color w:val="000000"/>
                <w:lang w:eastAsia="en-AU"/>
              </w:rPr>
              <w:t>13</w:t>
            </w:r>
            <w:r w:rsidR="00210D33" w:rsidRPr="00457736">
              <w:rPr>
                <w:color w:val="000000"/>
                <w:lang w:eastAsia="en-AU"/>
              </w:rPr>
              <w:t xml:space="preserve"> </w:t>
            </w:r>
            <w:r w:rsidR="00D12938" w:rsidRPr="00457736">
              <w:rPr>
                <w:color w:val="000000"/>
                <w:lang w:eastAsia="en-AU"/>
              </w:rPr>
              <w:t>per cent</w:t>
            </w:r>
          </w:p>
        </w:tc>
        <w:tc>
          <w:tcPr>
            <w:tcW w:w="1749" w:type="pct"/>
            <w:hideMark/>
          </w:tcPr>
          <w:p w14:paraId="38BF68F5" w14:textId="77777777" w:rsidR="00CB3596" w:rsidRPr="00457736" w:rsidRDefault="00CB3596" w:rsidP="003F1E06">
            <w:pPr>
              <w:pStyle w:val="TableNText"/>
              <w:keepNext/>
              <w:rPr>
                <w:color w:val="000000"/>
                <w:lang w:eastAsia="en-AU"/>
              </w:rPr>
            </w:pPr>
            <w:r w:rsidRPr="00457736">
              <w:rPr>
                <w:color w:val="000000"/>
                <w:lang w:eastAsia="en-AU"/>
              </w:rPr>
              <w:t xml:space="preserve">Distributed to key contact(s) in organisations </w:t>
            </w:r>
            <w:proofErr w:type="spellStart"/>
            <w:r w:rsidRPr="00457736">
              <w:rPr>
                <w:color w:val="000000"/>
                <w:lang w:eastAsia="en-AU"/>
              </w:rPr>
              <w:t>MTPConnect</w:t>
            </w:r>
            <w:proofErr w:type="spellEnd"/>
            <w:r w:rsidRPr="00457736">
              <w:rPr>
                <w:color w:val="000000"/>
                <w:lang w:eastAsia="en-AU"/>
              </w:rPr>
              <w:t xml:space="preserve"> regularly interact with plus recipients of its monthly newsletter.</w:t>
            </w:r>
          </w:p>
        </w:tc>
        <w:tc>
          <w:tcPr>
            <w:tcW w:w="659" w:type="pct"/>
            <w:hideMark/>
          </w:tcPr>
          <w:p w14:paraId="222A5433" w14:textId="77777777" w:rsidR="00CB3596" w:rsidRPr="00457736" w:rsidRDefault="00CB3596" w:rsidP="003F1E06">
            <w:pPr>
              <w:pStyle w:val="TableNText"/>
              <w:keepNext/>
              <w:jc w:val="center"/>
              <w:rPr>
                <w:color w:val="000000"/>
                <w:lang w:eastAsia="en-AU"/>
              </w:rPr>
            </w:pPr>
            <w:r w:rsidRPr="00457736">
              <w:rPr>
                <w:color w:val="000000"/>
                <w:lang w:eastAsia="en-AU"/>
              </w:rPr>
              <w:t>7</w:t>
            </w:r>
          </w:p>
        </w:tc>
      </w:tr>
      <w:tr w:rsidR="00CB3596" w:rsidRPr="00457736" w14:paraId="4A3B3CCD" w14:textId="77777777" w:rsidTr="0069101C">
        <w:tc>
          <w:tcPr>
            <w:tcW w:w="0" w:type="auto"/>
            <w:hideMark/>
          </w:tcPr>
          <w:p w14:paraId="38C6213F" w14:textId="77777777" w:rsidR="00CB3596" w:rsidRPr="00457736" w:rsidRDefault="00CB3596" w:rsidP="003F1E06">
            <w:pPr>
              <w:pStyle w:val="TableNText"/>
              <w:keepNext/>
              <w:rPr>
                <w:color w:val="00264D"/>
                <w:lang w:eastAsia="en-AU"/>
              </w:rPr>
            </w:pPr>
            <w:r w:rsidRPr="00457736">
              <w:rPr>
                <w:lang w:eastAsia="en-AU"/>
              </w:rPr>
              <w:t>NERA</w:t>
            </w:r>
          </w:p>
        </w:tc>
        <w:tc>
          <w:tcPr>
            <w:tcW w:w="0" w:type="auto"/>
            <w:hideMark/>
          </w:tcPr>
          <w:p w14:paraId="23F64B40" w14:textId="77777777" w:rsidR="00CB3596" w:rsidRPr="00457736" w:rsidRDefault="00CB3596" w:rsidP="003F1E06">
            <w:pPr>
              <w:pStyle w:val="TableNText"/>
              <w:keepNext/>
              <w:jc w:val="center"/>
              <w:rPr>
                <w:color w:val="000000"/>
                <w:lang w:eastAsia="en-AU"/>
              </w:rPr>
            </w:pPr>
            <w:r w:rsidRPr="00457736">
              <w:rPr>
                <w:color w:val="000000"/>
                <w:lang w:eastAsia="en-AU"/>
              </w:rPr>
              <w:t>302</w:t>
            </w:r>
          </w:p>
        </w:tc>
        <w:tc>
          <w:tcPr>
            <w:tcW w:w="727" w:type="pct"/>
            <w:hideMark/>
          </w:tcPr>
          <w:p w14:paraId="3AB1962A" w14:textId="77777777" w:rsidR="00CB3596" w:rsidRPr="00457736" w:rsidRDefault="00CB3596" w:rsidP="003F1E06">
            <w:pPr>
              <w:pStyle w:val="TableNText"/>
              <w:keepNext/>
              <w:jc w:val="center"/>
              <w:rPr>
                <w:color w:val="000000"/>
                <w:lang w:eastAsia="en-AU"/>
              </w:rPr>
            </w:pPr>
            <w:r w:rsidRPr="00457736">
              <w:rPr>
                <w:color w:val="000000"/>
                <w:lang w:eastAsia="en-AU"/>
              </w:rPr>
              <w:t>~4,000</w:t>
            </w:r>
          </w:p>
        </w:tc>
        <w:tc>
          <w:tcPr>
            <w:tcW w:w="686" w:type="pct"/>
            <w:hideMark/>
          </w:tcPr>
          <w:p w14:paraId="49DAA0C6" w14:textId="77777777" w:rsidR="00CB3596" w:rsidRPr="00457736" w:rsidRDefault="00B74AA5" w:rsidP="003F1E06">
            <w:pPr>
              <w:pStyle w:val="TableNText"/>
              <w:keepNext/>
              <w:jc w:val="center"/>
              <w:rPr>
                <w:color w:val="000000"/>
                <w:lang w:eastAsia="en-AU"/>
              </w:rPr>
            </w:pPr>
            <w:r w:rsidRPr="00457736">
              <w:rPr>
                <w:color w:val="000000"/>
                <w:lang w:eastAsia="en-AU"/>
              </w:rPr>
              <w:t>~</w:t>
            </w:r>
            <w:r w:rsidR="003F1E06" w:rsidRPr="00457736">
              <w:rPr>
                <w:color w:val="000000"/>
                <w:lang w:eastAsia="en-AU"/>
              </w:rPr>
              <w:t>8</w:t>
            </w:r>
            <w:r w:rsidR="00210D33" w:rsidRPr="00457736">
              <w:rPr>
                <w:color w:val="000000"/>
                <w:lang w:eastAsia="en-AU"/>
              </w:rPr>
              <w:t xml:space="preserve"> </w:t>
            </w:r>
            <w:r w:rsidR="00D12938" w:rsidRPr="00457736">
              <w:rPr>
                <w:color w:val="000000"/>
                <w:lang w:eastAsia="en-AU"/>
              </w:rPr>
              <w:t>per cent</w:t>
            </w:r>
          </w:p>
        </w:tc>
        <w:tc>
          <w:tcPr>
            <w:tcW w:w="1749" w:type="pct"/>
            <w:hideMark/>
          </w:tcPr>
          <w:p w14:paraId="6356ABC3" w14:textId="77777777" w:rsidR="00CB3596" w:rsidRPr="00457736" w:rsidRDefault="000F3B13" w:rsidP="003F1E06">
            <w:pPr>
              <w:pStyle w:val="TableNText"/>
              <w:keepNext/>
              <w:rPr>
                <w:color w:val="000000"/>
                <w:lang w:eastAsia="en-AU"/>
              </w:rPr>
            </w:pPr>
            <w:r>
              <w:rPr>
                <w:color w:val="000000"/>
                <w:lang w:eastAsia="en-AU"/>
              </w:rPr>
              <w:t>Distributed to all</w:t>
            </w:r>
            <w:r w:rsidR="00CB3596" w:rsidRPr="00457736">
              <w:rPr>
                <w:color w:val="000000"/>
                <w:lang w:eastAsia="en-AU"/>
              </w:rPr>
              <w:t xml:space="preserve"> contacts in NERA’s CRM system.</w:t>
            </w:r>
          </w:p>
        </w:tc>
        <w:tc>
          <w:tcPr>
            <w:tcW w:w="659" w:type="pct"/>
            <w:hideMark/>
          </w:tcPr>
          <w:p w14:paraId="0F083DE5" w14:textId="77777777" w:rsidR="00CB3596" w:rsidRPr="00457736" w:rsidRDefault="00CB3596" w:rsidP="003F1E06">
            <w:pPr>
              <w:pStyle w:val="TableNText"/>
              <w:keepNext/>
              <w:jc w:val="center"/>
              <w:rPr>
                <w:color w:val="000000"/>
                <w:lang w:eastAsia="en-AU"/>
              </w:rPr>
            </w:pPr>
            <w:r w:rsidRPr="00457736">
              <w:rPr>
                <w:color w:val="000000"/>
                <w:lang w:eastAsia="en-AU"/>
              </w:rPr>
              <w:t>6</w:t>
            </w:r>
          </w:p>
        </w:tc>
      </w:tr>
    </w:tbl>
    <w:p w14:paraId="5D9870AB" w14:textId="77777777" w:rsidR="00CB3596" w:rsidRPr="00457736" w:rsidRDefault="00CB3596">
      <w:pPr>
        <w:spacing w:after="165"/>
      </w:pPr>
    </w:p>
    <w:p w14:paraId="3C27350D" w14:textId="77777777" w:rsidR="00423376" w:rsidRPr="00457736" w:rsidRDefault="00423376">
      <w:pPr>
        <w:spacing w:after="165"/>
      </w:pPr>
      <w:r w:rsidRPr="00457736">
        <w:br w:type="page"/>
      </w:r>
    </w:p>
    <w:p w14:paraId="472B00E6" w14:textId="77777777" w:rsidR="000F3554" w:rsidRPr="00457736" w:rsidRDefault="00F25BE3" w:rsidP="00F25BE3">
      <w:pPr>
        <w:pStyle w:val="Heading1"/>
      </w:pPr>
      <w:bookmarkStart w:id="11" w:name="_Toc531339601"/>
      <w:bookmarkStart w:id="12" w:name="_Toc535922968"/>
      <w:r w:rsidRPr="00457736">
        <w:lastRenderedPageBreak/>
        <w:t>Overarching findings</w:t>
      </w:r>
      <w:bookmarkEnd w:id="11"/>
      <w:bookmarkEnd w:id="12"/>
      <w:r w:rsidRPr="00457736">
        <w:t xml:space="preserve"> </w:t>
      </w:r>
    </w:p>
    <w:p w14:paraId="57CE54D7" w14:textId="77777777" w:rsidR="00F25BE3" w:rsidRPr="00457736" w:rsidRDefault="0091573F" w:rsidP="00F25BE3">
      <w:pPr>
        <w:pStyle w:val="Caption"/>
      </w:pPr>
      <w:r w:rsidRPr="00457736">
        <w:t xml:space="preserve">Figure </w:t>
      </w:r>
      <w:r w:rsidRPr="00457736">
        <w:fldChar w:fldCharType="begin"/>
      </w:r>
      <w:r w:rsidRPr="00457736">
        <w:instrText xml:space="preserve"> SEQ Figure \* ARABIC </w:instrText>
      </w:r>
      <w:r w:rsidRPr="00457736">
        <w:fldChar w:fldCharType="separate"/>
      </w:r>
      <w:r w:rsidR="00AD2D4B">
        <w:rPr>
          <w:noProof/>
        </w:rPr>
        <w:t>3</w:t>
      </w:r>
      <w:r w:rsidRPr="00457736">
        <w:fldChar w:fldCharType="end"/>
      </w:r>
      <w:r w:rsidRPr="00457736">
        <w:t xml:space="preserve"> | </w:t>
      </w:r>
      <w:r w:rsidR="00F25BE3" w:rsidRPr="00457736">
        <w:t xml:space="preserve">Key findings </w:t>
      </w:r>
    </w:p>
    <w:p w14:paraId="3DC07305" w14:textId="77777777" w:rsidR="00CF4681" w:rsidRDefault="00CF4681" w:rsidP="00482CDD">
      <w:pPr>
        <w:pStyle w:val="TableNBullet"/>
        <w:pBdr>
          <w:top w:val="single" w:sz="4" w:space="1" w:color="auto"/>
        </w:pBdr>
      </w:pPr>
      <w:r>
        <w:t xml:space="preserve">Each of the Growth Centres are at different stages of evolution - but all of them are generally on track to meet the objectives in their Sector Competitiveness Plans and business plans. </w:t>
      </w:r>
    </w:p>
    <w:p w14:paraId="1B094A7B" w14:textId="77777777" w:rsidR="00CF4681" w:rsidRDefault="00CF4681" w:rsidP="00CF4681">
      <w:pPr>
        <w:pStyle w:val="TableNBullet"/>
      </w:pPr>
      <w:r>
        <w:t>There are substantial differences in the size, maturity and composition of the sectors supported by each Growth Centre. This has had a significant bearing on each Growth Centre's ability to affect sector wide impact.</w:t>
      </w:r>
    </w:p>
    <w:p w14:paraId="4E7B04FC" w14:textId="77777777" w:rsidR="00CF4681" w:rsidRDefault="00CF4681" w:rsidP="00CF4681">
      <w:pPr>
        <w:pStyle w:val="TableNBullet"/>
      </w:pPr>
      <w:r>
        <w:t xml:space="preserve">It is still too early to make definitive assessments about the extent of additionality or the degree of sector-wide impact achieved by each of the Growth Centres. </w:t>
      </w:r>
    </w:p>
    <w:p w14:paraId="607B0924" w14:textId="77777777" w:rsidR="00CF4681" w:rsidRDefault="00CF4681" w:rsidP="00CF4681">
      <w:pPr>
        <w:pStyle w:val="TableNBullet"/>
      </w:pPr>
      <w:r>
        <w:t xml:space="preserve">Feedback from the variety of stakeholders that regularly engage with the Growth Centres is generally positive. </w:t>
      </w:r>
    </w:p>
    <w:p w14:paraId="6B1AA2DC" w14:textId="77777777" w:rsidR="00CF4681" w:rsidRDefault="00CF4681" w:rsidP="00CF4681">
      <w:pPr>
        <w:pStyle w:val="TableNBullet"/>
      </w:pPr>
      <w:r>
        <w:t xml:space="preserve">The Growth Centres have helped to enhance the focus and alignment across industry and innovation policy initiatives within their respective sectors. </w:t>
      </w:r>
    </w:p>
    <w:p w14:paraId="77E6CAA1" w14:textId="77777777" w:rsidR="00CF4681" w:rsidRDefault="00CF4681" w:rsidP="00CF4681">
      <w:pPr>
        <w:pStyle w:val="TableNBullet"/>
      </w:pPr>
      <w:r>
        <w:t xml:space="preserve">More work is required to develop consistent and appropriate approaches to measuring individual sector and initiative wide impact. </w:t>
      </w:r>
    </w:p>
    <w:p w14:paraId="1892369E" w14:textId="27AECECA" w:rsidR="00CF4681" w:rsidRDefault="00916498" w:rsidP="00482CDD">
      <w:pPr>
        <w:pStyle w:val="TableNBullet"/>
        <w:pBdr>
          <w:bottom w:val="single" w:sz="4" w:space="1" w:color="auto"/>
        </w:pBdr>
      </w:pPr>
      <w:r w:rsidRPr="00457736">
        <w:t>Many of the Growth Centres current data collection and performance measurement practices currently lack the rigour required for consistency and alignment with the Evaluation Strategy and framework for the Initiative.</w:t>
      </w:r>
    </w:p>
    <w:p w14:paraId="1A4D6F2D" w14:textId="77777777" w:rsidR="00CF0067" w:rsidRPr="00457736" w:rsidRDefault="00CF0067" w:rsidP="00CF0067">
      <w:pPr>
        <w:pStyle w:val="TableNBullet"/>
        <w:numPr>
          <w:ilvl w:val="0"/>
          <w:numId w:val="0"/>
        </w:numPr>
        <w:ind w:left="227"/>
      </w:pPr>
    </w:p>
    <w:p w14:paraId="07C5C8DD" w14:textId="77777777" w:rsidR="00B97AC7" w:rsidRPr="00457736" w:rsidRDefault="00B97AC7" w:rsidP="000F3554">
      <w:pPr>
        <w:sectPr w:rsidR="00B97AC7" w:rsidRPr="00457736" w:rsidSect="006F0465">
          <w:type w:val="continuous"/>
          <w:pgSz w:w="11907" w:h="16839" w:code="9"/>
          <w:pgMar w:top="1304" w:right="1304" w:bottom="1304" w:left="1304" w:header="720" w:footer="720" w:gutter="0"/>
          <w:cols w:space="720"/>
          <w:titlePg/>
          <w:docGrid w:linePitch="360"/>
        </w:sectPr>
      </w:pPr>
    </w:p>
    <w:p w14:paraId="49B78A8B" w14:textId="264A3083" w:rsidR="00B74AA5" w:rsidRDefault="00ED18FA" w:rsidP="000F3554">
      <w:r w:rsidRPr="00457736">
        <w:t>The performance assessment found that the</w:t>
      </w:r>
      <w:r w:rsidR="00DB2912" w:rsidRPr="00457736">
        <w:t xml:space="preserve"> </w:t>
      </w:r>
      <w:r w:rsidR="00B3713F" w:rsidRPr="00457736">
        <w:t>Growth Centre</w:t>
      </w:r>
      <w:r w:rsidR="00DB2912" w:rsidRPr="00457736">
        <w:t>s</w:t>
      </w:r>
      <w:r w:rsidRPr="00457736">
        <w:t xml:space="preserve"> are generally on track to meet their objectives. </w:t>
      </w:r>
    </w:p>
    <w:p w14:paraId="644F6FEB" w14:textId="68C4C56C" w:rsidR="00BE7760" w:rsidRDefault="005F1BEC" w:rsidP="00BE7760">
      <w:r w:rsidRPr="00457736">
        <w:t>To date, Growth Centres have focused most on the Initiative’s objective related to increasing collaboration and commercialisation</w:t>
      </w:r>
      <w:r w:rsidR="00BE7760">
        <w:t xml:space="preserve"> and least on </w:t>
      </w:r>
      <w:r w:rsidR="00540BB9" w:rsidRPr="00457736" w:rsidDel="00476838">
        <w:t xml:space="preserve">identifying opportunities for regulatory reform within their sector. </w:t>
      </w:r>
      <w:r w:rsidR="00540BB9">
        <w:t xml:space="preserve"> </w:t>
      </w:r>
      <w:r w:rsidR="00E11BE5">
        <w:t>Th</w:t>
      </w:r>
      <w:r w:rsidR="00BE7760">
        <w:t xml:space="preserve">ese relative priorities </w:t>
      </w:r>
      <w:r w:rsidR="00E11BE5">
        <w:t xml:space="preserve">reflect where the </w:t>
      </w:r>
      <w:r w:rsidR="00E11BE5" w:rsidRPr="00457736">
        <w:t>Growth Centres</w:t>
      </w:r>
      <w:r w:rsidR="00E11BE5">
        <w:t xml:space="preserve"> and </w:t>
      </w:r>
      <w:r w:rsidR="00E15DA3">
        <w:t xml:space="preserve">sector </w:t>
      </w:r>
      <w:r w:rsidR="00E11BE5">
        <w:t xml:space="preserve">stakeholders consider maximum impact can be achieved at this point in their maturation. </w:t>
      </w:r>
      <w:r w:rsidR="00BE7760">
        <w:t>Each Growth Centre has made at least some progress against the objectives and outcomes show</w:t>
      </w:r>
      <w:r w:rsidR="00CE3EC2">
        <w:t>n</w:t>
      </w:r>
      <w:r w:rsidR="00BE7760">
        <w:t xml:space="preserve"> in </w:t>
      </w:r>
      <w:r w:rsidR="00BE7760" w:rsidRPr="00457736">
        <w:rPr>
          <w:lang w:eastAsia="en-AU"/>
        </w:rPr>
        <w:fldChar w:fldCharType="begin"/>
      </w:r>
      <w:r w:rsidR="00BE7760" w:rsidRPr="00457736">
        <w:rPr>
          <w:lang w:eastAsia="en-AU"/>
        </w:rPr>
        <w:instrText xml:space="preserve"> REF _Ref531339519 \h </w:instrText>
      </w:r>
      <w:r w:rsidR="00BE7760" w:rsidRPr="00457736">
        <w:rPr>
          <w:lang w:eastAsia="en-AU"/>
        </w:rPr>
      </w:r>
      <w:r w:rsidR="00BE7760" w:rsidRPr="00457736">
        <w:rPr>
          <w:lang w:eastAsia="en-AU"/>
        </w:rPr>
        <w:fldChar w:fldCharType="separate"/>
      </w:r>
      <w:r w:rsidR="00AD2D4B" w:rsidRPr="00457736">
        <w:t xml:space="preserve">Figure </w:t>
      </w:r>
      <w:r w:rsidR="00AD2D4B">
        <w:rPr>
          <w:noProof/>
        </w:rPr>
        <w:t>1</w:t>
      </w:r>
      <w:r w:rsidR="00BE7760" w:rsidRPr="00457736">
        <w:rPr>
          <w:lang w:eastAsia="en-AU"/>
        </w:rPr>
        <w:fldChar w:fldCharType="end"/>
      </w:r>
      <w:r w:rsidR="00BE7760">
        <w:rPr>
          <w:lang w:eastAsia="en-AU"/>
        </w:rPr>
        <w:t xml:space="preserve"> on page </w:t>
      </w:r>
      <w:r w:rsidR="00BE7760">
        <w:rPr>
          <w:lang w:eastAsia="en-AU"/>
        </w:rPr>
        <w:fldChar w:fldCharType="begin"/>
      </w:r>
      <w:r w:rsidR="00BE7760">
        <w:rPr>
          <w:lang w:eastAsia="en-AU"/>
        </w:rPr>
        <w:instrText xml:space="preserve"> PAGEREF _Ref531339522 \h </w:instrText>
      </w:r>
      <w:r w:rsidR="00BE7760">
        <w:rPr>
          <w:lang w:eastAsia="en-AU"/>
        </w:rPr>
      </w:r>
      <w:r w:rsidR="00BE7760">
        <w:rPr>
          <w:lang w:eastAsia="en-AU"/>
        </w:rPr>
        <w:fldChar w:fldCharType="separate"/>
      </w:r>
      <w:r w:rsidR="00AD2D4B">
        <w:rPr>
          <w:noProof/>
          <w:lang w:eastAsia="en-AU"/>
        </w:rPr>
        <w:t>4</w:t>
      </w:r>
      <w:r w:rsidR="00BE7760">
        <w:rPr>
          <w:lang w:eastAsia="en-AU"/>
        </w:rPr>
        <w:fldChar w:fldCharType="end"/>
      </w:r>
    </w:p>
    <w:p w14:paraId="78A76D93" w14:textId="77777777" w:rsidR="00DB2912" w:rsidRPr="00457736" w:rsidRDefault="00B7239C" w:rsidP="000F3554">
      <w:r w:rsidRPr="00457736">
        <w:t>I</w:t>
      </w:r>
      <w:r w:rsidR="00DB2912" w:rsidRPr="00457736">
        <w:t xml:space="preserve">nterview and survey feedback from the stakeholders engaged through this review was generally positive about the performance of the </w:t>
      </w:r>
      <w:r w:rsidR="00B3713F" w:rsidRPr="00457736">
        <w:t>Growth Centre</w:t>
      </w:r>
      <w:r w:rsidR="00DB2912" w:rsidRPr="00457736">
        <w:t>s.</w:t>
      </w:r>
    </w:p>
    <w:p w14:paraId="4558F823" w14:textId="4BDB0348" w:rsidR="00BE7760" w:rsidRDefault="00BE7760" w:rsidP="000F3554">
      <w:r>
        <w:t xml:space="preserve">Eighteen </w:t>
      </w:r>
      <w:r w:rsidRPr="00457736">
        <w:t>months separat</w:t>
      </w:r>
      <w:r>
        <w:t>es</w:t>
      </w:r>
      <w:r w:rsidRPr="00457736">
        <w:t xml:space="preserve"> the establishment of the newest and the oldest Growth Centre – as shown in </w:t>
      </w:r>
      <w:r w:rsidRPr="00457736">
        <w:fldChar w:fldCharType="begin"/>
      </w:r>
      <w:r w:rsidRPr="00457736">
        <w:instrText xml:space="preserve"> REF _Ref531287624 \h </w:instrText>
      </w:r>
      <w:r w:rsidRPr="00457736">
        <w:fldChar w:fldCharType="separate"/>
      </w:r>
      <w:r w:rsidR="00AD2D4B" w:rsidRPr="00457736">
        <w:t xml:space="preserve">Figure </w:t>
      </w:r>
      <w:r w:rsidR="00AD2D4B">
        <w:rPr>
          <w:noProof/>
        </w:rPr>
        <w:t>4</w:t>
      </w:r>
      <w:r w:rsidRPr="00457736">
        <w:fldChar w:fldCharType="end"/>
      </w:r>
      <w:r w:rsidRPr="00457736">
        <w:t xml:space="preserve"> </w:t>
      </w:r>
      <w:r w:rsidRPr="00457736">
        <w:fldChar w:fldCharType="begin"/>
      </w:r>
      <w:r w:rsidRPr="00457736">
        <w:instrText xml:space="preserve"> REF _Ref531287627 \p \h </w:instrText>
      </w:r>
      <w:r w:rsidRPr="00457736">
        <w:fldChar w:fldCharType="separate"/>
      </w:r>
      <w:r w:rsidR="00AD2D4B">
        <w:t>below</w:t>
      </w:r>
      <w:r w:rsidRPr="00457736">
        <w:fldChar w:fldCharType="end"/>
      </w:r>
      <w:r w:rsidRPr="00457736">
        <w:t xml:space="preserve">. </w:t>
      </w:r>
      <w:r>
        <w:t>As a result, e</w:t>
      </w:r>
      <w:r w:rsidR="00ED18FA" w:rsidRPr="00457736">
        <w:t xml:space="preserve">ach </w:t>
      </w:r>
      <w:r w:rsidR="00B3713F" w:rsidRPr="00457736">
        <w:t>Growth Centre</w:t>
      </w:r>
      <w:r w:rsidR="00ED18FA" w:rsidRPr="00457736">
        <w:t xml:space="preserve"> is at </w:t>
      </w:r>
      <w:r w:rsidR="00415404" w:rsidRPr="00457736">
        <w:t xml:space="preserve">a </w:t>
      </w:r>
      <w:r w:rsidR="00ED18FA" w:rsidRPr="00457736">
        <w:t>different stage of maturation</w:t>
      </w:r>
      <w:r>
        <w:t xml:space="preserve">. </w:t>
      </w:r>
    </w:p>
    <w:p w14:paraId="62915E36" w14:textId="77777777" w:rsidR="00BE7760" w:rsidRPr="00457736" w:rsidRDefault="0039228D" w:rsidP="00BE7760">
      <w:r w:rsidRPr="00457736">
        <w:br w:type="column"/>
      </w:r>
      <w:r w:rsidR="00BE7760" w:rsidRPr="00457736">
        <w:t>Several Growth Centres have taken longer than expected to mobilise project funding</w:t>
      </w:r>
      <w:r w:rsidR="00BE7760">
        <w:t>, in part due to different start dates, priorities and funding mechanisms.</w:t>
      </w:r>
      <w:r w:rsidR="00BE7760" w:rsidRPr="00457736">
        <w:t xml:space="preserve"> </w:t>
      </w:r>
    </w:p>
    <w:p w14:paraId="50EF8D6C" w14:textId="2C19CA5B" w:rsidR="003F1E06" w:rsidRPr="00457736" w:rsidRDefault="00B95A77" w:rsidP="00B95A77">
      <w:pPr>
        <w:rPr>
          <w:lang w:eastAsia="en-AU"/>
        </w:rPr>
      </w:pPr>
      <w:r w:rsidRPr="00457736">
        <w:t xml:space="preserve">The </w:t>
      </w:r>
      <w:r w:rsidR="00B3713F" w:rsidRPr="00457736">
        <w:t>Growth Centre</w:t>
      </w:r>
      <w:r w:rsidRPr="00457736">
        <w:t xml:space="preserve"> </w:t>
      </w:r>
      <w:r w:rsidR="00C66F47" w:rsidRPr="00457736">
        <w:t xml:space="preserve">sectors vary substantially in terms of size, </w:t>
      </w:r>
      <w:r w:rsidR="00DB2912" w:rsidRPr="00457736">
        <w:t xml:space="preserve">and </w:t>
      </w:r>
      <w:r w:rsidR="00874B1C" w:rsidRPr="00457736">
        <w:t xml:space="preserve">typical </w:t>
      </w:r>
      <w:r w:rsidR="00C66F47" w:rsidRPr="00457736">
        <w:t>business characteristics</w:t>
      </w:r>
      <w:r w:rsidR="00DB2912" w:rsidRPr="00457736">
        <w:t>.</w:t>
      </w:r>
      <w:r w:rsidR="00C66F47" w:rsidRPr="00457736">
        <w:t xml:space="preserve"> </w:t>
      </w:r>
      <w:r w:rsidRPr="00457736">
        <w:t xml:space="preserve">For example, the food and agribusiness sector </w:t>
      </w:r>
      <w:r w:rsidR="006D14E9" w:rsidRPr="00457736">
        <w:t>contain</w:t>
      </w:r>
      <w:r w:rsidR="00B74AA5">
        <w:t>s</w:t>
      </w:r>
      <w:r w:rsidRPr="00457736">
        <w:t xml:space="preserve"> approximately 170,000 business</w:t>
      </w:r>
      <w:r w:rsidR="00DB2912" w:rsidRPr="00457736">
        <w:t>es</w:t>
      </w:r>
      <w:r w:rsidRPr="00457736">
        <w:t xml:space="preserve"> – many of whom are non-employing, located in rural and regional areas and do not have the willingness or ability to invest in R&amp;D and new ways of working. By contrast, the cyber</w:t>
      </w:r>
      <w:r w:rsidR="00B74AA5">
        <w:t xml:space="preserve"> </w:t>
      </w:r>
      <w:r w:rsidRPr="00457736">
        <w:t xml:space="preserve">security </w:t>
      </w:r>
      <w:r w:rsidR="00BE13DD" w:rsidRPr="00457736">
        <w:t xml:space="preserve">sector </w:t>
      </w:r>
      <w:r w:rsidRPr="00457736">
        <w:t xml:space="preserve">contains </w:t>
      </w:r>
      <w:r w:rsidR="00BE13DD" w:rsidRPr="00457736">
        <w:rPr>
          <w:lang w:eastAsia="en-AU"/>
        </w:rPr>
        <w:t xml:space="preserve">260 business – most of whom are </w:t>
      </w:r>
      <w:r w:rsidR="009B5A7E" w:rsidRPr="00457736">
        <w:rPr>
          <w:lang w:eastAsia="en-AU"/>
        </w:rPr>
        <w:t xml:space="preserve">concentrated in cities, are relatively young and are actively engaged in innovation and market development. </w:t>
      </w:r>
    </w:p>
    <w:p w14:paraId="11113DA8" w14:textId="77777777" w:rsidR="00C66F47" w:rsidRPr="00457736" w:rsidRDefault="00B3713F" w:rsidP="00B95A77">
      <w:pPr>
        <w:rPr>
          <w:lang w:eastAsia="en-AU"/>
        </w:rPr>
      </w:pPr>
      <w:r w:rsidRPr="00457736">
        <w:rPr>
          <w:lang w:eastAsia="en-AU"/>
        </w:rPr>
        <w:t>Growth Centre</w:t>
      </w:r>
      <w:r w:rsidR="009B5A7E" w:rsidRPr="00457736">
        <w:rPr>
          <w:lang w:eastAsia="en-AU"/>
        </w:rPr>
        <w:t xml:space="preserve">s </w:t>
      </w:r>
      <w:r w:rsidR="00874B1C" w:rsidRPr="00457736">
        <w:rPr>
          <w:lang w:eastAsia="en-AU"/>
        </w:rPr>
        <w:t xml:space="preserve">operating in large </w:t>
      </w:r>
      <w:r w:rsidR="009B5A7E" w:rsidRPr="00457736">
        <w:rPr>
          <w:lang w:eastAsia="en-AU"/>
        </w:rPr>
        <w:t xml:space="preserve">sectors like FIAL and AMGC have intentionally targeted </w:t>
      </w:r>
      <w:r w:rsidR="00874B1C" w:rsidRPr="00457736">
        <w:rPr>
          <w:lang w:eastAsia="en-AU"/>
        </w:rPr>
        <w:t xml:space="preserve">their engagement towards </w:t>
      </w:r>
      <w:r w:rsidR="009B5A7E" w:rsidRPr="00457736">
        <w:rPr>
          <w:lang w:eastAsia="en-AU"/>
        </w:rPr>
        <w:t>specific sub-sets of businesses and other stakeholders.</w:t>
      </w:r>
    </w:p>
    <w:p w14:paraId="5D770C34" w14:textId="77777777" w:rsidR="00CB3596" w:rsidRPr="00457736" w:rsidRDefault="00CB3596" w:rsidP="00BE2FA4">
      <w:pPr>
        <w:sectPr w:rsidR="00CB3596" w:rsidRPr="00457736" w:rsidSect="006E713F">
          <w:type w:val="continuous"/>
          <w:pgSz w:w="11907" w:h="16839" w:code="9"/>
          <w:pgMar w:top="1304" w:right="1304" w:bottom="1304" w:left="1304" w:header="720" w:footer="720" w:gutter="0"/>
          <w:cols w:num="2" w:space="720"/>
          <w:titlePg/>
          <w:docGrid w:linePitch="360"/>
        </w:sectPr>
      </w:pPr>
    </w:p>
    <w:p w14:paraId="3B1C0D3E" w14:textId="77777777" w:rsidR="00CB3596" w:rsidRPr="00457736" w:rsidRDefault="00CB3596" w:rsidP="00CB3596">
      <w:pPr>
        <w:pStyle w:val="Caption"/>
      </w:pPr>
      <w:bookmarkStart w:id="13" w:name="_Ref531287624"/>
      <w:bookmarkStart w:id="14" w:name="_Ref531287627"/>
      <w:r w:rsidRPr="00457736">
        <w:t xml:space="preserve">Figure </w:t>
      </w:r>
      <w:r w:rsidRPr="00457736">
        <w:fldChar w:fldCharType="begin"/>
      </w:r>
      <w:r w:rsidRPr="00457736">
        <w:instrText xml:space="preserve"> SEQ Figure \* ARABIC </w:instrText>
      </w:r>
      <w:r w:rsidRPr="00457736">
        <w:fldChar w:fldCharType="separate"/>
      </w:r>
      <w:r w:rsidR="00AD2D4B">
        <w:rPr>
          <w:noProof/>
        </w:rPr>
        <w:t>4</w:t>
      </w:r>
      <w:r w:rsidRPr="00457736">
        <w:fldChar w:fldCharType="end"/>
      </w:r>
      <w:bookmarkEnd w:id="13"/>
      <w:r w:rsidRPr="00457736">
        <w:t xml:space="preserve"> | Timeline of when Growth Centres were established</w:t>
      </w:r>
      <w:bookmarkEnd w:id="14"/>
    </w:p>
    <w:p w14:paraId="3E34E202" w14:textId="3B39D7AB" w:rsidR="00CB3596" w:rsidRPr="00457736" w:rsidRDefault="00BE7760" w:rsidP="00BE2FA4">
      <w:r w:rsidRPr="00BE7760">
        <w:rPr>
          <w:noProof/>
          <w:lang w:eastAsia="en-AU"/>
        </w:rPr>
        <w:drawing>
          <wp:inline distT="0" distB="0" distL="0" distR="0" wp14:anchorId="20B15530" wp14:editId="117528DE">
            <wp:extent cx="5904865" cy="1202581"/>
            <wp:effectExtent l="0" t="0" r="635" b="0"/>
            <wp:docPr id="4" name="Picture 4" descr="The image is of a vertical timeline with the years noted above the line in white and the Growth Centre establishment dates located below the line with dotted white lines leading to their names. The timeline starts in 2015 and ends just before 2019 with yearly increments, transitioning from red to yellow on a dark blue background. FIAL, AMGC and METS Ignited are show as being established in the middle of 2015 in that order. MTPConnect just before 2016, NERA very early into 2016 and AustCyber in 2017. The Performance Assessment is also show in the same fashion as the Growth Centres and is placed in the middle of 2018." title="Figure 4: Timeline of when Growth Centres were establish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4865" cy="1202581"/>
                    </a:xfrm>
                    <a:prstGeom prst="rect">
                      <a:avLst/>
                    </a:prstGeom>
                    <a:noFill/>
                    <a:ln>
                      <a:noFill/>
                    </a:ln>
                  </pic:spPr>
                </pic:pic>
              </a:graphicData>
            </a:graphic>
          </wp:inline>
        </w:drawing>
      </w:r>
    </w:p>
    <w:p w14:paraId="0DCF4271" w14:textId="77777777" w:rsidR="00CB3596" w:rsidRPr="00457736" w:rsidRDefault="00CB3596" w:rsidP="00BE2FA4">
      <w:pPr>
        <w:sectPr w:rsidR="00CB3596" w:rsidRPr="00457736" w:rsidSect="00CB3596">
          <w:type w:val="continuous"/>
          <w:pgSz w:w="11907" w:h="16839" w:code="9"/>
          <w:pgMar w:top="1304" w:right="1304" w:bottom="1304" w:left="1304" w:header="720" w:footer="720" w:gutter="0"/>
          <w:cols w:space="720"/>
          <w:titlePg/>
          <w:docGrid w:linePitch="360"/>
        </w:sectPr>
      </w:pPr>
    </w:p>
    <w:p w14:paraId="6334A91D" w14:textId="77777777" w:rsidR="003F1E06" w:rsidRPr="00457736" w:rsidRDefault="003F1E06" w:rsidP="003F1E06">
      <w:r w:rsidRPr="00457736">
        <w:lastRenderedPageBreak/>
        <w:t xml:space="preserve">The Growth Centre sectors vary in the degree to which other organisations, such as industry bodies, are performing similar roles. Some stakeholders in more mature sectors noted an apparent overlap between the Growth Centres and the work of other cross-sectoral entities. </w:t>
      </w:r>
      <w:r w:rsidR="007F6D1C" w:rsidRPr="00457736">
        <w:t xml:space="preserve">Other </w:t>
      </w:r>
      <w:r w:rsidR="0069101C" w:rsidRPr="00457736">
        <w:t xml:space="preserve">stakeholders </w:t>
      </w:r>
      <w:r w:rsidR="009B5990" w:rsidRPr="00457736">
        <w:t>also reported that th</w:t>
      </w:r>
      <w:r w:rsidR="007F6D1C" w:rsidRPr="00457736">
        <w:t xml:space="preserve">e </w:t>
      </w:r>
      <w:r w:rsidR="009B5990" w:rsidRPr="00457736">
        <w:t xml:space="preserve">duplication </w:t>
      </w:r>
      <w:r w:rsidR="007F6D1C" w:rsidRPr="00457736">
        <w:t xml:space="preserve">that arose when the Growth Centres were first established </w:t>
      </w:r>
      <w:r w:rsidR="009B5990" w:rsidRPr="00457736">
        <w:t>has since been addressed.</w:t>
      </w:r>
    </w:p>
    <w:p w14:paraId="7648A2FC" w14:textId="77777777" w:rsidR="009B5A7E" w:rsidRPr="00457736" w:rsidRDefault="00CB3596" w:rsidP="00BE2FA4">
      <w:r w:rsidRPr="00457736">
        <w:t xml:space="preserve">The extent to which stakeholders within each of the sectors are aware of and engage with the Growth Centres differs substantially. These differences typically reflect the size of the sector, with Growth Centres like </w:t>
      </w:r>
      <w:proofErr w:type="spellStart"/>
      <w:r w:rsidRPr="00457736">
        <w:t>AustCyber</w:t>
      </w:r>
      <w:proofErr w:type="spellEnd"/>
      <w:r w:rsidRPr="00457736">
        <w:t xml:space="preserve"> having high levels of engagement within a small and relatively homogenous sector.</w:t>
      </w:r>
    </w:p>
    <w:p w14:paraId="5BA19B80" w14:textId="77777777" w:rsidR="00A63800" w:rsidRPr="00457736" w:rsidRDefault="00BE2FA4" w:rsidP="000F3554">
      <w:r w:rsidRPr="00457736">
        <w:t>It is still too early to definitive</w:t>
      </w:r>
      <w:r w:rsidR="00D411FD" w:rsidRPr="00457736">
        <w:t>ly</w:t>
      </w:r>
      <w:r w:rsidRPr="00457736">
        <w:t xml:space="preserve"> assess</w:t>
      </w:r>
      <w:r w:rsidR="00D411FD" w:rsidRPr="00457736">
        <w:t xml:space="preserve"> </w:t>
      </w:r>
      <w:r w:rsidR="003F1E06" w:rsidRPr="00457736">
        <w:t xml:space="preserve">the levels of </w:t>
      </w:r>
      <w:r w:rsidR="00677E23">
        <w:t>additionality or sector-</w:t>
      </w:r>
      <w:r w:rsidRPr="00457736">
        <w:t xml:space="preserve">wide impact achieved by each of the </w:t>
      </w:r>
      <w:r w:rsidR="00B3713F" w:rsidRPr="00457736">
        <w:t>Growth Centre</w:t>
      </w:r>
      <w:r w:rsidR="00677E23">
        <w:t>s.</w:t>
      </w:r>
    </w:p>
    <w:p w14:paraId="61D76460" w14:textId="77777777" w:rsidR="00A63800" w:rsidRPr="00457736" w:rsidRDefault="00BE2FA4" w:rsidP="00A63800">
      <w:r w:rsidRPr="00457736">
        <w:t xml:space="preserve">Most of the </w:t>
      </w:r>
      <w:r w:rsidR="00B3713F" w:rsidRPr="00457736">
        <w:t>Growth Centre</w:t>
      </w:r>
      <w:r w:rsidRPr="00457736">
        <w:t xml:space="preserve">s are still developing an appropriate conceptual approach and evidence base to measure impact at a sector level. </w:t>
      </w:r>
      <w:r w:rsidR="00A63800" w:rsidRPr="00457736">
        <w:t xml:space="preserve">All Growth Centres have developed a range of case studies showcasing emerging or expected outcomes at individual project or business levels. </w:t>
      </w:r>
    </w:p>
    <w:p w14:paraId="1F329FC7" w14:textId="77777777" w:rsidR="00A63800" w:rsidRPr="00457736" w:rsidRDefault="006A37EB" w:rsidP="000F3554">
      <w:r w:rsidRPr="00457736">
        <w:t xml:space="preserve">One challenge </w:t>
      </w:r>
      <w:r w:rsidR="00A63800" w:rsidRPr="00457736">
        <w:t xml:space="preserve">in evaluating the </w:t>
      </w:r>
      <w:r w:rsidR="006D14E9" w:rsidRPr="00457736">
        <w:t>longer-term</w:t>
      </w:r>
      <w:r w:rsidR="00A63800" w:rsidRPr="00457736">
        <w:t xml:space="preserve"> impact of each Growth Centre </w:t>
      </w:r>
      <w:r w:rsidRPr="00457736">
        <w:t xml:space="preserve">will be separating out the impact of the projects funded, relative to the coordination and promotion role of the </w:t>
      </w:r>
      <w:r w:rsidR="00B3713F" w:rsidRPr="00457736">
        <w:t>Growth Centre</w:t>
      </w:r>
      <w:r w:rsidRPr="00457736">
        <w:t xml:space="preserve">. </w:t>
      </w:r>
    </w:p>
    <w:p w14:paraId="74285428" w14:textId="77777777" w:rsidR="00A63800" w:rsidRPr="00457736" w:rsidRDefault="00A63800" w:rsidP="00A63800">
      <w:r w:rsidRPr="00457736">
        <w:t xml:space="preserve">Impact at an initiative-wide level will likely be even harder to measure, given the variance in how Growth Centres engage with their sectors, the outcomes they are seeking to achieve (which differ substantially in scope and timeframes) and the inconsistent and incomplete output and outcomes data that they currently collect. </w:t>
      </w:r>
    </w:p>
    <w:p w14:paraId="4A316B95" w14:textId="0733D58E" w:rsidR="00DA3CEF" w:rsidRPr="00457736" w:rsidRDefault="00FD424A" w:rsidP="00DA3CEF">
      <w:r w:rsidRPr="00457736">
        <w:t>Given the very different stages of matu</w:t>
      </w:r>
      <w:r w:rsidR="003F1E06" w:rsidRPr="00457736">
        <w:t>rity and industry structure, the</w:t>
      </w:r>
      <w:r w:rsidRPr="00457736">
        <w:t xml:space="preserve"> performance assessment highlighted the need to revisit expectations in regard to what success will look like for each </w:t>
      </w:r>
      <w:r w:rsidR="00B3713F" w:rsidRPr="00457736">
        <w:t>Growth Centre</w:t>
      </w:r>
      <w:r w:rsidRPr="00457736">
        <w:t xml:space="preserve">. This is because the nature of the market </w:t>
      </w:r>
      <w:r w:rsidR="00DA3CEF" w:rsidRPr="00457736">
        <w:t xml:space="preserve">opportunities </w:t>
      </w:r>
      <w:r w:rsidRPr="00457736">
        <w:t xml:space="preserve">varies across the </w:t>
      </w:r>
      <w:r w:rsidR="00B3713F" w:rsidRPr="00457736">
        <w:t>Growth Centre</w:t>
      </w:r>
      <w:r w:rsidRPr="00457736">
        <w:t xml:space="preserve">s. </w:t>
      </w:r>
      <w:r w:rsidR="00DA3CEF" w:rsidRPr="00457736">
        <w:t>S</w:t>
      </w:r>
      <w:r w:rsidR="00C3636F" w:rsidRPr="00457736">
        <w:t xml:space="preserve">ome </w:t>
      </w:r>
      <w:r w:rsidR="00DA3CEF" w:rsidRPr="00457736">
        <w:t xml:space="preserve">Growth Centres operate </w:t>
      </w:r>
      <w:r w:rsidR="00677E23">
        <w:t>in highly-</w:t>
      </w:r>
      <w:r w:rsidR="00C3636F" w:rsidRPr="00457736">
        <w:t>managed markets (</w:t>
      </w:r>
      <w:r w:rsidR="00DA3CEF" w:rsidRPr="00457736">
        <w:t xml:space="preserve">e.g. </w:t>
      </w:r>
      <w:proofErr w:type="spellStart"/>
      <w:r w:rsidR="00C3636F" w:rsidRPr="00457736">
        <w:t>MTPConnect</w:t>
      </w:r>
      <w:proofErr w:type="spellEnd"/>
      <w:r w:rsidR="00C3636F" w:rsidRPr="00457736">
        <w:t>), others in very new markets (</w:t>
      </w:r>
      <w:r w:rsidR="000301A0" w:rsidRPr="00457736">
        <w:t>e</w:t>
      </w:r>
      <w:r w:rsidR="00DA3CEF" w:rsidRPr="00457736">
        <w:t xml:space="preserve">.g. </w:t>
      </w:r>
      <w:proofErr w:type="spellStart"/>
      <w:r w:rsidR="00DA3CEF" w:rsidRPr="00457736">
        <w:t>Aust</w:t>
      </w:r>
      <w:r w:rsidR="00C3636F" w:rsidRPr="00457736">
        <w:t>Cyber</w:t>
      </w:r>
      <w:proofErr w:type="spellEnd"/>
      <w:r w:rsidR="00C3636F" w:rsidRPr="00457736">
        <w:t xml:space="preserve">), and others </w:t>
      </w:r>
      <w:r w:rsidR="00DA3CEF" w:rsidRPr="00457736">
        <w:t>are focused</w:t>
      </w:r>
      <w:r w:rsidR="00C3636F" w:rsidRPr="00457736">
        <w:t xml:space="preserve"> </w:t>
      </w:r>
      <w:r w:rsidR="00DA3CEF" w:rsidRPr="00457736">
        <w:t xml:space="preserve">on </w:t>
      </w:r>
      <w:r w:rsidR="00C3636F" w:rsidRPr="00457736">
        <w:t xml:space="preserve">the innovative end of large </w:t>
      </w:r>
      <w:r w:rsidR="006D14E9" w:rsidRPr="00457736">
        <w:t>well-established</w:t>
      </w:r>
      <w:r w:rsidR="00C3636F" w:rsidRPr="00457736">
        <w:t xml:space="preserve"> markets (</w:t>
      </w:r>
      <w:r w:rsidR="00DA3CEF" w:rsidRPr="00457736">
        <w:t xml:space="preserve">e.g. METS Ignited and </w:t>
      </w:r>
      <w:r w:rsidR="00C3636F" w:rsidRPr="00457736">
        <w:t>AM</w:t>
      </w:r>
      <w:r w:rsidR="00DA3CEF" w:rsidRPr="00457736">
        <w:t>G</w:t>
      </w:r>
      <w:r w:rsidR="00C3636F" w:rsidRPr="00457736">
        <w:t xml:space="preserve">C). </w:t>
      </w:r>
    </w:p>
    <w:p w14:paraId="64F90014" w14:textId="77777777" w:rsidR="00113272" w:rsidRPr="00457736" w:rsidRDefault="00C3636F" w:rsidP="00DA3CEF">
      <w:r w:rsidRPr="00457736">
        <w:t>The ‘market failure’ stems from factors such as lack of scale, including in accessing overseas markets, regulatory barriers, and a need for cooperation be</w:t>
      </w:r>
      <w:r w:rsidR="002E48EA">
        <w:t>tween firms to resolve industry-</w:t>
      </w:r>
      <w:r w:rsidRPr="00457736">
        <w:t>wide barriers, such as agreement on standards. There has also been a general failure of business to engage effect</w:t>
      </w:r>
      <w:r w:rsidR="002E48EA">
        <w:t>ively with the research sector.</w:t>
      </w:r>
    </w:p>
    <w:p w14:paraId="3F84EE03" w14:textId="77777777" w:rsidR="00C3636F" w:rsidRPr="00457736" w:rsidRDefault="00C3636F" w:rsidP="00DA3CEF">
      <w:r w:rsidRPr="00457736">
        <w:t xml:space="preserve">The Growth Centres are </w:t>
      </w:r>
      <w:r w:rsidR="00D33EFD" w:rsidRPr="00457736">
        <w:t xml:space="preserve">intended </w:t>
      </w:r>
      <w:r w:rsidRPr="00457736">
        <w:t xml:space="preserve">to operate in the space where industry organisations have yet to </w:t>
      </w:r>
      <w:r w:rsidR="006D14E9" w:rsidRPr="00457736">
        <w:t>develop or</w:t>
      </w:r>
      <w:r w:rsidRPr="00457736">
        <w:t xml:space="preserve"> pay attention to firms seeking to disrupt the industry. They are designed to be closer to the research sector to facilitate engagement between these organisations and business. Hence success should see higher rates of commercialisation of research, it should see a greater two-way flow of staff between research and business organisations, and it should see a rise in business expenditure on R&amp;D. These changes should translate into sector growth and profitability.</w:t>
      </w:r>
    </w:p>
    <w:p w14:paraId="69ABAE65" w14:textId="77777777" w:rsidR="00A63800" w:rsidRPr="00457736" w:rsidRDefault="00FD424A" w:rsidP="000F3554">
      <w:r w:rsidRPr="00457736">
        <w:t xml:space="preserve">A differentiated approach may be required to ensure that the </w:t>
      </w:r>
      <w:r w:rsidR="00E83640" w:rsidRPr="00457736">
        <w:t xml:space="preserve">Initiative </w:t>
      </w:r>
      <w:r w:rsidRPr="00457736">
        <w:t xml:space="preserve">promotes rather than hinders market driven responses to </w:t>
      </w:r>
      <w:r w:rsidR="00DA3CEF" w:rsidRPr="00457736">
        <w:t xml:space="preserve">exploit opportunities and </w:t>
      </w:r>
      <w:r w:rsidRPr="00457736">
        <w:t>overcom</w:t>
      </w:r>
      <w:r w:rsidR="00DA3CEF" w:rsidRPr="00457736">
        <w:t>e</w:t>
      </w:r>
      <w:r w:rsidRPr="00457736">
        <w:t xml:space="preserve"> barriers to innovation and expansion. </w:t>
      </w:r>
    </w:p>
    <w:p w14:paraId="7A4E5991" w14:textId="77777777" w:rsidR="005F6333" w:rsidRPr="00457736" w:rsidRDefault="005F6333" w:rsidP="000F3554"/>
    <w:p w14:paraId="2ACEF9B3" w14:textId="77777777" w:rsidR="00874B1C" w:rsidRPr="00457736" w:rsidRDefault="00874B1C" w:rsidP="000F3554">
      <w:pPr>
        <w:sectPr w:rsidR="00874B1C" w:rsidRPr="00457736" w:rsidSect="003D12B0">
          <w:pgSz w:w="11907" w:h="16839" w:code="9"/>
          <w:pgMar w:top="1304" w:right="1304" w:bottom="1304" w:left="1304" w:header="720" w:footer="720" w:gutter="0"/>
          <w:cols w:num="2" w:space="720"/>
          <w:docGrid w:linePitch="360"/>
        </w:sectPr>
      </w:pPr>
    </w:p>
    <w:p w14:paraId="614E22C4" w14:textId="77777777" w:rsidR="00F37B6A" w:rsidRPr="00457736" w:rsidRDefault="00F03B2F" w:rsidP="00F03B2F">
      <w:pPr>
        <w:pStyle w:val="Heading1"/>
      </w:pPr>
      <w:bookmarkStart w:id="15" w:name="_Toc531339602"/>
      <w:bookmarkStart w:id="16" w:name="_Toc535922969"/>
      <w:bookmarkStart w:id="17" w:name="_Hlk528220086"/>
      <w:r w:rsidRPr="00457736">
        <w:lastRenderedPageBreak/>
        <w:t>Advanced Manufacturing Growth Centre (AMGC)</w:t>
      </w:r>
      <w:bookmarkEnd w:id="15"/>
      <w:bookmarkEnd w:id="16"/>
    </w:p>
    <w:p w14:paraId="0D9891C6" w14:textId="77777777" w:rsidR="0035441B" w:rsidRPr="00457736" w:rsidRDefault="0035441B" w:rsidP="0035441B">
      <w:pPr>
        <w:pStyle w:val="Caption"/>
      </w:pPr>
      <w:r w:rsidRPr="00457736">
        <w:t xml:space="preserve">Figure </w:t>
      </w:r>
      <w:r w:rsidRPr="00457736">
        <w:fldChar w:fldCharType="begin"/>
      </w:r>
      <w:r w:rsidRPr="00457736">
        <w:instrText xml:space="preserve"> SEQ Figure \* ARABIC </w:instrText>
      </w:r>
      <w:r w:rsidRPr="00457736">
        <w:fldChar w:fldCharType="separate"/>
      </w:r>
      <w:r w:rsidR="00AD2D4B">
        <w:rPr>
          <w:noProof/>
        </w:rPr>
        <w:t>5</w:t>
      </w:r>
      <w:r w:rsidRPr="00457736">
        <w:fldChar w:fldCharType="end"/>
      </w:r>
      <w:r w:rsidRPr="00457736">
        <w:t xml:space="preserve"> | Key findings </w:t>
      </w:r>
    </w:p>
    <w:p w14:paraId="4EC73226" w14:textId="77777777" w:rsidR="00A57197" w:rsidRPr="00457736" w:rsidRDefault="00A57197" w:rsidP="00482CDD">
      <w:pPr>
        <w:pStyle w:val="TableNBullet"/>
        <w:pBdr>
          <w:top w:val="single" w:sz="4" w:space="1" w:color="auto"/>
        </w:pBdr>
      </w:pPr>
      <w:r w:rsidRPr="00457736">
        <w:rPr>
          <w:rFonts w:eastAsia="Segoe UI"/>
        </w:rPr>
        <w:t>AMGC is mostly on track to meet its business plan objectives and funding agreement requirements.</w:t>
      </w:r>
    </w:p>
    <w:p w14:paraId="4ADBCE4B" w14:textId="77777777" w:rsidR="00A57197" w:rsidRPr="00457736" w:rsidRDefault="00A57197" w:rsidP="005F1BEC">
      <w:pPr>
        <w:pStyle w:val="TableNBullet"/>
        <w:rPr>
          <w:color w:val="00264D" w:themeColor="background2"/>
        </w:rPr>
      </w:pPr>
      <w:r w:rsidRPr="00457736">
        <w:rPr>
          <w:rFonts w:eastAsia="Segoe UI"/>
        </w:rPr>
        <w:t>AMGC has primarily focused on collaboration and commercialisation activities.</w:t>
      </w:r>
    </w:p>
    <w:p w14:paraId="6D860210" w14:textId="77777777" w:rsidR="00A57197" w:rsidRPr="00457736" w:rsidRDefault="00A57197" w:rsidP="005F1BEC">
      <w:pPr>
        <w:pStyle w:val="TableNBullet"/>
      </w:pPr>
      <w:r w:rsidRPr="00457736">
        <w:t xml:space="preserve">AMGC has a range of activities in place to support collaboration. Most of these are in the early stages and therefore expected benefits are yet to be realised. </w:t>
      </w:r>
    </w:p>
    <w:p w14:paraId="490A1274" w14:textId="77777777" w:rsidR="00A57197" w:rsidRPr="00457736" w:rsidRDefault="00A57197" w:rsidP="00672153">
      <w:pPr>
        <w:pStyle w:val="TableNBullet"/>
      </w:pPr>
      <w:r w:rsidRPr="00457736">
        <w:rPr>
          <w:rFonts w:eastAsia="Segoe UI"/>
        </w:rPr>
        <w:t xml:space="preserve">AMGC project funding was slow to get started, with no projects in the first two financial years. More recently AMGC has built momentum and now reports having signed a total of 22 projects. </w:t>
      </w:r>
    </w:p>
    <w:p w14:paraId="2272C2AF" w14:textId="77777777" w:rsidR="00A57197" w:rsidRPr="00457736" w:rsidRDefault="00A57197" w:rsidP="003D12B0">
      <w:pPr>
        <w:pStyle w:val="TableNBullet"/>
      </w:pPr>
      <w:r w:rsidRPr="00457736">
        <w:t xml:space="preserve">AMGC’s Sector Competitiveness Plan has contributed thought leadership on the characteristics of competitive manufacturing businesses and the opportunities to improve performance through advanced knowledge, processes, and business models. </w:t>
      </w:r>
    </w:p>
    <w:p w14:paraId="27A3858C" w14:textId="77777777" w:rsidR="00A57197" w:rsidRPr="00457736" w:rsidRDefault="00A57197" w:rsidP="003D12B0">
      <w:pPr>
        <w:pStyle w:val="TableNBullet"/>
      </w:pPr>
      <w:r w:rsidRPr="00457736">
        <w:t>Survey respondents report that sector awareness levels of AMGC are strong.</w:t>
      </w:r>
    </w:p>
    <w:p w14:paraId="47471AC2" w14:textId="77777777" w:rsidR="00A57197" w:rsidRPr="00457736" w:rsidRDefault="00A57197" w:rsidP="00052074">
      <w:pPr>
        <w:pStyle w:val="TableNBullet"/>
      </w:pPr>
      <w:r w:rsidRPr="00457736">
        <w:t xml:space="preserve">Almost all of the AMGC members that responded to the survey are satisfied or very satisfied with their engagement with AMGC. </w:t>
      </w:r>
    </w:p>
    <w:p w14:paraId="0DDA6896" w14:textId="5AD7FEED" w:rsidR="00A57197" w:rsidRPr="003E0ECE" w:rsidRDefault="00A57197" w:rsidP="00482CDD">
      <w:pPr>
        <w:pStyle w:val="TableNBullet"/>
        <w:pBdr>
          <w:bottom w:val="single" w:sz="4" w:space="7" w:color="auto"/>
        </w:pBdr>
      </w:pPr>
      <w:r w:rsidRPr="00457736">
        <w:rPr>
          <w:rFonts w:eastAsiaTheme="minorEastAsia"/>
        </w:rPr>
        <w:t>Whether AMGC’s initiatives will deliver sector-wide impact and/or additionality remains unclear at present.</w:t>
      </w:r>
    </w:p>
    <w:p w14:paraId="22275AED" w14:textId="77777777" w:rsidR="003E0ECE" w:rsidRPr="00457736" w:rsidRDefault="003E0ECE" w:rsidP="003E0ECE">
      <w:pPr>
        <w:pStyle w:val="TableNBullet"/>
        <w:numPr>
          <w:ilvl w:val="0"/>
          <w:numId w:val="0"/>
        </w:numPr>
        <w:ind w:left="227"/>
      </w:pPr>
    </w:p>
    <w:p w14:paraId="43308C22" w14:textId="77777777" w:rsidR="004C4A43" w:rsidRPr="00457736" w:rsidRDefault="004C4A43" w:rsidP="0011577F">
      <w:pPr>
        <w:pStyle w:val="Heading5"/>
        <w:numPr>
          <w:ilvl w:val="4"/>
          <w:numId w:val="1"/>
        </w:numPr>
        <w:sectPr w:rsidR="004C4A43" w:rsidRPr="00457736" w:rsidSect="003D12B0">
          <w:type w:val="continuous"/>
          <w:pgSz w:w="11907" w:h="16839" w:code="9"/>
          <w:pgMar w:top="1304" w:right="1304" w:bottom="1304" w:left="1304" w:header="720" w:footer="720" w:gutter="0"/>
          <w:cols w:space="720"/>
          <w:docGrid w:linePitch="360"/>
        </w:sectPr>
      </w:pPr>
    </w:p>
    <w:p w14:paraId="387CDEC0" w14:textId="77777777" w:rsidR="00423376" w:rsidRPr="00CB70B0" w:rsidRDefault="00423376" w:rsidP="00482CDD">
      <w:pPr>
        <w:pStyle w:val="Heading2"/>
        <w:spacing w:before="300" w:after="120" w:line="240" w:lineRule="exact"/>
        <w:rPr>
          <w:szCs w:val="20"/>
        </w:rPr>
      </w:pPr>
      <w:r w:rsidRPr="00482CDD">
        <w:rPr>
          <w:b/>
          <w:color w:val="000000" w:themeColor="text1"/>
          <w:sz w:val="20"/>
          <w:szCs w:val="20"/>
        </w:rPr>
        <w:t xml:space="preserve">Operating environment </w:t>
      </w:r>
      <w:bookmarkEnd w:id="17"/>
    </w:p>
    <w:p w14:paraId="297A42E5" w14:textId="77777777" w:rsidR="00255D85" w:rsidRPr="00457736" w:rsidRDefault="00423376" w:rsidP="00672153">
      <w:r w:rsidRPr="00457736">
        <w:t xml:space="preserve">Manufacturing in Australia is undergoing a significant transformation. Value creation in the sector occurs along the value chain with </w:t>
      </w:r>
      <w:r w:rsidR="008F0AEB" w:rsidRPr="00457736">
        <w:t xml:space="preserve">the </w:t>
      </w:r>
      <w:r w:rsidRPr="00457736">
        <w:t>highest value activities such as: the development of new concepts; R&amp;D; production of key components; and in the downstream activities of marketing, branding, and customer service.</w:t>
      </w:r>
      <w:r w:rsidR="00B3001F" w:rsidRPr="00457736">
        <w:t xml:space="preserve"> </w:t>
      </w:r>
    </w:p>
    <w:p w14:paraId="5265082F" w14:textId="77777777" w:rsidR="00E51903" w:rsidRPr="00457736" w:rsidRDefault="00423376" w:rsidP="00672153">
      <w:r w:rsidRPr="00457736">
        <w:t>AMGC contends that many businesses, regardless of the goods they produce, use highly skilled workers, advanced processes and unique business models. Hence, being ‘advanced’ is defined not just by what is made but how it is made. AMGC includes the pre and post production activity related to manufacturing in its definition of the sector.</w:t>
      </w:r>
    </w:p>
    <w:p w14:paraId="08F7C75F" w14:textId="77777777" w:rsidR="00B90369" w:rsidRPr="00457736" w:rsidRDefault="00B90369" w:rsidP="00B90369">
      <w:pPr>
        <w:pStyle w:val="Caption"/>
      </w:pPr>
      <w:r w:rsidRPr="00457736">
        <w:t xml:space="preserve">Figure </w:t>
      </w:r>
      <w:r w:rsidRPr="00457736">
        <w:fldChar w:fldCharType="begin"/>
      </w:r>
      <w:r w:rsidRPr="00457736">
        <w:instrText xml:space="preserve"> SEQ Figure \* ARABIC </w:instrText>
      </w:r>
      <w:r w:rsidRPr="00457736">
        <w:fldChar w:fldCharType="separate"/>
      </w:r>
      <w:r w:rsidR="00AD2D4B">
        <w:rPr>
          <w:noProof/>
        </w:rPr>
        <w:t>6</w:t>
      </w:r>
      <w:r w:rsidRPr="00457736">
        <w:fldChar w:fldCharType="end"/>
      </w:r>
      <w:r w:rsidRPr="00457736">
        <w:t xml:space="preserve"> | Overview of AMGC stakeholder survey </w:t>
      </w:r>
    </w:p>
    <w:tbl>
      <w:tblPr>
        <w:tblStyle w:val="NousTableSide"/>
        <w:tblW w:w="5000" w:type="pct"/>
        <w:tblLook w:val="06A0" w:firstRow="1" w:lastRow="0" w:firstColumn="1" w:lastColumn="0" w:noHBand="1" w:noVBand="1"/>
        <w:tblCaption w:val="The table lists data regarding stakeholder survey invites and response rates for AMGC. "/>
        <w:tblDescription w:val="Table headings are listed in rows on the right with the respective data presented in the adjacent column."/>
      </w:tblPr>
      <w:tblGrid>
        <w:gridCol w:w="1902"/>
        <w:gridCol w:w="2364"/>
      </w:tblGrid>
      <w:tr w:rsidR="00B90369" w:rsidRPr="00457736" w14:paraId="03E9DD2B"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2229" w:type="pct"/>
            <w:hideMark/>
          </w:tcPr>
          <w:p w14:paraId="24A84840" w14:textId="77777777" w:rsidR="00B90369" w:rsidRPr="00457736" w:rsidRDefault="00B90369" w:rsidP="00426DC6">
            <w:pPr>
              <w:pStyle w:val="Tableexpheader"/>
            </w:pPr>
            <w:r w:rsidRPr="00457736">
              <w:t>Survey responses:</w:t>
            </w:r>
          </w:p>
        </w:tc>
        <w:tc>
          <w:tcPr>
            <w:tcW w:w="2771" w:type="pct"/>
            <w:hideMark/>
          </w:tcPr>
          <w:p w14:paraId="66E896B0" w14:textId="77777777" w:rsidR="00B90369" w:rsidRPr="00457736" w:rsidRDefault="00B90369" w:rsidP="00426DC6">
            <w:pPr>
              <w:pStyle w:val="TableExpText"/>
              <w:cnfStyle w:val="000000000000" w:firstRow="0" w:lastRow="0" w:firstColumn="0" w:lastColumn="0" w:oddVBand="0" w:evenVBand="0" w:oddHBand="0" w:evenHBand="0" w:firstRowFirstColumn="0" w:firstRowLastColumn="0" w:lastRowFirstColumn="0" w:lastRowLastColumn="0"/>
            </w:pPr>
            <w:r w:rsidRPr="00457736">
              <w:t>111</w:t>
            </w:r>
          </w:p>
        </w:tc>
      </w:tr>
      <w:tr w:rsidR="00B90369" w:rsidRPr="00457736" w14:paraId="3C169FAB"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2229" w:type="pct"/>
            <w:hideMark/>
          </w:tcPr>
          <w:p w14:paraId="3DD67E6F" w14:textId="77777777" w:rsidR="00B90369" w:rsidRPr="00457736" w:rsidRDefault="00B90369" w:rsidP="00426DC6">
            <w:pPr>
              <w:pStyle w:val="Tableexpheader"/>
            </w:pPr>
            <w:r w:rsidRPr="00457736">
              <w:t>Stakeholders invited to respond:</w:t>
            </w:r>
          </w:p>
        </w:tc>
        <w:tc>
          <w:tcPr>
            <w:tcW w:w="2771" w:type="pct"/>
            <w:vAlign w:val="center"/>
            <w:hideMark/>
          </w:tcPr>
          <w:p w14:paraId="68BD2A8F" w14:textId="77777777" w:rsidR="00B90369" w:rsidRPr="00457736" w:rsidRDefault="00B90369" w:rsidP="00426DC6">
            <w:pPr>
              <w:pStyle w:val="TableExpText"/>
              <w:cnfStyle w:val="000000000000" w:firstRow="0" w:lastRow="0" w:firstColumn="0" w:lastColumn="0" w:oddVBand="0" w:evenVBand="0" w:oddHBand="0" w:evenHBand="0" w:firstRowFirstColumn="0" w:firstRowLastColumn="0" w:lastRowFirstColumn="0" w:lastRowLastColumn="0"/>
            </w:pPr>
            <w:r w:rsidRPr="00457736">
              <w:t xml:space="preserve">193 </w:t>
            </w:r>
            <w:r w:rsidR="009449CB" w:rsidRPr="00457736">
              <w:t xml:space="preserve">selected </w:t>
            </w:r>
            <w:r w:rsidRPr="00457736">
              <w:t>AMGC members</w:t>
            </w:r>
          </w:p>
        </w:tc>
      </w:tr>
      <w:tr w:rsidR="00B90369" w:rsidRPr="00457736" w14:paraId="6ACD37C0"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2229" w:type="pct"/>
            <w:hideMark/>
          </w:tcPr>
          <w:p w14:paraId="4AF8364B" w14:textId="77777777" w:rsidR="00B90369" w:rsidRPr="00457736" w:rsidRDefault="00B90369" w:rsidP="00426DC6">
            <w:pPr>
              <w:pStyle w:val="Tableexpheader"/>
            </w:pPr>
            <w:r w:rsidRPr="00457736">
              <w:t>Response rate:</w:t>
            </w:r>
          </w:p>
        </w:tc>
        <w:tc>
          <w:tcPr>
            <w:tcW w:w="2771" w:type="pct"/>
            <w:vAlign w:val="center"/>
            <w:hideMark/>
          </w:tcPr>
          <w:p w14:paraId="2F47A68D" w14:textId="77777777" w:rsidR="00B90369" w:rsidRPr="00457736" w:rsidRDefault="00B90369" w:rsidP="00426DC6">
            <w:pPr>
              <w:pStyle w:val="TableExpText"/>
              <w:cnfStyle w:val="000000000000" w:firstRow="0" w:lastRow="0" w:firstColumn="0" w:lastColumn="0" w:oddVBand="0" w:evenVBand="0" w:oddHBand="0" w:evenHBand="0" w:firstRowFirstColumn="0" w:firstRowLastColumn="0" w:lastRowFirstColumn="0" w:lastRowLastColumn="0"/>
            </w:pPr>
            <w:r w:rsidRPr="00457736">
              <w:t>57</w:t>
            </w:r>
            <w:r w:rsidR="00210D33" w:rsidRPr="00457736">
              <w:t xml:space="preserve"> </w:t>
            </w:r>
            <w:r w:rsidR="00D12938" w:rsidRPr="00457736">
              <w:t>per cent</w:t>
            </w:r>
          </w:p>
        </w:tc>
      </w:tr>
      <w:tr w:rsidR="00B90369" w:rsidRPr="00457736" w14:paraId="4B9AA9F2"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2229" w:type="pct"/>
            <w:hideMark/>
          </w:tcPr>
          <w:p w14:paraId="5DE0BA5B" w14:textId="77777777" w:rsidR="00B90369" w:rsidRPr="00457736" w:rsidRDefault="00B90369" w:rsidP="00426DC6">
            <w:pPr>
              <w:pStyle w:val="Tableexpheader"/>
            </w:pPr>
            <w:r w:rsidRPr="00457736">
              <w:t>Distribution rationale:</w:t>
            </w:r>
          </w:p>
        </w:tc>
        <w:tc>
          <w:tcPr>
            <w:tcW w:w="2771" w:type="pct"/>
            <w:vAlign w:val="center"/>
            <w:hideMark/>
          </w:tcPr>
          <w:p w14:paraId="115A2DC5" w14:textId="77777777" w:rsidR="00B90369" w:rsidRPr="00457736" w:rsidRDefault="00B90369" w:rsidP="00426DC6">
            <w:pPr>
              <w:pStyle w:val="TableExpText"/>
              <w:cnfStyle w:val="000000000000" w:firstRow="0" w:lastRow="0" w:firstColumn="0" w:lastColumn="0" w:oddVBand="0" w:evenVBand="0" w:oddHBand="0" w:evenHBand="0" w:firstRowFirstColumn="0" w:firstRowLastColumn="0" w:lastRowFirstColumn="0" w:lastRowLastColumn="0"/>
              <w:rPr>
                <w:highlight w:val="green"/>
              </w:rPr>
            </w:pPr>
            <w:r w:rsidRPr="00457736">
              <w:t xml:space="preserve">Distributed to members </w:t>
            </w:r>
            <w:r w:rsidR="00A63800" w:rsidRPr="00457736">
              <w:t xml:space="preserve">that </w:t>
            </w:r>
            <w:r w:rsidRPr="00457736">
              <w:t>AMGC has high levels of engagement with</w:t>
            </w:r>
          </w:p>
        </w:tc>
      </w:tr>
    </w:tbl>
    <w:p w14:paraId="0776786B" w14:textId="77777777" w:rsidR="004C68FC" w:rsidRPr="00457736" w:rsidRDefault="00052074" w:rsidP="004C68FC">
      <w:r w:rsidRPr="00457736">
        <w:br w:type="column"/>
      </w:r>
      <w:r w:rsidR="004C68FC" w:rsidRPr="00457736">
        <w:t xml:space="preserve">AMGC identified a number of challenges associated with increasing the competitiveness of Australia’s advanced manufacturing sector. These include; reducing manufacturing production costs; improving management and leadership capabilities; increasing collaboration between businesses to overcome the challenges of scale; increasing the value differentiation of Australia’s manufactured products and associated services; re-aligning export strategies towards higher potential markets; and increasing connections with global value chains. </w:t>
      </w:r>
    </w:p>
    <w:p w14:paraId="66F649A1" w14:textId="77777777" w:rsidR="00835FD5" w:rsidRPr="00457736" w:rsidRDefault="00052074" w:rsidP="00835FD5">
      <w:r w:rsidRPr="00457736">
        <w:t xml:space="preserve">AMGC operates in </w:t>
      </w:r>
      <w:r w:rsidR="002E48EA">
        <w:t xml:space="preserve">a </w:t>
      </w:r>
      <w:r w:rsidRPr="00457736">
        <w:t xml:space="preserve">relatively crowded eco-system. </w:t>
      </w:r>
      <w:r w:rsidR="00835FD5" w:rsidRPr="00457736">
        <w:t>Manufacturing is primarily represented by the Australian Industry Group (Ai Group)</w:t>
      </w:r>
      <w:r w:rsidRPr="00457736">
        <w:t xml:space="preserve"> – whom AMGC collaborates with on a number of initiatives</w:t>
      </w:r>
      <w:r w:rsidR="00835FD5" w:rsidRPr="00457736">
        <w:t xml:space="preserve">. Other peaks </w:t>
      </w:r>
      <w:r w:rsidRPr="00457736">
        <w:t xml:space="preserve">operating in the sector </w:t>
      </w:r>
      <w:r w:rsidR="00835FD5" w:rsidRPr="00457736">
        <w:t>include Manufacturing Australia</w:t>
      </w:r>
      <w:r w:rsidR="00F0140E" w:rsidRPr="00457736">
        <w:t>,</w:t>
      </w:r>
      <w:r w:rsidR="00835FD5" w:rsidRPr="00457736">
        <w:t xml:space="preserve"> </w:t>
      </w:r>
      <w:r w:rsidR="00F0140E" w:rsidRPr="00457736">
        <w:t>and</w:t>
      </w:r>
      <w:r w:rsidR="00835FD5" w:rsidRPr="00457736">
        <w:t xml:space="preserve"> the Association for Manufacturing Excellence</w:t>
      </w:r>
      <w:r w:rsidRPr="00457736">
        <w:t xml:space="preserve">. There are also </w:t>
      </w:r>
      <w:r w:rsidR="00835FD5" w:rsidRPr="00457736">
        <w:t xml:space="preserve">many specialised associations </w:t>
      </w:r>
      <w:r w:rsidRPr="00457736">
        <w:t xml:space="preserve">operating </w:t>
      </w:r>
      <w:r w:rsidR="00255D85" w:rsidRPr="00457736">
        <w:t xml:space="preserve">across </w:t>
      </w:r>
      <w:r w:rsidRPr="00457736">
        <w:t>the sector</w:t>
      </w:r>
      <w:r w:rsidR="00CE793C" w:rsidRPr="00457736">
        <w:t xml:space="preserve"> that are affiliated with specific industries.</w:t>
      </w:r>
    </w:p>
    <w:p w14:paraId="11739E80" w14:textId="77777777" w:rsidR="00423376" w:rsidRPr="00CB70B0" w:rsidRDefault="00423376" w:rsidP="00482CDD">
      <w:pPr>
        <w:pStyle w:val="Heading2"/>
        <w:spacing w:before="300" w:after="120" w:line="240" w:lineRule="exact"/>
        <w:rPr>
          <w:szCs w:val="20"/>
        </w:rPr>
      </w:pPr>
      <w:r w:rsidRPr="00482CDD">
        <w:rPr>
          <w:b/>
          <w:color w:val="000000" w:themeColor="text1"/>
          <w:sz w:val="20"/>
          <w:szCs w:val="20"/>
        </w:rPr>
        <w:t xml:space="preserve">Sector engagement </w:t>
      </w:r>
    </w:p>
    <w:p w14:paraId="1B945564" w14:textId="77777777" w:rsidR="00423376" w:rsidRPr="00457736" w:rsidRDefault="00423376" w:rsidP="004B5EFB">
      <w:r w:rsidRPr="00457736">
        <w:t xml:space="preserve">AMGC’s member organisations engage with it on a regular basis. </w:t>
      </w:r>
      <w:r w:rsidR="005E2A3D" w:rsidRPr="00457736">
        <w:t xml:space="preserve">Thirty-seven </w:t>
      </w:r>
      <w:r w:rsidR="00E83640" w:rsidRPr="00457736">
        <w:t>per cent</w:t>
      </w:r>
      <w:r w:rsidRPr="00457736">
        <w:t xml:space="preserve"> of the members that responded to the online survey interact with AMGC on a monthly basis. </w:t>
      </w:r>
    </w:p>
    <w:p w14:paraId="249C9C58" w14:textId="77777777" w:rsidR="00423376" w:rsidRPr="00457736" w:rsidRDefault="00423376" w:rsidP="004B5EFB">
      <w:r w:rsidRPr="00457736">
        <w:t>Building a strong membership base has been a key focus for AMGC. It reports having 303 members at the end of FY 2017/18</w:t>
      </w:r>
      <w:r w:rsidR="00611497" w:rsidRPr="00457736">
        <w:t xml:space="preserve">. </w:t>
      </w:r>
      <w:r w:rsidR="009B6943" w:rsidRPr="00457736">
        <w:rPr>
          <w:lang w:eastAsia="en-AU"/>
        </w:rPr>
        <w:t>The majority of AMGC’s members (around ninety per cent) are businesses.</w:t>
      </w:r>
    </w:p>
    <w:p w14:paraId="2726AC98" w14:textId="77777777" w:rsidR="00423376" w:rsidRPr="00457736" w:rsidRDefault="00423376" w:rsidP="004B5EFB">
      <w:r w:rsidRPr="00457736">
        <w:t xml:space="preserve">The survey results indicate that AMGC is primarily engaging with well established businesses that are </w:t>
      </w:r>
      <w:r w:rsidRPr="00457736">
        <w:lastRenderedPageBreak/>
        <w:t xml:space="preserve">more innovation active and export focused relative to industry averages. </w:t>
      </w:r>
    </w:p>
    <w:p w14:paraId="11B807C8" w14:textId="77777777" w:rsidR="00E7132C" w:rsidRPr="00457736" w:rsidRDefault="00E7132C" w:rsidP="009B6943">
      <w:r w:rsidRPr="00457736">
        <w:t>Survey respondents report that sector awareness levels of AMGC are strong –noting that AMGC did not distr</w:t>
      </w:r>
      <w:r w:rsidR="00EC254F" w:rsidRPr="00457736">
        <w:t>ibute the survey to non-member organisations</w:t>
      </w:r>
      <w:r w:rsidRPr="00457736">
        <w:t>.</w:t>
      </w:r>
    </w:p>
    <w:p w14:paraId="5C0F3ED9" w14:textId="77777777" w:rsidR="009A6925" w:rsidRPr="00457736" w:rsidRDefault="009A6925" w:rsidP="009A6925">
      <w:r w:rsidRPr="00457736">
        <w:t>Almost all of the AMGC members that responded to the survey (ninety-four per cent) are satisfied or very satisfied with their engagement with AMGC – although we note the potential for positive response bias in who responds.</w:t>
      </w:r>
      <w:r w:rsidR="002E48EA">
        <w:t xml:space="preserve"> </w:t>
      </w:r>
    </w:p>
    <w:p w14:paraId="4FEAF7B4" w14:textId="77777777" w:rsidR="00423376" w:rsidRPr="00CB70B0" w:rsidRDefault="00423376" w:rsidP="00482CDD">
      <w:pPr>
        <w:pStyle w:val="Heading2"/>
        <w:spacing w:before="300" w:after="120" w:line="240" w:lineRule="exact"/>
        <w:rPr>
          <w:szCs w:val="20"/>
        </w:rPr>
      </w:pPr>
      <w:r w:rsidRPr="00482CDD">
        <w:rPr>
          <w:b/>
          <w:color w:val="000000" w:themeColor="text1"/>
          <w:sz w:val="20"/>
          <w:szCs w:val="20"/>
        </w:rPr>
        <w:t xml:space="preserve">Project funding </w:t>
      </w:r>
    </w:p>
    <w:p w14:paraId="042D8B50" w14:textId="77777777" w:rsidR="00423376" w:rsidRPr="00457736" w:rsidRDefault="00423376" w:rsidP="004B5EFB">
      <w:r w:rsidRPr="00457736">
        <w:t xml:space="preserve">AMGC manages a core project fund to support demonstration projects and the Advanced Manufacturing Early Stage Research Fund (AMESRF) </w:t>
      </w:r>
      <w:r w:rsidR="00611497" w:rsidRPr="00457736">
        <w:t xml:space="preserve">which </w:t>
      </w:r>
      <w:r w:rsidRPr="00457736">
        <w:t xml:space="preserve">funds smaller businesses to conduct rapid initial feasibility testing to progress an idea more quickly to larger-scale research or commercialisation. </w:t>
      </w:r>
    </w:p>
    <w:p w14:paraId="62462426" w14:textId="77777777" w:rsidR="00423376" w:rsidRPr="00457736" w:rsidRDefault="00423376" w:rsidP="004B5EFB">
      <w:r w:rsidRPr="00457736">
        <w:t>AMGC</w:t>
      </w:r>
      <w:r w:rsidR="00611497" w:rsidRPr="00457736">
        <w:t>’s</w:t>
      </w:r>
      <w:r w:rsidRPr="00457736">
        <w:t xml:space="preserve"> project funding was slow to get started, with no projects in the first two financial years. More recently AMGC has built momentum and now reports having signed a total of 22 projects with 3 AMESRF projects</w:t>
      </w:r>
      <w:r w:rsidR="00B3001F" w:rsidRPr="00457736">
        <w:t xml:space="preserve"> </w:t>
      </w:r>
      <w:r w:rsidRPr="00457736">
        <w:t xml:space="preserve">in the pipeline. </w:t>
      </w:r>
    </w:p>
    <w:p w14:paraId="37E5A677" w14:textId="77777777" w:rsidR="00423376" w:rsidRPr="00457736" w:rsidRDefault="00423376" w:rsidP="004B5EFB">
      <w:r w:rsidRPr="00457736">
        <w:t xml:space="preserve">All AMGC projects have multiple business partners and usually one research partner. </w:t>
      </w:r>
    </w:p>
    <w:p w14:paraId="002FE2D9" w14:textId="77777777" w:rsidR="00423376" w:rsidRPr="00457736" w:rsidRDefault="00423376" w:rsidP="004B5EFB">
      <w:r w:rsidRPr="00457736">
        <w:t>The most commonly anticipated outcomes from the limited number of survey respondents that also received project funding are: new or</w:t>
      </w:r>
      <w:r w:rsidRPr="00457736">
        <w:rPr>
          <w:lang w:eastAsia="en-AU"/>
        </w:rPr>
        <w:t xml:space="preserve"> </w:t>
      </w:r>
      <w:r w:rsidRPr="00457736">
        <w:t xml:space="preserve">enhanced collaboration with businesses; enhanced capabilities and capacity to drive commercial outcomes; and inspiration for new ideas. </w:t>
      </w:r>
    </w:p>
    <w:p w14:paraId="481E5A7A" w14:textId="77777777" w:rsidR="00423376" w:rsidRPr="00457736" w:rsidRDefault="00423376" w:rsidP="004B5EFB">
      <w:r w:rsidRPr="00457736">
        <w:t xml:space="preserve">While AMGC has quantified the expected benefits of its projects, most projects are currently at too early a stage to definitively assess outcomes. Three projects are nearing completion; consultation with one business indicated that the project funding was critical to </w:t>
      </w:r>
      <w:r w:rsidR="005E2A3D" w:rsidRPr="00457736">
        <w:t xml:space="preserve">its </w:t>
      </w:r>
      <w:r w:rsidRPr="00457736">
        <w:t xml:space="preserve">ability to develop </w:t>
      </w:r>
      <w:r w:rsidR="005E2A3D" w:rsidRPr="00457736">
        <w:t xml:space="preserve">its </w:t>
      </w:r>
      <w:r w:rsidRPr="00457736">
        <w:t xml:space="preserve">product which is now enabling the business to export to the US market. </w:t>
      </w:r>
    </w:p>
    <w:p w14:paraId="4F81C446" w14:textId="77777777" w:rsidR="00423376" w:rsidRPr="00CB70B0" w:rsidRDefault="00347F2B" w:rsidP="00482CDD">
      <w:pPr>
        <w:pStyle w:val="Heading2"/>
        <w:spacing w:before="300" w:after="120" w:line="240" w:lineRule="exact"/>
        <w:rPr>
          <w:szCs w:val="20"/>
        </w:rPr>
      </w:pPr>
      <w:r w:rsidRPr="00482CDD">
        <w:rPr>
          <w:b/>
          <w:color w:val="000000" w:themeColor="text1"/>
          <w:sz w:val="20"/>
          <w:szCs w:val="20"/>
        </w:rPr>
        <w:t xml:space="preserve">Objective </w:t>
      </w:r>
      <w:r w:rsidR="00E60C7B" w:rsidRPr="00482CDD">
        <w:rPr>
          <w:b/>
          <w:color w:val="000000" w:themeColor="text1"/>
          <w:sz w:val="20"/>
          <w:szCs w:val="20"/>
        </w:rPr>
        <w:t>1</w:t>
      </w:r>
      <w:r w:rsidRPr="00482CDD">
        <w:rPr>
          <w:b/>
          <w:color w:val="000000" w:themeColor="text1"/>
          <w:sz w:val="20"/>
          <w:szCs w:val="20"/>
        </w:rPr>
        <w:t>: Increasing collaboration and commercialisation</w:t>
      </w:r>
    </w:p>
    <w:p w14:paraId="4053A45F" w14:textId="77777777" w:rsidR="00423376" w:rsidRPr="00457736" w:rsidRDefault="00423376" w:rsidP="004B5EFB">
      <w:r w:rsidRPr="00457736">
        <w:t xml:space="preserve">AMGC’s strategic intent is to increase the level of collaboration between businesses and researchers and across the supply chain through more effective interaction between SMEs and Tier 1 operators. </w:t>
      </w:r>
    </w:p>
    <w:p w14:paraId="63D59C6A" w14:textId="77777777" w:rsidR="00423376" w:rsidRPr="00457736" w:rsidRDefault="00423376" w:rsidP="004B5EFB">
      <w:r w:rsidRPr="00457736">
        <w:t>AMGC’s activities include: setting the direction through communication activities and advocating for change</w:t>
      </w:r>
      <w:r w:rsidR="008F0AEB" w:rsidRPr="00457736">
        <w:t>,</w:t>
      </w:r>
      <w:r w:rsidRPr="00457736">
        <w:t xml:space="preserve"> including to change </w:t>
      </w:r>
      <w:r w:rsidR="009449CB" w:rsidRPr="00457736">
        <w:t xml:space="preserve">civil and defence </w:t>
      </w:r>
      <w:r w:rsidRPr="00457736">
        <w:t xml:space="preserve">procurement policy to drive demand for ‘advanced’ </w:t>
      </w:r>
      <w:r w:rsidRPr="00457736">
        <w:t xml:space="preserve">approaches. AMGC also funds collaboration hubs, which facilitate the sharing of resources, research outcomes, capabilities and skills between businesses; and demonstration projects. </w:t>
      </w:r>
    </w:p>
    <w:p w14:paraId="14DE686D" w14:textId="77777777" w:rsidR="0025543C" w:rsidRPr="00457736" w:rsidRDefault="0025543C" w:rsidP="0025543C">
      <w:r w:rsidRPr="00457736">
        <w:t>The survey results indicate that AMGC has played an important role as a connector and facilitator. Over seventy per cent of survey respondents indicated that AMGC has provided some or great support to: build relationships and networks with other businesses; better understand how to collaborate on challenges; connect to other government departments, researchers or academics.</w:t>
      </w:r>
    </w:p>
    <w:p w14:paraId="3358CFE0" w14:textId="77777777" w:rsidR="0025543C" w:rsidRPr="00457736" w:rsidRDefault="0025543C" w:rsidP="0025543C">
      <w:r w:rsidRPr="00457736">
        <w:t xml:space="preserve">AMGC has played a more modest role in supporting commercialisation given that funded projects are still at </w:t>
      </w:r>
      <w:r w:rsidR="00CF328D" w:rsidRPr="00457736">
        <w:t>a relatively early stage</w:t>
      </w:r>
      <w:r w:rsidR="00CF328D">
        <w:t xml:space="preserve"> of implementation</w:t>
      </w:r>
      <w:r w:rsidRPr="00457736">
        <w:t xml:space="preserve">. The most commonly cited </w:t>
      </w:r>
      <w:r w:rsidR="009F4CBC" w:rsidRPr="00457736">
        <w:t xml:space="preserve">outcome </w:t>
      </w:r>
      <w:r w:rsidRPr="00457736">
        <w:t xml:space="preserve">AMGC has provided some or great support to members </w:t>
      </w:r>
      <w:r w:rsidR="009F4CBC" w:rsidRPr="00457736">
        <w:t xml:space="preserve">to achieve is </w:t>
      </w:r>
      <w:r w:rsidR="00CF328D">
        <w:t xml:space="preserve">with </w:t>
      </w:r>
      <w:r w:rsidRPr="00457736">
        <w:t>developing ideas into a product or service the market will want (</w:t>
      </w:r>
      <w:r w:rsidR="002E48EA" w:rsidRPr="00457736">
        <w:t>forty-three</w:t>
      </w:r>
      <w:r w:rsidRPr="00457736">
        <w:t xml:space="preserve"> per cent of survey respondents).</w:t>
      </w:r>
    </w:p>
    <w:p w14:paraId="712B99A4" w14:textId="77777777" w:rsidR="00E7352C" w:rsidRPr="00CB70B0" w:rsidRDefault="00E7352C" w:rsidP="00482CDD">
      <w:pPr>
        <w:pStyle w:val="Heading2"/>
        <w:spacing w:before="300" w:after="120" w:line="240" w:lineRule="exact"/>
        <w:rPr>
          <w:szCs w:val="20"/>
        </w:rPr>
      </w:pPr>
      <w:r w:rsidRPr="00482CDD">
        <w:rPr>
          <w:b/>
          <w:color w:val="000000" w:themeColor="text1"/>
          <w:sz w:val="20"/>
          <w:szCs w:val="20"/>
        </w:rPr>
        <w:t>Objective 2: Enhancing management and workforce skills</w:t>
      </w:r>
    </w:p>
    <w:p w14:paraId="30B21D8B" w14:textId="77777777" w:rsidR="00E7352C" w:rsidRPr="00457736" w:rsidRDefault="00E7352C" w:rsidP="00672153">
      <w:r w:rsidRPr="00457736">
        <w:t xml:space="preserve">AMGC’s strategy is to identify industry knowledge priorities; raise awareness of the need for the capabilities that will improve growth and competitiveness; and demonstrate best practice using case studies. AMGC is also seeking to influence the training agenda through its role in representing industry on </w:t>
      </w:r>
      <w:r w:rsidR="005432AE" w:rsidRPr="00457736">
        <w:t>Industry Reference C</w:t>
      </w:r>
      <w:r w:rsidRPr="00457736">
        <w:t xml:space="preserve">ommittees. </w:t>
      </w:r>
    </w:p>
    <w:p w14:paraId="3C2425CD" w14:textId="77777777" w:rsidR="00E7352C" w:rsidRPr="00457736" w:rsidRDefault="00E7352C" w:rsidP="00672153">
      <w:r w:rsidRPr="00457736">
        <w:t>AMGC also view</w:t>
      </w:r>
      <w:r w:rsidR="005E2A3D" w:rsidRPr="00457736">
        <w:t>s</w:t>
      </w:r>
      <w:r w:rsidRPr="00457736">
        <w:t xml:space="preserve"> collaboration hubs as a key means of developing skills and capability. For example, the Industry 4.0 hub in Queensland is providing an opportunity for businesses to share skills and knowledge. The extent to which the sharing of information is occurring is unclear. </w:t>
      </w:r>
    </w:p>
    <w:p w14:paraId="51CB0E2D" w14:textId="77777777" w:rsidR="000C1649" w:rsidRPr="00457736" w:rsidRDefault="00E7352C" w:rsidP="00672153">
      <w:r w:rsidRPr="00457736">
        <w:t>Survey responses indicate that AMGC has had a large impact on helping members to understand new technologies (</w:t>
      </w:r>
      <w:r w:rsidR="009B6943" w:rsidRPr="00457736">
        <w:t xml:space="preserve">eighty </w:t>
      </w:r>
      <w:r w:rsidR="00D12938" w:rsidRPr="00457736">
        <w:t>per cent</w:t>
      </w:r>
      <w:r w:rsidRPr="00457736">
        <w:t>) and trends in the sector (</w:t>
      </w:r>
      <w:r w:rsidR="009B6943" w:rsidRPr="00457736">
        <w:t xml:space="preserve">sixty-eight </w:t>
      </w:r>
      <w:r w:rsidR="00D12938" w:rsidRPr="00457736">
        <w:t>per cent</w:t>
      </w:r>
      <w:r w:rsidRPr="00457736">
        <w:t xml:space="preserve">). </w:t>
      </w:r>
    </w:p>
    <w:p w14:paraId="75EBB2FB" w14:textId="77777777" w:rsidR="00423376" w:rsidRPr="00CB70B0" w:rsidRDefault="00E7352C" w:rsidP="00482CDD">
      <w:pPr>
        <w:pStyle w:val="Heading2"/>
        <w:spacing w:before="300" w:after="120" w:line="240" w:lineRule="exact"/>
        <w:rPr>
          <w:szCs w:val="20"/>
        </w:rPr>
      </w:pPr>
      <w:r w:rsidRPr="00482CDD">
        <w:rPr>
          <w:b/>
          <w:color w:val="000000" w:themeColor="text1"/>
          <w:sz w:val="20"/>
          <w:szCs w:val="20"/>
        </w:rPr>
        <w:t>Objective 3: Improving international opportunities and market access</w:t>
      </w:r>
    </w:p>
    <w:p w14:paraId="6E3E30D4" w14:textId="77777777" w:rsidR="00423376" w:rsidRPr="00457736" w:rsidRDefault="00423376" w:rsidP="00672153">
      <w:r w:rsidRPr="00457736">
        <w:t xml:space="preserve">AMGC’s strategy is primarily focused on undertaking an advocacy role to facilitate engagement with supply chains. Project funds have been used to support access to supply chains and export opportunities. </w:t>
      </w:r>
    </w:p>
    <w:p w14:paraId="62E439B6" w14:textId="77777777" w:rsidR="00423376" w:rsidRPr="00457736" w:rsidRDefault="00423376" w:rsidP="00672153">
      <w:r w:rsidRPr="00457736">
        <w:t>AMGC advocates for advanced approaches that increase competitiveness to enable reshoring of manufacturing activity. AMGC has also advocated for smarter civil and defence procurement as a ‘pull’ factor to drive advance</w:t>
      </w:r>
      <w:r w:rsidR="00192B6E" w:rsidRPr="00457736">
        <w:t>d</w:t>
      </w:r>
      <w:r w:rsidRPr="00457736">
        <w:t xml:space="preserve"> practices through the supply </w:t>
      </w:r>
      <w:r w:rsidRPr="00457736">
        <w:lastRenderedPageBreak/>
        <w:t>chain and is seeking Austrade’s help to map under-served export markets for the manufacturing industry.</w:t>
      </w:r>
      <w:r w:rsidR="00B3001F" w:rsidRPr="00457736">
        <w:t xml:space="preserve"> </w:t>
      </w:r>
    </w:p>
    <w:p w14:paraId="6886EF54" w14:textId="77777777" w:rsidR="00423376" w:rsidRPr="00457736" w:rsidRDefault="00423376" w:rsidP="00672153">
      <w:r w:rsidRPr="00457736">
        <w:t>AMGC’s KPI</w:t>
      </w:r>
      <w:r w:rsidR="00CF328D">
        <w:t>,</w:t>
      </w:r>
      <w:r w:rsidRPr="00457736">
        <w:t xml:space="preserve"> that </w:t>
      </w:r>
      <w:r w:rsidR="009B6943" w:rsidRPr="00457736">
        <w:t xml:space="preserve">eighty </w:t>
      </w:r>
      <w:r w:rsidR="00D12938" w:rsidRPr="00457736">
        <w:t>per cent</w:t>
      </w:r>
      <w:r w:rsidRPr="00457736">
        <w:t xml:space="preserve"> of </w:t>
      </w:r>
      <w:r w:rsidR="002D0E11" w:rsidRPr="00457736">
        <w:t xml:space="preserve">funded </w:t>
      </w:r>
      <w:r w:rsidRPr="00457736">
        <w:t>projects provide manufacturers with an opportunity to be connected to global supply chains</w:t>
      </w:r>
      <w:r w:rsidR="00CF328D">
        <w:t>,</w:t>
      </w:r>
      <w:r w:rsidRPr="00457736">
        <w:t xml:space="preserve"> has </w:t>
      </w:r>
      <w:r w:rsidR="00672153" w:rsidRPr="00457736">
        <w:t xml:space="preserve">yet to be </w:t>
      </w:r>
      <w:r w:rsidRPr="00457736">
        <w:t xml:space="preserve">achieved. </w:t>
      </w:r>
    </w:p>
    <w:p w14:paraId="1B985F28" w14:textId="77777777" w:rsidR="00423376" w:rsidRPr="00457736" w:rsidRDefault="00423376" w:rsidP="00672153">
      <w:r w:rsidRPr="00457736">
        <w:t>AMGC has supported Austrade with SME representation at major expos and trade shows.</w:t>
      </w:r>
    </w:p>
    <w:p w14:paraId="3F873BC0" w14:textId="77777777" w:rsidR="00423376" w:rsidRPr="00CB70B0" w:rsidRDefault="00E7352C" w:rsidP="00482CDD">
      <w:pPr>
        <w:pStyle w:val="Heading2"/>
        <w:spacing w:before="300" w:after="120" w:line="240" w:lineRule="exact"/>
        <w:rPr>
          <w:szCs w:val="20"/>
        </w:rPr>
      </w:pPr>
      <w:r w:rsidRPr="00482CDD">
        <w:rPr>
          <w:b/>
          <w:color w:val="000000" w:themeColor="text1"/>
          <w:sz w:val="20"/>
          <w:szCs w:val="20"/>
        </w:rPr>
        <w:t xml:space="preserve">Objective </w:t>
      </w:r>
      <w:r w:rsidR="005E2A3D" w:rsidRPr="00482CDD">
        <w:rPr>
          <w:b/>
          <w:color w:val="000000" w:themeColor="text1"/>
          <w:sz w:val="20"/>
          <w:szCs w:val="20"/>
        </w:rPr>
        <w:t>4</w:t>
      </w:r>
      <w:r w:rsidRPr="00482CDD">
        <w:rPr>
          <w:b/>
          <w:color w:val="000000" w:themeColor="text1"/>
          <w:sz w:val="20"/>
          <w:szCs w:val="20"/>
        </w:rPr>
        <w:t>: Identifying opportunities for regulatory reform</w:t>
      </w:r>
    </w:p>
    <w:p w14:paraId="420C13C2" w14:textId="77777777" w:rsidR="00423376" w:rsidRPr="00457736" w:rsidRDefault="00423376" w:rsidP="00672153">
      <w:r w:rsidRPr="00457736">
        <w:t>AMGC reports that consultation with industry during the development of the Sector Competitiveness Plan indicated that regulation is not a high priority for the sector. This has been reinforced through further consultation with stakeholders as part of this performance assessment.</w:t>
      </w:r>
    </w:p>
    <w:p w14:paraId="645EDF9A" w14:textId="77777777" w:rsidR="00423376" w:rsidRPr="00457736" w:rsidRDefault="00423376" w:rsidP="00672153">
      <w:r w:rsidRPr="00457736">
        <w:t>Only a small proportion of survey respondents (</w:t>
      </w:r>
      <w:r w:rsidR="009B6943" w:rsidRPr="00457736">
        <w:t xml:space="preserve">twenty-eight </w:t>
      </w:r>
      <w:r w:rsidR="00D12938" w:rsidRPr="00457736">
        <w:t>per cent</w:t>
      </w:r>
      <w:r w:rsidRPr="00457736">
        <w:t xml:space="preserve">) have engaged with AMGC on regulatory matters. </w:t>
      </w:r>
    </w:p>
    <w:p w14:paraId="26B506E4" w14:textId="77777777" w:rsidR="008B0541" w:rsidRPr="00457736" w:rsidRDefault="00E83640" w:rsidP="00672153">
      <w:r w:rsidRPr="00457736">
        <w:t>AMGC (with FIAL) is contributing to the development of the Export Council of Australia’s Trade Barriers Register.</w:t>
      </w:r>
    </w:p>
    <w:p w14:paraId="09D61A8B" w14:textId="77777777" w:rsidR="00423376" w:rsidRPr="00CB70B0" w:rsidRDefault="00423376" w:rsidP="00482CDD">
      <w:pPr>
        <w:pStyle w:val="Heading2"/>
        <w:spacing w:before="300" w:after="120" w:line="240" w:lineRule="exact"/>
        <w:rPr>
          <w:szCs w:val="20"/>
        </w:rPr>
      </w:pPr>
      <w:r w:rsidRPr="00482CDD">
        <w:rPr>
          <w:b/>
          <w:color w:val="000000" w:themeColor="text1"/>
          <w:sz w:val="20"/>
          <w:szCs w:val="20"/>
        </w:rPr>
        <w:t>Additional or indirect outcomes</w:t>
      </w:r>
    </w:p>
    <w:p w14:paraId="75C5056F" w14:textId="77777777" w:rsidR="00423376" w:rsidRPr="00457736" w:rsidRDefault="00423376" w:rsidP="00672153">
      <w:r w:rsidRPr="00457736">
        <w:t xml:space="preserve">AMGC’s Sector Competitiveness Plan has contributed thought leadership on the characteristics of competitive manufacturing businesses and the opportunities to improve performance through advanced knowledge, processes and business models. </w:t>
      </w:r>
    </w:p>
    <w:p w14:paraId="226E6358" w14:textId="77777777" w:rsidR="000C1649" w:rsidRPr="00457736" w:rsidRDefault="000C1649" w:rsidP="000C1649">
      <w:r w:rsidRPr="00457736">
        <w:t xml:space="preserve">AMGC published </w:t>
      </w:r>
      <w:r w:rsidRPr="00457736">
        <w:rPr>
          <w:i/>
        </w:rPr>
        <w:t>Advanced Manufacturing: a new definition for a new era</w:t>
      </w:r>
      <w:r w:rsidRPr="00457736">
        <w:t xml:space="preserve"> to a positive media and stakeholder reception. The report launch was timed to follow the closure of the last automotive assembly line and to emphasise how Australian manufacturing has turned a corner. </w:t>
      </w:r>
    </w:p>
    <w:p w14:paraId="7FE5EFB8" w14:textId="77777777" w:rsidR="000C1649" w:rsidRPr="00457736" w:rsidRDefault="000C1649" w:rsidP="000C1649">
      <w:pPr>
        <w:rPr>
          <w:lang w:eastAsia="en-AU"/>
        </w:rPr>
      </w:pPr>
      <w:r w:rsidRPr="00457736">
        <w:rPr>
          <w:lang w:eastAsia="en-AU"/>
        </w:rPr>
        <w:t>AMGC advocat</w:t>
      </w:r>
      <w:r w:rsidR="00AF4EF3" w:rsidRPr="00457736">
        <w:rPr>
          <w:lang w:eastAsia="en-AU"/>
        </w:rPr>
        <w:t>ing</w:t>
      </w:r>
      <w:r w:rsidRPr="00457736">
        <w:rPr>
          <w:lang w:eastAsia="en-AU"/>
        </w:rPr>
        <w:t xml:space="preserve"> for a change to the Advanced Manufacturing definition</w:t>
      </w:r>
      <w:r w:rsidR="00AF4EF3" w:rsidRPr="00457736">
        <w:rPr>
          <w:lang w:eastAsia="en-AU"/>
        </w:rPr>
        <w:t xml:space="preserve"> used by the Australian Bureau of Statistics</w:t>
      </w:r>
      <w:r w:rsidR="00CF328D">
        <w:rPr>
          <w:lang w:eastAsia="en-AU"/>
        </w:rPr>
        <w:t>.</w:t>
      </w:r>
    </w:p>
    <w:p w14:paraId="332A745C" w14:textId="77777777" w:rsidR="00423376" w:rsidRPr="00457736" w:rsidRDefault="00423376" w:rsidP="00672153">
      <w:r w:rsidRPr="00457736">
        <w:t xml:space="preserve">AMGC regularly engages with state agencies, industry peaks, businesses and the education sector to </w:t>
      </w:r>
      <w:r w:rsidRPr="00457736">
        <w:t xml:space="preserve">progress the innovation agenda. AMGC is very active in meeting with businesses, industry associations and ecosystem stakeholders. It reports </w:t>
      </w:r>
      <w:r w:rsidR="00192B6E" w:rsidRPr="00457736">
        <w:t xml:space="preserve">an </w:t>
      </w:r>
      <w:r w:rsidRPr="00457736">
        <w:t>averag</w:t>
      </w:r>
      <w:r w:rsidR="00192B6E" w:rsidRPr="00457736">
        <w:t>e of</w:t>
      </w:r>
      <w:r w:rsidR="002A66C3" w:rsidRPr="00457736">
        <w:t xml:space="preserve"> </w:t>
      </w:r>
      <w:r w:rsidRPr="00457736">
        <w:t>over 30 meetings per month</w:t>
      </w:r>
      <w:r w:rsidR="00192B6E" w:rsidRPr="00457736">
        <w:t>,</w:t>
      </w:r>
      <w:r w:rsidRPr="00457736">
        <w:t xml:space="preserve"> and the MD and Chair regularly deliver keynote presentations and convene workshops and roundtables. </w:t>
      </w:r>
    </w:p>
    <w:p w14:paraId="7EBEB37A" w14:textId="77777777" w:rsidR="000C1649" w:rsidRPr="00457736" w:rsidRDefault="00423376" w:rsidP="000C1649">
      <w:r w:rsidRPr="00457736">
        <w:t>AMGC is reasonably well represented on the boards of research entities across the sector.</w:t>
      </w:r>
      <w:r w:rsidR="008B05FF" w:rsidRPr="00457736">
        <w:t xml:space="preserve"> </w:t>
      </w:r>
      <w:r w:rsidR="000C1649" w:rsidRPr="00457736">
        <w:t xml:space="preserve">AMGC is active on social media and its general media activities gain national attention. </w:t>
      </w:r>
    </w:p>
    <w:p w14:paraId="74F84927" w14:textId="77777777" w:rsidR="00423376" w:rsidRPr="00CB70B0" w:rsidRDefault="00423376" w:rsidP="00482CDD">
      <w:pPr>
        <w:pStyle w:val="Heading2"/>
        <w:spacing w:before="300" w:after="120" w:line="240" w:lineRule="exact"/>
        <w:rPr>
          <w:szCs w:val="20"/>
        </w:rPr>
      </w:pPr>
      <w:r w:rsidRPr="00482CDD">
        <w:rPr>
          <w:b/>
          <w:color w:val="000000" w:themeColor="text1"/>
          <w:sz w:val="20"/>
          <w:szCs w:val="20"/>
        </w:rPr>
        <w:t xml:space="preserve">Performance measurement </w:t>
      </w:r>
    </w:p>
    <w:p w14:paraId="741B447E" w14:textId="77777777" w:rsidR="00423376" w:rsidRPr="00457736" w:rsidRDefault="00423376" w:rsidP="00672153">
      <w:r w:rsidRPr="00457736">
        <w:t xml:space="preserve">AMGC has published an industry-wide impact strategy to measure economic outcomes against the three components of advanced knowledge, process characteristics and business models. Each advanced component is mapped against measures such as an increase in R&amp;D expenditure, collaboration, STEM skills, capital intensity, technology asset intensity etc. </w:t>
      </w:r>
    </w:p>
    <w:p w14:paraId="551F8232" w14:textId="77777777" w:rsidR="00423376" w:rsidRPr="00457736" w:rsidRDefault="00423376" w:rsidP="00672153">
      <w:r w:rsidRPr="00457736">
        <w:t xml:space="preserve">The ability to measure the impact on manufacturing under AMGC’s broader definition of the sector may prove </w:t>
      </w:r>
      <w:r w:rsidR="000C1649" w:rsidRPr="00457736">
        <w:t xml:space="preserve">challenging </w:t>
      </w:r>
      <w:r w:rsidRPr="00457736">
        <w:t xml:space="preserve">as it is now proposed to also incorporate businesses outside of manufacturing. </w:t>
      </w:r>
    </w:p>
    <w:p w14:paraId="34D28BB6" w14:textId="77777777" w:rsidR="00423376" w:rsidRPr="00457736" w:rsidRDefault="00423376" w:rsidP="00672153">
      <w:pPr>
        <w:rPr>
          <w:rFonts w:eastAsia="Times New Roman" w:cs="Times New Roman"/>
          <w:b/>
          <w:color w:val="000000" w:themeColor="text1"/>
          <w:sz w:val="20"/>
          <w:szCs w:val="24"/>
          <w:lang w:eastAsia="en-AU"/>
        </w:rPr>
      </w:pPr>
      <w:r w:rsidRPr="00457736">
        <w:t xml:space="preserve">AMGC has thus far used case studies, published on its website and promulgated through media, to demonstrate </w:t>
      </w:r>
      <w:r w:rsidR="0071333E" w:rsidRPr="00457736">
        <w:t>impact</w:t>
      </w:r>
      <w:r w:rsidRPr="00457736">
        <w:t xml:space="preserve">. </w:t>
      </w:r>
    </w:p>
    <w:p w14:paraId="0C468CE7" w14:textId="77777777" w:rsidR="00423376" w:rsidRPr="00CB70B0" w:rsidRDefault="00423376" w:rsidP="00482CDD">
      <w:pPr>
        <w:pStyle w:val="Heading2"/>
        <w:spacing w:before="300" w:after="120" w:line="240" w:lineRule="exact"/>
        <w:rPr>
          <w:szCs w:val="20"/>
        </w:rPr>
      </w:pPr>
      <w:r w:rsidRPr="00482CDD">
        <w:rPr>
          <w:b/>
          <w:color w:val="000000" w:themeColor="text1"/>
          <w:sz w:val="20"/>
          <w:szCs w:val="20"/>
        </w:rPr>
        <w:t xml:space="preserve">Sector impact </w:t>
      </w:r>
    </w:p>
    <w:p w14:paraId="09982DD9" w14:textId="77777777" w:rsidR="00423376" w:rsidRPr="00457736" w:rsidRDefault="00423376" w:rsidP="00672153">
      <w:r w:rsidRPr="00457736">
        <w:t>Whilst there is a high</w:t>
      </w:r>
      <w:r w:rsidR="00CF328D">
        <w:t>-</w:t>
      </w:r>
      <w:r w:rsidRPr="00457736">
        <w:t xml:space="preserve">level of satisfaction with the support AMGC provides at </w:t>
      </w:r>
      <w:r w:rsidR="000C1649" w:rsidRPr="00457736">
        <w:t xml:space="preserve">a member </w:t>
      </w:r>
      <w:r w:rsidRPr="00457736">
        <w:t xml:space="preserve">level, the extent to which AMGC’s initiatives will deliver sector-wide impact remains unclear at this point in time. </w:t>
      </w:r>
    </w:p>
    <w:p w14:paraId="2E238C97" w14:textId="77777777" w:rsidR="004C4A43" w:rsidRPr="00457736" w:rsidRDefault="000C1649" w:rsidP="00672153">
      <w:r w:rsidRPr="00457736">
        <w:t>AMGC appears to have had significant impact on relatively small number of businesses to date. Of the 60 to 62 business that responded to survey questions about how engaging with AMGC had impacted their bottom line, eleven of the businesses (eighteen per cent) said that AMGC provided great support to grow their revenue, seven (twelve per cent) had great support to improve their profitability</w:t>
      </w:r>
      <w:r w:rsidR="001A2977" w:rsidRPr="00457736">
        <w:t>,</w:t>
      </w:r>
      <w:r w:rsidRPr="00457736">
        <w:t xml:space="preserve"> and nine (fifteen per cent) had great support to increase the number of employees.</w:t>
      </w:r>
    </w:p>
    <w:p w14:paraId="24D53D85" w14:textId="77777777" w:rsidR="00195EE1" w:rsidRPr="00457736" w:rsidRDefault="00195EE1" w:rsidP="00672153">
      <w:pPr>
        <w:sectPr w:rsidR="00195EE1" w:rsidRPr="00457736" w:rsidSect="006E713F">
          <w:type w:val="continuous"/>
          <w:pgSz w:w="11907" w:h="16839" w:code="9"/>
          <w:pgMar w:top="1304" w:right="1304" w:bottom="1304" w:left="1304" w:header="720" w:footer="720" w:gutter="0"/>
          <w:cols w:num="2" w:space="720"/>
          <w:titlePg/>
          <w:docGrid w:linePitch="360"/>
        </w:sectPr>
      </w:pPr>
    </w:p>
    <w:p w14:paraId="23A5E7CB" w14:textId="77777777" w:rsidR="00D31338" w:rsidRPr="00457736" w:rsidRDefault="00BF19BF" w:rsidP="009F6C46">
      <w:pPr>
        <w:pStyle w:val="Heading1"/>
      </w:pPr>
      <w:bookmarkStart w:id="18" w:name="_Toc535922970"/>
      <w:proofErr w:type="spellStart"/>
      <w:r w:rsidRPr="00457736">
        <w:lastRenderedPageBreak/>
        <w:t>AustCyber</w:t>
      </w:r>
      <w:bookmarkEnd w:id="18"/>
      <w:proofErr w:type="spellEnd"/>
      <w:r w:rsidR="009F6C46" w:rsidRPr="00457736">
        <w:t xml:space="preserve"> </w:t>
      </w:r>
    </w:p>
    <w:p w14:paraId="2EBA0D5F" w14:textId="77777777" w:rsidR="009F6C46" w:rsidRPr="00457736" w:rsidRDefault="009F6C46" w:rsidP="009F6C46">
      <w:pPr>
        <w:pStyle w:val="Caption"/>
      </w:pPr>
      <w:r w:rsidRPr="00457736">
        <w:t xml:space="preserve">Figure </w:t>
      </w:r>
      <w:r w:rsidRPr="00457736">
        <w:fldChar w:fldCharType="begin"/>
      </w:r>
      <w:r w:rsidRPr="00457736">
        <w:instrText xml:space="preserve"> SEQ Figure \* ARABIC </w:instrText>
      </w:r>
      <w:r w:rsidRPr="00457736">
        <w:fldChar w:fldCharType="separate"/>
      </w:r>
      <w:r w:rsidR="00AD2D4B">
        <w:rPr>
          <w:noProof/>
        </w:rPr>
        <w:t>7</w:t>
      </w:r>
      <w:r w:rsidRPr="00457736">
        <w:fldChar w:fldCharType="end"/>
      </w:r>
      <w:r w:rsidRPr="00457736">
        <w:t xml:space="preserve"> | Key findings </w:t>
      </w:r>
    </w:p>
    <w:p w14:paraId="7B72A743" w14:textId="77777777" w:rsidR="00A57197" w:rsidRPr="00457736" w:rsidRDefault="00A57197" w:rsidP="00482CDD">
      <w:pPr>
        <w:pStyle w:val="TableNBullet"/>
        <w:pBdr>
          <w:top w:val="single" w:sz="4" w:space="1" w:color="auto"/>
        </w:pBdr>
      </w:pPr>
      <w:proofErr w:type="spellStart"/>
      <w:r w:rsidRPr="00457736">
        <w:rPr>
          <w:rFonts w:eastAsia="Segoe UI"/>
        </w:rPr>
        <w:t>AustCyber</w:t>
      </w:r>
      <w:proofErr w:type="spellEnd"/>
      <w:r w:rsidRPr="00457736">
        <w:rPr>
          <w:rFonts w:eastAsia="Segoe UI"/>
        </w:rPr>
        <w:t xml:space="preserve"> has met or is on track to meet its business plan objectives and funding agreement requirements and has achieved an impressive amount despite only being operational for a relatively short period of time.</w:t>
      </w:r>
    </w:p>
    <w:p w14:paraId="7887B83D" w14:textId="77777777" w:rsidR="00A57197" w:rsidRPr="00457736" w:rsidRDefault="00A57197" w:rsidP="00B82D1B">
      <w:pPr>
        <w:pStyle w:val="TableNBullet"/>
      </w:pPr>
      <w:proofErr w:type="spellStart"/>
      <w:r w:rsidRPr="00457736">
        <w:rPr>
          <w:rFonts w:eastAsia="Segoe UI"/>
        </w:rPr>
        <w:t>AustCyber</w:t>
      </w:r>
      <w:proofErr w:type="spellEnd"/>
      <w:r w:rsidRPr="00457736">
        <w:rPr>
          <w:rFonts w:eastAsia="Segoe UI"/>
        </w:rPr>
        <w:t xml:space="preserve"> has directed its efforts and resources across all of the Initiative’s objectives.</w:t>
      </w:r>
    </w:p>
    <w:p w14:paraId="09B3E297" w14:textId="77777777" w:rsidR="00A57197" w:rsidRPr="00457736" w:rsidRDefault="00A57197" w:rsidP="00B82D1B">
      <w:pPr>
        <w:pStyle w:val="TableNBullet"/>
      </w:pPr>
      <w:proofErr w:type="spellStart"/>
      <w:r w:rsidRPr="00457736">
        <w:rPr>
          <w:rFonts w:eastAsia="Segoe UI"/>
        </w:rPr>
        <w:t>AustCyber</w:t>
      </w:r>
      <w:proofErr w:type="spellEnd"/>
      <w:r w:rsidRPr="00457736">
        <w:rPr>
          <w:rFonts w:eastAsia="Segoe UI"/>
        </w:rPr>
        <w:t xml:space="preserve"> recently announced the first seven projects that it will support under its Project Fund. The first round was oversubscribed with 51 separate applications. </w:t>
      </w:r>
    </w:p>
    <w:p w14:paraId="55087A05" w14:textId="77777777" w:rsidR="00A57197" w:rsidRPr="00457736" w:rsidRDefault="00A57197" w:rsidP="00B82D1B">
      <w:pPr>
        <w:pStyle w:val="TableNBullet"/>
      </w:pPr>
      <w:proofErr w:type="spellStart"/>
      <w:r w:rsidRPr="00457736">
        <w:rPr>
          <w:rFonts w:eastAsia="Segoe UI"/>
        </w:rPr>
        <w:t>AustCyber</w:t>
      </w:r>
      <w:proofErr w:type="spellEnd"/>
      <w:r w:rsidRPr="00457736">
        <w:rPr>
          <w:rFonts w:eastAsia="Segoe UI"/>
        </w:rPr>
        <w:t xml:space="preserve"> has played a very active role in connecting stakeholders across the sector and aligning strategies, policies and programs related to cyber security.</w:t>
      </w:r>
    </w:p>
    <w:p w14:paraId="413DF060" w14:textId="77777777" w:rsidR="00A57197" w:rsidRPr="00457736" w:rsidRDefault="00A57197" w:rsidP="003D12B0">
      <w:pPr>
        <w:pStyle w:val="TableNBullet"/>
      </w:pPr>
      <w:proofErr w:type="spellStart"/>
      <w:r w:rsidRPr="00457736">
        <w:t>AustCyber</w:t>
      </w:r>
      <w:proofErr w:type="spellEnd"/>
      <w:r w:rsidRPr="00457736">
        <w:t xml:space="preserve"> has worked with businesses to build their capabilities and provide opportunities to access new markets and finance. </w:t>
      </w:r>
      <w:proofErr w:type="spellStart"/>
      <w:r w:rsidRPr="00457736">
        <w:rPr>
          <w:rFonts w:eastAsiaTheme="minorEastAsia"/>
        </w:rPr>
        <w:t>AustCyber</w:t>
      </w:r>
      <w:proofErr w:type="spellEnd"/>
      <w:r w:rsidRPr="00457736">
        <w:rPr>
          <w:rFonts w:eastAsiaTheme="minorEastAsia"/>
        </w:rPr>
        <w:t xml:space="preserve"> has led or co-led eight overseas delegations and missions and reported some significant early commercial outcomes.</w:t>
      </w:r>
    </w:p>
    <w:p w14:paraId="003B758F" w14:textId="77777777" w:rsidR="00A57197" w:rsidRPr="00457736" w:rsidRDefault="00A57197" w:rsidP="00B82D1B">
      <w:pPr>
        <w:pStyle w:val="TableNBullet"/>
      </w:pPr>
      <w:proofErr w:type="spellStart"/>
      <w:r w:rsidRPr="00457736">
        <w:rPr>
          <w:rFonts w:eastAsiaTheme="minorEastAsia"/>
        </w:rPr>
        <w:t>AustCyber</w:t>
      </w:r>
      <w:proofErr w:type="spellEnd"/>
      <w:r w:rsidRPr="00457736">
        <w:rPr>
          <w:rFonts w:eastAsiaTheme="minorEastAsia"/>
        </w:rPr>
        <w:t xml:space="preserve"> has invested substantially in sector-wide approaches to skills and has already achieved some notable outcomes (such as </w:t>
      </w:r>
      <w:r w:rsidRPr="00457736">
        <w:t xml:space="preserve">the new </w:t>
      </w:r>
      <w:r w:rsidRPr="00457736">
        <w:rPr>
          <w:rFonts w:eastAsiaTheme="minorEastAsia"/>
        </w:rPr>
        <w:t>national TAFE curriculum).</w:t>
      </w:r>
    </w:p>
    <w:p w14:paraId="0419AAE5" w14:textId="77777777" w:rsidR="00A57197" w:rsidRPr="00457736" w:rsidRDefault="00A57197" w:rsidP="00ED6509">
      <w:pPr>
        <w:pStyle w:val="TableNBullet"/>
      </w:pPr>
      <w:proofErr w:type="spellStart"/>
      <w:r w:rsidRPr="00457736">
        <w:rPr>
          <w:rFonts w:eastAsiaTheme="minorEastAsia"/>
        </w:rPr>
        <w:t>AustCyber</w:t>
      </w:r>
      <w:proofErr w:type="spellEnd"/>
      <w:r w:rsidRPr="00457736">
        <w:rPr>
          <w:rFonts w:eastAsiaTheme="minorEastAsia"/>
        </w:rPr>
        <w:t xml:space="preserve"> has high awareness levels across the sector and achieved strong sector support and buy-in.</w:t>
      </w:r>
    </w:p>
    <w:p w14:paraId="67BDD2A8" w14:textId="77777777" w:rsidR="00A57197" w:rsidRPr="00457736" w:rsidRDefault="00A57197" w:rsidP="00482CDD">
      <w:pPr>
        <w:pStyle w:val="TableNBullet"/>
        <w:pBdr>
          <w:bottom w:val="single" w:sz="4" w:space="1" w:color="auto"/>
        </w:pBdr>
      </w:pPr>
      <w:r w:rsidRPr="00457736">
        <w:t xml:space="preserve">Survey respondents are overwhelmingly satisfied with their engagement with </w:t>
      </w:r>
      <w:proofErr w:type="spellStart"/>
      <w:r w:rsidRPr="00457736">
        <w:t>AustCyber</w:t>
      </w:r>
      <w:proofErr w:type="spellEnd"/>
      <w:r w:rsidRPr="00457736">
        <w:t xml:space="preserve"> and </w:t>
      </w:r>
      <w:r w:rsidRPr="00457736">
        <w:rPr>
          <w:rFonts w:eastAsiaTheme="minorEastAsia"/>
        </w:rPr>
        <w:t>qualitative feedback from survey respondents and interviews was also generally very positive</w:t>
      </w:r>
      <w:r>
        <w:rPr>
          <w:rFonts w:eastAsiaTheme="minorEastAsia"/>
        </w:rPr>
        <w:t>.</w:t>
      </w:r>
      <w:r w:rsidRPr="00457736">
        <w:rPr>
          <w:rFonts w:eastAsiaTheme="minorEastAsia"/>
        </w:rPr>
        <w:t xml:space="preserve"> </w:t>
      </w:r>
    </w:p>
    <w:p w14:paraId="5DEA3179" w14:textId="77777777" w:rsidR="009F6C46" w:rsidRPr="00457736" w:rsidRDefault="009F6C46" w:rsidP="00503C01"/>
    <w:p w14:paraId="7C78CFE9" w14:textId="77777777" w:rsidR="00E21EAE" w:rsidRPr="00457736" w:rsidRDefault="00E21EAE" w:rsidP="00B82D1B">
      <w:pPr>
        <w:rPr>
          <w:b/>
        </w:rPr>
        <w:sectPr w:rsidR="00E21EAE" w:rsidRPr="00457736" w:rsidSect="006E713F">
          <w:type w:val="continuous"/>
          <w:pgSz w:w="11907" w:h="16839" w:code="9"/>
          <w:pgMar w:top="1304" w:right="1304" w:bottom="1304" w:left="1304" w:header="720" w:footer="720" w:gutter="0"/>
          <w:cols w:space="720"/>
          <w:titlePg/>
          <w:docGrid w:linePitch="360"/>
        </w:sectPr>
      </w:pPr>
    </w:p>
    <w:p w14:paraId="41CD1F7F" w14:textId="77777777" w:rsidR="00B82D1B" w:rsidRPr="00CB70B0" w:rsidRDefault="00B82D1B" w:rsidP="00482CDD">
      <w:pPr>
        <w:pStyle w:val="Heading2"/>
        <w:spacing w:before="300" w:after="120" w:line="240" w:lineRule="exact"/>
        <w:rPr>
          <w:szCs w:val="20"/>
        </w:rPr>
      </w:pPr>
      <w:r w:rsidRPr="00482CDD">
        <w:rPr>
          <w:b/>
          <w:color w:val="000000" w:themeColor="text1"/>
          <w:sz w:val="20"/>
          <w:szCs w:val="20"/>
        </w:rPr>
        <w:t xml:space="preserve">Operating environment </w:t>
      </w:r>
    </w:p>
    <w:p w14:paraId="753E1CBB" w14:textId="77777777" w:rsidR="00B82D1B" w:rsidRPr="00457736" w:rsidRDefault="00B82D1B" w:rsidP="00E21EAE">
      <w:r w:rsidRPr="00457736">
        <w:t xml:space="preserve">Australia’s cyber security sector is relatively small but growing rapidly as all sectors of the economy respond to the increasing demand for outsourced cyber security solutions, such as hardware, software and services. </w:t>
      </w:r>
      <w:proofErr w:type="spellStart"/>
      <w:r w:rsidRPr="00457736">
        <w:t>AustCyber</w:t>
      </w:r>
      <w:proofErr w:type="spellEnd"/>
      <w:r w:rsidRPr="00457736">
        <w:t xml:space="preserve"> estimates that there were approximately 260 businesses operating in the sector in June 2018. </w:t>
      </w:r>
    </w:p>
    <w:p w14:paraId="6AE12AB7" w14:textId="77777777" w:rsidR="00B82D1B" w:rsidRPr="00457736" w:rsidRDefault="00B82D1B" w:rsidP="00E21EAE">
      <w:r w:rsidRPr="00457736">
        <w:t xml:space="preserve">Given the nascent nature of the sector, </w:t>
      </w:r>
      <w:proofErr w:type="spellStart"/>
      <w:r w:rsidRPr="00457736">
        <w:t>AustCyber</w:t>
      </w:r>
      <w:proofErr w:type="spellEnd"/>
      <w:r w:rsidRPr="00457736">
        <w:t xml:space="preserve"> faces little competition from other </w:t>
      </w:r>
      <w:r w:rsidR="00524E69" w:rsidRPr="00457736">
        <w:t xml:space="preserve">entities </w:t>
      </w:r>
      <w:r w:rsidRPr="00457736">
        <w:t xml:space="preserve">doing similar work. This has allowed </w:t>
      </w:r>
      <w:proofErr w:type="spellStart"/>
      <w:r w:rsidRPr="00457736">
        <w:t>AustCyber</w:t>
      </w:r>
      <w:proofErr w:type="spellEnd"/>
      <w:r w:rsidRPr="00457736">
        <w:t xml:space="preserve"> to proactively define its role and contribution to the sector.</w:t>
      </w:r>
    </w:p>
    <w:p w14:paraId="5B30A730" w14:textId="77777777" w:rsidR="00E21EAE" w:rsidRPr="00457736" w:rsidRDefault="00E21EAE" w:rsidP="00E21EAE">
      <w:pPr>
        <w:pStyle w:val="Caption"/>
      </w:pPr>
      <w:r w:rsidRPr="00457736">
        <w:t xml:space="preserve">Figure </w:t>
      </w:r>
      <w:r w:rsidRPr="00457736">
        <w:fldChar w:fldCharType="begin"/>
      </w:r>
      <w:r w:rsidRPr="00457736">
        <w:instrText xml:space="preserve"> SEQ Figure \* ARABIC </w:instrText>
      </w:r>
      <w:r w:rsidRPr="00457736">
        <w:fldChar w:fldCharType="separate"/>
      </w:r>
      <w:r w:rsidR="00AD2D4B">
        <w:rPr>
          <w:noProof/>
        </w:rPr>
        <w:t>8</w:t>
      </w:r>
      <w:r w:rsidRPr="00457736">
        <w:fldChar w:fldCharType="end"/>
      </w:r>
      <w:r w:rsidRPr="00457736">
        <w:t xml:space="preserve"> | Overview of </w:t>
      </w:r>
      <w:proofErr w:type="spellStart"/>
      <w:r w:rsidRPr="00457736">
        <w:t>AustCyber</w:t>
      </w:r>
      <w:proofErr w:type="spellEnd"/>
      <w:r w:rsidRPr="00457736">
        <w:t xml:space="preserve"> stakeholder survey </w:t>
      </w:r>
    </w:p>
    <w:tbl>
      <w:tblPr>
        <w:tblStyle w:val="NousTableSide"/>
        <w:tblW w:w="5028" w:type="pct"/>
        <w:tblInd w:w="-23" w:type="dxa"/>
        <w:tblLook w:val="06A0" w:firstRow="1" w:lastRow="0" w:firstColumn="1" w:lastColumn="0" w:noHBand="1" w:noVBand="1"/>
        <w:tblCaption w:val="The table lists data regarding stakeholder survey invites and response rates for AustCyber. "/>
        <w:tblDescription w:val="Table headings are listed in rows on the right with the respective data presented in the adjacent column."/>
      </w:tblPr>
      <w:tblGrid>
        <w:gridCol w:w="1561"/>
        <w:gridCol w:w="2729"/>
      </w:tblGrid>
      <w:tr w:rsidR="00E21EAE" w:rsidRPr="00457736" w14:paraId="794D72C7"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1819" w:type="pct"/>
            <w:hideMark/>
          </w:tcPr>
          <w:p w14:paraId="748ACE40" w14:textId="77777777" w:rsidR="00E21EAE" w:rsidRPr="00457736" w:rsidRDefault="00E21EAE" w:rsidP="00347F2B">
            <w:pPr>
              <w:pStyle w:val="Tableexpheader"/>
            </w:pPr>
            <w:r w:rsidRPr="00457736">
              <w:t>Responses:</w:t>
            </w:r>
          </w:p>
        </w:tc>
        <w:tc>
          <w:tcPr>
            <w:tcW w:w="3181" w:type="pct"/>
            <w:tcBorders>
              <w:top w:val="single" w:sz="8" w:space="0" w:color="E6E6E1" w:themeColor="accent5"/>
              <w:left w:val="nil"/>
              <w:bottom w:val="single" w:sz="8" w:space="0" w:color="E6E6E1" w:themeColor="accent5"/>
              <w:right w:val="nil"/>
            </w:tcBorders>
            <w:hideMark/>
          </w:tcPr>
          <w:p w14:paraId="0C176A16" w14:textId="77777777" w:rsidR="00E21EAE" w:rsidRPr="00457736" w:rsidRDefault="00E21EAE" w:rsidP="00347F2B">
            <w:pPr>
              <w:pStyle w:val="TableExpText"/>
              <w:cnfStyle w:val="000000000000" w:firstRow="0" w:lastRow="0" w:firstColumn="0" w:lastColumn="0" w:oddVBand="0" w:evenVBand="0" w:oddHBand="0" w:evenHBand="0" w:firstRowFirstColumn="0" w:firstRowLastColumn="0" w:lastRowFirstColumn="0" w:lastRowLastColumn="0"/>
            </w:pPr>
            <w:r w:rsidRPr="00457736">
              <w:t>132</w:t>
            </w:r>
          </w:p>
        </w:tc>
      </w:tr>
      <w:tr w:rsidR="00E21EAE" w:rsidRPr="00457736" w14:paraId="1156DAF2"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1819" w:type="pct"/>
            <w:hideMark/>
          </w:tcPr>
          <w:p w14:paraId="2B39439D" w14:textId="77777777" w:rsidR="00E21EAE" w:rsidRPr="00457736" w:rsidRDefault="00E21EAE" w:rsidP="00347F2B">
            <w:pPr>
              <w:pStyle w:val="Tableexpheader"/>
            </w:pPr>
            <w:r w:rsidRPr="00457736">
              <w:t>Stakeholders invited:</w:t>
            </w:r>
          </w:p>
        </w:tc>
        <w:tc>
          <w:tcPr>
            <w:tcW w:w="3181" w:type="pct"/>
            <w:tcBorders>
              <w:top w:val="single" w:sz="8" w:space="0" w:color="E6E6E1" w:themeColor="accent5"/>
              <w:left w:val="nil"/>
              <w:bottom w:val="single" w:sz="8" w:space="0" w:color="E6E6E1" w:themeColor="accent5"/>
              <w:right w:val="nil"/>
            </w:tcBorders>
            <w:hideMark/>
          </w:tcPr>
          <w:p w14:paraId="4EE3B9AC" w14:textId="77777777" w:rsidR="00E21EAE" w:rsidRPr="00457736" w:rsidRDefault="00E21EAE" w:rsidP="00347F2B">
            <w:pPr>
              <w:pStyle w:val="TableExpText"/>
              <w:cnfStyle w:val="000000000000" w:firstRow="0" w:lastRow="0" w:firstColumn="0" w:lastColumn="0" w:oddVBand="0" w:evenVBand="0" w:oddHBand="0" w:evenHBand="0" w:firstRowFirstColumn="0" w:firstRowLastColumn="0" w:lastRowFirstColumn="0" w:lastRowLastColumn="0"/>
            </w:pPr>
            <w:r w:rsidRPr="00457736">
              <w:t>624 (includes 238 students)</w:t>
            </w:r>
          </w:p>
        </w:tc>
      </w:tr>
      <w:tr w:rsidR="00E21EAE" w:rsidRPr="00457736" w14:paraId="324CBD6E"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1819" w:type="pct"/>
            <w:hideMark/>
          </w:tcPr>
          <w:p w14:paraId="4C1A3920" w14:textId="77777777" w:rsidR="00E21EAE" w:rsidRPr="00457736" w:rsidRDefault="00E21EAE" w:rsidP="00347F2B">
            <w:pPr>
              <w:pStyle w:val="Tableexpheader"/>
            </w:pPr>
            <w:r w:rsidRPr="00457736">
              <w:t>Response rate:</w:t>
            </w:r>
          </w:p>
        </w:tc>
        <w:tc>
          <w:tcPr>
            <w:tcW w:w="3181" w:type="pct"/>
            <w:tcBorders>
              <w:top w:val="single" w:sz="8" w:space="0" w:color="E6E6E1" w:themeColor="accent5"/>
              <w:left w:val="nil"/>
              <w:bottom w:val="single" w:sz="8" w:space="0" w:color="E6E6E1" w:themeColor="accent5"/>
              <w:right w:val="nil"/>
            </w:tcBorders>
            <w:hideMark/>
          </w:tcPr>
          <w:p w14:paraId="250E57D8" w14:textId="77777777" w:rsidR="00E21EAE" w:rsidRPr="00457736" w:rsidRDefault="00E21EAE" w:rsidP="00347F2B">
            <w:pPr>
              <w:pStyle w:val="TableExpText"/>
              <w:cnfStyle w:val="000000000000" w:firstRow="0" w:lastRow="0" w:firstColumn="0" w:lastColumn="0" w:oddVBand="0" w:evenVBand="0" w:oddHBand="0" w:evenHBand="0" w:firstRowFirstColumn="0" w:firstRowLastColumn="0" w:lastRowFirstColumn="0" w:lastRowLastColumn="0"/>
            </w:pPr>
            <w:r w:rsidRPr="00457736">
              <w:t>21</w:t>
            </w:r>
            <w:r w:rsidR="00210D33" w:rsidRPr="00457736">
              <w:t xml:space="preserve"> </w:t>
            </w:r>
            <w:r w:rsidR="00D12938" w:rsidRPr="00457736">
              <w:t>per cent</w:t>
            </w:r>
          </w:p>
        </w:tc>
      </w:tr>
      <w:tr w:rsidR="00E21EAE" w:rsidRPr="00457736" w14:paraId="71D498EF"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1819" w:type="pct"/>
            <w:hideMark/>
          </w:tcPr>
          <w:p w14:paraId="450BF522" w14:textId="77777777" w:rsidR="00E21EAE" w:rsidRPr="00457736" w:rsidRDefault="00E21EAE" w:rsidP="00347F2B">
            <w:pPr>
              <w:pStyle w:val="Tableexpheader"/>
            </w:pPr>
            <w:r w:rsidRPr="00457736">
              <w:t>Distribution rationale:</w:t>
            </w:r>
          </w:p>
        </w:tc>
        <w:tc>
          <w:tcPr>
            <w:tcW w:w="3181" w:type="pct"/>
            <w:tcBorders>
              <w:top w:val="single" w:sz="8" w:space="0" w:color="E6E6E1" w:themeColor="accent5"/>
              <w:left w:val="nil"/>
              <w:bottom w:val="single" w:sz="8" w:space="0" w:color="E6E6E1" w:themeColor="accent5"/>
              <w:right w:val="nil"/>
            </w:tcBorders>
            <w:hideMark/>
          </w:tcPr>
          <w:p w14:paraId="76C800D3" w14:textId="77777777" w:rsidR="00E21EAE" w:rsidRPr="00457736" w:rsidRDefault="00E21EAE" w:rsidP="00347F2B">
            <w:pPr>
              <w:pStyle w:val="TableExpText"/>
              <w:cnfStyle w:val="000000000000" w:firstRow="0" w:lastRow="0" w:firstColumn="0" w:lastColumn="0" w:oddVBand="0" w:evenVBand="0" w:oddHBand="0" w:evenHBand="0" w:firstRowFirstColumn="0" w:firstRowLastColumn="0" w:lastRowFirstColumn="0" w:lastRowLastColumn="0"/>
            </w:pPr>
            <w:r w:rsidRPr="00457736">
              <w:t xml:space="preserve">Distributed to 331 stakeholders who actively engage with </w:t>
            </w:r>
            <w:proofErr w:type="spellStart"/>
            <w:r w:rsidRPr="00457736">
              <w:t>AustCyber</w:t>
            </w:r>
            <w:proofErr w:type="spellEnd"/>
            <w:r w:rsidRPr="00457736">
              <w:t xml:space="preserve">. </w:t>
            </w:r>
            <w:proofErr w:type="spellStart"/>
            <w:r w:rsidRPr="00457736">
              <w:t>Ribit</w:t>
            </w:r>
            <w:proofErr w:type="spellEnd"/>
            <w:r w:rsidRPr="00457736">
              <w:t xml:space="preserve"> also distributed the survey to 238 students and 55 employers who attended joint </w:t>
            </w:r>
            <w:proofErr w:type="spellStart"/>
            <w:r w:rsidRPr="00457736">
              <w:t>AustCyber</w:t>
            </w:r>
            <w:proofErr w:type="spellEnd"/>
            <w:r w:rsidRPr="00457736">
              <w:t>/</w:t>
            </w:r>
            <w:proofErr w:type="spellStart"/>
            <w:r w:rsidRPr="00457736">
              <w:t>Ribit</w:t>
            </w:r>
            <w:proofErr w:type="spellEnd"/>
            <w:r w:rsidRPr="00457736">
              <w:t xml:space="preserve"> event</w:t>
            </w:r>
            <w:r w:rsidR="00524E69" w:rsidRPr="00457736">
              <w:t>s</w:t>
            </w:r>
            <w:r w:rsidRPr="00457736">
              <w:t>.</w:t>
            </w:r>
          </w:p>
        </w:tc>
      </w:tr>
    </w:tbl>
    <w:p w14:paraId="03FBF374" w14:textId="77777777" w:rsidR="00144A6A" w:rsidRPr="00457736" w:rsidRDefault="00ED6509" w:rsidP="00571708">
      <w:r w:rsidRPr="00457736">
        <w:br w:type="column"/>
      </w:r>
      <w:r w:rsidR="00144A6A" w:rsidRPr="00457736">
        <w:t xml:space="preserve">Some of the barriers to sector growth identified by </w:t>
      </w:r>
      <w:proofErr w:type="spellStart"/>
      <w:r w:rsidR="00144A6A" w:rsidRPr="00457736">
        <w:t>AustCyber</w:t>
      </w:r>
      <w:proofErr w:type="spellEnd"/>
      <w:r w:rsidR="00144A6A" w:rsidRPr="00457736">
        <w:t xml:space="preserve"> include: the limited collaboration and scattered public funding for cyber security R&amp;D; the small size of the local market which constrains the growth prospects of smaller Australian cyber security businesses and start-ups; and an under-supply of job-ready cyber security professionals.</w:t>
      </w:r>
    </w:p>
    <w:p w14:paraId="73B74888" w14:textId="77777777" w:rsidR="00B82D1B" w:rsidRPr="00CB70B0" w:rsidRDefault="00B82D1B" w:rsidP="00482CDD">
      <w:pPr>
        <w:pStyle w:val="Heading2"/>
        <w:spacing w:before="300" w:after="120" w:line="240" w:lineRule="exact"/>
        <w:rPr>
          <w:szCs w:val="20"/>
        </w:rPr>
      </w:pPr>
      <w:r w:rsidRPr="00482CDD">
        <w:rPr>
          <w:b/>
          <w:color w:val="000000" w:themeColor="text1"/>
          <w:sz w:val="20"/>
          <w:szCs w:val="20"/>
        </w:rPr>
        <w:t xml:space="preserve">Strategy </w:t>
      </w:r>
    </w:p>
    <w:p w14:paraId="59668DBA" w14:textId="77777777" w:rsidR="00B82D1B" w:rsidRPr="00457736" w:rsidRDefault="00B82D1B" w:rsidP="00E21EAE">
      <w:proofErr w:type="spellStart"/>
      <w:r w:rsidRPr="00457736">
        <w:t>AustCyber’s</w:t>
      </w:r>
      <w:proofErr w:type="spellEnd"/>
      <w:r w:rsidRPr="00457736">
        <w:t xml:space="preserve"> stated purpose is to act simultaneously as a ‘multiplier’ and ‘connector’ across the sector. </w:t>
      </w:r>
      <w:r w:rsidRPr="00457736">
        <w:rPr>
          <w:lang w:eastAsia="en-AU"/>
        </w:rPr>
        <w:t xml:space="preserve">The importance of this role, and the critical importance of the cyber security industry more broadly was reinforced in the national Cyber Security Strategy. This strategy underlined the need to </w:t>
      </w:r>
      <w:r w:rsidRPr="00457736">
        <w:t>support sovereign capability development and ensure Australia takes advantage of the significant economic opportunities in the global cyber security market.</w:t>
      </w:r>
    </w:p>
    <w:p w14:paraId="4E581061" w14:textId="77777777" w:rsidR="00B82D1B" w:rsidRPr="00457736" w:rsidRDefault="00A91A22" w:rsidP="00E21EAE">
      <w:proofErr w:type="spellStart"/>
      <w:r w:rsidRPr="00457736">
        <w:t>AustCyber</w:t>
      </w:r>
      <w:proofErr w:type="spellEnd"/>
      <w:r w:rsidRPr="00457736">
        <w:t xml:space="preserve"> has directed its efforts and resources across all of the Initiative’s objectives. </w:t>
      </w:r>
      <w:proofErr w:type="spellStart"/>
      <w:r w:rsidR="00B82D1B" w:rsidRPr="00457736">
        <w:t>AustCyber</w:t>
      </w:r>
      <w:proofErr w:type="spellEnd"/>
      <w:r w:rsidR="00B82D1B" w:rsidRPr="00457736">
        <w:t xml:space="preserve"> has focused primarily on defining the sector and aligning the research, education and innovation related activities. </w:t>
      </w:r>
      <w:proofErr w:type="spellStart"/>
      <w:r w:rsidR="00B82D1B" w:rsidRPr="00457736">
        <w:t>AustCyber</w:t>
      </w:r>
      <w:proofErr w:type="spellEnd"/>
      <w:r w:rsidR="00B82D1B" w:rsidRPr="00457736">
        <w:t xml:space="preserve"> has also worked with businesses to build their capabilities and provide opportunities to access new markets and finance.</w:t>
      </w:r>
    </w:p>
    <w:p w14:paraId="23794417" w14:textId="77777777" w:rsidR="00144A6A" w:rsidRPr="00457736" w:rsidRDefault="00144A6A">
      <w:pPr>
        <w:spacing w:after="165"/>
        <w:rPr>
          <w:rFonts w:eastAsia="Times New Roman" w:cs="Times New Roman"/>
          <w:b/>
          <w:color w:val="000000" w:themeColor="text1"/>
          <w:sz w:val="20"/>
          <w:szCs w:val="24"/>
          <w:lang w:eastAsia="en-AU"/>
        </w:rPr>
      </w:pPr>
      <w:r w:rsidRPr="00457736">
        <w:br w:type="page"/>
      </w:r>
    </w:p>
    <w:p w14:paraId="7E35DA94" w14:textId="77777777" w:rsidR="00B82D1B" w:rsidRPr="00CB70B0" w:rsidRDefault="00B82D1B" w:rsidP="00482CDD">
      <w:pPr>
        <w:pStyle w:val="Heading2"/>
        <w:spacing w:before="300" w:after="120" w:line="240" w:lineRule="exact"/>
        <w:rPr>
          <w:szCs w:val="20"/>
        </w:rPr>
      </w:pPr>
      <w:r w:rsidRPr="00482CDD">
        <w:rPr>
          <w:b/>
          <w:color w:val="000000" w:themeColor="text1"/>
          <w:sz w:val="20"/>
          <w:szCs w:val="20"/>
        </w:rPr>
        <w:lastRenderedPageBreak/>
        <w:t>Sector engagement</w:t>
      </w:r>
    </w:p>
    <w:p w14:paraId="730F50C1" w14:textId="77777777" w:rsidR="00B82D1B" w:rsidRPr="00457736" w:rsidRDefault="00B82D1B" w:rsidP="00E21EAE">
      <w:r w:rsidRPr="00457736">
        <w:t xml:space="preserve">Sector stakeholders engage with </w:t>
      </w:r>
      <w:proofErr w:type="spellStart"/>
      <w:r w:rsidR="00337827" w:rsidRPr="00457736">
        <w:t>AustCyber</w:t>
      </w:r>
      <w:proofErr w:type="spellEnd"/>
      <w:r w:rsidR="00337827" w:rsidRPr="00457736" w:rsidDel="00337827">
        <w:t xml:space="preserve"> </w:t>
      </w:r>
      <w:r w:rsidRPr="00457736">
        <w:t xml:space="preserve">frequently. Survey respondents interact with </w:t>
      </w:r>
      <w:proofErr w:type="spellStart"/>
      <w:r w:rsidRPr="00457736">
        <w:t>AustCyber</w:t>
      </w:r>
      <w:proofErr w:type="spellEnd"/>
      <w:r w:rsidRPr="00457736">
        <w:t xml:space="preserve"> at least once a month or more – most commonly to participate in events and seek opportunities for collaboration and commercialisation. </w:t>
      </w:r>
    </w:p>
    <w:p w14:paraId="2D99F905" w14:textId="77777777" w:rsidR="00B82D1B" w:rsidRPr="00457736" w:rsidRDefault="00B82D1B" w:rsidP="00E21EAE">
      <w:proofErr w:type="spellStart"/>
      <w:r w:rsidRPr="00457736">
        <w:t>AustCyber</w:t>
      </w:r>
      <w:proofErr w:type="spellEnd"/>
      <w:r w:rsidRPr="00457736">
        <w:t xml:space="preserve"> reports that it has had in-depth engagement with over 650 companies and that over 230 Australian cyber security companies have participated in its programs.</w:t>
      </w:r>
    </w:p>
    <w:p w14:paraId="06F306DE" w14:textId="77777777" w:rsidR="00B82D1B" w:rsidRPr="00457736" w:rsidRDefault="00B82D1B" w:rsidP="00E21EAE">
      <w:proofErr w:type="spellStart"/>
      <w:r w:rsidRPr="00457736">
        <w:t>AustCyber</w:t>
      </w:r>
      <w:proofErr w:type="spellEnd"/>
      <w:r w:rsidRPr="00457736">
        <w:t xml:space="preserve"> typically works with newly established, innovation active and export focused businesses. Over half of the </w:t>
      </w:r>
      <w:r w:rsidR="001D2406" w:rsidRPr="00457736">
        <w:t xml:space="preserve">40 </w:t>
      </w:r>
      <w:r w:rsidRPr="00457736">
        <w:t xml:space="preserve">businesses that responded to the survey exported goods or services in FY 17/18, and </w:t>
      </w:r>
      <w:r w:rsidR="001D2406" w:rsidRPr="00457736">
        <w:t xml:space="preserve">19 </w:t>
      </w:r>
      <w:r w:rsidRPr="00457736">
        <w:t>had a taxable income less than $1</w:t>
      </w:r>
      <w:r w:rsidR="00A03FA4" w:rsidRPr="00457736">
        <w:t xml:space="preserve"> million </w:t>
      </w:r>
      <w:r w:rsidRPr="00457736">
        <w:t>in FY 17/18.</w:t>
      </w:r>
    </w:p>
    <w:p w14:paraId="345B2227" w14:textId="77777777" w:rsidR="009A6925" w:rsidRPr="00457736" w:rsidRDefault="009A6925" w:rsidP="009A6925">
      <w:bookmarkStart w:id="19" w:name="_Hlk531273835"/>
      <w:r w:rsidRPr="00457736">
        <w:t xml:space="preserve">Awareness levels of </w:t>
      </w:r>
      <w:proofErr w:type="spellStart"/>
      <w:r w:rsidRPr="00457736">
        <w:t>AustCyber</w:t>
      </w:r>
      <w:proofErr w:type="spellEnd"/>
      <w:r w:rsidRPr="00457736">
        <w:t xml:space="preserve"> within the sector are strong. Over three quarters of survey respondents indicated that the sector has moderate to strong awareness of </w:t>
      </w:r>
      <w:proofErr w:type="spellStart"/>
      <w:r w:rsidRPr="00457736">
        <w:t>AustCyber</w:t>
      </w:r>
      <w:proofErr w:type="spellEnd"/>
      <w:r w:rsidRPr="00457736">
        <w:t>.</w:t>
      </w:r>
    </w:p>
    <w:p w14:paraId="273A1227" w14:textId="77777777" w:rsidR="00E7132C" w:rsidRPr="00457736" w:rsidRDefault="00E7132C" w:rsidP="00E7132C">
      <w:r w:rsidRPr="00457736">
        <w:t xml:space="preserve">Survey respondents are overwhelmingly satisfied with their engagement with </w:t>
      </w:r>
      <w:proofErr w:type="spellStart"/>
      <w:r w:rsidRPr="00457736">
        <w:t>AustCyber</w:t>
      </w:r>
      <w:proofErr w:type="spellEnd"/>
      <w:r w:rsidRPr="00457736">
        <w:t xml:space="preserve"> </w:t>
      </w:r>
      <w:bookmarkStart w:id="20" w:name="_Hlk528942975"/>
      <w:r w:rsidRPr="00457736">
        <w:t>– although we note the potential for positive response bias in who responds</w:t>
      </w:r>
      <w:bookmarkEnd w:id="19"/>
      <w:r w:rsidRPr="00457736">
        <w:t>.</w:t>
      </w:r>
      <w:bookmarkEnd w:id="20"/>
    </w:p>
    <w:p w14:paraId="79D72FCA" w14:textId="77777777" w:rsidR="00D411FD" w:rsidRPr="00CB70B0" w:rsidRDefault="00D411FD" w:rsidP="00482CDD">
      <w:pPr>
        <w:pStyle w:val="Heading2"/>
        <w:spacing w:before="300" w:after="120" w:line="240" w:lineRule="exact"/>
        <w:rPr>
          <w:szCs w:val="20"/>
        </w:rPr>
      </w:pPr>
      <w:r w:rsidRPr="00482CDD">
        <w:rPr>
          <w:b/>
          <w:color w:val="000000" w:themeColor="text1"/>
          <w:sz w:val="20"/>
          <w:szCs w:val="20"/>
        </w:rPr>
        <w:t>Project funding</w:t>
      </w:r>
    </w:p>
    <w:p w14:paraId="4F515F7A" w14:textId="77777777" w:rsidR="00B82D1B" w:rsidRPr="00457736" w:rsidRDefault="00B82D1B" w:rsidP="00E21EAE">
      <w:proofErr w:type="spellStart"/>
      <w:r w:rsidRPr="00457736">
        <w:t>AustCyber</w:t>
      </w:r>
      <w:proofErr w:type="spellEnd"/>
      <w:r w:rsidRPr="00457736">
        <w:t xml:space="preserve"> recently announced the </w:t>
      </w:r>
      <w:r w:rsidR="005E2A3D" w:rsidRPr="00457736">
        <w:t xml:space="preserve">first </w:t>
      </w:r>
      <w:r w:rsidRPr="00457736">
        <w:t xml:space="preserve">seven projects that will be supported under its Project Fund. The first Project Fund round was oversubscribed with 51 separate applications. </w:t>
      </w:r>
    </w:p>
    <w:p w14:paraId="7FC8B856" w14:textId="77777777" w:rsidR="00B82D1B" w:rsidRPr="00CB70B0" w:rsidRDefault="00E60C7B" w:rsidP="00482CDD">
      <w:pPr>
        <w:pStyle w:val="Heading2"/>
        <w:spacing w:before="300" w:after="120" w:line="240" w:lineRule="exact"/>
        <w:rPr>
          <w:szCs w:val="20"/>
        </w:rPr>
      </w:pPr>
      <w:r w:rsidRPr="00482CDD">
        <w:rPr>
          <w:b/>
          <w:color w:val="000000" w:themeColor="text1"/>
          <w:sz w:val="20"/>
          <w:szCs w:val="20"/>
        </w:rPr>
        <w:t>Objective 1: Increasing collaboration and commercialisation</w:t>
      </w:r>
    </w:p>
    <w:p w14:paraId="5254C675" w14:textId="77777777" w:rsidR="00B82D1B" w:rsidRPr="00457736" w:rsidRDefault="00B82D1B" w:rsidP="00E21EAE">
      <w:proofErr w:type="spellStart"/>
      <w:r w:rsidRPr="00457736">
        <w:t>AustCyber</w:t>
      </w:r>
      <w:proofErr w:type="spellEnd"/>
      <w:r w:rsidRPr="00457736">
        <w:t xml:space="preserve"> has already played a very active role in connecting stakeholders– aided in part by the relatively small, engaged and homogenous nature of the sector. Almost all of the businesses that responded to the survey </w:t>
      </w:r>
      <w:r w:rsidR="00ED6509" w:rsidRPr="00457736">
        <w:t>(</w:t>
      </w:r>
      <w:r w:rsidR="0039228D" w:rsidRPr="00457736">
        <w:t>ninety</w:t>
      </w:r>
      <w:r w:rsidR="009B6943" w:rsidRPr="00457736">
        <w:t>-seven</w:t>
      </w:r>
      <w:r w:rsidR="00ED6509" w:rsidRPr="00457736">
        <w:t xml:space="preserve"> per cent) </w:t>
      </w:r>
      <w:r w:rsidRPr="00457736">
        <w:t xml:space="preserve">said that </w:t>
      </w:r>
      <w:proofErr w:type="spellStart"/>
      <w:r w:rsidRPr="00457736">
        <w:t>AustCyber</w:t>
      </w:r>
      <w:proofErr w:type="spellEnd"/>
      <w:r w:rsidRPr="00457736">
        <w:t xml:space="preserve"> had provided support to build relationships and networks with other businesses, and three quarters have received support to connect to other government departments.</w:t>
      </w:r>
    </w:p>
    <w:p w14:paraId="194E633A" w14:textId="77777777" w:rsidR="00B82D1B" w:rsidRPr="00457736" w:rsidRDefault="00B82D1B" w:rsidP="00E21EAE">
      <w:proofErr w:type="spellStart"/>
      <w:r w:rsidRPr="00457736">
        <w:t>AustCyber</w:t>
      </w:r>
      <w:proofErr w:type="spellEnd"/>
      <w:r w:rsidRPr="00457736">
        <w:t xml:space="preserve"> has supported businesses to achieve commercialisation outcomes. Over </w:t>
      </w:r>
      <w:r w:rsidR="009B6943" w:rsidRPr="00457736">
        <w:t xml:space="preserve">forty </w:t>
      </w:r>
      <w:r w:rsidR="00D12938" w:rsidRPr="00457736">
        <w:t>per cent</w:t>
      </w:r>
      <w:r w:rsidRPr="00457736">
        <w:t xml:space="preserve"> of businesses responding to the survey said that </w:t>
      </w:r>
      <w:proofErr w:type="spellStart"/>
      <w:r w:rsidRPr="00457736">
        <w:t>AustCyber</w:t>
      </w:r>
      <w:proofErr w:type="spellEnd"/>
      <w:r w:rsidRPr="00457736">
        <w:t xml:space="preserve"> has provided some or great support to develop their ideas into a product or service the market will want, refine existing products or services, or bring a new product to market.</w:t>
      </w:r>
    </w:p>
    <w:p w14:paraId="6F41710C" w14:textId="77777777" w:rsidR="00B82D1B" w:rsidRPr="00457736" w:rsidRDefault="00A91A22" w:rsidP="00E21EAE">
      <w:proofErr w:type="spellStart"/>
      <w:r w:rsidRPr="00457736">
        <w:t>AustCyber</w:t>
      </w:r>
      <w:proofErr w:type="spellEnd"/>
      <w:r w:rsidRPr="00457736">
        <w:t xml:space="preserve"> has facilitated </w:t>
      </w:r>
      <w:r w:rsidR="00B82D1B" w:rsidRPr="00457736">
        <w:t xml:space="preserve">Memorandums of Understanding (MOUs) for the national network of Cyber Security Innovation Nodes </w:t>
      </w:r>
      <w:r w:rsidR="003D7D05" w:rsidRPr="00457736">
        <w:t>with five of the eight state and territory governments</w:t>
      </w:r>
      <w:r w:rsidR="00B82D1B" w:rsidRPr="00457736">
        <w:t>. While the infrastructure for the nodes are in place, awareness levels of the nodes are still low within the sector.</w:t>
      </w:r>
    </w:p>
    <w:p w14:paraId="3C9AD66A" w14:textId="77777777" w:rsidR="00B82D1B" w:rsidRPr="00457736" w:rsidRDefault="00B82D1B" w:rsidP="00E21EAE">
      <w:proofErr w:type="spellStart"/>
      <w:r w:rsidRPr="00457736">
        <w:t>AustCyber’s</w:t>
      </w:r>
      <w:proofErr w:type="spellEnd"/>
      <w:r w:rsidRPr="00457736">
        <w:t xml:space="preserve"> series of seven pitching events have to date facilitated 44 business pitches from 30 different companies, both nationally and in the USA. </w:t>
      </w:r>
      <w:r w:rsidR="00A91A22" w:rsidRPr="00457736">
        <w:t xml:space="preserve"> These events are designed to build pitching capability across the sector, with the long term aim of achieving improved commercialisation outcomes. </w:t>
      </w:r>
    </w:p>
    <w:p w14:paraId="1B20807E" w14:textId="77777777" w:rsidR="00B82D1B" w:rsidRPr="00457736" w:rsidRDefault="00B82D1B" w:rsidP="00E21EAE">
      <w:proofErr w:type="spellStart"/>
      <w:r w:rsidRPr="00457736">
        <w:t>AustCyber</w:t>
      </w:r>
      <w:proofErr w:type="spellEnd"/>
      <w:r w:rsidRPr="00457736">
        <w:t xml:space="preserve"> is working closely with the recently established Cyber Security CRC based in Perth. </w:t>
      </w:r>
      <w:proofErr w:type="spellStart"/>
      <w:r w:rsidRPr="00457736">
        <w:t>AustCyber’s</w:t>
      </w:r>
      <w:proofErr w:type="spellEnd"/>
      <w:r w:rsidRPr="00457736">
        <w:t xml:space="preserve"> CEO is an ex-officio member of the board and the two entities have signed a </w:t>
      </w:r>
      <w:r w:rsidR="003D7D05" w:rsidRPr="00457736">
        <w:t>S</w:t>
      </w:r>
      <w:r w:rsidRPr="00457736">
        <w:t xml:space="preserve">tatement of </w:t>
      </w:r>
      <w:r w:rsidR="003D7D05" w:rsidRPr="00457736">
        <w:t>I</w:t>
      </w:r>
      <w:r w:rsidRPr="00457736">
        <w:t>ntent which will guide future collaborations.</w:t>
      </w:r>
    </w:p>
    <w:p w14:paraId="48EE2F66" w14:textId="77777777" w:rsidR="00E7352C" w:rsidRPr="00CB70B0" w:rsidRDefault="00E7352C" w:rsidP="00482CDD">
      <w:pPr>
        <w:pStyle w:val="Heading2"/>
        <w:spacing w:before="300" w:after="120" w:line="240" w:lineRule="exact"/>
        <w:rPr>
          <w:szCs w:val="20"/>
        </w:rPr>
      </w:pPr>
      <w:r w:rsidRPr="00482CDD">
        <w:rPr>
          <w:b/>
          <w:color w:val="000000" w:themeColor="text1"/>
          <w:sz w:val="20"/>
          <w:szCs w:val="20"/>
        </w:rPr>
        <w:t>Objective 2: Enhancing management and workforce skills</w:t>
      </w:r>
    </w:p>
    <w:p w14:paraId="749D3CC9" w14:textId="77777777" w:rsidR="00E7352C" w:rsidRPr="00457736" w:rsidRDefault="00E7352C" w:rsidP="00E21EAE">
      <w:proofErr w:type="spellStart"/>
      <w:r w:rsidRPr="00457736">
        <w:t>AustCyber</w:t>
      </w:r>
      <w:proofErr w:type="spellEnd"/>
      <w:r w:rsidRPr="00457736">
        <w:t xml:space="preserve"> has invested substantial efforts in align</w:t>
      </w:r>
      <w:r w:rsidR="00A91A22" w:rsidRPr="00457736">
        <w:t>ing</w:t>
      </w:r>
      <w:r w:rsidRPr="00457736">
        <w:t xml:space="preserve"> </w:t>
      </w:r>
      <w:r w:rsidR="00A91A22" w:rsidRPr="00457736">
        <w:t xml:space="preserve">education and </w:t>
      </w:r>
      <w:r w:rsidRPr="00457736">
        <w:t xml:space="preserve">training frameworks </w:t>
      </w:r>
      <w:r w:rsidR="00A91A22" w:rsidRPr="00457736">
        <w:t xml:space="preserve">in Australia </w:t>
      </w:r>
      <w:r w:rsidRPr="00457736">
        <w:t xml:space="preserve">with international best practice. </w:t>
      </w:r>
      <w:proofErr w:type="spellStart"/>
      <w:r w:rsidRPr="00457736">
        <w:t>AustCyber</w:t>
      </w:r>
      <w:proofErr w:type="spellEnd"/>
      <w:r w:rsidRPr="00457736">
        <w:t xml:space="preserve"> has already achieved some very significant wins in this space – most notably in facilitating the development and endorsement of the first national cyber security curriculum for TAFE institutions. </w:t>
      </w:r>
    </w:p>
    <w:p w14:paraId="4F31D7F7" w14:textId="77777777" w:rsidR="00E7352C" w:rsidRPr="00457736" w:rsidRDefault="00E7352C" w:rsidP="00E21EAE">
      <w:proofErr w:type="spellStart"/>
      <w:r w:rsidRPr="00457736">
        <w:t>AustCyber</w:t>
      </w:r>
      <w:proofErr w:type="spellEnd"/>
      <w:r w:rsidRPr="00457736">
        <w:t xml:space="preserve"> was invited to lead the education and skills stream of the Government's Cyber Resilience Taskforce. </w:t>
      </w:r>
      <w:proofErr w:type="spellStart"/>
      <w:r w:rsidRPr="00457736">
        <w:t>AustCyber</w:t>
      </w:r>
      <w:proofErr w:type="spellEnd"/>
      <w:r w:rsidRPr="00457736">
        <w:t xml:space="preserve"> has also provided input into continuing education offerings, co-provided by Optus and Macquarie University.</w:t>
      </w:r>
    </w:p>
    <w:p w14:paraId="4636FCC4" w14:textId="77777777" w:rsidR="00E7352C" w:rsidRPr="00457736" w:rsidRDefault="00E7352C" w:rsidP="00E21EAE">
      <w:proofErr w:type="spellStart"/>
      <w:r w:rsidRPr="00457736">
        <w:t>AustCyber’s</w:t>
      </w:r>
      <w:proofErr w:type="spellEnd"/>
      <w:r w:rsidRPr="00457736">
        <w:t xml:space="preserve"> three co-branded networking events with </w:t>
      </w:r>
      <w:r w:rsidR="00E83640" w:rsidRPr="00457736">
        <w:t>CSIRO’s Data61</w:t>
      </w:r>
      <w:r w:rsidR="004A1332" w:rsidRPr="00457736">
        <w:t>’s</w:t>
      </w:r>
      <w:r w:rsidR="00E83640" w:rsidRPr="00457736">
        <w:t xml:space="preserve"> </w:t>
      </w:r>
      <w:proofErr w:type="spellStart"/>
      <w:r w:rsidRPr="00457736">
        <w:t>Ribit</w:t>
      </w:r>
      <w:proofErr w:type="spellEnd"/>
      <w:r w:rsidRPr="00457736">
        <w:t xml:space="preserve"> have resulted in over one thousand student interviews with potential employers across three events. </w:t>
      </w:r>
      <w:proofErr w:type="spellStart"/>
      <w:r w:rsidRPr="00457736">
        <w:t>AustCyber</w:t>
      </w:r>
      <w:proofErr w:type="spellEnd"/>
      <w:r w:rsidRPr="00457736">
        <w:t xml:space="preserve"> reports that on average across all </w:t>
      </w:r>
      <w:proofErr w:type="spellStart"/>
      <w:r w:rsidRPr="00457736">
        <w:t>Ribit</w:t>
      </w:r>
      <w:proofErr w:type="spellEnd"/>
      <w:r w:rsidRPr="00457736">
        <w:t xml:space="preserve"> events, nearly half of all participating employer organisations found a student to fill roles on offer.</w:t>
      </w:r>
    </w:p>
    <w:p w14:paraId="468BC378" w14:textId="77777777" w:rsidR="00B82D1B" w:rsidRPr="00CB70B0" w:rsidRDefault="00E7352C" w:rsidP="00482CDD">
      <w:pPr>
        <w:pStyle w:val="Heading2"/>
        <w:spacing w:before="300" w:after="120" w:line="240" w:lineRule="exact"/>
        <w:rPr>
          <w:szCs w:val="20"/>
        </w:rPr>
      </w:pPr>
      <w:r w:rsidRPr="00482CDD">
        <w:rPr>
          <w:b/>
          <w:color w:val="000000" w:themeColor="text1"/>
          <w:sz w:val="20"/>
          <w:szCs w:val="20"/>
        </w:rPr>
        <w:t>Objective 3: Improving international opportunities and market access</w:t>
      </w:r>
    </w:p>
    <w:p w14:paraId="7AD6AB61" w14:textId="77777777" w:rsidR="00B82D1B" w:rsidRPr="00457736" w:rsidRDefault="00B82D1B" w:rsidP="00E21EAE">
      <w:proofErr w:type="spellStart"/>
      <w:r w:rsidRPr="00457736">
        <w:t>AustCyber</w:t>
      </w:r>
      <w:proofErr w:type="spellEnd"/>
      <w:r w:rsidRPr="00457736">
        <w:t xml:space="preserve"> has invested in creating a platform upon which Australian businesses can enter international markets. </w:t>
      </w:r>
    </w:p>
    <w:p w14:paraId="1879B1CF" w14:textId="77777777" w:rsidR="00B82D1B" w:rsidRPr="00457736" w:rsidRDefault="00B82D1B" w:rsidP="00E21EAE">
      <w:r w:rsidRPr="00457736">
        <w:t xml:space="preserve">Businesses responding to the survey noted that </w:t>
      </w:r>
      <w:proofErr w:type="spellStart"/>
      <w:r w:rsidRPr="00457736">
        <w:t>AustCyber</w:t>
      </w:r>
      <w:proofErr w:type="spellEnd"/>
      <w:r w:rsidRPr="00457736">
        <w:t xml:space="preserve"> has already provided some or great support around entering new international markets or channels and identifying new customers and markets.</w:t>
      </w:r>
    </w:p>
    <w:p w14:paraId="0FA7188F" w14:textId="77777777" w:rsidR="009A6925" w:rsidRPr="00457736" w:rsidRDefault="009A6925">
      <w:pPr>
        <w:spacing w:after="165"/>
      </w:pPr>
      <w:r w:rsidRPr="00457736">
        <w:br w:type="page"/>
      </w:r>
    </w:p>
    <w:p w14:paraId="1865EEEF" w14:textId="77777777" w:rsidR="00B82D1B" w:rsidRPr="00457736" w:rsidRDefault="00B82D1B" w:rsidP="00E21EAE">
      <w:r w:rsidRPr="00457736">
        <w:lastRenderedPageBreak/>
        <w:t xml:space="preserve">Initial reports and feedback from the eight overseas delegations and missions also indicate some significant early commercial outcomes for the businesses on these trips. </w:t>
      </w:r>
    </w:p>
    <w:p w14:paraId="198BF728" w14:textId="77777777" w:rsidR="00B82D1B" w:rsidRPr="00457736" w:rsidRDefault="00B82D1B" w:rsidP="00E21EAE">
      <w:r w:rsidRPr="00457736">
        <w:t>For example, two of the companies that attended the RSA Conference in San Francisco in 2017 signed contracts during the delegation, with a further three companies signing contracts in the months following (including one multi-million-dollar agreement). M</w:t>
      </w:r>
      <w:r w:rsidR="001D2406" w:rsidRPr="00457736">
        <w:t xml:space="preserve">ore recently, 17 </w:t>
      </w:r>
      <w:r w:rsidRPr="00457736">
        <w:t xml:space="preserve">of the </w:t>
      </w:r>
      <w:r w:rsidR="001D2406" w:rsidRPr="00457736">
        <w:t xml:space="preserve">65 </w:t>
      </w:r>
      <w:r w:rsidRPr="00457736">
        <w:t>delegates who attended the April 2018 mission to the USA expected to achieve over $1.5</w:t>
      </w:r>
      <w:r w:rsidR="00A03FA4" w:rsidRPr="00457736">
        <w:t xml:space="preserve"> million </w:t>
      </w:r>
      <w:r w:rsidRPr="00457736">
        <w:t xml:space="preserve">in commercial outcomes and </w:t>
      </w:r>
      <w:r w:rsidR="001D2406" w:rsidRPr="00457736">
        <w:t xml:space="preserve">30 delegates </w:t>
      </w:r>
      <w:r w:rsidRPr="00457736">
        <w:t>expected to enter into an international commercial agreement over the next 12 months.</w:t>
      </w:r>
    </w:p>
    <w:p w14:paraId="29957314" w14:textId="77777777" w:rsidR="00B82D1B" w:rsidRPr="00457736" w:rsidRDefault="00B82D1B" w:rsidP="00E21EAE">
      <w:r w:rsidRPr="00457736">
        <w:t xml:space="preserve">Over three quarters of the survey respondents that participated in an international event with </w:t>
      </w:r>
      <w:proofErr w:type="spellStart"/>
      <w:r w:rsidRPr="00457736">
        <w:t>AustCyber</w:t>
      </w:r>
      <w:proofErr w:type="spellEnd"/>
      <w:r w:rsidRPr="00457736">
        <w:t xml:space="preserve"> said they gained moderate or significant support to engage in new or enhanced collaboration with other Australian organisations on the same trip and to improve their understanding of overseas markets. </w:t>
      </w:r>
    </w:p>
    <w:p w14:paraId="656C8CEC" w14:textId="77777777" w:rsidR="00B82D1B" w:rsidRPr="00CB70B0" w:rsidRDefault="00E7352C" w:rsidP="00482CDD">
      <w:pPr>
        <w:pStyle w:val="Heading2"/>
        <w:spacing w:before="300" w:after="120" w:line="240" w:lineRule="exact"/>
        <w:rPr>
          <w:szCs w:val="20"/>
        </w:rPr>
      </w:pPr>
      <w:r w:rsidRPr="00482CDD">
        <w:rPr>
          <w:b/>
          <w:color w:val="000000" w:themeColor="text1"/>
          <w:sz w:val="20"/>
          <w:szCs w:val="20"/>
        </w:rPr>
        <w:t xml:space="preserve">Objective </w:t>
      </w:r>
      <w:r w:rsidR="005E2A3D" w:rsidRPr="00482CDD">
        <w:rPr>
          <w:b/>
          <w:color w:val="000000" w:themeColor="text1"/>
          <w:sz w:val="20"/>
          <w:szCs w:val="20"/>
        </w:rPr>
        <w:t>4</w:t>
      </w:r>
      <w:r w:rsidRPr="00482CDD">
        <w:rPr>
          <w:b/>
          <w:color w:val="000000" w:themeColor="text1"/>
          <w:sz w:val="20"/>
          <w:szCs w:val="20"/>
        </w:rPr>
        <w:t>: Identifying opportunities for regulatory reform</w:t>
      </w:r>
    </w:p>
    <w:p w14:paraId="10671E97" w14:textId="77777777" w:rsidR="00B82D1B" w:rsidRPr="00457736" w:rsidRDefault="00B82D1B" w:rsidP="00E21EAE">
      <w:proofErr w:type="spellStart"/>
      <w:r w:rsidRPr="00457736">
        <w:t>AustCyber</w:t>
      </w:r>
      <w:proofErr w:type="spellEnd"/>
      <w:r w:rsidRPr="00457736">
        <w:t xml:space="preserve"> has a twin focus on policy advocacy and regulatory reform, with the aim of communicating the role that governments in Australia can and should play in fostering sector development. </w:t>
      </w:r>
    </w:p>
    <w:p w14:paraId="5F0D4D10" w14:textId="77777777" w:rsidR="00B82D1B" w:rsidRPr="00457736" w:rsidRDefault="00B82D1B" w:rsidP="00E21EAE">
      <w:r w:rsidRPr="00457736">
        <w:t xml:space="preserve">Considering the relative infancy of the cyber security sector in Australia, </w:t>
      </w:r>
      <w:proofErr w:type="spellStart"/>
      <w:r w:rsidRPr="00457736">
        <w:t>AustCyber</w:t>
      </w:r>
      <w:proofErr w:type="spellEnd"/>
      <w:r w:rsidRPr="00457736">
        <w:t xml:space="preserve"> has taken a consultative approach to identifying regulatory reform priorities.</w:t>
      </w:r>
    </w:p>
    <w:p w14:paraId="1C524039" w14:textId="77777777" w:rsidR="00B82D1B" w:rsidRPr="00457736" w:rsidRDefault="00B82D1B" w:rsidP="00E21EAE">
      <w:pPr>
        <w:rPr>
          <w:rFonts w:eastAsia="Times New Roman" w:cs="Times New Roman"/>
          <w:b/>
          <w:color w:val="000000" w:themeColor="text1"/>
          <w:sz w:val="20"/>
          <w:szCs w:val="24"/>
          <w:lang w:eastAsia="en-AU"/>
        </w:rPr>
      </w:pPr>
      <w:proofErr w:type="spellStart"/>
      <w:r w:rsidRPr="00457736">
        <w:t>AustCyber’s</w:t>
      </w:r>
      <w:proofErr w:type="spellEnd"/>
      <w:r w:rsidRPr="00457736">
        <w:t xml:space="preserve"> recent regulatory reform work includes working with the MITRE Corporation to analyse the US Government’s National Institute of Standards and Technology’s (NIST) Mobile Device Security Practice Guide’s applicability to Australia. </w:t>
      </w:r>
      <w:proofErr w:type="spellStart"/>
      <w:r w:rsidRPr="00457736">
        <w:t>AustCyber</w:t>
      </w:r>
      <w:proofErr w:type="spellEnd"/>
      <w:r w:rsidRPr="00457736">
        <w:t xml:space="preserve"> </w:t>
      </w:r>
      <w:r w:rsidR="00180F23" w:rsidRPr="00457736">
        <w:t xml:space="preserve">intends  </w:t>
      </w:r>
      <w:r w:rsidRPr="00457736">
        <w:t xml:space="preserve"> to engage with domestic stakeholders on a roadmap to consider, and where relevant, implement recommendations from this work.</w:t>
      </w:r>
    </w:p>
    <w:p w14:paraId="1A768348" w14:textId="77777777" w:rsidR="00B82D1B" w:rsidRPr="00CB70B0" w:rsidRDefault="00B82D1B" w:rsidP="00482CDD">
      <w:pPr>
        <w:pStyle w:val="Heading2"/>
        <w:spacing w:before="300" w:after="120" w:line="240" w:lineRule="exact"/>
        <w:rPr>
          <w:szCs w:val="20"/>
        </w:rPr>
      </w:pPr>
      <w:r w:rsidRPr="00482CDD">
        <w:rPr>
          <w:b/>
          <w:color w:val="000000" w:themeColor="text1"/>
          <w:sz w:val="20"/>
          <w:szCs w:val="20"/>
        </w:rPr>
        <w:t>Additional or indirect outcomes</w:t>
      </w:r>
    </w:p>
    <w:p w14:paraId="4F9719F4" w14:textId="77777777" w:rsidR="00B82D1B" w:rsidRPr="00457736" w:rsidRDefault="00B82D1B" w:rsidP="00E21EAE">
      <w:proofErr w:type="spellStart"/>
      <w:r w:rsidRPr="00457736">
        <w:t>AustCyber</w:t>
      </w:r>
      <w:proofErr w:type="spellEnd"/>
      <w:r w:rsidRPr="00457736">
        <w:t xml:space="preserve"> has worked hard to raise awareness of its mission and programs. </w:t>
      </w:r>
      <w:proofErr w:type="spellStart"/>
      <w:r w:rsidRPr="00457736">
        <w:t>AustCyber</w:t>
      </w:r>
      <w:proofErr w:type="spellEnd"/>
      <w:r w:rsidRPr="00457736">
        <w:t xml:space="preserve"> </w:t>
      </w:r>
      <w:r w:rsidR="00A91A22" w:rsidRPr="00457736">
        <w:t xml:space="preserve">reports that its </w:t>
      </w:r>
      <w:r w:rsidRPr="00457736">
        <w:t xml:space="preserve">staff </w:t>
      </w:r>
      <w:r w:rsidRPr="00457736">
        <w:t>have delivered presentations, keynotes and participated in panels at over 140 conferences and events across a variety of sectors in Australia and overseas.</w:t>
      </w:r>
    </w:p>
    <w:p w14:paraId="72CB7357" w14:textId="77777777" w:rsidR="00B82D1B" w:rsidRPr="00457736" w:rsidRDefault="00B82D1B" w:rsidP="00E21EAE">
      <w:proofErr w:type="spellStart"/>
      <w:r w:rsidRPr="00457736">
        <w:t>AustCyber</w:t>
      </w:r>
      <w:proofErr w:type="spellEnd"/>
      <w:r w:rsidRPr="00457736">
        <w:t xml:space="preserve"> has a very active Twitter presence which includes the </w:t>
      </w:r>
      <w:r w:rsidR="008B374E" w:rsidRPr="00457736">
        <w:t>@</w:t>
      </w:r>
      <w:proofErr w:type="spellStart"/>
      <w:r w:rsidRPr="00457736">
        <w:t>AustCyber</w:t>
      </w:r>
      <w:proofErr w:type="spellEnd"/>
      <w:r w:rsidRPr="00457736">
        <w:t xml:space="preserve"> and </w:t>
      </w:r>
      <w:r w:rsidR="008B374E" w:rsidRPr="00457736">
        <w:t>@</w:t>
      </w:r>
      <w:proofErr w:type="spellStart"/>
      <w:r w:rsidRPr="00457736">
        <w:t>Cybe</w:t>
      </w:r>
      <w:r w:rsidR="00DE3E91">
        <w:t>r_</w:t>
      </w:r>
      <w:r w:rsidRPr="00457736">
        <w:t>Roo</w:t>
      </w:r>
      <w:proofErr w:type="spellEnd"/>
      <w:r w:rsidRPr="00457736">
        <w:t xml:space="preserve"> accounts.</w:t>
      </w:r>
    </w:p>
    <w:p w14:paraId="0214B84F" w14:textId="77777777" w:rsidR="00B82D1B" w:rsidRPr="00457736" w:rsidRDefault="00B82D1B" w:rsidP="00E21EAE">
      <w:proofErr w:type="spellStart"/>
      <w:r w:rsidRPr="00457736">
        <w:t>AustCyber</w:t>
      </w:r>
      <w:proofErr w:type="spellEnd"/>
      <w:r w:rsidRPr="00457736">
        <w:t xml:space="preserve"> has work</w:t>
      </w:r>
      <w:r w:rsidR="00A91A22" w:rsidRPr="00457736">
        <w:t>ed</w:t>
      </w:r>
      <w:r w:rsidRPr="00457736">
        <w:t xml:space="preserve"> </w:t>
      </w:r>
      <w:r w:rsidR="00A91A22" w:rsidRPr="00457736">
        <w:t xml:space="preserve">closely </w:t>
      </w:r>
      <w:r w:rsidRPr="00457736">
        <w:t xml:space="preserve">with government agencies to define and improve the understanding and measurement of what is still a very nascent sector. </w:t>
      </w:r>
    </w:p>
    <w:p w14:paraId="6FEF7128" w14:textId="77777777" w:rsidR="00B82D1B" w:rsidRPr="00CB70B0" w:rsidRDefault="00B82D1B" w:rsidP="00482CDD">
      <w:pPr>
        <w:pStyle w:val="Heading2"/>
        <w:spacing w:before="300" w:after="120" w:line="240" w:lineRule="exact"/>
        <w:rPr>
          <w:szCs w:val="20"/>
        </w:rPr>
      </w:pPr>
      <w:r w:rsidRPr="00482CDD">
        <w:rPr>
          <w:b/>
          <w:color w:val="000000" w:themeColor="text1"/>
          <w:sz w:val="20"/>
          <w:szCs w:val="20"/>
        </w:rPr>
        <w:t xml:space="preserve">Performance measurement </w:t>
      </w:r>
    </w:p>
    <w:p w14:paraId="4FD51028" w14:textId="77777777" w:rsidR="00B82D1B" w:rsidRPr="00457736" w:rsidRDefault="00B82D1B" w:rsidP="00E21EAE">
      <w:r w:rsidRPr="00457736">
        <w:t xml:space="preserve">The relatively small size of </w:t>
      </w:r>
      <w:proofErr w:type="spellStart"/>
      <w:r w:rsidRPr="00457736">
        <w:t>AustCyber’s</w:t>
      </w:r>
      <w:proofErr w:type="spellEnd"/>
      <w:r w:rsidRPr="00457736">
        <w:t xml:space="preserve"> sector may make impact measurement easier, but the sector’s relative infancy also means that there are no official ABS statistics that describe its characteristics and performance over time. </w:t>
      </w:r>
    </w:p>
    <w:p w14:paraId="3BD9AC6B" w14:textId="77777777" w:rsidR="00B82D1B" w:rsidRPr="00CB70B0" w:rsidRDefault="00B82D1B" w:rsidP="00482CDD">
      <w:pPr>
        <w:pStyle w:val="Heading2"/>
        <w:spacing w:before="300" w:after="120" w:line="240" w:lineRule="exact"/>
        <w:rPr>
          <w:szCs w:val="20"/>
        </w:rPr>
      </w:pPr>
      <w:r w:rsidRPr="00482CDD">
        <w:rPr>
          <w:b/>
          <w:color w:val="000000" w:themeColor="text1"/>
          <w:sz w:val="20"/>
          <w:szCs w:val="20"/>
        </w:rPr>
        <w:t xml:space="preserve">Sector impact </w:t>
      </w:r>
    </w:p>
    <w:p w14:paraId="28B84F34" w14:textId="77777777" w:rsidR="00B82D1B" w:rsidRPr="00457736" w:rsidRDefault="00B82D1B" w:rsidP="00E21EAE">
      <w:proofErr w:type="spellStart"/>
      <w:r w:rsidRPr="00457736">
        <w:t>AustCyber</w:t>
      </w:r>
      <w:proofErr w:type="spellEnd"/>
      <w:r w:rsidRPr="00457736">
        <w:t xml:space="preserve"> has already achieved strong sector support and buy-in for its mission of growing an Australian cyber security ecosystem – as evidenced by the positive qualitative feedback from survey respondents.</w:t>
      </w:r>
    </w:p>
    <w:p w14:paraId="41C3388F" w14:textId="77777777" w:rsidR="002C36E6" w:rsidRPr="00457736" w:rsidRDefault="002C36E6" w:rsidP="002C36E6">
      <w:proofErr w:type="spellStart"/>
      <w:r w:rsidRPr="00457736">
        <w:t>AustCyber</w:t>
      </w:r>
      <w:proofErr w:type="spellEnd"/>
      <w:r w:rsidRPr="00457736">
        <w:t xml:space="preserve"> has supported the growth of </w:t>
      </w:r>
      <w:r w:rsidR="00DE3E91">
        <w:t xml:space="preserve">a </w:t>
      </w:r>
      <w:r w:rsidRPr="00457736">
        <w:t xml:space="preserve">relatively high proportion of businesses. Of the thirty one business that responded to survey questions about how engaging with </w:t>
      </w:r>
      <w:proofErr w:type="spellStart"/>
      <w:r w:rsidRPr="00457736">
        <w:t>AustCyber</w:t>
      </w:r>
      <w:proofErr w:type="spellEnd"/>
      <w:r w:rsidRPr="00457736">
        <w:t xml:space="preserve"> had impacted their bottom line, eleven of the businesses (thirty six per cent) said that </w:t>
      </w:r>
      <w:proofErr w:type="spellStart"/>
      <w:r w:rsidRPr="00457736">
        <w:t>AustCyber</w:t>
      </w:r>
      <w:proofErr w:type="spellEnd"/>
      <w:r w:rsidRPr="00457736">
        <w:t xml:space="preserve"> has provided great support to grow their revenue, five (sixteen per cent) had great support to improve their profitability and eight (twenty six per cent) had great support to increase the number of employees.</w:t>
      </w:r>
    </w:p>
    <w:p w14:paraId="795DA867" w14:textId="77777777" w:rsidR="0022734D" w:rsidRPr="00457736" w:rsidRDefault="00B82D1B" w:rsidP="00503C01">
      <w:pPr>
        <w:sectPr w:rsidR="0022734D" w:rsidRPr="00457736" w:rsidSect="00195EE1">
          <w:type w:val="continuous"/>
          <w:pgSz w:w="11907" w:h="16839" w:code="9"/>
          <w:pgMar w:top="1304" w:right="1304" w:bottom="1304" w:left="1304" w:header="720" w:footer="720" w:gutter="0"/>
          <w:cols w:num="2" w:space="720"/>
          <w:titlePg/>
          <w:docGrid w:linePitch="360"/>
        </w:sectPr>
      </w:pPr>
      <w:proofErr w:type="spellStart"/>
      <w:r w:rsidRPr="00457736">
        <w:t>AustCyber’s</w:t>
      </w:r>
      <w:proofErr w:type="spellEnd"/>
      <w:r w:rsidRPr="00457736">
        <w:t xml:space="preserve"> impact thus far appears to have been more </w:t>
      </w:r>
      <w:r w:rsidR="004924F8">
        <w:t xml:space="preserve">visible </w:t>
      </w:r>
      <w:r w:rsidRPr="00457736">
        <w:t>in the ACT and NSW. This is likely to change as the new national network of nod</w:t>
      </w:r>
      <w:r w:rsidR="009A6925" w:rsidRPr="00457736">
        <w:t>es become operational.</w:t>
      </w:r>
    </w:p>
    <w:p w14:paraId="19126B2F" w14:textId="77777777" w:rsidR="009F6C46" w:rsidRPr="00457736" w:rsidRDefault="009F6C46" w:rsidP="00503C01"/>
    <w:p w14:paraId="72A6B5F9" w14:textId="77777777" w:rsidR="00B82D1B" w:rsidRPr="00457736" w:rsidRDefault="00B82D1B" w:rsidP="00B82D1B">
      <w:pPr>
        <w:pStyle w:val="Heading1"/>
      </w:pPr>
      <w:bookmarkStart w:id="21" w:name="_Toc531339604"/>
      <w:bookmarkStart w:id="22" w:name="_Toc535922971"/>
      <w:r w:rsidRPr="00457736">
        <w:lastRenderedPageBreak/>
        <w:t>Food Innovation Australia Limited (FIAL)</w:t>
      </w:r>
      <w:bookmarkEnd w:id="21"/>
      <w:bookmarkEnd w:id="22"/>
      <w:r w:rsidRPr="00457736">
        <w:t xml:space="preserve"> </w:t>
      </w:r>
    </w:p>
    <w:p w14:paraId="00A011BD" w14:textId="77777777" w:rsidR="00B82D1B" w:rsidRPr="00457736" w:rsidRDefault="00B82D1B" w:rsidP="00B82D1B">
      <w:pPr>
        <w:pStyle w:val="Caption"/>
      </w:pPr>
      <w:bookmarkStart w:id="23" w:name="_Hlk534294775"/>
      <w:r w:rsidRPr="00457736">
        <w:t xml:space="preserve">Figure </w:t>
      </w:r>
      <w:r w:rsidRPr="00457736">
        <w:fldChar w:fldCharType="begin"/>
      </w:r>
      <w:r w:rsidRPr="00457736">
        <w:instrText xml:space="preserve"> SEQ Figure \* ARABIC </w:instrText>
      </w:r>
      <w:r w:rsidRPr="00457736">
        <w:fldChar w:fldCharType="separate"/>
      </w:r>
      <w:r w:rsidR="00AD2D4B">
        <w:rPr>
          <w:noProof/>
        </w:rPr>
        <w:t>9</w:t>
      </w:r>
      <w:r w:rsidRPr="00457736">
        <w:fldChar w:fldCharType="end"/>
      </w:r>
      <w:r w:rsidRPr="00457736">
        <w:t xml:space="preserve"> | Key findings </w:t>
      </w:r>
    </w:p>
    <w:p w14:paraId="19BA4014" w14:textId="77777777" w:rsidR="00A57197" w:rsidRPr="00457736" w:rsidRDefault="00A57197" w:rsidP="00482CDD">
      <w:pPr>
        <w:pStyle w:val="TableNBullet"/>
        <w:pBdr>
          <w:top w:val="single" w:sz="4" w:space="1" w:color="auto"/>
        </w:pBdr>
        <w:rPr>
          <w:rFonts w:eastAsia="Segoe UI"/>
        </w:rPr>
      </w:pPr>
      <w:r w:rsidRPr="00457736">
        <w:rPr>
          <w:rFonts w:eastAsia="Segoe UI"/>
        </w:rPr>
        <w:t>FIAL is mostly on track to meet its business plan objectives and funding agreement requirements.</w:t>
      </w:r>
    </w:p>
    <w:p w14:paraId="19390819" w14:textId="77777777" w:rsidR="00A57197" w:rsidRPr="00457736" w:rsidRDefault="00A57197" w:rsidP="0011577F">
      <w:pPr>
        <w:pStyle w:val="TableNBullet"/>
        <w:rPr>
          <w:rFonts w:eastAsia="Segoe UI"/>
        </w:rPr>
      </w:pPr>
      <w:r w:rsidRPr="00457736">
        <w:rPr>
          <w:rFonts w:eastAsia="Segoe UI"/>
        </w:rPr>
        <w:t>FIAL has made the decision to keep its strategy largely unchanged for the last three years. FIAL has focused predominantly on working with business</w:t>
      </w:r>
      <w:r>
        <w:rPr>
          <w:rFonts w:eastAsia="Segoe UI"/>
        </w:rPr>
        <w:t>es</w:t>
      </w:r>
      <w:r w:rsidRPr="00457736">
        <w:rPr>
          <w:rFonts w:eastAsia="Segoe UI"/>
        </w:rPr>
        <w:t xml:space="preserve"> operating at the food processing stages of the sector value chain – as opposed to the agribusiness end.</w:t>
      </w:r>
    </w:p>
    <w:p w14:paraId="3BF86FD7" w14:textId="77777777" w:rsidR="00A57197" w:rsidRPr="00457736" w:rsidRDefault="00A57197" w:rsidP="005E2A3D">
      <w:pPr>
        <w:pStyle w:val="TableNBullet"/>
      </w:pPr>
      <w:r w:rsidRPr="00457736">
        <w:t>FIAL has focused heavily on building the market and product development capabilities of businesses through its Market Channel Readiness program of workshops, and on facilitating access to prospective overseas buyers through trade shows and missions.</w:t>
      </w:r>
    </w:p>
    <w:p w14:paraId="44E74CE4" w14:textId="77777777" w:rsidR="00A57197" w:rsidRPr="00457736" w:rsidRDefault="00A57197" w:rsidP="003D12B0">
      <w:pPr>
        <w:pStyle w:val="TableNBullet"/>
        <w:rPr>
          <w:rFonts w:eastAsia="Segoe UI"/>
        </w:rPr>
      </w:pPr>
      <w:r w:rsidRPr="00457736">
        <w:rPr>
          <w:rFonts w:eastAsia="Segoe UI"/>
        </w:rPr>
        <w:t>FIAL’s project fund comprises three streams. Two of the six projects approved under the core stream of project funding are on track to be completed. FIAL has co-funded 71 smaller projects through the Enterprise Solution Centre. FIAL recently announced funding for four clusters under its Cluster Programme.</w:t>
      </w:r>
    </w:p>
    <w:p w14:paraId="787DB319" w14:textId="77777777" w:rsidR="00A57197" w:rsidRPr="00457736" w:rsidRDefault="00A57197" w:rsidP="009A6925">
      <w:pPr>
        <w:pStyle w:val="TableNBullet"/>
      </w:pPr>
      <w:r w:rsidRPr="00457736">
        <w:t>Feedback from the survey respondents indicates that sector awareness levels of FIAL are moderate.</w:t>
      </w:r>
    </w:p>
    <w:p w14:paraId="094CB1FC" w14:textId="77777777" w:rsidR="00A57197" w:rsidRPr="00457736" w:rsidRDefault="00A57197" w:rsidP="009A6925">
      <w:pPr>
        <w:pStyle w:val="TableNBullet"/>
      </w:pPr>
      <w:r w:rsidRPr="00457736">
        <w:t>Survey respondents are generally satisfied with their engagement with FIAL.</w:t>
      </w:r>
    </w:p>
    <w:p w14:paraId="5E54B33D" w14:textId="77777777" w:rsidR="00A57197" w:rsidRPr="00457736" w:rsidRDefault="00A57197" w:rsidP="0011577F">
      <w:pPr>
        <w:pStyle w:val="TableNBullet"/>
      </w:pPr>
      <w:r w:rsidRPr="00457736">
        <w:t>There are mixed views about the extent to which FIAL effectively engages with other organisations. Some survey and interview feedback noted an apparent overlap in services, although some of the same stakeholders also reported that FIAL has addressed this duplication.</w:t>
      </w:r>
    </w:p>
    <w:p w14:paraId="726D08D1" w14:textId="48A9B568" w:rsidR="00A57197" w:rsidRPr="00A57197" w:rsidRDefault="00A57197" w:rsidP="00482CDD">
      <w:pPr>
        <w:pStyle w:val="TableNBullet"/>
        <w:pBdr>
          <w:bottom w:val="single" w:sz="4" w:space="1" w:color="auto"/>
        </w:pBdr>
      </w:pPr>
      <w:r w:rsidRPr="00457736">
        <w:rPr>
          <w:rFonts w:eastAsiaTheme="minorEastAsia"/>
        </w:rPr>
        <w:t xml:space="preserve">Whether FIAL’s initiatives </w:t>
      </w:r>
      <w:r w:rsidRPr="004924F8">
        <w:rPr>
          <w:rFonts w:eastAsiaTheme="minorEastAsia"/>
        </w:rPr>
        <w:t>have</w:t>
      </w:r>
      <w:r w:rsidRPr="00457736">
        <w:rPr>
          <w:rFonts w:eastAsiaTheme="minorEastAsia"/>
        </w:rPr>
        <w:t xml:space="preserve"> delivered sector-wide impact and/or additionality remains unclear as yet and will be challenging to identify in a large and fragmented sector. </w:t>
      </w:r>
    </w:p>
    <w:p w14:paraId="056D2ED1" w14:textId="77777777" w:rsidR="00A57197" w:rsidRPr="00457736" w:rsidRDefault="00A57197" w:rsidP="00A57197">
      <w:pPr>
        <w:pStyle w:val="TableNBullet"/>
        <w:numPr>
          <w:ilvl w:val="0"/>
          <w:numId w:val="0"/>
        </w:numPr>
        <w:ind w:left="227"/>
      </w:pPr>
    </w:p>
    <w:p w14:paraId="07AAB44E" w14:textId="77777777" w:rsidR="0022734D" w:rsidRPr="00457736" w:rsidRDefault="0022734D" w:rsidP="00B82D1B">
      <w:pPr>
        <w:sectPr w:rsidR="0022734D" w:rsidRPr="00457736" w:rsidSect="006E713F">
          <w:type w:val="continuous"/>
          <w:pgSz w:w="11907" w:h="16839" w:code="9"/>
          <w:pgMar w:top="1304" w:right="1304" w:bottom="1304" w:left="1304" w:header="720" w:footer="720" w:gutter="0"/>
          <w:cols w:space="720"/>
          <w:titlePg/>
          <w:docGrid w:linePitch="360"/>
        </w:sectPr>
      </w:pPr>
    </w:p>
    <w:bookmarkEnd w:id="23"/>
    <w:p w14:paraId="3AD3D06E" w14:textId="77777777" w:rsidR="00B82D1B" w:rsidRPr="00CB70B0" w:rsidRDefault="00B82D1B" w:rsidP="00482CDD">
      <w:pPr>
        <w:pStyle w:val="Heading2"/>
        <w:spacing w:before="300" w:after="120" w:line="240" w:lineRule="exact"/>
        <w:rPr>
          <w:szCs w:val="20"/>
        </w:rPr>
      </w:pPr>
      <w:r w:rsidRPr="00482CDD">
        <w:rPr>
          <w:b/>
          <w:color w:val="000000" w:themeColor="text1"/>
          <w:sz w:val="20"/>
          <w:szCs w:val="20"/>
        </w:rPr>
        <w:t xml:space="preserve">Operating environment </w:t>
      </w:r>
    </w:p>
    <w:p w14:paraId="6AEFD95C" w14:textId="77777777" w:rsidR="00B82D1B" w:rsidRPr="00457736" w:rsidRDefault="00B82D1B" w:rsidP="001D2406">
      <w:r w:rsidRPr="00457736">
        <w:t>FIAL operates in a large, diverse and highly fragmented sector that comprises multiple industries.</w:t>
      </w:r>
      <w:r w:rsidR="00B3001F" w:rsidRPr="00457736">
        <w:t xml:space="preserve"> </w:t>
      </w:r>
      <w:r w:rsidRPr="00457736">
        <w:t xml:space="preserve">This poses substantial challenges for entities like FIAL that have a sector-wide mandate in developing strategies that affect change across the sector. </w:t>
      </w:r>
      <w:r w:rsidRPr="00457736">
        <w:rPr>
          <w:lang w:eastAsia="en-AU"/>
        </w:rPr>
        <w:t xml:space="preserve">There is also an extensive array of government, not-for-profit and private </w:t>
      </w:r>
      <w:r w:rsidRPr="00457736">
        <w:t xml:space="preserve">sector </w:t>
      </w:r>
      <w:r w:rsidRPr="00457736">
        <w:rPr>
          <w:lang w:eastAsia="en-AU"/>
        </w:rPr>
        <w:t>entities working across the Food and Agribusiness sector.</w:t>
      </w:r>
      <w:r w:rsidRPr="00457736">
        <w:t xml:space="preserve"> </w:t>
      </w:r>
    </w:p>
    <w:p w14:paraId="0E72909E" w14:textId="77777777" w:rsidR="0022734D" w:rsidRPr="00457736" w:rsidRDefault="0022734D" w:rsidP="0022734D">
      <w:pPr>
        <w:pStyle w:val="Caption"/>
      </w:pPr>
      <w:r w:rsidRPr="00457736">
        <w:t xml:space="preserve">Figure </w:t>
      </w:r>
      <w:r w:rsidRPr="00457736">
        <w:fldChar w:fldCharType="begin"/>
      </w:r>
      <w:r w:rsidRPr="00457736">
        <w:instrText xml:space="preserve"> SEQ Figure \* ARABIC </w:instrText>
      </w:r>
      <w:r w:rsidRPr="00457736">
        <w:fldChar w:fldCharType="separate"/>
      </w:r>
      <w:r w:rsidR="00AD2D4B">
        <w:rPr>
          <w:noProof/>
        </w:rPr>
        <w:t>10</w:t>
      </w:r>
      <w:r w:rsidRPr="00457736">
        <w:fldChar w:fldCharType="end"/>
      </w:r>
      <w:r w:rsidRPr="00457736">
        <w:t xml:space="preserve"> | Overview of FIAL’s stakeholder survey </w:t>
      </w:r>
    </w:p>
    <w:tbl>
      <w:tblPr>
        <w:tblStyle w:val="NousTableSide"/>
        <w:tblW w:w="5000" w:type="pct"/>
        <w:tblLook w:val="06A0" w:firstRow="1" w:lastRow="0" w:firstColumn="1" w:lastColumn="0" w:noHBand="1" w:noVBand="1"/>
        <w:tblCaption w:val="The table lists data regarding stakeholder survey invites and response rates for FIAL."/>
        <w:tblDescription w:val="Table headings are listed in rows on the right with the respective data presented in the adjacent column."/>
      </w:tblPr>
      <w:tblGrid>
        <w:gridCol w:w="1902"/>
        <w:gridCol w:w="2364"/>
      </w:tblGrid>
      <w:tr w:rsidR="001D2406" w:rsidRPr="00457736" w14:paraId="7F78BECE"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2229" w:type="pct"/>
            <w:hideMark/>
          </w:tcPr>
          <w:p w14:paraId="5C22A9FB" w14:textId="77777777" w:rsidR="001D2406" w:rsidRPr="00457736" w:rsidRDefault="001D2406" w:rsidP="00863FF2">
            <w:pPr>
              <w:pStyle w:val="Tableexpheader"/>
              <w:rPr>
                <w:highlight w:val="green"/>
              </w:rPr>
            </w:pPr>
            <w:r w:rsidRPr="00457736">
              <w:t>Responses:</w:t>
            </w:r>
          </w:p>
        </w:tc>
        <w:tc>
          <w:tcPr>
            <w:tcW w:w="2771" w:type="pct"/>
            <w:hideMark/>
          </w:tcPr>
          <w:p w14:paraId="38DFDEF2" w14:textId="77777777" w:rsidR="001D2406" w:rsidRPr="00457736" w:rsidRDefault="001D2406" w:rsidP="00347F2B">
            <w:pPr>
              <w:pStyle w:val="TableExpText"/>
              <w:cnfStyle w:val="000000000000" w:firstRow="0" w:lastRow="0" w:firstColumn="0" w:lastColumn="0" w:oddVBand="0" w:evenVBand="0" w:oddHBand="0" w:evenHBand="0" w:firstRowFirstColumn="0" w:firstRowLastColumn="0" w:lastRowFirstColumn="0" w:lastRowLastColumn="0"/>
              <w:rPr>
                <w:highlight w:val="green"/>
              </w:rPr>
            </w:pPr>
            <w:r w:rsidRPr="00457736">
              <w:t>417</w:t>
            </w:r>
          </w:p>
        </w:tc>
      </w:tr>
      <w:tr w:rsidR="001D2406" w:rsidRPr="00457736" w14:paraId="36DE28FD"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2229" w:type="pct"/>
            <w:hideMark/>
          </w:tcPr>
          <w:p w14:paraId="563CDD52" w14:textId="77777777" w:rsidR="001D2406" w:rsidRPr="00457736" w:rsidRDefault="001D2406" w:rsidP="00863FF2">
            <w:pPr>
              <w:pStyle w:val="Tableexpheader"/>
            </w:pPr>
            <w:r w:rsidRPr="00457736">
              <w:t>Stakeholders invited to respond:</w:t>
            </w:r>
          </w:p>
        </w:tc>
        <w:tc>
          <w:tcPr>
            <w:tcW w:w="2771" w:type="pct"/>
            <w:hideMark/>
          </w:tcPr>
          <w:p w14:paraId="78036F9F" w14:textId="77777777" w:rsidR="001D2406" w:rsidRPr="00457736" w:rsidRDefault="001D2406" w:rsidP="00347F2B">
            <w:pPr>
              <w:pStyle w:val="TableExpText"/>
              <w:cnfStyle w:val="000000000000" w:firstRow="0" w:lastRow="0" w:firstColumn="0" w:lastColumn="0" w:oddVBand="0" w:evenVBand="0" w:oddHBand="0" w:evenHBand="0" w:firstRowFirstColumn="0" w:firstRowLastColumn="0" w:lastRowFirstColumn="0" w:lastRowLastColumn="0"/>
            </w:pPr>
            <w:r w:rsidRPr="00457736">
              <w:t>~4,000</w:t>
            </w:r>
          </w:p>
        </w:tc>
      </w:tr>
      <w:tr w:rsidR="001D2406" w:rsidRPr="00457736" w14:paraId="5E233FAE"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2229" w:type="pct"/>
            <w:hideMark/>
          </w:tcPr>
          <w:p w14:paraId="03D74010" w14:textId="77777777" w:rsidR="001D2406" w:rsidRPr="00457736" w:rsidRDefault="001D2406" w:rsidP="00863FF2">
            <w:pPr>
              <w:pStyle w:val="Tableexpheader"/>
            </w:pPr>
            <w:r w:rsidRPr="00457736">
              <w:t>Response rate:</w:t>
            </w:r>
          </w:p>
        </w:tc>
        <w:tc>
          <w:tcPr>
            <w:tcW w:w="2771" w:type="pct"/>
            <w:hideMark/>
          </w:tcPr>
          <w:p w14:paraId="73C16A98" w14:textId="77777777" w:rsidR="001D2406" w:rsidRPr="00457736" w:rsidRDefault="001D2406" w:rsidP="00347F2B">
            <w:pPr>
              <w:pStyle w:val="TableExpText"/>
              <w:cnfStyle w:val="000000000000" w:firstRow="0" w:lastRow="0" w:firstColumn="0" w:lastColumn="0" w:oddVBand="0" w:evenVBand="0" w:oddHBand="0" w:evenHBand="0" w:firstRowFirstColumn="0" w:firstRowLastColumn="0" w:lastRowFirstColumn="0" w:lastRowLastColumn="0"/>
            </w:pPr>
            <w:r w:rsidRPr="00457736">
              <w:t>~10</w:t>
            </w:r>
            <w:r w:rsidR="00210D33" w:rsidRPr="00457736">
              <w:t xml:space="preserve"> </w:t>
            </w:r>
            <w:r w:rsidR="00D12938" w:rsidRPr="00457736">
              <w:t>per cent</w:t>
            </w:r>
          </w:p>
        </w:tc>
      </w:tr>
      <w:tr w:rsidR="001D2406" w:rsidRPr="00457736" w14:paraId="13C3BA3E"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2229" w:type="pct"/>
            <w:hideMark/>
          </w:tcPr>
          <w:p w14:paraId="094ED6CC" w14:textId="77777777" w:rsidR="001D2406" w:rsidRPr="00457736" w:rsidRDefault="001D2406" w:rsidP="00863FF2">
            <w:pPr>
              <w:pStyle w:val="Tableexpheader"/>
            </w:pPr>
            <w:r w:rsidRPr="00457736">
              <w:t>Distribution rationale:</w:t>
            </w:r>
          </w:p>
        </w:tc>
        <w:tc>
          <w:tcPr>
            <w:tcW w:w="2771" w:type="pct"/>
            <w:hideMark/>
          </w:tcPr>
          <w:p w14:paraId="309308C2" w14:textId="77777777" w:rsidR="001D2406" w:rsidRPr="00457736" w:rsidRDefault="00A63800" w:rsidP="00347F2B">
            <w:pPr>
              <w:pStyle w:val="TableExpText"/>
              <w:cnfStyle w:val="000000000000" w:firstRow="0" w:lastRow="0" w:firstColumn="0" w:lastColumn="0" w:oddVBand="0" w:evenVBand="0" w:oddHBand="0" w:evenHBand="0" w:firstRowFirstColumn="0" w:firstRowLastColumn="0" w:lastRowFirstColumn="0" w:lastRowLastColumn="0"/>
            </w:pPr>
            <w:r w:rsidRPr="00457736">
              <w:t>D</w:t>
            </w:r>
            <w:r w:rsidR="001D2406" w:rsidRPr="00457736">
              <w:t xml:space="preserve">istributed to all contacts in </w:t>
            </w:r>
            <w:r w:rsidRPr="00457736">
              <w:t xml:space="preserve">FIAL’s </w:t>
            </w:r>
            <w:r w:rsidR="001D2406" w:rsidRPr="00457736">
              <w:t xml:space="preserve">CRM who have agreed to receive their </w:t>
            </w:r>
            <w:proofErr w:type="spellStart"/>
            <w:r w:rsidR="001D2406" w:rsidRPr="00457736">
              <w:t>mailouts</w:t>
            </w:r>
            <w:proofErr w:type="spellEnd"/>
            <w:r w:rsidR="001D2406" w:rsidRPr="00457736">
              <w:t>.</w:t>
            </w:r>
          </w:p>
        </w:tc>
      </w:tr>
    </w:tbl>
    <w:p w14:paraId="56CCA61A" w14:textId="77777777" w:rsidR="00144A6A" w:rsidRPr="00457736" w:rsidRDefault="00144A6A" w:rsidP="00144A6A">
      <w:bookmarkStart w:id="24" w:name="_Hlk534377372"/>
      <w:r w:rsidRPr="00457736">
        <w:t>Some of the barriers to sector growth identified by FIAL include</w:t>
      </w:r>
      <w:bookmarkEnd w:id="24"/>
      <w:r w:rsidRPr="00457736">
        <w:t xml:space="preserve">: prevailing cultural attitudes towards risk aversion and not making the investments required to secure existing market share or grow new markets; a general reluctance to engage, cooperate and collaborate with SMEs and other stakeholders; misalignment between the federal, state, local and regional levels of government in the provision of </w:t>
      </w:r>
      <w:r w:rsidRPr="00457736">
        <w:t>services to build the capability and competence of the industry; and a disconnect between the research community and businesses is resulting in poorly defined business solutions and commercialisation outcomes.</w:t>
      </w:r>
    </w:p>
    <w:p w14:paraId="040D1B86" w14:textId="77777777" w:rsidR="00B82D1B" w:rsidRPr="00CB70B0" w:rsidRDefault="00B82D1B" w:rsidP="00482CDD">
      <w:pPr>
        <w:pStyle w:val="Heading2"/>
        <w:spacing w:before="300" w:after="120" w:line="240" w:lineRule="exact"/>
        <w:rPr>
          <w:szCs w:val="20"/>
        </w:rPr>
      </w:pPr>
      <w:r w:rsidRPr="00482CDD">
        <w:rPr>
          <w:b/>
          <w:color w:val="000000" w:themeColor="text1"/>
          <w:sz w:val="20"/>
          <w:szCs w:val="20"/>
        </w:rPr>
        <w:t xml:space="preserve">Strategy </w:t>
      </w:r>
    </w:p>
    <w:p w14:paraId="05E5A2A0" w14:textId="77777777" w:rsidR="00B82D1B" w:rsidRPr="00457736" w:rsidRDefault="00B82D1B" w:rsidP="001D2406">
      <w:r w:rsidRPr="00457736">
        <w:t>FIAL has deliberately adopted a narrow and targeted engagement approach to work more with businesses in the food sector, although</w:t>
      </w:r>
      <w:r w:rsidR="009E2D11" w:rsidRPr="00457736">
        <w:t xml:space="preserve"> this has changed in recent times with an increased focus on </w:t>
      </w:r>
      <w:r w:rsidR="009E2D11" w:rsidRPr="00457736">
        <w:rPr>
          <w:lang w:eastAsia="en-AU"/>
        </w:rPr>
        <w:t>value-adding agribusinesses</w:t>
      </w:r>
      <w:r w:rsidRPr="00457736">
        <w:t>.</w:t>
      </w:r>
    </w:p>
    <w:p w14:paraId="559C776A" w14:textId="77777777" w:rsidR="00B82D1B" w:rsidRPr="00457736" w:rsidRDefault="00B82D1B" w:rsidP="001D2406">
      <w:r w:rsidRPr="00457736">
        <w:t xml:space="preserve">The overarching objective of FIAL’s strategy has been to support businesses in the sector to move from ‘Businesses of Today’ to ‘Businesses of Tomorrow’ (which are more willing to take risks to grow) through cultural and transformational business change. FIAL’s first Sector Competitiveness Plan estimated that there were only 3,000 ‘Businesses of Tomorrow’ – which equated to five </w:t>
      </w:r>
      <w:r w:rsidR="00E7132C" w:rsidRPr="00457736">
        <w:t>per cent</w:t>
      </w:r>
      <w:r w:rsidRPr="00457736">
        <w:t xml:space="preserve"> of the 57,000 businesses in the sector </w:t>
      </w:r>
      <w:r w:rsidR="00801F94" w:rsidRPr="00457736">
        <w:t xml:space="preserve">that were operating and employing staff </w:t>
      </w:r>
      <w:r w:rsidRPr="00457736">
        <w:t xml:space="preserve">in 2016/17. </w:t>
      </w:r>
    </w:p>
    <w:p w14:paraId="6E9E0C8D" w14:textId="77777777" w:rsidR="00B82D1B" w:rsidRPr="00457736" w:rsidRDefault="00B82D1B" w:rsidP="001D2406">
      <w:r w:rsidRPr="00457736">
        <w:t xml:space="preserve">FIAL has focused its efforts primarily on the </w:t>
      </w:r>
      <w:r w:rsidR="004A75C7" w:rsidRPr="00457736">
        <w:t>I</w:t>
      </w:r>
      <w:r w:rsidRPr="00457736">
        <w:t>nitiative</w:t>
      </w:r>
      <w:r w:rsidR="004A75C7" w:rsidRPr="00457736">
        <w:t>’s</w:t>
      </w:r>
      <w:r w:rsidRPr="00457736">
        <w:t xml:space="preserve"> objectives of increasing collaboration and commercialisation and improving access to global supply chains and international opportunities. FIAL’s main levers for executing its strategy have been to build business capability (primarily through </w:t>
      </w:r>
      <w:r w:rsidRPr="00457736">
        <w:lastRenderedPageBreak/>
        <w:t xml:space="preserve">workshops) and fund small scale projects with individual businesses. </w:t>
      </w:r>
    </w:p>
    <w:p w14:paraId="40545E68" w14:textId="77777777" w:rsidR="00B82D1B" w:rsidRPr="00CB70B0" w:rsidRDefault="00B82D1B" w:rsidP="00482CDD">
      <w:pPr>
        <w:pStyle w:val="Heading2"/>
        <w:spacing w:before="300" w:after="120" w:line="240" w:lineRule="exact"/>
        <w:rPr>
          <w:szCs w:val="20"/>
        </w:rPr>
      </w:pPr>
      <w:r w:rsidRPr="00482CDD">
        <w:rPr>
          <w:b/>
          <w:color w:val="000000" w:themeColor="text1"/>
          <w:sz w:val="20"/>
          <w:szCs w:val="20"/>
        </w:rPr>
        <w:t>Sector engagement</w:t>
      </w:r>
    </w:p>
    <w:p w14:paraId="7FB685E2" w14:textId="77777777" w:rsidR="00D727FA" w:rsidRPr="00457736" w:rsidRDefault="00195EE1" w:rsidP="00D727FA">
      <w:r w:rsidRPr="00457736">
        <w:t>FIAL reported in mid-2017 that over 3,500 stakeholders had participated in its capability building workshops.</w:t>
      </w:r>
      <w:r w:rsidR="00D727FA" w:rsidRPr="00457736">
        <w:t xml:space="preserve"> </w:t>
      </w:r>
    </w:p>
    <w:p w14:paraId="183B2198" w14:textId="77777777" w:rsidR="00D727FA" w:rsidRPr="00457736" w:rsidRDefault="00D727FA" w:rsidP="00D727FA">
      <w:r w:rsidRPr="00457736">
        <w:t xml:space="preserve">FIAL typically works with businesses that are more innovation-active, export-focused and larger than broader sector averages. </w:t>
      </w:r>
    </w:p>
    <w:p w14:paraId="2F848CAD" w14:textId="77777777" w:rsidR="00D727FA" w:rsidRPr="00457736" w:rsidRDefault="00D727FA" w:rsidP="00E41B2A">
      <w:bookmarkStart w:id="25" w:name="_Hlk534384480"/>
      <w:r w:rsidRPr="00457736">
        <w:t>Feedback from the survey respondents indicates that sector awareness levels of FIAL are moderate – which is to be expected given the sector’s size and diversity.</w:t>
      </w:r>
    </w:p>
    <w:p w14:paraId="0B159521" w14:textId="77777777" w:rsidR="00D727FA" w:rsidRPr="00457736" w:rsidRDefault="00B82D1B" w:rsidP="00E41B2A">
      <w:r w:rsidRPr="00457736">
        <w:t xml:space="preserve">Survey results indicate that half of FIAL’s stakeholders interact with it a few times a year - most commonly to participate in FIAL events. </w:t>
      </w:r>
    </w:p>
    <w:p w14:paraId="5606C304" w14:textId="77777777" w:rsidR="00B82D1B" w:rsidRPr="00457736" w:rsidRDefault="00B82D1B" w:rsidP="00E41B2A">
      <w:r w:rsidRPr="00457736">
        <w:t xml:space="preserve">Survey respondents are generally satisfied with their engagement with FIAL </w:t>
      </w:r>
      <w:r w:rsidR="00E83640" w:rsidRPr="00457736">
        <w:t xml:space="preserve">- </w:t>
      </w:r>
      <w:r w:rsidR="0082503F" w:rsidRPr="00457736">
        <w:t>although we note the potential for positive response bias</w:t>
      </w:r>
      <w:r w:rsidRPr="00457736">
        <w:t xml:space="preserve"> in who responds</w:t>
      </w:r>
      <w:bookmarkEnd w:id="25"/>
      <w:r w:rsidRPr="00457736">
        <w:t>.</w:t>
      </w:r>
    </w:p>
    <w:p w14:paraId="5C745ADA" w14:textId="77777777" w:rsidR="00D411FD" w:rsidRPr="00CB70B0" w:rsidRDefault="00D411FD" w:rsidP="00482CDD">
      <w:pPr>
        <w:pStyle w:val="Heading2"/>
        <w:spacing w:before="300" w:after="120" w:line="240" w:lineRule="exact"/>
        <w:rPr>
          <w:szCs w:val="20"/>
        </w:rPr>
      </w:pPr>
      <w:r w:rsidRPr="00482CDD">
        <w:rPr>
          <w:b/>
          <w:color w:val="000000" w:themeColor="text1"/>
          <w:sz w:val="20"/>
          <w:szCs w:val="20"/>
        </w:rPr>
        <w:t>Project funding</w:t>
      </w:r>
    </w:p>
    <w:p w14:paraId="76CE3455" w14:textId="77777777" w:rsidR="00B82D1B" w:rsidRPr="00457736" w:rsidRDefault="00B82D1B" w:rsidP="00E41B2A">
      <w:r w:rsidRPr="00457736">
        <w:t xml:space="preserve">FIAL provides funding to businesses and research entities in the sector through three main programs: </w:t>
      </w:r>
      <w:r w:rsidR="006920D8" w:rsidRPr="00457736">
        <w:t>The</w:t>
      </w:r>
      <w:r w:rsidRPr="00457736">
        <w:t xml:space="preserve"> Core Project Fund; the Enterprises Solutions Centre; and the Cluster Programme.</w:t>
      </w:r>
    </w:p>
    <w:p w14:paraId="5FBAAA98" w14:textId="77777777" w:rsidR="00B82D1B" w:rsidRPr="00457736" w:rsidRDefault="00B82D1B" w:rsidP="00E41B2A">
      <w:r w:rsidRPr="00457736">
        <w:t xml:space="preserve">The progress of projects under FIAL’s core </w:t>
      </w:r>
      <w:r w:rsidR="00D727FA" w:rsidRPr="00457736">
        <w:t xml:space="preserve">program </w:t>
      </w:r>
      <w:r w:rsidRPr="00457736">
        <w:t>of project funding are behind target.</w:t>
      </w:r>
      <w:r w:rsidR="00B3001F" w:rsidRPr="00457736">
        <w:t xml:space="preserve"> </w:t>
      </w:r>
      <w:r w:rsidR="00E83640" w:rsidRPr="00457736">
        <w:t>Two of the six projects are on track to be completed.</w:t>
      </w:r>
      <w:r w:rsidR="009E2D11" w:rsidRPr="00457736">
        <w:t xml:space="preserve"> </w:t>
      </w:r>
      <w:r w:rsidR="009E2D11" w:rsidRPr="00457736">
        <w:rPr>
          <w:rFonts w:eastAsia="Segoe UI"/>
        </w:rPr>
        <w:t xml:space="preserve">The other four funded projects </w:t>
      </w:r>
      <w:r w:rsidR="00D727FA" w:rsidRPr="00457736">
        <w:rPr>
          <w:rFonts w:eastAsia="Segoe UI"/>
        </w:rPr>
        <w:t>are un</w:t>
      </w:r>
      <w:r w:rsidR="009E2D11" w:rsidRPr="00457736">
        <w:rPr>
          <w:rFonts w:eastAsia="Segoe UI"/>
        </w:rPr>
        <w:t xml:space="preserve">likely </w:t>
      </w:r>
      <w:r w:rsidR="00D727FA" w:rsidRPr="00457736">
        <w:rPr>
          <w:rFonts w:eastAsia="Segoe UI"/>
        </w:rPr>
        <w:t xml:space="preserve">to </w:t>
      </w:r>
      <w:r w:rsidR="009E2D11" w:rsidRPr="00457736">
        <w:rPr>
          <w:rFonts w:eastAsia="Segoe UI"/>
        </w:rPr>
        <w:t xml:space="preserve">be completed </w:t>
      </w:r>
      <w:r w:rsidR="00D727FA" w:rsidRPr="00457736">
        <w:rPr>
          <w:rFonts w:eastAsia="Segoe UI"/>
        </w:rPr>
        <w:t xml:space="preserve">because of </w:t>
      </w:r>
      <w:r w:rsidR="009E2D11" w:rsidRPr="00457736">
        <w:rPr>
          <w:rFonts w:eastAsia="Segoe UI"/>
        </w:rPr>
        <w:t>issues related to IP ownership</w:t>
      </w:r>
      <w:r w:rsidR="00D01047" w:rsidRPr="00457736">
        <w:rPr>
          <w:rFonts w:eastAsia="Segoe UI"/>
        </w:rPr>
        <w:t xml:space="preserve"> and compliance with funding eligibility criteria</w:t>
      </w:r>
      <w:r w:rsidR="009E2D11" w:rsidRPr="00457736">
        <w:rPr>
          <w:rFonts w:eastAsia="Segoe UI"/>
        </w:rPr>
        <w:t>.</w:t>
      </w:r>
    </w:p>
    <w:p w14:paraId="172F8407" w14:textId="77777777" w:rsidR="00B82D1B" w:rsidRPr="00457736" w:rsidRDefault="00B82D1B" w:rsidP="00E41B2A">
      <w:r w:rsidRPr="00457736">
        <w:t xml:space="preserve">FIAL has co-funded 71 smaller projects through the Enterprise Solution Centre (ESC) across five funding streams. Four of these streams are co-funded by various state government agencies. Two thirds of ESC funding recipients are defined by FIAL as small businesses and there is an even split between metropolitan based and rural and regional recipients. </w:t>
      </w:r>
    </w:p>
    <w:p w14:paraId="5404BC1C" w14:textId="7D9E3027" w:rsidR="00D727FA" w:rsidRDefault="00D727FA" w:rsidP="00D727FA">
      <w:bookmarkStart w:id="26" w:name="_Hlk527397215"/>
      <w:r w:rsidRPr="00457736">
        <w:t>Not all off the ESC-funded projects will achieve benefits. For at least 13 of the funded projects, the expected outcomes are not likely to be realised for a variety of reasons</w:t>
      </w:r>
      <w:bookmarkEnd w:id="26"/>
      <w:r w:rsidRPr="00457736">
        <w:t xml:space="preserve">. These reasons include funding recipients going out of business, solutions not being commercially viable, legal proceedings and IP issues, or no viable paths to market. </w:t>
      </w:r>
    </w:p>
    <w:p w14:paraId="5904890D" w14:textId="77777777" w:rsidR="00974BF9" w:rsidRPr="00457736" w:rsidRDefault="00974BF9" w:rsidP="00974BF9">
      <w:bookmarkStart w:id="27" w:name="_Hlk527397190"/>
      <w:r w:rsidRPr="00457736">
        <w:t>The extent to which outcomes and benefits have been realised and can be measured across the ESC</w:t>
      </w:r>
      <w:r w:rsidRPr="00457736">
        <w:noBreakHyphen/>
        <w:t xml:space="preserve">funded projects varies substantially. FIAL has published several case studies on businesses that have received ESC funding on its website and </w:t>
      </w:r>
      <w:r w:rsidRPr="00457736">
        <w:t>conducted initial assessments of potential economic benefits.</w:t>
      </w:r>
      <w:bookmarkEnd w:id="27"/>
      <w:r w:rsidRPr="00457736">
        <w:t xml:space="preserve"> </w:t>
      </w:r>
    </w:p>
    <w:p w14:paraId="54B1614D" w14:textId="77777777" w:rsidR="00D727FA" w:rsidRPr="00457736" w:rsidRDefault="00D727FA" w:rsidP="00E41B2A">
      <w:bookmarkStart w:id="28" w:name="_Hlk527397244"/>
      <w:r w:rsidRPr="00974BF9">
        <w:t>Those businesses that received ESC funding and responded to the survey identified “</w:t>
      </w:r>
      <w:r w:rsidRPr="00974BF9">
        <w:rPr>
          <w:lang w:eastAsia="en-AU"/>
        </w:rPr>
        <w:t>new or enhanced collaboration with researchers” and “dedicated funding to commercialise an existing idea” as the outcomes they most expect to realise.</w:t>
      </w:r>
      <w:bookmarkEnd w:id="28"/>
      <w:r w:rsidRPr="00457736">
        <w:rPr>
          <w:lang w:eastAsia="en-AU"/>
        </w:rPr>
        <w:t xml:space="preserve"> </w:t>
      </w:r>
    </w:p>
    <w:p w14:paraId="33EEACBA" w14:textId="77777777" w:rsidR="00B82D1B" w:rsidRPr="00457736" w:rsidRDefault="00B82D1B" w:rsidP="00B82D1B">
      <w:pPr>
        <w:pStyle w:val="TableNText"/>
      </w:pPr>
      <w:r w:rsidRPr="00457736">
        <w:t>FIAL recently announced funding for four clusters under its Cluster Programme after receiving 32 applications for funding. Three of the four funded clusters are pre-existing.</w:t>
      </w:r>
    </w:p>
    <w:p w14:paraId="666528AB" w14:textId="77777777" w:rsidR="00B82D1B" w:rsidRPr="00CB70B0" w:rsidRDefault="00E60C7B" w:rsidP="00482CDD">
      <w:pPr>
        <w:pStyle w:val="Heading2"/>
        <w:spacing w:before="300" w:after="120" w:line="240" w:lineRule="exact"/>
        <w:rPr>
          <w:szCs w:val="20"/>
        </w:rPr>
      </w:pPr>
      <w:r w:rsidRPr="00482CDD">
        <w:rPr>
          <w:b/>
          <w:color w:val="000000" w:themeColor="text1"/>
          <w:sz w:val="20"/>
          <w:szCs w:val="20"/>
        </w:rPr>
        <w:t>Objective 1: Increasing collaboration and commercialisation</w:t>
      </w:r>
    </w:p>
    <w:p w14:paraId="51D624CD" w14:textId="77777777" w:rsidR="00B82D1B" w:rsidRPr="00457736" w:rsidRDefault="00B82D1B" w:rsidP="00E41B2A">
      <w:r w:rsidRPr="00457736">
        <w:t>FIAL has played an important role as a connector and facilitator within the sector. Over two thirds of businesses responding to the online survey stated that FIAL has provided some or great support to build relationships and networks with other businesses. Over two thirds of non-business respondents (e.g. universities and research organisations) said that FIAL has provided some or great support to better understand how to collaborate on challenges in the sector to provide solutions.</w:t>
      </w:r>
    </w:p>
    <w:p w14:paraId="1F4EAFE8" w14:textId="77777777" w:rsidR="00B82D1B" w:rsidRPr="00457736" w:rsidRDefault="00B82D1B" w:rsidP="00E41B2A">
      <w:r w:rsidRPr="00457736">
        <w:t xml:space="preserve">In 2017/18, 92 </w:t>
      </w:r>
      <w:r w:rsidR="00D727FA" w:rsidRPr="00457736">
        <w:t>people from</w:t>
      </w:r>
      <w:r w:rsidRPr="00457736">
        <w:t xml:space="preserve"> businesses and research organisations participated in the Innovation Readiness series of workshops</w:t>
      </w:r>
      <w:r w:rsidR="00D727FA" w:rsidRPr="00457736">
        <w:t>. These workshops are</w:t>
      </w:r>
      <w:r w:rsidRPr="00457736">
        <w:t xml:space="preserve"> designed to stimulate innovation and broker connections and collaboration.</w:t>
      </w:r>
    </w:p>
    <w:p w14:paraId="28BF0C2F" w14:textId="77777777" w:rsidR="00B82D1B" w:rsidRPr="00457736" w:rsidRDefault="00B82D1B" w:rsidP="00E41B2A">
      <w:r w:rsidRPr="00457736">
        <w:t>FIAL is involved in the creation and management of sector-related CRCs</w:t>
      </w:r>
      <w:r w:rsidR="00D727FA" w:rsidRPr="00457736">
        <w:t xml:space="preserve">. This </w:t>
      </w:r>
      <w:r w:rsidRPr="00457736">
        <w:t>includ</w:t>
      </w:r>
      <w:r w:rsidR="00D727FA" w:rsidRPr="00457736">
        <w:t>es</w:t>
      </w:r>
      <w:r w:rsidRPr="00457736">
        <w:t xml:space="preserve"> supporting the development of the Food Agility CRC and </w:t>
      </w:r>
      <w:r w:rsidR="00D727FA" w:rsidRPr="00457736">
        <w:t xml:space="preserve">supporting the development of the Stage-1 bid for and </w:t>
      </w:r>
      <w:r w:rsidRPr="00457736">
        <w:t xml:space="preserve">sitting on the board </w:t>
      </w:r>
      <w:r w:rsidR="00D727FA" w:rsidRPr="00457736">
        <w:t xml:space="preserve">of </w:t>
      </w:r>
      <w:r w:rsidRPr="00457736">
        <w:t>the Fight Food Waste and Fraud CRC.</w:t>
      </w:r>
    </w:p>
    <w:p w14:paraId="444323B1" w14:textId="77777777" w:rsidR="00E7352C" w:rsidRPr="00CB70B0" w:rsidRDefault="00E7352C" w:rsidP="00482CDD">
      <w:pPr>
        <w:pStyle w:val="Heading2"/>
        <w:spacing w:before="300" w:after="120" w:line="240" w:lineRule="exact"/>
        <w:rPr>
          <w:szCs w:val="20"/>
        </w:rPr>
      </w:pPr>
      <w:r w:rsidRPr="00482CDD">
        <w:rPr>
          <w:b/>
          <w:color w:val="000000" w:themeColor="text1"/>
          <w:sz w:val="20"/>
          <w:szCs w:val="20"/>
        </w:rPr>
        <w:t>Objective 2: Enhancing management and workforce skills</w:t>
      </w:r>
    </w:p>
    <w:p w14:paraId="5EBD151D" w14:textId="77777777" w:rsidR="00421EB4" w:rsidRPr="00457736" w:rsidRDefault="008133CC" w:rsidP="00421EB4">
      <w:bookmarkStart w:id="29" w:name="_Hlk527397392"/>
      <w:r w:rsidRPr="00457736">
        <w:t xml:space="preserve">FIAL’s primary channels for building management and workforce skills within the sector are its various workshops and programs for businesses. These include the </w:t>
      </w:r>
      <w:r w:rsidR="00421EB4" w:rsidRPr="00457736">
        <w:t xml:space="preserve">Innovation Readiness </w:t>
      </w:r>
      <w:bookmarkEnd w:id="29"/>
      <w:r w:rsidRPr="00457736">
        <w:t xml:space="preserve">series (see </w:t>
      </w:r>
      <w:r w:rsidR="004924F8">
        <w:t xml:space="preserve">Objective 1 </w:t>
      </w:r>
      <w:r w:rsidRPr="00457736">
        <w:t>above) and the Market Channel Readiness series of workshops which are run in conjunction with the Department’s Entrepreneur’s Programme. There were 240 attendees across 28 Market Channel Readiness workshops in 2017/18.</w:t>
      </w:r>
    </w:p>
    <w:p w14:paraId="16DFF53F" w14:textId="77777777" w:rsidR="00E7352C" w:rsidRPr="00457736" w:rsidRDefault="00E7352C" w:rsidP="00E41B2A">
      <w:r w:rsidRPr="00457736">
        <w:t xml:space="preserve">FIAL has provided input to universities on the design of undergraduate courses related to food processing. FIAL </w:t>
      </w:r>
      <w:r w:rsidR="00E83640" w:rsidRPr="00457736">
        <w:t>also participates in</w:t>
      </w:r>
      <w:r w:rsidRPr="00457736">
        <w:t xml:space="preserve"> the Food, Beverage and Pharmaceutical Industry Reference Committee – the Industry and Skills Committee for the sector. </w:t>
      </w:r>
    </w:p>
    <w:p w14:paraId="28D02118" w14:textId="77777777" w:rsidR="00B82D1B" w:rsidRPr="00CB70B0" w:rsidRDefault="00E7352C" w:rsidP="00482CDD">
      <w:pPr>
        <w:pStyle w:val="Heading2"/>
        <w:spacing w:before="300" w:after="120" w:line="240" w:lineRule="exact"/>
        <w:rPr>
          <w:szCs w:val="20"/>
        </w:rPr>
      </w:pPr>
      <w:r w:rsidRPr="00482CDD">
        <w:rPr>
          <w:b/>
          <w:color w:val="000000" w:themeColor="text1"/>
          <w:sz w:val="20"/>
          <w:szCs w:val="20"/>
        </w:rPr>
        <w:lastRenderedPageBreak/>
        <w:t>Objective 3: Improving international opportunities and market access</w:t>
      </w:r>
    </w:p>
    <w:p w14:paraId="539259D4" w14:textId="77777777" w:rsidR="00B82D1B" w:rsidRPr="00457736" w:rsidRDefault="00B82D1B" w:rsidP="00E41B2A">
      <w:r w:rsidRPr="00457736">
        <w:t xml:space="preserve">FIAL has focused heavily on building market and product development capabilities of businesses through its </w:t>
      </w:r>
      <w:r w:rsidR="008133CC" w:rsidRPr="00457736">
        <w:t xml:space="preserve">Market Channel Readiness series of </w:t>
      </w:r>
      <w:r w:rsidRPr="00457736">
        <w:t xml:space="preserve">workshops, and on facilitating access to prospective overseas buyers through trade shows and missions. </w:t>
      </w:r>
    </w:p>
    <w:p w14:paraId="308CF820" w14:textId="77777777" w:rsidR="00B82D1B" w:rsidRPr="00457736" w:rsidRDefault="00B82D1B" w:rsidP="00E41B2A">
      <w:r w:rsidRPr="00457736">
        <w:t xml:space="preserve">In 2016/17 and 2017/18 FIAL facilitated stands at six trade shows in China, Dubai, Hong Kong and Singapore. FIAL reports that these six shows </w:t>
      </w:r>
      <w:r w:rsidR="00C7005F">
        <w:t>enabled</w:t>
      </w:r>
      <w:r w:rsidRPr="00457736">
        <w:t xml:space="preserve"> a combined total of over 6,500 supplier-buyer connections and included 134 companies – noting that some may have attended multiple shows. </w:t>
      </w:r>
    </w:p>
    <w:p w14:paraId="2B17C2DC" w14:textId="77777777" w:rsidR="00B82D1B" w:rsidRPr="00457736" w:rsidRDefault="00B82D1B" w:rsidP="00E41B2A">
      <w:r w:rsidRPr="00457736">
        <w:t>Survey respondents report that FIAL has provided the greatest levels of support around identifying new customers and markets and understanding or navigating local regulations.</w:t>
      </w:r>
    </w:p>
    <w:p w14:paraId="499B4697" w14:textId="77777777" w:rsidR="00B82D1B" w:rsidRPr="00CB70B0" w:rsidRDefault="00E7352C" w:rsidP="00482CDD">
      <w:pPr>
        <w:pStyle w:val="Heading2"/>
        <w:spacing w:before="300" w:after="120" w:line="240" w:lineRule="exact"/>
        <w:rPr>
          <w:szCs w:val="20"/>
        </w:rPr>
      </w:pPr>
      <w:r w:rsidRPr="00482CDD">
        <w:rPr>
          <w:b/>
          <w:color w:val="000000" w:themeColor="text1"/>
          <w:sz w:val="20"/>
          <w:szCs w:val="20"/>
        </w:rPr>
        <w:t xml:space="preserve">Objective </w:t>
      </w:r>
      <w:r w:rsidR="00841D0A" w:rsidRPr="00482CDD">
        <w:rPr>
          <w:b/>
          <w:color w:val="000000" w:themeColor="text1"/>
          <w:sz w:val="20"/>
          <w:szCs w:val="20"/>
        </w:rPr>
        <w:t>4</w:t>
      </w:r>
      <w:r w:rsidRPr="00482CDD">
        <w:rPr>
          <w:b/>
          <w:color w:val="000000" w:themeColor="text1"/>
          <w:sz w:val="20"/>
          <w:szCs w:val="20"/>
        </w:rPr>
        <w:t>: Identifying opportunities for regulatory reform</w:t>
      </w:r>
    </w:p>
    <w:p w14:paraId="64EFF26F" w14:textId="77777777" w:rsidR="00B82D1B" w:rsidRPr="00457736" w:rsidRDefault="00841D0A" w:rsidP="00E41B2A">
      <w:r w:rsidRPr="00457736">
        <w:t xml:space="preserve">Thirty </w:t>
      </w:r>
      <w:r w:rsidR="00D12938" w:rsidRPr="00457736">
        <w:t>per cent</w:t>
      </w:r>
      <w:r w:rsidR="00B82D1B" w:rsidRPr="00457736">
        <w:t xml:space="preserve"> of </w:t>
      </w:r>
      <w:r w:rsidR="00E41B2A" w:rsidRPr="00457736">
        <w:t xml:space="preserve">the </w:t>
      </w:r>
      <w:r w:rsidR="00B82D1B" w:rsidRPr="00457736">
        <w:t xml:space="preserve">survey respondents have spoken to FIAL about challenges relating to government or industry regulation in their industry. Over one third of </w:t>
      </w:r>
      <w:r w:rsidR="00347F2B" w:rsidRPr="00457736">
        <w:t xml:space="preserve">the </w:t>
      </w:r>
      <w:r w:rsidR="00B82D1B" w:rsidRPr="00457736">
        <w:t xml:space="preserve">survey respondents that </w:t>
      </w:r>
      <w:r w:rsidR="00A84015" w:rsidRPr="00457736">
        <w:t xml:space="preserve">have </w:t>
      </w:r>
      <w:r w:rsidR="00B82D1B" w:rsidRPr="00457736">
        <w:t>engaged with FIAL on industry regulation issues said that FIAL listened to their feedback and made suggestions about what to do next.</w:t>
      </w:r>
    </w:p>
    <w:p w14:paraId="64347586" w14:textId="77777777" w:rsidR="002C36E6" w:rsidRPr="00457736" w:rsidRDefault="00B82D1B" w:rsidP="00347F2B">
      <w:r w:rsidRPr="00457736">
        <w:t xml:space="preserve">FIAL has focused the majority of its regulatory reform efforts on advocating for a national approach to food safety certification in partnership with the Australian Food and Grocery Council. It will likely take a while longer </w:t>
      </w:r>
      <w:r w:rsidR="00571708" w:rsidRPr="00457736">
        <w:t xml:space="preserve">to realise </w:t>
      </w:r>
      <w:r w:rsidRPr="00457736">
        <w:t>the benefits from this project.</w:t>
      </w:r>
      <w:r w:rsidR="00347F2B" w:rsidRPr="00457736">
        <w:t xml:space="preserve"> </w:t>
      </w:r>
    </w:p>
    <w:p w14:paraId="4B8D706B" w14:textId="77777777" w:rsidR="00347F2B" w:rsidRPr="00457736" w:rsidRDefault="00347F2B" w:rsidP="00347F2B">
      <w:r w:rsidRPr="00457736">
        <w:t xml:space="preserve">FIAL is currently </w:t>
      </w:r>
      <w:r w:rsidR="00841D0A" w:rsidRPr="00457736">
        <w:t xml:space="preserve">working </w:t>
      </w:r>
      <w:r w:rsidRPr="00457736">
        <w:t xml:space="preserve">with the Export Council of Australia and AMGC to launch the Trade Barriers Register online platform. </w:t>
      </w:r>
    </w:p>
    <w:p w14:paraId="0C1E9171" w14:textId="77777777" w:rsidR="00B82D1B" w:rsidRPr="00CB70B0" w:rsidRDefault="00B82D1B" w:rsidP="00482CDD">
      <w:pPr>
        <w:pStyle w:val="Heading2"/>
        <w:spacing w:before="300" w:after="120" w:line="240" w:lineRule="exact"/>
        <w:rPr>
          <w:szCs w:val="20"/>
        </w:rPr>
      </w:pPr>
      <w:r w:rsidRPr="00482CDD">
        <w:rPr>
          <w:b/>
          <w:color w:val="000000" w:themeColor="text1"/>
          <w:sz w:val="20"/>
          <w:szCs w:val="20"/>
        </w:rPr>
        <w:t>Additional or indirect outcomes</w:t>
      </w:r>
    </w:p>
    <w:p w14:paraId="0BBE43FE" w14:textId="77777777" w:rsidR="002C36E6" w:rsidRPr="00457736" w:rsidRDefault="00B82D1B" w:rsidP="00E41B2A">
      <w:r w:rsidRPr="00457736">
        <w:t xml:space="preserve">FIAL engages regularly with state agencies across the country to provide advice on policy and programs and co-fund grants for the sector. FIAL also has close working relationships with Austrade, CSIRO and the Department. FIAL was </w:t>
      </w:r>
      <w:proofErr w:type="spellStart"/>
      <w:r w:rsidRPr="00457736">
        <w:t>funded</w:t>
      </w:r>
      <w:proofErr w:type="spellEnd"/>
      <w:r w:rsidRPr="00457736">
        <w:t xml:space="preserve"> in 2018 through the Department of Environment and Energy to support the implementation of the National Food Waste Strategy over a </w:t>
      </w:r>
      <w:r w:rsidR="006920D8" w:rsidRPr="00457736">
        <w:t>two-year</w:t>
      </w:r>
      <w:r w:rsidRPr="00457736">
        <w:t xml:space="preserve"> period. </w:t>
      </w:r>
    </w:p>
    <w:p w14:paraId="1D4313A2" w14:textId="77777777" w:rsidR="00B82D1B" w:rsidRPr="00457736" w:rsidRDefault="00B82D1B" w:rsidP="00E41B2A">
      <w:r w:rsidRPr="00457736">
        <w:t xml:space="preserve">FIAL is well represented on the boards of research entities across the sector. </w:t>
      </w:r>
    </w:p>
    <w:p w14:paraId="3154F5B6" w14:textId="77777777" w:rsidR="00B82D1B" w:rsidRPr="00457736" w:rsidRDefault="00B82D1B" w:rsidP="00E41B2A">
      <w:r w:rsidRPr="00457736">
        <w:t xml:space="preserve">The extent to which FIAL has </w:t>
      </w:r>
      <w:r w:rsidR="002C36E6" w:rsidRPr="00457736">
        <w:t xml:space="preserve">provided thought leadership and </w:t>
      </w:r>
      <w:r w:rsidRPr="00457736">
        <w:t xml:space="preserve">contributed to an increased understanding of the sector is not clear. The amount of unique analysis and strategic fore-sighting provided in FIAL’s Sector Competitiveness Plans </w:t>
      </w:r>
      <w:r w:rsidR="002C36E6" w:rsidRPr="00457736">
        <w:t>and its other publications tend</w:t>
      </w:r>
      <w:r w:rsidR="00C7005F">
        <w:t>s</w:t>
      </w:r>
      <w:r w:rsidR="002C36E6" w:rsidRPr="00457736">
        <w:t xml:space="preserve"> to be </w:t>
      </w:r>
      <w:r w:rsidRPr="00457736">
        <w:t xml:space="preserve">limited. </w:t>
      </w:r>
    </w:p>
    <w:p w14:paraId="23630203" w14:textId="77777777" w:rsidR="009A579C" w:rsidRPr="00457736" w:rsidRDefault="009A579C" w:rsidP="00E41B2A">
      <w:r w:rsidRPr="00457736">
        <w:t>FIAL is active on Twitter and is one of only two Growth Centres to have a Facebook account – which has over 4,000 followers.</w:t>
      </w:r>
    </w:p>
    <w:p w14:paraId="2850FE17" w14:textId="77777777" w:rsidR="00B82D1B" w:rsidRPr="00CB70B0" w:rsidRDefault="00B82D1B" w:rsidP="00482CDD">
      <w:pPr>
        <w:pStyle w:val="Heading2"/>
        <w:spacing w:before="300" w:after="120" w:line="240" w:lineRule="exact"/>
        <w:rPr>
          <w:szCs w:val="20"/>
        </w:rPr>
      </w:pPr>
      <w:r w:rsidRPr="00482CDD">
        <w:rPr>
          <w:b/>
          <w:color w:val="000000" w:themeColor="text1"/>
          <w:sz w:val="20"/>
          <w:szCs w:val="20"/>
        </w:rPr>
        <w:t xml:space="preserve">Performance measurement </w:t>
      </w:r>
    </w:p>
    <w:p w14:paraId="46307965" w14:textId="77777777" w:rsidR="00B82D1B" w:rsidRPr="00457736" w:rsidRDefault="00B82D1B" w:rsidP="00E41B2A">
      <w:r w:rsidRPr="00457736">
        <w:t xml:space="preserve">FIAL employs multiple channels to collect performance related data – but these are not </w:t>
      </w:r>
      <w:r w:rsidR="002C36E6" w:rsidRPr="00457736">
        <w:t xml:space="preserve">currently </w:t>
      </w:r>
      <w:r w:rsidRPr="00457736">
        <w:t>unified or consistent</w:t>
      </w:r>
      <w:r w:rsidR="002C36E6" w:rsidRPr="00457736">
        <w:t>.</w:t>
      </w:r>
      <w:r w:rsidRPr="00457736">
        <w:t xml:space="preserve"> FIAL predominantly utilises case studies to measure long term outcomes for the stakeholders it has had meaningful engagement with.</w:t>
      </w:r>
      <w:r w:rsidR="002C36E6" w:rsidRPr="00457736">
        <w:t xml:space="preserve"> </w:t>
      </w:r>
    </w:p>
    <w:p w14:paraId="4CADE4A4" w14:textId="77777777" w:rsidR="00B82D1B" w:rsidRPr="00CB70B0" w:rsidRDefault="00B82D1B" w:rsidP="00482CDD">
      <w:pPr>
        <w:pStyle w:val="Heading2"/>
        <w:spacing w:before="300" w:after="120" w:line="240" w:lineRule="exact"/>
        <w:rPr>
          <w:szCs w:val="20"/>
        </w:rPr>
      </w:pPr>
      <w:r w:rsidRPr="00482CDD">
        <w:rPr>
          <w:b/>
          <w:color w:val="000000" w:themeColor="text1"/>
          <w:sz w:val="20"/>
          <w:szCs w:val="20"/>
        </w:rPr>
        <w:t xml:space="preserve">Sector impact </w:t>
      </w:r>
    </w:p>
    <w:p w14:paraId="46295652" w14:textId="77777777" w:rsidR="00B82D1B" w:rsidRPr="00457736" w:rsidRDefault="00B82D1B" w:rsidP="00E41B2A">
      <w:r w:rsidRPr="00457736">
        <w:t xml:space="preserve">It is hard to make a definitive assessment about FIAL’s impact at a sector-wide level, against its ambitious sector-wide goals at this point in time. It is important to acknowledge the challenges inherent in affecting and measuring impact in such a large, diverse, dispersed and fragmented sector. </w:t>
      </w:r>
    </w:p>
    <w:p w14:paraId="3AE17376" w14:textId="77777777" w:rsidR="00B82D1B" w:rsidRPr="00457736" w:rsidRDefault="00B82D1B" w:rsidP="00E41B2A">
      <w:r w:rsidRPr="00457736">
        <w:t>Most of the self-assessments that</w:t>
      </w:r>
      <w:r w:rsidR="00677E23">
        <w:t xml:space="preserve"> FIAL has made about its sector-</w:t>
      </w:r>
      <w:r w:rsidRPr="00457736">
        <w:t xml:space="preserve">wide impact have been largely qualitative and reliant on case studies profiling a relatively small number of businesses. </w:t>
      </w:r>
      <w:r w:rsidR="00171C38" w:rsidRPr="00457736">
        <w:t xml:space="preserve">FIAL is yet to verify </w:t>
      </w:r>
      <w:r w:rsidR="00571708" w:rsidRPr="00457736">
        <w:t xml:space="preserve">its initial </w:t>
      </w:r>
      <w:r w:rsidR="00171C38" w:rsidRPr="00457736">
        <w:t xml:space="preserve">estimates of </w:t>
      </w:r>
      <w:r w:rsidR="00571708" w:rsidRPr="00457736">
        <w:t xml:space="preserve">the </w:t>
      </w:r>
      <w:r w:rsidR="00171C38" w:rsidRPr="00457736">
        <w:t>economic value of its programs.</w:t>
      </w:r>
    </w:p>
    <w:p w14:paraId="76175061" w14:textId="77777777" w:rsidR="00D82EC9" w:rsidRPr="00457736" w:rsidRDefault="00D82EC9" w:rsidP="00D82EC9">
      <w:r w:rsidRPr="00457736">
        <w:t>FIAL appears to have had significant impact on a relatively small number of businesses. Of the 120 to 124 business that responded to survey questions about how engaging with FIAL had impacted their bottom line, fourteen businesses (eleven per cent) said that FIAL provided great support to grow their revenue, nine (seven per cent) had great support to impr</w:t>
      </w:r>
      <w:r w:rsidR="00571708" w:rsidRPr="00457736">
        <w:t>ove their profitability and 7 (six per cent)</w:t>
      </w:r>
      <w:r w:rsidRPr="00457736">
        <w:t xml:space="preserve"> had great support to increase the number of employees.</w:t>
      </w:r>
    </w:p>
    <w:p w14:paraId="77738342" w14:textId="77777777" w:rsidR="00B82D1B" w:rsidRPr="00457736" w:rsidRDefault="00B82D1B" w:rsidP="00E41B2A">
      <w:r w:rsidRPr="00457736">
        <w:t xml:space="preserve">The extent to which FIAL partners effectively within its eco-system is unclear. Some of the survey and interview feedback from industry peaks, associations or networks focused on an apparent overlap between FIAL and </w:t>
      </w:r>
      <w:r w:rsidR="002C36E6" w:rsidRPr="00457736">
        <w:t xml:space="preserve">services offered by </w:t>
      </w:r>
      <w:r w:rsidRPr="00457736">
        <w:t xml:space="preserve">other organisations. Other key partners indicate that </w:t>
      </w:r>
      <w:r w:rsidR="002C36E6" w:rsidRPr="00457736">
        <w:t xml:space="preserve">much of this </w:t>
      </w:r>
      <w:r w:rsidRPr="00457736">
        <w:t>duplication has been addressed</w:t>
      </w:r>
      <w:r w:rsidR="00A3225B" w:rsidRPr="00457736">
        <w:t>.</w:t>
      </w:r>
    </w:p>
    <w:p w14:paraId="257F7C14" w14:textId="77777777" w:rsidR="001D2406" w:rsidRPr="00457736" w:rsidRDefault="001D2406" w:rsidP="00B82D1B">
      <w:pPr>
        <w:sectPr w:rsidR="001D2406" w:rsidRPr="00457736" w:rsidSect="00195EE1">
          <w:type w:val="continuous"/>
          <w:pgSz w:w="11907" w:h="16839" w:code="9"/>
          <w:pgMar w:top="1304" w:right="1304" w:bottom="1304" w:left="1304" w:header="720" w:footer="720" w:gutter="0"/>
          <w:cols w:num="2" w:space="720"/>
          <w:titlePg/>
          <w:docGrid w:linePitch="360"/>
        </w:sectPr>
      </w:pPr>
    </w:p>
    <w:p w14:paraId="26C7E3E8" w14:textId="77777777" w:rsidR="00B82D1B" w:rsidRPr="00457736" w:rsidRDefault="00E102BD" w:rsidP="00B82D1B">
      <w:pPr>
        <w:pStyle w:val="Heading1"/>
      </w:pPr>
      <w:bookmarkStart w:id="30" w:name="_Toc531339605"/>
      <w:bookmarkStart w:id="31" w:name="_Toc535922972"/>
      <w:r w:rsidRPr="00457736">
        <w:lastRenderedPageBreak/>
        <w:t>METS Ignited</w:t>
      </w:r>
      <w:bookmarkEnd w:id="30"/>
      <w:bookmarkEnd w:id="31"/>
      <w:r w:rsidR="00B82D1B" w:rsidRPr="00457736">
        <w:t xml:space="preserve"> </w:t>
      </w:r>
    </w:p>
    <w:p w14:paraId="5D7F108C" w14:textId="77777777" w:rsidR="00B82D1B" w:rsidRPr="00457736" w:rsidRDefault="00B82D1B" w:rsidP="00B82D1B">
      <w:pPr>
        <w:pStyle w:val="Caption"/>
      </w:pPr>
      <w:bookmarkStart w:id="32" w:name="_Hlk534294793"/>
      <w:r w:rsidRPr="00457736">
        <w:t xml:space="preserve">Figure </w:t>
      </w:r>
      <w:r w:rsidRPr="00457736">
        <w:fldChar w:fldCharType="begin"/>
      </w:r>
      <w:r w:rsidRPr="00457736">
        <w:instrText xml:space="preserve"> SEQ Figure \* ARABIC </w:instrText>
      </w:r>
      <w:r w:rsidRPr="00457736">
        <w:fldChar w:fldCharType="separate"/>
      </w:r>
      <w:r w:rsidR="00AD2D4B">
        <w:rPr>
          <w:noProof/>
        </w:rPr>
        <w:t>11</w:t>
      </w:r>
      <w:r w:rsidRPr="00457736">
        <w:fldChar w:fldCharType="end"/>
      </w:r>
      <w:r w:rsidRPr="00457736">
        <w:t xml:space="preserve"> | Key findings </w:t>
      </w:r>
    </w:p>
    <w:p w14:paraId="220347B7" w14:textId="77777777" w:rsidR="00A57197" w:rsidRPr="00457736" w:rsidRDefault="00A57197" w:rsidP="00482CDD">
      <w:pPr>
        <w:pStyle w:val="TableNBullet"/>
        <w:pBdr>
          <w:top w:val="single" w:sz="4" w:space="1" w:color="auto"/>
        </w:pBdr>
      </w:pPr>
      <w:r w:rsidRPr="00457736">
        <w:rPr>
          <w:rFonts w:eastAsia="Segoe UI"/>
        </w:rPr>
        <w:t>METS Ignited has made significant progress against its business plan objectives and has met its funding agreement requirements.</w:t>
      </w:r>
    </w:p>
    <w:p w14:paraId="72E3016F" w14:textId="77777777" w:rsidR="00A57197" w:rsidRPr="00457736" w:rsidRDefault="00A57197" w:rsidP="00841D0A">
      <w:pPr>
        <w:pStyle w:val="TableNBullet"/>
      </w:pPr>
      <w:r w:rsidRPr="00457736">
        <w:rPr>
          <w:rFonts w:eastAsia="Segoe UI"/>
        </w:rPr>
        <w:t xml:space="preserve">METS Ignited focused most on collaboration and commercialisation. </w:t>
      </w:r>
    </w:p>
    <w:p w14:paraId="09BAE3E2" w14:textId="77777777" w:rsidR="00A57197" w:rsidRPr="00457736" w:rsidRDefault="00A57197" w:rsidP="00863FF2">
      <w:pPr>
        <w:pStyle w:val="TableNBullet"/>
      </w:pPr>
      <w:r w:rsidRPr="00457736">
        <w:rPr>
          <w:rFonts w:eastAsia="Segoe UI"/>
        </w:rPr>
        <w:t xml:space="preserve">As at June 2018, METS Ignited had allocated $7.9 million to 13 projects across two Project Fund rounds. </w:t>
      </w:r>
    </w:p>
    <w:p w14:paraId="61C4FF96" w14:textId="77777777" w:rsidR="00A57197" w:rsidRPr="00457736" w:rsidRDefault="00A57197" w:rsidP="00863FF2">
      <w:pPr>
        <w:pStyle w:val="TableNBullet"/>
      </w:pPr>
      <w:r w:rsidRPr="00457736">
        <w:rPr>
          <w:rFonts w:eastAsia="Segoe UI"/>
        </w:rPr>
        <w:t xml:space="preserve">METS Ignited has developed strong relationships with the Chilean mining sector, generating opportunities for METS companies to access new markets through the </w:t>
      </w:r>
      <w:proofErr w:type="spellStart"/>
      <w:r w:rsidRPr="00457736">
        <w:rPr>
          <w:rFonts w:eastAsia="Segoe UI"/>
        </w:rPr>
        <w:t>METStech</w:t>
      </w:r>
      <w:proofErr w:type="spellEnd"/>
      <w:r w:rsidRPr="00457736">
        <w:rPr>
          <w:rFonts w:eastAsia="Segoe UI"/>
        </w:rPr>
        <w:t xml:space="preserve"> Passport and </w:t>
      </w:r>
      <w:proofErr w:type="spellStart"/>
      <w:r w:rsidRPr="00457736">
        <w:rPr>
          <w:rFonts w:eastAsia="Segoe UI"/>
        </w:rPr>
        <w:t>Expande</w:t>
      </w:r>
      <w:proofErr w:type="spellEnd"/>
      <w:r w:rsidRPr="00457736">
        <w:rPr>
          <w:rFonts w:eastAsia="Segoe UI"/>
        </w:rPr>
        <w:t xml:space="preserve"> initiatives. </w:t>
      </w:r>
    </w:p>
    <w:p w14:paraId="5D8DF6F5" w14:textId="77777777" w:rsidR="00A57197" w:rsidRPr="00457736" w:rsidRDefault="00A57197" w:rsidP="00827A6E">
      <w:pPr>
        <w:pStyle w:val="TableNBullet"/>
        <w:rPr>
          <w:rFonts w:eastAsia="Segoe UI"/>
        </w:rPr>
      </w:pPr>
      <w:r w:rsidRPr="00457736">
        <w:rPr>
          <w:rFonts w:eastAsia="Segoe UI"/>
        </w:rPr>
        <w:t>METS Ignited has actively engaged with the Queensland Government to deliver a range of initiatives including the Bowen Basin Cluster Program, METS Accelerator Pilot and RISE Accelerator. These programs aim to connect mining and energy resources start-ups with industry leaders, entrepreneurs and subject matter experts.</w:t>
      </w:r>
    </w:p>
    <w:p w14:paraId="2A47EA33" w14:textId="77777777" w:rsidR="00A57197" w:rsidRPr="00457736" w:rsidRDefault="00A57197" w:rsidP="000D24AC">
      <w:pPr>
        <w:pStyle w:val="TableNBullet"/>
      </w:pPr>
      <w:r w:rsidRPr="00457736">
        <w:t>Three quarters of survey respondents indicated that there is moderate to strong awareness of METS Ignited across the sector. The majority (eighty-four per cent) of survey respondents said that they were satisfied to very satisfied with their engagement with METS Ignited</w:t>
      </w:r>
      <w:r>
        <w:t>.</w:t>
      </w:r>
      <w:r w:rsidRPr="00457736">
        <w:t xml:space="preserve"> </w:t>
      </w:r>
    </w:p>
    <w:p w14:paraId="23F06E29" w14:textId="7B667EC5" w:rsidR="00A57197" w:rsidRPr="00A57197" w:rsidRDefault="00A57197" w:rsidP="00482CDD">
      <w:pPr>
        <w:pStyle w:val="TableNBullet"/>
        <w:pBdr>
          <w:bottom w:val="single" w:sz="4" w:space="1" w:color="auto"/>
        </w:pBdr>
      </w:pPr>
      <w:r w:rsidRPr="00457736">
        <w:rPr>
          <w:rFonts w:eastAsiaTheme="minorEastAsia"/>
        </w:rPr>
        <w:t xml:space="preserve">Whether METS Ignited will deliver sector-wide impact remains unclear as many of METS </w:t>
      </w:r>
      <w:proofErr w:type="spellStart"/>
      <w:r w:rsidRPr="00457736">
        <w:rPr>
          <w:rFonts w:eastAsiaTheme="minorEastAsia"/>
        </w:rPr>
        <w:t>Ignited’s</w:t>
      </w:r>
      <w:proofErr w:type="spellEnd"/>
      <w:r w:rsidRPr="00457736">
        <w:rPr>
          <w:rFonts w:eastAsiaTheme="minorEastAsia"/>
        </w:rPr>
        <w:t xml:space="preserve"> focused initiatives have only been in place for a short period of time.</w:t>
      </w:r>
    </w:p>
    <w:p w14:paraId="02330C2B" w14:textId="77777777" w:rsidR="00A57197" w:rsidRPr="00457736" w:rsidRDefault="00A57197" w:rsidP="00A57197">
      <w:pPr>
        <w:pStyle w:val="TableNBullet"/>
        <w:numPr>
          <w:ilvl w:val="0"/>
          <w:numId w:val="0"/>
        </w:numPr>
        <w:ind w:left="227"/>
      </w:pPr>
    </w:p>
    <w:bookmarkEnd w:id="32"/>
    <w:p w14:paraId="64EB53D0" w14:textId="77777777" w:rsidR="00E102BD" w:rsidRPr="00457736" w:rsidRDefault="00E102BD" w:rsidP="00B82D1B">
      <w:pPr>
        <w:sectPr w:rsidR="00E102BD" w:rsidRPr="00457736" w:rsidSect="006E713F">
          <w:type w:val="continuous"/>
          <w:pgSz w:w="11907" w:h="16839" w:code="9"/>
          <w:pgMar w:top="1304" w:right="1304" w:bottom="1304" w:left="1304" w:header="720" w:footer="720" w:gutter="0"/>
          <w:cols w:space="720"/>
          <w:titlePg/>
          <w:docGrid w:linePitch="360"/>
        </w:sectPr>
      </w:pPr>
    </w:p>
    <w:p w14:paraId="32FB2C2E" w14:textId="77777777" w:rsidR="00E102BD" w:rsidRPr="00CB70B0" w:rsidRDefault="00E102BD" w:rsidP="00482CDD">
      <w:pPr>
        <w:pStyle w:val="Heading2"/>
        <w:spacing w:before="300" w:after="120" w:line="240" w:lineRule="exact"/>
        <w:rPr>
          <w:szCs w:val="20"/>
        </w:rPr>
      </w:pPr>
      <w:r w:rsidRPr="00482CDD">
        <w:rPr>
          <w:b/>
          <w:color w:val="000000" w:themeColor="text1"/>
          <w:sz w:val="20"/>
          <w:szCs w:val="20"/>
        </w:rPr>
        <w:t>Operating environment</w:t>
      </w:r>
    </w:p>
    <w:p w14:paraId="68DA9D7A" w14:textId="77777777" w:rsidR="00E102BD" w:rsidRPr="00457736" w:rsidRDefault="00E102BD" w:rsidP="00E41B2A">
      <w:pPr>
        <w:rPr>
          <w:lang w:eastAsia="en-AU"/>
        </w:rPr>
      </w:pPr>
      <w:r w:rsidRPr="00457736">
        <w:rPr>
          <w:lang w:eastAsia="en-AU"/>
        </w:rPr>
        <w:t xml:space="preserve">The Mining Equipment, Technology and Services (METS) sector - as defined by </w:t>
      </w:r>
      <w:r w:rsidR="00E41B2A" w:rsidRPr="00457736">
        <w:rPr>
          <w:lang w:eastAsia="en-AU"/>
        </w:rPr>
        <w:t xml:space="preserve">METS Ignited </w:t>
      </w:r>
      <w:r w:rsidRPr="00457736">
        <w:rPr>
          <w:lang w:eastAsia="en-AU"/>
        </w:rPr>
        <w:t>- comprises businesses that provide specialised products and solutions for mineral exploration, extraction and mining supply chains. The sector includes a diverse range of businesses such as equipment manufacturers, engineering services and mine software product and technology developers, whose primary function is to support the mining and mineral extraction industries.</w:t>
      </w:r>
    </w:p>
    <w:p w14:paraId="25D83713" w14:textId="77777777" w:rsidR="009F4CBC" w:rsidRPr="00457736" w:rsidRDefault="00E102BD" w:rsidP="00E41B2A">
      <w:r w:rsidRPr="00457736">
        <w:t xml:space="preserve">The primary challenge </w:t>
      </w:r>
      <w:r w:rsidR="002C36E6" w:rsidRPr="00457736">
        <w:t xml:space="preserve">currently </w:t>
      </w:r>
      <w:r w:rsidRPr="00457736">
        <w:t xml:space="preserve">facing the METS sector is how to develop a more strategic relationship with the mining sector to unlock opportunities for collaboration and innovation. </w:t>
      </w:r>
      <w:r w:rsidR="009F4CBC" w:rsidRPr="00457736">
        <w:t>There are also challenges and opportunities related to translating public sector research into successful commercial outcomes and improving access to the global supply chains of large global miners.</w:t>
      </w:r>
    </w:p>
    <w:p w14:paraId="72C5A100" w14:textId="77777777" w:rsidR="00347F2B" w:rsidRPr="00457736" w:rsidRDefault="00347F2B" w:rsidP="00347F2B">
      <w:pPr>
        <w:pStyle w:val="Caption"/>
      </w:pPr>
      <w:r w:rsidRPr="00457736">
        <w:t xml:space="preserve">Figure </w:t>
      </w:r>
      <w:r w:rsidRPr="00457736">
        <w:fldChar w:fldCharType="begin"/>
      </w:r>
      <w:r w:rsidRPr="00457736">
        <w:instrText xml:space="preserve"> SEQ Figure \* ARABIC </w:instrText>
      </w:r>
      <w:r w:rsidRPr="00457736">
        <w:fldChar w:fldCharType="separate"/>
      </w:r>
      <w:r w:rsidR="00AD2D4B">
        <w:rPr>
          <w:noProof/>
        </w:rPr>
        <w:t>12</w:t>
      </w:r>
      <w:r w:rsidRPr="00457736">
        <w:fldChar w:fldCharType="end"/>
      </w:r>
      <w:r w:rsidRPr="00457736">
        <w:t xml:space="preserve"> | Overview of </w:t>
      </w:r>
      <w:r w:rsidR="00D836D3" w:rsidRPr="00457736">
        <w:t xml:space="preserve">METS </w:t>
      </w:r>
      <w:proofErr w:type="spellStart"/>
      <w:r w:rsidR="00D836D3" w:rsidRPr="00457736">
        <w:t>Ignited</w:t>
      </w:r>
      <w:r w:rsidRPr="00457736">
        <w:t>’s</w:t>
      </w:r>
      <w:proofErr w:type="spellEnd"/>
      <w:r w:rsidRPr="00457736">
        <w:t xml:space="preserve"> survey </w:t>
      </w:r>
    </w:p>
    <w:tbl>
      <w:tblPr>
        <w:tblStyle w:val="NousTableSide"/>
        <w:tblW w:w="5000" w:type="pct"/>
        <w:tblLook w:val="06A0" w:firstRow="1" w:lastRow="0" w:firstColumn="1" w:lastColumn="0" w:noHBand="1" w:noVBand="1"/>
        <w:tblCaption w:val="The table lists data regarding stakeholder survey invites and response rates for METS Ignited. "/>
        <w:tblDescription w:val="Table headings are listed in rows on the right with the respective data presented in the adjacent column."/>
      </w:tblPr>
      <w:tblGrid>
        <w:gridCol w:w="1678"/>
        <w:gridCol w:w="2588"/>
      </w:tblGrid>
      <w:tr w:rsidR="00347F2B" w:rsidRPr="00457736" w14:paraId="6EB2CDD7"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1967" w:type="pct"/>
            <w:hideMark/>
          </w:tcPr>
          <w:p w14:paraId="22BE79AF" w14:textId="77777777" w:rsidR="00347F2B" w:rsidRPr="00457736" w:rsidRDefault="00347F2B" w:rsidP="00347F2B">
            <w:pPr>
              <w:pStyle w:val="Tableexpheader"/>
            </w:pPr>
            <w:r w:rsidRPr="00457736">
              <w:t>Responses:</w:t>
            </w:r>
          </w:p>
        </w:tc>
        <w:tc>
          <w:tcPr>
            <w:tcW w:w="3033" w:type="pct"/>
            <w:hideMark/>
          </w:tcPr>
          <w:p w14:paraId="004EEBA5" w14:textId="77777777" w:rsidR="00347F2B" w:rsidRPr="00457736" w:rsidRDefault="00347F2B" w:rsidP="00347F2B">
            <w:pPr>
              <w:pStyle w:val="TableExpText"/>
              <w:cnfStyle w:val="000000000000" w:firstRow="0" w:lastRow="0" w:firstColumn="0" w:lastColumn="0" w:oddVBand="0" w:evenVBand="0" w:oddHBand="0" w:evenHBand="0" w:firstRowFirstColumn="0" w:firstRowLastColumn="0" w:lastRowFirstColumn="0" w:lastRowLastColumn="0"/>
              <w:rPr>
                <w:highlight w:val="green"/>
              </w:rPr>
            </w:pPr>
            <w:r w:rsidRPr="00457736">
              <w:t>216</w:t>
            </w:r>
          </w:p>
        </w:tc>
      </w:tr>
      <w:tr w:rsidR="00347F2B" w:rsidRPr="00457736" w14:paraId="70648C94"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1967" w:type="pct"/>
            <w:hideMark/>
          </w:tcPr>
          <w:p w14:paraId="5C8F9416" w14:textId="77777777" w:rsidR="00347F2B" w:rsidRPr="00457736" w:rsidRDefault="00347F2B" w:rsidP="00347F2B">
            <w:pPr>
              <w:pStyle w:val="Tableexpheader"/>
            </w:pPr>
            <w:r w:rsidRPr="00457736">
              <w:t>Stakeholders invited to respond:</w:t>
            </w:r>
          </w:p>
        </w:tc>
        <w:tc>
          <w:tcPr>
            <w:tcW w:w="3033" w:type="pct"/>
            <w:hideMark/>
          </w:tcPr>
          <w:p w14:paraId="0B30F646" w14:textId="77777777" w:rsidR="00347F2B" w:rsidRPr="00457736" w:rsidRDefault="00347F2B" w:rsidP="00347F2B">
            <w:pPr>
              <w:pStyle w:val="TableExpText"/>
              <w:cnfStyle w:val="000000000000" w:firstRow="0" w:lastRow="0" w:firstColumn="0" w:lastColumn="0" w:oddVBand="0" w:evenVBand="0" w:oddHBand="0" w:evenHBand="0" w:firstRowFirstColumn="0" w:firstRowLastColumn="0" w:lastRowFirstColumn="0" w:lastRowLastColumn="0"/>
              <w:rPr>
                <w:highlight w:val="green"/>
              </w:rPr>
            </w:pPr>
            <w:r w:rsidRPr="00457736">
              <w:t>MI distributed the survey to 1,270 contacts</w:t>
            </w:r>
          </w:p>
        </w:tc>
      </w:tr>
      <w:tr w:rsidR="00347F2B" w:rsidRPr="00457736" w14:paraId="5AC66FB7"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1967" w:type="pct"/>
            <w:hideMark/>
          </w:tcPr>
          <w:p w14:paraId="5C720FF6" w14:textId="77777777" w:rsidR="00347F2B" w:rsidRPr="00457736" w:rsidRDefault="00347F2B" w:rsidP="00347F2B">
            <w:pPr>
              <w:pStyle w:val="Tableexpheader"/>
            </w:pPr>
            <w:r w:rsidRPr="00457736">
              <w:t>Response rate:</w:t>
            </w:r>
          </w:p>
        </w:tc>
        <w:tc>
          <w:tcPr>
            <w:tcW w:w="3033" w:type="pct"/>
            <w:hideMark/>
          </w:tcPr>
          <w:p w14:paraId="1EDB367F" w14:textId="77777777" w:rsidR="00347F2B" w:rsidRPr="00457736" w:rsidRDefault="00347F2B" w:rsidP="00347F2B">
            <w:pPr>
              <w:pStyle w:val="TableExpText"/>
              <w:cnfStyle w:val="000000000000" w:firstRow="0" w:lastRow="0" w:firstColumn="0" w:lastColumn="0" w:oddVBand="0" w:evenVBand="0" w:oddHBand="0" w:evenHBand="0" w:firstRowFirstColumn="0" w:firstRowLastColumn="0" w:lastRowFirstColumn="0" w:lastRowLastColumn="0"/>
              <w:rPr>
                <w:highlight w:val="green"/>
              </w:rPr>
            </w:pPr>
            <w:r w:rsidRPr="00457736">
              <w:t>17</w:t>
            </w:r>
            <w:r w:rsidR="00210D33" w:rsidRPr="00457736">
              <w:t xml:space="preserve"> </w:t>
            </w:r>
            <w:r w:rsidR="00D12938" w:rsidRPr="00457736">
              <w:t>per cent</w:t>
            </w:r>
          </w:p>
        </w:tc>
      </w:tr>
      <w:tr w:rsidR="00347F2B" w:rsidRPr="00457736" w14:paraId="17670F7C"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1967" w:type="pct"/>
            <w:hideMark/>
          </w:tcPr>
          <w:p w14:paraId="09B8A78F" w14:textId="77777777" w:rsidR="00347F2B" w:rsidRPr="00457736" w:rsidRDefault="00347F2B" w:rsidP="00347F2B">
            <w:pPr>
              <w:pStyle w:val="Tableexpheader"/>
            </w:pPr>
            <w:r w:rsidRPr="00457736">
              <w:t>Distribution rationale:</w:t>
            </w:r>
          </w:p>
        </w:tc>
        <w:tc>
          <w:tcPr>
            <w:tcW w:w="3033" w:type="pct"/>
            <w:hideMark/>
          </w:tcPr>
          <w:p w14:paraId="0C00D7E4" w14:textId="77777777" w:rsidR="00347F2B" w:rsidRPr="00457736" w:rsidRDefault="00347F2B" w:rsidP="00347F2B">
            <w:pPr>
              <w:pStyle w:val="TableExpText"/>
              <w:cnfStyle w:val="000000000000" w:firstRow="0" w:lastRow="0" w:firstColumn="0" w:lastColumn="0" w:oddVBand="0" w:evenVBand="0" w:oddHBand="0" w:evenHBand="0" w:firstRowFirstColumn="0" w:firstRowLastColumn="0" w:lastRowFirstColumn="0" w:lastRowLastColumn="0"/>
              <w:rPr>
                <w:highlight w:val="green"/>
              </w:rPr>
            </w:pPr>
            <w:r w:rsidRPr="00457736">
              <w:rPr>
                <w:color w:val="000000"/>
                <w:lang w:eastAsia="en-AU"/>
              </w:rPr>
              <w:t>Distributed to contacts who have had active engagement with METS Ignited (e.g. attended at least one METS Ignited event).</w:t>
            </w:r>
          </w:p>
        </w:tc>
      </w:tr>
    </w:tbl>
    <w:p w14:paraId="67C9D0BA" w14:textId="77777777" w:rsidR="00495277" w:rsidRPr="00457736" w:rsidRDefault="00863FF2" w:rsidP="00347F2B">
      <w:r w:rsidRPr="00457736">
        <w:br w:type="column"/>
      </w:r>
      <w:r w:rsidR="00C43074" w:rsidRPr="00457736">
        <w:t xml:space="preserve">For nearly thirty years, </w:t>
      </w:r>
      <w:proofErr w:type="spellStart"/>
      <w:r w:rsidR="00C43074" w:rsidRPr="00457736">
        <w:t>Austmine</w:t>
      </w:r>
      <w:proofErr w:type="spellEnd"/>
      <w:r w:rsidR="00C43074" w:rsidRPr="00457736">
        <w:t xml:space="preserve"> has been the METS sector’s predominant industry body and has played a formative role in defining the sector and quantifying its economic impact. Accordingly, </w:t>
      </w:r>
      <w:proofErr w:type="spellStart"/>
      <w:r w:rsidR="00C43074" w:rsidRPr="00457736">
        <w:t>Austmine</w:t>
      </w:r>
      <w:proofErr w:type="spellEnd"/>
      <w:r w:rsidR="00C43074" w:rsidRPr="00457736">
        <w:t xml:space="preserve"> has traditionally delivered many similar initiatives to those now being delivered by M</w:t>
      </w:r>
      <w:r w:rsidR="00495277" w:rsidRPr="00457736">
        <w:t>ETS Ignited</w:t>
      </w:r>
      <w:r w:rsidR="00C43074" w:rsidRPr="00457736">
        <w:t xml:space="preserve">, such as those aimed at facilitating connections between METS companies, miners and researchers, and supporting skills development. </w:t>
      </w:r>
    </w:p>
    <w:p w14:paraId="445950C1" w14:textId="77777777" w:rsidR="00B74AA5" w:rsidRPr="00974BF9" w:rsidRDefault="00C43074" w:rsidP="006F6F3D">
      <w:proofErr w:type="spellStart"/>
      <w:r w:rsidRPr="00974BF9">
        <w:t>Austmine</w:t>
      </w:r>
      <w:proofErr w:type="spellEnd"/>
      <w:r w:rsidRPr="00974BF9">
        <w:t xml:space="preserve"> </w:t>
      </w:r>
      <w:r w:rsidR="00495277" w:rsidRPr="00974BF9">
        <w:t xml:space="preserve">and METS Ignited </w:t>
      </w:r>
      <w:r w:rsidRPr="00974BF9">
        <w:t xml:space="preserve">have </w:t>
      </w:r>
      <w:r w:rsidR="004560A5" w:rsidRPr="00974BF9">
        <w:t xml:space="preserve">formalised </w:t>
      </w:r>
      <w:r w:rsidRPr="00974BF9">
        <w:t>a collaborative working relationship</w:t>
      </w:r>
      <w:r w:rsidR="00495277" w:rsidRPr="00974BF9">
        <w:t xml:space="preserve"> and there has been relatively little duplication in activities between the two organisations. </w:t>
      </w:r>
    </w:p>
    <w:p w14:paraId="317BC625" w14:textId="77777777" w:rsidR="00E102BD" w:rsidRPr="00CB70B0" w:rsidRDefault="00E102BD" w:rsidP="00482CDD">
      <w:pPr>
        <w:pStyle w:val="Heading2"/>
        <w:spacing w:before="300" w:after="120" w:line="240" w:lineRule="exact"/>
        <w:rPr>
          <w:szCs w:val="20"/>
        </w:rPr>
      </w:pPr>
      <w:r w:rsidRPr="00482CDD">
        <w:rPr>
          <w:b/>
          <w:color w:val="000000" w:themeColor="text1"/>
          <w:sz w:val="20"/>
          <w:szCs w:val="20"/>
        </w:rPr>
        <w:t>Strategy</w:t>
      </w:r>
    </w:p>
    <w:p w14:paraId="746D3E99" w14:textId="77777777" w:rsidR="00E102BD" w:rsidRPr="00457736" w:rsidRDefault="00186B5A" w:rsidP="005067BB">
      <w:pPr>
        <w:rPr>
          <w:lang w:eastAsia="en-AU"/>
        </w:rPr>
      </w:pPr>
      <w:r w:rsidRPr="00457736">
        <w:rPr>
          <w:lang w:eastAsia="en-AU"/>
        </w:rPr>
        <w:t xml:space="preserve">METS </w:t>
      </w:r>
      <w:proofErr w:type="spellStart"/>
      <w:r w:rsidRPr="00457736">
        <w:rPr>
          <w:lang w:eastAsia="en-AU"/>
        </w:rPr>
        <w:t>Ignited’s</w:t>
      </w:r>
      <w:proofErr w:type="spellEnd"/>
      <w:r w:rsidR="00E102BD" w:rsidRPr="00457736">
        <w:rPr>
          <w:lang w:eastAsia="en-AU"/>
        </w:rPr>
        <w:t xml:space="preserve"> vision is for the Australian METS sector </w:t>
      </w:r>
      <w:r w:rsidR="00E102BD" w:rsidRPr="00457736">
        <w:t>to have an ‘aligned, efficient and agile industry ecosystem with a high degree of collaboration, global leadership in innovation, and a growing share of the global market’</w:t>
      </w:r>
      <w:r w:rsidR="0050723A" w:rsidRPr="00457736">
        <w:t>.</w:t>
      </w:r>
      <w:r w:rsidR="00E102BD" w:rsidRPr="00457736">
        <w:rPr>
          <w:lang w:eastAsia="en-AU"/>
        </w:rPr>
        <w:t xml:space="preserve"> To achieve this vision, </w:t>
      </w:r>
      <w:r w:rsidR="00E41B2A" w:rsidRPr="00457736">
        <w:rPr>
          <w:lang w:eastAsia="en-AU"/>
        </w:rPr>
        <w:t xml:space="preserve">METS Ignited </w:t>
      </w:r>
      <w:r w:rsidR="00E102BD" w:rsidRPr="00457736">
        <w:rPr>
          <w:lang w:eastAsia="en-AU"/>
        </w:rPr>
        <w:t>is intentionally focusing its efforts on improving collaboration between the METS sector, miners and researchers to facilitate the commercialisation of innovation.</w:t>
      </w:r>
    </w:p>
    <w:p w14:paraId="1E076686" w14:textId="77777777" w:rsidR="00E102BD" w:rsidRPr="00457736" w:rsidRDefault="00E102BD" w:rsidP="005067BB">
      <w:pPr>
        <w:rPr>
          <w:lang w:eastAsia="en-AU"/>
        </w:rPr>
      </w:pPr>
      <w:r w:rsidRPr="00457736">
        <w:rPr>
          <w:lang w:eastAsia="en-AU"/>
        </w:rPr>
        <w:t xml:space="preserve">Initially, </w:t>
      </w:r>
      <w:r w:rsidR="00186B5A" w:rsidRPr="00457736">
        <w:rPr>
          <w:lang w:eastAsia="en-AU"/>
        </w:rPr>
        <w:t xml:space="preserve">METS </w:t>
      </w:r>
      <w:proofErr w:type="spellStart"/>
      <w:r w:rsidR="00186B5A" w:rsidRPr="00457736">
        <w:rPr>
          <w:lang w:eastAsia="en-AU"/>
        </w:rPr>
        <w:t>Ignited’s</w:t>
      </w:r>
      <w:proofErr w:type="spellEnd"/>
      <w:r w:rsidRPr="00457736">
        <w:rPr>
          <w:lang w:eastAsia="en-AU"/>
        </w:rPr>
        <w:t xml:space="preserve"> strategy focused on delivering a broad range of initiatives. Over time however, </w:t>
      </w:r>
      <w:r w:rsidR="00E41B2A" w:rsidRPr="00457736">
        <w:rPr>
          <w:lang w:eastAsia="en-AU"/>
        </w:rPr>
        <w:t xml:space="preserve">METS Ignited </w:t>
      </w:r>
      <w:r w:rsidRPr="00457736">
        <w:rPr>
          <w:lang w:eastAsia="en-AU"/>
        </w:rPr>
        <w:t xml:space="preserve">has narrowed its strategic focus to emphasise building collaboration and improving access to international markets. </w:t>
      </w:r>
    </w:p>
    <w:p w14:paraId="1CF4EEBC" w14:textId="77777777" w:rsidR="00E102BD" w:rsidRPr="00457736" w:rsidRDefault="00186B5A" w:rsidP="005067BB">
      <w:pPr>
        <w:rPr>
          <w:lang w:eastAsia="en-AU"/>
        </w:rPr>
      </w:pPr>
      <w:r w:rsidRPr="00457736">
        <w:rPr>
          <w:lang w:eastAsia="en-AU"/>
        </w:rPr>
        <w:t xml:space="preserve">METS </w:t>
      </w:r>
      <w:proofErr w:type="spellStart"/>
      <w:r w:rsidRPr="00457736">
        <w:rPr>
          <w:lang w:eastAsia="en-AU"/>
        </w:rPr>
        <w:t>Ignited’s</w:t>
      </w:r>
      <w:proofErr w:type="spellEnd"/>
      <w:r w:rsidR="00E102BD" w:rsidRPr="00457736">
        <w:rPr>
          <w:lang w:eastAsia="en-AU"/>
        </w:rPr>
        <w:t xml:space="preserve"> present strategy focuses on creating opportunities for METS companies to partner with </w:t>
      </w:r>
      <w:r w:rsidR="00E102BD" w:rsidRPr="00457736">
        <w:rPr>
          <w:lang w:eastAsia="en-AU"/>
        </w:rPr>
        <w:lastRenderedPageBreak/>
        <w:t xml:space="preserve">large resource sector companies with demand for new innovation. To do so, </w:t>
      </w:r>
      <w:r w:rsidR="00E41B2A" w:rsidRPr="00457736">
        <w:rPr>
          <w:lang w:eastAsia="en-AU"/>
        </w:rPr>
        <w:t xml:space="preserve">METS Ignited </w:t>
      </w:r>
      <w:r w:rsidR="00E102BD" w:rsidRPr="00457736">
        <w:rPr>
          <w:lang w:eastAsia="en-AU"/>
        </w:rPr>
        <w:t xml:space="preserve">seeks to leverage existing programs run by organisations such as </w:t>
      </w:r>
      <w:proofErr w:type="spellStart"/>
      <w:r w:rsidR="00E102BD" w:rsidRPr="00457736">
        <w:rPr>
          <w:lang w:eastAsia="en-AU"/>
        </w:rPr>
        <w:t>Austmine</w:t>
      </w:r>
      <w:proofErr w:type="spellEnd"/>
      <w:r w:rsidR="00E102BD" w:rsidRPr="00457736">
        <w:rPr>
          <w:lang w:eastAsia="en-AU"/>
        </w:rPr>
        <w:t xml:space="preserve">, existing government funding such as the CRC programme and state government funding. </w:t>
      </w:r>
    </w:p>
    <w:p w14:paraId="7B7763C8" w14:textId="77777777" w:rsidR="00E102BD" w:rsidRPr="00CB70B0" w:rsidRDefault="00E102BD" w:rsidP="00482CDD">
      <w:pPr>
        <w:pStyle w:val="Heading2"/>
        <w:spacing w:before="300" w:after="120" w:line="240" w:lineRule="exact"/>
        <w:rPr>
          <w:szCs w:val="20"/>
        </w:rPr>
      </w:pPr>
      <w:r w:rsidRPr="00482CDD">
        <w:rPr>
          <w:b/>
          <w:color w:val="000000" w:themeColor="text1"/>
          <w:sz w:val="20"/>
          <w:szCs w:val="20"/>
        </w:rPr>
        <w:t>Sector engagement</w:t>
      </w:r>
    </w:p>
    <w:p w14:paraId="2E3BE66B" w14:textId="77777777" w:rsidR="00E102BD" w:rsidRPr="00457736" w:rsidRDefault="00E102BD" w:rsidP="00347F2B">
      <w:r w:rsidRPr="00457736">
        <w:t xml:space="preserve">Survey results indicate that nearly </w:t>
      </w:r>
      <w:r w:rsidR="009B6943" w:rsidRPr="00457736">
        <w:t xml:space="preserve">ninety </w:t>
      </w:r>
      <w:r w:rsidR="00D12938" w:rsidRPr="00457736">
        <w:t>per cent</w:t>
      </w:r>
      <w:r w:rsidRPr="00457736">
        <w:t xml:space="preserve"> of </w:t>
      </w:r>
      <w:r w:rsidR="00186B5A" w:rsidRPr="00457736">
        <w:t xml:space="preserve">METS </w:t>
      </w:r>
      <w:proofErr w:type="spellStart"/>
      <w:r w:rsidR="00186B5A" w:rsidRPr="00457736">
        <w:t>Ignited’s</w:t>
      </w:r>
      <w:proofErr w:type="spellEnd"/>
      <w:r w:rsidRPr="00457736">
        <w:t xml:space="preserve"> stakeholders interact with it a few times a year</w:t>
      </w:r>
      <w:r w:rsidR="00337827" w:rsidRPr="00457736">
        <w:t xml:space="preserve">. The </w:t>
      </w:r>
      <w:r w:rsidRPr="00457736">
        <w:t>most frequent reason for engaging is to participate in M</w:t>
      </w:r>
      <w:r w:rsidR="00571708" w:rsidRPr="00457736">
        <w:t xml:space="preserve">ETS Ignited </w:t>
      </w:r>
      <w:r w:rsidRPr="00457736">
        <w:t>organised</w:t>
      </w:r>
      <w:r w:rsidR="000134C0" w:rsidRPr="00457736">
        <w:t>,</w:t>
      </w:r>
      <w:r w:rsidRPr="00457736">
        <w:t xml:space="preserve"> or supported</w:t>
      </w:r>
      <w:r w:rsidR="000134C0" w:rsidRPr="00457736">
        <w:t>,</w:t>
      </w:r>
      <w:r w:rsidRPr="00457736">
        <w:t xml:space="preserve"> events or forums. </w:t>
      </w:r>
    </w:p>
    <w:p w14:paraId="4B036CF7" w14:textId="77777777" w:rsidR="00E102BD" w:rsidRPr="00457736" w:rsidRDefault="00E41B2A" w:rsidP="00347F2B">
      <w:r w:rsidRPr="00457736">
        <w:t xml:space="preserve">METS Ignited </w:t>
      </w:r>
      <w:r w:rsidR="00E102BD" w:rsidRPr="00457736">
        <w:t>works with businesses that are more innovation-active, export-focused and larger than the sector averages.</w:t>
      </w:r>
    </w:p>
    <w:p w14:paraId="5D780E41" w14:textId="77777777" w:rsidR="00E102BD" w:rsidRPr="00457736" w:rsidRDefault="00E102BD" w:rsidP="00347F2B">
      <w:r w:rsidRPr="00457736">
        <w:t xml:space="preserve">While </w:t>
      </w:r>
      <w:r w:rsidR="00E41B2A" w:rsidRPr="00457736">
        <w:t xml:space="preserve">METS Ignited </w:t>
      </w:r>
      <w:r w:rsidRPr="00457736">
        <w:t xml:space="preserve">engages with businesses across the country, its focus is on Queensland, New South </w:t>
      </w:r>
      <w:r w:rsidR="000134C0" w:rsidRPr="00457736">
        <w:t>Wales,</w:t>
      </w:r>
      <w:r w:rsidRPr="00457736">
        <w:t xml:space="preserve"> and Western Australia. This aligns with the geographic profile of businesses in the sector.</w:t>
      </w:r>
    </w:p>
    <w:p w14:paraId="61C7BB3D" w14:textId="77777777" w:rsidR="00D66FDE" w:rsidRPr="00457736" w:rsidRDefault="00D66FDE" w:rsidP="00D66FDE">
      <w:pPr>
        <w:rPr>
          <w:b/>
        </w:rPr>
      </w:pPr>
      <w:bookmarkStart w:id="33" w:name="_Hlk534384581"/>
      <w:r w:rsidRPr="00457736">
        <w:rPr>
          <w:rFonts w:asciiTheme="minorHAnsi" w:hAnsiTheme="minorHAnsi" w:cstheme="minorHAnsi"/>
          <w:color w:val="000000" w:themeColor="text1"/>
        </w:rPr>
        <w:t>The majority of survey respondents (seventy-seven per cent) indicated that there is moderate to strong awareness of METS Ignited across the METS sector.</w:t>
      </w:r>
    </w:p>
    <w:p w14:paraId="4666F504" w14:textId="62BB949C" w:rsidR="00E7132C" w:rsidRPr="00457736" w:rsidRDefault="00337827" w:rsidP="0025543C">
      <w:r w:rsidRPr="00457736">
        <w:t xml:space="preserve">Eighty-four per cent of survey respondents </w:t>
      </w:r>
      <w:r w:rsidR="009F4CBC" w:rsidRPr="00457736">
        <w:t xml:space="preserve">said </w:t>
      </w:r>
      <w:r w:rsidRPr="00457736">
        <w:t xml:space="preserve">that they were satisfied to very satisfied </w:t>
      </w:r>
      <w:r w:rsidR="00E7132C" w:rsidRPr="00457736">
        <w:t xml:space="preserve">with their </w:t>
      </w:r>
      <w:r w:rsidR="00974BF9" w:rsidRPr="00457736">
        <w:t xml:space="preserve">METS Ignited </w:t>
      </w:r>
      <w:r w:rsidR="00E7132C" w:rsidRPr="00457736">
        <w:t xml:space="preserve">engagement - although we note the potential for positive response bias in who responds. </w:t>
      </w:r>
    </w:p>
    <w:bookmarkEnd w:id="33"/>
    <w:p w14:paraId="76D27CD5" w14:textId="77777777" w:rsidR="00D411FD" w:rsidRPr="00CB70B0" w:rsidRDefault="00D411FD" w:rsidP="00482CDD">
      <w:pPr>
        <w:pStyle w:val="Heading2"/>
        <w:spacing w:before="300" w:after="120" w:line="240" w:lineRule="exact"/>
        <w:rPr>
          <w:szCs w:val="20"/>
        </w:rPr>
      </w:pPr>
      <w:r w:rsidRPr="00482CDD">
        <w:rPr>
          <w:b/>
          <w:color w:val="000000" w:themeColor="text1"/>
          <w:sz w:val="20"/>
          <w:szCs w:val="20"/>
        </w:rPr>
        <w:t>Project funding</w:t>
      </w:r>
    </w:p>
    <w:p w14:paraId="040BE42E" w14:textId="77777777" w:rsidR="00E102BD" w:rsidRPr="00457736" w:rsidRDefault="00E102BD" w:rsidP="00347F2B">
      <w:r w:rsidRPr="00457736">
        <w:t xml:space="preserve">As at June 2018, </w:t>
      </w:r>
      <w:r w:rsidR="00E41B2A" w:rsidRPr="00457736">
        <w:t xml:space="preserve">METS Ignited </w:t>
      </w:r>
      <w:r w:rsidRPr="00457736">
        <w:t>had approved 13 projects across two Project Fund rounds, with a combined project value of approximately $40</w:t>
      </w:r>
      <w:r w:rsidR="00A03FA4" w:rsidRPr="00457736">
        <w:t xml:space="preserve"> million </w:t>
      </w:r>
      <w:r w:rsidRPr="00457736">
        <w:t>(which includes co-funding</w:t>
      </w:r>
      <w:r w:rsidR="00406E7B" w:rsidRPr="00457736">
        <w:t xml:space="preserve"> from project partners</w:t>
      </w:r>
      <w:r w:rsidRPr="00457736">
        <w:t xml:space="preserve">). In the first funding round in 2016/17, </w:t>
      </w:r>
      <w:r w:rsidR="00E41B2A" w:rsidRPr="00457736">
        <w:t xml:space="preserve">METS Ignited </w:t>
      </w:r>
      <w:r w:rsidRPr="00457736">
        <w:t>allocated approximately $0.8</w:t>
      </w:r>
      <w:r w:rsidR="00A03FA4" w:rsidRPr="00457736">
        <w:t xml:space="preserve"> million </w:t>
      </w:r>
      <w:r w:rsidRPr="00457736">
        <w:t>to five projects. There was a significant increase in the amount of funding allocated in the second project round, with a total of $7.1</w:t>
      </w:r>
      <w:r w:rsidR="00A03FA4" w:rsidRPr="00457736">
        <w:t xml:space="preserve"> million </w:t>
      </w:r>
      <w:r w:rsidRPr="00457736">
        <w:t>awarded across eight projects. In addition to these projects, a further four projects, with a combined project value of $1.5</w:t>
      </w:r>
      <w:r w:rsidR="00A03FA4" w:rsidRPr="00457736">
        <w:t xml:space="preserve"> million </w:t>
      </w:r>
      <w:r w:rsidRPr="00457736">
        <w:t>have been approved under the Bowen Basin Cluster Program.</w:t>
      </w:r>
    </w:p>
    <w:p w14:paraId="573D624C" w14:textId="77777777" w:rsidR="00E102BD" w:rsidRPr="00457736" w:rsidRDefault="00E102BD" w:rsidP="00347F2B">
      <w:r w:rsidRPr="00457736">
        <w:t xml:space="preserve">Project fund participants expect to gain substantial benefits from participating in these projects. These benefits include developing new relationships with other businesses and organisations and improving access to international markets and global supply chains. </w:t>
      </w:r>
    </w:p>
    <w:p w14:paraId="68F0D02E" w14:textId="77777777" w:rsidR="00E102BD" w:rsidRPr="00CB70B0" w:rsidRDefault="00E60C7B" w:rsidP="00482CDD">
      <w:pPr>
        <w:pStyle w:val="Heading2"/>
        <w:spacing w:before="300" w:after="120" w:line="240" w:lineRule="exact"/>
        <w:rPr>
          <w:szCs w:val="20"/>
        </w:rPr>
      </w:pPr>
      <w:r w:rsidRPr="00482CDD">
        <w:rPr>
          <w:b/>
          <w:color w:val="000000" w:themeColor="text1"/>
          <w:sz w:val="20"/>
          <w:szCs w:val="20"/>
        </w:rPr>
        <w:t>Objective 1: Increasing collaboration and commercialisation</w:t>
      </w:r>
    </w:p>
    <w:p w14:paraId="796F54FE" w14:textId="77777777" w:rsidR="00E102BD" w:rsidRPr="00457736" w:rsidRDefault="00E41B2A" w:rsidP="00347F2B">
      <w:r w:rsidRPr="00457736">
        <w:t xml:space="preserve">METS Ignited </w:t>
      </w:r>
      <w:r w:rsidR="00E102BD" w:rsidRPr="00457736">
        <w:t xml:space="preserve">has played an important role within the sector as a network coordinator. Through the Project </w:t>
      </w:r>
      <w:r w:rsidR="00E102BD" w:rsidRPr="00457736">
        <w:t xml:space="preserve">Fund, as well as its numerous collaborative programs and initiatives, it has facilitated new relationships between METS businesses, Tier 1 and Tier 2 miners, governments, research organisations and education providers. </w:t>
      </w:r>
      <w:r w:rsidR="00B97056" w:rsidRPr="00457736">
        <w:t>Key programs and initiatives include the CORE Innovation Hub (in partnership with NERA), the Bowen Basin Cluster Program and the METS Ignited Collaboration Award.</w:t>
      </w:r>
    </w:p>
    <w:p w14:paraId="3F1C7DC6" w14:textId="77777777" w:rsidR="00E102BD" w:rsidRPr="00457736" w:rsidRDefault="00E41B2A" w:rsidP="00347F2B">
      <w:r w:rsidRPr="00457736">
        <w:t xml:space="preserve">METS Ignited </w:t>
      </w:r>
      <w:r w:rsidR="00E102BD" w:rsidRPr="00457736">
        <w:t>has also broker</w:t>
      </w:r>
      <w:r w:rsidR="0025543C" w:rsidRPr="00457736">
        <w:t>ed</w:t>
      </w:r>
      <w:r w:rsidR="00E102BD" w:rsidRPr="00457736">
        <w:t xml:space="preserve"> connections between research organisations and industry, primarily through its role in facilitating the development of CRC bids. To date, </w:t>
      </w:r>
      <w:r w:rsidRPr="00457736">
        <w:t xml:space="preserve">METS Ignited </w:t>
      </w:r>
      <w:r w:rsidR="00E102BD" w:rsidRPr="00457736">
        <w:t>has contributed to the development of two CRC bids.</w:t>
      </w:r>
    </w:p>
    <w:p w14:paraId="4311E52E" w14:textId="77777777" w:rsidR="0025543C" w:rsidRPr="00457736" w:rsidRDefault="0025543C" w:rsidP="0025543C">
      <w:r w:rsidRPr="00457736">
        <w:t xml:space="preserve">Over three quarters of the business that responded to the survey said that </w:t>
      </w:r>
      <w:bookmarkStart w:id="34" w:name="_Hlk527396738"/>
      <w:r w:rsidRPr="00457736">
        <w:t>METS Ignited has provided some or great support to</w:t>
      </w:r>
      <w:bookmarkStart w:id="35" w:name="_Hlk527396694"/>
      <w:bookmarkEnd w:id="34"/>
      <w:r w:rsidRPr="00457736">
        <w:t xml:space="preserve">; build relationships and networks with other businesses; </w:t>
      </w:r>
      <w:bookmarkEnd w:id="35"/>
      <w:r w:rsidRPr="00457736">
        <w:t>connect and collaborate with researchers or academics; and better understand how to collaborate on challenges in the sector.</w:t>
      </w:r>
    </w:p>
    <w:p w14:paraId="2091DDCB" w14:textId="77777777" w:rsidR="00E102BD" w:rsidRPr="00457736" w:rsidRDefault="00E41B2A" w:rsidP="00347F2B">
      <w:r w:rsidRPr="00457736">
        <w:t xml:space="preserve">METS Ignited </w:t>
      </w:r>
      <w:r w:rsidR="00E102BD" w:rsidRPr="00457736">
        <w:t>has played a more modest role in supporting commercialisation outcomes.</w:t>
      </w:r>
      <w:r w:rsidR="00016B6C" w:rsidRPr="00457736">
        <w:t xml:space="preserve"> The most commonly cited </w:t>
      </w:r>
      <w:r w:rsidR="009F4CBC" w:rsidRPr="00457736">
        <w:t xml:space="preserve">outcome </w:t>
      </w:r>
      <w:r w:rsidR="00016B6C" w:rsidRPr="00457736">
        <w:t xml:space="preserve">METS Ignited has provided some or great support to survey respondents </w:t>
      </w:r>
      <w:r w:rsidR="009F4CBC" w:rsidRPr="00457736">
        <w:t xml:space="preserve">to achieve was </w:t>
      </w:r>
      <w:r w:rsidR="00016B6C" w:rsidRPr="00457736">
        <w:t>bringing a new product to market.</w:t>
      </w:r>
    </w:p>
    <w:p w14:paraId="16F6848C" w14:textId="77777777" w:rsidR="009A579C" w:rsidRPr="00CB70B0" w:rsidRDefault="009A579C" w:rsidP="00482CDD">
      <w:pPr>
        <w:pStyle w:val="Heading2"/>
        <w:spacing w:before="300" w:after="120" w:line="240" w:lineRule="exact"/>
        <w:rPr>
          <w:szCs w:val="20"/>
        </w:rPr>
      </w:pPr>
      <w:r w:rsidRPr="00482CDD">
        <w:rPr>
          <w:b/>
          <w:color w:val="000000" w:themeColor="text1"/>
          <w:sz w:val="20"/>
          <w:szCs w:val="20"/>
        </w:rPr>
        <w:t>Objective 2: Enhancing management and workforce skills</w:t>
      </w:r>
    </w:p>
    <w:p w14:paraId="0A47B37F" w14:textId="77777777" w:rsidR="009A579C" w:rsidRPr="00457736" w:rsidRDefault="009A579C" w:rsidP="009A579C">
      <w:r w:rsidRPr="00457736">
        <w:t xml:space="preserve">METS Ignited has placed less of an emphasis on enhancing management and workforce skills relative to other objectives in the Initiative. At the business level, METS Ignited has focused on building the capabilities and knowledge of individual entities through its Masterclass series, and involvement in mentoring programs. To date, METS Ignited has delivered Masterclasses to a total of 350 businesses across Australia. </w:t>
      </w:r>
    </w:p>
    <w:p w14:paraId="7BBDD14C" w14:textId="77777777" w:rsidR="009A579C" w:rsidRPr="00457736" w:rsidRDefault="009A579C" w:rsidP="009A579C">
      <w:r w:rsidRPr="00457736">
        <w:t xml:space="preserve">METS Ignited has also recognised the work that other organisations, such as </w:t>
      </w:r>
      <w:proofErr w:type="spellStart"/>
      <w:r w:rsidRPr="00457736">
        <w:t>Austmine</w:t>
      </w:r>
      <w:proofErr w:type="spellEnd"/>
      <w:r w:rsidRPr="00457736">
        <w:t xml:space="preserve">, are already doing in education and made a strategic decision to focus resources elsewhere. </w:t>
      </w:r>
    </w:p>
    <w:p w14:paraId="3C13395C" w14:textId="77777777" w:rsidR="009A579C" w:rsidRPr="00457736" w:rsidRDefault="009A579C" w:rsidP="009A579C">
      <w:r w:rsidRPr="00457736">
        <w:t xml:space="preserve">At the sector level, METS Ignited has concentrated on ensuring that the </w:t>
      </w:r>
      <w:r w:rsidRPr="00457736">
        <w:rPr>
          <w:szCs w:val="16"/>
        </w:rPr>
        <w:t>industry’s skill needs are well defined</w:t>
      </w:r>
      <w:r w:rsidRPr="00457736">
        <w:t xml:space="preserve"> and understood. METS Ignited has worked with the Minerals Council of Australia to deliver the Future Minerals Workforce Program, which assisted senior managers to prepare organisational/workforce strategies. METS Ignited has also signed a MOU with the Australian Technology Network to encourage more undergraduate and postgraduate industry placements.</w:t>
      </w:r>
    </w:p>
    <w:p w14:paraId="488C55DD" w14:textId="77777777" w:rsidR="00D01047" w:rsidRPr="00457736" w:rsidRDefault="00D01047" w:rsidP="00D01047">
      <w:pPr>
        <w:rPr>
          <w:lang w:eastAsia="en-AU"/>
        </w:rPr>
      </w:pPr>
      <w:r w:rsidRPr="00457736">
        <w:rPr>
          <w:lang w:eastAsia="en-AU"/>
        </w:rPr>
        <w:lastRenderedPageBreak/>
        <w:t xml:space="preserve">METS Ignited (along with </w:t>
      </w:r>
      <w:proofErr w:type="spellStart"/>
      <w:r w:rsidRPr="00457736">
        <w:rPr>
          <w:lang w:eastAsia="en-AU"/>
        </w:rPr>
        <w:t>MTPConnect</w:t>
      </w:r>
      <w:proofErr w:type="spellEnd"/>
      <w:r w:rsidRPr="00457736">
        <w:rPr>
          <w:lang w:eastAsia="en-AU"/>
        </w:rPr>
        <w:t xml:space="preserve"> and NERA) has funded the Australian Academy of Technology and Engineering to expand the Industry Mentoring Network in STEM pilot in the sector to all states.</w:t>
      </w:r>
    </w:p>
    <w:p w14:paraId="4AC6D826" w14:textId="77777777" w:rsidR="00E7132C" w:rsidRPr="00457736" w:rsidRDefault="009A579C" w:rsidP="009A579C">
      <w:r w:rsidRPr="00457736">
        <w:t xml:space="preserve">Stakeholders are generally satisfied with METS </w:t>
      </w:r>
      <w:proofErr w:type="spellStart"/>
      <w:r w:rsidRPr="00457736">
        <w:t>Ignited’s</w:t>
      </w:r>
      <w:proofErr w:type="spellEnd"/>
      <w:r w:rsidRPr="00457736">
        <w:t xml:space="preserve"> direct efforts to enhance management and workforce skills. </w:t>
      </w:r>
    </w:p>
    <w:p w14:paraId="495F13FA" w14:textId="77777777" w:rsidR="00E102BD" w:rsidRPr="00CB70B0" w:rsidRDefault="00E7352C" w:rsidP="00482CDD">
      <w:pPr>
        <w:pStyle w:val="Heading2"/>
        <w:spacing w:before="300" w:after="120" w:line="240" w:lineRule="exact"/>
        <w:rPr>
          <w:szCs w:val="20"/>
        </w:rPr>
      </w:pPr>
      <w:r w:rsidRPr="00482CDD">
        <w:rPr>
          <w:b/>
          <w:color w:val="000000" w:themeColor="text1"/>
          <w:sz w:val="20"/>
          <w:szCs w:val="20"/>
        </w:rPr>
        <w:t xml:space="preserve">Objective </w:t>
      </w:r>
      <w:r w:rsidR="009A579C" w:rsidRPr="00482CDD">
        <w:rPr>
          <w:b/>
          <w:color w:val="000000" w:themeColor="text1"/>
          <w:sz w:val="20"/>
          <w:szCs w:val="20"/>
        </w:rPr>
        <w:t>3</w:t>
      </w:r>
      <w:r w:rsidRPr="00482CDD">
        <w:rPr>
          <w:b/>
          <w:color w:val="000000" w:themeColor="text1"/>
          <w:sz w:val="20"/>
          <w:szCs w:val="20"/>
        </w:rPr>
        <w:t>: Improving international opportunities and market access</w:t>
      </w:r>
    </w:p>
    <w:p w14:paraId="5F8E466B" w14:textId="77777777" w:rsidR="00E102BD" w:rsidRPr="00457736" w:rsidRDefault="00186B5A" w:rsidP="00347F2B">
      <w:r w:rsidRPr="00457736">
        <w:t xml:space="preserve">METS </w:t>
      </w:r>
      <w:proofErr w:type="spellStart"/>
      <w:r w:rsidRPr="00457736">
        <w:t>Ignited’s</w:t>
      </w:r>
      <w:proofErr w:type="spellEnd"/>
      <w:r w:rsidR="00E102BD" w:rsidRPr="00457736">
        <w:t xml:space="preserve"> recent activities to develop international opportunities and enhance market access for SMEs show promise. </w:t>
      </w:r>
    </w:p>
    <w:p w14:paraId="70306696" w14:textId="77777777" w:rsidR="00E102BD" w:rsidRPr="00457736" w:rsidRDefault="00E102BD" w:rsidP="00347F2B">
      <w:r w:rsidRPr="00457736">
        <w:t xml:space="preserve">Notably, </w:t>
      </w:r>
      <w:r w:rsidR="00E41B2A" w:rsidRPr="00457736">
        <w:t xml:space="preserve">METS Ignited </w:t>
      </w:r>
      <w:r w:rsidRPr="00457736">
        <w:t xml:space="preserve">has fostered strong relationships with the Chilean mining sector, as demonstrated by the </w:t>
      </w:r>
      <w:proofErr w:type="spellStart"/>
      <w:r w:rsidRPr="00457736">
        <w:t>METStech</w:t>
      </w:r>
      <w:proofErr w:type="spellEnd"/>
      <w:r w:rsidRPr="00457736">
        <w:t xml:space="preserve"> Passport exchange program whereby Australian and Chilean businesses engage in a two-week exchange to explore commercial collaborations. </w:t>
      </w:r>
    </w:p>
    <w:p w14:paraId="0BDC8208" w14:textId="77777777" w:rsidR="00E102BD" w:rsidRPr="00457736" w:rsidRDefault="00E41B2A" w:rsidP="00347F2B">
      <w:r w:rsidRPr="00457736">
        <w:t xml:space="preserve">METS Ignited </w:t>
      </w:r>
      <w:r w:rsidR="00E102BD" w:rsidRPr="00457736">
        <w:t>has also been active in supporting the International Mining and Resources Conference (IMARC) and facilitating connections between Australian METS companies and through training seminars and international delegations.</w:t>
      </w:r>
    </w:p>
    <w:p w14:paraId="257511FF" w14:textId="77777777" w:rsidR="00E102BD" w:rsidRPr="00457736" w:rsidRDefault="00E102BD" w:rsidP="00347F2B">
      <w:r w:rsidRPr="00457736">
        <w:t xml:space="preserve">In late 2017, </w:t>
      </w:r>
      <w:r w:rsidR="00E41B2A" w:rsidRPr="00457736">
        <w:t xml:space="preserve">METS Ignited </w:t>
      </w:r>
      <w:r w:rsidRPr="00457736">
        <w:t>commenced a collaboration with Austrade to develop a METS brand definition and value proposition, as well as an international market strategy.</w:t>
      </w:r>
    </w:p>
    <w:p w14:paraId="17403A1B" w14:textId="77777777" w:rsidR="00E102BD" w:rsidRPr="00457736" w:rsidRDefault="00E102BD" w:rsidP="00347F2B">
      <w:r w:rsidRPr="00457736">
        <w:t xml:space="preserve">Survey and interview feedback from other stakeholders suggested that </w:t>
      </w:r>
      <w:r w:rsidR="00E41B2A" w:rsidRPr="00457736">
        <w:t xml:space="preserve">METS Ignited </w:t>
      </w:r>
      <w:r w:rsidRPr="00457736">
        <w:t xml:space="preserve">is not as active in the market access space as other established industry bodies, and that </w:t>
      </w:r>
      <w:r w:rsidR="00E41B2A" w:rsidRPr="00457736">
        <w:t xml:space="preserve">METS Ignited </w:t>
      </w:r>
      <w:r w:rsidRPr="00457736">
        <w:t>could achieve more impact by focusing its efforts on leveraging the work done by others.</w:t>
      </w:r>
    </w:p>
    <w:p w14:paraId="1601E8D1" w14:textId="77777777" w:rsidR="00E102BD" w:rsidRPr="00457736" w:rsidRDefault="00186B5A" w:rsidP="00347F2B">
      <w:pPr>
        <w:rPr>
          <w:lang w:eastAsia="en-AU"/>
        </w:rPr>
      </w:pPr>
      <w:r w:rsidRPr="00457736">
        <w:rPr>
          <w:lang w:eastAsia="en-AU"/>
        </w:rPr>
        <w:t xml:space="preserve">METS </w:t>
      </w:r>
      <w:proofErr w:type="spellStart"/>
      <w:r w:rsidRPr="00457736">
        <w:rPr>
          <w:lang w:eastAsia="en-AU"/>
        </w:rPr>
        <w:t>Ignited’s</w:t>
      </w:r>
      <w:proofErr w:type="spellEnd"/>
      <w:r w:rsidR="00E102BD" w:rsidRPr="00457736">
        <w:rPr>
          <w:lang w:eastAsia="en-AU"/>
        </w:rPr>
        <w:t xml:space="preserve"> efforts to address this include using IMARC and promoting the </w:t>
      </w:r>
      <w:proofErr w:type="spellStart"/>
      <w:r w:rsidR="00E102BD" w:rsidRPr="00457736">
        <w:rPr>
          <w:lang w:eastAsia="en-AU"/>
        </w:rPr>
        <w:t>Austmine</w:t>
      </w:r>
      <w:proofErr w:type="spellEnd"/>
      <w:r w:rsidR="00E102BD" w:rsidRPr="00457736">
        <w:rPr>
          <w:lang w:eastAsia="en-AU"/>
        </w:rPr>
        <w:t xml:space="preserve"> conference as the premier global METS innovation event. </w:t>
      </w:r>
    </w:p>
    <w:p w14:paraId="624D4695" w14:textId="77777777" w:rsidR="00E102BD" w:rsidRPr="00CB70B0" w:rsidRDefault="00E7352C" w:rsidP="00482CDD">
      <w:pPr>
        <w:pStyle w:val="Heading2"/>
        <w:spacing w:before="300" w:after="120" w:line="240" w:lineRule="exact"/>
        <w:rPr>
          <w:szCs w:val="20"/>
        </w:rPr>
      </w:pPr>
      <w:r w:rsidRPr="00482CDD">
        <w:rPr>
          <w:b/>
          <w:color w:val="000000" w:themeColor="text1"/>
          <w:sz w:val="20"/>
          <w:szCs w:val="20"/>
        </w:rPr>
        <w:t xml:space="preserve">Objective </w:t>
      </w:r>
      <w:r w:rsidR="00841D0A" w:rsidRPr="00482CDD">
        <w:rPr>
          <w:b/>
          <w:color w:val="000000" w:themeColor="text1"/>
          <w:sz w:val="20"/>
          <w:szCs w:val="20"/>
        </w:rPr>
        <w:t>4</w:t>
      </w:r>
      <w:r w:rsidRPr="00482CDD">
        <w:rPr>
          <w:b/>
          <w:color w:val="000000" w:themeColor="text1"/>
          <w:sz w:val="20"/>
          <w:szCs w:val="20"/>
        </w:rPr>
        <w:t>: Identifying opportunities for regulatory reform</w:t>
      </w:r>
    </w:p>
    <w:p w14:paraId="4999A5DC" w14:textId="77777777" w:rsidR="00571708" w:rsidRPr="00457736" w:rsidRDefault="00E102BD" w:rsidP="00347F2B">
      <w:r w:rsidRPr="00457736">
        <w:t xml:space="preserve">Identifying regulatory reform opportunities was not one of </w:t>
      </w:r>
      <w:r w:rsidR="00186B5A" w:rsidRPr="00457736">
        <w:t xml:space="preserve">METS </w:t>
      </w:r>
      <w:proofErr w:type="spellStart"/>
      <w:r w:rsidR="00186B5A" w:rsidRPr="00457736">
        <w:t>Ignited’s</w:t>
      </w:r>
      <w:proofErr w:type="spellEnd"/>
      <w:r w:rsidRPr="00457736">
        <w:t xml:space="preserve"> main priorities during its first year of operations. Since then, </w:t>
      </w:r>
      <w:r w:rsidR="00E41B2A" w:rsidRPr="00457736">
        <w:t xml:space="preserve">METS Ignited </w:t>
      </w:r>
      <w:r w:rsidRPr="00457736">
        <w:t>has adopted a more proactive approach to regulatory reform and develop</w:t>
      </w:r>
      <w:r w:rsidR="00016B6C" w:rsidRPr="00457736">
        <w:t>ed</w:t>
      </w:r>
      <w:r w:rsidRPr="00457736">
        <w:t xml:space="preserve"> a reform implementation roadmap. </w:t>
      </w:r>
    </w:p>
    <w:p w14:paraId="267CB9B2" w14:textId="77777777" w:rsidR="00571708" w:rsidRPr="00457736" w:rsidRDefault="00E41B2A" w:rsidP="00571708">
      <w:r w:rsidRPr="00457736">
        <w:t xml:space="preserve">METS </w:t>
      </w:r>
      <w:r w:rsidR="000134C0" w:rsidRPr="00457736">
        <w:t>Ignited</w:t>
      </w:r>
      <w:r w:rsidRPr="00457736">
        <w:t xml:space="preserve"> </w:t>
      </w:r>
      <w:r w:rsidR="00016B6C" w:rsidRPr="00457736">
        <w:t xml:space="preserve">has </w:t>
      </w:r>
      <w:r w:rsidR="00E102BD" w:rsidRPr="00457736">
        <w:t xml:space="preserve">progressed the </w:t>
      </w:r>
      <w:r w:rsidR="00016B6C" w:rsidRPr="00457736">
        <w:t xml:space="preserve">reform issues </w:t>
      </w:r>
      <w:r w:rsidR="00E102BD" w:rsidRPr="00457736">
        <w:t xml:space="preserve">they </w:t>
      </w:r>
      <w:r w:rsidR="00521459" w:rsidRPr="00457736">
        <w:t xml:space="preserve">believe they </w:t>
      </w:r>
      <w:r w:rsidR="00E102BD" w:rsidRPr="00457736">
        <w:t xml:space="preserve">can influence at a local level and are now seeking to develop mechanisms to influence many of the </w:t>
      </w:r>
      <w:r w:rsidR="000134C0" w:rsidRPr="00457736">
        <w:t>state-based</w:t>
      </w:r>
      <w:r w:rsidR="00E102BD" w:rsidRPr="00457736">
        <w:t xml:space="preserve"> matters through the Resources </w:t>
      </w:r>
      <w:r w:rsidR="00E102BD" w:rsidRPr="00457736">
        <w:t xml:space="preserve">committee of COAG. </w:t>
      </w:r>
      <w:r w:rsidR="00571708" w:rsidRPr="00457736">
        <w:t>METS Ignited began collaborating with NERA on regulatory reform issues in 2017 to broaden the scope of work to encompass the entire supply chain of the resources sector.</w:t>
      </w:r>
    </w:p>
    <w:p w14:paraId="19ECB42A" w14:textId="77777777" w:rsidR="00016B6C" w:rsidRPr="00457736" w:rsidRDefault="00016B6C" w:rsidP="00016B6C">
      <w:pPr>
        <w:rPr>
          <w:b/>
          <w:lang w:eastAsia="en-AU"/>
        </w:rPr>
      </w:pPr>
      <w:r w:rsidRPr="00457736">
        <w:t xml:space="preserve">To date, the reform priorities that identified </w:t>
      </w:r>
      <w:r w:rsidR="00571708" w:rsidRPr="00457736">
        <w:t xml:space="preserve">by METS Ignited </w:t>
      </w:r>
      <w:r w:rsidRPr="00457736">
        <w:t>primarily relate to standards harmonisation.</w:t>
      </w:r>
    </w:p>
    <w:p w14:paraId="28C86236" w14:textId="77777777" w:rsidR="00E102BD" w:rsidRPr="00CB70B0" w:rsidRDefault="00E102BD" w:rsidP="00482CDD">
      <w:pPr>
        <w:pStyle w:val="Heading2"/>
        <w:spacing w:before="300" w:after="120" w:line="240" w:lineRule="exact"/>
        <w:rPr>
          <w:szCs w:val="20"/>
        </w:rPr>
      </w:pPr>
      <w:r w:rsidRPr="00482CDD">
        <w:rPr>
          <w:b/>
          <w:color w:val="000000" w:themeColor="text1"/>
          <w:sz w:val="20"/>
          <w:szCs w:val="20"/>
        </w:rPr>
        <w:t>Additional or indirect outcomes</w:t>
      </w:r>
    </w:p>
    <w:p w14:paraId="2A6C78E0" w14:textId="77777777" w:rsidR="00E102BD" w:rsidRPr="00457736" w:rsidRDefault="00E41B2A" w:rsidP="00347F2B">
      <w:r w:rsidRPr="00457736">
        <w:t xml:space="preserve">METS Ignited </w:t>
      </w:r>
      <w:r w:rsidR="00E102BD" w:rsidRPr="00457736">
        <w:t xml:space="preserve">regularly engages with state agencies across the country to provide advice on policy and programs and to co-fund grants for the sector. </w:t>
      </w:r>
      <w:r w:rsidRPr="00457736">
        <w:t xml:space="preserve">METS Ignited </w:t>
      </w:r>
      <w:r w:rsidR="00E102BD" w:rsidRPr="00457736">
        <w:t xml:space="preserve">has also undertaken work to better define the sector. </w:t>
      </w:r>
    </w:p>
    <w:p w14:paraId="1E65F940" w14:textId="77777777" w:rsidR="00E102BD" w:rsidRPr="00457736" w:rsidRDefault="00E41B2A" w:rsidP="00347F2B">
      <w:r w:rsidRPr="00457736">
        <w:t xml:space="preserve">METS Ignited </w:t>
      </w:r>
      <w:r w:rsidR="00E102BD" w:rsidRPr="00457736">
        <w:t xml:space="preserve">worked with external consultants in 2017 to define and describe the METS sector using nine product or service segments. This segmentation built on existing work by the Mineral Council of Australia and </w:t>
      </w:r>
      <w:proofErr w:type="spellStart"/>
      <w:r w:rsidR="00E102BD" w:rsidRPr="00457736">
        <w:t>Austmine</w:t>
      </w:r>
      <w:proofErr w:type="spellEnd"/>
      <w:r w:rsidR="00E102BD" w:rsidRPr="00457736">
        <w:t xml:space="preserve"> to segment the sector. </w:t>
      </w:r>
    </w:p>
    <w:p w14:paraId="4917D7DA" w14:textId="03E05177" w:rsidR="00E102BD" w:rsidRPr="00457736" w:rsidRDefault="00E41B2A" w:rsidP="00347F2B">
      <w:r w:rsidRPr="00457736">
        <w:t xml:space="preserve">METS Ignited </w:t>
      </w:r>
      <w:r w:rsidR="00E102BD" w:rsidRPr="00457736">
        <w:t>is well-represented on the boards of research entities across the sector and is playing an active role in developing new research entities in the sector by supporting a range of CRC bids.</w:t>
      </w:r>
    </w:p>
    <w:p w14:paraId="32C0AA9A" w14:textId="77777777" w:rsidR="00E102BD" w:rsidRPr="00457736" w:rsidRDefault="00E41B2A" w:rsidP="00347F2B">
      <w:r w:rsidRPr="00457736">
        <w:rPr>
          <w:lang w:eastAsia="en-AU"/>
        </w:rPr>
        <w:t xml:space="preserve">METS Ignited </w:t>
      </w:r>
      <w:r w:rsidR="00E102BD" w:rsidRPr="00457736">
        <w:rPr>
          <w:lang w:eastAsia="en-AU"/>
        </w:rPr>
        <w:t xml:space="preserve">has a fairly active social media </w:t>
      </w:r>
      <w:r w:rsidR="000134C0" w:rsidRPr="00457736">
        <w:rPr>
          <w:lang w:eastAsia="en-AU"/>
        </w:rPr>
        <w:t>presence and</w:t>
      </w:r>
      <w:r w:rsidR="00E102BD" w:rsidRPr="00457736">
        <w:rPr>
          <w:lang w:eastAsia="en-AU"/>
        </w:rPr>
        <w:t xml:space="preserve"> maintains Twitter and LinkedIn accounts. </w:t>
      </w:r>
    </w:p>
    <w:p w14:paraId="245D98B5" w14:textId="77777777" w:rsidR="00E102BD" w:rsidRPr="00CB70B0" w:rsidRDefault="00E102BD" w:rsidP="00482CDD">
      <w:pPr>
        <w:pStyle w:val="Heading2"/>
        <w:spacing w:before="300" w:after="120" w:line="240" w:lineRule="exact"/>
        <w:rPr>
          <w:szCs w:val="20"/>
        </w:rPr>
      </w:pPr>
      <w:r w:rsidRPr="00482CDD">
        <w:rPr>
          <w:b/>
          <w:color w:val="000000" w:themeColor="text1"/>
          <w:sz w:val="20"/>
          <w:szCs w:val="20"/>
        </w:rPr>
        <w:t>Performance measurement</w:t>
      </w:r>
    </w:p>
    <w:p w14:paraId="35B82B86" w14:textId="77777777" w:rsidR="00E102BD" w:rsidRPr="00457736" w:rsidRDefault="00E41B2A" w:rsidP="00347F2B">
      <w:r w:rsidRPr="00457736">
        <w:t xml:space="preserve">METS Ignited </w:t>
      </w:r>
      <w:r w:rsidR="00E102BD" w:rsidRPr="00457736">
        <w:t xml:space="preserve">developed a measurement and evaluation framework in 2017 but has not yet employed the framework to measure impact. </w:t>
      </w:r>
      <w:r w:rsidRPr="00457736">
        <w:t xml:space="preserve">METS Ignited </w:t>
      </w:r>
      <w:r w:rsidR="00E102BD" w:rsidRPr="00457736">
        <w:t>is currently developing a quarterly measurement framework.</w:t>
      </w:r>
    </w:p>
    <w:p w14:paraId="756A905D" w14:textId="77777777" w:rsidR="00E102BD" w:rsidRPr="00CB70B0" w:rsidRDefault="00E102BD" w:rsidP="00482CDD">
      <w:pPr>
        <w:pStyle w:val="Heading2"/>
        <w:spacing w:before="300" w:after="120" w:line="240" w:lineRule="exact"/>
        <w:rPr>
          <w:szCs w:val="20"/>
        </w:rPr>
      </w:pPr>
      <w:r w:rsidRPr="00482CDD">
        <w:rPr>
          <w:b/>
          <w:color w:val="000000" w:themeColor="text1"/>
          <w:sz w:val="20"/>
          <w:szCs w:val="20"/>
        </w:rPr>
        <w:t>Sector impact</w:t>
      </w:r>
    </w:p>
    <w:p w14:paraId="14313414" w14:textId="77777777" w:rsidR="00E102BD" w:rsidRPr="00457736" w:rsidRDefault="009F4CBC" w:rsidP="00347F2B">
      <w:r w:rsidRPr="00457736">
        <w:t>I</w:t>
      </w:r>
      <w:r w:rsidR="00E102BD" w:rsidRPr="00457736">
        <w:t xml:space="preserve">t is not possible to make a definitive assessment about </w:t>
      </w:r>
      <w:r w:rsidR="00186B5A" w:rsidRPr="00457736">
        <w:t xml:space="preserve">METS </w:t>
      </w:r>
      <w:proofErr w:type="spellStart"/>
      <w:r w:rsidR="00186B5A" w:rsidRPr="00457736">
        <w:t>Ignited’s</w:t>
      </w:r>
      <w:proofErr w:type="spellEnd"/>
      <w:r w:rsidR="00E102BD" w:rsidRPr="00457736">
        <w:t xml:space="preserve"> impact at a sector-wide level at this point in time. </w:t>
      </w:r>
    </w:p>
    <w:p w14:paraId="3EA79325" w14:textId="77777777" w:rsidR="00E102BD" w:rsidRPr="00457736" w:rsidRDefault="00E102BD" w:rsidP="00347F2B">
      <w:r w:rsidRPr="00457736">
        <w:t xml:space="preserve">Survey and interview feedback indicates that </w:t>
      </w:r>
      <w:r w:rsidR="00186B5A" w:rsidRPr="00457736">
        <w:t xml:space="preserve">METS </w:t>
      </w:r>
      <w:proofErr w:type="spellStart"/>
      <w:r w:rsidR="00186B5A" w:rsidRPr="00457736">
        <w:t>Ignited’s</w:t>
      </w:r>
      <w:proofErr w:type="spellEnd"/>
      <w:r w:rsidRPr="00457736">
        <w:t xml:space="preserve"> approach to collaboration and commercialisation has been beneficial for many of those involved in funded programs, masterclasses and pilot activities.</w:t>
      </w:r>
    </w:p>
    <w:p w14:paraId="3DC4CEE7" w14:textId="78C3968B" w:rsidR="00E102BD" w:rsidRPr="00457736" w:rsidRDefault="00E102BD" w:rsidP="00B82D1B">
      <w:r w:rsidRPr="00457736">
        <w:t xml:space="preserve">A </w:t>
      </w:r>
      <w:r w:rsidR="009F4CBC" w:rsidRPr="00457736">
        <w:t xml:space="preserve">modest proportion of the </w:t>
      </w:r>
      <w:r w:rsidRPr="00457736">
        <w:t xml:space="preserve">businesses that responded to the survey indicated that </w:t>
      </w:r>
      <w:r w:rsidR="00E41B2A" w:rsidRPr="00457736">
        <w:t xml:space="preserve">METS Ignited </w:t>
      </w:r>
      <w:r w:rsidRPr="00457736">
        <w:t xml:space="preserve">has had a positive impact on their performance. </w:t>
      </w:r>
      <w:r w:rsidR="004859C6" w:rsidRPr="00457736">
        <w:t>Twenty-one</w:t>
      </w:r>
      <w:r w:rsidR="009F4CBC" w:rsidRPr="00457736">
        <w:t xml:space="preserve"> </w:t>
      </w:r>
      <w:r w:rsidRPr="00457736">
        <w:t xml:space="preserve">businesses </w:t>
      </w:r>
      <w:r w:rsidR="009F4CBC" w:rsidRPr="00457736">
        <w:t>(twenty-three per cent</w:t>
      </w:r>
      <w:r w:rsidR="00974BF9">
        <w:t xml:space="preserve"> of respondents</w:t>
      </w:r>
      <w:r w:rsidR="009F4CBC" w:rsidRPr="00457736">
        <w:t xml:space="preserve">) </w:t>
      </w:r>
      <w:r w:rsidRPr="00457736">
        <w:t xml:space="preserve">said that </w:t>
      </w:r>
      <w:r w:rsidR="00E41B2A" w:rsidRPr="00457736">
        <w:t xml:space="preserve">METS Ignited </w:t>
      </w:r>
      <w:r w:rsidRPr="00457736">
        <w:t>has provided great support to grow their revenue</w:t>
      </w:r>
      <w:r w:rsidR="009F4CBC" w:rsidRPr="00457736">
        <w:t xml:space="preserve"> and</w:t>
      </w:r>
      <w:r w:rsidRPr="00457736">
        <w:t xml:space="preserve"> </w:t>
      </w:r>
      <w:r w:rsidR="009F4CBC" w:rsidRPr="00457736">
        <w:t xml:space="preserve">twelve </w:t>
      </w:r>
      <w:r w:rsidRPr="00457736">
        <w:t xml:space="preserve">businesses </w:t>
      </w:r>
      <w:r w:rsidR="009F4CBC" w:rsidRPr="00457736">
        <w:t xml:space="preserve">(thirteen per cent) </w:t>
      </w:r>
      <w:r w:rsidRPr="00457736">
        <w:t xml:space="preserve">received great support to improve their profitability. </w:t>
      </w:r>
    </w:p>
    <w:p w14:paraId="4242534D" w14:textId="77777777" w:rsidR="00E102BD" w:rsidRPr="00457736" w:rsidRDefault="00E102BD" w:rsidP="00B82D1B">
      <w:pPr>
        <w:sectPr w:rsidR="00E102BD" w:rsidRPr="00457736" w:rsidSect="00347F2B">
          <w:type w:val="continuous"/>
          <w:pgSz w:w="11907" w:h="16839" w:code="9"/>
          <w:pgMar w:top="1304" w:right="1304" w:bottom="1304" w:left="1304" w:header="720" w:footer="720" w:gutter="0"/>
          <w:cols w:num="2" w:space="720"/>
          <w:titlePg/>
          <w:docGrid w:linePitch="360"/>
        </w:sectPr>
      </w:pPr>
    </w:p>
    <w:p w14:paraId="05829395" w14:textId="77777777" w:rsidR="00B82D1B" w:rsidRPr="00457736" w:rsidRDefault="00E102BD" w:rsidP="00B82D1B">
      <w:pPr>
        <w:pStyle w:val="Heading1"/>
      </w:pPr>
      <w:bookmarkStart w:id="36" w:name="_Toc531339606"/>
      <w:bookmarkStart w:id="37" w:name="_Toc535922973"/>
      <w:proofErr w:type="spellStart"/>
      <w:r w:rsidRPr="00457736">
        <w:lastRenderedPageBreak/>
        <w:t>MTPConnect</w:t>
      </w:r>
      <w:bookmarkEnd w:id="36"/>
      <w:bookmarkEnd w:id="37"/>
      <w:proofErr w:type="spellEnd"/>
      <w:r w:rsidR="00B82D1B" w:rsidRPr="00457736">
        <w:t xml:space="preserve"> </w:t>
      </w:r>
    </w:p>
    <w:p w14:paraId="7D64701A" w14:textId="77777777" w:rsidR="00B82D1B" w:rsidRPr="00457736" w:rsidRDefault="00B82D1B" w:rsidP="00B82D1B">
      <w:pPr>
        <w:pStyle w:val="Caption"/>
      </w:pPr>
      <w:r w:rsidRPr="00457736">
        <w:t xml:space="preserve">Figure </w:t>
      </w:r>
      <w:r w:rsidRPr="00457736">
        <w:fldChar w:fldCharType="begin"/>
      </w:r>
      <w:r w:rsidRPr="00457736">
        <w:instrText xml:space="preserve"> SEQ Figure \* ARABIC </w:instrText>
      </w:r>
      <w:r w:rsidRPr="00457736">
        <w:fldChar w:fldCharType="separate"/>
      </w:r>
      <w:r w:rsidR="00AD2D4B">
        <w:rPr>
          <w:noProof/>
        </w:rPr>
        <w:t>13</w:t>
      </w:r>
      <w:r w:rsidRPr="00457736">
        <w:fldChar w:fldCharType="end"/>
      </w:r>
      <w:r w:rsidRPr="00457736">
        <w:t xml:space="preserve"> | Key findings </w:t>
      </w:r>
    </w:p>
    <w:p w14:paraId="159AE67E" w14:textId="77777777" w:rsidR="00190DD9" w:rsidRPr="00457736" w:rsidRDefault="00190DD9" w:rsidP="00482CDD">
      <w:pPr>
        <w:pStyle w:val="TableNBullet"/>
        <w:pBdr>
          <w:top w:val="single" w:sz="4" w:space="1" w:color="auto"/>
        </w:pBdr>
      </w:pPr>
      <w:proofErr w:type="spellStart"/>
      <w:r w:rsidRPr="00457736">
        <w:rPr>
          <w:rFonts w:eastAsia="Segoe UI"/>
        </w:rPr>
        <w:t>MTPConnect</w:t>
      </w:r>
      <w:proofErr w:type="spellEnd"/>
      <w:r w:rsidRPr="00457736">
        <w:rPr>
          <w:rFonts w:eastAsia="Segoe UI"/>
        </w:rPr>
        <w:t xml:space="preserve"> is mostly on track to meet its business plan objectives and funding agreement requirements.</w:t>
      </w:r>
    </w:p>
    <w:p w14:paraId="72893DD9" w14:textId="77777777" w:rsidR="00190DD9" w:rsidRPr="00457736" w:rsidRDefault="00190DD9" w:rsidP="00E7352C">
      <w:pPr>
        <w:pStyle w:val="TableNBullet"/>
      </w:pPr>
      <w:proofErr w:type="spellStart"/>
      <w:r w:rsidRPr="00457736">
        <w:rPr>
          <w:rFonts w:eastAsia="Segoe UI"/>
        </w:rPr>
        <w:t>MTPConnect’s</w:t>
      </w:r>
      <w:proofErr w:type="spellEnd"/>
      <w:r w:rsidRPr="00457736">
        <w:rPr>
          <w:rFonts w:eastAsia="Segoe UI"/>
        </w:rPr>
        <w:t xml:space="preserve"> activities to date have focused mainly on collaboration and workforce skills, including in collaboration with academic and industry partners – so these can have a dual purpose. </w:t>
      </w:r>
    </w:p>
    <w:p w14:paraId="16169204" w14:textId="77777777" w:rsidR="00190DD9" w:rsidRPr="00457736" w:rsidRDefault="00190DD9" w:rsidP="00D21BB6">
      <w:pPr>
        <w:pStyle w:val="TableNBullet"/>
      </w:pPr>
      <w:proofErr w:type="spellStart"/>
      <w:r w:rsidRPr="00457736">
        <w:rPr>
          <w:rFonts w:eastAsia="Segoe UI"/>
        </w:rPr>
        <w:t>MTPConnect’s</w:t>
      </w:r>
      <w:proofErr w:type="spellEnd"/>
      <w:r w:rsidRPr="00457736">
        <w:rPr>
          <w:rFonts w:eastAsia="Segoe UI"/>
        </w:rPr>
        <w:t xml:space="preserve"> project fund of $15.6 million has almost been fully committed, through 3 rounds of funding, and 37 approved projects. </w:t>
      </w:r>
      <w:r w:rsidRPr="00457736">
        <w:rPr>
          <w:rFonts w:eastAsiaTheme="minorEastAsia"/>
        </w:rPr>
        <w:t xml:space="preserve">Many of </w:t>
      </w:r>
      <w:proofErr w:type="spellStart"/>
      <w:r w:rsidRPr="00457736">
        <w:rPr>
          <w:rFonts w:eastAsiaTheme="minorEastAsia"/>
        </w:rPr>
        <w:t>MTPConnect’s</w:t>
      </w:r>
      <w:proofErr w:type="spellEnd"/>
      <w:r w:rsidRPr="00457736">
        <w:rPr>
          <w:rFonts w:eastAsiaTheme="minorEastAsia"/>
        </w:rPr>
        <w:t xml:space="preserve"> projects have a collaboration focus and aim to promote commercialisation of research. These activities are, however, more focused on the early stages of the value chain.</w:t>
      </w:r>
    </w:p>
    <w:p w14:paraId="7AEC5162" w14:textId="77777777" w:rsidR="00190DD9" w:rsidRPr="00457736" w:rsidRDefault="00190DD9" w:rsidP="00E7352C">
      <w:pPr>
        <w:pStyle w:val="TableNBullet"/>
      </w:pPr>
      <w:r w:rsidRPr="00457736">
        <w:rPr>
          <w:rFonts w:eastAsiaTheme="minorEastAsia"/>
        </w:rPr>
        <w:t xml:space="preserve">Around a quarter of </w:t>
      </w:r>
      <w:proofErr w:type="spellStart"/>
      <w:r w:rsidRPr="00457736">
        <w:rPr>
          <w:rFonts w:eastAsiaTheme="minorEastAsia"/>
        </w:rPr>
        <w:t>MTPConnect’s</w:t>
      </w:r>
      <w:proofErr w:type="spellEnd"/>
      <w:r w:rsidRPr="00457736">
        <w:rPr>
          <w:rFonts w:eastAsiaTheme="minorEastAsia"/>
        </w:rPr>
        <w:t xml:space="preserve"> projects have a major focus on training to build understanding, skills in commercialisation and technical skills (which are mainly aimed at developing the capacity to deliver clinical trials). </w:t>
      </w:r>
    </w:p>
    <w:p w14:paraId="56FB03B4" w14:textId="77777777" w:rsidR="00190DD9" w:rsidRPr="00457736" w:rsidRDefault="00190DD9" w:rsidP="00E7352C">
      <w:pPr>
        <w:pStyle w:val="TableNBullet"/>
      </w:pPr>
      <w:proofErr w:type="spellStart"/>
      <w:r w:rsidRPr="00457736">
        <w:rPr>
          <w:rFonts w:eastAsiaTheme="minorEastAsia"/>
        </w:rPr>
        <w:t>MTPConnect</w:t>
      </w:r>
      <w:proofErr w:type="spellEnd"/>
      <w:r w:rsidRPr="00457736">
        <w:rPr>
          <w:rFonts w:eastAsiaTheme="minorEastAsia"/>
        </w:rPr>
        <w:t xml:space="preserve"> report participating in over 42 inbound and outbound trade missions, many with Austrade.</w:t>
      </w:r>
    </w:p>
    <w:p w14:paraId="76C9E7D4" w14:textId="77777777" w:rsidR="00190DD9" w:rsidRPr="00457736" w:rsidRDefault="00190DD9" w:rsidP="00D21BB6">
      <w:pPr>
        <w:pStyle w:val="TableNBullet"/>
      </w:pPr>
      <w:proofErr w:type="spellStart"/>
      <w:r w:rsidRPr="00457736">
        <w:rPr>
          <w:rFonts w:eastAsiaTheme="minorEastAsia"/>
        </w:rPr>
        <w:t>MTPConnect</w:t>
      </w:r>
      <w:proofErr w:type="spellEnd"/>
      <w:r w:rsidRPr="00457736">
        <w:rPr>
          <w:rFonts w:eastAsiaTheme="minorEastAsia"/>
        </w:rPr>
        <w:t xml:space="preserve"> is well represented on the boards of many research entities across the sector.</w:t>
      </w:r>
    </w:p>
    <w:p w14:paraId="3ACFAF3F" w14:textId="77777777" w:rsidR="00190DD9" w:rsidRPr="00457736" w:rsidRDefault="00190DD9" w:rsidP="009A6925">
      <w:pPr>
        <w:pStyle w:val="TableNBullet"/>
      </w:pPr>
      <w:proofErr w:type="spellStart"/>
      <w:r w:rsidRPr="00457736">
        <w:rPr>
          <w:rFonts w:eastAsia="Segoe UI"/>
        </w:rPr>
        <w:t>MTPConnect</w:t>
      </w:r>
      <w:proofErr w:type="spellEnd"/>
      <w:r w:rsidRPr="00457736">
        <w:rPr>
          <w:rFonts w:eastAsia="Segoe UI"/>
        </w:rPr>
        <w:t xml:space="preserve"> has worked across a range of regulatory reform issues. </w:t>
      </w:r>
      <w:proofErr w:type="spellStart"/>
      <w:r w:rsidRPr="00457736">
        <w:rPr>
          <w:rFonts w:eastAsia="Segoe UI"/>
        </w:rPr>
        <w:t>MTPConnect</w:t>
      </w:r>
      <w:proofErr w:type="spellEnd"/>
      <w:r w:rsidRPr="00457736">
        <w:rPr>
          <w:rFonts w:eastAsia="Segoe UI"/>
        </w:rPr>
        <w:t xml:space="preserve"> provided i</w:t>
      </w:r>
      <w:r w:rsidRPr="00457736">
        <w:rPr>
          <w:rFonts w:eastAsiaTheme="minorEastAsia"/>
        </w:rPr>
        <w:t xml:space="preserve">nput into the </w:t>
      </w:r>
      <w:proofErr w:type="spellStart"/>
      <w:r w:rsidRPr="00457736">
        <w:rPr>
          <w:rFonts w:eastAsiaTheme="minorEastAsia"/>
        </w:rPr>
        <w:t>Sa</w:t>
      </w:r>
      <w:r>
        <w:rPr>
          <w:rFonts w:eastAsiaTheme="minorEastAsia"/>
        </w:rPr>
        <w:t>m</w:t>
      </w:r>
      <w:r w:rsidRPr="00457736">
        <w:rPr>
          <w:rFonts w:eastAsiaTheme="minorEastAsia"/>
        </w:rPr>
        <w:t>som</w:t>
      </w:r>
      <w:proofErr w:type="spellEnd"/>
      <w:r w:rsidRPr="00457736">
        <w:rPr>
          <w:rFonts w:eastAsiaTheme="minorEastAsia"/>
        </w:rPr>
        <w:t xml:space="preserve"> Review and has ongoing engagement with the TGA and other agencies notably on Conformity Assessment Bodies, promoting an accelerated assessment of medical devices.</w:t>
      </w:r>
    </w:p>
    <w:p w14:paraId="4C82C7D9" w14:textId="77777777" w:rsidR="00190DD9" w:rsidRPr="00457736" w:rsidRDefault="00190DD9" w:rsidP="000D24AC">
      <w:pPr>
        <w:pStyle w:val="TableNBullet"/>
      </w:pPr>
      <w:r w:rsidRPr="00457736">
        <w:t xml:space="preserve">The majority of survey respondents (eighty-six per cent) reported that there are moderate to strong levels of awareness of </w:t>
      </w:r>
      <w:proofErr w:type="spellStart"/>
      <w:r w:rsidRPr="00457736">
        <w:t>MTPConnect</w:t>
      </w:r>
      <w:proofErr w:type="spellEnd"/>
      <w:r w:rsidRPr="00457736">
        <w:t xml:space="preserve"> across the sector. A similar proportion (eighty-five per cent) of survey respondents were satisfied or very satisfied with their engagement with </w:t>
      </w:r>
      <w:proofErr w:type="spellStart"/>
      <w:r w:rsidRPr="00457736">
        <w:t>MTPConnect</w:t>
      </w:r>
      <w:proofErr w:type="spellEnd"/>
      <w:r>
        <w:t>.</w:t>
      </w:r>
    </w:p>
    <w:p w14:paraId="5039A001" w14:textId="77777777" w:rsidR="00190DD9" w:rsidRPr="00A57197" w:rsidRDefault="00190DD9" w:rsidP="00482CDD">
      <w:pPr>
        <w:pStyle w:val="TableNBullet"/>
        <w:pBdr>
          <w:bottom w:val="single" w:sz="4" w:space="1" w:color="auto"/>
        </w:pBdr>
      </w:pPr>
      <w:r w:rsidRPr="00457736">
        <w:rPr>
          <w:rFonts w:eastAsiaTheme="minorEastAsia"/>
        </w:rPr>
        <w:t xml:space="preserve">It is difficult to make a definitive assessment about </w:t>
      </w:r>
      <w:proofErr w:type="spellStart"/>
      <w:r>
        <w:rPr>
          <w:rFonts w:eastAsiaTheme="minorEastAsia"/>
        </w:rPr>
        <w:t>MTPConnect’s</w:t>
      </w:r>
      <w:proofErr w:type="spellEnd"/>
      <w:r>
        <w:rPr>
          <w:rFonts w:eastAsiaTheme="minorEastAsia"/>
        </w:rPr>
        <w:t xml:space="preserve"> sector-</w:t>
      </w:r>
      <w:r w:rsidRPr="00457736">
        <w:rPr>
          <w:rFonts w:eastAsiaTheme="minorEastAsia"/>
        </w:rPr>
        <w:t>wide impact at this point in time</w:t>
      </w:r>
      <w:r>
        <w:rPr>
          <w:rFonts w:eastAsiaTheme="minorEastAsia"/>
        </w:rPr>
        <w:t>.</w:t>
      </w:r>
    </w:p>
    <w:p w14:paraId="0B15F52F" w14:textId="77777777" w:rsidR="00A57197" w:rsidRPr="00457736" w:rsidRDefault="00A57197" w:rsidP="00A57197">
      <w:pPr>
        <w:pStyle w:val="TableNBullet"/>
        <w:numPr>
          <w:ilvl w:val="0"/>
          <w:numId w:val="0"/>
        </w:numPr>
        <w:ind w:left="227"/>
      </w:pPr>
    </w:p>
    <w:p w14:paraId="49336E7B" w14:textId="77777777" w:rsidR="00E102BD" w:rsidRPr="00457736" w:rsidRDefault="00E102BD" w:rsidP="00B82D1B">
      <w:pPr>
        <w:sectPr w:rsidR="00E102BD" w:rsidRPr="00457736" w:rsidSect="003D12B0">
          <w:type w:val="continuous"/>
          <w:pgSz w:w="11907" w:h="16839" w:code="9"/>
          <w:pgMar w:top="1304" w:right="1304" w:bottom="1304" w:left="1304" w:header="720" w:footer="720" w:gutter="0"/>
          <w:cols w:space="720"/>
          <w:docGrid w:linePitch="360"/>
        </w:sectPr>
      </w:pPr>
    </w:p>
    <w:p w14:paraId="5522311C" w14:textId="77777777" w:rsidR="00E102BD" w:rsidRPr="00CB70B0" w:rsidRDefault="00E102BD" w:rsidP="00482CDD">
      <w:pPr>
        <w:pStyle w:val="Heading2"/>
        <w:spacing w:before="300" w:after="120" w:line="240" w:lineRule="exact"/>
        <w:rPr>
          <w:szCs w:val="20"/>
        </w:rPr>
      </w:pPr>
      <w:r w:rsidRPr="00482CDD">
        <w:rPr>
          <w:b/>
          <w:color w:val="000000" w:themeColor="text1"/>
          <w:sz w:val="20"/>
          <w:szCs w:val="20"/>
        </w:rPr>
        <w:t xml:space="preserve">Operating environment </w:t>
      </w:r>
    </w:p>
    <w:p w14:paraId="1BC2E381" w14:textId="77777777" w:rsidR="00E102BD" w:rsidRPr="00457736" w:rsidRDefault="00E102BD" w:rsidP="00D836D3">
      <w:proofErr w:type="spellStart"/>
      <w:r w:rsidRPr="00457736">
        <w:t>MTPC</w:t>
      </w:r>
      <w:r w:rsidR="0080029E">
        <w:t>onnect</w:t>
      </w:r>
      <w:proofErr w:type="spellEnd"/>
      <w:r w:rsidR="0080029E">
        <w:t xml:space="preserve"> covers three industries:</w:t>
      </w:r>
      <w:r w:rsidRPr="00457736">
        <w:t xml:space="preserve"> pharmaceuticals, biotechnology, and medical devices. Digital health overlaps each of these, but most so with medical devices, although data is the key resource for some aspects of </w:t>
      </w:r>
      <w:r w:rsidR="0091573F" w:rsidRPr="00457736">
        <w:t xml:space="preserve">digital health. </w:t>
      </w:r>
    </w:p>
    <w:p w14:paraId="1E9E87A9" w14:textId="77777777" w:rsidR="009677DE" w:rsidRPr="00457736" w:rsidRDefault="009677DE" w:rsidP="00D836D3">
      <w:pPr>
        <w:rPr>
          <w:lang w:eastAsia="en-AU"/>
        </w:rPr>
      </w:pPr>
      <w:proofErr w:type="spellStart"/>
      <w:r w:rsidRPr="00457736">
        <w:rPr>
          <w:lang w:eastAsia="en-AU"/>
        </w:rPr>
        <w:t>MTPConnect</w:t>
      </w:r>
      <w:proofErr w:type="spellEnd"/>
      <w:r w:rsidRPr="00457736">
        <w:rPr>
          <w:lang w:eastAsia="en-AU"/>
        </w:rPr>
        <w:t xml:space="preserve"> operates in a fairly crowded and complex eco-system. Government plays a major role as a funder of research, regulator and procurer. CSIRO, </w:t>
      </w:r>
      <w:r w:rsidR="004C7D64" w:rsidRPr="00457736">
        <w:rPr>
          <w:lang w:eastAsia="en-AU"/>
        </w:rPr>
        <w:t xml:space="preserve">universities </w:t>
      </w:r>
      <w:r w:rsidRPr="00457736">
        <w:rPr>
          <w:lang w:eastAsia="en-AU"/>
        </w:rPr>
        <w:t>and research institutions provide research services, some in conjunction with hospitals.</w:t>
      </w:r>
    </w:p>
    <w:p w14:paraId="42C70FEC" w14:textId="77777777" w:rsidR="009F4CBC" w:rsidRPr="00457736" w:rsidRDefault="009F4CBC" w:rsidP="00D836D3">
      <w:r w:rsidRPr="00457736">
        <w:rPr>
          <w:lang w:eastAsia="en-AU"/>
        </w:rPr>
        <w:t xml:space="preserve">There are multiple sources for research grants, and funding for early stage commercialisation. </w:t>
      </w:r>
      <w:proofErr w:type="spellStart"/>
      <w:r w:rsidRPr="00457736">
        <w:rPr>
          <w:lang w:eastAsia="en-AU"/>
        </w:rPr>
        <w:t>MTPConnect</w:t>
      </w:r>
      <w:proofErr w:type="spellEnd"/>
      <w:r w:rsidRPr="00457736">
        <w:rPr>
          <w:lang w:eastAsia="en-AU"/>
        </w:rPr>
        <w:t xml:space="preserve"> aims to facilitate access to this funding rather than compete.</w:t>
      </w:r>
    </w:p>
    <w:p w14:paraId="69BAAD0B" w14:textId="77777777" w:rsidR="00D836D3" w:rsidRPr="00457736" w:rsidRDefault="00D836D3" w:rsidP="0050723A">
      <w:pPr>
        <w:pStyle w:val="Caption"/>
      </w:pPr>
      <w:r w:rsidRPr="00457736">
        <w:t xml:space="preserve">Figure </w:t>
      </w:r>
      <w:r w:rsidRPr="00457736">
        <w:fldChar w:fldCharType="begin"/>
      </w:r>
      <w:r w:rsidRPr="00457736">
        <w:instrText xml:space="preserve"> SEQ Figure \* ARABIC </w:instrText>
      </w:r>
      <w:r w:rsidRPr="00457736">
        <w:fldChar w:fldCharType="separate"/>
      </w:r>
      <w:r w:rsidR="00AD2D4B">
        <w:rPr>
          <w:noProof/>
        </w:rPr>
        <w:t>14</w:t>
      </w:r>
      <w:r w:rsidRPr="00457736">
        <w:fldChar w:fldCharType="end"/>
      </w:r>
      <w:r w:rsidRPr="00457736">
        <w:t xml:space="preserve"> | Overview of </w:t>
      </w:r>
      <w:proofErr w:type="spellStart"/>
      <w:r w:rsidRPr="00457736">
        <w:t>MTPConnect’s</w:t>
      </w:r>
      <w:proofErr w:type="spellEnd"/>
      <w:r w:rsidRPr="00457736">
        <w:t xml:space="preserve"> survey </w:t>
      </w:r>
    </w:p>
    <w:tbl>
      <w:tblPr>
        <w:tblStyle w:val="NousTableSide"/>
        <w:tblW w:w="5000" w:type="pct"/>
        <w:tblLook w:val="06A0" w:firstRow="1" w:lastRow="0" w:firstColumn="1" w:lastColumn="0" w:noHBand="1" w:noVBand="1"/>
        <w:tblCaption w:val="The table lists data regarding stakeholder survey invites and response rates for MTPConnect."/>
        <w:tblDescription w:val="Table headings are listed in rows on the right with the respective data presented in the adjacent column."/>
      </w:tblPr>
      <w:tblGrid>
        <w:gridCol w:w="1678"/>
        <w:gridCol w:w="2588"/>
      </w:tblGrid>
      <w:tr w:rsidR="00D836D3" w:rsidRPr="00457736" w14:paraId="2414BF2A"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1967" w:type="pct"/>
            <w:hideMark/>
          </w:tcPr>
          <w:p w14:paraId="398D76CF" w14:textId="77777777" w:rsidR="00D836D3" w:rsidRPr="00457736" w:rsidRDefault="00D836D3" w:rsidP="00D836D3">
            <w:pPr>
              <w:pStyle w:val="Tableexpheader"/>
            </w:pPr>
            <w:r w:rsidRPr="00457736">
              <w:t>Stakeholders invited to respond:</w:t>
            </w:r>
          </w:p>
        </w:tc>
        <w:tc>
          <w:tcPr>
            <w:tcW w:w="3033" w:type="pct"/>
            <w:hideMark/>
          </w:tcPr>
          <w:p w14:paraId="0313A7B0" w14:textId="77777777" w:rsidR="00D836D3" w:rsidRPr="00457736" w:rsidRDefault="00D836D3" w:rsidP="00D836D3">
            <w:pPr>
              <w:pStyle w:val="TableExpText"/>
              <w:cnfStyle w:val="000000000000" w:firstRow="0" w:lastRow="0" w:firstColumn="0" w:lastColumn="0" w:oddVBand="0" w:evenVBand="0" w:oddHBand="0" w:evenHBand="0" w:firstRowFirstColumn="0" w:firstRowLastColumn="0" w:lastRowFirstColumn="0" w:lastRowLastColumn="0"/>
            </w:pPr>
            <w:r w:rsidRPr="00457736">
              <w:t>2,323</w:t>
            </w:r>
          </w:p>
        </w:tc>
      </w:tr>
      <w:tr w:rsidR="00D836D3" w:rsidRPr="00457736" w14:paraId="4D235DFF"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1967" w:type="pct"/>
            <w:hideMark/>
          </w:tcPr>
          <w:p w14:paraId="4AF678E3" w14:textId="77777777" w:rsidR="00D836D3" w:rsidRPr="00457736" w:rsidRDefault="00D836D3" w:rsidP="00D836D3">
            <w:pPr>
              <w:pStyle w:val="Tableexpheader"/>
            </w:pPr>
            <w:r w:rsidRPr="00457736">
              <w:t>Response rate:</w:t>
            </w:r>
          </w:p>
        </w:tc>
        <w:tc>
          <w:tcPr>
            <w:tcW w:w="3033" w:type="pct"/>
          </w:tcPr>
          <w:p w14:paraId="6C888A02" w14:textId="77777777" w:rsidR="00D836D3" w:rsidRPr="00457736" w:rsidRDefault="00D836D3" w:rsidP="00D836D3">
            <w:pPr>
              <w:pStyle w:val="TableExpText"/>
              <w:cnfStyle w:val="000000000000" w:firstRow="0" w:lastRow="0" w:firstColumn="0" w:lastColumn="0" w:oddVBand="0" w:evenVBand="0" w:oddHBand="0" w:evenHBand="0" w:firstRowFirstColumn="0" w:firstRowLastColumn="0" w:lastRowFirstColumn="0" w:lastRowLastColumn="0"/>
            </w:pPr>
            <w:r w:rsidRPr="00457736">
              <w:t>13</w:t>
            </w:r>
            <w:r w:rsidR="00210D33" w:rsidRPr="00457736">
              <w:t xml:space="preserve"> </w:t>
            </w:r>
            <w:r w:rsidR="00D12938" w:rsidRPr="00457736">
              <w:t>per cent</w:t>
            </w:r>
          </w:p>
        </w:tc>
      </w:tr>
      <w:tr w:rsidR="00D836D3" w:rsidRPr="00457736" w14:paraId="2199F251"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1967" w:type="pct"/>
            <w:hideMark/>
          </w:tcPr>
          <w:p w14:paraId="60D9CF6F" w14:textId="77777777" w:rsidR="00D836D3" w:rsidRPr="00457736" w:rsidRDefault="00D836D3" w:rsidP="00D836D3">
            <w:pPr>
              <w:pStyle w:val="Tableexpheader"/>
            </w:pPr>
            <w:r w:rsidRPr="00457736">
              <w:t>Distribution rationale:</w:t>
            </w:r>
          </w:p>
        </w:tc>
        <w:tc>
          <w:tcPr>
            <w:tcW w:w="3033" w:type="pct"/>
          </w:tcPr>
          <w:p w14:paraId="1EF7C053" w14:textId="77777777" w:rsidR="00D836D3" w:rsidRPr="00457736" w:rsidRDefault="00D836D3" w:rsidP="00D836D3">
            <w:pPr>
              <w:pStyle w:val="TableExpText"/>
              <w:cnfStyle w:val="000000000000" w:firstRow="0" w:lastRow="0" w:firstColumn="0" w:lastColumn="0" w:oddVBand="0" w:evenVBand="0" w:oddHBand="0" w:evenHBand="0" w:firstRowFirstColumn="0" w:firstRowLastColumn="0" w:lastRowFirstColumn="0" w:lastRowLastColumn="0"/>
            </w:pPr>
            <w:r w:rsidRPr="00457736">
              <w:rPr>
                <w:color w:val="000000"/>
                <w:lang w:eastAsia="en-AU"/>
              </w:rPr>
              <w:t xml:space="preserve">Distributed to key contact(s) in organisations </w:t>
            </w:r>
            <w:proofErr w:type="spellStart"/>
            <w:r w:rsidRPr="00457736">
              <w:rPr>
                <w:color w:val="000000"/>
                <w:lang w:eastAsia="en-AU"/>
              </w:rPr>
              <w:t>MTPConnect</w:t>
            </w:r>
            <w:proofErr w:type="spellEnd"/>
            <w:r w:rsidRPr="00457736">
              <w:rPr>
                <w:color w:val="000000"/>
                <w:lang w:eastAsia="en-AU"/>
              </w:rPr>
              <w:t xml:space="preserve"> regularly interact with plus recipients of its monthly newsletter.</w:t>
            </w:r>
          </w:p>
        </w:tc>
      </w:tr>
    </w:tbl>
    <w:p w14:paraId="29F1CFD0" w14:textId="77777777" w:rsidR="00E102BD" w:rsidRPr="00457736" w:rsidRDefault="00D836D3" w:rsidP="00D836D3">
      <w:pPr>
        <w:rPr>
          <w:lang w:eastAsia="en-AU"/>
        </w:rPr>
      </w:pPr>
      <w:r w:rsidRPr="00457736">
        <w:rPr>
          <w:lang w:eastAsia="en-AU"/>
        </w:rPr>
        <w:br w:type="column"/>
      </w:r>
      <w:r w:rsidR="00E102BD" w:rsidRPr="00457736">
        <w:rPr>
          <w:lang w:eastAsia="en-AU"/>
        </w:rPr>
        <w:t>There are at least 11 industry organisations that represent different parts of the sector. Some are well-established and resourced (such as Medicines Australia</w:t>
      </w:r>
      <w:r w:rsidR="00E018C3" w:rsidRPr="00457736">
        <w:rPr>
          <w:lang w:eastAsia="en-AU"/>
        </w:rPr>
        <w:t xml:space="preserve"> and </w:t>
      </w:r>
      <w:proofErr w:type="spellStart"/>
      <w:r w:rsidR="00E018C3" w:rsidRPr="00457736">
        <w:rPr>
          <w:lang w:eastAsia="en-AU"/>
        </w:rPr>
        <w:t>AusBiotech</w:t>
      </w:r>
      <w:proofErr w:type="spellEnd"/>
      <w:r w:rsidR="00E102BD" w:rsidRPr="00457736">
        <w:rPr>
          <w:lang w:eastAsia="en-AU"/>
        </w:rPr>
        <w:t>)</w:t>
      </w:r>
      <w:r w:rsidR="00E018C3" w:rsidRPr="00457736">
        <w:rPr>
          <w:lang w:eastAsia="en-AU"/>
        </w:rPr>
        <w:t>.</w:t>
      </w:r>
      <w:r w:rsidR="00BD4969" w:rsidRPr="00457736">
        <w:rPr>
          <w:lang w:eastAsia="en-AU"/>
        </w:rPr>
        <w:t xml:space="preserve"> </w:t>
      </w:r>
      <w:proofErr w:type="spellStart"/>
      <w:r w:rsidR="00BD4969" w:rsidRPr="00457736">
        <w:rPr>
          <w:lang w:eastAsia="en-AU"/>
        </w:rPr>
        <w:t>MTPConnect</w:t>
      </w:r>
      <w:proofErr w:type="spellEnd"/>
      <w:r w:rsidR="00BD4969" w:rsidRPr="00457736">
        <w:rPr>
          <w:lang w:eastAsia="en-AU"/>
        </w:rPr>
        <w:t xml:space="preserve"> works closely with many of these organisations. </w:t>
      </w:r>
    </w:p>
    <w:p w14:paraId="3CBE35DB" w14:textId="77777777" w:rsidR="009F4CBC" w:rsidRPr="00457736" w:rsidRDefault="009F4CBC" w:rsidP="00D836D3">
      <w:r w:rsidRPr="00457736">
        <w:t xml:space="preserve">Some of the barriers to sector growth identified by </w:t>
      </w:r>
      <w:proofErr w:type="spellStart"/>
      <w:r w:rsidRPr="00457736">
        <w:t>MTPConnect</w:t>
      </w:r>
      <w:proofErr w:type="spellEnd"/>
      <w:r w:rsidRPr="00457736">
        <w:t xml:space="preserve"> include; </w:t>
      </w:r>
      <w:r w:rsidR="00AF1045" w:rsidRPr="00457736">
        <w:t>i</w:t>
      </w:r>
      <w:r w:rsidRPr="00457736">
        <w:t>ncreasing the rates of commercialisation; growing small local companies to medium and large scale; and maximising the value of intellectual property monetisation.</w:t>
      </w:r>
    </w:p>
    <w:p w14:paraId="6824DD7C" w14:textId="77777777" w:rsidR="00E102BD" w:rsidRPr="00457736" w:rsidRDefault="00E102BD" w:rsidP="00482CDD">
      <w:pPr>
        <w:pStyle w:val="Heading2"/>
        <w:spacing w:before="300" w:after="120" w:line="240" w:lineRule="exact"/>
      </w:pPr>
      <w:r w:rsidRPr="00482CDD">
        <w:rPr>
          <w:b/>
          <w:color w:val="000000" w:themeColor="text1"/>
          <w:sz w:val="20"/>
          <w:szCs w:val="20"/>
        </w:rPr>
        <w:t>Strategy</w:t>
      </w:r>
      <w:r w:rsidRPr="00457736">
        <w:t xml:space="preserve"> </w:t>
      </w:r>
    </w:p>
    <w:p w14:paraId="6951D076" w14:textId="77777777" w:rsidR="00E102BD" w:rsidRPr="00457736" w:rsidRDefault="00E102BD" w:rsidP="00D836D3">
      <w:proofErr w:type="spellStart"/>
      <w:r w:rsidRPr="00457736">
        <w:t>MTPConnect’s</w:t>
      </w:r>
      <w:proofErr w:type="spellEnd"/>
      <w:r w:rsidRPr="00457736">
        <w:t xml:space="preserve"> strategy has seven priorities. Two of these priorities focus specifically on clinical trials and medical devices. The other five priorities are broader and reflect the </w:t>
      </w:r>
      <w:r w:rsidR="004A75C7" w:rsidRPr="00457736">
        <w:t>I</w:t>
      </w:r>
      <w:r w:rsidRPr="00457736">
        <w:t>nitiative</w:t>
      </w:r>
      <w:r w:rsidR="004A75C7" w:rsidRPr="00457736">
        <w:t xml:space="preserve">’s </w:t>
      </w:r>
      <w:r w:rsidRPr="00457736">
        <w:t xml:space="preserve">objectives related to promoting collaboration, commercialisation, engagement with Asian markets, and addressing regulatory constraints. </w:t>
      </w:r>
    </w:p>
    <w:p w14:paraId="02B726B9" w14:textId="77777777" w:rsidR="00E102BD" w:rsidRPr="00457736" w:rsidRDefault="00E102BD" w:rsidP="00D836D3">
      <w:proofErr w:type="spellStart"/>
      <w:r w:rsidRPr="00457736">
        <w:rPr>
          <w:lang w:eastAsia="en-AU"/>
        </w:rPr>
        <w:t>MTPConnect’s</w:t>
      </w:r>
      <w:proofErr w:type="spellEnd"/>
      <w:r w:rsidRPr="00457736">
        <w:rPr>
          <w:lang w:eastAsia="en-AU"/>
        </w:rPr>
        <w:t xml:space="preserve"> activities to date have focused </w:t>
      </w:r>
      <w:r w:rsidR="00BD4969" w:rsidRPr="00457736">
        <w:rPr>
          <w:lang w:eastAsia="en-AU"/>
        </w:rPr>
        <w:t xml:space="preserve">primarily </w:t>
      </w:r>
      <w:r w:rsidRPr="00457736">
        <w:rPr>
          <w:lang w:eastAsia="en-AU"/>
        </w:rPr>
        <w:t xml:space="preserve">on collaboration and workforce skills, including in collaboration with academic and industry partners – so these activities have a dual purpose. </w:t>
      </w:r>
      <w:proofErr w:type="spellStart"/>
      <w:r w:rsidRPr="00457736">
        <w:rPr>
          <w:lang w:eastAsia="en-AU"/>
        </w:rPr>
        <w:t>MTPConnect</w:t>
      </w:r>
      <w:proofErr w:type="spellEnd"/>
      <w:r w:rsidRPr="00457736">
        <w:rPr>
          <w:lang w:eastAsia="en-AU"/>
        </w:rPr>
        <w:t xml:space="preserve"> has focused less on access to markets and supply chains, although some of the </w:t>
      </w:r>
      <w:r w:rsidRPr="00457736">
        <w:t xml:space="preserve">collaboration and workforce development activities businesses have </w:t>
      </w:r>
      <w:r w:rsidRPr="00457736">
        <w:rPr>
          <w:lang w:eastAsia="en-AU"/>
        </w:rPr>
        <w:t xml:space="preserve">had an Asian market focus. </w:t>
      </w:r>
    </w:p>
    <w:p w14:paraId="4755313E" w14:textId="77777777" w:rsidR="009A579C" w:rsidRPr="00457736" w:rsidRDefault="009A579C">
      <w:pPr>
        <w:spacing w:after="165"/>
        <w:rPr>
          <w:rFonts w:eastAsia="Times New Roman" w:cs="Times New Roman"/>
          <w:b/>
          <w:color w:val="000000" w:themeColor="text1"/>
          <w:sz w:val="20"/>
          <w:szCs w:val="24"/>
          <w:lang w:eastAsia="en-AU"/>
        </w:rPr>
      </w:pPr>
      <w:r w:rsidRPr="00457736">
        <w:br w:type="page"/>
      </w:r>
    </w:p>
    <w:p w14:paraId="2A4EED8C" w14:textId="77777777" w:rsidR="00E102BD" w:rsidRPr="00CB70B0" w:rsidRDefault="00E102BD" w:rsidP="00482CDD">
      <w:pPr>
        <w:pStyle w:val="Heading2"/>
        <w:spacing w:before="300" w:after="120" w:line="240" w:lineRule="exact"/>
        <w:rPr>
          <w:szCs w:val="20"/>
        </w:rPr>
      </w:pPr>
      <w:r w:rsidRPr="00482CDD">
        <w:rPr>
          <w:b/>
          <w:color w:val="000000" w:themeColor="text1"/>
          <w:sz w:val="20"/>
          <w:szCs w:val="20"/>
        </w:rPr>
        <w:lastRenderedPageBreak/>
        <w:t>Sector engagement</w:t>
      </w:r>
    </w:p>
    <w:p w14:paraId="30FBCC0F" w14:textId="77777777" w:rsidR="00D836D3" w:rsidRPr="00457736" w:rsidRDefault="00D836D3" w:rsidP="00D836D3">
      <w:proofErr w:type="spellStart"/>
      <w:r w:rsidRPr="00457736">
        <w:t>MTPConnect</w:t>
      </w:r>
      <w:proofErr w:type="spellEnd"/>
      <w:r w:rsidRPr="00457736">
        <w:t xml:space="preserve"> reported in August 2018 that it had engaged with 3,750 companies, universities, research organisations and industry associations.</w:t>
      </w:r>
    </w:p>
    <w:p w14:paraId="46D017C4" w14:textId="77777777" w:rsidR="00E102BD" w:rsidRPr="00457736" w:rsidRDefault="00E102BD" w:rsidP="00D836D3">
      <w:r w:rsidRPr="00457736">
        <w:t xml:space="preserve">Survey responses indicate that </w:t>
      </w:r>
      <w:r w:rsidRPr="00457736">
        <w:rPr>
          <w:lang w:eastAsia="en-AU"/>
        </w:rPr>
        <w:t xml:space="preserve">stakeholders predominantly interact with </w:t>
      </w:r>
      <w:proofErr w:type="spellStart"/>
      <w:r w:rsidRPr="00457736">
        <w:rPr>
          <w:lang w:eastAsia="en-AU"/>
        </w:rPr>
        <w:t>MTPConnect</w:t>
      </w:r>
      <w:proofErr w:type="spellEnd"/>
      <w:r w:rsidRPr="00457736">
        <w:rPr>
          <w:lang w:eastAsia="en-AU"/>
        </w:rPr>
        <w:t xml:space="preserve"> a few times a year. </w:t>
      </w:r>
      <w:r w:rsidRPr="00457736">
        <w:t xml:space="preserve">The most common reasons for engagement are to participate in </w:t>
      </w:r>
      <w:proofErr w:type="spellStart"/>
      <w:r w:rsidRPr="00457736">
        <w:t>MTPConnect</w:t>
      </w:r>
      <w:proofErr w:type="spellEnd"/>
      <w:r w:rsidRPr="00457736">
        <w:t xml:space="preserve"> supported events and forums, followed by seeking opportunities for collaboration and commercialisation.</w:t>
      </w:r>
    </w:p>
    <w:p w14:paraId="382C9C83" w14:textId="77777777" w:rsidR="00BD4969" w:rsidRPr="00457736" w:rsidRDefault="00BD4969" w:rsidP="00BD4969">
      <w:proofErr w:type="spellStart"/>
      <w:r w:rsidRPr="00457736">
        <w:t>MTPConnect</w:t>
      </w:r>
      <w:proofErr w:type="spellEnd"/>
      <w:r w:rsidRPr="00457736">
        <w:t xml:space="preserve"> has good visibility within the sector. The majority of survey respondents (eighty-six per cent) reported that there are moderate to strong levels of awareness of </w:t>
      </w:r>
      <w:proofErr w:type="spellStart"/>
      <w:r w:rsidRPr="00457736">
        <w:t>MTPConnect</w:t>
      </w:r>
      <w:proofErr w:type="spellEnd"/>
      <w:r w:rsidRPr="00457736">
        <w:t xml:space="preserve"> across the sector.</w:t>
      </w:r>
    </w:p>
    <w:p w14:paraId="227D0D0E" w14:textId="77777777" w:rsidR="00E102BD" w:rsidRPr="00457736" w:rsidRDefault="00CE793C" w:rsidP="00D836D3">
      <w:r w:rsidRPr="00457736">
        <w:t>O</w:t>
      </w:r>
      <w:r w:rsidR="00E102BD" w:rsidRPr="00457736">
        <w:t>ver three quarters (</w:t>
      </w:r>
      <w:r w:rsidR="009A6925" w:rsidRPr="00457736">
        <w:t>eighty-five</w:t>
      </w:r>
      <w:r w:rsidR="00A542ED" w:rsidRPr="00457736">
        <w:t xml:space="preserve"> </w:t>
      </w:r>
      <w:r w:rsidR="00D12938" w:rsidRPr="00457736">
        <w:t>per cent</w:t>
      </w:r>
      <w:r w:rsidR="00E102BD" w:rsidRPr="00457736">
        <w:t xml:space="preserve">) of survey respondents were satisfied or very satisfied with their engagement with </w:t>
      </w:r>
      <w:proofErr w:type="spellStart"/>
      <w:r w:rsidR="00E102BD" w:rsidRPr="00457736">
        <w:t>MTPConnect</w:t>
      </w:r>
      <w:proofErr w:type="spellEnd"/>
      <w:r w:rsidRPr="00457736">
        <w:t xml:space="preserve"> - although we note the potential for positive response bias in who responds</w:t>
      </w:r>
      <w:r w:rsidR="00E102BD" w:rsidRPr="00457736">
        <w:t xml:space="preserve">. </w:t>
      </w:r>
    </w:p>
    <w:p w14:paraId="326AA628" w14:textId="77777777" w:rsidR="00D411FD" w:rsidRPr="00CB70B0" w:rsidRDefault="00D411FD" w:rsidP="00482CDD">
      <w:pPr>
        <w:pStyle w:val="Heading2"/>
        <w:spacing w:before="300" w:after="120" w:line="240" w:lineRule="exact"/>
        <w:rPr>
          <w:szCs w:val="20"/>
        </w:rPr>
      </w:pPr>
      <w:r w:rsidRPr="00482CDD">
        <w:rPr>
          <w:b/>
          <w:color w:val="000000" w:themeColor="text1"/>
          <w:sz w:val="20"/>
          <w:szCs w:val="20"/>
        </w:rPr>
        <w:t>Project funding</w:t>
      </w:r>
    </w:p>
    <w:p w14:paraId="40751EBA" w14:textId="77777777" w:rsidR="00E102BD" w:rsidRPr="00457736" w:rsidRDefault="00E102BD" w:rsidP="00D836D3">
      <w:proofErr w:type="spellStart"/>
      <w:r w:rsidRPr="00457736">
        <w:t>MTPConnect’s</w:t>
      </w:r>
      <w:proofErr w:type="spellEnd"/>
      <w:r w:rsidRPr="00457736">
        <w:t xml:space="preserve"> project fund of $15.6</w:t>
      </w:r>
      <w:r w:rsidR="00A03FA4" w:rsidRPr="00457736">
        <w:t xml:space="preserve"> million </w:t>
      </w:r>
      <w:r w:rsidRPr="00457736">
        <w:t>has almost been fully committed, through three rounds of funding, and 37 approved projects</w:t>
      </w:r>
      <w:r w:rsidR="00BD4969" w:rsidRPr="00457736">
        <w:t xml:space="preserve"> that range from </w:t>
      </w:r>
      <w:r w:rsidRPr="00457736">
        <w:t>$100,000 to $1</w:t>
      </w:r>
      <w:r w:rsidR="00A03FA4" w:rsidRPr="00457736">
        <w:t xml:space="preserve"> million </w:t>
      </w:r>
      <w:r w:rsidRPr="00457736">
        <w:t xml:space="preserve">in funding. All projects have received </w:t>
      </w:r>
      <w:r w:rsidR="004952F1" w:rsidRPr="00457736">
        <w:t xml:space="preserve">at least </w:t>
      </w:r>
      <w:r w:rsidRPr="00457736">
        <w:t xml:space="preserve">matched funding and have at least two businesses as partners. The projects are predominantly being led by research organisations (some of which are run by industry). </w:t>
      </w:r>
    </w:p>
    <w:p w14:paraId="6828A95F" w14:textId="77777777" w:rsidR="00E102BD" w:rsidRPr="00457736" w:rsidRDefault="00E102BD" w:rsidP="00D836D3">
      <w:r w:rsidRPr="00457736">
        <w:t xml:space="preserve">The projects fall into four main categories – </w:t>
      </w:r>
      <w:r w:rsidRPr="00457736">
        <w:rPr>
          <w:i/>
        </w:rPr>
        <w:t>accelerators</w:t>
      </w:r>
      <w:r w:rsidRPr="00457736">
        <w:t xml:space="preserve">, that aim to assist start-ups with early stage commercialisation, </w:t>
      </w:r>
      <w:r w:rsidRPr="00457736">
        <w:rPr>
          <w:i/>
        </w:rPr>
        <w:t>workforce development</w:t>
      </w:r>
      <w:r w:rsidRPr="00457736">
        <w:t xml:space="preserve">, with a focus on developing skills in commercialisation, </w:t>
      </w:r>
      <w:r w:rsidRPr="00457736">
        <w:rPr>
          <w:i/>
        </w:rPr>
        <w:t>providing access to ‘infrastructure’</w:t>
      </w:r>
      <w:r w:rsidRPr="00457736">
        <w:t xml:space="preserve">, such as databases, and specialised equipment, and a range of activities intended to support the </w:t>
      </w:r>
      <w:r w:rsidRPr="00457736">
        <w:rPr>
          <w:i/>
        </w:rPr>
        <w:t>expansion of clinical trials</w:t>
      </w:r>
      <w:r w:rsidRPr="00457736">
        <w:t>.</w:t>
      </w:r>
    </w:p>
    <w:p w14:paraId="7AF69F9D" w14:textId="77777777" w:rsidR="00E102BD" w:rsidRPr="00CB70B0" w:rsidRDefault="00E60C7B" w:rsidP="00482CDD">
      <w:pPr>
        <w:pStyle w:val="Heading2"/>
        <w:spacing w:before="300" w:after="120" w:line="240" w:lineRule="exact"/>
        <w:rPr>
          <w:szCs w:val="20"/>
        </w:rPr>
      </w:pPr>
      <w:r w:rsidRPr="00482CDD">
        <w:rPr>
          <w:b/>
          <w:color w:val="000000" w:themeColor="text1"/>
          <w:sz w:val="20"/>
          <w:szCs w:val="20"/>
        </w:rPr>
        <w:t>Objective 1: Increasing collaboration and commercialisation</w:t>
      </w:r>
    </w:p>
    <w:p w14:paraId="62563EC6" w14:textId="77777777" w:rsidR="00E102BD" w:rsidRPr="00457736" w:rsidRDefault="00BD4969" w:rsidP="00D836D3">
      <w:r w:rsidRPr="00457736">
        <w:t>M</w:t>
      </w:r>
      <w:r w:rsidR="00E102BD" w:rsidRPr="00457736">
        <w:t xml:space="preserve">any of </w:t>
      </w:r>
      <w:proofErr w:type="spellStart"/>
      <w:r w:rsidR="00E102BD" w:rsidRPr="00457736">
        <w:t>MTPConnect’s</w:t>
      </w:r>
      <w:proofErr w:type="spellEnd"/>
      <w:r w:rsidR="00E102BD" w:rsidRPr="00457736">
        <w:t xml:space="preserve"> projects have a collaboration focus and aim to promote commercialisation of research. These activities are, however, more focused on the early stages of the value chain, than growing small businesses into larger ones.</w:t>
      </w:r>
    </w:p>
    <w:p w14:paraId="21B30BC5" w14:textId="77777777" w:rsidR="00BD4969" w:rsidRPr="00457736" w:rsidRDefault="00BD4969" w:rsidP="00BD4969">
      <w:proofErr w:type="spellStart"/>
      <w:r w:rsidRPr="00457736">
        <w:t>MTPConnect</w:t>
      </w:r>
      <w:proofErr w:type="spellEnd"/>
      <w:r w:rsidRPr="00457736">
        <w:t xml:space="preserve"> reports a large number of events and networking opportunities and other activities. From the reporting it is difficult to identify which ones have been organised by </w:t>
      </w:r>
      <w:proofErr w:type="spellStart"/>
      <w:r w:rsidRPr="00457736">
        <w:t>MTPConnect</w:t>
      </w:r>
      <w:proofErr w:type="spellEnd"/>
      <w:r w:rsidRPr="00457736">
        <w:t xml:space="preserve"> versus which ones it attended. </w:t>
      </w:r>
    </w:p>
    <w:p w14:paraId="6CD7563C" w14:textId="77777777" w:rsidR="00E102BD" w:rsidRPr="00457736" w:rsidRDefault="00E102BD" w:rsidP="00D836D3">
      <w:proofErr w:type="spellStart"/>
      <w:r w:rsidRPr="00457736">
        <w:t>MTPConnect</w:t>
      </w:r>
      <w:proofErr w:type="spellEnd"/>
      <w:r w:rsidRPr="00457736">
        <w:t xml:space="preserve"> is currently managing the Government’s Medical Research Futures Fund’s </w:t>
      </w:r>
      <w:proofErr w:type="spellStart"/>
      <w:r w:rsidRPr="00457736">
        <w:t>BioMedTech</w:t>
      </w:r>
      <w:proofErr w:type="spellEnd"/>
      <w:r w:rsidRPr="00457736">
        <w:t xml:space="preserve"> Horizons grant program. This program is aimed at the commercialisation of new technologies.</w:t>
      </w:r>
    </w:p>
    <w:p w14:paraId="1C143B8D" w14:textId="77777777" w:rsidR="00902E36" w:rsidRPr="00457736" w:rsidRDefault="00BD4969" w:rsidP="00D836D3">
      <w:r w:rsidRPr="00457736">
        <w:t xml:space="preserve">Survey results indicate that </w:t>
      </w:r>
      <w:proofErr w:type="spellStart"/>
      <w:r w:rsidRPr="00457736">
        <w:t>MTPConnect</w:t>
      </w:r>
      <w:proofErr w:type="spellEnd"/>
      <w:r w:rsidRPr="00457736">
        <w:t xml:space="preserve"> has achieved relatively modest collaboration and commercialisation outcomes thus far. </w:t>
      </w:r>
      <w:r w:rsidR="00902E36" w:rsidRPr="00457736">
        <w:t xml:space="preserve">The most commonly cited collaboration outcomes that business received some or great support from </w:t>
      </w:r>
      <w:proofErr w:type="spellStart"/>
      <w:r w:rsidR="00902E36" w:rsidRPr="00457736">
        <w:t>MTPConnect</w:t>
      </w:r>
      <w:proofErr w:type="spellEnd"/>
      <w:r w:rsidR="00902E36" w:rsidRPr="00457736">
        <w:t xml:space="preserve"> to achieve are connecting to other government departments (fifty-eight per cent) and connecting and collaborating with researchers or academics (fifty-seven per cent). </w:t>
      </w:r>
    </w:p>
    <w:p w14:paraId="4F3D5E86" w14:textId="77777777" w:rsidR="00BD4969" w:rsidRPr="00457736" w:rsidRDefault="00902E36" w:rsidP="00D836D3">
      <w:r w:rsidRPr="00457736">
        <w:t xml:space="preserve">Three quarters of respondents that work in other types of organisations (e.g. research organisations, universities, associations etc.) received some or great support from </w:t>
      </w:r>
      <w:proofErr w:type="spellStart"/>
      <w:r w:rsidRPr="00457736">
        <w:t>MTPConnect</w:t>
      </w:r>
      <w:proofErr w:type="spellEnd"/>
      <w:r w:rsidRPr="00457736">
        <w:t xml:space="preserve"> </w:t>
      </w:r>
      <w:r w:rsidR="007E4C00" w:rsidRPr="00457736">
        <w:t xml:space="preserve">to </w:t>
      </w:r>
      <w:r w:rsidRPr="00457736">
        <w:t>better understand how to collaborate on challenges in the sector.</w:t>
      </w:r>
    </w:p>
    <w:p w14:paraId="00600D68" w14:textId="77777777" w:rsidR="00E7352C" w:rsidRPr="00CB70B0" w:rsidRDefault="00E7352C" w:rsidP="00482CDD">
      <w:pPr>
        <w:pStyle w:val="Heading2"/>
        <w:spacing w:before="300" w:after="120" w:line="240" w:lineRule="exact"/>
        <w:rPr>
          <w:szCs w:val="20"/>
        </w:rPr>
      </w:pPr>
      <w:r w:rsidRPr="00482CDD">
        <w:rPr>
          <w:b/>
          <w:color w:val="000000" w:themeColor="text1"/>
          <w:sz w:val="20"/>
          <w:szCs w:val="20"/>
        </w:rPr>
        <w:t>Objective 2: Enhancing management and workforce skills</w:t>
      </w:r>
    </w:p>
    <w:p w14:paraId="7FEEF045" w14:textId="77777777" w:rsidR="00E7352C" w:rsidRPr="00457736" w:rsidRDefault="00E7352C" w:rsidP="00D836D3">
      <w:r w:rsidRPr="00457736">
        <w:t xml:space="preserve">Around a quarter of </w:t>
      </w:r>
      <w:proofErr w:type="spellStart"/>
      <w:r w:rsidRPr="00457736">
        <w:t>MTPConnect’s</w:t>
      </w:r>
      <w:proofErr w:type="spellEnd"/>
      <w:r w:rsidRPr="00457736">
        <w:t xml:space="preserve"> projects have a major focus on training to build understanding, skills in commercialisation and technical skills. The technical skills are mainly aimed at developing the capacity to deliver clinical trials. </w:t>
      </w:r>
    </w:p>
    <w:p w14:paraId="0C848EB1" w14:textId="77777777" w:rsidR="00E7352C" w:rsidRPr="00457736" w:rsidRDefault="00E7352C" w:rsidP="00D836D3">
      <w:r w:rsidRPr="00457736">
        <w:t xml:space="preserve">One project which aims to improve access for SMEs to technical services includes a major training component. The Bridge </w:t>
      </w:r>
      <w:r w:rsidR="004C7D64" w:rsidRPr="00457736">
        <w:t>Program</w:t>
      </w:r>
      <w:r w:rsidRPr="00457736">
        <w:t xml:space="preserve">, which is entering its second round, took a business training toolkit designed to educate researchers about how to engage in commercialisation of pharmaceuticals, and expanded the reach across the country. </w:t>
      </w:r>
    </w:p>
    <w:p w14:paraId="5462D552" w14:textId="77777777" w:rsidR="00E7352C" w:rsidRPr="00457736" w:rsidRDefault="00E7352C" w:rsidP="00D836D3">
      <w:proofErr w:type="spellStart"/>
      <w:r w:rsidRPr="00457736">
        <w:t>MTPConnect</w:t>
      </w:r>
      <w:proofErr w:type="spellEnd"/>
      <w:r w:rsidRPr="00457736">
        <w:t xml:space="preserve"> </w:t>
      </w:r>
      <w:r w:rsidR="009A579C" w:rsidRPr="00457736">
        <w:t xml:space="preserve">(along with METS Ignited and NERA) </w:t>
      </w:r>
      <w:r w:rsidRPr="00457736">
        <w:t>has funded the Australian Academ</w:t>
      </w:r>
      <w:r w:rsidR="00116216">
        <w:t xml:space="preserve">y of Technology and Engineering </w:t>
      </w:r>
      <w:r w:rsidRPr="00457736">
        <w:t>to expand the Industry Mentoring Network in STEM pilot in the sector to all states</w:t>
      </w:r>
      <w:r w:rsidR="00A3225B" w:rsidRPr="00457736">
        <w:t>.</w:t>
      </w:r>
    </w:p>
    <w:p w14:paraId="6E9E8D64" w14:textId="77777777" w:rsidR="00E102BD" w:rsidRPr="00CB70B0" w:rsidRDefault="00E7352C" w:rsidP="00482CDD">
      <w:pPr>
        <w:pStyle w:val="Heading2"/>
        <w:spacing w:before="300" w:after="120" w:line="240" w:lineRule="exact"/>
        <w:rPr>
          <w:szCs w:val="20"/>
        </w:rPr>
      </w:pPr>
      <w:r w:rsidRPr="00482CDD">
        <w:rPr>
          <w:b/>
          <w:color w:val="000000" w:themeColor="text1"/>
          <w:sz w:val="20"/>
          <w:szCs w:val="20"/>
        </w:rPr>
        <w:t>Objective 3: Improving international opportunities and market access</w:t>
      </w:r>
    </w:p>
    <w:p w14:paraId="53A33707" w14:textId="77777777" w:rsidR="00E102BD" w:rsidRPr="00457736" w:rsidRDefault="00E102BD" w:rsidP="00D836D3">
      <w:proofErr w:type="spellStart"/>
      <w:r w:rsidRPr="00457736">
        <w:t>MTPConnect</w:t>
      </w:r>
      <w:proofErr w:type="spellEnd"/>
      <w:r w:rsidRPr="00457736">
        <w:t xml:space="preserve"> report</w:t>
      </w:r>
      <w:r w:rsidR="00210D33" w:rsidRPr="00457736">
        <w:t>s</w:t>
      </w:r>
      <w:r w:rsidRPr="00457736">
        <w:t xml:space="preserve"> over 42 inbound and outbound trade missions, many with Austrade. This includes organising, with </w:t>
      </w:r>
      <w:proofErr w:type="spellStart"/>
      <w:r w:rsidRPr="00457736">
        <w:t>AusBiotech</w:t>
      </w:r>
      <w:proofErr w:type="spellEnd"/>
      <w:r w:rsidRPr="00457736">
        <w:t xml:space="preserve">, a major Australian presence at the Bio Conference (BIO) in the United States in 2017 and 2018. </w:t>
      </w:r>
    </w:p>
    <w:p w14:paraId="3782F191" w14:textId="77777777" w:rsidR="00E102BD" w:rsidRPr="00457736" w:rsidRDefault="00E102BD" w:rsidP="00D836D3">
      <w:proofErr w:type="spellStart"/>
      <w:r w:rsidRPr="00457736">
        <w:t>MTPConnect</w:t>
      </w:r>
      <w:proofErr w:type="spellEnd"/>
      <w:r w:rsidRPr="00457736">
        <w:t xml:space="preserve"> reporting cites numerous conferences, some delegations, and other events that engage with the international community where </w:t>
      </w:r>
      <w:r w:rsidR="004C7D64" w:rsidRPr="00457736">
        <w:t>it has</w:t>
      </w:r>
      <w:r w:rsidRPr="00457736">
        <w:t xml:space="preserve"> represented the sector. Two projects have focused on building a better understanding of and connections in the Asian market, including a report on Life Sciences in </w:t>
      </w:r>
      <w:r w:rsidRPr="00457736">
        <w:lastRenderedPageBreak/>
        <w:t>Australia for a Chinese audience, and missions to Hong Kong, Singapore</w:t>
      </w:r>
      <w:r w:rsidR="009677DE" w:rsidRPr="00457736">
        <w:t xml:space="preserve"> and China</w:t>
      </w:r>
      <w:r w:rsidRPr="00457736">
        <w:t>.</w:t>
      </w:r>
    </w:p>
    <w:p w14:paraId="357A2257" w14:textId="77777777" w:rsidR="00E102BD" w:rsidRPr="00CB70B0" w:rsidRDefault="00E7352C" w:rsidP="00482CDD">
      <w:pPr>
        <w:pStyle w:val="Heading2"/>
        <w:spacing w:before="300" w:after="120" w:line="240" w:lineRule="exact"/>
        <w:rPr>
          <w:szCs w:val="20"/>
        </w:rPr>
      </w:pPr>
      <w:r w:rsidRPr="00482CDD">
        <w:rPr>
          <w:b/>
          <w:color w:val="000000" w:themeColor="text1"/>
          <w:sz w:val="20"/>
          <w:szCs w:val="20"/>
        </w:rPr>
        <w:t xml:space="preserve">Objective </w:t>
      </w:r>
      <w:r w:rsidR="00210D33" w:rsidRPr="00482CDD">
        <w:rPr>
          <w:b/>
          <w:color w:val="000000" w:themeColor="text1"/>
          <w:sz w:val="20"/>
          <w:szCs w:val="20"/>
        </w:rPr>
        <w:t>4</w:t>
      </w:r>
      <w:r w:rsidRPr="00482CDD">
        <w:rPr>
          <w:b/>
          <w:color w:val="000000" w:themeColor="text1"/>
          <w:sz w:val="20"/>
          <w:szCs w:val="20"/>
        </w:rPr>
        <w:t>: Identifying opportunities for regulatory reform</w:t>
      </w:r>
    </w:p>
    <w:p w14:paraId="29843534" w14:textId="77777777" w:rsidR="00E102BD" w:rsidRPr="00457736" w:rsidRDefault="00E102BD" w:rsidP="00D836D3">
      <w:proofErr w:type="spellStart"/>
      <w:r w:rsidRPr="00457736">
        <w:t>MTPConnect</w:t>
      </w:r>
      <w:proofErr w:type="spellEnd"/>
      <w:r w:rsidRPr="00457736">
        <w:t xml:space="preserve"> undertook a review of the regulatory environment as a separate project. It did not provide a comprehensive scoping of the international and domestic regulatory environment for the sector, in large part due to the highly specific nature of the regulatory issues facing what is a fragmented sector. </w:t>
      </w:r>
    </w:p>
    <w:p w14:paraId="4FF9DE50" w14:textId="77777777" w:rsidR="00E102BD" w:rsidRPr="00457736" w:rsidRDefault="00E102BD" w:rsidP="00D836D3">
      <w:r w:rsidRPr="00457736">
        <w:t xml:space="preserve">The report did identify a number of areas for action. These have served to focus some of the regulatory reform activities, such as ensuring the importation of single dose packaging for use in clinical trials. </w:t>
      </w:r>
    </w:p>
    <w:p w14:paraId="3FD27569" w14:textId="77777777" w:rsidR="00E102BD" w:rsidRPr="00457736" w:rsidRDefault="00E102BD" w:rsidP="00D836D3">
      <w:r w:rsidRPr="00457736">
        <w:t>The other area of progress is on adaptive regulatory reform with the Therapeutic Goods Administration (TGA).</w:t>
      </w:r>
    </w:p>
    <w:p w14:paraId="07EF0887" w14:textId="77777777" w:rsidR="00902E36" w:rsidRPr="00457736" w:rsidRDefault="00E102BD" w:rsidP="00D836D3">
      <w:proofErr w:type="spellStart"/>
      <w:r w:rsidRPr="00457736">
        <w:t>MTPConnect’s</w:t>
      </w:r>
      <w:proofErr w:type="spellEnd"/>
      <w:r w:rsidRPr="00457736">
        <w:t xml:space="preserve"> other regulatory reform activities have been largely opportunistic, and dependent on whether additional funding was available. </w:t>
      </w:r>
    </w:p>
    <w:p w14:paraId="7826CC2D" w14:textId="77777777" w:rsidR="00E102BD" w:rsidRPr="00457736" w:rsidRDefault="00E102BD" w:rsidP="00D836D3">
      <w:proofErr w:type="spellStart"/>
      <w:r w:rsidRPr="00457736">
        <w:t>MTPConnect</w:t>
      </w:r>
      <w:proofErr w:type="spellEnd"/>
      <w:r w:rsidRPr="00457736">
        <w:t xml:space="preserve"> has </w:t>
      </w:r>
      <w:r w:rsidR="00902E36" w:rsidRPr="00457736">
        <w:t xml:space="preserve">also </w:t>
      </w:r>
      <w:r w:rsidRPr="00457736">
        <w:t xml:space="preserve">represented the sector’s interests in recent reviews, serving on review panels, and presented industry perspectives to various government agencies. </w:t>
      </w:r>
    </w:p>
    <w:p w14:paraId="0373CFD7" w14:textId="77777777" w:rsidR="00E102BD" w:rsidRPr="00CB70B0" w:rsidRDefault="00E102BD" w:rsidP="00482CDD">
      <w:pPr>
        <w:pStyle w:val="Heading2"/>
        <w:spacing w:before="300" w:after="120" w:line="240" w:lineRule="exact"/>
        <w:rPr>
          <w:szCs w:val="20"/>
        </w:rPr>
      </w:pPr>
      <w:r w:rsidRPr="00482CDD">
        <w:rPr>
          <w:b/>
          <w:color w:val="000000" w:themeColor="text1"/>
          <w:sz w:val="20"/>
          <w:szCs w:val="20"/>
        </w:rPr>
        <w:t>Additional or indirect outcomes</w:t>
      </w:r>
    </w:p>
    <w:p w14:paraId="0CF91764" w14:textId="77777777" w:rsidR="00B17C5E" w:rsidRPr="00457736" w:rsidRDefault="00B17C5E" w:rsidP="009A6925">
      <w:proofErr w:type="spellStart"/>
      <w:r w:rsidRPr="00457736">
        <w:rPr>
          <w:lang w:eastAsia="en-AU"/>
        </w:rPr>
        <w:t>MTPConnect</w:t>
      </w:r>
      <w:proofErr w:type="spellEnd"/>
      <w:r w:rsidRPr="00457736">
        <w:rPr>
          <w:lang w:eastAsia="en-AU"/>
        </w:rPr>
        <w:t xml:space="preserve"> has had considerable engagement with government programs. This includes working with: </w:t>
      </w:r>
      <w:r w:rsidRPr="00457736">
        <w:t xml:space="preserve">the Entrepreneurs’ Programme to assist early stage SMEs; the CRC Program, NHMRC and MRFF in relation to commercialisation aspects in grant funding; Austrade in relation to in and out bound missions and guidance provided to SMEs in relation to accessing the supply chain in Asia; and DFAT in addressing some specific challenges faced by some SMEs in access overseas markets. </w:t>
      </w:r>
    </w:p>
    <w:p w14:paraId="4B031837" w14:textId="77777777" w:rsidR="00B17C5E" w:rsidRPr="00457736" w:rsidRDefault="00B17C5E" w:rsidP="00B17C5E">
      <w:proofErr w:type="spellStart"/>
      <w:r w:rsidRPr="00457736">
        <w:t>MTPConnect</w:t>
      </w:r>
      <w:proofErr w:type="spellEnd"/>
      <w:r w:rsidRPr="00457736">
        <w:t xml:space="preserve"> has produced a number of publications that are useful for readers that are new to the sector and want to gain an overarching view.</w:t>
      </w:r>
    </w:p>
    <w:p w14:paraId="50C4DB5C" w14:textId="77777777" w:rsidR="00B17C5E" w:rsidRPr="00457736" w:rsidRDefault="00B17C5E" w:rsidP="00D836D3">
      <w:proofErr w:type="spellStart"/>
      <w:r w:rsidRPr="00457736">
        <w:t>MTPConnect</w:t>
      </w:r>
      <w:proofErr w:type="spellEnd"/>
      <w:r w:rsidRPr="00457736">
        <w:t xml:space="preserve"> is well represented on the boards of many research entities across the sector. </w:t>
      </w:r>
    </w:p>
    <w:p w14:paraId="2B20290C" w14:textId="77777777" w:rsidR="00E102BD" w:rsidRPr="00457736" w:rsidRDefault="00E102BD" w:rsidP="00D836D3">
      <w:proofErr w:type="spellStart"/>
      <w:r w:rsidRPr="00457736">
        <w:t>MTPConnect</w:t>
      </w:r>
      <w:proofErr w:type="spellEnd"/>
      <w:r w:rsidRPr="00457736">
        <w:t xml:space="preserve"> is active on Twitter, which it uses to disseminate information (such as when grant opportunities arise). </w:t>
      </w:r>
    </w:p>
    <w:p w14:paraId="0BD375EC" w14:textId="77777777" w:rsidR="00E102BD" w:rsidRPr="00CB70B0" w:rsidRDefault="00E102BD" w:rsidP="00482CDD">
      <w:pPr>
        <w:pStyle w:val="Heading2"/>
        <w:spacing w:before="300" w:after="120" w:line="240" w:lineRule="exact"/>
        <w:rPr>
          <w:szCs w:val="20"/>
        </w:rPr>
      </w:pPr>
      <w:r w:rsidRPr="00482CDD">
        <w:rPr>
          <w:b/>
          <w:color w:val="000000" w:themeColor="text1"/>
          <w:sz w:val="20"/>
          <w:szCs w:val="20"/>
        </w:rPr>
        <w:t xml:space="preserve">Performance measurement </w:t>
      </w:r>
    </w:p>
    <w:p w14:paraId="4A5F99ED" w14:textId="77777777" w:rsidR="00E102BD" w:rsidRPr="00457736" w:rsidRDefault="00E102BD" w:rsidP="00D836D3">
      <w:r w:rsidRPr="00457736">
        <w:t xml:space="preserve">Project fund recipients have started reporting to </w:t>
      </w:r>
      <w:proofErr w:type="spellStart"/>
      <w:r w:rsidRPr="00457736">
        <w:t>MTPConnect</w:t>
      </w:r>
      <w:proofErr w:type="spellEnd"/>
      <w:r w:rsidRPr="00457736">
        <w:t xml:space="preserve"> on a range of indicators, and the most recent business plan sets out clear output KPIs. The </w:t>
      </w:r>
      <w:r w:rsidRPr="00457736">
        <w:t xml:space="preserve">reporting includes output indicators such as the number of people who completed a training program, or the number of businesses who use a subsidised facility. </w:t>
      </w:r>
    </w:p>
    <w:p w14:paraId="50A105F8" w14:textId="77777777" w:rsidR="00CC2841" w:rsidRPr="00457736" w:rsidRDefault="00902E36" w:rsidP="00CC2841">
      <w:r w:rsidRPr="00457736">
        <w:t>P</w:t>
      </w:r>
      <w:r w:rsidR="00E102BD" w:rsidRPr="00457736">
        <w:t xml:space="preserve">roject </w:t>
      </w:r>
      <w:r w:rsidRPr="00457736">
        <w:t xml:space="preserve">fund </w:t>
      </w:r>
      <w:r w:rsidR="00E102BD" w:rsidRPr="00457736">
        <w:t xml:space="preserve">recipients are also reporting (where appropriate) the generation of patents, new technologies invested or progressed, new products launched, and new start-up companies formed. Project recipients are required to report for three years post the completion of the project. Given the lengthy time lags involved in bringing products to market in this sector, consideration should be given to the data that will be available to assess impact in the future. </w:t>
      </w:r>
    </w:p>
    <w:p w14:paraId="4C6ED203" w14:textId="77777777" w:rsidR="00E102BD" w:rsidRPr="00CB70B0" w:rsidRDefault="00E102BD" w:rsidP="00482CDD">
      <w:pPr>
        <w:pStyle w:val="Heading2"/>
        <w:spacing w:before="300" w:after="120" w:line="240" w:lineRule="exact"/>
        <w:rPr>
          <w:szCs w:val="20"/>
        </w:rPr>
      </w:pPr>
      <w:r w:rsidRPr="00482CDD">
        <w:rPr>
          <w:b/>
          <w:color w:val="000000" w:themeColor="text1"/>
          <w:sz w:val="20"/>
          <w:szCs w:val="20"/>
        </w:rPr>
        <w:t xml:space="preserve">Sector impact </w:t>
      </w:r>
    </w:p>
    <w:p w14:paraId="527B8B8A" w14:textId="77777777" w:rsidR="00E102BD" w:rsidRPr="00457736" w:rsidRDefault="00902E36" w:rsidP="00D836D3">
      <w:r w:rsidRPr="00457736">
        <w:t>Q</w:t>
      </w:r>
      <w:r w:rsidR="00E102BD" w:rsidRPr="00457736">
        <w:t xml:space="preserve">ualitative feedback on </w:t>
      </w:r>
      <w:proofErr w:type="spellStart"/>
      <w:r w:rsidR="00E102BD" w:rsidRPr="00457736">
        <w:t>MTPConnect</w:t>
      </w:r>
      <w:proofErr w:type="spellEnd"/>
      <w:r w:rsidR="00E102BD" w:rsidRPr="00457736">
        <w:t xml:space="preserve"> from survey respondents was generally positive. University stakeholders tended to be more positive, along with organisations that had received project funding. The feedback from businesses was more mixed – some were very positive about the engagement and collaborations, some appreciated the service but thought that more could be done (particularly in their location), while others did not see </w:t>
      </w:r>
      <w:proofErr w:type="spellStart"/>
      <w:r w:rsidR="00E102BD" w:rsidRPr="00457736">
        <w:t>MTPConnect</w:t>
      </w:r>
      <w:proofErr w:type="spellEnd"/>
      <w:r w:rsidR="00E102BD" w:rsidRPr="00457736">
        <w:t xml:space="preserve"> as offering anything new to the sector. </w:t>
      </w:r>
    </w:p>
    <w:p w14:paraId="68A50DCA" w14:textId="77777777" w:rsidR="00E102BD" w:rsidRPr="00457736" w:rsidRDefault="00E102BD" w:rsidP="00D836D3">
      <w:pPr>
        <w:rPr>
          <w:szCs w:val="18"/>
        </w:rPr>
      </w:pPr>
      <w:r w:rsidRPr="00457736">
        <w:rPr>
          <w:szCs w:val="18"/>
        </w:rPr>
        <w:t xml:space="preserve">Only a few of the business that responded to the survey reported that their engagement with </w:t>
      </w:r>
      <w:proofErr w:type="spellStart"/>
      <w:r w:rsidRPr="00457736">
        <w:rPr>
          <w:szCs w:val="18"/>
        </w:rPr>
        <w:t>MTPConnect</w:t>
      </w:r>
      <w:proofErr w:type="spellEnd"/>
      <w:r w:rsidRPr="00457736">
        <w:rPr>
          <w:szCs w:val="18"/>
        </w:rPr>
        <w:t xml:space="preserve"> had made a major contribution to improving their bottom line. Around eight businesses </w:t>
      </w:r>
      <w:r w:rsidR="00902E36" w:rsidRPr="00457736">
        <w:rPr>
          <w:szCs w:val="18"/>
        </w:rPr>
        <w:t xml:space="preserve">(ten per cent) </w:t>
      </w:r>
      <w:r w:rsidRPr="00457736">
        <w:rPr>
          <w:szCs w:val="18"/>
        </w:rPr>
        <w:t xml:space="preserve">reported great support from </w:t>
      </w:r>
      <w:proofErr w:type="spellStart"/>
      <w:r w:rsidRPr="00457736">
        <w:rPr>
          <w:szCs w:val="18"/>
        </w:rPr>
        <w:t>MTPConnect</w:t>
      </w:r>
      <w:proofErr w:type="spellEnd"/>
      <w:r w:rsidRPr="00457736">
        <w:rPr>
          <w:szCs w:val="18"/>
        </w:rPr>
        <w:t xml:space="preserve"> in boosting revenue and employment, and about half this number reported great support for improving profits.</w:t>
      </w:r>
    </w:p>
    <w:p w14:paraId="1F0EE45D" w14:textId="77777777" w:rsidR="00E102BD" w:rsidRPr="00457736" w:rsidRDefault="00E102BD" w:rsidP="00D836D3">
      <w:r w:rsidRPr="00457736">
        <w:t xml:space="preserve">This is to be expected given the length of the R&amp;D cycles in the MTP sector. The time from lab to market is around 15 years for a drug and 10 years for a medical device but can be much longer. </w:t>
      </w:r>
    </w:p>
    <w:p w14:paraId="195B7F6E" w14:textId="77777777" w:rsidR="00E102BD" w:rsidRPr="00457736" w:rsidRDefault="00E102BD" w:rsidP="00D836D3">
      <w:r w:rsidRPr="00457736">
        <w:t>The investment in projects and activities that aim to make Australia a more attractive destination for clinical trials has the potential to bring benefits to consumers as well as to Australian SMEs.</w:t>
      </w:r>
    </w:p>
    <w:p w14:paraId="663468EA" w14:textId="77777777" w:rsidR="00E102BD" w:rsidRPr="00457736" w:rsidRDefault="00E102BD" w:rsidP="00D836D3">
      <w:r w:rsidRPr="00457736">
        <w:t xml:space="preserve">As an objective of </w:t>
      </w:r>
      <w:proofErr w:type="spellStart"/>
      <w:r w:rsidRPr="00457736">
        <w:t>MTPConnect</w:t>
      </w:r>
      <w:proofErr w:type="spellEnd"/>
      <w:r w:rsidRPr="00457736">
        <w:t xml:space="preserve"> is to grow small businesses into medium size and large businesses, there is potential for impact to be seen sooner. </w:t>
      </w:r>
    </w:p>
    <w:p w14:paraId="03A9BD91" w14:textId="77777777" w:rsidR="00E102BD" w:rsidRPr="00457736" w:rsidRDefault="00E102BD" w:rsidP="00B82D1B">
      <w:proofErr w:type="spellStart"/>
      <w:r w:rsidRPr="00457736">
        <w:t>MTPConnect’s</w:t>
      </w:r>
      <w:proofErr w:type="spellEnd"/>
      <w:r w:rsidRPr="00457736">
        <w:t xml:space="preserve"> current focus of activities and projects is more on the early stages of development, and on forming relationships, so the time required to realise significant impact will be longer than if the focus was more on the ‘growing the market’ end of the spectrum.</w:t>
      </w:r>
    </w:p>
    <w:p w14:paraId="21DA0E03" w14:textId="77777777" w:rsidR="00B82D1B" w:rsidRPr="00457736" w:rsidRDefault="00B82D1B" w:rsidP="00B82D1B">
      <w:pPr>
        <w:sectPr w:rsidR="00B82D1B" w:rsidRPr="00457736" w:rsidSect="00D836D3">
          <w:type w:val="continuous"/>
          <w:pgSz w:w="11907" w:h="16839" w:code="9"/>
          <w:pgMar w:top="1304" w:right="1304" w:bottom="1304" w:left="1304" w:header="720" w:footer="720" w:gutter="0"/>
          <w:cols w:num="2" w:space="720"/>
          <w:titlePg/>
          <w:docGrid w:linePitch="360"/>
        </w:sectPr>
      </w:pPr>
    </w:p>
    <w:p w14:paraId="4558549E" w14:textId="77777777" w:rsidR="00B82D1B" w:rsidRPr="00457736" w:rsidRDefault="00E7352C" w:rsidP="00B82D1B">
      <w:pPr>
        <w:pStyle w:val="Heading1"/>
      </w:pPr>
      <w:bookmarkStart w:id="38" w:name="_Toc531339607"/>
      <w:bookmarkStart w:id="39" w:name="_Toc535922974"/>
      <w:r w:rsidRPr="00457736">
        <w:lastRenderedPageBreak/>
        <w:t>National Energy Resources Australia (NERA)</w:t>
      </w:r>
      <w:bookmarkEnd w:id="38"/>
      <w:bookmarkEnd w:id="39"/>
      <w:r w:rsidR="00B82D1B" w:rsidRPr="00457736">
        <w:t xml:space="preserve"> </w:t>
      </w:r>
    </w:p>
    <w:p w14:paraId="68B30ED5" w14:textId="77777777" w:rsidR="00B82D1B" w:rsidRPr="00457736" w:rsidRDefault="00B82D1B" w:rsidP="00B82D1B">
      <w:pPr>
        <w:pStyle w:val="Caption"/>
      </w:pPr>
      <w:r w:rsidRPr="00457736">
        <w:t xml:space="preserve">Figure </w:t>
      </w:r>
      <w:r w:rsidRPr="00457736">
        <w:fldChar w:fldCharType="begin"/>
      </w:r>
      <w:r w:rsidRPr="00457736">
        <w:instrText xml:space="preserve"> SEQ Figure \* ARABIC </w:instrText>
      </w:r>
      <w:r w:rsidRPr="00457736">
        <w:fldChar w:fldCharType="separate"/>
      </w:r>
      <w:r w:rsidR="00AD2D4B">
        <w:rPr>
          <w:noProof/>
        </w:rPr>
        <w:t>15</w:t>
      </w:r>
      <w:r w:rsidRPr="00457736">
        <w:fldChar w:fldCharType="end"/>
      </w:r>
      <w:r w:rsidRPr="00457736">
        <w:t xml:space="preserve"> | Key findings </w:t>
      </w:r>
    </w:p>
    <w:p w14:paraId="7D611BFE" w14:textId="77777777" w:rsidR="00A57197" w:rsidRPr="0060743F" w:rsidRDefault="00A57197" w:rsidP="00482CDD">
      <w:pPr>
        <w:pStyle w:val="TableNBullet"/>
        <w:pBdr>
          <w:top w:val="single" w:sz="4" w:space="1" w:color="auto"/>
        </w:pBdr>
        <w:rPr>
          <w:rFonts w:eastAsia="Segoe UI"/>
        </w:rPr>
      </w:pPr>
      <w:r w:rsidRPr="00457736">
        <w:rPr>
          <w:rFonts w:eastAsia="Segoe UI"/>
        </w:rPr>
        <w:t xml:space="preserve">NERA is on track to deliver on its business plan objectives and is meeting its funding agreement requirements. </w:t>
      </w:r>
    </w:p>
    <w:p w14:paraId="117BCFD2" w14:textId="77777777" w:rsidR="00A57197" w:rsidRPr="0060743F" w:rsidRDefault="00A57197" w:rsidP="0041157B">
      <w:pPr>
        <w:pStyle w:val="TableNBullet"/>
        <w:rPr>
          <w:rFonts w:eastAsia="Segoe UI"/>
        </w:rPr>
      </w:pPr>
      <w:r w:rsidRPr="00457736">
        <w:rPr>
          <w:rFonts w:eastAsia="Segoe UI"/>
        </w:rPr>
        <w:t>NERA’s initiatives primarily focus on collaboration and commercialisation.</w:t>
      </w:r>
    </w:p>
    <w:p w14:paraId="55E0582C" w14:textId="77777777" w:rsidR="00A57197" w:rsidRPr="0060743F" w:rsidRDefault="00A57197" w:rsidP="00210D33">
      <w:pPr>
        <w:pStyle w:val="TableNBullet"/>
        <w:rPr>
          <w:rFonts w:eastAsia="Segoe UI"/>
        </w:rPr>
      </w:pPr>
      <w:r w:rsidRPr="0060743F">
        <w:rPr>
          <w:rFonts w:eastAsia="Segoe UI"/>
        </w:rPr>
        <w:t xml:space="preserve">NERA has recently become more active in providing international opportunities and is working to build supply chain capability by supporting the development of innovation offers to Tier 1 businesses. </w:t>
      </w:r>
    </w:p>
    <w:p w14:paraId="1AA36242" w14:textId="77777777" w:rsidR="00A57197" w:rsidRPr="0060743F" w:rsidRDefault="00A57197" w:rsidP="000D24AC">
      <w:pPr>
        <w:pStyle w:val="TableNBullet"/>
        <w:rPr>
          <w:rFonts w:eastAsia="Segoe UI"/>
        </w:rPr>
      </w:pPr>
      <w:r w:rsidRPr="00457736">
        <w:rPr>
          <w:rFonts w:eastAsia="Segoe UI"/>
        </w:rPr>
        <w:t xml:space="preserve">NERA uses the Project Fund as a primary vehicle to deliver on its strategy by requiring applications to demonstrate alignment with Industry Knowledge Priorities and Sector Competitiveness Plan. NERA has 28 funded projects underway and a further seven under negotiation. </w:t>
      </w:r>
    </w:p>
    <w:p w14:paraId="08FD4264" w14:textId="77777777" w:rsidR="00A57197" w:rsidRPr="0060743F" w:rsidRDefault="00A57197" w:rsidP="000D24AC">
      <w:pPr>
        <w:pStyle w:val="TableNBullet"/>
        <w:rPr>
          <w:rFonts w:eastAsia="Segoe UI"/>
        </w:rPr>
      </w:pPr>
      <w:r w:rsidRPr="00457736">
        <w:rPr>
          <w:rFonts w:eastAsia="Segoe UI"/>
        </w:rPr>
        <w:t xml:space="preserve">NERA interacts with a high number of organisations in WA, relative to other states and territories. </w:t>
      </w:r>
    </w:p>
    <w:p w14:paraId="76E8A395" w14:textId="77777777" w:rsidR="00A57197" w:rsidRPr="0060743F" w:rsidRDefault="00A57197" w:rsidP="009A6925">
      <w:pPr>
        <w:pStyle w:val="TableNBullet"/>
        <w:rPr>
          <w:rFonts w:eastAsia="Segoe UI"/>
        </w:rPr>
      </w:pPr>
      <w:r w:rsidRPr="0060743F">
        <w:rPr>
          <w:rFonts w:eastAsia="Segoe UI"/>
        </w:rPr>
        <w:t>Feedback from survey respondents indicates moderate awareness of NERA within the sector. The majority (seventy-seven per cent) of survey respondents are satisfied or highly satisfied with their engagement with NERA.</w:t>
      </w:r>
    </w:p>
    <w:p w14:paraId="55D8803E" w14:textId="11A2CF81" w:rsidR="00A57197" w:rsidRPr="0060743F" w:rsidRDefault="00A57197" w:rsidP="00482CDD">
      <w:pPr>
        <w:pStyle w:val="TableNBullet"/>
        <w:pBdr>
          <w:bottom w:val="single" w:sz="4" w:space="1" w:color="auto"/>
        </w:pBdr>
        <w:rPr>
          <w:rFonts w:eastAsia="Segoe UI"/>
        </w:rPr>
      </w:pPr>
      <w:r w:rsidRPr="0060743F">
        <w:rPr>
          <w:rFonts w:eastAsia="Segoe UI"/>
        </w:rPr>
        <w:t>It is difficult to make a definitive assessment about NERA’s impact against its sector-wide goals at this point in its operation, as it is only starting to move beyond the ‘Formulating’ stage of its 10-year transformation plan.</w:t>
      </w:r>
    </w:p>
    <w:p w14:paraId="0979684C" w14:textId="77777777" w:rsidR="00A57197" w:rsidRPr="00457736" w:rsidRDefault="00A57197" w:rsidP="00A57197">
      <w:pPr>
        <w:pStyle w:val="TableNBullet"/>
        <w:numPr>
          <w:ilvl w:val="0"/>
          <w:numId w:val="0"/>
        </w:numPr>
        <w:ind w:left="227"/>
      </w:pPr>
    </w:p>
    <w:p w14:paraId="1A53CF14" w14:textId="77777777" w:rsidR="00E7352C" w:rsidRPr="00457736" w:rsidRDefault="00E7352C" w:rsidP="00B82D1B">
      <w:pPr>
        <w:sectPr w:rsidR="00E7352C" w:rsidRPr="00457736" w:rsidSect="003D12B0">
          <w:type w:val="continuous"/>
          <w:pgSz w:w="11907" w:h="16839" w:code="9"/>
          <w:pgMar w:top="1304" w:right="1304" w:bottom="1304" w:left="1304" w:header="720" w:footer="720" w:gutter="0"/>
          <w:cols w:space="720"/>
          <w:docGrid w:linePitch="360"/>
        </w:sectPr>
      </w:pPr>
    </w:p>
    <w:p w14:paraId="1C3BEB83" w14:textId="77777777" w:rsidR="00E7352C" w:rsidRPr="00CB70B0" w:rsidRDefault="00E7352C" w:rsidP="00482CDD">
      <w:pPr>
        <w:pStyle w:val="Heading2"/>
        <w:spacing w:before="300" w:after="120" w:line="240" w:lineRule="exact"/>
        <w:rPr>
          <w:szCs w:val="20"/>
        </w:rPr>
      </w:pPr>
      <w:r w:rsidRPr="00482CDD">
        <w:rPr>
          <w:b/>
          <w:color w:val="000000" w:themeColor="text1"/>
          <w:sz w:val="20"/>
          <w:szCs w:val="20"/>
        </w:rPr>
        <w:t xml:space="preserve">Operating environment </w:t>
      </w:r>
    </w:p>
    <w:p w14:paraId="41C6D1BD" w14:textId="77777777" w:rsidR="00E7352C" w:rsidRPr="00457736" w:rsidRDefault="00E7352C" w:rsidP="00E7352C">
      <w:pPr>
        <w:pStyle w:val="TableNText"/>
        <w:rPr>
          <w:lang w:eastAsia="en-AU"/>
        </w:rPr>
      </w:pPr>
      <w:r w:rsidRPr="00457736">
        <w:t xml:space="preserve">NERA has been operating as the </w:t>
      </w:r>
      <w:r w:rsidRPr="00457736">
        <w:rPr>
          <w:lang w:eastAsia="en-AU"/>
        </w:rPr>
        <w:t xml:space="preserve">oil, gas and energy resources sector </w:t>
      </w:r>
      <w:r w:rsidR="00B3713F" w:rsidRPr="00457736">
        <w:rPr>
          <w:lang w:eastAsia="en-AU"/>
        </w:rPr>
        <w:t>Growth Centre</w:t>
      </w:r>
      <w:r w:rsidRPr="00457736">
        <w:rPr>
          <w:lang w:eastAsia="en-AU"/>
        </w:rPr>
        <w:t xml:space="preserve"> since February 2016. </w:t>
      </w:r>
    </w:p>
    <w:p w14:paraId="03690EA3" w14:textId="77777777" w:rsidR="00E7352C" w:rsidRPr="00457736" w:rsidRDefault="00E7352C" w:rsidP="00E7352C">
      <w:pPr>
        <w:pStyle w:val="TableNText"/>
        <w:rPr>
          <w:lang w:eastAsia="en-AU"/>
        </w:rPr>
      </w:pPr>
      <w:r w:rsidRPr="00457736">
        <w:rPr>
          <w:lang w:eastAsia="en-AU"/>
        </w:rPr>
        <w:t xml:space="preserve">Activities within the sector include the exploration, development and extraction of energy and fuels from oil, gas, coal and uranium, and related services and inputs. </w:t>
      </w:r>
    </w:p>
    <w:p w14:paraId="706347EC" w14:textId="77777777" w:rsidR="00E7352C" w:rsidRPr="00457736" w:rsidRDefault="00E7352C" w:rsidP="00E7352C">
      <w:pPr>
        <w:pStyle w:val="TableNText"/>
      </w:pPr>
      <w:r w:rsidRPr="00457736">
        <w:rPr>
          <w:lang w:eastAsia="en-AU"/>
        </w:rPr>
        <w:t>The sector has faced a</w:t>
      </w:r>
      <w:r w:rsidRPr="00457736">
        <w:t xml:space="preserve"> decline in commodity prices, from the high levels experienced over the past decade, and faces continuing high capital costs. There are also challenges and opportunities related to new technologies and new energy sources that could be used to achieve cleaner, lower cost production methods. </w:t>
      </w:r>
    </w:p>
    <w:p w14:paraId="2BCB183B" w14:textId="77777777" w:rsidR="00850DA3" w:rsidRPr="00457736" w:rsidRDefault="00850DA3" w:rsidP="00850DA3">
      <w:pPr>
        <w:pStyle w:val="Caption"/>
      </w:pPr>
      <w:r w:rsidRPr="00457736">
        <w:t xml:space="preserve">Figure </w:t>
      </w:r>
      <w:r w:rsidRPr="00457736">
        <w:fldChar w:fldCharType="begin"/>
      </w:r>
      <w:r w:rsidRPr="00457736">
        <w:instrText xml:space="preserve"> SEQ Figure \* ARABIC </w:instrText>
      </w:r>
      <w:r w:rsidRPr="00457736">
        <w:fldChar w:fldCharType="separate"/>
      </w:r>
      <w:r w:rsidR="00AD2D4B">
        <w:rPr>
          <w:noProof/>
        </w:rPr>
        <w:t>16</w:t>
      </w:r>
      <w:r w:rsidRPr="00457736">
        <w:fldChar w:fldCharType="end"/>
      </w:r>
      <w:r w:rsidRPr="00457736">
        <w:t xml:space="preserve"> | Overview of NERA stakeholder survey </w:t>
      </w:r>
    </w:p>
    <w:tbl>
      <w:tblPr>
        <w:tblStyle w:val="NousTableSide"/>
        <w:tblW w:w="5000" w:type="pct"/>
        <w:tblLook w:val="06A0" w:firstRow="1" w:lastRow="0" w:firstColumn="1" w:lastColumn="0" w:noHBand="1" w:noVBand="1"/>
        <w:tblCaption w:val="The table lists data regarding stakeholder survey invites and response rates for NERA. "/>
        <w:tblDescription w:val="Table headings are listed in rows on the right with the respective data presented in the adjacent column."/>
      </w:tblPr>
      <w:tblGrid>
        <w:gridCol w:w="1820"/>
        <w:gridCol w:w="2446"/>
      </w:tblGrid>
      <w:tr w:rsidR="00850DA3" w:rsidRPr="00457736" w14:paraId="0776AB13"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2133" w:type="pct"/>
            <w:hideMark/>
          </w:tcPr>
          <w:p w14:paraId="296D4DB3" w14:textId="77777777" w:rsidR="00850DA3" w:rsidRPr="00457736" w:rsidRDefault="00850DA3" w:rsidP="00850DA3">
            <w:pPr>
              <w:pStyle w:val="Tableexpheader"/>
            </w:pPr>
            <w:r w:rsidRPr="00457736">
              <w:t>Survey responses:</w:t>
            </w:r>
          </w:p>
        </w:tc>
        <w:tc>
          <w:tcPr>
            <w:tcW w:w="2867" w:type="pct"/>
            <w:hideMark/>
          </w:tcPr>
          <w:p w14:paraId="614AA3B1" w14:textId="77777777" w:rsidR="00850DA3" w:rsidRPr="00457736" w:rsidRDefault="00850DA3" w:rsidP="00850DA3">
            <w:pPr>
              <w:pStyle w:val="TableExpText"/>
              <w:cnfStyle w:val="000000000000" w:firstRow="0" w:lastRow="0" w:firstColumn="0" w:lastColumn="0" w:oddVBand="0" w:evenVBand="0" w:oddHBand="0" w:evenHBand="0" w:firstRowFirstColumn="0" w:firstRowLastColumn="0" w:lastRowFirstColumn="0" w:lastRowLastColumn="0"/>
              <w:rPr>
                <w:highlight w:val="green"/>
              </w:rPr>
            </w:pPr>
            <w:r w:rsidRPr="00457736">
              <w:t>302</w:t>
            </w:r>
          </w:p>
        </w:tc>
      </w:tr>
      <w:tr w:rsidR="00850DA3" w:rsidRPr="00457736" w14:paraId="5189A550"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2133" w:type="pct"/>
            <w:hideMark/>
          </w:tcPr>
          <w:p w14:paraId="6E8DAF59" w14:textId="77777777" w:rsidR="00850DA3" w:rsidRPr="00457736" w:rsidRDefault="00850DA3" w:rsidP="00850DA3">
            <w:pPr>
              <w:pStyle w:val="Tableexpheader"/>
            </w:pPr>
            <w:r w:rsidRPr="00457736">
              <w:t>Stakeholders invited to respond:</w:t>
            </w:r>
          </w:p>
        </w:tc>
        <w:tc>
          <w:tcPr>
            <w:tcW w:w="2867" w:type="pct"/>
            <w:vAlign w:val="center"/>
            <w:hideMark/>
          </w:tcPr>
          <w:p w14:paraId="4C8CD30E" w14:textId="77777777" w:rsidR="00850DA3" w:rsidRPr="00457736" w:rsidRDefault="00850DA3" w:rsidP="00850DA3">
            <w:pPr>
              <w:pStyle w:val="TableExpText"/>
              <w:cnfStyle w:val="000000000000" w:firstRow="0" w:lastRow="0" w:firstColumn="0" w:lastColumn="0" w:oddVBand="0" w:evenVBand="0" w:oddHBand="0" w:evenHBand="0" w:firstRowFirstColumn="0" w:firstRowLastColumn="0" w:lastRowFirstColumn="0" w:lastRowLastColumn="0"/>
              <w:rPr>
                <w:highlight w:val="green"/>
              </w:rPr>
            </w:pPr>
            <w:r w:rsidRPr="00457736">
              <w:t>~4,000</w:t>
            </w:r>
          </w:p>
        </w:tc>
      </w:tr>
      <w:tr w:rsidR="00850DA3" w:rsidRPr="00457736" w14:paraId="5DC5040C"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2133" w:type="pct"/>
            <w:hideMark/>
          </w:tcPr>
          <w:p w14:paraId="2897D71D" w14:textId="77777777" w:rsidR="00850DA3" w:rsidRPr="00457736" w:rsidRDefault="00850DA3" w:rsidP="00850DA3">
            <w:pPr>
              <w:pStyle w:val="Tableexpheader"/>
            </w:pPr>
            <w:r w:rsidRPr="00457736">
              <w:t>Response rate:</w:t>
            </w:r>
          </w:p>
        </w:tc>
        <w:tc>
          <w:tcPr>
            <w:tcW w:w="2867" w:type="pct"/>
            <w:vAlign w:val="center"/>
            <w:hideMark/>
          </w:tcPr>
          <w:p w14:paraId="64244056" w14:textId="77777777" w:rsidR="00850DA3" w:rsidRPr="00457736" w:rsidRDefault="00850DA3" w:rsidP="00850DA3">
            <w:pPr>
              <w:pStyle w:val="TableExpText"/>
              <w:cnfStyle w:val="000000000000" w:firstRow="0" w:lastRow="0" w:firstColumn="0" w:lastColumn="0" w:oddVBand="0" w:evenVBand="0" w:oddHBand="0" w:evenHBand="0" w:firstRowFirstColumn="0" w:firstRowLastColumn="0" w:lastRowFirstColumn="0" w:lastRowLastColumn="0"/>
              <w:rPr>
                <w:highlight w:val="green"/>
              </w:rPr>
            </w:pPr>
            <w:r w:rsidRPr="00457736">
              <w:t>~8</w:t>
            </w:r>
            <w:r w:rsidR="00210D33" w:rsidRPr="00457736">
              <w:t xml:space="preserve"> </w:t>
            </w:r>
            <w:r w:rsidR="00D12938" w:rsidRPr="00457736">
              <w:t>per cent</w:t>
            </w:r>
          </w:p>
        </w:tc>
      </w:tr>
      <w:tr w:rsidR="00850DA3" w:rsidRPr="00457736" w14:paraId="57C6B7DE" w14:textId="77777777" w:rsidTr="00AE71D7">
        <w:trPr>
          <w:tblHeader/>
        </w:trPr>
        <w:tc>
          <w:tcPr>
            <w:cnfStyle w:val="001000000000" w:firstRow="0" w:lastRow="0" w:firstColumn="1" w:lastColumn="0" w:oddVBand="0" w:evenVBand="0" w:oddHBand="0" w:evenHBand="0" w:firstRowFirstColumn="0" w:firstRowLastColumn="0" w:lastRowFirstColumn="0" w:lastRowLastColumn="0"/>
            <w:tcW w:w="2133" w:type="pct"/>
            <w:hideMark/>
          </w:tcPr>
          <w:p w14:paraId="6A393445" w14:textId="77777777" w:rsidR="00850DA3" w:rsidRPr="00457736" w:rsidRDefault="00850DA3" w:rsidP="00850DA3">
            <w:pPr>
              <w:pStyle w:val="Tableexpheader"/>
            </w:pPr>
            <w:r w:rsidRPr="00457736">
              <w:t>Distribution rationale:</w:t>
            </w:r>
          </w:p>
        </w:tc>
        <w:tc>
          <w:tcPr>
            <w:tcW w:w="2867" w:type="pct"/>
            <w:vAlign w:val="center"/>
            <w:hideMark/>
          </w:tcPr>
          <w:p w14:paraId="2F973B32" w14:textId="77777777" w:rsidR="00850DA3" w:rsidRPr="00457736" w:rsidRDefault="00F559B7" w:rsidP="00850DA3">
            <w:pPr>
              <w:pStyle w:val="TableExpText"/>
              <w:cnfStyle w:val="000000000000" w:firstRow="0" w:lastRow="0" w:firstColumn="0" w:lastColumn="0" w:oddVBand="0" w:evenVBand="0" w:oddHBand="0" w:evenHBand="0" w:firstRowFirstColumn="0" w:firstRowLastColumn="0" w:lastRowFirstColumn="0" w:lastRowLastColumn="0"/>
              <w:rPr>
                <w:highlight w:val="green"/>
              </w:rPr>
            </w:pPr>
            <w:r w:rsidRPr="00457736">
              <w:t>D</w:t>
            </w:r>
            <w:r w:rsidR="00850DA3" w:rsidRPr="00457736">
              <w:t xml:space="preserve">istributed </w:t>
            </w:r>
            <w:r w:rsidRPr="00457736">
              <w:t xml:space="preserve">to </w:t>
            </w:r>
            <w:r w:rsidR="00850DA3" w:rsidRPr="00457736">
              <w:t xml:space="preserve">all of the contacts in </w:t>
            </w:r>
            <w:r w:rsidRPr="00457736">
              <w:t xml:space="preserve">NERA’s </w:t>
            </w:r>
            <w:r w:rsidR="00850DA3" w:rsidRPr="00457736">
              <w:t>CRM.</w:t>
            </w:r>
          </w:p>
        </w:tc>
      </w:tr>
    </w:tbl>
    <w:p w14:paraId="7E17FDC8" w14:textId="77777777" w:rsidR="009001DC" w:rsidRPr="00457736" w:rsidRDefault="009001DC" w:rsidP="00A903D7"/>
    <w:p w14:paraId="7D01FBBE" w14:textId="56633D53" w:rsidR="00A903D7" w:rsidRPr="00457736" w:rsidRDefault="00CE793C" w:rsidP="00A903D7">
      <w:r w:rsidRPr="00457736">
        <w:t>There are other organisations in sector that perform similar roles to NERA</w:t>
      </w:r>
      <w:r w:rsidR="00A903D7" w:rsidRPr="00457736">
        <w:t xml:space="preserve">, such as the </w:t>
      </w:r>
      <w:r w:rsidRPr="00457736">
        <w:t>Australian Petroleum Production &amp; Exploration Association</w:t>
      </w:r>
      <w:r w:rsidR="00A903D7" w:rsidRPr="00457736">
        <w:t xml:space="preserve"> </w:t>
      </w:r>
      <w:r w:rsidRPr="00457736">
        <w:t>(APPEA)</w:t>
      </w:r>
      <w:r w:rsidR="00A903D7" w:rsidRPr="00457736">
        <w:t xml:space="preserve"> and the </w:t>
      </w:r>
      <w:r w:rsidR="00A903D7" w:rsidRPr="00457736">
        <w:rPr>
          <w:lang w:eastAsia="en-AU"/>
        </w:rPr>
        <w:t xml:space="preserve">Minerals Council of Australia (MCA). </w:t>
      </w:r>
    </w:p>
    <w:p w14:paraId="50239DBC" w14:textId="77777777" w:rsidR="00123C8F" w:rsidRPr="00457736" w:rsidRDefault="00123C8F" w:rsidP="00123C8F">
      <w:pPr>
        <w:rPr>
          <w:lang w:eastAsia="en-AU"/>
        </w:rPr>
      </w:pPr>
      <w:r w:rsidRPr="00457736">
        <w:rPr>
          <w:lang w:eastAsia="en-AU"/>
        </w:rPr>
        <w:t xml:space="preserve">NERA identified early in its establishment the importance of leveraging existing institutions and </w:t>
      </w:r>
      <w:r w:rsidRPr="00457736">
        <w:rPr>
          <w:lang w:eastAsia="en-AU"/>
        </w:rPr>
        <w:t>programs to increase its capacity and reach. NERA is working with APPEA on its regulation and decommissioning work. It meets with other industry peaks such as the MCA and resources councils but is not working on strategies with these other industry bodies.</w:t>
      </w:r>
    </w:p>
    <w:p w14:paraId="01671CED" w14:textId="77777777" w:rsidR="00A903D7" w:rsidRPr="00457736" w:rsidRDefault="00A903D7" w:rsidP="00A903D7">
      <w:pPr>
        <w:rPr>
          <w:lang w:eastAsia="en-AU"/>
        </w:rPr>
      </w:pPr>
      <w:r w:rsidRPr="00457736">
        <w:rPr>
          <w:lang w:eastAsia="en-AU"/>
        </w:rPr>
        <w:t>APPEA has traditionally delivered many similar initiatives to those now being delivered by NERA. NERA’s role has a greater focus on SMEs and connecting the</w:t>
      </w:r>
      <w:r w:rsidR="00F766A7">
        <w:rPr>
          <w:lang w:eastAsia="en-AU"/>
        </w:rPr>
        <w:t xml:space="preserve">m with Tier One supply chains. </w:t>
      </w:r>
    </w:p>
    <w:p w14:paraId="6BCD6B97" w14:textId="77777777" w:rsidR="00E7352C" w:rsidRPr="00CB70B0" w:rsidRDefault="00E7352C" w:rsidP="00482CDD">
      <w:pPr>
        <w:pStyle w:val="Heading2"/>
        <w:spacing w:before="300" w:after="120" w:line="240" w:lineRule="exact"/>
        <w:rPr>
          <w:szCs w:val="20"/>
        </w:rPr>
      </w:pPr>
      <w:r w:rsidRPr="00482CDD">
        <w:rPr>
          <w:b/>
          <w:color w:val="000000" w:themeColor="text1"/>
          <w:sz w:val="20"/>
          <w:szCs w:val="20"/>
        </w:rPr>
        <w:t xml:space="preserve">Strategy </w:t>
      </w:r>
    </w:p>
    <w:p w14:paraId="42A5623D" w14:textId="77777777" w:rsidR="00E7352C" w:rsidRPr="00457736" w:rsidRDefault="00E7352C" w:rsidP="00850DA3">
      <w:r w:rsidRPr="00457736">
        <w:rPr>
          <w:lang w:eastAsia="en-AU"/>
        </w:rPr>
        <w:t xml:space="preserve">NERA’s activities </w:t>
      </w:r>
      <w:r w:rsidR="00B17C5E" w:rsidRPr="00457736">
        <w:rPr>
          <w:lang w:eastAsia="en-AU"/>
        </w:rPr>
        <w:t xml:space="preserve">to date </w:t>
      </w:r>
      <w:r w:rsidRPr="00457736">
        <w:rPr>
          <w:lang w:eastAsia="en-AU"/>
        </w:rPr>
        <w:t xml:space="preserve">have largely centred on developing the capability of businesses to collaborate, particularly to improve the engagement of SMEs with Tier 1 operators. NERA has recently started to increase its activities in relation to SMEs accessing global supply chains. </w:t>
      </w:r>
    </w:p>
    <w:p w14:paraId="5DB69035" w14:textId="77777777" w:rsidR="00E7352C" w:rsidRPr="00CB70B0" w:rsidRDefault="00E7352C" w:rsidP="00482CDD">
      <w:pPr>
        <w:pStyle w:val="Heading2"/>
        <w:spacing w:before="300" w:after="120" w:line="240" w:lineRule="exact"/>
        <w:rPr>
          <w:szCs w:val="20"/>
        </w:rPr>
      </w:pPr>
      <w:r w:rsidRPr="00482CDD">
        <w:rPr>
          <w:b/>
          <w:color w:val="000000" w:themeColor="text1"/>
          <w:sz w:val="20"/>
          <w:szCs w:val="20"/>
        </w:rPr>
        <w:t xml:space="preserve">Sector engagement </w:t>
      </w:r>
    </w:p>
    <w:p w14:paraId="3FC7171F" w14:textId="77777777" w:rsidR="00094257" w:rsidRPr="00457736" w:rsidRDefault="00E7352C" w:rsidP="00850DA3">
      <w:r w:rsidRPr="00457736">
        <w:t xml:space="preserve">NERA has engaged broadly across the sector and is generally well regarded. </w:t>
      </w:r>
    </w:p>
    <w:p w14:paraId="53CEE03E" w14:textId="77777777" w:rsidR="00094257" w:rsidRPr="00457736" w:rsidRDefault="00094257" w:rsidP="00094257">
      <w:r w:rsidRPr="00457736">
        <w:t>Half of the survey respondents interact with NERA a few times a year. Respondents’ top reasons for engaging with NERA are to seek opportunities for collaboration and commercialisation and participate in NERA events and workshops.</w:t>
      </w:r>
    </w:p>
    <w:p w14:paraId="427D9E83" w14:textId="77777777" w:rsidR="00094257" w:rsidRPr="00457736" w:rsidRDefault="00094257" w:rsidP="00094257">
      <w:pPr>
        <w:rPr>
          <w:rFonts w:eastAsia="Times New Roman" w:cs="Times New Roman"/>
          <w:b/>
          <w:color w:val="000000" w:themeColor="text1"/>
          <w:sz w:val="20"/>
          <w:szCs w:val="24"/>
          <w:lang w:eastAsia="en-AU"/>
        </w:rPr>
      </w:pPr>
      <w:r w:rsidRPr="00457736">
        <w:t xml:space="preserve">NERA </w:t>
      </w:r>
      <w:r w:rsidR="00A25EF9" w:rsidRPr="00457736">
        <w:t>engages with</w:t>
      </w:r>
      <w:r w:rsidRPr="00457736">
        <w:t xml:space="preserve"> a high proportion of SMEs, with over three quarters of the businesses that responded to the survey employing less than 20 people. </w:t>
      </w:r>
    </w:p>
    <w:p w14:paraId="6836E852" w14:textId="77777777" w:rsidR="00094257" w:rsidRPr="00457736" w:rsidRDefault="00094257" w:rsidP="00094257">
      <w:pPr>
        <w:rPr>
          <w:rFonts w:eastAsia="Times New Roman" w:cs="Times New Roman"/>
          <w:b/>
          <w:color w:val="000000" w:themeColor="text1"/>
          <w:sz w:val="20"/>
          <w:szCs w:val="24"/>
          <w:lang w:eastAsia="en-AU"/>
        </w:rPr>
      </w:pPr>
      <w:r w:rsidRPr="00457736">
        <w:t xml:space="preserve">Survey results and project fund allocations suggest that NERA’s engagement has </w:t>
      </w:r>
      <w:r w:rsidR="00123C8F" w:rsidRPr="00457736">
        <w:t xml:space="preserve">heavily focused on </w:t>
      </w:r>
      <w:r w:rsidRPr="00457736">
        <w:lastRenderedPageBreak/>
        <w:t xml:space="preserve">businesses located in Western Australia and in the oil and gas sub-sectors. </w:t>
      </w:r>
    </w:p>
    <w:p w14:paraId="1D7B7EBD" w14:textId="77777777" w:rsidR="009A6925" w:rsidRPr="00457736" w:rsidRDefault="009A6925" w:rsidP="009A6925">
      <w:pPr>
        <w:rPr>
          <w:rFonts w:eastAsia="Times New Roman" w:cs="Times New Roman"/>
          <w:b/>
          <w:color w:val="000000" w:themeColor="text1"/>
          <w:sz w:val="20"/>
          <w:szCs w:val="24"/>
          <w:lang w:eastAsia="en-AU"/>
        </w:rPr>
      </w:pPr>
      <w:bookmarkStart w:id="40" w:name="_Hlk534384904"/>
      <w:r w:rsidRPr="00457736">
        <w:t xml:space="preserve">Feedback from survey respondents indicates moderate awareness of NERA within the sector. </w:t>
      </w:r>
    </w:p>
    <w:p w14:paraId="25B9D02F" w14:textId="77777777" w:rsidR="00E7352C" w:rsidRPr="00457736" w:rsidRDefault="000E45AB" w:rsidP="00850DA3">
      <w:pPr>
        <w:rPr>
          <w:rFonts w:eastAsia="Times New Roman" w:cs="Times New Roman"/>
          <w:b/>
          <w:color w:val="000000" w:themeColor="text1"/>
          <w:sz w:val="20"/>
          <w:szCs w:val="24"/>
          <w:lang w:eastAsia="en-AU"/>
        </w:rPr>
      </w:pPr>
      <w:r w:rsidRPr="00457736">
        <w:t>The majority (s</w:t>
      </w:r>
      <w:r w:rsidR="00210D33" w:rsidRPr="00457736">
        <w:t xml:space="preserve">eventy-seven </w:t>
      </w:r>
      <w:r w:rsidR="00D12938" w:rsidRPr="00457736">
        <w:t>per cent</w:t>
      </w:r>
      <w:r w:rsidRPr="00457736">
        <w:t>)</w:t>
      </w:r>
      <w:r w:rsidR="00E7352C" w:rsidRPr="00457736">
        <w:t xml:space="preserve"> of survey respondents </w:t>
      </w:r>
      <w:r w:rsidRPr="00457736">
        <w:t>a</w:t>
      </w:r>
      <w:r w:rsidR="00E7352C" w:rsidRPr="00457736">
        <w:t xml:space="preserve">re satisfied or highly satisfied with their engagement with NERA </w:t>
      </w:r>
      <w:r w:rsidR="00A3225B" w:rsidRPr="00457736">
        <w:t xml:space="preserve">- </w:t>
      </w:r>
      <w:r w:rsidR="0082503F" w:rsidRPr="00457736">
        <w:t>although we note the potential for positive response bias</w:t>
      </w:r>
      <w:r w:rsidR="00B84AC8" w:rsidRPr="00457736">
        <w:t xml:space="preserve"> in who responds.</w:t>
      </w:r>
    </w:p>
    <w:bookmarkEnd w:id="40"/>
    <w:p w14:paraId="64746567" w14:textId="77777777" w:rsidR="00E7352C" w:rsidRPr="00CB70B0" w:rsidRDefault="00E7352C" w:rsidP="00482CDD">
      <w:pPr>
        <w:pStyle w:val="Heading2"/>
        <w:spacing w:before="300" w:after="120" w:line="240" w:lineRule="exact"/>
        <w:rPr>
          <w:szCs w:val="20"/>
        </w:rPr>
      </w:pPr>
      <w:r w:rsidRPr="00482CDD">
        <w:rPr>
          <w:b/>
          <w:color w:val="000000" w:themeColor="text1"/>
          <w:sz w:val="20"/>
          <w:szCs w:val="20"/>
        </w:rPr>
        <w:t xml:space="preserve">Project funding </w:t>
      </w:r>
    </w:p>
    <w:p w14:paraId="60630173" w14:textId="77777777" w:rsidR="00E7352C" w:rsidRPr="00457736" w:rsidRDefault="00E7352C" w:rsidP="00850DA3">
      <w:pPr>
        <w:rPr>
          <w:lang w:eastAsia="en-AU"/>
        </w:rPr>
      </w:pPr>
      <w:r w:rsidRPr="00457736">
        <w:t xml:space="preserve">NERA has </w:t>
      </w:r>
      <w:r w:rsidR="000E45AB" w:rsidRPr="00457736">
        <w:t xml:space="preserve">provided $12.4 million in funding for </w:t>
      </w:r>
      <w:r w:rsidRPr="00457736">
        <w:t>28 projects</w:t>
      </w:r>
      <w:r w:rsidR="000E45AB" w:rsidRPr="00457736">
        <w:t xml:space="preserve">. </w:t>
      </w:r>
      <w:r w:rsidR="000E45AB" w:rsidRPr="00457736">
        <w:rPr>
          <w:lang w:eastAsia="en-AU"/>
        </w:rPr>
        <w:t xml:space="preserve">All but four of the projects involve multiple organisations. </w:t>
      </w:r>
      <w:r w:rsidR="000E45AB" w:rsidRPr="00457736">
        <w:t xml:space="preserve">An additional </w:t>
      </w:r>
      <w:r w:rsidRPr="00457736">
        <w:t xml:space="preserve">seven projects </w:t>
      </w:r>
      <w:r w:rsidR="000E45AB" w:rsidRPr="00457736">
        <w:t xml:space="preserve">are </w:t>
      </w:r>
      <w:r w:rsidRPr="00457736">
        <w:t xml:space="preserve">under negotiation in the pipeline. </w:t>
      </w:r>
    </w:p>
    <w:p w14:paraId="513B7B3B" w14:textId="77777777" w:rsidR="00F41B27" w:rsidRPr="00457736" w:rsidRDefault="00F41B27" w:rsidP="00850DA3">
      <w:r w:rsidRPr="00457736">
        <w:t xml:space="preserve">Survey respondents that have received project funding expect to gain substantial benefit from participating in these projects. Around half of the survey respondents noted that they expect to gain significant benefits from new or enhanced collaboration with businesses and researchers and enhanced capabilities and capacity to drive commercial outcomes. </w:t>
      </w:r>
    </w:p>
    <w:p w14:paraId="71F37A32" w14:textId="77777777" w:rsidR="00E7352C" w:rsidRPr="00CB70B0" w:rsidRDefault="00E60C7B" w:rsidP="00482CDD">
      <w:pPr>
        <w:pStyle w:val="Heading2"/>
        <w:spacing w:before="300" w:after="120" w:line="240" w:lineRule="exact"/>
        <w:rPr>
          <w:szCs w:val="20"/>
        </w:rPr>
      </w:pPr>
      <w:r w:rsidRPr="00482CDD">
        <w:rPr>
          <w:b/>
          <w:color w:val="000000" w:themeColor="text1"/>
          <w:sz w:val="20"/>
          <w:szCs w:val="20"/>
        </w:rPr>
        <w:t>Objective 1: Increasing collaboration and commercialisation</w:t>
      </w:r>
    </w:p>
    <w:p w14:paraId="24A3C25B" w14:textId="77777777" w:rsidR="00E7352C" w:rsidRPr="00457736" w:rsidRDefault="00E7352C" w:rsidP="00850DA3">
      <w:r w:rsidRPr="00457736">
        <w:t>NERA’s collaboration and commercialisation strategies aim to support stakeholders to develop the skills and knowledge required to build collaborative capability, with a focus on developing SMEs’ skills and know-how. NERA is primarily demonstrating the benefits of collaboration through conferences, media and cluster development capability.</w:t>
      </w:r>
    </w:p>
    <w:p w14:paraId="3963F001" w14:textId="77777777" w:rsidR="00E7352C" w:rsidRPr="00457736" w:rsidRDefault="00E7352C" w:rsidP="00850DA3">
      <w:r w:rsidRPr="00457736">
        <w:t>Specific activities supported by NERA include the SME maximiser program ‘Opportunity Knocks’ and the CORE Innovation Hub</w:t>
      </w:r>
      <w:r w:rsidR="009A579C" w:rsidRPr="00457736">
        <w:t xml:space="preserve"> (</w:t>
      </w:r>
      <w:r w:rsidR="00B97056" w:rsidRPr="00457736">
        <w:t xml:space="preserve">in partnership with </w:t>
      </w:r>
      <w:r w:rsidR="009A579C" w:rsidRPr="00457736">
        <w:t>METS Ignited)</w:t>
      </w:r>
      <w:r w:rsidRPr="00457736">
        <w:t xml:space="preserve">, both of which aim to build the capability of SMEs to meet Tier 1 productivity requirements. The Subsea Innovation Cluster is developing the Australian subsea service sector as a global centre of excellence. The </w:t>
      </w:r>
      <w:proofErr w:type="spellStart"/>
      <w:r w:rsidRPr="00457736">
        <w:t>Nureka</w:t>
      </w:r>
      <w:proofErr w:type="spellEnd"/>
      <w:r w:rsidRPr="00457736">
        <w:t xml:space="preserve"> innovation project provides an online platform for operators both in Australia and globally to post challenges and crowd source solutions from suppliers. The LEAP innovation vouchers provide funding of up to $20,000 to SMEs to prototype new innovations. </w:t>
      </w:r>
    </w:p>
    <w:p w14:paraId="49FB3320" w14:textId="77777777" w:rsidR="00F41B27" w:rsidRPr="00457736" w:rsidRDefault="00F41B27" w:rsidP="00F41B27">
      <w:r w:rsidRPr="00457736">
        <w:rPr>
          <w:rFonts w:eastAsia="Times New Roman" w:cs="Times New Roman"/>
        </w:rPr>
        <w:t xml:space="preserve">Most of NERA’s collaboration activities are in the early stages </w:t>
      </w:r>
      <w:r w:rsidR="00095558" w:rsidRPr="00457736">
        <w:rPr>
          <w:rFonts w:eastAsia="Times New Roman" w:cs="Times New Roman"/>
        </w:rPr>
        <w:t xml:space="preserve">and therefore expected benefits are yet to be realised </w:t>
      </w:r>
      <w:r w:rsidRPr="00457736">
        <w:rPr>
          <w:rFonts w:eastAsia="Times New Roman" w:cs="Times New Roman"/>
        </w:rPr>
        <w:t>and are not yet at a scale to demonstrate outcomes or impact across the sector</w:t>
      </w:r>
      <w:r w:rsidR="0012290F" w:rsidRPr="00457736">
        <w:rPr>
          <w:rFonts w:eastAsia="Times New Roman" w:cs="Times New Roman"/>
        </w:rPr>
        <w:t xml:space="preserve">. Despite this, </w:t>
      </w:r>
      <w:r w:rsidR="00571708" w:rsidRPr="00457736">
        <w:rPr>
          <w:rFonts w:eastAsia="Times New Roman" w:cs="Times New Roman"/>
        </w:rPr>
        <w:t xml:space="preserve">over two thirds of the </w:t>
      </w:r>
      <w:r w:rsidR="00571708" w:rsidRPr="00457736">
        <w:t xml:space="preserve">business respondents to the </w:t>
      </w:r>
      <w:r w:rsidR="00571708" w:rsidRPr="00457736">
        <w:rPr>
          <w:rFonts w:eastAsia="Times New Roman" w:cs="Times New Roman"/>
        </w:rPr>
        <w:t>survey (</w:t>
      </w:r>
      <w:r w:rsidR="00571708" w:rsidRPr="00457736">
        <w:t xml:space="preserve">sixty-nine per cent) </w:t>
      </w:r>
      <w:r w:rsidRPr="00457736">
        <w:t xml:space="preserve">said </w:t>
      </w:r>
      <w:r w:rsidR="00571708" w:rsidRPr="00457736">
        <w:t xml:space="preserve">that </w:t>
      </w:r>
      <w:r w:rsidRPr="00457736">
        <w:t xml:space="preserve">NERA has </w:t>
      </w:r>
      <w:r w:rsidRPr="00457736">
        <w:t xml:space="preserve">provided some or great support to </w:t>
      </w:r>
      <w:r w:rsidR="00E7352C" w:rsidRPr="00457736">
        <w:t xml:space="preserve">develop relationships and networks with other businesses. </w:t>
      </w:r>
    </w:p>
    <w:p w14:paraId="44E52785" w14:textId="77777777" w:rsidR="00F41B27" w:rsidRPr="00457736" w:rsidRDefault="00F41B27" w:rsidP="00850DA3">
      <w:r w:rsidRPr="00457736">
        <w:t xml:space="preserve">Survey responses show that NERA’s role </w:t>
      </w:r>
      <w:r w:rsidR="005E4DF9" w:rsidRPr="00457736">
        <w:t xml:space="preserve">to date </w:t>
      </w:r>
      <w:r w:rsidRPr="00457736">
        <w:t xml:space="preserve">in supporting commercialisation outcomes has been </w:t>
      </w:r>
      <w:r w:rsidR="005E4DF9" w:rsidRPr="00457736">
        <w:t>limited</w:t>
      </w:r>
      <w:r w:rsidRPr="00457736">
        <w:t xml:space="preserve">. </w:t>
      </w:r>
      <w:r w:rsidR="005E4DF9" w:rsidRPr="00457736">
        <w:t>O</w:t>
      </w:r>
      <w:r w:rsidRPr="00457736">
        <w:t xml:space="preserve">nly a very small proportion of businesses </w:t>
      </w:r>
      <w:r w:rsidR="005E4DF9" w:rsidRPr="00457736">
        <w:t xml:space="preserve">reported </w:t>
      </w:r>
      <w:r w:rsidRPr="00457736">
        <w:t>gaining support to develop new products or connect with other organisations to address technical challenges</w:t>
      </w:r>
      <w:r w:rsidR="005E4DF9" w:rsidRPr="00457736">
        <w:t>.</w:t>
      </w:r>
    </w:p>
    <w:p w14:paraId="2629EB71" w14:textId="77777777" w:rsidR="00E7352C" w:rsidRPr="00CB70B0" w:rsidRDefault="00E7352C" w:rsidP="00482CDD">
      <w:pPr>
        <w:pStyle w:val="Heading2"/>
        <w:spacing w:before="300" w:after="120" w:line="240" w:lineRule="exact"/>
        <w:rPr>
          <w:szCs w:val="20"/>
        </w:rPr>
      </w:pPr>
      <w:r w:rsidRPr="00482CDD">
        <w:rPr>
          <w:b/>
          <w:color w:val="000000" w:themeColor="text1"/>
          <w:sz w:val="20"/>
          <w:szCs w:val="20"/>
        </w:rPr>
        <w:t>Objective 2: Enhancing management and workforce skills</w:t>
      </w:r>
    </w:p>
    <w:p w14:paraId="313A0486" w14:textId="77777777" w:rsidR="00E7352C" w:rsidRPr="00457736" w:rsidRDefault="00E7352C" w:rsidP="00850DA3">
      <w:r w:rsidRPr="00457736">
        <w:t xml:space="preserve">NERA has identified eight </w:t>
      </w:r>
      <w:r w:rsidR="006E4BE9" w:rsidRPr="00457736">
        <w:t xml:space="preserve">Industry Knowledge Priorities </w:t>
      </w:r>
      <w:r w:rsidRPr="00457736">
        <w:t xml:space="preserve">which largely reflect the objectives of the </w:t>
      </w:r>
      <w:r w:rsidR="004A75C7" w:rsidRPr="00457736">
        <w:t>I</w:t>
      </w:r>
      <w:r w:rsidRPr="00457736">
        <w:t xml:space="preserve">nitiative. NERA’s focus on workforce skills aims to address specific skills needs such as collaboration, innovation, and digital capability. </w:t>
      </w:r>
    </w:p>
    <w:p w14:paraId="19CC648B" w14:textId="77777777" w:rsidR="00E7352C" w:rsidRPr="00457736" w:rsidRDefault="00E7352C" w:rsidP="00850DA3">
      <w:r w:rsidRPr="00457736">
        <w:t>Key activities to support this objective include: p</w:t>
      </w:r>
      <w:r w:rsidRPr="00457736">
        <w:rPr>
          <w:szCs w:val="19"/>
          <w:lang w:eastAsia="en-AU"/>
        </w:rPr>
        <w:t>roject funds to support the development of identified capability needs in automation and robotics</w:t>
      </w:r>
      <w:r w:rsidRPr="00457736">
        <w:t xml:space="preserve">; </w:t>
      </w:r>
      <w:r w:rsidR="009A579C" w:rsidRPr="00457736">
        <w:t xml:space="preserve">funding </w:t>
      </w:r>
      <w:r w:rsidRPr="00457736">
        <w:t>the Industry Mentoring Network in STEM (</w:t>
      </w:r>
      <w:r w:rsidR="005E4DF9" w:rsidRPr="00457736">
        <w:rPr>
          <w:lang w:eastAsia="en-AU"/>
        </w:rPr>
        <w:t xml:space="preserve">along with </w:t>
      </w:r>
      <w:proofErr w:type="spellStart"/>
      <w:r w:rsidR="005E4DF9" w:rsidRPr="00457736">
        <w:rPr>
          <w:lang w:eastAsia="en-AU"/>
        </w:rPr>
        <w:t>MTPConnect</w:t>
      </w:r>
      <w:proofErr w:type="spellEnd"/>
      <w:r w:rsidR="005E4DF9" w:rsidRPr="00457736">
        <w:rPr>
          <w:lang w:eastAsia="en-AU"/>
        </w:rPr>
        <w:t xml:space="preserve"> and METS Ignited</w:t>
      </w:r>
      <w:r w:rsidRPr="00457736">
        <w:t xml:space="preserve">) program; and NERA’s </w:t>
      </w:r>
      <w:hyperlink r:id="rId26" w:history="1">
        <w:r w:rsidRPr="00457736">
          <w:rPr>
            <w:i/>
          </w:rPr>
          <w:t>Preparing Australia's Future Oil and Gas Workforce</w:t>
        </w:r>
      </w:hyperlink>
      <w:r w:rsidRPr="00457736">
        <w:t xml:space="preserve"> – a report on the sector’s skills needs. </w:t>
      </w:r>
    </w:p>
    <w:p w14:paraId="5139F67F" w14:textId="77777777" w:rsidR="00E7352C" w:rsidRPr="00CB70B0" w:rsidRDefault="00E7352C" w:rsidP="00482CDD">
      <w:pPr>
        <w:pStyle w:val="Heading2"/>
        <w:spacing w:before="300" w:after="120" w:line="240" w:lineRule="exact"/>
        <w:rPr>
          <w:szCs w:val="20"/>
        </w:rPr>
      </w:pPr>
      <w:r w:rsidRPr="00482CDD">
        <w:rPr>
          <w:b/>
          <w:color w:val="000000" w:themeColor="text1"/>
          <w:sz w:val="20"/>
          <w:szCs w:val="20"/>
        </w:rPr>
        <w:t>Objective 3: Improving international opportunities and market access</w:t>
      </w:r>
    </w:p>
    <w:p w14:paraId="37B24359" w14:textId="77777777" w:rsidR="00E7352C" w:rsidRPr="00457736" w:rsidRDefault="00E7352C" w:rsidP="00850DA3">
      <w:r w:rsidRPr="00457736">
        <w:t xml:space="preserve">NERA has a range of activities and projects to build supply chain capability, both through innovation offers to Tier 1 businesses and through global connections. </w:t>
      </w:r>
    </w:p>
    <w:p w14:paraId="4CCE85AC" w14:textId="77777777" w:rsidR="00E7352C" w:rsidRPr="00457736" w:rsidRDefault="00E7352C" w:rsidP="00850DA3">
      <w:r w:rsidRPr="00457736">
        <w:t xml:space="preserve">NERA has recently become more active in providing international opportunities. For example, in conjunction with Austrade, NERA led a delegation of ten businesses to launch an Australian pavilion at the </w:t>
      </w:r>
      <w:proofErr w:type="spellStart"/>
      <w:r w:rsidRPr="00457736">
        <w:t>Gastech</w:t>
      </w:r>
      <w:proofErr w:type="spellEnd"/>
      <w:r w:rsidRPr="00457736">
        <w:t xml:space="preserve"> conference in Barcelona</w:t>
      </w:r>
      <w:r w:rsidR="00D55381" w:rsidRPr="00457736">
        <w:t xml:space="preserve"> in 2018</w:t>
      </w:r>
      <w:r w:rsidRPr="00457736">
        <w:t xml:space="preserve">. NERA is currently negotiating future delegations to the UK and USA. </w:t>
      </w:r>
    </w:p>
    <w:p w14:paraId="29EAF73F" w14:textId="77777777" w:rsidR="00E7352C" w:rsidRPr="00457736" w:rsidRDefault="00E7352C" w:rsidP="00850DA3">
      <w:r w:rsidRPr="00457736">
        <w:t>Other NERA activities have supported new market knowledge and capability for local and global markets. These include convening workshops at industry conferences (including the Australian Oil and Gas Conference) and facilitating opportunities such as ‘Meet the Buyer’ events.</w:t>
      </w:r>
    </w:p>
    <w:p w14:paraId="361BE49C" w14:textId="77777777" w:rsidR="00E7352C" w:rsidRPr="00457736" w:rsidRDefault="00E7352C" w:rsidP="00850DA3">
      <w:r w:rsidRPr="00457736">
        <w:t>Businesses that have engaged with trade delegations report that they have been valuable in developing knowledge of overseas markets and creating relationships and connections.</w:t>
      </w:r>
    </w:p>
    <w:p w14:paraId="671DFB67" w14:textId="77777777" w:rsidR="00E7352C" w:rsidRPr="00CB70B0" w:rsidRDefault="00E7352C" w:rsidP="00482CDD">
      <w:pPr>
        <w:pStyle w:val="Heading2"/>
        <w:spacing w:before="300" w:after="120" w:line="240" w:lineRule="exact"/>
        <w:rPr>
          <w:szCs w:val="20"/>
        </w:rPr>
      </w:pPr>
      <w:r w:rsidRPr="00482CDD">
        <w:rPr>
          <w:b/>
          <w:color w:val="000000" w:themeColor="text1"/>
          <w:sz w:val="20"/>
          <w:szCs w:val="20"/>
        </w:rPr>
        <w:lastRenderedPageBreak/>
        <w:t xml:space="preserve">Objective </w:t>
      </w:r>
      <w:r w:rsidR="00CA040B" w:rsidRPr="00482CDD">
        <w:rPr>
          <w:b/>
          <w:color w:val="000000" w:themeColor="text1"/>
          <w:sz w:val="20"/>
          <w:szCs w:val="20"/>
        </w:rPr>
        <w:t>4</w:t>
      </w:r>
      <w:r w:rsidRPr="00482CDD">
        <w:rPr>
          <w:b/>
          <w:color w:val="000000" w:themeColor="text1"/>
          <w:sz w:val="20"/>
          <w:szCs w:val="20"/>
        </w:rPr>
        <w:t>: Identifying opportunities for regulatory reform</w:t>
      </w:r>
    </w:p>
    <w:p w14:paraId="04428A3E" w14:textId="77777777" w:rsidR="00E7352C" w:rsidRPr="00457736" w:rsidRDefault="00E7352C" w:rsidP="00850DA3">
      <w:r w:rsidRPr="00457736">
        <w:t>NERA’s regulatory reform activities include working with Standards Australia</w:t>
      </w:r>
      <w:r w:rsidR="00CA040B" w:rsidRPr="00457736">
        <w:t>;</w:t>
      </w:r>
      <w:r w:rsidRPr="00457736">
        <w:t xml:space="preserve"> leading a committee to ensure harmonisation of Australian standards with international oil and gas industry standards</w:t>
      </w:r>
      <w:r w:rsidR="00CA040B" w:rsidRPr="00457736">
        <w:t>;</w:t>
      </w:r>
      <w:r w:rsidRPr="00457736">
        <w:t xml:space="preserve"> and funding demonstration projects that support approaches to improved and timely regulation. </w:t>
      </w:r>
    </w:p>
    <w:p w14:paraId="07BE2E9D" w14:textId="77777777" w:rsidR="00E7352C" w:rsidRPr="00CB70B0" w:rsidRDefault="00E7352C" w:rsidP="00482CDD">
      <w:pPr>
        <w:pStyle w:val="Heading2"/>
        <w:spacing w:before="300" w:after="120" w:line="240" w:lineRule="exact"/>
        <w:rPr>
          <w:szCs w:val="20"/>
        </w:rPr>
      </w:pPr>
      <w:r w:rsidRPr="00482CDD">
        <w:rPr>
          <w:b/>
          <w:color w:val="000000" w:themeColor="text1"/>
          <w:sz w:val="20"/>
          <w:szCs w:val="20"/>
        </w:rPr>
        <w:t>Additional or indirect outcomes</w:t>
      </w:r>
    </w:p>
    <w:p w14:paraId="260EF875" w14:textId="77777777" w:rsidR="005E4DF9" w:rsidRPr="00457736" w:rsidRDefault="005E4DF9" w:rsidP="005E4DF9">
      <w:r w:rsidRPr="00457736">
        <w:t>NERA regularly engages with state and territory government agencies in WA, NT and Queensland to provide advice on policy and programs and receive co-funded grants from governments for the sector.</w:t>
      </w:r>
    </w:p>
    <w:p w14:paraId="275E558E" w14:textId="77777777" w:rsidR="005E4DF9" w:rsidRPr="00457736" w:rsidRDefault="005E4DF9" w:rsidP="005E4DF9">
      <w:pPr>
        <w:rPr>
          <w:rFonts w:eastAsia="Times New Roman" w:cs="Times New Roman"/>
          <w:szCs w:val="19"/>
          <w:lang w:eastAsia="en-AU"/>
        </w:rPr>
      </w:pPr>
      <w:r w:rsidRPr="00457736">
        <w:t>NERA board members sit on the boards of research entities across the sector and are therefore well positioned to be aware of opportunities for NERA within the innovation ecosystem.</w:t>
      </w:r>
    </w:p>
    <w:p w14:paraId="6904F323" w14:textId="77777777" w:rsidR="00A903D7" w:rsidRPr="00457736" w:rsidRDefault="00E7352C" w:rsidP="00850DA3">
      <w:r w:rsidRPr="00457736">
        <w:t xml:space="preserve">NERA’s Sector Competitiveness Plan </w:t>
      </w:r>
      <w:r w:rsidR="00D01047" w:rsidRPr="00457736">
        <w:t xml:space="preserve">provides </w:t>
      </w:r>
      <w:r w:rsidRPr="00457736">
        <w:t xml:space="preserve">thought leadership on the challenges and performance of the sector. The sector-wide data and analysis generated by NERA has been enhanced by incorporating stakeholder insights on challenges and opportunities. </w:t>
      </w:r>
    </w:p>
    <w:p w14:paraId="7DF07BA6" w14:textId="77777777" w:rsidR="00A903D7" w:rsidRPr="00457736" w:rsidRDefault="00A903D7" w:rsidP="00850DA3">
      <w:r w:rsidRPr="00457736">
        <w:t xml:space="preserve">NERA’s industry competitiveness analyses also provide </w:t>
      </w:r>
      <w:r w:rsidR="00E7352C" w:rsidRPr="00457736">
        <w:t>unique</w:t>
      </w:r>
      <w:r w:rsidRPr="00457736">
        <w:t xml:space="preserve"> and data-driven insights into the current state of the industry subsectors from a global viewpoint.</w:t>
      </w:r>
    </w:p>
    <w:p w14:paraId="0DC48BC4" w14:textId="77777777" w:rsidR="00E7352C" w:rsidRPr="00457736" w:rsidRDefault="00E7352C" w:rsidP="00850DA3">
      <w:r w:rsidRPr="00457736">
        <w:t>NERA’s social media activity levels are modest</w:t>
      </w:r>
      <w:r w:rsidR="007669A8">
        <w:t>,</w:t>
      </w:r>
      <w:r w:rsidRPr="00457736">
        <w:t xml:space="preserve"> relative to other </w:t>
      </w:r>
      <w:r w:rsidR="00B3713F" w:rsidRPr="00457736">
        <w:t>Growth Centre</w:t>
      </w:r>
      <w:r w:rsidRPr="00457736">
        <w:t>s</w:t>
      </w:r>
      <w:r w:rsidR="005E4DF9" w:rsidRPr="00457736">
        <w:t xml:space="preserve">. </w:t>
      </w:r>
    </w:p>
    <w:p w14:paraId="48328670" w14:textId="77777777" w:rsidR="00E7352C" w:rsidRPr="00CB70B0" w:rsidRDefault="00E7352C" w:rsidP="00482CDD">
      <w:pPr>
        <w:pStyle w:val="Heading2"/>
        <w:spacing w:before="300" w:after="120" w:line="240" w:lineRule="exact"/>
        <w:rPr>
          <w:szCs w:val="20"/>
        </w:rPr>
      </w:pPr>
      <w:r w:rsidRPr="00482CDD">
        <w:rPr>
          <w:b/>
          <w:color w:val="000000" w:themeColor="text1"/>
          <w:sz w:val="20"/>
          <w:szCs w:val="20"/>
        </w:rPr>
        <w:t xml:space="preserve">Performance measurement </w:t>
      </w:r>
    </w:p>
    <w:p w14:paraId="555C6548" w14:textId="77777777" w:rsidR="00E7352C" w:rsidRPr="00457736" w:rsidRDefault="00E7352C" w:rsidP="00850DA3">
      <w:r w:rsidRPr="00457736">
        <w:t>NERA predominantly utilises case studies to measure long term outcomes for the stakeholders it has had meaningful engagement with.</w:t>
      </w:r>
    </w:p>
    <w:p w14:paraId="54A658E4" w14:textId="77777777" w:rsidR="00E7352C" w:rsidRPr="00CB70B0" w:rsidRDefault="00E7352C" w:rsidP="00482CDD">
      <w:pPr>
        <w:pStyle w:val="Heading2"/>
        <w:spacing w:before="300" w:after="120" w:line="240" w:lineRule="exact"/>
        <w:rPr>
          <w:szCs w:val="20"/>
        </w:rPr>
      </w:pPr>
      <w:r w:rsidRPr="00482CDD">
        <w:rPr>
          <w:b/>
          <w:color w:val="000000" w:themeColor="text1"/>
          <w:sz w:val="20"/>
          <w:szCs w:val="20"/>
        </w:rPr>
        <w:t xml:space="preserve">Sector impact </w:t>
      </w:r>
    </w:p>
    <w:p w14:paraId="0CAD0596" w14:textId="77777777" w:rsidR="00E7352C" w:rsidRPr="00457736" w:rsidRDefault="00E7352C" w:rsidP="00850DA3">
      <w:r w:rsidRPr="00457736">
        <w:t xml:space="preserve">NERA’s impact to date largely relates to collaborative activities and building knowledge and capability to support businesses that know to engage through NERA tools, publications and workshops. </w:t>
      </w:r>
    </w:p>
    <w:p w14:paraId="64BC0E67" w14:textId="77777777" w:rsidR="005E4DF9" w:rsidRPr="00457736" w:rsidRDefault="005E4DF9" w:rsidP="00850DA3">
      <w:r w:rsidRPr="00457736">
        <w:t xml:space="preserve">NERA reports that its </w:t>
      </w:r>
      <w:r w:rsidRPr="00457736">
        <w:rPr>
          <w:rFonts w:cs="Gotham Narrow Book"/>
          <w:color w:val="000000"/>
          <w:szCs w:val="19"/>
        </w:rPr>
        <w:t xml:space="preserve">project pipeline is enabling structural reform across the sector, improving commercialisation of innovation and technology through new partnerships between researchers, industry, supply chains, start-ups and SMEs and integrating them into global markets. </w:t>
      </w:r>
    </w:p>
    <w:p w14:paraId="1D816720" w14:textId="77777777" w:rsidR="00E7352C" w:rsidRPr="00457736" w:rsidRDefault="005E4DF9" w:rsidP="00850DA3">
      <w:r w:rsidRPr="00457736">
        <w:t xml:space="preserve">The qualitative feedback on NERA’s performance to date was generally positive. </w:t>
      </w:r>
      <w:r w:rsidR="00E7352C" w:rsidRPr="00457736">
        <w:t>Stakeholders value NERA’s ability to facilitate access to decision-makers in the sector. SMEs value the ability to raise their profile with larger businesses; the potential for new market opportunities; connections to industry through initiatives such as the mentoring program and the practical support provided through the project funds.</w:t>
      </w:r>
    </w:p>
    <w:p w14:paraId="085E0B13" w14:textId="77777777" w:rsidR="005E4DF9" w:rsidRPr="00457736" w:rsidRDefault="00E21E4C" w:rsidP="005E4DF9">
      <w:r w:rsidRPr="00457736">
        <w:t>NERA’s activities are not yet at a scale to demonstrate outcomes or impact across the sector as most activities are still at the early stages. As a result</w:t>
      </w:r>
      <w:r w:rsidR="00E7352C" w:rsidRPr="00457736">
        <w:t>, the extent to which NERA’s initiatives will deliver sector</w:t>
      </w:r>
      <w:r w:rsidR="00E7352C" w:rsidRPr="00457736">
        <w:noBreakHyphen/>
        <w:t xml:space="preserve">wide impact in the longer term is not clear at this point in time. </w:t>
      </w:r>
    </w:p>
    <w:p w14:paraId="1ADB8037" w14:textId="77777777" w:rsidR="005E4DF9" w:rsidRPr="00457736" w:rsidRDefault="005E4DF9" w:rsidP="005E4DF9">
      <w:r w:rsidRPr="00457736">
        <w:t xml:space="preserve">A small proportion of businesses reported </w:t>
      </w:r>
      <w:r w:rsidR="00E21E4C" w:rsidRPr="00457736">
        <w:t xml:space="preserve">that NERA has supported them to achieve growth. </w:t>
      </w:r>
      <w:r w:rsidRPr="00457736">
        <w:t>Of the 92 to 95 business that responded to survey questions about how engaging with NERA had impacted their bottom lin</w:t>
      </w:r>
      <w:r w:rsidR="007E4C00" w:rsidRPr="00457736">
        <w:t>e,</w:t>
      </w:r>
      <w:r w:rsidR="00E21E4C" w:rsidRPr="00457736">
        <w:t xml:space="preserve"> thirteen </w:t>
      </w:r>
      <w:r w:rsidRPr="00457736">
        <w:t>businesses (</w:t>
      </w:r>
      <w:r w:rsidR="00E21E4C" w:rsidRPr="00457736">
        <w:t>fourteen per cent</w:t>
      </w:r>
      <w:r w:rsidRPr="00457736">
        <w:t>) said that NERA provided great support to grow their revenue</w:t>
      </w:r>
      <w:r w:rsidR="00E21E4C" w:rsidRPr="00457736">
        <w:t xml:space="preserve"> and twelve business </w:t>
      </w:r>
      <w:r w:rsidRPr="00457736">
        <w:t>(</w:t>
      </w:r>
      <w:r w:rsidR="00E21E4C" w:rsidRPr="00457736">
        <w:t>thirteen per cent</w:t>
      </w:r>
      <w:r w:rsidRPr="00457736">
        <w:t>) had great support to improve their profitability.</w:t>
      </w:r>
    </w:p>
    <w:p w14:paraId="71D28D2D" w14:textId="77777777" w:rsidR="00850DA3" w:rsidRPr="00457736" w:rsidRDefault="00850DA3">
      <w:pPr>
        <w:spacing w:after="165"/>
        <w:rPr>
          <w:sz w:val="17"/>
        </w:rPr>
        <w:sectPr w:rsidR="00850DA3" w:rsidRPr="00457736" w:rsidSect="00850DA3">
          <w:type w:val="continuous"/>
          <w:pgSz w:w="11907" w:h="16839" w:code="9"/>
          <w:pgMar w:top="1304" w:right="1304" w:bottom="1304" w:left="1304" w:header="720" w:footer="720" w:gutter="0"/>
          <w:cols w:num="2" w:space="720"/>
          <w:titlePg/>
          <w:docGrid w:linePitch="360"/>
        </w:sectPr>
      </w:pPr>
    </w:p>
    <w:p w14:paraId="357EF753" w14:textId="77777777" w:rsidR="00850DA3" w:rsidRPr="00457736" w:rsidRDefault="00850DA3">
      <w:pPr>
        <w:spacing w:after="165"/>
        <w:rPr>
          <w:rFonts w:ascii="Segoe UI Semibold" w:hAnsi="Segoe UI Semibold"/>
          <w:bCs/>
          <w:color w:val="00264D" w:themeColor="background2"/>
          <w:szCs w:val="18"/>
        </w:rPr>
      </w:pPr>
    </w:p>
    <w:sectPr w:rsidR="00850DA3" w:rsidRPr="00457736" w:rsidSect="006E713F">
      <w:type w:val="continuous"/>
      <w:pgSz w:w="11907" w:h="16839" w:code="9"/>
      <w:pgMar w:top="1304" w:right="1304" w:bottom="1304" w:left="1304"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83765F" w16cid:durableId="1FF16EA2"/>
  <w16cid:commentId w16cid:paraId="535FAE86" w16cid:durableId="1FF187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DA856" w14:textId="77777777" w:rsidR="00F730E3" w:rsidRDefault="00F730E3" w:rsidP="00302076">
      <w:pPr>
        <w:spacing w:after="0"/>
      </w:pPr>
      <w:r>
        <w:separator/>
      </w:r>
    </w:p>
  </w:endnote>
  <w:endnote w:type="continuationSeparator" w:id="0">
    <w:p w14:paraId="112542C2" w14:textId="77777777" w:rsidR="00F730E3" w:rsidRDefault="00F730E3" w:rsidP="00302076">
      <w:pPr>
        <w:spacing w:after="0"/>
      </w:pPr>
      <w:r>
        <w:continuationSeparator/>
      </w:r>
    </w:p>
  </w:endnote>
  <w:endnote w:type="continuationNotice" w:id="1">
    <w:p w14:paraId="65B5E15C" w14:textId="77777777" w:rsidR="00F730E3" w:rsidRDefault="00F73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Gibson Light">
    <w:altName w:val="Calibri"/>
    <w:panose1 w:val="00000000000000000000"/>
    <w:charset w:val="00"/>
    <w:family w:val="swiss"/>
    <w:notTrueType/>
    <w:pitch w:val="default"/>
    <w:sig w:usb0="00000003" w:usb1="00000000" w:usb2="00000000" w:usb3="00000000" w:csb0="00000001"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9808D" w14:textId="5BCE7951" w:rsidR="00F730E3" w:rsidRPr="00FD4AB1" w:rsidRDefault="00F730E3" w:rsidP="00426DC6">
    <w:pPr>
      <w:pStyle w:val="Footer"/>
      <w:rPr>
        <w:rFonts w:ascii="Segoe UI Semibold" w:hAnsi="Segoe UI Semibold" w:cs="Segoe UI"/>
        <w:b/>
      </w:rPr>
    </w:pPr>
    <w:r>
      <w:rPr>
        <w:color w:val="808080" w:themeColor="background1" w:themeShade="80"/>
        <w:szCs w:val="15"/>
        <w:lang w:eastAsia="en-AU"/>
      </w:rPr>
      <w:t xml:space="preserve">Nous Group | </w:t>
    </w:r>
    <w:sdt>
      <w:sdtPr>
        <w:rPr>
          <w:color w:val="808080" w:themeColor="background1" w:themeShade="80"/>
          <w:szCs w:val="15"/>
          <w:lang w:eastAsia="en-AU"/>
        </w:rPr>
        <w:alias w:val="Title"/>
        <w:id w:val="-635572360"/>
        <w:dataBinding w:prefixMappings="xmlns:ns0='http://purl.org/dc/elements/1.1/' xmlns:ns1='http://schemas.openxmlformats.org/package/2006/metadata/core-properties' " w:xpath="/ns1:coreProperties[1]/ns0:title[1]" w:storeItemID="{6C3C8BC8-F283-45AE-878A-BAB7291924A1}"/>
        <w:text/>
      </w:sdtPr>
      <w:sdtEndPr/>
      <w:sdtContent>
        <w:r>
          <w:rPr>
            <w:color w:val="808080" w:themeColor="background1" w:themeShade="80"/>
            <w:szCs w:val="15"/>
            <w:lang w:eastAsia="en-AU"/>
          </w:rPr>
          <w:t>Performance Assessment of the Industry Growth Centres</w:t>
        </w:r>
      </w:sdtContent>
    </w:sdt>
    <w:r>
      <w:rPr>
        <w:color w:val="808080" w:themeColor="background1" w:themeShade="80"/>
        <w:szCs w:val="15"/>
        <w:lang w:eastAsia="en-AU"/>
      </w:rPr>
      <w:t xml:space="preserve"> | </w:t>
    </w:r>
    <w:sdt>
      <w:sdtPr>
        <w:rPr>
          <w:color w:val="808080" w:themeColor="background1" w:themeShade="80"/>
          <w:szCs w:val="15"/>
          <w:lang w:eastAsia="en-AU"/>
        </w:rPr>
        <w:alias w:val="Publish Date"/>
        <w:id w:val="716940950"/>
        <w:dataBinding w:prefixMappings="xmlns:ns0='http://schemas.microsoft.com/office/2006/coverPageProps' " w:xpath="/ns0:CoverPageProperties[1]/ns0:PublishDate[1]" w:storeItemID="{55AF091B-3C7A-41E3-B477-F2FDAA23CFDA}"/>
        <w:date w:fullDate="2019-01-22T00:00:00Z">
          <w:dateFormat w:val="d MMMM yyyy"/>
          <w:lid w:val="en-AU"/>
          <w:storeMappedDataAs w:val="dateTime"/>
          <w:calendar w:val="gregorian"/>
        </w:date>
      </w:sdtPr>
      <w:sdtEndPr/>
      <w:sdtContent>
        <w:r>
          <w:rPr>
            <w:color w:val="808080" w:themeColor="background1" w:themeShade="80"/>
            <w:szCs w:val="15"/>
            <w:lang w:eastAsia="en-AU"/>
          </w:rPr>
          <w:t>22 January 2019</w:t>
        </w:r>
      </w:sdtContent>
    </w:sdt>
    <w:r w:rsidRPr="00FD4AB1">
      <w:rPr>
        <w:rFonts w:ascii="Segoe UI Semibold" w:hAnsi="Segoe UI Semibold" w:cs="Segoe UI"/>
        <w:color w:val="A5A5A5"/>
      </w:rPr>
      <w:ptab w:relativeTo="margin" w:alignment="right" w:leader="none"/>
    </w:r>
    <w:r w:rsidRPr="00FD4AB1">
      <w:rPr>
        <w:rFonts w:cs="Segoe UI"/>
        <w:color w:val="A5A5A5"/>
      </w:rPr>
      <w:t xml:space="preserve">| </w:t>
    </w:r>
    <w:r w:rsidRPr="003B464C">
      <w:rPr>
        <w:rFonts w:cs="Segoe UI"/>
        <w:b/>
        <w:color w:val="A5A5A5"/>
        <w:sz w:val="16"/>
        <w:szCs w:val="16"/>
      </w:rPr>
      <w:fldChar w:fldCharType="begin"/>
    </w:r>
    <w:r w:rsidRPr="003B464C">
      <w:rPr>
        <w:rFonts w:cs="Segoe UI"/>
        <w:color w:val="A5A5A5"/>
        <w:sz w:val="16"/>
        <w:szCs w:val="16"/>
      </w:rPr>
      <w:instrText xml:space="preserve"> PAGE  \* roman  \* MERGEFORMAT </w:instrText>
    </w:r>
    <w:r w:rsidRPr="003B464C">
      <w:rPr>
        <w:rFonts w:cs="Segoe UI"/>
        <w:b/>
        <w:color w:val="A5A5A5"/>
        <w:sz w:val="16"/>
        <w:szCs w:val="16"/>
      </w:rPr>
      <w:fldChar w:fldCharType="separate"/>
    </w:r>
    <w:r w:rsidRPr="00F75386">
      <w:rPr>
        <w:rFonts w:cs="Segoe UI"/>
        <w:b/>
        <w:noProof/>
        <w:color w:val="A5A5A5"/>
        <w:sz w:val="16"/>
        <w:szCs w:val="16"/>
      </w:rPr>
      <w:t>i</w:t>
    </w:r>
    <w:r w:rsidRPr="003B464C">
      <w:rPr>
        <w:rFonts w:cs="Segoe UI"/>
        <w:b/>
        <w:color w:val="A5A5A5"/>
        <w:sz w:val="16"/>
        <w:szCs w:val="16"/>
      </w:rPr>
      <w:fldChar w:fldCharType="end"/>
    </w:r>
    <w:r w:rsidRPr="003B464C">
      <w:rPr>
        <w:rFonts w:cs="Segoe UI"/>
        <w:color w:val="A5A5A5"/>
        <w:sz w:val="16"/>
        <w:szCs w:val="16"/>
      </w:rPr>
      <w:t xml:space="preserve"> </w:t>
    </w:r>
    <w:r w:rsidRPr="00FD4AB1">
      <w:rPr>
        <w:rFonts w:cs="Segoe UI"/>
        <w:color w:val="A5A5A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D0413" w14:textId="1FB86444" w:rsidR="00F730E3" w:rsidRPr="00FD4AB1" w:rsidRDefault="00F730E3" w:rsidP="00426DC6">
    <w:pPr>
      <w:pStyle w:val="Footer"/>
      <w:rPr>
        <w:rFonts w:ascii="Segoe UI Semibold" w:hAnsi="Segoe UI Semibold" w:cs="Segoe UI"/>
        <w:b/>
      </w:rPr>
    </w:pPr>
    <w:r>
      <w:rPr>
        <w:color w:val="808080" w:themeColor="background1" w:themeShade="80"/>
        <w:szCs w:val="15"/>
        <w:lang w:eastAsia="en-AU"/>
      </w:rPr>
      <w:t xml:space="preserve">Nous Group | </w:t>
    </w:r>
    <w:sdt>
      <w:sdtPr>
        <w:rPr>
          <w:color w:val="808080" w:themeColor="background1" w:themeShade="80"/>
          <w:szCs w:val="15"/>
          <w:lang w:eastAsia="en-AU"/>
        </w:rPr>
        <w:alias w:val="Title"/>
        <w:id w:val="-655676507"/>
        <w:dataBinding w:prefixMappings="xmlns:ns0='http://purl.org/dc/elements/1.1/' xmlns:ns1='http://schemas.openxmlformats.org/package/2006/metadata/core-properties' " w:xpath="/ns1:coreProperties[1]/ns0:title[1]" w:storeItemID="{6C3C8BC8-F283-45AE-878A-BAB7291924A1}"/>
        <w:text/>
      </w:sdtPr>
      <w:sdtEndPr/>
      <w:sdtContent>
        <w:r>
          <w:rPr>
            <w:color w:val="808080" w:themeColor="background1" w:themeShade="80"/>
            <w:szCs w:val="15"/>
            <w:lang w:eastAsia="en-AU"/>
          </w:rPr>
          <w:t>Performance Assessment of the Industry Growth Centres</w:t>
        </w:r>
      </w:sdtContent>
    </w:sdt>
    <w:r>
      <w:rPr>
        <w:color w:val="808080" w:themeColor="background1" w:themeShade="80"/>
        <w:szCs w:val="15"/>
        <w:lang w:eastAsia="en-AU"/>
      </w:rPr>
      <w:t xml:space="preserve"> | </w:t>
    </w:r>
    <w:sdt>
      <w:sdtPr>
        <w:rPr>
          <w:color w:val="808080" w:themeColor="background1" w:themeShade="80"/>
          <w:szCs w:val="15"/>
          <w:lang w:eastAsia="en-AU"/>
        </w:rPr>
        <w:alias w:val="Publish Date"/>
        <w:id w:val="-1562324102"/>
        <w:dataBinding w:prefixMappings="xmlns:ns0='http://schemas.microsoft.com/office/2006/coverPageProps' " w:xpath="/ns0:CoverPageProperties[1]/ns0:PublishDate[1]" w:storeItemID="{55AF091B-3C7A-41E3-B477-F2FDAA23CFDA}"/>
        <w:date w:fullDate="2019-01-22T00:00:00Z">
          <w:dateFormat w:val="d MMMM yyyy"/>
          <w:lid w:val="en-AU"/>
          <w:storeMappedDataAs w:val="dateTime"/>
          <w:calendar w:val="gregorian"/>
        </w:date>
      </w:sdtPr>
      <w:sdtEndPr/>
      <w:sdtContent>
        <w:r>
          <w:rPr>
            <w:color w:val="808080" w:themeColor="background1" w:themeShade="80"/>
            <w:szCs w:val="15"/>
            <w:lang w:eastAsia="en-AU"/>
          </w:rPr>
          <w:t>22 January 2019</w:t>
        </w:r>
      </w:sdtContent>
    </w:sdt>
    <w:r w:rsidRPr="00FD4AB1">
      <w:rPr>
        <w:rFonts w:ascii="Segoe UI Semibold" w:hAnsi="Segoe UI Semibold" w:cs="Segoe UI"/>
        <w:color w:val="A5A5A5"/>
      </w:rPr>
      <w:ptab w:relativeTo="margin" w:alignment="right" w:leader="none"/>
    </w:r>
    <w:r w:rsidRPr="00FD4AB1">
      <w:rPr>
        <w:rFonts w:cs="Segoe UI"/>
        <w:color w:val="A5A5A5"/>
      </w:rPr>
      <w:t xml:space="preserve">| </w:t>
    </w:r>
    <w:r w:rsidRPr="003B464C">
      <w:rPr>
        <w:rFonts w:cs="Segoe UI"/>
        <w:b/>
        <w:color w:val="A5A5A5"/>
        <w:sz w:val="16"/>
        <w:szCs w:val="16"/>
      </w:rPr>
      <w:fldChar w:fldCharType="begin"/>
    </w:r>
    <w:r w:rsidRPr="003B464C">
      <w:rPr>
        <w:rFonts w:cs="Segoe UI"/>
        <w:color w:val="A5A5A5"/>
        <w:sz w:val="16"/>
        <w:szCs w:val="16"/>
      </w:rPr>
      <w:instrText xml:space="preserve"> PAGE  \* roman  \* MERGEFORMAT </w:instrText>
    </w:r>
    <w:r w:rsidRPr="003B464C">
      <w:rPr>
        <w:rFonts w:cs="Segoe UI"/>
        <w:b/>
        <w:color w:val="A5A5A5"/>
        <w:sz w:val="16"/>
        <w:szCs w:val="16"/>
      </w:rPr>
      <w:fldChar w:fldCharType="separate"/>
    </w:r>
    <w:r w:rsidR="00AD2D4B">
      <w:rPr>
        <w:rFonts w:cs="Segoe UI"/>
        <w:noProof/>
        <w:color w:val="A5A5A5"/>
        <w:sz w:val="16"/>
        <w:szCs w:val="16"/>
      </w:rPr>
      <w:t>iii</w:t>
    </w:r>
    <w:r w:rsidRPr="003B464C">
      <w:rPr>
        <w:rFonts w:cs="Segoe UI"/>
        <w:b/>
        <w:color w:val="A5A5A5"/>
        <w:sz w:val="16"/>
        <w:szCs w:val="16"/>
      </w:rPr>
      <w:fldChar w:fldCharType="end"/>
    </w:r>
    <w:r w:rsidRPr="003B464C">
      <w:rPr>
        <w:rFonts w:cs="Segoe UI"/>
        <w:color w:val="A5A5A5"/>
        <w:sz w:val="16"/>
        <w:szCs w:val="16"/>
      </w:rPr>
      <w:t xml:space="preserve"> </w:t>
    </w:r>
    <w:r w:rsidRPr="00FD4AB1">
      <w:rPr>
        <w:rFonts w:cs="Segoe UI"/>
        <w:color w:val="A5A5A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B9081" w14:textId="4C63898E" w:rsidR="00F730E3" w:rsidRDefault="00F730E3" w:rsidP="00037553">
    <w:pPr>
      <w:pStyle w:val="NousFooter"/>
    </w:pPr>
    <w:r w:rsidRPr="008A55C6">
      <w:t xml:space="preserve">Nous Group | </w:t>
    </w:r>
    <w:sdt>
      <w:sdtPr>
        <w:alias w:val="Title"/>
        <w:id w:val="1338500513"/>
        <w:dataBinding w:prefixMappings="xmlns:ns0='http://purl.org/dc/elements/1.1/' xmlns:ns1='http://schemas.openxmlformats.org/package/2006/metadata/core-properties' " w:xpath="/ns1:coreProperties[1]/ns0:title[1]" w:storeItemID="{6C3C8BC8-F283-45AE-878A-BAB7291924A1}"/>
        <w:text/>
      </w:sdtPr>
      <w:sdtEndPr/>
      <w:sdtContent>
        <w:r>
          <w:t>Performance Assessment of the Industry Growth Centres</w:t>
        </w:r>
      </w:sdtContent>
    </w:sdt>
    <w:r w:rsidRPr="008A55C6">
      <w:t xml:space="preserve"> | </w:t>
    </w:r>
    <w:sdt>
      <w:sdtPr>
        <w:alias w:val="Publish Date"/>
        <w:id w:val="-1227060522"/>
        <w:dataBinding w:prefixMappings="xmlns:ns0='http://schemas.microsoft.com/office/2006/coverPageProps' " w:xpath="/ns0:CoverPageProperties[1]/ns0:PublishDate[1]" w:storeItemID="{55AF091B-3C7A-41E3-B477-F2FDAA23CFDA}"/>
        <w:date w:fullDate="2019-01-22T00:00:00Z">
          <w:dateFormat w:val="d MMMM yyyy"/>
          <w:lid w:val="en-AU"/>
          <w:storeMappedDataAs w:val="dateTime"/>
          <w:calendar w:val="gregorian"/>
        </w:date>
      </w:sdtPr>
      <w:sdtEndPr/>
      <w:sdtContent>
        <w:r>
          <w:t>22 January 2019</w:t>
        </w:r>
      </w:sdtContent>
    </w:sdt>
    <w:r w:rsidRPr="008A55C6">
      <w:ptab w:relativeTo="margin" w:alignment="right" w:leader="none"/>
    </w:r>
    <w:r w:rsidRPr="008A55C6">
      <w:t>|</w:t>
    </w:r>
    <w:r>
      <w:t xml:space="preserve"> </w:t>
    </w:r>
    <w:r>
      <w:fldChar w:fldCharType="begin"/>
    </w:r>
    <w:r>
      <w:instrText xml:space="preserve"> PAGE  \* Arabic  \* MERGEFORMAT </w:instrText>
    </w:r>
    <w:r>
      <w:fldChar w:fldCharType="separate"/>
    </w:r>
    <w:r w:rsidR="00AD2D4B">
      <w:rPr>
        <w:noProof/>
      </w:rPr>
      <w:t>25</w:t>
    </w:r>
    <w:r>
      <w:fldChar w:fldCharType="end"/>
    </w:r>
    <w:r>
      <w:t xml:space="preserve"> </w:t>
    </w:r>
    <w:r w:rsidRPr="008A55C6">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BD9FC" w14:textId="77777777" w:rsidR="00F730E3" w:rsidRDefault="00F730E3">
    <w:pPr>
      <w:pStyle w:val="Footer"/>
    </w:pPr>
    <w:r w:rsidRPr="000D4195">
      <w:rPr>
        <w:noProof/>
        <w:lang w:eastAsia="en-AU"/>
      </w:rPr>
      <w:drawing>
        <wp:anchor distT="0" distB="0" distL="114300" distR="114300" simplePos="0" relativeHeight="251658240" behindDoc="0" locked="0" layoutInCell="1" allowOverlap="1" wp14:anchorId="670AECE2" wp14:editId="14EE02A9">
          <wp:simplePos x="0" y="0"/>
          <wp:positionH relativeFrom="page">
            <wp:align>right</wp:align>
          </wp:positionH>
          <wp:positionV relativeFrom="page">
            <wp:align>bottom</wp:align>
          </wp:positionV>
          <wp:extent cx="1263600" cy="604800"/>
          <wp:effectExtent l="0" t="0" r="0" b="0"/>
          <wp:wrapNone/>
          <wp:docPr id="17" name="Picture 17" descr="Lower case letters. The left of the logo transitions from orange-red to orange yellow on the right" title="No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S_ORANGE_RGB.png"/>
                  <pic:cNvPicPr/>
                </pic:nvPicPr>
                <pic:blipFill rotWithShape="1">
                  <a:blip r:embed="rId1" cstate="print">
                    <a:extLst>
                      <a:ext uri="{28A0092B-C50C-407E-A947-70E740481C1C}">
                        <a14:useLocalDpi xmlns:a14="http://schemas.microsoft.com/office/drawing/2010/main" val="0"/>
                      </a:ext>
                    </a:extLst>
                  </a:blip>
                  <a:srcRect t="-1" r="-49272" b="-161539"/>
                  <a:stretch/>
                </pic:blipFill>
                <pic:spPr bwMode="auto">
                  <a:xfrm>
                    <a:off x="0" y="0"/>
                    <a:ext cx="1263600" cy="60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57ED" w14:textId="77777777" w:rsidR="00F730E3" w:rsidRDefault="00F730E3" w:rsidP="00302076">
      <w:pPr>
        <w:spacing w:after="0"/>
      </w:pPr>
      <w:r>
        <w:separator/>
      </w:r>
    </w:p>
  </w:footnote>
  <w:footnote w:type="continuationSeparator" w:id="0">
    <w:p w14:paraId="3EB8805C" w14:textId="77777777" w:rsidR="00F730E3" w:rsidRDefault="00F730E3" w:rsidP="00302076">
      <w:pPr>
        <w:spacing w:after="0"/>
      </w:pPr>
      <w:r>
        <w:continuationSeparator/>
      </w:r>
    </w:p>
  </w:footnote>
  <w:footnote w:type="continuationNotice" w:id="1">
    <w:p w14:paraId="5BCBA499" w14:textId="77777777" w:rsidR="00F730E3" w:rsidRDefault="00F730E3">
      <w:pPr>
        <w:spacing w:after="0" w:line="240" w:lineRule="auto"/>
      </w:pPr>
    </w:p>
  </w:footnote>
  <w:footnote w:id="2">
    <w:p w14:paraId="12035747" w14:textId="77777777" w:rsidR="00F730E3" w:rsidRDefault="00F730E3">
      <w:pPr>
        <w:pStyle w:val="FootnoteText"/>
      </w:pPr>
      <w:r>
        <w:rPr>
          <w:rStyle w:val="FootnoteReference"/>
        </w:rPr>
        <w:footnoteRef/>
      </w:r>
      <w:r>
        <w:t xml:space="preserve"> T</w:t>
      </w:r>
      <w:r w:rsidRPr="00502721">
        <w:t xml:space="preserve">he </w:t>
      </w:r>
      <w:r>
        <w:t xml:space="preserve">share </w:t>
      </w:r>
      <w:r w:rsidRPr="00502721">
        <w:t xml:space="preserve">of stakeholders that were invited by Growth Centres to respond to the survey varied substantially. Some Growth Centres sent the survey to all of their contacts (e.g. FIAL) while others took a highly targeted approach (e.g. AMGC). </w:t>
      </w:r>
      <w:r>
        <w:t xml:space="preserve">The latter approach introduces the risk of </w:t>
      </w:r>
      <w:r w:rsidRPr="00502721">
        <w:t>sample selection bias.</w:t>
      </w:r>
      <w:r>
        <w:t xml:space="preserve"> Voluntary surveys also have an inherent risk of response bias – which is usually positive, although not always the case.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EFE6" w14:textId="77777777" w:rsidR="00F730E3" w:rsidRDefault="00F730E3">
    <w:pPr>
      <w:pStyle w:val="Header"/>
    </w:pPr>
    <w:bookmarkStart w:id="0" w:name="_GoBack"/>
    <w:r>
      <w:rPr>
        <w:noProof/>
        <w:sz w:val="20"/>
        <w:szCs w:val="20"/>
        <w:lang w:eastAsia="en-AU"/>
      </w:rPr>
      <w:drawing>
        <wp:anchor distT="0" distB="0" distL="114300" distR="114300" simplePos="0" relativeHeight="251658243" behindDoc="0" locked="0" layoutInCell="1" allowOverlap="1" wp14:anchorId="6E81CAFF" wp14:editId="045597DE">
          <wp:simplePos x="0" y="0"/>
          <wp:positionH relativeFrom="page">
            <wp:posOffset>3337</wp:posOffset>
          </wp:positionH>
          <wp:positionV relativeFrom="page">
            <wp:posOffset>-6985</wp:posOffset>
          </wp:positionV>
          <wp:extent cx="7559749" cy="116958"/>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ue gradient line.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59749" cy="116958"/>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F43A7" w14:textId="77777777" w:rsidR="00F730E3" w:rsidRDefault="00F730E3" w:rsidP="00426DC6">
    <w:pPr>
      <w:pStyle w:val="Header"/>
      <w:tabs>
        <w:tab w:val="clear" w:pos="4513"/>
        <w:tab w:val="clear" w:pos="9026"/>
        <w:tab w:val="left" w:pos="175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CF302" w14:textId="77777777" w:rsidR="00F730E3" w:rsidRDefault="00F730E3">
    <w:r>
      <w:rPr>
        <w:noProof/>
        <w:sz w:val="20"/>
        <w:szCs w:val="20"/>
        <w:lang w:eastAsia="en-AU"/>
      </w:rPr>
      <w:drawing>
        <wp:anchor distT="0" distB="0" distL="114300" distR="114300" simplePos="0" relativeHeight="251658244" behindDoc="0" locked="0" layoutInCell="1" allowOverlap="1" wp14:anchorId="62AFE39B" wp14:editId="558A3DF5">
          <wp:simplePos x="0" y="0"/>
          <wp:positionH relativeFrom="page">
            <wp:posOffset>0</wp:posOffset>
          </wp:positionH>
          <wp:positionV relativeFrom="page">
            <wp:posOffset>0</wp:posOffset>
          </wp:positionV>
          <wp:extent cx="7562850" cy="114300"/>
          <wp:effectExtent l="0" t="0" r="0" b="0"/>
          <wp:wrapNone/>
          <wp:docPr id="11" name="Picture 11" descr="Thin orange line across the top of the page" title="Bor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ue gradient line.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38721" cy="116958"/>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994F7" w14:textId="77777777" w:rsidR="00F730E3" w:rsidRDefault="00F730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C6ED2" w14:textId="77777777" w:rsidR="00F730E3" w:rsidRDefault="00F730E3">
    <w:pPr>
      <w:pStyle w:val="Header"/>
    </w:pPr>
    <w:r w:rsidRPr="007F3F81">
      <w:rPr>
        <w:noProof/>
        <w:lang w:eastAsia="en-AU"/>
      </w:rPr>
      <w:drawing>
        <wp:anchor distT="0" distB="0" distL="114300" distR="114300" simplePos="0" relativeHeight="251658241" behindDoc="0" locked="0" layoutInCell="1" allowOverlap="1" wp14:anchorId="2D318630" wp14:editId="7CFDE112">
          <wp:simplePos x="0" y="0"/>
          <wp:positionH relativeFrom="page">
            <wp:align>center</wp:align>
          </wp:positionH>
          <wp:positionV relativeFrom="page">
            <wp:align>top</wp:align>
          </wp:positionV>
          <wp:extent cx="10699200" cy="115200"/>
          <wp:effectExtent l="0" t="0" r="0" b="0"/>
          <wp:wrapNone/>
          <wp:docPr id="14" name="Picture 3" descr="Thin orange line across the top of the page"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200" cy="11520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36D2" w14:textId="77777777" w:rsidR="00F730E3" w:rsidRDefault="00F730E3" w:rsidP="009C08CE">
    <w:pPr>
      <w:pStyle w:val="Header"/>
      <w:tabs>
        <w:tab w:val="clear" w:pos="4513"/>
        <w:tab w:val="clear" w:pos="9026"/>
      </w:tabs>
    </w:pPr>
    <w:r w:rsidRPr="009C08CE">
      <w:rPr>
        <w:noProof/>
        <w:lang w:eastAsia="en-AU"/>
      </w:rPr>
      <w:drawing>
        <wp:anchor distT="0" distB="0" distL="114300" distR="114300" simplePos="0" relativeHeight="251658242" behindDoc="1" locked="0" layoutInCell="1" allowOverlap="1" wp14:anchorId="716A039C" wp14:editId="048CE59A">
          <wp:simplePos x="0" y="0"/>
          <wp:positionH relativeFrom="page">
            <wp:align>center</wp:align>
          </wp:positionH>
          <wp:positionV relativeFrom="page">
            <wp:align>top</wp:align>
          </wp:positionV>
          <wp:extent cx="10908000" cy="115200"/>
          <wp:effectExtent l="0" t="0" r="0" b="0"/>
          <wp:wrapNone/>
          <wp:docPr id="16" name="Picture 3" descr="Thin orange line across the top of the page" title="Border"/>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8000" cy="11520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5F3"/>
    <w:multiLevelType w:val="multilevel"/>
    <w:tmpl w:val="9CD6342C"/>
    <w:numStyleLink w:val="TableexpListnumberedmultilevel"/>
  </w:abstractNum>
  <w:abstractNum w:abstractNumId="1" w15:restartNumberingAfterBreak="0">
    <w:nsid w:val="01B414D8"/>
    <w:multiLevelType w:val="hybridMultilevel"/>
    <w:tmpl w:val="BD2854EA"/>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E643F"/>
    <w:multiLevelType w:val="hybridMultilevel"/>
    <w:tmpl w:val="1876E9DC"/>
    <w:lvl w:ilvl="0" w:tplc="F96A159C">
      <w:start w:val="1"/>
      <w:numFmt w:val="bullet"/>
      <w:lvlText w:val=""/>
      <w:lvlJc w:val="left"/>
      <w:pPr>
        <w:tabs>
          <w:tab w:val="num" w:pos="567"/>
        </w:tabs>
        <w:ind w:left="567" w:hanging="567"/>
      </w:pPr>
      <w:rPr>
        <w:rFonts w:ascii="Symbol" w:hAnsi="Symbol" w:hint="default"/>
        <w:b w:val="0"/>
        <w:i w:val="0"/>
        <w:color w:val="auto"/>
        <w:sz w:val="24"/>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1352"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4" w15:restartNumberingAfterBreak="0">
    <w:nsid w:val="07EB7965"/>
    <w:multiLevelType w:val="hybridMultilevel"/>
    <w:tmpl w:val="EB6C1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9A31A2"/>
    <w:multiLevelType w:val="multilevel"/>
    <w:tmpl w:val="A94C4832"/>
    <w:lvl w:ilvl="0">
      <w:start w:val="1"/>
      <w:numFmt w:val="decimal"/>
      <w:lvlText w:val="%1"/>
      <w:lvlJc w:val="left"/>
      <w:pPr>
        <w:ind w:left="360" w:hanging="360"/>
      </w:pPr>
      <w:rPr>
        <w:rFonts w:ascii="Segoe UI" w:hAnsi="Segoe UI" w:hint="default"/>
        <w:b/>
        <w:i w:val="0"/>
        <w:sz w:val="36"/>
        <w:szCs w:val="9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AFD4FD8"/>
    <w:multiLevelType w:val="hybridMultilevel"/>
    <w:tmpl w:val="C7D24E10"/>
    <w:lvl w:ilvl="0" w:tplc="3C4A4734">
      <w:start w:val="1"/>
      <w:numFmt w:val="bullet"/>
      <w:lvlText w:val="•"/>
      <w:lvlJc w:val="left"/>
      <w:pPr>
        <w:tabs>
          <w:tab w:val="num" w:pos="720"/>
        </w:tabs>
        <w:ind w:left="720" w:hanging="360"/>
      </w:pPr>
      <w:rPr>
        <w:rFonts w:ascii="Arial" w:hAnsi="Arial" w:hint="default"/>
      </w:rPr>
    </w:lvl>
    <w:lvl w:ilvl="1" w:tplc="03701F8E" w:tentative="1">
      <w:start w:val="1"/>
      <w:numFmt w:val="bullet"/>
      <w:lvlText w:val="•"/>
      <w:lvlJc w:val="left"/>
      <w:pPr>
        <w:tabs>
          <w:tab w:val="num" w:pos="1440"/>
        </w:tabs>
        <w:ind w:left="1440" w:hanging="360"/>
      </w:pPr>
      <w:rPr>
        <w:rFonts w:ascii="Arial" w:hAnsi="Arial" w:hint="default"/>
      </w:rPr>
    </w:lvl>
    <w:lvl w:ilvl="2" w:tplc="DDCA0E70" w:tentative="1">
      <w:start w:val="1"/>
      <w:numFmt w:val="bullet"/>
      <w:lvlText w:val="•"/>
      <w:lvlJc w:val="left"/>
      <w:pPr>
        <w:tabs>
          <w:tab w:val="num" w:pos="2160"/>
        </w:tabs>
        <w:ind w:left="2160" w:hanging="360"/>
      </w:pPr>
      <w:rPr>
        <w:rFonts w:ascii="Arial" w:hAnsi="Arial" w:hint="default"/>
      </w:rPr>
    </w:lvl>
    <w:lvl w:ilvl="3" w:tplc="549423CC" w:tentative="1">
      <w:start w:val="1"/>
      <w:numFmt w:val="bullet"/>
      <w:lvlText w:val="•"/>
      <w:lvlJc w:val="left"/>
      <w:pPr>
        <w:tabs>
          <w:tab w:val="num" w:pos="2880"/>
        </w:tabs>
        <w:ind w:left="2880" w:hanging="360"/>
      </w:pPr>
      <w:rPr>
        <w:rFonts w:ascii="Arial" w:hAnsi="Arial" w:hint="default"/>
      </w:rPr>
    </w:lvl>
    <w:lvl w:ilvl="4" w:tplc="A68E2B04" w:tentative="1">
      <w:start w:val="1"/>
      <w:numFmt w:val="bullet"/>
      <w:lvlText w:val="•"/>
      <w:lvlJc w:val="left"/>
      <w:pPr>
        <w:tabs>
          <w:tab w:val="num" w:pos="3600"/>
        </w:tabs>
        <w:ind w:left="3600" w:hanging="360"/>
      </w:pPr>
      <w:rPr>
        <w:rFonts w:ascii="Arial" w:hAnsi="Arial" w:hint="default"/>
      </w:rPr>
    </w:lvl>
    <w:lvl w:ilvl="5" w:tplc="C3647B50" w:tentative="1">
      <w:start w:val="1"/>
      <w:numFmt w:val="bullet"/>
      <w:lvlText w:val="•"/>
      <w:lvlJc w:val="left"/>
      <w:pPr>
        <w:tabs>
          <w:tab w:val="num" w:pos="4320"/>
        </w:tabs>
        <w:ind w:left="4320" w:hanging="360"/>
      </w:pPr>
      <w:rPr>
        <w:rFonts w:ascii="Arial" w:hAnsi="Arial" w:hint="default"/>
      </w:rPr>
    </w:lvl>
    <w:lvl w:ilvl="6" w:tplc="2C6A268C" w:tentative="1">
      <w:start w:val="1"/>
      <w:numFmt w:val="bullet"/>
      <w:lvlText w:val="•"/>
      <w:lvlJc w:val="left"/>
      <w:pPr>
        <w:tabs>
          <w:tab w:val="num" w:pos="5040"/>
        </w:tabs>
        <w:ind w:left="5040" w:hanging="360"/>
      </w:pPr>
      <w:rPr>
        <w:rFonts w:ascii="Arial" w:hAnsi="Arial" w:hint="default"/>
      </w:rPr>
    </w:lvl>
    <w:lvl w:ilvl="7" w:tplc="2CFAD472" w:tentative="1">
      <w:start w:val="1"/>
      <w:numFmt w:val="bullet"/>
      <w:lvlText w:val="•"/>
      <w:lvlJc w:val="left"/>
      <w:pPr>
        <w:tabs>
          <w:tab w:val="num" w:pos="5760"/>
        </w:tabs>
        <w:ind w:left="5760" w:hanging="360"/>
      </w:pPr>
      <w:rPr>
        <w:rFonts w:ascii="Arial" w:hAnsi="Arial" w:hint="default"/>
      </w:rPr>
    </w:lvl>
    <w:lvl w:ilvl="8" w:tplc="C43822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C10C3B"/>
    <w:multiLevelType w:val="hybridMultilevel"/>
    <w:tmpl w:val="CFE64046"/>
    <w:lvl w:ilvl="0" w:tplc="1F869A8E">
      <w:start w:val="1"/>
      <w:numFmt w:val="bullet"/>
      <w:lvlText w:val="•"/>
      <w:lvlJc w:val="left"/>
      <w:pPr>
        <w:tabs>
          <w:tab w:val="num" w:pos="720"/>
        </w:tabs>
        <w:ind w:left="720" w:hanging="360"/>
      </w:pPr>
      <w:rPr>
        <w:rFonts w:ascii="Arial" w:hAnsi="Arial" w:hint="default"/>
      </w:rPr>
    </w:lvl>
    <w:lvl w:ilvl="1" w:tplc="B27E03AC" w:tentative="1">
      <w:start w:val="1"/>
      <w:numFmt w:val="bullet"/>
      <w:lvlText w:val="•"/>
      <w:lvlJc w:val="left"/>
      <w:pPr>
        <w:tabs>
          <w:tab w:val="num" w:pos="1440"/>
        </w:tabs>
        <w:ind w:left="1440" w:hanging="360"/>
      </w:pPr>
      <w:rPr>
        <w:rFonts w:ascii="Arial" w:hAnsi="Arial" w:hint="default"/>
      </w:rPr>
    </w:lvl>
    <w:lvl w:ilvl="2" w:tplc="3B9C4946" w:tentative="1">
      <w:start w:val="1"/>
      <w:numFmt w:val="bullet"/>
      <w:lvlText w:val="•"/>
      <w:lvlJc w:val="left"/>
      <w:pPr>
        <w:tabs>
          <w:tab w:val="num" w:pos="2160"/>
        </w:tabs>
        <w:ind w:left="2160" w:hanging="360"/>
      </w:pPr>
      <w:rPr>
        <w:rFonts w:ascii="Arial" w:hAnsi="Arial" w:hint="default"/>
      </w:rPr>
    </w:lvl>
    <w:lvl w:ilvl="3" w:tplc="810E638E" w:tentative="1">
      <w:start w:val="1"/>
      <w:numFmt w:val="bullet"/>
      <w:lvlText w:val="•"/>
      <w:lvlJc w:val="left"/>
      <w:pPr>
        <w:tabs>
          <w:tab w:val="num" w:pos="2880"/>
        </w:tabs>
        <w:ind w:left="2880" w:hanging="360"/>
      </w:pPr>
      <w:rPr>
        <w:rFonts w:ascii="Arial" w:hAnsi="Arial" w:hint="default"/>
      </w:rPr>
    </w:lvl>
    <w:lvl w:ilvl="4" w:tplc="976C7FD4" w:tentative="1">
      <w:start w:val="1"/>
      <w:numFmt w:val="bullet"/>
      <w:lvlText w:val="•"/>
      <w:lvlJc w:val="left"/>
      <w:pPr>
        <w:tabs>
          <w:tab w:val="num" w:pos="3600"/>
        </w:tabs>
        <w:ind w:left="3600" w:hanging="360"/>
      </w:pPr>
      <w:rPr>
        <w:rFonts w:ascii="Arial" w:hAnsi="Arial" w:hint="default"/>
      </w:rPr>
    </w:lvl>
    <w:lvl w:ilvl="5" w:tplc="50B24DC2" w:tentative="1">
      <w:start w:val="1"/>
      <w:numFmt w:val="bullet"/>
      <w:lvlText w:val="•"/>
      <w:lvlJc w:val="left"/>
      <w:pPr>
        <w:tabs>
          <w:tab w:val="num" w:pos="4320"/>
        </w:tabs>
        <w:ind w:left="4320" w:hanging="360"/>
      </w:pPr>
      <w:rPr>
        <w:rFonts w:ascii="Arial" w:hAnsi="Arial" w:hint="default"/>
      </w:rPr>
    </w:lvl>
    <w:lvl w:ilvl="6" w:tplc="65CEFFE2" w:tentative="1">
      <w:start w:val="1"/>
      <w:numFmt w:val="bullet"/>
      <w:lvlText w:val="•"/>
      <w:lvlJc w:val="left"/>
      <w:pPr>
        <w:tabs>
          <w:tab w:val="num" w:pos="5040"/>
        </w:tabs>
        <w:ind w:left="5040" w:hanging="360"/>
      </w:pPr>
      <w:rPr>
        <w:rFonts w:ascii="Arial" w:hAnsi="Arial" w:hint="default"/>
      </w:rPr>
    </w:lvl>
    <w:lvl w:ilvl="7" w:tplc="33687834" w:tentative="1">
      <w:start w:val="1"/>
      <w:numFmt w:val="bullet"/>
      <w:lvlText w:val="•"/>
      <w:lvlJc w:val="left"/>
      <w:pPr>
        <w:tabs>
          <w:tab w:val="num" w:pos="5760"/>
        </w:tabs>
        <w:ind w:left="5760" w:hanging="360"/>
      </w:pPr>
      <w:rPr>
        <w:rFonts w:ascii="Arial" w:hAnsi="Arial" w:hint="default"/>
      </w:rPr>
    </w:lvl>
    <w:lvl w:ilvl="8" w:tplc="0466FC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446647"/>
    <w:multiLevelType w:val="hybridMultilevel"/>
    <w:tmpl w:val="F5324352"/>
    <w:lvl w:ilvl="0" w:tplc="FA1A777E">
      <w:start w:val="1"/>
      <w:numFmt w:val="bullet"/>
      <w:lvlText w:val="•"/>
      <w:lvlJc w:val="left"/>
      <w:pPr>
        <w:tabs>
          <w:tab w:val="num" w:pos="720"/>
        </w:tabs>
        <w:ind w:left="720" w:hanging="360"/>
      </w:pPr>
      <w:rPr>
        <w:rFonts w:ascii="Arial" w:hAnsi="Arial" w:hint="default"/>
      </w:rPr>
    </w:lvl>
    <w:lvl w:ilvl="1" w:tplc="887A507E" w:tentative="1">
      <w:start w:val="1"/>
      <w:numFmt w:val="bullet"/>
      <w:lvlText w:val="•"/>
      <w:lvlJc w:val="left"/>
      <w:pPr>
        <w:tabs>
          <w:tab w:val="num" w:pos="1440"/>
        </w:tabs>
        <w:ind w:left="1440" w:hanging="360"/>
      </w:pPr>
      <w:rPr>
        <w:rFonts w:ascii="Arial" w:hAnsi="Arial" w:hint="default"/>
      </w:rPr>
    </w:lvl>
    <w:lvl w:ilvl="2" w:tplc="81D8DB16" w:tentative="1">
      <w:start w:val="1"/>
      <w:numFmt w:val="bullet"/>
      <w:lvlText w:val="•"/>
      <w:lvlJc w:val="left"/>
      <w:pPr>
        <w:tabs>
          <w:tab w:val="num" w:pos="2160"/>
        </w:tabs>
        <w:ind w:left="2160" w:hanging="360"/>
      </w:pPr>
      <w:rPr>
        <w:rFonts w:ascii="Arial" w:hAnsi="Arial" w:hint="default"/>
      </w:rPr>
    </w:lvl>
    <w:lvl w:ilvl="3" w:tplc="7E923BAE" w:tentative="1">
      <w:start w:val="1"/>
      <w:numFmt w:val="bullet"/>
      <w:lvlText w:val="•"/>
      <w:lvlJc w:val="left"/>
      <w:pPr>
        <w:tabs>
          <w:tab w:val="num" w:pos="2880"/>
        </w:tabs>
        <w:ind w:left="2880" w:hanging="360"/>
      </w:pPr>
      <w:rPr>
        <w:rFonts w:ascii="Arial" w:hAnsi="Arial" w:hint="default"/>
      </w:rPr>
    </w:lvl>
    <w:lvl w:ilvl="4" w:tplc="E76A661A" w:tentative="1">
      <w:start w:val="1"/>
      <w:numFmt w:val="bullet"/>
      <w:lvlText w:val="•"/>
      <w:lvlJc w:val="left"/>
      <w:pPr>
        <w:tabs>
          <w:tab w:val="num" w:pos="3600"/>
        </w:tabs>
        <w:ind w:left="3600" w:hanging="360"/>
      </w:pPr>
      <w:rPr>
        <w:rFonts w:ascii="Arial" w:hAnsi="Arial" w:hint="default"/>
      </w:rPr>
    </w:lvl>
    <w:lvl w:ilvl="5" w:tplc="75FCC8F2" w:tentative="1">
      <w:start w:val="1"/>
      <w:numFmt w:val="bullet"/>
      <w:lvlText w:val="•"/>
      <w:lvlJc w:val="left"/>
      <w:pPr>
        <w:tabs>
          <w:tab w:val="num" w:pos="4320"/>
        </w:tabs>
        <w:ind w:left="4320" w:hanging="360"/>
      </w:pPr>
      <w:rPr>
        <w:rFonts w:ascii="Arial" w:hAnsi="Arial" w:hint="default"/>
      </w:rPr>
    </w:lvl>
    <w:lvl w:ilvl="6" w:tplc="6BEA6B2E" w:tentative="1">
      <w:start w:val="1"/>
      <w:numFmt w:val="bullet"/>
      <w:lvlText w:val="•"/>
      <w:lvlJc w:val="left"/>
      <w:pPr>
        <w:tabs>
          <w:tab w:val="num" w:pos="5040"/>
        </w:tabs>
        <w:ind w:left="5040" w:hanging="360"/>
      </w:pPr>
      <w:rPr>
        <w:rFonts w:ascii="Arial" w:hAnsi="Arial" w:hint="default"/>
      </w:rPr>
    </w:lvl>
    <w:lvl w:ilvl="7" w:tplc="3C808DA8" w:tentative="1">
      <w:start w:val="1"/>
      <w:numFmt w:val="bullet"/>
      <w:lvlText w:val="•"/>
      <w:lvlJc w:val="left"/>
      <w:pPr>
        <w:tabs>
          <w:tab w:val="num" w:pos="5760"/>
        </w:tabs>
        <w:ind w:left="5760" w:hanging="360"/>
      </w:pPr>
      <w:rPr>
        <w:rFonts w:ascii="Arial" w:hAnsi="Arial" w:hint="default"/>
      </w:rPr>
    </w:lvl>
    <w:lvl w:ilvl="8" w:tplc="F626C3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30E2EF9"/>
    <w:multiLevelType w:val="hybridMultilevel"/>
    <w:tmpl w:val="2698F3F8"/>
    <w:lvl w:ilvl="0" w:tplc="D408B966">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905FFB"/>
    <w:multiLevelType w:val="multilevel"/>
    <w:tmpl w:val="F2D8D162"/>
    <w:numStyleLink w:val="Listnumberedmultilevel"/>
  </w:abstractNum>
  <w:abstractNum w:abstractNumId="11"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2" w15:restartNumberingAfterBreak="0">
    <w:nsid w:val="227E6594"/>
    <w:multiLevelType w:val="hybridMultilevel"/>
    <w:tmpl w:val="2D7C5E0C"/>
    <w:lvl w:ilvl="0" w:tplc="0F3CDD80">
      <w:start w:val="4"/>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4B1C6D"/>
    <w:multiLevelType w:val="hybridMultilevel"/>
    <w:tmpl w:val="DC52BA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FF7650"/>
    <w:multiLevelType w:val="hybridMultilevel"/>
    <w:tmpl w:val="66F8A0E2"/>
    <w:lvl w:ilvl="0" w:tplc="A62EA582">
      <w:start w:val="1"/>
      <w:numFmt w:val="bullet"/>
      <w:lvlText w:val="•"/>
      <w:lvlJc w:val="left"/>
      <w:pPr>
        <w:tabs>
          <w:tab w:val="num" w:pos="720"/>
        </w:tabs>
        <w:ind w:left="720" w:hanging="360"/>
      </w:pPr>
      <w:rPr>
        <w:rFonts w:ascii="Arial" w:hAnsi="Arial" w:hint="default"/>
      </w:rPr>
    </w:lvl>
    <w:lvl w:ilvl="1" w:tplc="081C8ED6" w:tentative="1">
      <w:start w:val="1"/>
      <w:numFmt w:val="bullet"/>
      <w:lvlText w:val="•"/>
      <w:lvlJc w:val="left"/>
      <w:pPr>
        <w:tabs>
          <w:tab w:val="num" w:pos="1440"/>
        </w:tabs>
        <w:ind w:left="1440" w:hanging="360"/>
      </w:pPr>
      <w:rPr>
        <w:rFonts w:ascii="Arial" w:hAnsi="Arial" w:hint="default"/>
      </w:rPr>
    </w:lvl>
    <w:lvl w:ilvl="2" w:tplc="429A9692" w:tentative="1">
      <w:start w:val="1"/>
      <w:numFmt w:val="bullet"/>
      <w:lvlText w:val="•"/>
      <w:lvlJc w:val="left"/>
      <w:pPr>
        <w:tabs>
          <w:tab w:val="num" w:pos="2160"/>
        </w:tabs>
        <w:ind w:left="2160" w:hanging="360"/>
      </w:pPr>
      <w:rPr>
        <w:rFonts w:ascii="Arial" w:hAnsi="Arial" w:hint="default"/>
      </w:rPr>
    </w:lvl>
    <w:lvl w:ilvl="3" w:tplc="CC5C6308" w:tentative="1">
      <w:start w:val="1"/>
      <w:numFmt w:val="bullet"/>
      <w:lvlText w:val="•"/>
      <w:lvlJc w:val="left"/>
      <w:pPr>
        <w:tabs>
          <w:tab w:val="num" w:pos="2880"/>
        </w:tabs>
        <w:ind w:left="2880" w:hanging="360"/>
      </w:pPr>
      <w:rPr>
        <w:rFonts w:ascii="Arial" w:hAnsi="Arial" w:hint="default"/>
      </w:rPr>
    </w:lvl>
    <w:lvl w:ilvl="4" w:tplc="89C48B46" w:tentative="1">
      <w:start w:val="1"/>
      <w:numFmt w:val="bullet"/>
      <w:lvlText w:val="•"/>
      <w:lvlJc w:val="left"/>
      <w:pPr>
        <w:tabs>
          <w:tab w:val="num" w:pos="3600"/>
        </w:tabs>
        <w:ind w:left="3600" w:hanging="360"/>
      </w:pPr>
      <w:rPr>
        <w:rFonts w:ascii="Arial" w:hAnsi="Arial" w:hint="default"/>
      </w:rPr>
    </w:lvl>
    <w:lvl w:ilvl="5" w:tplc="679065D6" w:tentative="1">
      <w:start w:val="1"/>
      <w:numFmt w:val="bullet"/>
      <w:lvlText w:val="•"/>
      <w:lvlJc w:val="left"/>
      <w:pPr>
        <w:tabs>
          <w:tab w:val="num" w:pos="4320"/>
        </w:tabs>
        <w:ind w:left="4320" w:hanging="360"/>
      </w:pPr>
      <w:rPr>
        <w:rFonts w:ascii="Arial" w:hAnsi="Arial" w:hint="default"/>
      </w:rPr>
    </w:lvl>
    <w:lvl w:ilvl="6" w:tplc="3976E218" w:tentative="1">
      <w:start w:val="1"/>
      <w:numFmt w:val="bullet"/>
      <w:lvlText w:val="•"/>
      <w:lvlJc w:val="left"/>
      <w:pPr>
        <w:tabs>
          <w:tab w:val="num" w:pos="5040"/>
        </w:tabs>
        <w:ind w:left="5040" w:hanging="360"/>
      </w:pPr>
      <w:rPr>
        <w:rFonts w:ascii="Arial" w:hAnsi="Arial" w:hint="default"/>
      </w:rPr>
    </w:lvl>
    <w:lvl w:ilvl="7" w:tplc="54D61BF2" w:tentative="1">
      <w:start w:val="1"/>
      <w:numFmt w:val="bullet"/>
      <w:lvlText w:val="•"/>
      <w:lvlJc w:val="left"/>
      <w:pPr>
        <w:tabs>
          <w:tab w:val="num" w:pos="5760"/>
        </w:tabs>
        <w:ind w:left="5760" w:hanging="360"/>
      </w:pPr>
      <w:rPr>
        <w:rFonts w:ascii="Arial" w:hAnsi="Arial" w:hint="default"/>
      </w:rPr>
    </w:lvl>
    <w:lvl w:ilvl="8" w:tplc="9B743D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126CC2"/>
    <w:multiLevelType w:val="hybridMultilevel"/>
    <w:tmpl w:val="2118054E"/>
    <w:lvl w:ilvl="0" w:tplc="BF52212E">
      <w:start w:val="1"/>
      <w:numFmt w:val="bullet"/>
      <w:lvlText w:val="•"/>
      <w:lvlJc w:val="left"/>
      <w:pPr>
        <w:tabs>
          <w:tab w:val="num" w:pos="720"/>
        </w:tabs>
        <w:ind w:left="720" w:hanging="360"/>
      </w:pPr>
      <w:rPr>
        <w:rFonts w:ascii="Arial" w:hAnsi="Arial" w:hint="default"/>
      </w:rPr>
    </w:lvl>
    <w:lvl w:ilvl="1" w:tplc="42922E4E" w:tentative="1">
      <w:start w:val="1"/>
      <w:numFmt w:val="bullet"/>
      <w:lvlText w:val="•"/>
      <w:lvlJc w:val="left"/>
      <w:pPr>
        <w:tabs>
          <w:tab w:val="num" w:pos="1440"/>
        </w:tabs>
        <w:ind w:left="1440" w:hanging="360"/>
      </w:pPr>
      <w:rPr>
        <w:rFonts w:ascii="Arial" w:hAnsi="Arial" w:hint="default"/>
      </w:rPr>
    </w:lvl>
    <w:lvl w:ilvl="2" w:tplc="DC727D20" w:tentative="1">
      <w:start w:val="1"/>
      <w:numFmt w:val="bullet"/>
      <w:lvlText w:val="•"/>
      <w:lvlJc w:val="left"/>
      <w:pPr>
        <w:tabs>
          <w:tab w:val="num" w:pos="2160"/>
        </w:tabs>
        <w:ind w:left="2160" w:hanging="360"/>
      </w:pPr>
      <w:rPr>
        <w:rFonts w:ascii="Arial" w:hAnsi="Arial" w:hint="default"/>
      </w:rPr>
    </w:lvl>
    <w:lvl w:ilvl="3" w:tplc="B4EE8D82" w:tentative="1">
      <w:start w:val="1"/>
      <w:numFmt w:val="bullet"/>
      <w:lvlText w:val="•"/>
      <w:lvlJc w:val="left"/>
      <w:pPr>
        <w:tabs>
          <w:tab w:val="num" w:pos="2880"/>
        </w:tabs>
        <w:ind w:left="2880" w:hanging="360"/>
      </w:pPr>
      <w:rPr>
        <w:rFonts w:ascii="Arial" w:hAnsi="Arial" w:hint="default"/>
      </w:rPr>
    </w:lvl>
    <w:lvl w:ilvl="4" w:tplc="349EE9E4" w:tentative="1">
      <w:start w:val="1"/>
      <w:numFmt w:val="bullet"/>
      <w:lvlText w:val="•"/>
      <w:lvlJc w:val="left"/>
      <w:pPr>
        <w:tabs>
          <w:tab w:val="num" w:pos="3600"/>
        </w:tabs>
        <w:ind w:left="3600" w:hanging="360"/>
      </w:pPr>
      <w:rPr>
        <w:rFonts w:ascii="Arial" w:hAnsi="Arial" w:hint="default"/>
      </w:rPr>
    </w:lvl>
    <w:lvl w:ilvl="5" w:tplc="80A6DB20" w:tentative="1">
      <w:start w:val="1"/>
      <w:numFmt w:val="bullet"/>
      <w:lvlText w:val="•"/>
      <w:lvlJc w:val="left"/>
      <w:pPr>
        <w:tabs>
          <w:tab w:val="num" w:pos="4320"/>
        </w:tabs>
        <w:ind w:left="4320" w:hanging="360"/>
      </w:pPr>
      <w:rPr>
        <w:rFonts w:ascii="Arial" w:hAnsi="Arial" w:hint="default"/>
      </w:rPr>
    </w:lvl>
    <w:lvl w:ilvl="6" w:tplc="E7A07F32" w:tentative="1">
      <w:start w:val="1"/>
      <w:numFmt w:val="bullet"/>
      <w:lvlText w:val="•"/>
      <w:lvlJc w:val="left"/>
      <w:pPr>
        <w:tabs>
          <w:tab w:val="num" w:pos="5040"/>
        </w:tabs>
        <w:ind w:left="5040" w:hanging="360"/>
      </w:pPr>
      <w:rPr>
        <w:rFonts w:ascii="Arial" w:hAnsi="Arial" w:hint="default"/>
      </w:rPr>
    </w:lvl>
    <w:lvl w:ilvl="7" w:tplc="36ACCAFA" w:tentative="1">
      <w:start w:val="1"/>
      <w:numFmt w:val="bullet"/>
      <w:lvlText w:val="•"/>
      <w:lvlJc w:val="left"/>
      <w:pPr>
        <w:tabs>
          <w:tab w:val="num" w:pos="5760"/>
        </w:tabs>
        <w:ind w:left="5760" w:hanging="360"/>
      </w:pPr>
      <w:rPr>
        <w:rFonts w:ascii="Arial" w:hAnsi="Arial" w:hint="default"/>
      </w:rPr>
    </w:lvl>
    <w:lvl w:ilvl="8" w:tplc="68A28A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D1413D"/>
    <w:multiLevelType w:val="multilevel"/>
    <w:tmpl w:val="EE2830EC"/>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26A1C77"/>
    <w:multiLevelType w:val="multilevel"/>
    <w:tmpl w:val="F2D8D162"/>
    <w:lvl w:ilvl="0">
      <w:start w:val="1"/>
      <w:numFmt w:val="decimal"/>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8" w15:restartNumberingAfterBreak="0">
    <w:nsid w:val="428C2FDF"/>
    <w:multiLevelType w:val="hybridMultilevel"/>
    <w:tmpl w:val="6C160822"/>
    <w:lvl w:ilvl="0" w:tplc="370EA3D8">
      <w:start w:val="1"/>
      <w:numFmt w:val="bullet"/>
      <w:pStyle w:val="longformcalloutbullet"/>
      <w:lvlText w:val=""/>
      <w:lvlJc w:val="left"/>
      <w:pPr>
        <w:ind w:left="720" w:hanging="360"/>
      </w:pPr>
      <w:rPr>
        <w:rFonts w:ascii="Symbol" w:hAnsi="Symbol" w:hint="default"/>
        <w:color w:val="00264D" w:themeColor="background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BE15EC"/>
    <w:multiLevelType w:val="hybridMultilevel"/>
    <w:tmpl w:val="8BF6BC98"/>
    <w:lvl w:ilvl="0" w:tplc="BCB60788">
      <w:start w:val="1"/>
      <w:numFmt w:val="bullet"/>
      <w:lvlText w:val="•"/>
      <w:lvlJc w:val="left"/>
      <w:pPr>
        <w:tabs>
          <w:tab w:val="num" w:pos="720"/>
        </w:tabs>
        <w:ind w:left="720" w:hanging="360"/>
      </w:pPr>
      <w:rPr>
        <w:rFonts w:ascii="Arial" w:hAnsi="Arial" w:hint="default"/>
      </w:rPr>
    </w:lvl>
    <w:lvl w:ilvl="1" w:tplc="5B1A7728" w:tentative="1">
      <w:start w:val="1"/>
      <w:numFmt w:val="bullet"/>
      <w:lvlText w:val="•"/>
      <w:lvlJc w:val="left"/>
      <w:pPr>
        <w:tabs>
          <w:tab w:val="num" w:pos="1440"/>
        </w:tabs>
        <w:ind w:left="1440" w:hanging="360"/>
      </w:pPr>
      <w:rPr>
        <w:rFonts w:ascii="Arial" w:hAnsi="Arial" w:hint="default"/>
      </w:rPr>
    </w:lvl>
    <w:lvl w:ilvl="2" w:tplc="BE987E2C" w:tentative="1">
      <w:start w:val="1"/>
      <w:numFmt w:val="bullet"/>
      <w:lvlText w:val="•"/>
      <w:lvlJc w:val="left"/>
      <w:pPr>
        <w:tabs>
          <w:tab w:val="num" w:pos="2160"/>
        </w:tabs>
        <w:ind w:left="2160" w:hanging="360"/>
      </w:pPr>
      <w:rPr>
        <w:rFonts w:ascii="Arial" w:hAnsi="Arial" w:hint="default"/>
      </w:rPr>
    </w:lvl>
    <w:lvl w:ilvl="3" w:tplc="F140E978" w:tentative="1">
      <w:start w:val="1"/>
      <w:numFmt w:val="bullet"/>
      <w:lvlText w:val="•"/>
      <w:lvlJc w:val="left"/>
      <w:pPr>
        <w:tabs>
          <w:tab w:val="num" w:pos="2880"/>
        </w:tabs>
        <w:ind w:left="2880" w:hanging="360"/>
      </w:pPr>
      <w:rPr>
        <w:rFonts w:ascii="Arial" w:hAnsi="Arial" w:hint="default"/>
      </w:rPr>
    </w:lvl>
    <w:lvl w:ilvl="4" w:tplc="55365F52" w:tentative="1">
      <w:start w:val="1"/>
      <w:numFmt w:val="bullet"/>
      <w:lvlText w:val="•"/>
      <w:lvlJc w:val="left"/>
      <w:pPr>
        <w:tabs>
          <w:tab w:val="num" w:pos="3600"/>
        </w:tabs>
        <w:ind w:left="3600" w:hanging="360"/>
      </w:pPr>
      <w:rPr>
        <w:rFonts w:ascii="Arial" w:hAnsi="Arial" w:hint="default"/>
      </w:rPr>
    </w:lvl>
    <w:lvl w:ilvl="5" w:tplc="62E8E3DC" w:tentative="1">
      <w:start w:val="1"/>
      <w:numFmt w:val="bullet"/>
      <w:lvlText w:val="•"/>
      <w:lvlJc w:val="left"/>
      <w:pPr>
        <w:tabs>
          <w:tab w:val="num" w:pos="4320"/>
        </w:tabs>
        <w:ind w:left="4320" w:hanging="360"/>
      </w:pPr>
      <w:rPr>
        <w:rFonts w:ascii="Arial" w:hAnsi="Arial" w:hint="default"/>
      </w:rPr>
    </w:lvl>
    <w:lvl w:ilvl="6" w:tplc="EF3EAB4C" w:tentative="1">
      <w:start w:val="1"/>
      <w:numFmt w:val="bullet"/>
      <w:lvlText w:val="•"/>
      <w:lvlJc w:val="left"/>
      <w:pPr>
        <w:tabs>
          <w:tab w:val="num" w:pos="5040"/>
        </w:tabs>
        <w:ind w:left="5040" w:hanging="360"/>
      </w:pPr>
      <w:rPr>
        <w:rFonts w:ascii="Arial" w:hAnsi="Arial" w:hint="default"/>
      </w:rPr>
    </w:lvl>
    <w:lvl w:ilvl="7" w:tplc="0A0A6454" w:tentative="1">
      <w:start w:val="1"/>
      <w:numFmt w:val="bullet"/>
      <w:lvlText w:val="•"/>
      <w:lvlJc w:val="left"/>
      <w:pPr>
        <w:tabs>
          <w:tab w:val="num" w:pos="5760"/>
        </w:tabs>
        <w:ind w:left="5760" w:hanging="360"/>
      </w:pPr>
      <w:rPr>
        <w:rFonts w:ascii="Arial" w:hAnsi="Arial" w:hint="default"/>
      </w:rPr>
    </w:lvl>
    <w:lvl w:ilvl="8" w:tplc="57B899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B30710"/>
    <w:multiLevelType w:val="hybridMultilevel"/>
    <w:tmpl w:val="79B69EA6"/>
    <w:lvl w:ilvl="0" w:tplc="50924516">
      <w:start w:val="1"/>
      <w:numFmt w:val="decimal"/>
      <w:pStyle w:val="longformcalloutnumber"/>
      <w:lvlText w:val="%1."/>
      <w:lvlJc w:val="left"/>
      <w:pPr>
        <w:ind w:left="720" w:hanging="360"/>
      </w:pPr>
      <w:rPr>
        <w:rFonts w:hint="default"/>
        <w:b w:val="0"/>
        <w:color w:val="00264D"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FC57B8"/>
    <w:multiLevelType w:val="hybridMultilevel"/>
    <w:tmpl w:val="52C01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3D2157"/>
    <w:multiLevelType w:val="multilevel"/>
    <w:tmpl w:val="BF50DEA6"/>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4C55940"/>
    <w:multiLevelType w:val="multilevel"/>
    <w:tmpl w:val="3D8A6740"/>
    <w:lvl w:ilvl="0">
      <w:start w:val="1"/>
      <w:numFmt w:val="bullet"/>
      <w:pStyle w:val="intoductionbullet"/>
      <w:lvlText w:val=""/>
      <w:lvlJc w:val="left"/>
      <w:pPr>
        <w:ind w:left="357" w:hanging="357"/>
      </w:pPr>
      <w:rPr>
        <w:rFonts w:ascii="Symbol" w:hAnsi="Symbol" w:hint="default"/>
        <w:color w:val="00264D" w:themeColor="background2"/>
      </w:rPr>
    </w:lvl>
    <w:lvl w:ilvl="1">
      <w:start w:val="1"/>
      <w:numFmt w:val="bullet"/>
      <w:lvlText w:val=""/>
      <w:lvlJc w:val="left"/>
      <w:pPr>
        <w:ind w:left="720" w:hanging="363"/>
      </w:pPr>
      <w:rPr>
        <w:rFonts w:ascii="Symbol" w:hAnsi="Symbol" w:hint="default"/>
        <w:color w:val="00264D" w:themeColor="background2"/>
      </w:rPr>
    </w:lvl>
    <w:lvl w:ilvl="2">
      <w:start w:val="1"/>
      <w:numFmt w:val="bullet"/>
      <w:lvlText w:val=""/>
      <w:lvlJc w:val="left"/>
      <w:pPr>
        <w:ind w:left="1077" w:hanging="357"/>
      </w:pPr>
      <w:rPr>
        <w:rFonts w:ascii="Symbol" w:hAnsi="Symbol" w:hint="default"/>
        <w:color w:val="00264D"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C1C6287"/>
    <w:multiLevelType w:val="hybridMultilevel"/>
    <w:tmpl w:val="A04280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0A775C"/>
    <w:multiLevelType w:val="hybridMultilevel"/>
    <w:tmpl w:val="1CF2B5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093889"/>
    <w:multiLevelType w:val="hybridMultilevel"/>
    <w:tmpl w:val="98FC8D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423DA4"/>
    <w:multiLevelType w:val="multilevel"/>
    <w:tmpl w:val="F2D8D162"/>
    <w:lvl w:ilvl="0">
      <w:start w:val="1"/>
      <w:numFmt w:val="decimal"/>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9" w15:restartNumberingAfterBreak="0">
    <w:nsid w:val="6BFB580D"/>
    <w:multiLevelType w:val="hybridMultilevel"/>
    <w:tmpl w:val="7D4EC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D74E9D"/>
    <w:multiLevelType w:val="multilevel"/>
    <w:tmpl w:val="F2D8D162"/>
    <w:lvl w:ilvl="0">
      <w:start w:val="1"/>
      <w:numFmt w:val="decimal"/>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1" w15:restartNumberingAfterBreak="0">
    <w:nsid w:val="6FC40773"/>
    <w:multiLevelType w:val="hybridMultilevel"/>
    <w:tmpl w:val="EB745FF0"/>
    <w:lvl w:ilvl="0" w:tplc="13109274">
      <w:start w:val="1"/>
      <w:numFmt w:val="bullet"/>
      <w:lvlText w:val="•"/>
      <w:lvlJc w:val="left"/>
      <w:pPr>
        <w:tabs>
          <w:tab w:val="num" w:pos="720"/>
        </w:tabs>
        <w:ind w:left="720" w:hanging="360"/>
      </w:pPr>
      <w:rPr>
        <w:rFonts w:ascii="Arial" w:hAnsi="Arial" w:hint="default"/>
      </w:rPr>
    </w:lvl>
    <w:lvl w:ilvl="1" w:tplc="15A834FC" w:tentative="1">
      <w:start w:val="1"/>
      <w:numFmt w:val="bullet"/>
      <w:lvlText w:val="•"/>
      <w:lvlJc w:val="left"/>
      <w:pPr>
        <w:tabs>
          <w:tab w:val="num" w:pos="1440"/>
        </w:tabs>
        <w:ind w:left="1440" w:hanging="360"/>
      </w:pPr>
      <w:rPr>
        <w:rFonts w:ascii="Arial" w:hAnsi="Arial" w:hint="default"/>
      </w:rPr>
    </w:lvl>
    <w:lvl w:ilvl="2" w:tplc="34BA16D8" w:tentative="1">
      <w:start w:val="1"/>
      <w:numFmt w:val="bullet"/>
      <w:lvlText w:val="•"/>
      <w:lvlJc w:val="left"/>
      <w:pPr>
        <w:tabs>
          <w:tab w:val="num" w:pos="2160"/>
        </w:tabs>
        <w:ind w:left="2160" w:hanging="360"/>
      </w:pPr>
      <w:rPr>
        <w:rFonts w:ascii="Arial" w:hAnsi="Arial" w:hint="default"/>
      </w:rPr>
    </w:lvl>
    <w:lvl w:ilvl="3" w:tplc="B9E87B0E" w:tentative="1">
      <w:start w:val="1"/>
      <w:numFmt w:val="bullet"/>
      <w:lvlText w:val="•"/>
      <w:lvlJc w:val="left"/>
      <w:pPr>
        <w:tabs>
          <w:tab w:val="num" w:pos="2880"/>
        </w:tabs>
        <w:ind w:left="2880" w:hanging="360"/>
      </w:pPr>
      <w:rPr>
        <w:rFonts w:ascii="Arial" w:hAnsi="Arial" w:hint="default"/>
      </w:rPr>
    </w:lvl>
    <w:lvl w:ilvl="4" w:tplc="3992253C" w:tentative="1">
      <w:start w:val="1"/>
      <w:numFmt w:val="bullet"/>
      <w:lvlText w:val="•"/>
      <w:lvlJc w:val="left"/>
      <w:pPr>
        <w:tabs>
          <w:tab w:val="num" w:pos="3600"/>
        </w:tabs>
        <w:ind w:left="3600" w:hanging="360"/>
      </w:pPr>
      <w:rPr>
        <w:rFonts w:ascii="Arial" w:hAnsi="Arial" w:hint="default"/>
      </w:rPr>
    </w:lvl>
    <w:lvl w:ilvl="5" w:tplc="BD4EFDC2" w:tentative="1">
      <w:start w:val="1"/>
      <w:numFmt w:val="bullet"/>
      <w:lvlText w:val="•"/>
      <w:lvlJc w:val="left"/>
      <w:pPr>
        <w:tabs>
          <w:tab w:val="num" w:pos="4320"/>
        </w:tabs>
        <w:ind w:left="4320" w:hanging="360"/>
      </w:pPr>
      <w:rPr>
        <w:rFonts w:ascii="Arial" w:hAnsi="Arial" w:hint="default"/>
      </w:rPr>
    </w:lvl>
    <w:lvl w:ilvl="6" w:tplc="C12AE960" w:tentative="1">
      <w:start w:val="1"/>
      <w:numFmt w:val="bullet"/>
      <w:lvlText w:val="•"/>
      <w:lvlJc w:val="left"/>
      <w:pPr>
        <w:tabs>
          <w:tab w:val="num" w:pos="5040"/>
        </w:tabs>
        <w:ind w:left="5040" w:hanging="360"/>
      </w:pPr>
      <w:rPr>
        <w:rFonts w:ascii="Arial" w:hAnsi="Arial" w:hint="default"/>
      </w:rPr>
    </w:lvl>
    <w:lvl w:ilvl="7" w:tplc="A620B09C" w:tentative="1">
      <w:start w:val="1"/>
      <w:numFmt w:val="bullet"/>
      <w:lvlText w:val="•"/>
      <w:lvlJc w:val="left"/>
      <w:pPr>
        <w:tabs>
          <w:tab w:val="num" w:pos="5760"/>
        </w:tabs>
        <w:ind w:left="5760" w:hanging="360"/>
      </w:pPr>
      <w:rPr>
        <w:rFonts w:ascii="Arial" w:hAnsi="Arial" w:hint="default"/>
      </w:rPr>
    </w:lvl>
    <w:lvl w:ilvl="8" w:tplc="C5528E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A16EBA"/>
    <w:multiLevelType w:val="multilevel"/>
    <w:tmpl w:val="2698E5C8"/>
    <w:lvl w:ilvl="0">
      <w:start w:val="1"/>
      <w:numFmt w:val="upperLetter"/>
      <w:pStyle w:val="xAppendixLevel1"/>
      <w:lvlText w:val="Appendix %1"/>
      <w:lvlJc w:val="left"/>
      <w:pPr>
        <w:ind w:left="2268" w:hanging="2268"/>
      </w:pPr>
      <w:rPr>
        <w:rFonts w:hint="default"/>
        <w:color w:val="00264D"/>
        <w:sz w:val="44"/>
        <w:szCs w:val="44"/>
      </w:rPr>
    </w:lvl>
    <w:lvl w:ilvl="1">
      <w:start w:val="1"/>
      <w:numFmt w:val="decimal"/>
      <w:pStyle w:val="xAppendixLevel2"/>
      <w:lvlText w:val="%1.%2"/>
      <w:lvlJc w:val="left"/>
      <w:pPr>
        <w:ind w:left="851" w:hanging="851"/>
      </w:pPr>
      <w:rPr>
        <w:rFonts w:hint="default"/>
        <w:color w:val="00264D"/>
        <w:sz w:val="34"/>
        <w:szCs w:val="34"/>
      </w:rPr>
    </w:lvl>
    <w:lvl w:ilvl="2">
      <w:start w:val="1"/>
      <w:numFmt w:val="decimal"/>
      <w:pStyle w:val="xAppendixLevel3"/>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43268BB"/>
    <w:multiLevelType w:val="hybridMultilevel"/>
    <w:tmpl w:val="065AFA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D431B4"/>
    <w:multiLevelType w:val="hybridMultilevel"/>
    <w:tmpl w:val="2050F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9219C5"/>
    <w:multiLevelType w:val="hybridMultilevel"/>
    <w:tmpl w:val="35EAA6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B7218E"/>
    <w:multiLevelType w:val="multilevel"/>
    <w:tmpl w:val="1176180C"/>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6"/>
  </w:num>
  <w:num w:numId="4">
    <w:abstractNumId w:val="36"/>
  </w:num>
  <w:num w:numId="5">
    <w:abstractNumId w:val="3"/>
  </w:num>
  <w:num w:numId="6">
    <w:abstractNumId w:val="24"/>
  </w:num>
  <w:num w:numId="7">
    <w:abstractNumId w:val="11"/>
  </w:num>
  <w:num w:numId="8">
    <w:abstractNumId w:val="5"/>
  </w:num>
  <w:num w:numId="9">
    <w:abstractNumId w:val="24"/>
  </w:num>
  <w:num w:numId="10">
    <w:abstractNumId w:val="32"/>
  </w:num>
  <w:num w:numId="11">
    <w:abstractNumId w:val="10"/>
  </w:num>
  <w:num w:numId="12">
    <w:abstractNumId w:val="9"/>
  </w:num>
  <w:num w:numId="13">
    <w:abstractNumId w:val="0"/>
  </w:num>
  <w:num w:numId="14">
    <w:abstractNumId w:val="18"/>
  </w:num>
  <w:num w:numId="15">
    <w:abstractNumId w:val="20"/>
  </w:num>
  <w:num w:numId="16">
    <w:abstractNumId w:val="22"/>
  </w:num>
  <w:num w:numId="17">
    <w:abstractNumId w:val="23"/>
  </w:num>
  <w:num w:numId="18">
    <w:abstractNumId w:val="1"/>
  </w:num>
  <w:num w:numId="19">
    <w:abstractNumId w:val="34"/>
  </w:num>
  <w:num w:numId="20">
    <w:abstractNumId w:val="2"/>
  </w:num>
  <w:num w:numId="21">
    <w:abstractNumId w:val="16"/>
  </w:num>
  <w:num w:numId="22">
    <w:abstractNumId w:val="12"/>
  </w:num>
  <w:num w:numId="23">
    <w:abstractNumId w:val="17"/>
  </w:num>
  <w:num w:numId="24">
    <w:abstractNumId w:val="28"/>
  </w:num>
  <w:num w:numId="25">
    <w:abstractNumId w:val="30"/>
  </w:num>
  <w:num w:numId="26">
    <w:abstractNumId w:val="25"/>
  </w:num>
  <w:num w:numId="27">
    <w:abstractNumId w:val="26"/>
  </w:num>
  <w:num w:numId="28">
    <w:abstractNumId w:val="21"/>
  </w:num>
  <w:num w:numId="29">
    <w:abstractNumId w:val="13"/>
  </w:num>
  <w:num w:numId="30">
    <w:abstractNumId w:val="27"/>
  </w:num>
  <w:num w:numId="31">
    <w:abstractNumId w:val="35"/>
  </w:num>
  <w:num w:numId="32">
    <w:abstractNumId w:val="4"/>
  </w:num>
  <w:num w:numId="33">
    <w:abstractNumId w:val="31"/>
  </w:num>
  <w:num w:numId="34">
    <w:abstractNumId w:val="15"/>
  </w:num>
  <w:num w:numId="35">
    <w:abstractNumId w:val="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7"/>
  </w:num>
  <w:num w:numId="40">
    <w:abstractNumId w:val="14"/>
  </w:num>
  <w:num w:numId="41">
    <w:abstractNumId w:val="19"/>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6"/>
  </w:num>
  <w:num w:numId="45">
    <w:abstractNumId w:val="33"/>
  </w:num>
  <w:num w:numId="46">
    <w:abstractNumId w:val="16"/>
  </w:num>
  <w:num w:numId="47">
    <w:abstractNumId w:val="5"/>
  </w:num>
  <w:num w:numId="48">
    <w:abstractNumId w:val="5"/>
  </w:num>
  <w:num w:numId="49">
    <w:abstractNumId w:val="5"/>
  </w:num>
  <w:num w:numId="50">
    <w:abstractNumId w:val="5"/>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22"/>
    <w:rsid w:val="00000A9B"/>
    <w:rsid w:val="00011E3C"/>
    <w:rsid w:val="000134C0"/>
    <w:rsid w:val="00015A68"/>
    <w:rsid w:val="00016B6C"/>
    <w:rsid w:val="000200D1"/>
    <w:rsid w:val="00021F62"/>
    <w:rsid w:val="000225D1"/>
    <w:rsid w:val="000301A0"/>
    <w:rsid w:val="00034022"/>
    <w:rsid w:val="00037553"/>
    <w:rsid w:val="00040FA8"/>
    <w:rsid w:val="000447EA"/>
    <w:rsid w:val="00045FAB"/>
    <w:rsid w:val="000508C3"/>
    <w:rsid w:val="0005195D"/>
    <w:rsid w:val="00052074"/>
    <w:rsid w:val="00052EFB"/>
    <w:rsid w:val="0005575C"/>
    <w:rsid w:val="0005789D"/>
    <w:rsid w:val="000649ED"/>
    <w:rsid w:val="00066A8C"/>
    <w:rsid w:val="00070BAE"/>
    <w:rsid w:val="0007144B"/>
    <w:rsid w:val="0007553A"/>
    <w:rsid w:val="00077397"/>
    <w:rsid w:val="00083992"/>
    <w:rsid w:val="000843C9"/>
    <w:rsid w:val="000851AF"/>
    <w:rsid w:val="00091A80"/>
    <w:rsid w:val="0009240A"/>
    <w:rsid w:val="00093FA9"/>
    <w:rsid w:val="00094257"/>
    <w:rsid w:val="00095558"/>
    <w:rsid w:val="000A13C3"/>
    <w:rsid w:val="000A2987"/>
    <w:rsid w:val="000A34E7"/>
    <w:rsid w:val="000B305B"/>
    <w:rsid w:val="000C1649"/>
    <w:rsid w:val="000C62C0"/>
    <w:rsid w:val="000C6BE2"/>
    <w:rsid w:val="000C7926"/>
    <w:rsid w:val="000D24AC"/>
    <w:rsid w:val="000D4195"/>
    <w:rsid w:val="000D5CE3"/>
    <w:rsid w:val="000E1668"/>
    <w:rsid w:val="000E1CE0"/>
    <w:rsid w:val="000E45AB"/>
    <w:rsid w:val="000E5F5F"/>
    <w:rsid w:val="000F0338"/>
    <w:rsid w:val="000F3554"/>
    <w:rsid w:val="000F3B13"/>
    <w:rsid w:val="0010462B"/>
    <w:rsid w:val="00104F6D"/>
    <w:rsid w:val="00105A2B"/>
    <w:rsid w:val="00106164"/>
    <w:rsid w:val="001119E9"/>
    <w:rsid w:val="001122A2"/>
    <w:rsid w:val="001124FA"/>
    <w:rsid w:val="00113272"/>
    <w:rsid w:val="0011359A"/>
    <w:rsid w:val="0011577F"/>
    <w:rsid w:val="00116216"/>
    <w:rsid w:val="0011641E"/>
    <w:rsid w:val="001170C9"/>
    <w:rsid w:val="0012290F"/>
    <w:rsid w:val="00123C8F"/>
    <w:rsid w:val="00127230"/>
    <w:rsid w:val="00132C79"/>
    <w:rsid w:val="00143119"/>
    <w:rsid w:val="00144A6A"/>
    <w:rsid w:val="001551EB"/>
    <w:rsid w:val="001631E8"/>
    <w:rsid w:val="00171C38"/>
    <w:rsid w:val="001805F6"/>
    <w:rsid w:val="00180AF4"/>
    <w:rsid w:val="00180F23"/>
    <w:rsid w:val="0018662E"/>
    <w:rsid w:val="00186B5A"/>
    <w:rsid w:val="00190DD9"/>
    <w:rsid w:val="00192B6E"/>
    <w:rsid w:val="00193717"/>
    <w:rsid w:val="00195EE1"/>
    <w:rsid w:val="00196A6D"/>
    <w:rsid w:val="00196E9A"/>
    <w:rsid w:val="00197FA1"/>
    <w:rsid w:val="001A2977"/>
    <w:rsid w:val="001A58E6"/>
    <w:rsid w:val="001B04BC"/>
    <w:rsid w:val="001B2235"/>
    <w:rsid w:val="001C1921"/>
    <w:rsid w:val="001D0EAE"/>
    <w:rsid w:val="001D2406"/>
    <w:rsid w:val="001D2806"/>
    <w:rsid w:val="001D32A9"/>
    <w:rsid w:val="001D46EB"/>
    <w:rsid w:val="001E23B6"/>
    <w:rsid w:val="001E72FD"/>
    <w:rsid w:val="001F20BA"/>
    <w:rsid w:val="001F4362"/>
    <w:rsid w:val="001F7210"/>
    <w:rsid w:val="0020000D"/>
    <w:rsid w:val="00210D33"/>
    <w:rsid w:val="00214C96"/>
    <w:rsid w:val="00221D0F"/>
    <w:rsid w:val="0022274E"/>
    <w:rsid w:val="00225071"/>
    <w:rsid w:val="0022734D"/>
    <w:rsid w:val="002328FB"/>
    <w:rsid w:val="0023346F"/>
    <w:rsid w:val="00233486"/>
    <w:rsid w:val="00235BB5"/>
    <w:rsid w:val="0025543C"/>
    <w:rsid w:val="00255D85"/>
    <w:rsid w:val="002651C6"/>
    <w:rsid w:val="00265961"/>
    <w:rsid w:val="00270EBC"/>
    <w:rsid w:val="00281D42"/>
    <w:rsid w:val="002848AD"/>
    <w:rsid w:val="0029320C"/>
    <w:rsid w:val="00293CAA"/>
    <w:rsid w:val="00295C69"/>
    <w:rsid w:val="002A219F"/>
    <w:rsid w:val="002A429D"/>
    <w:rsid w:val="002A48CF"/>
    <w:rsid w:val="002A66C3"/>
    <w:rsid w:val="002B0099"/>
    <w:rsid w:val="002B1041"/>
    <w:rsid w:val="002B2F3F"/>
    <w:rsid w:val="002B3A35"/>
    <w:rsid w:val="002B3FA1"/>
    <w:rsid w:val="002B52AC"/>
    <w:rsid w:val="002B5822"/>
    <w:rsid w:val="002B6224"/>
    <w:rsid w:val="002B7A6E"/>
    <w:rsid w:val="002C36E6"/>
    <w:rsid w:val="002C37F7"/>
    <w:rsid w:val="002C4C6A"/>
    <w:rsid w:val="002C4F40"/>
    <w:rsid w:val="002D0606"/>
    <w:rsid w:val="002D0A22"/>
    <w:rsid w:val="002D0E11"/>
    <w:rsid w:val="002D4EFA"/>
    <w:rsid w:val="002D7C64"/>
    <w:rsid w:val="002E2628"/>
    <w:rsid w:val="002E2F62"/>
    <w:rsid w:val="002E48EA"/>
    <w:rsid w:val="002F032A"/>
    <w:rsid w:val="002F53C2"/>
    <w:rsid w:val="00302076"/>
    <w:rsid w:val="00303E3E"/>
    <w:rsid w:val="00304EE2"/>
    <w:rsid w:val="00306643"/>
    <w:rsid w:val="00310719"/>
    <w:rsid w:val="00320833"/>
    <w:rsid w:val="0032099F"/>
    <w:rsid w:val="00331FB8"/>
    <w:rsid w:val="00336895"/>
    <w:rsid w:val="0033721B"/>
    <w:rsid w:val="00337827"/>
    <w:rsid w:val="00347F2B"/>
    <w:rsid w:val="00351B44"/>
    <w:rsid w:val="0035441B"/>
    <w:rsid w:val="0036267D"/>
    <w:rsid w:val="0037707F"/>
    <w:rsid w:val="00382016"/>
    <w:rsid w:val="00382017"/>
    <w:rsid w:val="003838D0"/>
    <w:rsid w:val="00385D4B"/>
    <w:rsid w:val="0039228D"/>
    <w:rsid w:val="003934A2"/>
    <w:rsid w:val="003A2EE9"/>
    <w:rsid w:val="003A3494"/>
    <w:rsid w:val="003A43F7"/>
    <w:rsid w:val="003B033B"/>
    <w:rsid w:val="003B5517"/>
    <w:rsid w:val="003C3644"/>
    <w:rsid w:val="003C4BE7"/>
    <w:rsid w:val="003D12B0"/>
    <w:rsid w:val="003D6A28"/>
    <w:rsid w:val="003D7D05"/>
    <w:rsid w:val="003E0B3F"/>
    <w:rsid w:val="003E0ECE"/>
    <w:rsid w:val="003E7509"/>
    <w:rsid w:val="003F0337"/>
    <w:rsid w:val="003F04CD"/>
    <w:rsid w:val="003F1E06"/>
    <w:rsid w:val="003F335A"/>
    <w:rsid w:val="003F3E7A"/>
    <w:rsid w:val="003F4CFD"/>
    <w:rsid w:val="004044F7"/>
    <w:rsid w:val="00406E7B"/>
    <w:rsid w:val="0041157B"/>
    <w:rsid w:val="004128E2"/>
    <w:rsid w:val="00413A52"/>
    <w:rsid w:val="00415404"/>
    <w:rsid w:val="00416A2D"/>
    <w:rsid w:val="00421EB4"/>
    <w:rsid w:val="00423376"/>
    <w:rsid w:val="00426DC6"/>
    <w:rsid w:val="00427E2C"/>
    <w:rsid w:val="00435ABC"/>
    <w:rsid w:val="00437F1D"/>
    <w:rsid w:val="0044629B"/>
    <w:rsid w:val="004560A5"/>
    <w:rsid w:val="00457736"/>
    <w:rsid w:val="0046240C"/>
    <w:rsid w:val="004656B7"/>
    <w:rsid w:val="004665AF"/>
    <w:rsid w:val="0047043F"/>
    <w:rsid w:val="00476838"/>
    <w:rsid w:val="00477EC6"/>
    <w:rsid w:val="00482CDD"/>
    <w:rsid w:val="0048326D"/>
    <w:rsid w:val="004859C6"/>
    <w:rsid w:val="0048714F"/>
    <w:rsid w:val="004924F8"/>
    <w:rsid w:val="00495277"/>
    <w:rsid w:val="004952F1"/>
    <w:rsid w:val="004A1332"/>
    <w:rsid w:val="004A71E7"/>
    <w:rsid w:val="004A75C7"/>
    <w:rsid w:val="004B4499"/>
    <w:rsid w:val="004B449B"/>
    <w:rsid w:val="004B5EFB"/>
    <w:rsid w:val="004C4A43"/>
    <w:rsid w:val="004C68FC"/>
    <w:rsid w:val="004C7D64"/>
    <w:rsid w:val="004D10A0"/>
    <w:rsid w:val="004D2321"/>
    <w:rsid w:val="004D3AD5"/>
    <w:rsid w:val="004F64D5"/>
    <w:rsid w:val="00502721"/>
    <w:rsid w:val="00502C13"/>
    <w:rsid w:val="00503C01"/>
    <w:rsid w:val="00505AA8"/>
    <w:rsid w:val="00506741"/>
    <w:rsid w:val="005067BB"/>
    <w:rsid w:val="0050723A"/>
    <w:rsid w:val="005117E0"/>
    <w:rsid w:val="005133D8"/>
    <w:rsid w:val="00521459"/>
    <w:rsid w:val="00524E69"/>
    <w:rsid w:val="0053294D"/>
    <w:rsid w:val="00540BB9"/>
    <w:rsid w:val="005432AE"/>
    <w:rsid w:val="00550C94"/>
    <w:rsid w:val="00553CAC"/>
    <w:rsid w:val="00553DEB"/>
    <w:rsid w:val="00554E36"/>
    <w:rsid w:val="00556AEA"/>
    <w:rsid w:val="005637FF"/>
    <w:rsid w:val="005648E8"/>
    <w:rsid w:val="00570151"/>
    <w:rsid w:val="00571708"/>
    <w:rsid w:val="005729A2"/>
    <w:rsid w:val="00574542"/>
    <w:rsid w:val="00575C7D"/>
    <w:rsid w:val="00583EFA"/>
    <w:rsid w:val="005963BC"/>
    <w:rsid w:val="005B016D"/>
    <w:rsid w:val="005B181F"/>
    <w:rsid w:val="005B1CA6"/>
    <w:rsid w:val="005B393D"/>
    <w:rsid w:val="005B3D7C"/>
    <w:rsid w:val="005C19A6"/>
    <w:rsid w:val="005D1983"/>
    <w:rsid w:val="005D786B"/>
    <w:rsid w:val="005E0822"/>
    <w:rsid w:val="005E1F2C"/>
    <w:rsid w:val="005E2A3D"/>
    <w:rsid w:val="005E4DF9"/>
    <w:rsid w:val="005E636C"/>
    <w:rsid w:val="005F1BEC"/>
    <w:rsid w:val="005F2432"/>
    <w:rsid w:val="005F25F8"/>
    <w:rsid w:val="005F382F"/>
    <w:rsid w:val="005F611E"/>
    <w:rsid w:val="005F6333"/>
    <w:rsid w:val="005F6E51"/>
    <w:rsid w:val="006016A5"/>
    <w:rsid w:val="00602297"/>
    <w:rsid w:val="00603D7C"/>
    <w:rsid w:val="00605C5C"/>
    <w:rsid w:val="0060743F"/>
    <w:rsid w:val="00611497"/>
    <w:rsid w:val="00615D3F"/>
    <w:rsid w:val="00616DAE"/>
    <w:rsid w:val="00625270"/>
    <w:rsid w:val="00631904"/>
    <w:rsid w:val="0064062C"/>
    <w:rsid w:val="0064064A"/>
    <w:rsid w:val="00653037"/>
    <w:rsid w:val="00653916"/>
    <w:rsid w:val="00657A69"/>
    <w:rsid w:val="00661259"/>
    <w:rsid w:val="006649FA"/>
    <w:rsid w:val="00670C19"/>
    <w:rsid w:val="00670C96"/>
    <w:rsid w:val="00672153"/>
    <w:rsid w:val="00675C1F"/>
    <w:rsid w:val="00677214"/>
    <w:rsid w:val="00677287"/>
    <w:rsid w:val="00677E23"/>
    <w:rsid w:val="00684FF7"/>
    <w:rsid w:val="00685A6B"/>
    <w:rsid w:val="00686E77"/>
    <w:rsid w:val="0068797C"/>
    <w:rsid w:val="0069101C"/>
    <w:rsid w:val="006920D8"/>
    <w:rsid w:val="006A37EB"/>
    <w:rsid w:val="006B2D59"/>
    <w:rsid w:val="006B34E6"/>
    <w:rsid w:val="006B41B3"/>
    <w:rsid w:val="006B6390"/>
    <w:rsid w:val="006C13F4"/>
    <w:rsid w:val="006C4017"/>
    <w:rsid w:val="006C4F02"/>
    <w:rsid w:val="006C5160"/>
    <w:rsid w:val="006D14E9"/>
    <w:rsid w:val="006E1D88"/>
    <w:rsid w:val="006E4BE9"/>
    <w:rsid w:val="006E713F"/>
    <w:rsid w:val="006F02CF"/>
    <w:rsid w:val="006F0465"/>
    <w:rsid w:val="006F3E51"/>
    <w:rsid w:val="006F5B5A"/>
    <w:rsid w:val="006F6F3D"/>
    <w:rsid w:val="006F7A36"/>
    <w:rsid w:val="00700CF0"/>
    <w:rsid w:val="0071333E"/>
    <w:rsid w:val="00727082"/>
    <w:rsid w:val="00727363"/>
    <w:rsid w:val="0073507D"/>
    <w:rsid w:val="007432E2"/>
    <w:rsid w:val="007509CC"/>
    <w:rsid w:val="00754474"/>
    <w:rsid w:val="007669A8"/>
    <w:rsid w:val="007672FC"/>
    <w:rsid w:val="00772322"/>
    <w:rsid w:val="00773E1C"/>
    <w:rsid w:val="007806AB"/>
    <w:rsid w:val="007842C4"/>
    <w:rsid w:val="00784609"/>
    <w:rsid w:val="00785FDB"/>
    <w:rsid w:val="007913D7"/>
    <w:rsid w:val="00795972"/>
    <w:rsid w:val="007A503F"/>
    <w:rsid w:val="007B4E7A"/>
    <w:rsid w:val="007B5DE4"/>
    <w:rsid w:val="007B6792"/>
    <w:rsid w:val="007C6452"/>
    <w:rsid w:val="007D3F66"/>
    <w:rsid w:val="007D785F"/>
    <w:rsid w:val="007E4C00"/>
    <w:rsid w:val="007F0ADD"/>
    <w:rsid w:val="007F2BB6"/>
    <w:rsid w:val="007F3899"/>
    <w:rsid w:val="007F6D1C"/>
    <w:rsid w:val="0080029E"/>
    <w:rsid w:val="00801F94"/>
    <w:rsid w:val="00804C2E"/>
    <w:rsid w:val="008133CC"/>
    <w:rsid w:val="00815F4B"/>
    <w:rsid w:val="00815FD9"/>
    <w:rsid w:val="00816838"/>
    <w:rsid w:val="00817166"/>
    <w:rsid w:val="0081765D"/>
    <w:rsid w:val="00823368"/>
    <w:rsid w:val="0082503F"/>
    <w:rsid w:val="00827A6E"/>
    <w:rsid w:val="00835FD5"/>
    <w:rsid w:val="00836D53"/>
    <w:rsid w:val="00841D0A"/>
    <w:rsid w:val="00850DA3"/>
    <w:rsid w:val="00850F63"/>
    <w:rsid w:val="00853E11"/>
    <w:rsid w:val="00855213"/>
    <w:rsid w:val="00856872"/>
    <w:rsid w:val="00863FF2"/>
    <w:rsid w:val="00865B5C"/>
    <w:rsid w:val="00874B1C"/>
    <w:rsid w:val="00875B39"/>
    <w:rsid w:val="00877446"/>
    <w:rsid w:val="00881B6B"/>
    <w:rsid w:val="00882460"/>
    <w:rsid w:val="00885462"/>
    <w:rsid w:val="00886CEF"/>
    <w:rsid w:val="00894EA9"/>
    <w:rsid w:val="008A2B8F"/>
    <w:rsid w:val="008A55C6"/>
    <w:rsid w:val="008A79DD"/>
    <w:rsid w:val="008B0541"/>
    <w:rsid w:val="008B05FF"/>
    <w:rsid w:val="008B374E"/>
    <w:rsid w:val="008B521D"/>
    <w:rsid w:val="008B5851"/>
    <w:rsid w:val="008C0582"/>
    <w:rsid w:val="008C3E22"/>
    <w:rsid w:val="008D1A0F"/>
    <w:rsid w:val="008D1C55"/>
    <w:rsid w:val="008D3542"/>
    <w:rsid w:val="008D4FCD"/>
    <w:rsid w:val="008E03C9"/>
    <w:rsid w:val="008E7FEE"/>
    <w:rsid w:val="008F0AEB"/>
    <w:rsid w:val="008F1037"/>
    <w:rsid w:val="009001DC"/>
    <w:rsid w:val="00902E36"/>
    <w:rsid w:val="00903BF5"/>
    <w:rsid w:val="00910652"/>
    <w:rsid w:val="0091573F"/>
    <w:rsid w:val="00916498"/>
    <w:rsid w:val="009210A4"/>
    <w:rsid w:val="00931121"/>
    <w:rsid w:val="009338D0"/>
    <w:rsid w:val="00934FFF"/>
    <w:rsid w:val="00935899"/>
    <w:rsid w:val="00943B34"/>
    <w:rsid w:val="009449CB"/>
    <w:rsid w:val="00945982"/>
    <w:rsid w:val="009517A3"/>
    <w:rsid w:val="00952B40"/>
    <w:rsid w:val="009677DE"/>
    <w:rsid w:val="00971F5B"/>
    <w:rsid w:val="00974BF9"/>
    <w:rsid w:val="009802E3"/>
    <w:rsid w:val="0098248A"/>
    <w:rsid w:val="00982853"/>
    <w:rsid w:val="009845B7"/>
    <w:rsid w:val="0098468C"/>
    <w:rsid w:val="0099292E"/>
    <w:rsid w:val="00992F70"/>
    <w:rsid w:val="009A579C"/>
    <w:rsid w:val="009A6925"/>
    <w:rsid w:val="009A69F5"/>
    <w:rsid w:val="009B3F0E"/>
    <w:rsid w:val="009B5083"/>
    <w:rsid w:val="009B5990"/>
    <w:rsid w:val="009B5A7E"/>
    <w:rsid w:val="009B62B8"/>
    <w:rsid w:val="009B6943"/>
    <w:rsid w:val="009C08CE"/>
    <w:rsid w:val="009C3F71"/>
    <w:rsid w:val="009C750F"/>
    <w:rsid w:val="009D4A32"/>
    <w:rsid w:val="009E2D11"/>
    <w:rsid w:val="009E6413"/>
    <w:rsid w:val="009E7D7A"/>
    <w:rsid w:val="009F20E4"/>
    <w:rsid w:val="009F4CBC"/>
    <w:rsid w:val="009F6C46"/>
    <w:rsid w:val="00A01EE1"/>
    <w:rsid w:val="00A03FA4"/>
    <w:rsid w:val="00A1211C"/>
    <w:rsid w:val="00A136E7"/>
    <w:rsid w:val="00A166C4"/>
    <w:rsid w:val="00A2241D"/>
    <w:rsid w:val="00A25EF9"/>
    <w:rsid w:val="00A263E5"/>
    <w:rsid w:val="00A27664"/>
    <w:rsid w:val="00A3225B"/>
    <w:rsid w:val="00A35294"/>
    <w:rsid w:val="00A53FB1"/>
    <w:rsid w:val="00A542ED"/>
    <w:rsid w:val="00A57051"/>
    <w:rsid w:val="00A57197"/>
    <w:rsid w:val="00A60B97"/>
    <w:rsid w:val="00A62B3A"/>
    <w:rsid w:val="00A63800"/>
    <w:rsid w:val="00A646B1"/>
    <w:rsid w:val="00A672BA"/>
    <w:rsid w:val="00A71D22"/>
    <w:rsid w:val="00A73A2D"/>
    <w:rsid w:val="00A806ED"/>
    <w:rsid w:val="00A82C50"/>
    <w:rsid w:val="00A84015"/>
    <w:rsid w:val="00A84F53"/>
    <w:rsid w:val="00A903D7"/>
    <w:rsid w:val="00A91A22"/>
    <w:rsid w:val="00AA20FE"/>
    <w:rsid w:val="00AA2492"/>
    <w:rsid w:val="00AA26DC"/>
    <w:rsid w:val="00AB02E5"/>
    <w:rsid w:val="00AB419D"/>
    <w:rsid w:val="00AB4A11"/>
    <w:rsid w:val="00AC1A06"/>
    <w:rsid w:val="00AD2D4B"/>
    <w:rsid w:val="00AD4012"/>
    <w:rsid w:val="00AE1109"/>
    <w:rsid w:val="00AE36E3"/>
    <w:rsid w:val="00AE71D7"/>
    <w:rsid w:val="00AF1045"/>
    <w:rsid w:val="00AF3A2B"/>
    <w:rsid w:val="00AF40C6"/>
    <w:rsid w:val="00AF4EF3"/>
    <w:rsid w:val="00B01950"/>
    <w:rsid w:val="00B02053"/>
    <w:rsid w:val="00B02F76"/>
    <w:rsid w:val="00B03476"/>
    <w:rsid w:val="00B05897"/>
    <w:rsid w:val="00B07E1E"/>
    <w:rsid w:val="00B115B9"/>
    <w:rsid w:val="00B17C5E"/>
    <w:rsid w:val="00B2563A"/>
    <w:rsid w:val="00B3001F"/>
    <w:rsid w:val="00B325FD"/>
    <w:rsid w:val="00B363E3"/>
    <w:rsid w:val="00B3713F"/>
    <w:rsid w:val="00B37A22"/>
    <w:rsid w:val="00B45449"/>
    <w:rsid w:val="00B568A8"/>
    <w:rsid w:val="00B60A4C"/>
    <w:rsid w:val="00B61F46"/>
    <w:rsid w:val="00B66474"/>
    <w:rsid w:val="00B67B6C"/>
    <w:rsid w:val="00B7239C"/>
    <w:rsid w:val="00B7239D"/>
    <w:rsid w:val="00B74AA5"/>
    <w:rsid w:val="00B8204B"/>
    <w:rsid w:val="00B82D1B"/>
    <w:rsid w:val="00B84AC8"/>
    <w:rsid w:val="00B84D7A"/>
    <w:rsid w:val="00B90369"/>
    <w:rsid w:val="00B93D97"/>
    <w:rsid w:val="00B94B54"/>
    <w:rsid w:val="00B95A77"/>
    <w:rsid w:val="00B97056"/>
    <w:rsid w:val="00B97AC7"/>
    <w:rsid w:val="00BA3DB6"/>
    <w:rsid w:val="00BA4BCF"/>
    <w:rsid w:val="00BA72F4"/>
    <w:rsid w:val="00BA757F"/>
    <w:rsid w:val="00BB7501"/>
    <w:rsid w:val="00BC2ECF"/>
    <w:rsid w:val="00BD4969"/>
    <w:rsid w:val="00BE13DD"/>
    <w:rsid w:val="00BE2FA4"/>
    <w:rsid w:val="00BE4870"/>
    <w:rsid w:val="00BE5F06"/>
    <w:rsid w:val="00BE7760"/>
    <w:rsid w:val="00BF19BF"/>
    <w:rsid w:val="00BF30C7"/>
    <w:rsid w:val="00BF340C"/>
    <w:rsid w:val="00BF379D"/>
    <w:rsid w:val="00C02180"/>
    <w:rsid w:val="00C0435C"/>
    <w:rsid w:val="00C057EA"/>
    <w:rsid w:val="00C07778"/>
    <w:rsid w:val="00C33CE8"/>
    <w:rsid w:val="00C3636F"/>
    <w:rsid w:val="00C43074"/>
    <w:rsid w:val="00C4526B"/>
    <w:rsid w:val="00C45B0C"/>
    <w:rsid w:val="00C50B0B"/>
    <w:rsid w:val="00C55B03"/>
    <w:rsid w:val="00C61C83"/>
    <w:rsid w:val="00C64C7B"/>
    <w:rsid w:val="00C66F47"/>
    <w:rsid w:val="00C67A04"/>
    <w:rsid w:val="00C7005F"/>
    <w:rsid w:val="00C70840"/>
    <w:rsid w:val="00C80F0A"/>
    <w:rsid w:val="00C92E64"/>
    <w:rsid w:val="00CA040B"/>
    <w:rsid w:val="00CA4558"/>
    <w:rsid w:val="00CA516E"/>
    <w:rsid w:val="00CA5ACD"/>
    <w:rsid w:val="00CA7013"/>
    <w:rsid w:val="00CB3596"/>
    <w:rsid w:val="00CB70B0"/>
    <w:rsid w:val="00CC1BA6"/>
    <w:rsid w:val="00CC1BDC"/>
    <w:rsid w:val="00CC2841"/>
    <w:rsid w:val="00CC3767"/>
    <w:rsid w:val="00CD2CEE"/>
    <w:rsid w:val="00CD4054"/>
    <w:rsid w:val="00CD60F0"/>
    <w:rsid w:val="00CE13DB"/>
    <w:rsid w:val="00CE3EC2"/>
    <w:rsid w:val="00CE52D3"/>
    <w:rsid w:val="00CE793C"/>
    <w:rsid w:val="00CF0067"/>
    <w:rsid w:val="00CF0771"/>
    <w:rsid w:val="00CF07F2"/>
    <w:rsid w:val="00CF0A44"/>
    <w:rsid w:val="00CF1C8F"/>
    <w:rsid w:val="00CF328D"/>
    <w:rsid w:val="00CF4681"/>
    <w:rsid w:val="00CF69C8"/>
    <w:rsid w:val="00CF6CD7"/>
    <w:rsid w:val="00D01047"/>
    <w:rsid w:val="00D0521C"/>
    <w:rsid w:val="00D06271"/>
    <w:rsid w:val="00D11E3C"/>
    <w:rsid w:val="00D12938"/>
    <w:rsid w:val="00D130BA"/>
    <w:rsid w:val="00D135D4"/>
    <w:rsid w:val="00D16E6D"/>
    <w:rsid w:val="00D21BB6"/>
    <w:rsid w:val="00D22949"/>
    <w:rsid w:val="00D23EA4"/>
    <w:rsid w:val="00D23F02"/>
    <w:rsid w:val="00D26AF9"/>
    <w:rsid w:val="00D306B7"/>
    <w:rsid w:val="00D31338"/>
    <w:rsid w:val="00D33EFD"/>
    <w:rsid w:val="00D353B0"/>
    <w:rsid w:val="00D411FD"/>
    <w:rsid w:val="00D42709"/>
    <w:rsid w:val="00D477DF"/>
    <w:rsid w:val="00D504B6"/>
    <w:rsid w:val="00D55381"/>
    <w:rsid w:val="00D62F41"/>
    <w:rsid w:val="00D66FDE"/>
    <w:rsid w:val="00D71A2E"/>
    <w:rsid w:val="00D727BD"/>
    <w:rsid w:val="00D727FA"/>
    <w:rsid w:val="00D772C2"/>
    <w:rsid w:val="00D82EC9"/>
    <w:rsid w:val="00D836D3"/>
    <w:rsid w:val="00D83A76"/>
    <w:rsid w:val="00D852F7"/>
    <w:rsid w:val="00D9427F"/>
    <w:rsid w:val="00DA174F"/>
    <w:rsid w:val="00DA3CEF"/>
    <w:rsid w:val="00DA5FBF"/>
    <w:rsid w:val="00DB01FE"/>
    <w:rsid w:val="00DB2912"/>
    <w:rsid w:val="00DB5A42"/>
    <w:rsid w:val="00DC59E0"/>
    <w:rsid w:val="00DC6B3C"/>
    <w:rsid w:val="00DD169D"/>
    <w:rsid w:val="00DD189F"/>
    <w:rsid w:val="00DD3AA6"/>
    <w:rsid w:val="00DE1C21"/>
    <w:rsid w:val="00DE37B6"/>
    <w:rsid w:val="00DE3E91"/>
    <w:rsid w:val="00DF3025"/>
    <w:rsid w:val="00DF37B3"/>
    <w:rsid w:val="00E018C3"/>
    <w:rsid w:val="00E031CC"/>
    <w:rsid w:val="00E04F9A"/>
    <w:rsid w:val="00E102BD"/>
    <w:rsid w:val="00E11BE5"/>
    <w:rsid w:val="00E133B2"/>
    <w:rsid w:val="00E15DA3"/>
    <w:rsid w:val="00E16B92"/>
    <w:rsid w:val="00E200B3"/>
    <w:rsid w:val="00E21E4C"/>
    <w:rsid w:val="00E21EAE"/>
    <w:rsid w:val="00E311B1"/>
    <w:rsid w:val="00E32C9A"/>
    <w:rsid w:val="00E363C9"/>
    <w:rsid w:val="00E41B2A"/>
    <w:rsid w:val="00E51903"/>
    <w:rsid w:val="00E53710"/>
    <w:rsid w:val="00E55129"/>
    <w:rsid w:val="00E56635"/>
    <w:rsid w:val="00E569E2"/>
    <w:rsid w:val="00E575E6"/>
    <w:rsid w:val="00E60C7B"/>
    <w:rsid w:val="00E61E69"/>
    <w:rsid w:val="00E6315D"/>
    <w:rsid w:val="00E635CE"/>
    <w:rsid w:val="00E7078D"/>
    <w:rsid w:val="00E7132C"/>
    <w:rsid w:val="00E7352C"/>
    <w:rsid w:val="00E8017D"/>
    <w:rsid w:val="00E806C5"/>
    <w:rsid w:val="00E8319D"/>
    <w:rsid w:val="00E83640"/>
    <w:rsid w:val="00E8436B"/>
    <w:rsid w:val="00E936FA"/>
    <w:rsid w:val="00E9573E"/>
    <w:rsid w:val="00E96586"/>
    <w:rsid w:val="00EA14C9"/>
    <w:rsid w:val="00EB0CE9"/>
    <w:rsid w:val="00EB5CB0"/>
    <w:rsid w:val="00EC0BA7"/>
    <w:rsid w:val="00EC254F"/>
    <w:rsid w:val="00ED0134"/>
    <w:rsid w:val="00ED18FA"/>
    <w:rsid w:val="00ED4C88"/>
    <w:rsid w:val="00ED6509"/>
    <w:rsid w:val="00ED65EA"/>
    <w:rsid w:val="00EF6A0A"/>
    <w:rsid w:val="00F00E76"/>
    <w:rsid w:val="00F0140E"/>
    <w:rsid w:val="00F0389E"/>
    <w:rsid w:val="00F03B2F"/>
    <w:rsid w:val="00F043E1"/>
    <w:rsid w:val="00F05600"/>
    <w:rsid w:val="00F066CA"/>
    <w:rsid w:val="00F07A4D"/>
    <w:rsid w:val="00F17820"/>
    <w:rsid w:val="00F2470B"/>
    <w:rsid w:val="00F25639"/>
    <w:rsid w:val="00F25BE3"/>
    <w:rsid w:val="00F36B70"/>
    <w:rsid w:val="00F37B6A"/>
    <w:rsid w:val="00F411FF"/>
    <w:rsid w:val="00F41B27"/>
    <w:rsid w:val="00F4583F"/>
    <w:rsid w:val="00F5129B"/>
    <w:rsid w:val="00F53B28"/>
    <w:rsid w:val="00F559B7"/>
    <w:rsid w:val="00F57D6C"/>
    <w:rsid w:val="00F603BC"/>
    <w:rsid w:val="00F660A8"/>
    <w:rsid w:val="00F730E3"/>
    <w:rsid w:val="00F766A7"/>
    <w:rsid w:val="00F76B80"/>
    <w:rsid w:val="00F77EEC"/>
    <w:rsid w:val="00F841D6"/>
    <w:rsid w:val="00F91E74"/>
    <w:rsid w:val="00F96FA9"/>
    <w:rsid w:val="00F97299"/>
    <w:rsid w:val="00FA4CBB"/>
    <w:rsid w:val="00FB0397"/>
    <w:rsid w:val="00FB233F"/>
    <w:rsid w:val="00FB4C90"/>
    <w:rsid w:val="00FB5FBF"/>
    <w:rsid w:val="00FC109E"/>
    <w:rsid w:val="00FC2A6F"/>
    <w:rsid w:val="00FC37C5"/>
    <w:rsid w:val="00FC5FF8"/>
    <w:rsid w:val="00FD352A"/>
    <w:rsid w:val="00FD4013"/>
    <w:rsid w:val="00FD424A"/>
    <w:rsid w:val="00FE0A34"/>
    <w:rsid w:val="00FF4A53"/>
    <w:rsid w:val="00FF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9F4B2D"/>
  <w15:chartTrackingRefBased/>
  <w15:docId w15:val="{70E4694D-F6CF-4C07-B537-69FBFFA0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5" w:line="259" w:lineRule="auto"/>
      </w:pPr>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lsdException w:name="heading 8" w:semiHidden="1" w:uiPriority="19" w:unhideWhenUsed="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153"/>
    <w:pPr>
      <w:spacing w:after="120"/>
    </w:pPr>
    <w:rPr>
      <w:rFonts w:ascii="Segoe UI" w:hAnsi="Segoe UI"/>
      <w:sz w:val="18"/>
      <w:lang w:val="en-AU"/>
    </w:rPr>
  </w:style>
  <w:style w:type="paragraph" w:styleId="Heading1">
    <w:name w:val="heading 1"/>
    <w:basedOn w:val="Normal"/>
    <w:next w:val="Normal"/>
    <w:link w:val="Heading1Char"/>
    <w:uiPriority w:val="19"/>
    <w:qFormat/>
    <w:rsid w:val="00874B1C"/>
    <w:pPr>
      <w:keepNext/>
      <w:pageBreakBefore/>
      <w:spacing w:after="240" w:line="560" w:lineRule="exact"/>
      <w:outlineLvl w:val="0"/>
    </w:pPr>
    <w:rPr>
      <w:rFonts w:eastAsia="Times New Roman" w:cs="Times New Roman"/>
      <w:b/>
      <w:color w:val="00264D"/>
      <w:sz w:val="36"/>
      <w:szCs w:val="19"/>
      <w:lang w:eastAsia="en-AU"/>
    </w:rPr>
  </w:style>
  <w:style w:type="paragraph" w:styleId="Heading2">
    <w:name w:val="heading 2"/>
    <w:basedOn w:val="Normal"/>
    <w:next w:val="Normal"/>
    <w:link w:val="Heading2Char"/>
    <w:uiPriority w:val="19"/>
    <w:qFormat/>
    <w:rsid w:val="00F03B2F"/>
    <w:pPr>
      <w:keepNext/>
      <w:spacing w:before="480" w:after="180" w:line="380" w:lineRule="exact"/>
      <w:outlineLvl w:val="1"/>
    </w:pPr>
    <w:rPr>
      <w:rFonts w:ascii="Segoe UI Semibold" w:eastAsia="Times New Roman" w:hAnsi="Segoe UI Semibold" w:cs="Times New Roman"/>
      <w:color w:val="00264D"/>
      <w:sz w:val="30"/>
      <w:szCs w:val="19"/>
      <w:lang w:eastAsia="en-AU"/>
    </w:rPr>
  </w:style>
  <w:style w:type="paragraph" w:styleId="Heading3">
    <w:name w:val="heading 3"/>
    <w:basedOn w:val="Normal"/>
    <w:next w:val="Normal"/>
    <w:link w:val="Heading3Char"/>
    <w:uiPriority w:val="19"/>
    <w:qFormat/>
    <w:rsid w:val="00F03B2F"/>
    <w:pPr>
      <w:keepNext/>
      <w:spacing w:before="480" w:after="60"/>
      <w:outlineLvl w:val="2"/>
    </w:pPr>
    <w:rPr>
      <w:rFonts w:ascii="Segoe UI Semibold" w:eastAsia="Times New Roman" w:hAnsi="Segoe UI Semibold" w:cs="Times New Roman"/>
      <w:color w:val="00264D"/>
      <w:sz w:val="26"/>
      <w:szCs w:val="19"/>
      <w:lang w:eastAsia="en-AU"/>
    </w:rPr>
  </w:style>
  <w:style w:type="paragraph" w:styleId="Heading4">
    <w:name w:val="heading 4"/>
    <w:basedOn w:val="Normal"/>
    <w:next w:val="Normal"/>
    <w:link w:val="Heading4Char"/>
    <w:uiPriority w:val="19"/>
    <w:qFormat/>
    <w:rsid w:val="00F03B2F"/>
    <w:pPr>
      <w:keepNext/>
      <w:spacing w:before="240" w:after="60"/>
      <w:outlineLvl w:val="3"/>
    </w:pPr>
    <w:rPr>
      <w:rFonts w:ascii="Segoe UI Semibold" w:eastAsia="Times New Roman" w:hAnsi="Segoe UI Semibold" w:cs="Times New Roman"/>
      <w:color w:val="00264D" w:themeColor="background2"/>
      <w:sz w:val="22"/>
      <w:szCs w:val="19"/>
      <w:lang w:eastAsia="en-AU"/>
    </w:rPr>
  </w:style>
  <w:style w:type="paragraph" w:styleId="Heading5">
    <w:name w:val="heading 5"/>
    <w:basedOn w:val="Normal"/>
    <w:next w:val="Normal"/>
    <w:link w:val="Heading5Char"/>
    <w:uiPriority w:val="19"/>
    <w:qFormat/>
    <w:rsid w:val="00F03B2F"/>
    <w:pPr>
      <w:keepNext/>
      <w:numPr>
        <w:ilvl w:val="4"/>
        <w:numId w:val="8"/>
      </w:numPr>
      <w:spacing w:before="240"/>
      <w:outlineLvl w:val="4"/>
    </w:pPr>
    <w:rPr>
      <w:rFonts w:eastAsia="Times New Roman" w:cs="Times New Roman"/>
      <w:b/>
      <w:color w:val="000000" w:themeColor="text1"/>
      <w:sz w:val="20"/>
      <w:szCs w:val="24"/>
      <w:lang w:eastAsia="en-AU"/>
    </w:rPr>
  </w:style>
  <w:style w:type="paragraph" w:styleId="Heading6">
    <w:name w:val="heading 6"/>
    <w:basedOn w:val="Normal"/>
    <w:next w:val="Normal"/>
    <w:link w:val="Heading6Char"/>
    <w:uiPriority w:val="19"/>
    <w:qFormat/>
    <w:rsid w:val="00F03B2F"/>
    <w:pPr>
      <w:keepNext/>
      <w:keepLines/>
      <w:numPr>
        <w:ilvl w:val="5"/>
        <w:numId w:val="2"/>
      </w:numPr>
      <w:spacing w:before="200" w:after="60"/>
      <w:outlineLvl w:val="5"/>
    </w:pPr>
    <w:rPr>
      <w:rFonts w:eastAsiaTheme="majorEastAsia" w:cstheme="majorBidi"/>
      <w:b/>
      <w:i/>
      <w:iCs/>
      <w:color w:val="000000" w:themeColor="text1"/>
      <w:szCs w:val="19"/>
      <w:lang w:eastAsia="en-AU"/>
    </w:rPr>
  </w:style>
  <w:style w:type="paragraph" w:styleId="Heading7">
    <w:name w:val="heading 7"/>
    <w:basedOn w:val="Normal"/>
    <w:next w:val="Normal"/>
    <w:link w:val="Heading7Char"/>
    <w:uiPriority w:val="19"/>
    <w:semiHidden/>
    <w:rsid w:val="006F5B5A"/>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19"/>
    <w:semiHidden/>
    <w:rsid w:val="006F5B5A"/>
    <w:pPr>
      <w:keepNext/>
      <w:keepLines/>
      <w:spacing w:before="200" w:after="0"/>
      <w:outlineLvl w:val="7"/>
    </w:pPr>
    <w:rPr>
      <w:rFonts w:eastAsiaTheme="majorEastAsia"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rsid w:val="00874B1C"/>
    <w:rPr>
      <w:rFonts w:ascii="Segoe UI" w:eastAsia="Times New Roman" w:hAnsi="Segoe UI" w:cs="Times New Roman"/>
      <w:b/>
      <w:color w:val="00264D"/>
      <w:sz w:val="36"/>
      <w:szCs w:val="19"/>
      <w:lang w:val="en-AU" w:eastAsia="en-AU"/>
    </w:rPr>
  </w:style>
  <w:style w:type="character" w:customStyle="1" w:styleId="Heading2Char">
    <w:name w:val="Heading 2 Char"/>
    <w:basedOn w:val="DefaultParagraphFont"/>
    <w:link w:val="Heading2"/>
    <w:uiPriority w:val="19"/>
    <w:rsid w:val="00F03B2F"/>
    <w:rPr>
      <w:rFonts w:ascii="Segoe UI Semibold" w:eastAsia="Times New Roman" w:hAnsi="Segoe UI Semibold" w:cs="Times New Roman"/>
      <w:color w:val="00264D"/>
      <w:sz w:val="30"/>
      <w:szCs w:val="19"/>
      <w:lang w:val="en-AU" w:eastAsia="en-AU"/>
    </w:rPr>
  </w:style>
  <w:style w:type="character" w:customStyle="1" w:styleId="Heading3Char">
    <w:name w:val="Heading 3 Char"/>
    <w:basedOn w:val="DefaultParagraphFont"/>
    <w:link w:val="Heading3"/>
    <w:uiPriority w:val="19"/>
    <w:rsid w:val="00F03B2F"/>
    <w:rPr>
      <w:rFonts w:ascii="Segoe UI Semibold" w:eastAsia="Times New Roman" w:hAnsi="Segoe UI Semibold" w:cs="Times New Roman"/>
      <w:color w:val="00264D"/>
      <w:sz w:val="26"/>
      <w:szCs w:val="19"/>
      <w:lang w:val="en-AU" w:eastAsia="en-AU"/>
    </w:rPr>
  </w:style>
  <w:style w:type="character" w:customStyle="1" w:styleId="Heading4Char">
    <w:name w:val="Heading 4 Char"/>
    <w:basedOn w:val="DefaultParagraphFont"/>
    <w:link w:val="Heading4"/>
    <w:uiPriority w:val="19"/>
    <w:rsid w:val="00F03B2F"/>
    <w:rPr>
      <w:rFonts w:ascii="Segoe UI Semibold" w:eastAsia="Times New Roman" w:hAnsi="Segoe UI Semibold" w:cs="Times New Roman"/>
      <w:color w:val="00264D" w:themeColor="background2"/>
      <w:szCs w:val="19"/>
      <w:lang w:val="en-AU" w:eastAsia="en-AU"/>
    </w:rPr>
  </w:style>
  <w:style w:type="character" w:customStyle="1" w:styleId="Heading5Char">
    <w:name w:val="Heading 5 Char"/>
    <w:basedOn w:val="DefaultParagraphFont"/>
    <w:link w:val="Heading5"/>
    <w:uiPriority w:val="19"/>
    <w:rsid w:val="00F03B2F"/>
    <w:rPr>
      <w:rFonts w:ascii="Segoe UI" w:eastAsia="Times New Roman" w:hAnsi="Segoe UI" w:cs="Times New Roman"/>
      <w:b/>
      <w:color w:val="000000" w:themeColor="text1"/>
      <w:sz w:val="20"/>
      <w:szCs w:val="24"/>
      <w:lang w:val="en-AU" w:eastAsia="en-AU"/>
    </w:rPr>
  </w:style>
  <w:style w:type="character" w:customStyle="1" w:styleId="Heading6Char">
    <w:name w:val="Heading 6 Char"/>
    <w:basedOn w:val="DefaultParagraphFont"/>
    <w:link w:val="Heading6"/>
    <w:uiPriority w:val="19"/>
    <w:rsid w:val="00F03B2F"/>
    <w:rPr>
      <w:rFonts w:ascii="Segoe UI" w:eastAsiaTheme="majorEastAsia" w:hAnsi="Segoe UI" w:cstheme="majorBidi"/>
      <w:b/>
      <w:i/>
      <w:iCs/>
      <w:color w:val="000000" w:themeColor="text1"/>
      <w:sz w:val="19"/>
      <w:szCs w:val="19"/>
      <w:lang w:val="en-AU" w:eastAsia="en-AU"/>
    </w:rPr>
  </w:style>
  <w:style w:type="paragraph" w:customStyle="1" w:styleId="Bullet">
    <w:name w:val="Bullet"/>
    <w:basedOn w:val="Normal"/>
    <w:link w:val="BulletChar"/>
    <w:uiPriority w:val="2"/>
    <w:qFormat/>
    <w:rsid w:val="00F03B2F"/>
    <w:pPr>
      <w:numPr>
        <w:numId w:val="4"/>
      </w:numPr>
      <w:suppressAutoHyphens/>
    </w:pPr>
    <w:rPr>
      <w:rFonts w:eastAsia="Times New Roman" w:cs="Times New Roman"/>
      <w:szCs w:val="19"/>
      <w:lang w:eastAsia="en-AU"/>
    </w:rPr>
  </w:style>
  <w:style w:type="paragraph" w:customStyle="1" w:styleId="TableNheader">
    <w:name w:val="Table N header"/>
    <w:basedOn w:val="Normal"/>
    <w:uiPriority w:val="2"/>
    <w:qFormat/>
    <w:rsid w:val="00F03B2F"/>
    <w:pPr>
      <w:spacing w:before="40" w:after="40" w:line="240" w:lineRule="auto"/>
    </w:pPr>
    <w:rPr>
      <w:rFonts w:ascii="Segoe UI Semibold" w:hAnsi="Segoe UI Semibold"/>
      <w:color w:val="00264D" w:themeColor="background2"/>
    </w:rPr>
  </w:style>
  <w:style w:type="paragraph" w:customStyle="1" w:styleId="TableNText">
    <w:name w:val="Table N Text"/>
    <w:basedOn w:val="Normal"/>
    <w:uiPriority w:val="2"/>
    <w:qFormat/>
    <w:rsid w:val="004B5EFB"/>
    <w:pPr>
      <w:spacing w:before="60" w:after="60"/>
    </w:p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basedOn w:val="DefaultParagraphFont"/>
    <w:link w:val="Header"/>
    <w:uiPriority w:val="99"/>
    <w:rsid w:val="00302076"/>
    <w:rPr>
      <w:rFonts w:ascii="Segoe UI" w:hAnsi="Segoe UI"/>
      <w:sz w:val="19"/>
    </w:rPr>
  </w:style>
  <w:style w:type="paragraph" w:styleId="Footer">
    <w:name w:val="footer"/>
    <w:aliases w:val="Foot note"/>
    <w:basedOn w:val="Normal"/>
    <w:link w:val="FooterChar"/>
    <w:uiPriority w:val="89"/>
    <w:unhideWhenUsed/>
    <w:rsid w:val="002B7A6E"/>
    <w:pPr>
      <w:tabs>
        <w:tab w:val="center" w:pos="4513"/>
        <w:tab w:val="right" w:pos="9026"/>
      </w:tabs>
      <w:spacing w:after="0"/>
    </w:pPr>
    <w:rPr>
      <w:sz w:val="15"/>
    </w:rPr>
  </w:style>
  <w:style w:type="character" w:customStyle="1" w:styleId="FooterChar">
    <w:name w:val="Footer Char"/>
    <w:aliases w:val="Foot note Char"/>
    <w:basedOn w:val="DefaultParagraphFont"/>
    <w:link w:val="Footer"/>
    <w:uiPriority w:val="89"/>
    <w:rsid w:val="002B7A6E"/>
    <w:rPr>
      <w:rFonts w:ascii="Segoe UI" w:hAnsi="Segoe UI"/>
      <w:sz w:val="15"/>
      <w:lang w:val="en-AU"/>
    </w:rPr>
  </w:style>
  <w:style w:type="paragraph" w:styleId="Caption">
    <w:name w:val="caption"/>
    <w:aliases w:val="Table title GH,TABLE,Caption Char1,Caption Char Char,Char"/>
    <w:basedOn w:val="Normal"/>
    <w:next w:val="Normal"/>
    <w:link w:val="CaptionChar"/>
    <w:uiPriority w:val="35"/>
    <w:qFormat/>
    <w:rsid w:val="00F03B2F"/>
    <w:pPr>
      <w:keepNext/>
      <w:spacing w:before="240"/>
    </w:pPr>
    <w:rPr>
      <w:rFonts w:ascii="Segoe UI Semibold" w:hAnsi="Segoe UI Semibold"/>
      <w:bCs/>
      <w:color w:val="00264D" w:themeColor="background2"/>
      <w:szCs w:val="18"/>
    </w:rPr>
  </w:style>
  <w:style w:type="paragraph" w:customStyle="1" w:styleId="TableNBullet">
    <w:name w:val="Table N Bullet"/>
    <w:basedOn w:val="Bullet"/>
    <w:link w:val="TableNBulletChar"/>
    <w:uiPriority w:val="2"/>
    <w:qFormat/>
    <w:rsid w:val="00F03B2F"/>
    <w:pPr>
      <w:numPr>
        <w:numId w:val="3"/>
      </w:numPr>
      <w:spacing w:before="60" w:after="60"/>
    </w:pPr>
    <w:rPr>
      <w:sz w:val="17"/>
    </w:rPr>
  </w:style>
  <w:style w:type="paragraph" w:customStyle="1" w:styleId="TableNListnumbered">
    <w:name w:val="Table N List (numbered)"/>
    <w:basedOn w:val="TableNBullet"/>
    <w:uiPriority w:val="2"/>
    <w:qFormat/>
    <w:rsid w:val="00F03B2F"/>
    <w:pPr>
      <w:numPr>
        <w:numId w:val="9"/>
      </w:numPr>
    </w:pPr>
  </w:style>
  <w:style w:type="paragraph" w:customStyle="1" w:styleId="xAppendixLevel1">
    <w:name w:val="xAppendix Level 1"/>
    <w:basedOn w:val="Heading1"/>
    <w:next w:val="Normal"/>
    <w:uiPriority w:val="98"/>
    <w:qFormat/>
    <w:rsid w:val="00F03B2F"/>
    <w:pPr>
      <w:numPr>
        <w:numId w:val="10"/>
      </w:numPr>
    </w:pPr>
    <w:rPr>
      <w:bCs/>
      <w:sz w:val="44"/>
    </w:rPr>
  </w:style>
  <w:style w:type="paragraph" w:customStyle="1" w:styleId="xAppendixLevel2">
    <w:name w:val="xAppendix Level 2"/>
    <w:basedOn w:val="Heading2"/>
    <w:next w:val="Normal"/>
    <w:uiPriority w:val="98"/>
    <w:qFormat/>
    <w:rsid w:val="00F03B2F"/>
    <w:pPr>
      <w:numPr>
        <w:ilvl w:val="1"/>
        <w:numId w:val="10"/>
      </w:numPr>
    </w:pPr>
    <w:rPr>
      <w:bCs/>
      <w:sz w:val="34"/>
    </w:rPr>
  </w:style>
  <w:style w:type="paragraph" w:customStyle="1" w:styleId="xAppendixLevel3">
    <w:name w:val="xAppendix Level 3"/>
    <w:basedOn w:val="Heading3"/>
    <w:next w:val="Normal"/>
    <w:uiPriority w:val="98"/>
    <w:qFormat/>
    <w:rsid w:val="00F03B2F"/>
    <w:pPr>
      <w:numPr>
        <w:ilvl w:val="2"/>
        <w:numId w:val="10"/>
      </w:numPr>
    </w:pPr>
    <w:rPr>
      <w:bCs/>
    </w:rPr>
  </w:style>
  <w:style w:type="paragraph" w:customStyle="1" w:styleId="Listnumbered">
    <w:name w:val="List (numbered)"/>
    <w:basedOn w:val="Normal"/>
    <w:uiPriority w:val="1"/>
    <w:qFormat/>
    <w:rsid w:val="00F03B2F"/>
    <w:pPr>
      <w:numPr>
        <w:numId w:val="11"/>
      </w:numPr>
    </w:pPr>
  </w:style>
  <w:style w:type="paragraph" w:customStyle="1" w:styleId="Source">
    <w:name w:val="Source"/>
    <w:basedOn w:val="Normal"/>
    <w:next w:val="Normal"/>
    <w:link w:val="SourceChar"/>
    <w:uiPriority w:val="39"/>
    <w:rsid w:val="00000A9B"/>
    <w:pPr>
      <w:spacing w:before="120" w:after="240"/>
    </w:pPr>
    <w:rPr>
      <w:rFonts w:eastAsia="Times New Roman" w:cs="Times New Roman"/>
      <w:i/>
      <w:sz w:val="17"/>
      <w:szCs w:val="19"/>
      <w:lang w:eastAsia="en-AU"/>
    </w:rPr>
  </w:style>
  <w:style w:type="character" w:customStyle="1" w:styleId="SourceChar">
    <w:name w:val="Source Char"/>
    <w:basedOn w:val="DefaultParagraphFont"/>
    <w:link w:val="Source"/>
    <w:uiPriority w:val="39"/>
    <w:rsid w:val="00000A9B"/>
    <w:rPr>
      <w:rFonts w:ascii="Segoe UI" w:eastAsia="Times New Roman" w:hAnsi="Segoe UI" w:cs="Times New Roman"/>
      <w:i/>
      <w:sz w:val="17"/>
      <w:szCs w:val="19"/>
      <w:lang w:val="en-AU" w:eastAsia="en-AU"/>
    </w:rPr>
  </w:style>
  <w:style w:type="paragraph" w:customStyle="1" w:styleId="TableExpbullet">
    <w:name w:val="Table Exp bullet"/>
    <w:basedOn w:val="Normal"/>
    <w:uiPriority w:val="3"/>
    <w:qFormat/>
    <w:rsid w:val="00F03B2F"/>
    <w:pPr>
      <w:numPr>
        <w:numId w:val="12"/>
      </w:numPr>
      <w:spacing w:before="60" w:after="60"/>
    </w:pPr>
    <w:rPr>
      <w:sz w:val="16"/>
    </w:rPr>
  </w:style>
  <w:style w:type="paragraph" w:customStyle="1" w:styleId="Tableexpheader">
    <w:name w:val="Table exp header"/>
    <w:basedOn w:val="Normal"/>
    <w:uiPriority w:val="3"/>
    <w:qFormat/>
    <w:rsid w:val="00F03B2F"/>
    <w:pPr>
      <w:spacing w:before="40" w:after="40" w:line="240" w:lineRule="auto"/>
    </w:pPr>
    <w:rPr>
      <w:rFonts w:ascii="Segoe UI Semibold" w:hAnsi="Segoe UI Semibold"/>
      <w:sz w:val="17"/>
    </w:rPr>
  </w:style>
  <w:style w:type="paragraph" w:customStyle="1" w:styleId="TableexpListnumbered">
    <w:name w:val="Table exp List (numbered)"/>
    <w:basedOn w:val="Normal"/>
    <w:uiPriority w:val="3"/>
    <w:qFormat/>
    <w:rsid w:val="00F03B2F"/>
    <w:pPr>
      <w:numPr>
        <w:numId w:val="13"/>
      </w:numPr>
      <w:spacing w:before="60" w:after="60"/>
    </w:pPr>
    <w:rPr>
      <w:sz w:val="16"/>
    </w:rPr>
  </w:style>
  <w:style w:type="paragraph" w:customStyle="1" w:styleId="TableExpText">
    <w:name w:val="Table Exp Text"/>
    <w:basedOn w:val="Normal"/>
    <w:uiPriority w:val="3"/>
    <w:qFormat/>
    <w:rsid w:val="00F03B2F"/>
    <w:rPr>
      <w:sz w:val="16"/>
    </w:rPr>
  </w:style>
  <w:style w:type="character" w:customStyle="1" w:styleId="Heading7Char">
    <w:name w:val="Heading 7 Char"/>
    <w:basedOn w:val="DefaultParagraphFont"/>
    <w:link w:val="Heading7"/>
    <w:uiPriority w:val="19"/>
    <w:semiHidden/>
    <w:rsid w:val="006F5B5A"/>
    <w:rPr>
      <w:rFonts w:ascii="Segoe UI" w:eastAsiaTheme="majorEastAsia" w:hAnsi="Segoe UI" w:cstheme="majorBidi"/>
      <w:i/>
      <w:iCs/>
      <w:color w:val="404040" w:themeColor="text1" w:themeTint="BF"/>
      <w:sz w:val="19"/>
    </w:rPr>
  </w:style>
  <w:style w:type="paragraph" w:customStyle="1" w:styleId="BioName">
    <w:name w:val="Bio Name"/>
    <w:basedOn w:val="Normal"/>
    <w:uiPriority w:val="97"/>
    <w:qFormat/>
    <w:rsid w:val="00F03B2F"/>
    <w:pPr>
      <w:spacing w:before="60" w:after="60" w:line="240" w:lineRule="auto"/>
      <w:jc w:val="center"/>
    </w:pPr>
    <w:rPr>
      <w:b/>
      <w:caps/>
      <w:color w:val="00264D" w:themeColor="background2"/>
      <w:szCs w:val="19"/>
    </w:rPr>
  </w:style>
  <w:style w:type="paragraph" w:customStyle="1" w:styleId="BioPosition">
    <w:name w:val="Bio Position"/>
    <w:basedOn w:val="Normal"/>
    <w:uiPriority w:val="97"/>
    <w:qFormat/>
    <w:rsid w:val="00F03B2F"/>
    <w:pPr>
      <w:spacing w:line="240" w:lineRule="auto"/>
      <w:jc w:val="center"/>
    </w:pPr>
    <w:rPr>
      <w:color w:val="00264D" w:themeColor="background2"/>
      <w:szCs w:val="19"/>
    </w:rPr>
  </w:style>
  <w:style w:type="paragraph" w:styleId="BalloonText">
    <w:name w:val="Balloon Text"/>
    <w:basedOn w:val="Normal"/>
    <w:link w:val="BalloonTextChar"/>
    <w:uiPriority w:val="99"/>
    <w:semiHidden/>
    <w:unhideWhenUsed/>
    <w:rsid w:val="00B256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63A"/>
    <w:rPr>
      <w:rFonts w:ascii="Tahoma" w:hAnsi="Tahoma" w:cs="Tahoma"/>
      <w:sz w:val="16"/>
      <w:szCs w:val="16"/>
    </w:rPr>
  </w:style>
  <w:style w:type="table" w:styleId="LightList-Accent5">
    <w:name w:val="Light List Accent 5"/>
    <w:basedOn w:val="TableNormal"/>
    <w:uiPriority w:val="61"/>
    <w:rsid w:val="0098248A"/>
    <w:pPr>
      <w:spacing w:after="0" w:line="240" w:lineRule="auto"/>
    </w:pPr>
    <w:tblPr>
      <w:tblStyleRowBandSize w:val="1"/>
      <w:tblStyleColBandSize w:val="1"/>
      <w:tblBorders>
        <w:top w:val="single" w:sz="8" w:space="0" w:color="E6E6E1" w:themeColor="accent5"/>
        <w:left w:val="single" w:sz="8" w:space="0" w:color="E6E6E1" w:themeColor="accent5"/>
        <w:bottom w:val="single" w:sz="8" w:space="0" w:color="E6E6E1" w:themeColor="accent5"/>
        <w:right w:val="single" w:sz="8" w:space="0" w:color="E6E6E1" w:themeColor="accent5"/>
      </w:tblBorders>
    </w:tblPr>
    <w:tblStylePr w:type="firstRow">
      <w:pPr>
        <w:spacing w:before="0" w:after="0" w:line="240" w:lineRule="auto"/>
      </w:pPr>
      <w:rPr>
        <w:b/>
        <w:bCs/>
        <w:color w:val="FFFFFF" w:themeColor="background1"/>
      </w:rPr>
      <w:tblPr/>
      <w:tcPr>
        <w:shd w:val="clear" w:color="auto" w:fill="E6E6E1" w:themeFill="accent5"/>
      </w:tcPr>
    </w:tblStylePr>
    <w:tblStylePr w:type="lastRow">
      <w:pPr>
        <w:spacing w:before="0" w:after="0" w:line="240" w:lineRule="auto"/>
      </w:pPr>
      <w:rPr>
        <w:b/>
        <w:bCs/>
      </w:rPr>
      <w:tblPr/>
      <w:tcPr>
        <w:tcBorders>
          <w:top w:val="double" w:sz="6" w:space="0" w:color="E6E6E1" w:themeColor="accent5"/>
          <w:left w:val="single" w:sz="8" w:space="0" w:color="E6E6E1" w:themeColor="accent5"/>
          <w:bottom w:val="single" w:sz="8" w:space="0" w:color="E6E6E1" w:themeColor="accent5"/>
          <w:right w:val="single" w:sz="8" w:space="0" w:color="E6E6E1" w:themeColor="accent5"/>
        </w:tcBorders>
      </w:tcPr>
    </w:tblStylePr>
    <w:tblStylePr w:type="firstCol">
      <w:rPr>
        <w:b/>
        <w:bCs/>
      </w:rPr>
    </w:tblStylePr>
    <w:tblStylePr w:type="lastCol">
      <w:rPr>
        <w:b/>
        <w:bCs/>
      </w:rPr>
    </w:tblStylePr>
    <w:tblStylePr w:type="band1Vert">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tblStylePr w:type="band1Horz">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style>
  <w:style w:type="table" w:styleId="MediumShading1-Accent5">
    <w:name w:val="Medium Shading 1 Accent 5"/>
    <w:basedOn w:val="TableNormal"/>
    <w:uiPriority w:val="63"/>
    <w:rsid w:val="0098248A"/>
    <w:pPr>
      <w:spacing w:after="0" w:line="240" w:lineRule="auto"/>
    </w:pPr>
    <w:tblPr>
      <w:tblStyleRowBandSize w:val="1"/>
      <w:tblStyleColBandSize w:val="1"/>
      <w:tbl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single" w:sz="8" w:space="0" w:color="ECECE8" w:themeColor="accent5" w:themeTint="BF"/>
      </w:tblBorders>
    </w:tblPr>
    <w:tblStylePr w:type="firstRow">
      <w:pPr>
        <w:spacing w:before="0" w:after="0" w:line="240" w:lineRule="auto"/>
      </w:pPr>
      <w:rPr>
        <w:b/>
        <w:bCs/>
        <w:color w:val="FFFFFF" w:themeColor="background1"/>
      </w:rPr>
      <w:tblPr/>
      <w:tcPr>
        <w:tc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shd w:val="clear" w:color="auto" w:fill="E6E6E1" w:themeFill="accent5"/>
      </w:tcPr>
    </w:tblStylePr>
    <w:tblStylePr w:type="lastRow">
      <w:pPr>
        <w:spacing w:before="0" w:after="0" w:line="240" w:lineRule="auto"/>
      </w:pPr>
      <w:rPr>
        <w:b/>
        <w:bCs/>
      </w:rPr>
      <w:tblPr/>
      <w:tcPr>
        <w:tcBorders>
          <w:top w:val="double" w:sz="6"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8F7" w:themeFill="accent5" w:themeFillTint="3F"/>
      </w:tcPr>
    </w:tblStylePr>
    <w:tblStylePr w:type="band1Horz">
      <w:tblPr/>
      <w:tcPr>
        <w:tcBorders>
          <w:insideH w:val="nil"/>
          <w:insideV w:val="nil"/>
        </w:tcBorders>
        <w:shd w:val="clear" w:color="auto" w:fill="F8F8F7" w:themeFill="accent5" w:themeFillTint="3F"/>
      </w:tcPr>
    </w:tblStylePr>
    <w:tblStylePr w:type="band2Horz">
      <w:tblPr/>
      <w:tcPr>
        <w:tcBorders>
          <w:insideH w:val="nil"/>
          <w:insideV w:val="nil"/>
        </w:tcBorders>
      </w:tcPr>
    </w:tblStylePr>
  </w:style>
  <w:style w:type="character" w:customStyle="1" w:styleId="TableNBulletChar">
    <w:name w:val="Table N Bullet Char"/>
    <w:basedOn w:val="DefaultParagraphFont"/>
    <w:link w:val="TableNBullet"/>
    <w:uiPriority w:val="2"/>
    <w:rsid w:val="00F03B2F"/>
    <w:rPr>
      <w:rFonts w:ascii="Segoe UI" w:eastAsia="Times New Roman" w:hAnsi="Segoe UI" w:cs="Times New Roman"/>
      <w:sz w:val="17"/>
      <w:szCs w:val="19"/>
      <w:lang w:val="en-AU" w:eastAsia="en-AU"/>
    </w:rPr>
  </w:style>
  <w:style w:type="table" w:styleId="TableGrid">
    <w:name w:val="Table Grid"/>
    <w:aliases w:val="Nous Table,Table,NOUS,NOUS Side Header"/>
    <w:basedOn w:val="TableNormal"/>
    <w:uiPriority w:val="39"/>
    <w:rsid w:val="00FD352A"/>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Segoe UI" w:hAnsi="Segoe UI"/>
        <w:sz w:val="17"/>
      </w:rPr>
    </w:tblStylePr>
    <w:tblStylePr w:type="band2Horz">
      <w:rPr>
        <w:rFonts w:ascii="Segoe UI" w:hAnsi="Segoe UI"/>
        <w:sz w:val="17"/>
      </w:rPr>
    </w:tblStylePr>
  </w:style>
  <w:style w:type="character" w:customStyle="1" w:styleId="BulletChar">
    <w:name w:val="Bullet Char"/>
    <w:basedOn w:val="DefaultParagraphFont"/>
    <w:link w:val="Bullet"/>
    <w:uiPriority w:val="2"/>
    <w:rsid w:val="00F03B2F"/>
    <w:rPr>
      <w:rFonts w:ascii="Segoe UI" w:eastAsia="Times New Roman" w:hAnsi="Segoe UI" w:cs="Times New Roman"/>
      <w:sz w:val="19"/>
      <w:szCs w:val="19"/>
      <w:lang w:val="en-AU" w:eastAsia="en-AU"/>
    </w:rPr>
  </w:style>
  <w:style w:type="paragraph" w:customStyle="1" w:styleId="URL-groupcomau">
    <w:name w:val="URL - group.com.au"/>
    <w:basedOn w:val="Normal"/>
    <w:link w:val="URL-groupcomauChar"/>
    <w:uiPriority w:val="89"/>
    <w:semiHidden/>
    <w:qFormat/>
    <w:rsid w:val="00F03B2F"/>
    <w:pPr>
      <w:spacing w:after="0"/>
    </w:pPr>
    <w:rPr>
      <w:rFonts w:eastAsia="Times New Roman" w:cs="Times New Roman"/>
      <w:color w:val="2E368F" w:themeColor="text2"/>
      <w:spacing w:val="20"/>
      <w:sz w:val="14"/>
      <w:szCs w:val="19"/>
      <w:lang w:eastAsia="en-AU"/>
    </w:rPr>
  </w:style>
  <w:style w:type="character" w:customStyle="1" w:styleId="URL-groupcomauChar">
    <w:name w:val="URL - group.com.au Char"/>
    <w:basedOn w:val="DefaultParagraphFont"/>
    <w:link w:val="URL-groupcomau"/>
    <w:uiPriority w:val="89"/>
    <w:semiHidden/>
    <w:rsid w:val="00F03B2F"/>
    <w:rPr>
      <w:rFonts w:ascii="Segoe UI" w:eastAsia="Times New Roman" w:hAnsi="Segoe UI" w:cs="Times New Roman"/>
      <w:color w:val="2E368F" w:themeColor="text2"/>
      <w:spacing w:val="20"/>
      <w:sz w:val="14"/>
      <w:szCs w:val="19"/>
      <w:lang w:val="en-AU" w:eastAsia="en-AU"/>
    </w:rPr>
  </w:style>
  <w:style w:type="paragraph" w:customStyle="1" w:styleId="URL-nous">
    <w:name w:val="URL - nous"/>
    <w:basedOn w:val="Normal"/>
    <w:link w:val="URL-nousChar"/>
    <w:uiPriority w:val="89"/>
    <w:semiHidden/>
    <w:qFormat/>
    <w:rsid w:val="00F03B2F"/>
    <w:pPr>
      <w:spacing w:after="0"/>
    </w:pPr>
    <w:rPr>
      <w:rFonts w:eastAsia="Times New Roman" w:cs="Times New Roman"/>
      <w:color w:val="FF3A40" w:themeColor="accent1"/>
      <w:spacing w:val="20"/>
      <w:sz w:val="14"/>
      <w:szCs w:val="19"/>
      <w:lang w:eastAsia="en-AU"/>
    </w:rPr>
  </w:style>
  <w:style w:type="character" w:customStyle="1" w:styleId="URL-nousChar">
    <w:name w:val="URL - nous Char"/>
    <w:basedOn w:val="DefaultParagraphFont"/>
    <w:link w:val="URL-nous"/>
    <w:uiPriority w:val="89"/>
    <w:semiHidden/>
    <w:rsid w:val="00F03B2F"/>
    <w:rPr>
      <w:rFonts w:ascii="Segoe UI" w:eastAsia="Times New Roman" w:hAnsi="Segoe UI" w:cs="Times New Roman"/>
      <w:color w:val="FF3A40" w:themeColor="accent1"/>
      <w:spacing w:val="20"/>
      <w:sz w:val="14"/>
      <w:szCs w:val="19"/>
      <w:lang w:val="en-AU" w:eastAsia="en-AU"/>
    </w:rPr>
  </w:style>
  <w:style w:type="table" w:customStyle="1" w:styleId="NousTableSide">
    <w:name w:val="Nous Table_Side"/>
    <w:basedOn w:val="TableNormal"/>
    <w:uiPriority w:val="99"/>
    <w:rsid w:val="00235BB5"/>
    <w:pPr>
      <w:spacing w:after="0" w:line="240" w:lineRule="auto"/>
    </w:pPr>
    <w:rPr>
      <w:rFonts w:ascii="Segoe UI" w:hAnsi="Segoe UI"/>
      <w:sz w:val="17"/>
    </w:rPr>
    <w:tblPr>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blStylePr w:type="firstCol">
      <w:pPr>
        <w:jc w:val="left"/>
      </w:pPr>
      <w:rPr>
        <w:rFonts w:ascii="Segoe UI Semibold" w:hAnsi="Segoe UI Semibold"/>
        <w:b w:val="0"/>
        <w:color w:val="00264D" w:themeColor="background2"/>
        <w:sz w:val="17"/>
      </w:rPr>
      <w:tblPr/>
      <w:tcPr>
        <w:tcBorders>
          <w:top w:val="single" w:sz="12" w:space="0" w:color="FFFFFF" w:themeColor="background1"/>
          <w:left w:val="single" w:sz="18" w:space="0" w:color="F8981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6E6E1" w:themeFill="accent5"/>
      </w:tcPr>
    </w:tblStylePr>
  </w:style>
  <w:style w:type="character" w:customStyle="1" w:styleId="Heading8Char">
    <w:name w:val="Heading 8 Char"/>
    <w:basedOn w:val="DefaultParagraphFont"/>
    <w:link w:val="Heading8"/>
    <w:uiPriority w:val="19"/>
    <w:semiHidden/>
    <w:rsid w:val="006F5B5A"/>
    <w:rPr>
      <w:rFonts w:ascii="Segoe UI" w:eastAsiaTheme="majorEastAsia" w:hAnsi="Segoe UI" w:cstheme="majorBidi"/>
      <w:color w:val="404040" w:themeColor="text1" w:themeTint="BF"/>
      <w:sz w:val="20"/>
      <w:szCs w:val="20"/>
    </w:rPr>
  </w:style>
  <w:style w:type="character" w:styleId="Hyperlink">
    <w:name w:val="Hyperlink"/>
    <w:basedOn w:val="DefaultParagraphFont"/>
    <w:uiPriority w:val="99"/>
    <w:unhideWhenUsed/>
    <w:rsid w:val="00F066CA"/>
    <w:rPr>
      <w:color w:val="00264D" w:themeColor="background2"/>
      <w:u w:val="single"/>
    </w:rPr>
  </w:style>
  <w:style w:type="table" w:customStyle="1" w:styleId="NousTableTopandside">
    <w:name w:val="Nous Table_Top and side"/>
    <w:basedOn w:val="TableNormal"/>
    <w:uiPriority w:val="99"/>
    <w:rsid w:val="00FD352A"/>
    <w:pPr>
      <w:spacing w:after="0" w:line="240" w:lineRule="auto"/>
    </w:p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00264D" w:themeColor="background2"/>
        <w:sz w:val="18"/>
      </w:rPr>
      <w:tblPr/>
      <w:tcPr>
        <w:tcBorders>
          <w:top w:val="single" w:sz="24" w:space="0" w:color="F8981D" w:themeColor="accent3"/>
          <w:insideV w:val="single" w:sz="8" w:space="0" w:color="FFFFFF" w:themeColor="background1"/>
        </w:tcBorders>
        <w:shd w:val="clear" w:color="auto" w:fill="E6E6E1" w:themeFill="accent5"/>
        <w:vAlign w:val="center"/>
      </w:tcPr>
    </w:tblStylePr>
    <w:tblStylePr w:type="firstCol">
      <w:pPr>
        <w:jc w:val="left"/>
      </w:pPr>
      <w:rPr>
        <w:rFonts w:ascii="Segoe UI Semibold" w:hAnsi="Segoe UI Semibold"/>
        <w:b w:val="0"/>
        <w:color w:val="00264D" w:themeColor="background2"/>
        <w:sz w:val="18"/>
      </w:rPr>
      <w:tblPr/>
      <w:tcPr>
        <w:tcBorders>
          <w:left w:val="single" w:sz="24" w:space="0" w:color="F8981D" w:themeColor="accent3"/>
        </w:tcBorders>
        <w:shd w:val="clear" w:color="auto" w:fill="E6E6E1" w:themeFill="accent5"/>
        <w:vAlign w:val="center"/>
      </w:tcPr>
    </w:tblStylePr>
  </w:style>
  <w:style w:type="paragraph" w:customStyle="1" w:styleId="BioHeading">
    <w:name w:val="Bio Heading"/>
    <w:basedOn w:val="TableNText"/>
    <w:uiPriority w:val="97"/>
    <w:qFormat/>
    <w:rsid w:val="00F03B2F"/>
    <w:pPr>
      <w:spacing w:before="240" w:after="120" w:line="240" w:lineRule="auto"/>
    </w:pPr>
    <w:rPr>
      <w:color w:val="00264D" w:themeColor="background2"/>
      <w:sz w:val="19"/>
      <w:szCs w:val="19"/>
    </w:rPr>
  </w:style>
  <w:style w:type="paragraph" w:customStyle="1" w:styleId="Sectionintroduction">
    <w:name w:val="Section introduction"/>
    <w:uiPriority w:val="21"/>
    <w:qFormat/>
    <w:rsid w:val="00F03B2F"/>
    <w:pPr>
      <w:spacing w:before="120" w:after="120"/>
    </w:pPr>
    <w:rPr>
      <w:rFonts w:ascii="Segoe UI Semilight" w:hAnsi="Segoe UI Semilight"/>
      <w:color w:val="00264D" w:themeColor="background2"/>
      <w:sz w:val="21"/>
      <w:szCs w:val="21"/>
      <w:lang w:val="en-AU"/>
    </w:rPr>
  </w:style>
  <w:style w:type="paragraph" w:customStyle="1" w:styleId="Callout">
    <w:name w:val="Call out"/>
    <w:basedOn w:val="Normal"/>
    <w:uiPriority w:val="98"/>
    <w:qFormat/>
    <w:rsid w:val="00F03B2F"/>
    <w:pPr>
      <w:pBdr>
        <w:top w:val="single" w:sz="18" w:space="4" w:color="E6E6E1" w:themeColor="accent5"/>
      </w:pBdr>
    </w:pPr>
    <w:rPr>
      <w:rFonts w:ascii="Segoe UI Semilight" w:hAnsi="Segoe UI Semilight"/>
      <w:color w:val="F8981D" w:themeColor="accent3"/>
      <w:kern w:val="24"/>
      <w:sz w:val="22"/>
    </w:rPr>
  </w:style>
  <w:style w:type="paragraph" w:customStyle="1" w:styleId="Longformcallout">
    <w:name w:val="Long form callout"/>
    <w:basedOn w:val="Normal"/>
    <w:uiPriority w:val="20"/>
    <w:qFormat/>
    <w:rsid w:val="00F03B2F"/>
    <w:pPr>
      <w:spacing w:before="60" w:after="60" w:line="240" w:lineRule="auto"/>
    </w:pPr>
    <w:rPr>
      <w:color w:val="00264D" w:themeColor="background2"/>
      <w:szCs w:val="19"/>
      <w:lang w:eastAsia="en-AU"/>
    </w:rPr>
  </w:style>
  <w:style w:type="paragraph" w:customStyle="1" w:styleId="longformcalloutbullet">
    <w:name w:val="long form call out bullet"/>
    <w:basedOn w:val="Longformcallout"/>
    <w:uiPriority w:val="20"/>
    <w:qFormat/>
    <w:rsid w:val="00F03B2F"/>
    <w:pPr>
      <w:numPr>
        <w:numId w:val="14"/>
      </w:numPr>
    </w:pPr>
  </w:style>
  <w:style w:type="paragraph" w:customStyle="1" w:styleId="longformcalloutnumber">
    <w:name w:val="long form callout number"/>
    <w:basedOn w:val="longformcalloutbullet"/>
    <w:uiPriority w:val="20"/>
    <w:qFormat/>
    <w:rsid w:val="00F03B2F"/>
    <w:pPr>
      <w:numPr>
        <w:numId w:val="15"/>
      </w:numPr>
    </w:pPr>
  </w:style>
  <w:style w:type="paragraph" w:customStyle="1" w:styleId="NousFooter">
    <w:name w:val="Nous Footer"/>
    <w:basedOn w:val="Normal"/>
    <w:uiPriority w:val="96"/>
    <w:qFormat/>
    <w:rsid w:val="00F03B2F"/>
    <w:pPr>
      <w:spacing w:after="0"/>
    </w:pPr>
    <w:rPr>
      <w:color w:val="808080" w:themeColor="background1" w:themeShade="80"/>
      <w:sz w:val="15"/>
      <w:szCs w:val="15"/>
      <w:lang w:eastAsia="en-AU"/>
    </w:rPr>
  </w:style>
  <w:style w:type="paragraph" w:customStyle="1" w:styleId="ContentsHeading">
    <w:name w:val="Contents Heading"/>
    <w:basedOn w:val="Normal"/>
    <w:rsid w:val="00B07E1E"/>
    <w:pPr>
      <w:spacing w:before="360" w:after="600" w:line="560" w:lineRule="exact"/>
    </w:pPr>
    <w:rPr>
      <w:rFonts w:eastAsia="Times New Roman" w:cs="Segoe UI"/>
      <w:b/>
      <w:color w:val="00264D"/>
      <w:sz w:val="36"/>
      <w:szCs w:val="36"/>
      <w:lang w:eastAsia="en-AU"/>
    </w:rPr>
  </w:style>
  <w:style w:type="paragraph" w:styleId="TOC2">
    <w:name w:val="toc 2"/>
    <w:basedOn w:val="Normal"/>
    <w:next w:val="Normal"/>
    <w:autoRedefine/>
    <w:uiPriority w:val="39"/>
    <w:unhideWhenUsed/>
    <w:rsid w:val="00856872"/>
    <w:pPr>
      <w:tabs>
        <w:tab w:val="left" w:pos="851"/>
        <w:tab w:val="right" w:leader="dot" w:pos="8920"/>
      </w:tabs>
      <w:spacing w:after="100" w:line="240" w:lineRule="auto"/>
      <w:ind w:left="426"/>
    </w:pPr>
    <w:rPr>
      <w:lang w:val="en-US"/>
    </w:rPr>
  </w:style>
  <w:style w:type="paragraph" w:styleId="TOC1">
    <w:name w:val="toc 1"/>
    <w:basedOn w:val="Normal"/>
    <w:next w:val="Normal"/>
    <w:autoRedefine/>
    <w:uiPriority w:val="39"/>
    <w:unhideWhenUsed/>
    <w:rsid w:val="002B52AC"/>
    <w:pPr>
      <w:tabs>
        <w:tab w:val="left" w:pos="426"/>
        <w:tab w:val="right" w:leader="dot" w:pos="8920"/>
      </w:tabs>
      <w:spacing w:after="100" w:line="240" w:lineRule="auto"/>
    </w:pPr>
    <w:rPr>
      <w:noProof/>
      <w:lang w:val="en-US"/>
    </w:rPr>
  </w:style>
  <w:style w:type="paragraph" w:customStyle="1" w:styleId="BioQualifications">
    <w:name w:val="Bio Qualifications"/>
    <w:basedOn w:val="Normal"/>
    <w:uiPriority w:val="97"/>
    <w:qFormat/>
    <w:rsid w:val="00F03B2F"/>
    <w:pPr>
      <w:spacing w:before="240" w:after="60" w:line="240" w:lineRule="auto"/>
      <w:jc w:val="center"/>
    </w:pPr>
    <w:rPr>
      <w:b/>
      <w:color w:val="00264D" w:themeColor="background2"/>
      <w:szCs w:val="17"/>
    </w:rPr>
  </w:style>
  <w:style w:type="character" w:styleId="CommentReference">
    <w:name w:val="annotation reference"/>
    <w:basedOn w:val="DefaultParagraphFont"/>
    <w:uiPriority w:val="99"/>
    <w:semiHidden/>
    <w:unhideWhenUsed/>
    <w:rsid w:val="00EF6A0A"/>
    <w:rPr>
      <w:sz w:val="16"/>
      <w:szCs w:val="16"/>
    </w:rPr>
  </w:style>
  <w:style w:type="paragraph" w:styleId="CommentText">
    <w:name w:val="annotation text"/>
    <w:basedOn w:val="Normal"/>
    <w:link w:val="CommentTextChar"/>
    <w:uiPriority w:val="99"/>
    <w:semiHidden/>
    <w:unhideWhenUsed/>
    <w:rsid w:val="00EF6A0A"/>
    <w:pPr>
      <w:spacing w:line="240" w:lineRule="auto"/>
    </w:pPr>
    <w:rPr>
      <w:sz w:val="20"/>
      <w:szCs w:val="20"/>
    </w:rPr>
  </w:style>
  <w:style w:type="character" w:customStyle="1" w:styleId="CommentTextChar">
    <w:name w:val="Comment Text Char"/>
    <w:basedOn w:val="DefaultParagraphFont"/>
    <w:link w:val="CommentText"/>
    <w:uiPriority w:val="99"/>
    <w:semiHidden/>
    <w:rsid w:val="00EF6A0A"/>
    <w:rPr>
      <w:rFonts w:ascii="Segoe UI" w:hAnsi="Segoe UI"/>
      <w:sz w:val="20"/>
      <w:szCs w:val="20"/>
      <w:lang w:val="en-AU"/>
    </w:rPr>
  </w:style>
  <w:style w:type="paragraph" w:customStyle="1" w:styleId="introductionlist">
    <w:name w:val="introduction list"/>
    <w:basedOn w:val="Sectionintroduction"/>
    <w:uiPriority w:val="21"/>
    <w:qFormat/>
    <w:rsid w:val="00F03B2F"/>
    <w:pPr>
      <w:numPr>
        <w:numId w:val="16"/>
      </w:numPr>
      <w:spacing w:before="60"/>
    </w:pPr>
  </w:style>
  <w:style w:type="paragraph" w:customStyle="1" w:styleId="intoductionbullet">
    <w:name w:val="intoduction bullet"/>
    <w:basedOn w:val="Sectionintroduction"/>
    <w:uiPriority w:val="21"/>
    <w:qFormat/>
    <w:rsid w:val="00F03B2F"/>
    <w:pPr>
      <w:numPr>
        <w:numId w:val="17"/>
      </w:numPr>
    </w:pPr>
  </w:style>
  <w:style w:type="paragraph" w:customStyle="1" w:styleId="BioQualificationsText">
    <w:name w:val="Bio Qualifications Text"/>
    <w:basedOn w:val="Normal"/>
    <w:uiPriority w:val="97"/>
    <w:qFormat/>
    <w:rsid w:val="00F03B2F"/>
    <w:pPr>
      <w:spacing w:line="240" w:lineRule="auto"/>
      <w:jc w:val="center"/>
    </w:pPr>
  </w:style>
  <w:style w:type="paragraph" w:customStyle="1" w:styleId="Covertitle">
    <w:name w:val="Cover title"/>
    <w:basedOn w:val="Normal"/>
    <w:link w:val="CovertitleChar"/>
    <w:uiPriority w:val="99"/>
    <w:semiHidden/>
    <w:rsid w:val="00C50B0B"/>
    <w:pPr>
      <w:suppressAutoHyphens/>
      <w:spacing w:after="0" w:line="720" w:lineRule="exact"/>
    </w:pPr>
    <w:rPr>
      <w:rFonts w:eastAsia="Times New Roman" w:cs="Times New Roman"/>
      <w:color w:val="2E368F" w:themeColor="text2"/>
      <w:sz w:val="84"/>
      <w:szCs w:val="19"/>
      <w:lang w:eastAsia="en-AU"/>
    </w:rPr>
  </w:style>
  <w:style w:type="character" w:customStyle="1" w:styleId="CovertitleChar">
    <w:name w:val="Cover title Char"/>
    <w:basedOn w:val="DefaultParagraphFont"/>
    <w:link w:val="Covertitle"/>
    <w:uiPriority w:val="99"/>
    <w:semiHidden/>
    <w:rsid w:val="00C50B0B"/>
    <w:rPr>
      <w:rFonts w:ascii="Segoe UI" w:eastAsia="Times New Roman" w:hAnsi="Segoe UI" w:cs="Times New Roman"/>
      <w:color w:val="2E368F" w:themeColor="text2"/>
      <w:sz w:val="84"/>
      <w:szCs w:val="19"/>
      <w:lang w:val="en-AU" w:eastAsia="en-AU"/>
    </w:rPr>
  </w:style>
  <w:style w:type="paragraph" w:customStyle="1" w:styleId="CoverPage-Client">
    <w:name w:val="Cover Page - Client"/>
    <w:basedOn w:val="Normal"/>
    <w:link w:val="CoverPage-ClientChar"/>
    <w:uiPriority w:val="99"/>
    <w:semiHidden/>
    <w:rsid w:val="00C50B0B"/>
    <w:pPr>
      <w:suppressAutoHyphens/>
      <w:spacing w:before="480" w:after="0" w:line="380" w:lineRule="exact"/>
    </w:pPr>
    <w:rPr>
      <w:rFonts w:eastAsia="Times New Roman" w:cs="Times New Roman"/>
      <w:color w:val="2E368F" w:themeColor="text2"/>
      <w:sz w:val="36"/>
      <w:szCs w:val="19"/>
      <w:lang w:eastAsia="en-AU"/>
    </w:rPr>
  </w:style>
  <w:style w:type="character" w:customStyle="1" w:styleId="CoverPage-ClientChar">
    <w:name w:val="Cover Page - Client Char"/>
    <w:basedOn w:val="DefaultParagraphFont"/>
    <w:link w:val="CoverPage-Client"/>
    <w:uiPriority w:val="99"/>
    <w:semiHidden/>
    <w:rsid w:val="00C50B0B"/>
    <w:rPr>
      <w:rFonts w:ascii="Segoe UI" w:eastAsia="Times New Roman" w:hAnsi="Segoe UI" w:cs="Times New Roman"/>
      <w:color w:val="2E368F" w:themeColor="text2"/>
      <w:sz w:val="36"/>
      <w:szCs w:val="19"/>
      <w:lang w:val="en-AU" w:eastAsia="en-AU"/>
    </w:rPr>
  </w:style>
  <w:style w:type="paragraph" w:customStyle="1" w:styleId="CoverPage-Date">
    <w:name w:val="Cover Page - Date"/>
    <w:basedOn w:val="Normal"/>
    <w:link w:val="CoverPage-DateChar"/>
    <w:uiPriority w:val="99"/>
    <w:semiHidden/>
    <w:rsid w:val="00C50B0B"/>
    <w:pPr>
      <w:suppressAutoHyphens/>
      <w:spacing w:before="320" w:after="0" w:line="280" w:lineRule="exact"/>
    </w:pPr>
    <w:rPr>
      <w:rFonts w:eastAsia="Times New Roman" w:cs="Times New Roman"/>
      <w:color w:val="00264D" w:themeColor="background2"/>
      <w:sz w:val="24"/>
      <w:szCs w:val="19"/>
      <w:lang w:eastAsia="en-AU"/>
    </w:rPr>
  </w:style>
  <w:style w:type="character" w:customStyle="1" w:styleId="CoverPage-DateChar">
    <w:name w:val="Cover Page - Date Char"/>
    <w:basedOn w:val="DefaultParagraphFont"/>
    <w:link w:val="CoverPage-Date"/>
    <w:uiPriority w:val="99"/>
    <w:semiHidden/>
    <w:rsid w:val="00C50B0B"/>
    <w:rPr>
      <w:rFonts w:ascii="Segoe UI" w:eastAsia="Times New Roman" w:hAnsi="Segoe UI" w:cs="Times New Roman"/>
      <w:color w:val="00264D" w:themeColor="background2"/>
      <w:sz w:val="24"/>
      <w:szCs w:val="19"/>
      <w:lang w:val="en-AU" w:eastAsia="en-AU"/>
    </w:rPr>
  </w:style>
  <w:style w:type="character" w:styleId="PlaceholderText">
    <w:name w:val="Placeholder Text"/>
    <w:basedOn w:val="DefaultParagraphFont"/>
    <w:uiPriority w:val="99"/>
    <w:semiHidden/>
    <w:rsid w:val="00C50B0B"/>
    <w:rPr>
      <w:color w:val="808080"/>
    </w:rPr>
  </w:style>
  <w:style w:type="table" w:customStyle="1" w:styleId="Sectionintroductiontable">
    <w:name w:val="Section introduction table"/>
    <w:basedOn w:val="TableNormal"/>
    <w:uiPriority w:val="99"/>
    <w:rsid w:val="00815FD9"/>
    <w:pPr>
      <w:spacing w:after="0" w:line="240" w:lineRule="auto"/>
    </w:pPr>
    <w:tblPr>
      <w:tblCellMar>
        <w:top w:w="113" w:type="dxa"/>
        <w:left w:w="0" w:type="dxa"/>
        <w:bottom w:w="113" w:type="dxa"/>
        <w:right w:w="0" w:type="dxa"/>
      </w:tblCellMar>
    </w:tblPr>
    <w:tblStylePr w:type="firstRow">
      <w:pPr>
        <w:wordWrap/>
        <w:spacing w:beforeLines="0" w:before="0" w:beforeAutospacing="0" w:afterLines="0" w:after="0" w:afterAutospacing="0"/>
      </w:pPr>
      <w:rPr>
        <w:rFonts w:ascii="Segoe UI Semilight" w:hAnsi="Segoe UI Semilight"/>
        <w:color w:val="00264D" w:themeColor="background2"/>
        <w:sz w:val="21"/>
      </w:rPr>
      <w:tblPr/>
      <w:tcPr>
        <w:tcBorders>
          <w:top w:val="single" w:sz="8" w:space="0" w:color="00264D" w:themeColor="background2"/>
          <w:left w:val="nil"/>
          <w:bottom w:val="single" w:sz="8" w:space="0" w:color="00264D" w:themeColor="background2"/>
          <w:right w:val="nil"/>
        </w:tcBorders>
      </w:tcPr>
    </w:tblStylePr>
  </w:style>
  <w:style w:type="numbering" w:customStyle="1" w:styleId="Listnumberedmultilevel">
    <w:name w:val="List (numbered)_multilevel"/>
    <w:uiPriority w:val="99"/>
    <w:rsid w:val="00F660A8"/>
    <w:pPr>
      <w:numPr>
        <w:numId w:val="7"/>
      </w:numPr>
    </w:pPr>
  </w:style>
  <w:style w:type="numbering" w:customStyle="1" w:styleId="TableexpListnumberedmultilevel">
    <w:name w:val="Table exp List (numbered) multilevel"/>
    <w:uiPriority w:val="99"/>
    <w:rsid w:val="00F660A8"/>
    <w:pPr>
      <w:numPr>
        <w:numId w:val="5"/>
      </w:numPr>
    </w:pPr>
  </w:style>
  <w:style w:type="numbering" w:customStyle="1" w:styleId="TableNListnumberedmultilevel">
    <w:name w:val="Table N List (numbered) multilevel"/>
    <w:uiPriority w:val="99"/>
    <w:rsid w:val="00F660A8"/>
    <w:pPr>
      <w:numPr>
        <w:numId w:val="6"/>
      </w:numPr>
    </w:pPr>
  </w:style>
  <w:style w:type="table" w:customStyle="1" w:styleId="NousLongformcallout">
    <w:name w:val="Nous_Long form call out"/>
    <w:basedOn w:val="TableNormal"/>
    <w:uiPriority w:val="99"/>
    <w:rsid w:val="005F382F"/>
    <w:pPr>
      <w:spacing w:after="0" w:line="240" w:lineRule="auto"/>
    </w:pPr>
    <w:rPr>
      <w:color w:val="00264D" w:themeColor="background2"/>
    </w:rPr>
    <w:tblPr>
      <w:tblBorders>
        <w:left w:val="single" w:sz="18" w:space="0" w:color="F8981D" w:themeColor="accent3"/>
      </w:tblBorders>
      <w:tblCellMar>
        <w:top w:w="113" w:type="dxa"/>
        <w:bottom w:w="113" w:type="dxa"/>
      </w:tblCellMar>
    </w:tblPr>
    <w:tcPr>
      <w:shd w:val="clear" w:color="auto" w:fill="E6E6E1" w:themeFill="accent5"/>
    </w:tcPr>
  </w:style>
  <w:style w:type="paragraph" w:styleId="FootnoteText">
    <w:name w:val="footnote text"/>
    <w:basedOn w:val="Normal"/>
    <w:link w:val="FootnoteTextChar"/>
    <w:uiPriority w:val="99"/>
    <w:semiHidden/>
    <w:unhideWhenUsed/>
    <w:rsid w:val="00503C01"/>
    <w:pPr>
      <w:spacing w:after="0" w:line="240" w:lineRule="auto"/>
    </w:pPr>
    <w:rPr>
      <w:sz w:val="15"/>
      <w:szCs w:val="20"/>
    </w:rPr>
  </w:style>
  <w:style w:type="character" w:customStyle="1" w:styleId="FootnoteTextChar">
    <w:name w:val="Footnote Text Char"/>
    <w:basedOn w:val="DefaultParagraphFont"/>
    <w:link w:val="FootnoteText"/>
    <w:uiPriority w:val="99"/>
    <w:semiHidden/>
    <w:rsid w:val="00503C01"/>
    <w:rPr>
      <w:rFonts w:ascii="Segoe UI" w:hAnsi="Segoe UI"/>
      <w:sz w:val="15"/>
      <w:szCs w:val="20"/>
      <w:lang w:val="en-AU"/>
    </w:rPr>
  </w:style>
  <w:style w:type="paragraph" w:styleId="CommentSubject">
    <w:name w:val="annotation subject"/>
    <w:basedOn w:val="CommentText"/>
    <w:next w:val="CommentText"/>
    <w:link w:val="CommentSubjectChar"/>
    <w:uiPriority w:val="99"/>
    <w:semiHidden/>
    <w:unhideWhenUsed/>
    <w:rsid w:val="000F3554"/>
    <w:rPr>
      <w:b/>
      <w:bCs/>
    </w:rPr>
  </w:style>
  <w:style w:type="character" w:customStyle="1" w:styleId="CommentSubjectChar">
    <w:name w:val="Comment Subject Char"/>
    <w:basedOn w:val="CommentTextChar"/>
    <w:link w:val="CommentSubject"/>
    <w:uiPriority w:val="99"/>
    <w:semiHidden/>
    <w:rsid w:val="000F3554"/>
    <w:rPr>
      <w:rFonts w:ascii="Segoe UI" w:hAnsi="Segoe UI"/>
      <w:b/>
      <w:bCs/>
      <w:sz w:val="20"/>
      <w:szCs w:val="20"/>
      <w:lang w:val="en-AU"/>
    </w:rPr>
  </w:style>
  <w:style w:type="character" w:customStyle="1" w:styleId="CaptionChar">
    <w:name w:val="Caption Char"/>
    <w:aliases w:val="Table title GH Char,TABLE Char,Caption Char1 Char,Caption Char Char Char,Char Char"/>
    <w:basedOn w:val="DefaultParagraphFont"/>
    <w:link w:val="Caption"/>
    <w:uiPriority w:val="35"/>
    <w:locked/>
    <w:rsid w:val="000F3554"/>
    <w:rPr>
      <w:rFonts w:ascii="Segoe UI Semibold" w:hAnsi="Segoe UI Semibold"/>
      <w:bCs/>
      <w:color w:val="00264D" w:themeColor="background2"/>
      <w:sz w:val="19"/>
      <w:szCs w:val="18"/>
      <w:lang w:val="en-AU"/>
    </w:rPr>
  </w:style>
  <w:style w:type="character" w:styleId="FootnoteReference">
    <w:name w:val="footnote reference"/>
    <w:basedOn w:val="DefaultParagraphFont"/>
    <w:uiPriority w:val="99"/>
    <w:semiHidden/>
    <w:unhideWhenUsed/>
    <w:rsid w:val="00E7352C"/>
    <w:rPr>
      <w:vertAlign w:val="superscript"/>
    </w:rPr>
  </w:style>
  <w:style w:type="paragraph" w:styleId="NormalWeb">
    <w:name w:val="Normal (Web)"/>
    <w:basedOn w:val="Normal"/>
    <w:uiPriority w:val="99"/>
    <w:semiHidden/>
    <w:unhideWhenUsed/>
    <w:rsid w:val="006649F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0200D1"/>
    <w:pPr>
      <w:spacing w:after="0" w:line="240" w:lineRule="auto"/>
    </w:pPr>
    <w:rPr>
      <w:rFonts w:ascii="Segoe UI" w:hAnsi="Segoe UI"/>
      <w:sz w:val="19"/>
      <w:lang w:val="en-AU"/>
    </w:rPr>
  </w:style>
  <w:style w:type="character" w:styleId="Strong">
    <w:name w:val="Strong"/>
    <w:basedOn w:val="DefaultParagraphFont"/>
    <w:uiPriority w:val="22"/>
    <w:qFormat/>
    <w:rsid w:val="000E1CE0"/>
    <w:rPr>
      <w:b/>
      <w:bCs/>
    </w:rPr>
  </w:style>
  <w:style w:type="paragraph" w:styleId="EndnoteText">
    <w:name w:val="endnote text"/>
    <w:basedOn w:val="Normal"/>
    <w:link w:val="EndnoteTextChar"/>
    <w:uiPriority w:val="99"/>
    <w:semiHidden/>
    <w:unhideWhenUsed/>
    <w:rsid w:val="00A03F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3FA4"/>
    <w:rPr>
      <w:rFonts w:ascii="Segoe UI" w:hAnsi="Segoe UI"/>
      <w:sz w:val="20"/>
      <w:szCs w:val="20"/>
      <w:lang w:val="en-AU"/>
    </w:rPr>
  </w:style>
  <w:style w:type="character" w:styleId="EndnoteReference">
    <w:name w:val="endnote reference"/>
    <w:basedOn w:val="DefaultParagraphFont"/>
    <w:uiPriority w:val="99"/>
    <w:semiHidden/>
    <w:unhideWhenUsed/>
    <w:rsid w:val="00A03FA4"/>
    <w:rPr>
      <w:vertAlign w:val="superscript"/>
    </w:rPr>
  </w:style>
  <w:style w:type="paragraph" w:customStyle="1" w:styleId="Default">
    <w:name w:val="Default"/>
    <w:rsid w:val="004C68FC"/>
    <w:pPr>
      <w:autoSpaceDE w:val="0"/>
      <w:autoSpaceDN w:val="0"/>
      <w:adjustRightInd w:val="0"/>
      <w:spacing w:after="0" w:line="240" w:lineRule="auto"/>
    </w:pPr>
    <w:rPr>
      <w:rFonts w:ascii="Gibson Light" w:hAnsi="Gibson Light" w:cs="Gibson Light"/>
      <w:color w:val="000000"/>
      <w:sz w:val="24"/>
      <w:szCs w:val="24"/>
      <w:lang w:val="en-AU"/>
    </w:rPr>
  </w:style>
  <w:style w:type="paragraph" w:styleId="ListParagraph">
    <w:name w:val="List Paragraph"/>
    <w:aliases w:val="0Bullet,Bullet point,Bullets,CAB - List Bullet,Content descriptions,DDM Gen Text,Dot point 1.5 line spacing,L,List Bullet Cab,List Paragraph - bullets,List Paragraph Number,List Paragraph1,List Paragraph11,Recommendation,bullet point list"/>
    <w:basedOn w:val="Normal"/>
    <w:link w:val="ListParagraphChar"/>
    <w:uiPriority w:val="34"/>
    <w:qFormat/>
    <w:rsid w:val="00827A6E"/>
    <w:pPr>
      <w:spacing w:after="160"/>
      <w:ind w:left="720"/>
      <w:contextualSpacing/>
    </w:pPr>
    <w:rPr>
      <w:rFonts w:asciiTheme="minorHAnsi" w:hAnsiTheme="minorHAnsi"/>
      <w:sz w:val="22"/>
    </w:rPr>
  </w:style>
  <w:style w:type="character" w:customStyle="1" w:styleId="ListParagraphChar">
    <w:name w:val="List Paragraph Char"/>
    <w:aliases w:val="0Bullet Char,Bullet point Char,Bullets Char,CAB - List Bullet Char,Content descriptions Char,DDM Gen Text Char,Dot point 1.5 line spacing Char,L Char,List Bullet Cab Char,List Paragraph - bullets Char,List Paragraph Number Char"/>
    <w:link w:val="ListParagraph"/>
    <w:uiPriority w:val="34"/>
    <w:qFormat/>
    <w:locked/>
    <w:rsid w:val="00827A6E"/>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195764">
      <w:bodyDiv w:val="1"/>
      <w:marLeft w:val="0"/>
      <w:marRight w:val="0"/>
      <w:marTop w:val="0"/>
      <w:marBottom w:val="0"/>
      <w:divBdr>
        <w:top w:val="none" w:sz="0" w:space="0" w:color="auto"/>
        <w:left w:val="none" w:sz="0" w:space="0" w:color="auto"/>
        <w:bottom w:val="none" w:sz="0" w:space="0" w:color="auto"/>
        <w:right w:val="none" w:sz="0" w:space="0" w:color="auto"/>
      </w:divBdr>
    </w:div>
    <w:div w:id="482821112">
      <w:bodyDiv w:val="1"/>
      <w:marLeft w:val="0"/>
      <w:marRight w:val="0"/>
      <w:marTop w:val="0"/>
      <w:marBottom w:val="0"/>
      <w:divBdr>
        <w:top w:val="none" w:sz="0" w:space="0" w:color="auto"/>
        <w:left w:val="none" w:sz="0" w:space="0" w:color="auto"/>
        <w:bottom w:val="none" w:sz="0" w:space="0" w:color="auto"/>
        <w:right w:val="none" w:sz="0" w:space="0" w:color="auto"/>
      </w:divBdr>
      <w:divsChild>
        <w:div w:id="979698448">
          <w:marLeft w:val="288"/>
          <w:marRight w:val="0"/>
          <w:marTop w:val="0"/>
          <w:marBottom w:val="60"/>
          <w:divBdr>
            <w:top w:val="none" w:sz="0" w:space="0" w:color="auto"/>
            <w:left w:val="none" w:sz="0" w:space="0" w:color="auto"/>
            <w:bottom w:val="none" w:sz="0" w:space="0" w:color="auto"/>
            <w:right w:val="none" w:sz="0" w:space="0" w:color="auto"/>
          </w:divBdr>
        </w:div>
        <w:div w:id="1478718716">
          <w:marLeft w:val="288"/>
          <w:marRight w:val="0"/>
          <w:marTop w:val="0"/>
          <w:marBottom w:val="60"/>
          <w:divBdr>
            <w:top w:val="none" w:sz="0" w:space="0" w:color="auto"/>
            <w:left w:val="none" w:sz="0" w:space="0" w:color="auto"/>
            <w:bottom w:val="none" w:sz="0" w:space="0" w:color="auto"/>
            <w:right w:val="none" w:sz="0" w:space="0" w:color="auto"/>
          </w:divBdr>
        </w:div>
      </w:divsChild>
    </w:div>
    <w:div w:id="483815506">
      <w:bodyDiv w:val="1"/>
      <w:marLeft w:val="0"/>
      <w:marRight w:val="0"/>
      <w:marTop w:val="0"/>
      <w:marBottom w:val="0"/>
      <w:divBdr>
        <w:top w:val="none" w:sz="0" w:space="0" w:color="auto"/>
        <w:left w:val="none" w:sz="0" w:space="0" w:color="auto"/>
        <w:bottom w:val="none" w:sz="0" w:space="0" w:color="auto"/>
        <w:right w:val="none" w:sz="0" w:space="0" w:color="auto"/>
      </w:divBdr>
    </w:div>
    <w:div w:id="502596451">
      <w:bodyDiv w:val="1"/>
      <w:marLeft w:val="0"/>
      <w:marRight w:val="0"/>
      <w:marTop w:val="0"/>
      <w:marBottom w:val="0"/>
      <w:divBdr>
        <w:top w:val="none" w:sz="0" w:space="0" w:color="auto"/>
        <w:left w:val="none" w:sz="0" w:space="0" w:color="auto"/>
        <w:bottom w:val="none" w:sz="0" w:space="0" w:color="auto"/>
        <w:right w:val="none" w:sz="0" w:space="0" w:color="auto"/>
      </w:divBdr>
      <w:divsChild>
        <w:div w:id="659891471">
          <w:marLeft w:val="288"/>
          <w:marRight w:val="0"/>
          <w:marTop w:val="0"/>
          <w:marBottom w:val="60"/>
          <w:divBdr>
            <w:top w:val="none" w:sz="0" w:space="0" w:color="auto"/>
            <w:left w:val="none" w:sz="0" w:space="0" w:color="auto"/>
            <w:bottom w:val="none" w:sz="0" w:space="0" w:color="auto"/>
            <w:right w:val="none" w:sz="0" w:space="0" w:color="auto"/>
          </w:divBdr>
        </w:div>
        <w:div w:id="483083683">
          <w:marLeft w:val="288"/>
          <w:marRight w:val="0"/>
          <w:marTop w:val="0"/>
          <w:marBottom w:val="60"/>
          <w:divBdr>
            <w:top w:val="none" w:sz="0" w:space="0" w:color="auto"/>
            <w:left w:val="none" w:sz="0" w:space="0" w:color="auto"/>
            <w:bottom w:val="none" w:sz="0" w:space="0" w:color="auto"/>
            <w:right w:val="none" w:sz="0" w:space="0" w:color="auto"/>
          </w:divBdr>
        </w:div>
      </w:divsChild>
    </w:div>
    <w:div w:id="519707882">
      <w:bodyDiv w:val="1"/>
      <w:marLeft w:val="0"/>
      <w:marRight w:val="0"/>
      <w:marTop w:val="0"/>
      <w:marBottom w:val="0"/>
      <w:divBdr>
        <w:top w:val="none" w:sz="0" w:space="0" w:color="auto"/>
        <w:left w:val="none" w:sz="0" w:space="0" w:color="auto"/>
        <w:bottom w:val="none" w:sz="0" w:space="0" w:color="auto"/>
        <w:right w:val="none" w:sz="0" w:space="0" w:color="auto"/>
      </w:divBdr>
      <w:divsChild>
        <w:div w:id="1133214982">
          <w:marLeft w:val="288"/>
          <w:marRight w:val="0"/>
          <w:marTop w:val="0"/>
          <w:marBottom w:val="60"/>
          <w:divBdr>
            <w:top w:val="none" w:sz="0" w:space="0" w:color="auto"/>
            <w:left w:val="none" w:sz="0" w:space="0" w:color="auto"/>
            <w:bottom w:val="none" w:sz="0" w:space="0" w:color="auto"/>
            <w:right w:val="none" w:sz="0" w:space="0" w:color="auto"/>
          </w:divBdr>
        </w:div>
        <w:div w:id="1819178128">
          <w:marLeft w:val="288"/>
          <w:marRight w:val="0"/>
          <w:marTop w:val="0"/>
          <w:marBottom w:val="60"/>
          <w:divBdr>
            <w:top w:val="none" w:sz="0" w:space="0" w:color="auto"/>
            <w:left w:val="none" w:sz="0" w:space="0" w:color="auto"/>
            <w:bottom w:val="none" w:sz="0" w:space="0" w:color="auto"/>
            <w:right w:val="none" w:sz="0" w:space="0" w:color="auto"/>
          </w:divBdr>
        </w:div>
        <w:div w:id="1601570330">
          <w:marLeft w:val="288"/>
          <w:marRight w:val="0"/>
          <w:marTop w:val="0"/>
          <w:marBottom w:val="60"/>
          <w:divBdr>
            <w:top w:val="none" w:sz="0" w:space="0" w:color="auto"/>
            <w:left w:val="none" w:sz="0" w:space="0" w:color="auto"/>
            <w:bottom w:val="none" w:sz="0" w:space="0" w:color="auto"/>
            <w:right w:val="none" w:sz="0" w:space="0" w:color="auto"/>
          </w:divBdr>
        </w:div>
      </w:divsChild>
    </w:div>
    <w:div w:id="564416038">
      <w:bodyDiv w:val="1"/>
      <w:marLeft w:val="0"/>
      <w:marRight w:val="0"/>
      <w:marTop w:val="0"/>
      <w:marBottom w:val="0"/>
      <w:divBdr>
        <w:top w:val="none" w:sz="0" w:space="0" w:color="auto"/>
        <w:left w:val="none" w:sz="0" w:space="0" w:color="auto"/>
        <w:bottom w:val="none" w:sz="0" w:space="0" w:color="auto"/>
        <w:right w:val="none" w:sz="0" w:space="0" w:color="auto"/>
      </w:divBdr>
      <w:divsChild>
        <w:div w:id="257830509">
          <w:marLeft w:val="274"/>
          <w:marRight w:val="0"/>
          <w:marTop w:val="0"/>
          <w:marBottom w:val="60"/>
          <w:divBdr>
            <w:top w:val="none" w:sz="0" w:space="0" w:color="auto"/>
            <w:left w:val="none" w:sz="0" w:space="0" w:color="auto"/>
            <w:bottom w:val="none" w:sz="0" w:space="0" w:color="auto"/>
            <w:right w:val="none" w:sz="0" w:space="0" w:color="auto"/>
          </w:divBdr>
        </w:div>
        <w:div w:id="1532648314">
          <w:marLeft w:val="274"/>
          <w:marRight w:val="0"/>
          <w:marTop w:val="0"/>
          <w:marBottom w:val="60"/>
          <w:divBdr>
            <w:top w:val="none" w:sz="0" w:space="0" w:color="auto"/>
            <w:left w:val="none" w:sz="0" w:space="0" w:color="auto"/>
            <w:bottom w:val="none" w:sz="0" w:space="0" w:color="auto"/>
            <w:right w:val="none" w:sz="0" w:space="0" w:color="auto"/>
          </w:divBdr>
        </w:div>
        <w:div w:id="1367751327">
          <w:marLeft w:val="274"/>
          <w:marRight w:val="0"/>
          <w:marTop w:val="0"/>
          <w:marBottom w:val="60"/>
          <w:divBdr>
            <w:top w:val="none" w:sz="0" w:space="0" w:color="auto"/>
            <w:left w:val="none" w:sz="0" w:space="0" w:color="auto"/>
            <w:bottom w:val="none" w:sz="0" w:space="0" w:color="auto"/>
            <w:right w:val="none" w:sz="0" w:space="0" w:color="auto"/>
          </w:divBdr>
        </w:div>
        <w:div w:id="1928806068">
          <w:marLeft w:val="274"/>
          <w:marRight w:val="0"/>
          <w:marTop w:val="0"/>
          <w:marBottom w:val="60"/>
          <w:divBdr>
            <w:top w:val="none" w:sz="0" w:space="0" w:color="auto"/>
            <w:left w:val="none" w:sz="0" w:space="0" w:color="auto"/>
            <w:bottom w:val="none" w:sz="0" w:space="0" w:color="auto"/>
            <w:right w:val="none" w:sz="0" w:space="0" w:color="auto"/>
          </w:divBdr>
        </w:div>
      </w:divsChild>
    </w:div>
    <w:div w:id="837961849">
      <w:bodyDiv w:val="1"/>
      <w:marLeft w:val="0"/>
      <w:marRight w:val="0"/>
      <w:marTop w:val="0"/>
      <w:marBottom w:val="0"/>
      <w:divBdr>
        <w:top w:val="none" w:sz="0" w:space="0" w:color="auto"/>
        <w:left w:val="none" w:sz="0" w:space="0" w:color="auto"/>
        <w:bottom w:val="none" w:sz="0" w:space="0" w:color="auto"/>
        <w:right w:val="none" w:sz="0" w:space="0" w:color="auto"/>
      </w:divBdr>
      <w:divsChild>
        <w:div w:id="434330398">
          <w:marLeft w:val="288"/>
          <w:marRight w:val="0"/>
          <w:marTop w:val="0"/>
          <w:marBottom w:val="60"/>
          <w:divBdr>
            <w:top w:val="none" w:sz="0" w:space="0" w:color="auto"/>
            <w:left w:val="none" w:sz="0" w:space="0" w:color="auto"/>
            <w:bottom w:val="none" w:sz="0" w:space="0" w:color="auto"/>
            <w:right w:val="none" w:sz="0" w:space="0" w:color="auto"/>
          </w:divBdr>
        </w:div>
        <w:div w:id="194855364">
          <w:marLeft w:val="288"/>
          <w:marRight w:val="0"/>
          <w:marTop w:val="0"/>
          <w:marBottom w:val="60"/>
          <w:divBdr>
            <w:top w:val="none" w:sz="0" w:space="0" w:color="auto"/>
            <w:left w:val="none" w:sz="0" w:space="0" w:color="auto"/>
            <w:bottom w:val="none" w:sz="0" w:space="0" w:color="auto"/>
            <w:right w:val="none" w:sz="0" w:space="0" w:color="auto"/>
          </w:divBdr>
        </w:div>
        <w:div w:id="2105227716">
          <w:marLeft w:val="288"/>
          <w:marRight w:val="0"/>
          <w:marTop w:val="0"/>
          <w:marBottom w:val="60"/>
          <w:divBdr>
            <w:top w:val="none" w:sz="0" w:space="0" w:color="auto"/>
            <w:left w:val="none" w:sz="0" w:space="0" w:color="auto"/>
            <w:bottom w:val="none" w:sz="0" w:space="0" w:color="auto"/>
            <w:right w:val="none" w:sz="0" w:space="0" w:color="auto"/>
          </w:divBdr>
        </w:div>
      </w:divsChild>
    </w:div>
    <w:div w:id="914973247">
      <w:bodyDiv w:val="1"/>
      <w:marLeft w:val="0"/>
      <w:marRight w:val="0"/>
      <w:marTop w:val="0"/>
      <w:marBottom w:val="0"/>
      <w:divBdr>
        <w:top w:val="none" w:sz="0" w:space="0" w:color="auto"/>
        <w:left w:val="none" w:sz="0" w:space="0" w:color="auto"/>
        <w:bottom w:val="none" w:sz="0" w:space="0" w:color="auto"/>
        <w:right w:val="none" w:sz="0" w:space="0" w:color="auto"/>
      </w:divBdr>
    </w:div>
    <w:div w:id="926768033">
      <w:bodyDiv w:val="1"/>
      <w:marLeft w:val="0"/>
      <w:marRight w:val="0"/>
      <w:marTop w:val="0"/>
      <w:marBottom w:val="0"/>
      <w:divBdr>
        <w:top w:val="none" w:sz="0" w:space="0" w:color="auto"/>
        <w:left w:val="none" w:sz="0" w:space="0" w:color="auto"/>
        <w:bottom w:val="none" w:sz="0" w:space="0" w:color="auto"/>
        <w:right w:val="none" w:sz="0" w:space="0" w:color="auto"/>
      </w:divBdr>
      <w:divsChild>
        <w:div w:id="358164206">
          <w:marLeft w:val="274"/>
          <w:marRight w:val="0"/>
          <w:marTop w:val="0"/>
          <w:marBottom w:val="60"/>
          <w:divBdr>
            <w:top w:val="none" w:sz="0" w:space="0" w:color="auto"/>
            <w:left w:val="none" w:sz="0" w:space="0" w:color="auto"/>
            <w:bottom w:val="none" w:sz="0" w:space="0" w:color="auto"/>
            <w:right w:val="none" w:sz="0" w:space="0" w:color="auto"/>
          </w:divBdr>
        </w:div>
        <w:div w:id="956328742">
          <w:marLeft w:val="274"/>
          <w:marRight w:val="0"/>
          <w:marTop w:val="0"/>
          <w:marBottom w:val="60"/>
          <w:divBdr>
            <w:top w:val="none" w:sz="0" w:space="0" w:color="auto"/>
            <w:left w:val="none" w:sz="0" w:space="0" w:color="auto"/>
            <w:bottom w:val="none" w:sz="0" w:space="0" w:color="auto"/>
            <w:right w:val="none" w:sz="0" w:space="0" w:color="auto"/>
          </w:divBdr>
        </w:div>
      </w:divsChild>
    </w:div>
    <w:div w:id="950820714">
      <w:bodyDiv w:val="1"/>
      <w:marLeft w:val="0"/>
      <w:marRight w:val="0"/>
      <w:marTop w:val="0"/>
      <w:marBottom w:val="0"/>
      <w:divBdr>
        <w:top w:val="none" w:sz="0" w:space="0" w:color="auto"/>
        <w:left w:val="none" w:sz="0" w:space="0" w:color="auto"/>
        <w:bottom w:val="none" w:sz="0" w:space="0" w:color="auto"/>
        <w:right w:val="none" w:sz="0" w:space="0" w:color="auto"/>
      </w:divBdr>
    </w:div>
    <w:div w:id="985938680">
      <w:bodyDiv w:val="1"/>
      <w:marLeft w:val="0"/>
      <w:marRight w:val="0"/>
      <w:marTop w:val="0"/>
      <w:marBottom w:val="0"/>
      <w:divBdr>
        <w:top w:val="none" w:sz="0" w:space="0" w:color="auto"/>
        <w:left w:val="none" w:sz="0" w:space="0" w:color="auto"/>
        <w:bottom w:val="none" w:sz="0" w:space="0" w:color="auto"/>
        <w:right w:val="none" w:sz="0" w:space="0" w:color="auto"/>
      </w:divBdr>
    </w:div>
    <w:div w:id="1009259404">
      <w:bodyDiv w:val="1"/>
      <w:marLeft w:val="0"/>
      <w:marRight w:val="0"/>
      <w:marTop w:val="0"/>
      <w:marBottom w:val="0"/>
      <w:divBdr>
        <w:top w:val="none" w:sz="0" w:space="0" w:color="auto"/>
        <w:left w:val="none" w:sz="0" w:space="0" w:color="auto"/>
        <w:bottom w:val="none" w:sz="0" w:space="0" w:color="auto"/>
        <w:right w:val="none" w:sz="0" w:space="0" w:color="auto"/>
      </w:divBdr>
    </w:div>
    <w:div w:id="1158493219">
      <w:bodyDiv w:val="1"/>
      <w:marLeft w:val="0"/>
      <w:marRight w:val="0"/>
      <w:marTop w:val="0"/>
      <w:marBottom w:val="0"/>
      <w:divBdr>
        <w:top w:val="none" w:sz="0" w:space="0" w:color="auto"/>
        <w:left w:val="none" w:sz="0" w:space="0" w:color="auto"/>
        <w:bottom w:val="none" w:sz="0" w:space="0" w:color="auto"/>
        <w:right w:val="none" w:sz="0" w:space="0" w:color="auto"/>
      </w:divBdr>
    </w:div>
    <w:div w:id="1207713754">
      <w:bodyDiv w:val="1"/>
      <w:marLeft w:val="0"/>
      <w:marRight w:val="0"/>
      <w:marTop w:val="0"/>
      <w:marBottom w:val="0"/>
      <w:divBdr>
        <w:top w:val="none" w:sz="0" w:space="0" w:color="auto"/>
        <w:left w:val="none" w:sz="0" w:space="0" w:color="auto"/>
        <w:bottom w:val="none" w:sz="0" w:space="0" w:color="auto"/>
        <w:right w:val="none" w:sz="0" w:space="0" w:color="auto"/>
      </w:divBdr>
      <w:divsChild>
        <w:div w:id="984771707">
          <w:marLeft w:val="274"/>
          <w:marRight w:val="0"/>
          <w:marTop w:val="0"/>
          <w:marBottom w:val="60"/>
          <w:divBdr>
            <w:top w:val="none" w:sz="0" w:space="0" w:color="auto"/>
            <w:left w:val="none" w:sz="0" w:space="0" w:color="auto"/>
            <w:bottom w:val="none" w:sz="0" w:space="0" w:color="auto"/>
            <w:right w:val="none" w:sz="0" w:space="0" w:color="auto"/>
          </w:divBdr>
        </w:div>
      </w:divsChild>
    </w:div>
    <w:div w:id="1291522236">
      <w:bodyDiv w:val="1"/>
      <w:marLeft w:val="0"/>
      <w:marRight w:val="0"/>
      <w:marTop w:val="0"/>
      <w:marBottom w:val="0"/>
      <w:divBdr>
        <w:top w:val="none" w:sz="0" w:space="0" w:color="auto"/>
        <w:left w:val="none" w:sz="0" w:space="0" w:color="auto"/>
        <w:bottom w:val="none" w:sz="0" w:space="0" w:color="auto"/>
        <w:right w:val="none" w:sz="0" w:space="0" w:color="auto"/>
      </w:divBdr>
      <w:divsChild>
        <w:div w:id="377364362">
          <w:marLeft w:val="274"/>
          <w:marRight w:val="0"/>
          <w:marTop w:val="0"/>
          <w:marBottom w:val="60"/>
          <w:divBdr>
            <w:top w:val="none" w:sz="0" w:space="0" w:color="auto"/>
            <w:left w:val="none" w:sz="0" w:space="0" w:color="auto"/>
            <w:bottom w:val="none" w:sz="0" w:space="0" w:color="auto"/>
            <w:right w:val="none" w:sz="0" w:space="0" w:color="auto"/>
          </w:divBdr>
        </w:div>
        <w:div w:id="975330456">
          <w:marLeft w:val="274"/>
          <w:marRight w:val="0"/>
          <w:marTop w:val="0"/>
          <w:marBottom w:val="60"/>
          <w:divBdr>
            <w:top w:val="none" w:sz="0" w:space="0" w:color="auto"/>
            <w:left w:val="none" w:sz="0" w:space="0" w:color="auto"/>
            <w:bottom w:val="none" w:sz="0" w:space="0" w:color="auto"/>
            <w:right w:val="none" w:sz="0" w:space="0" w:color="auto"/>
          </w:divBdr>
        </w:div>
        <w:div w:id="1865434417">
          <w:marLeft w:val="274"/>
          <w:marRight w:val="0"/>
          <w:marTop w:val="0"/>
          <w:marBottom w:val="60"/>
          <w:divBdr>
            <w:top w:val="none" w:sz="0" w:space="0" w:color="auto"/>
            <w:left w:val="none" w:sz="0" w:space="0" w:color="auto"/>
            <w:bottom w:val="none" w:sz="0" w:space="0" w:color="auto"/>
            <w:right w:val="none" w:sz="0" w:space="0" w:color="auto"/>
          </w:divBdr>
        </w:div>
        <w:div w:id="1376344706">
          <w:marLeft w:val="288"/>
          <w:marRight w:val="0"/>
          <w:marTop w:val="0"/>
          <w:marBottom w:val="60"/>
          <w:divBdr>
            <w:top w:val="none" w:sz="0" w:space="0" w:color="auto"/>
            <w:left w:val="none" w:sz="0" w:space="0" w:color="auto"/>
            <w:bottom w:val="none" w:sz="0" w:space="0" w:color="auto"/>
            <w:right w:val="none" w:sz="0" w:space="0" w:color="auto"/>
          </w:divBdr>
        </w:div>
        <w:div w:id="523177841">
          <w:marLeft w:val="288"/>
          <w:marRight w:val="0"/>
          <w:marTop w:val="0"/>
          <w:marBottom w:val="60"/>
          <w:divBdr>
            <w:top w:val="none" w:sz="0" w:space="0" w:color="auto"/>
            <w:left w:val="none" w:sz="0" w:space="0" w:color="auto"/>
            <w:bottom w:val="none" w:sz="0" w:space="0" w:color="auto"/>
            <w:right w:val="none" w:sz="0" w:space="0" w:color="auto"/>
          </w:divBdr>
        </w:div>
        <w:div w:id="1570269462">
          <w:marLeft w:val="288"/>
          <w:marRight w:val="0"/>
          <w:marTop w:val="0"/>
          <w:marBottom w:val="60"/>
          <w:divBdr>
            <w:top w:val="none" w:sz="0" w:space="0" w:color="auto"/>
            <w:left w:val="none" w:sz="0" w:space="0" w:color="auto"/>
            <w:bottom w:val="none" w:sz="0" w:space="0" w:color="auto"/>
            <w:right w:val="none" w:sz="0" w:space="0" w:color="auto"/>
          </w:divBdr>
        </w:div>
        <w:div w:id="629171885">
          <w:marLeft w:val="288"/>
          <w:marRight w:val="0"/>
          <w:marTop w:val="0"/>
          <w:marBottom w:val="60"/>
          <w:divBdr>
            <w:top w:val="none" w:sz="0" w:space="0" w:color="auto"/>
            <w:left w:val="none" w:sz="0" w:space="0" w:color="auto"/>
            <w:bottom w:val="none" w:sz="0" w:space="0" w:color="auto"/>
            <w:right w:val="none" w:sz="0" w:space="0" w:color="auto"/>
          </w:divBdr>
        </w:div>
        <w:div w:id="13701920">
          <w:marLeft w:val="274"/>
          <w:marRight w:val="0"/>
          <w:marTop w:val="0"/>
          <w:marBottom w:val="60"/>
          <w:divBdr>
            <w:top w:val="none" w:sz="0" w:space="0" w:color="auto"/>
            <w:left w:val="none" w:sz="0" w:space="0" w:color="auto"/>
            <w:bottom w:val="none" w:sz="0" w:space="0" w:color="auto"/>
            <w:right w:val="none" w:sz="0" w:space="0" w:color="auto"/>
          </w:divBdr>
        </w:div>
        <w:div w:id="361249420">
          <w:marLeft w:val="274"/>
          <w:marRight w:val="0"/>
          <w:marTop w:val="0"/>
          <w:marBottom w:val="60"/>
          <w:divBdr>
            <w:top w:val="none" w:sz="0" w:space="0" w:color="auto"/>
            <w:left w:val="none" w:sz="0" w:space="0" w:color="auto"/>
            <w:bottom w:val="none" w:sz="0" w:space="0" w:color="auto"/>
            <w:right w:val="none" w:sz="0" w:space="0" w:color="auto"/>
          </w:divBdr>
        </w:div>
        <w:div w:id="1899508696">
          <w:marLeft w:val="274"/>
          <w:marRight w:val="0"/>
          <w:marTop w:val="0"/>
          <w:marBottom w:val="60"/>
          <w:divBdr>
            <w:top w:val="none" w:sz="0" w:space="0" w:color="auto"/>
            <w:left w:val="none" w:sz="0" w:space="0" w:color="auto"/>
            <w:bottom w:val="none" w:sz="0" w:space="0" w:color="auto"/>
            <w:right w:val="none" w:sz="0" w:space="0" w:color="auto"/>
          </w:divBdr>
        </w:div>
        <w:div w:id="753018895">
          <w:marLeft w:val="274"/>
          <w:marRight w:val="0"/>
          <w:marTop w:val="0"/>
          <w:marBottom w:val="60"/>
          <w:divBdr>
            <w:top w:val="none" w:sz="0" w:space="0" w:color="auto"/>
            <w:left w:val="none" w:sz="0" w:space="0" w:color="auto"/>
            <w:bottom w:val="none" w:sz="0" w:space="0" w:color="auto"/>
            <w:right w:val="none" w:sz="0" w:space="0" w:color="auto"/>
          </w:divBdr>
        </w:div>
        <w:div w:id="1649892562">
          <w:marLeft w:val="274"/>
          <w:marRight w:val="0"/>
          <w:marTop w:val="0"/>
          <w:marBottom w:val="60"/>
          <w:divBdr>
            <w:top w:val="none" w:sz="0" w:space="0" w:color="auto"/>
            <w:left w:val="none" w:sz="0" w:space="0" w:color="auto"/>
            <w:bottom w:val="none" w:sz="0" w:space="0" w:color="auto"/>
            <w:right w:val="none" w:sz="0" w:space="0" w:color="auto"/>
          </w:divBdr>
        </w:div>
        <w:div w:id="926811541">
          <w:marLeft w:val="274"/>
          <w:marRight w:val="0"/>
          <w:marTop w:val="0"/>
          <w:marBottom w:val="60"/>
          <w:divBdr>
            <w:top w:val="none" w:sz="0" w:space="0" w:color="auto"/>
            <w:left w:val="none" w:sz="0" w:space="0" w:color="auto"/>
            <w:bottom w:val="none" w:sz="0" w:space="0" w:color="auto"/>
            <w:right w:val="none" w:sz="0" w:space="0" w:color="auto"/>
          </w:divBdr>
        </w:div>
        <w:div w:id="1193687769">
          <w:marLeft w:val="288"/>
          <w:marRight w:val="0"/>
          <w:marTop w:val="0"/>
          <w:marBottom w:val="60"/>
          <w:divBdr>
            <w:top w:val="none" w:sz="0" w:space="0" w:color="auto"/>
            <w:left w:val="none" w:sz="0" w:space="0" w:color="auto"/>
            <w:bottom w:val="none" w:sz="0" w:space="0" w:color="auto"/>
            <w:right w:val="none" w:sz="0" w:space="0" w:color="auto"/>
          </w:divBdr>
        </w:div>
        <w:div w:id="1207334800">
          <w:marLeft w:val="288"/>
          <w:marRight w:val="0"/>
          <w:marTop w:val="0"/>
          <w:marBottom w:val="60"/>
          <w:divBdr>
            <w:top w:val="none" w:sz="0" w:space="0" w:color="auto"/>
            <w:left w:val="none" w:sz="0" w:space="0" w:color="auto"/>
            <w:bottom w:val="none" w:sz="0" w:space="0" w:color="auto"/>
            <w:right w:val="none" w:sz="0" w:space="0" w:color="auto"/>
          </w:divBdr>
        </w:div>
        <w:div w:id="1594624151">
          <w:marLeft w:val="288"/>
          <w:marRight w:val="0"/>
          <w:marTop w:val="0"/>
          <w:marBottom w:val="60"/>
          <w:divBdr>
            <w:top w:val="none" w:sz="0" w:space="0" w:color="auto"/>
            <w:left w:val="none" w:sz="0" w:space="0" w:color="auto"/>
            <w:bottom w:val="none" w:sz="0" w:space="0" w:color="auto"/>
            <w:right w:val="none" w:sz="0" w:space="0" w:color="auto"/>
          </w:divBdr>
        </w:div>
        <w:div w:id="71782172">
          <w:marLeft w:val="288"/>
          <w:marRight w:val="0"/>
          <w:marTop w:val="0"/>
          <w:marBottom w:val="60"/>
          <w:divBdr>
            <w:top w:val="none" w:sz="0" w:space="0" w:color="auto"/>
            <w:left w:val="none" w:sz="0" w:space="0" w:color="auto"/>
            <w:bottom w:val="none" w:sz="0" w:space="0" w:color="auto"/>
            <w:right w:val="none" w:sz="0" w:space="0" w:color="auto"/>
          </w:divBdr>
        </w:div>
      </w:divsChild>
    </w:div>
    <w:div w:id="1295520548">
      <w:bodyDiv w:val="1"/>
      <w:marLeft w:val="0"/>
      <w:marRight w:val="0"/>
      <w:marTop w:val="0"/>
      <w:marBottom w:val="0"/>
      <w:divBdr>
        <w:top w:val="none" w:sz="0" w:space="0" w:color="auto"/>
        <w:left w:val="none" w:sz="0" w:space="0" w:color="auto"/>
        <w:bottom w:val="none" w:sz="0" w:space="0" w:color="auto"/>
        <w:right w:val="none" w:sz="0" w:space="0" w:color="auto"/>
      </w:divBdr>
      <w:divsChild>
        <w:div w:id="1748725718">
          <w:marLeft w:val="288"/>
          <w:marRight w:val="0"/>
          <w:marTop w:val="0"/>
          <w:marBottom w:val="60"/>
          <w:divBdr>
            <w:top w:val="none" w:sz="0" w:space="0" w:color="auto"/>
            <w:left w:val="none" w:sz="0" w:space="0" w:color="auto"/>
            <w:bottom w:val="none" w:sz="0" w:space="0" w:color="auto"/>
            <w:right w:val="none" w:sz="0" w:space="0" w:color="auto"/>
          </w:divBdr>
        </w:div>
        <w:div w:id="1033919517">
          <w:marLeft w:val="288"/>
          <w:marRight w:val="0"/>
          <w:marTop w:val="0"/>
          <w:marBottom w:val="60"/>
          <w:divBdr>
            <w:top w:val="none" w:sz="0" w:space="0" w:color="auto"/>
            <w:left w:val="none" w:sz="0" w:space="0" w:color="auto"/>
            <w:bottom w:val="none" w:sz="0" w:space="0" w:color="auto"/>
            <w:right w:val="none" w:sz="0" w:space="0" w:color="auto"/>
          </w:divBdr>
        </w:div>
        <w:div w:id="1167748859">
          <w:marLeft w:val="288"/>
          <w:marRight w:val="0"/>
          <w:marTop w:val="0"/>
          <w:marBottom w:val="60"/>
          <w:divBdr>
            <w:top w:val="none" w:sz="0" w:space="0" w:color="auto"/>
            <w:left w:val="none" w:sz="0" w:space="0" w:color="auto"/>
            <w:bottom w:val="none" w:sz="0" w:space="0" w:color="auto"/>
            <w:right w:val="none" w:sz="0" w:space="0" w:color="auto"/>
          </w:divBdr>
        </w:div>
      </w:divsChild>
    </w:div>
    <w:div w:id="1577665730">
      <w:bodyDiv w:val="1"/>
      <w:marLeft w:val="0"/>
      <w:marRight w:val="0"/>
      <w:marTop w:val="0"/>
      <w:marBottom w:val="0"/>
      <w:divBdr>
        <w:top w:val="none" w:sz="0" w:space="0" w:color="auto"/>
        <w:left w:val="none" w:sz="0" w:space="0" w:color="auto"/>
        <w:bottom w:val="none" w:sz="0" w:space="0" w:color="auto"/>
        <w:right w:val="none" w:sz="0" w:space="0" w:color="auto"/>
      </w:divBdr>
      <w:divsChild>
        <w:div w:id="1346714552">
          <w:marLeft w:val="288"/>
          <w:marRight w:val="0"/>
          <w:marTop w:val="0"/>
          <w:marBottom w:val="60"/>
          <w:divBdr>
            <w:top w:val="none" w:sz="0" w:space="0" w:color="auto"/>
            <w:left w:val="none" w:sz="0" w:space="0" w:color="auto"/>
            <w:bottom w:val="none" w:sz="0" w:space="0" w:color="auto"/>
            <w:right w:val="none" w:sz="0" w:space="0" w:color="auto"/>
          </w:divBdr>
        </w:div>
        <w:div w:id="536967910">
          <w:marLeft w:val="288"/>
          <w:marRight w:val="0"/>
          <w:marTop w:val="0"/>
          <w:marBottom w:val="60"/>
          <w:divBdr>
            <w:top w:val="none" w:sz="0" w:space="0" w:color="auto"/>
            <w:left w:val="none" w:sz="0" w:space="0" w:color="auto"/>
            <w:bottom w:val="none" w:sz="0" w:space="0" w:color="auto"/>
            <w:right w:val="none" w:sz="0" w:space="0" w:color="auto"/>
          </w:divBdr>
        </w:div>
        <w:div w:id="1123621176">
          <w:marLeft w:val="288"/>
          <w:marRight w:val="0"/>
          <w:marTop w:val="0"/>
          <w:marBottom w:val="60"/>
          <w:divBdr>
            <w:top w:val="none" w:sz="0" w:space="0" w:color="auto"/>
            <w:left w:val="none" w:sz="0" w:space="0" w:color="auto"/>
            <w:bottom w:val="none" w:sz="0" w:space="0" w:color="auto"/>
            <w:right w:val="none" w:sz="0" w:space="0" w:color="auto"/>
          </w:divBdr>
        </w:div>
        <w:div w:id="992176571">
          <w:marLeft w:val="288"/>
          <w:marRight w:val="0"/>
          <w:marTop w:val="0"/>
          <w:marBottom w:val="60"/>
          <w:divBdr>
            <w:top w:val="none" w:sz="0" w:space="0" w:color="auto"/>
            <w:left w:val="none" w:sz="0" w:space="0" w:color="auto"/>
            <w:bottom w:val="none" w:sz="0" w:space="0" w:color="auto"/>
            <w:right w:val="none" w:sz="0" w:space="0" w:color="auto"/>
          </w:divBdr>
        </w:div>
      </w:divsChild>
    </w:div>
    <w:div w:id="1678847118">
      <w:bodyDiv w:val="1"/>
      <w:marLeft w:val="0"/>
      <w:marRight w:val="0"/>
      <w:marTop w:val="0"/>
      <w:marBottom w:val="0"/>
      <w:divBdr>
        <w:top w:val="none" w:sz="0" w:space="0" w:color="auto"/>
        <w:left w:val="none" w:sz="0" w:space="0" w:color="auto"/>
        <w:bottom w:val="none" w:sz="0" w:space="0" w:color="auto"/>
        <w:right w:val="none" w:sz="0" w:space="0" w:color="auto"/>
      </w:divBdr>
      <w:divsChild>
        <w:div w:id="1657489425">
          <w:marLeft w:val="274"/>
          <w:marRight w:val="0"/>
          <w:marTop w:val="0"/>
          <w:marBottom w:val="60"/>
          <w:divBdr>
            <w:top w:val="none" w:sz="0" w:space="0" w:color="auto"/>
            <w:left w:val="none" w:sz="0" w:space="0" w:color="auto"/>
            <w:bottom w:val="none" w:sz="0" w:space="0" w:color="auto"/>
            <w:right w:val="none" w:sz="0" w:space="0" w:color="auto"/>
          </w:divBdr>
        </w:div>
        <w:div w:id="866648427">
          <w:marLeft w:val="274"/>
          <w:marRight w:val="0"/>
          <w:marTop w:val="0"/>
          <w:marBottom w:val="60"/>
          <w:divBdr>
            <w:top w:val="none" w:sz="0" w:space="0" w:color="auto"/>
            <w:left w:val="none" w:sz="0" w:space="0" w:color="auto"/>
            <w:bottom w:val="none" w:sz="0" w:space="0" w:color="auto"/>
            <w:right w:val="none" w:sz="0" w:space="0" w:color="auto"/>
          </w:divBdr>
        </w:div>
        <w:div w:id="712072989">
          <w:marLeft w:val="274"/>
          <w:marRight w:val="0"/>
          <w:marTop w:val="0"/>
          <w:marBottom w:val="60"/>
          <w:divBdr>
            <w:top w:val="none" w:sz="0" w:space="0" w:color="auto"/>
            <w:left w:val="none" w:sz="0" w:space="0" w:color="auto"/>
            <w:bottom w:val="none" w:sz="0" w:space="0" w:color="auto"/>
            <w:right w:val="none" w:sz="0" w:space="0" w:color="auto"/>
          </w:divBdr>
        </w:div>
        <w:div w:id="1712148228">
          <w:marLeft w:val="274"/>
          <w:marRight w:val="0"/>
          <w:marTop w:val="0"/>
          <w:marBottom w:val="60"/>
          <w:divBdr>
            <w:top w:val="none" w:sz="0" w:space="0" w:color="auto"/>
            <w:left w:val="none" w:sz="0" w:space="0" w:color="auto"/>
            <w:bottom w:val="none" w:sz="0" w:space="0" w:color="auto"/>
            <w:right w:val="none" w:sz="0" w:space="0" w:color="auto"/>
          </w:divBdr>
        </w:div>
      </w:divsChild>
    </w:div>
    <w:div w:id="1778255261">
      <w:bodyDiv w:val="1"/>
      <w:marLeft w:val="0"/>
      <w:marRight w:val="0"/>
      <w:marTop w:val="0"/>
      <w:marBottom w:val="0"/>
      <w:divBdr>
        <w:top w:val="none" w:sz="0" w:space="0" w:color="auto"/>
        <w:left w:val="none" w:sz="0" w:space="0" w:color="auto"/>
        <w:bottom w:val="none" w:sz="0" w:space="0" w:color="auto"/>
        <w:right w:val="none" w:sz="0" w:space="0" w:color="auto"/>
      </w:divBdr>
      <w:divsChild>
        <w:div w:id="130681073">
          <w:marLeft w:val="274"/>
          <w:marRight w:val="0"/>
          <w:marTop w:val="0"/>
          <w:marBottom w:val="60"/>
          <w:divBdr>
            <w:top w:val="none" w:sz="0" w:space="0" w:color="auto"/>
            <w:left w:val="none" w:sz="0" w:space="0" w:color="auto"/>
            <w:bottom w:val="none" w:sz="0" w:space="0" w:color="auto"/>
            <w:right w:val="none" w:sz="0" w:space="0" w:color="auto"/>
          </w:divBdr>
        </w:div>
        <w:div w:id="1112627474">
          <w:marLeft w:val="274"/>
          <w:marRight w:val="0"/>
          <w:marTop w:val="0"/>
          <w:marBottom w:val="60"/>
          <w:divBdr>
            <w:top w:val="none" w:sz="0" w:space="0" w:color="auto"/>
            <w:left w:val="none" w:sz="0" w:space="0" w:color="auto"/>
            <w:bottom w:val="none" w:sz="0" w:space="0" w:color="auto"/>
            <w:right w:val="none" w:sz="0" w:space="0" w:color="auto"/>
          </w:divBdr>
        </w:div>
        <w:div w:id="1568807852">
          <w:marLeft w:val="274"/>
          <w:marRight w:val="0"/>
          <w:marTop w:val="0"/>
          <w:marBottom w:val="60"/>
          <w:divBdr>
            <w:top w:val="none" w:sz="0" w:space="0" w:color="auto"/>
            <w:left w:val="none" w:sz="0" w:space="0" w:color="auto"/>
            <w:bottom w:val="none" w:sz="0" w:space="0" w:color="auto"/>
            <w:right w:val="none" w:sz="0" w:space="0" w:color="auto"/>
          </w:divBdr>
        </w:div>
        <w:div w:id="1030494694">
          <w:marLeft w:val="274"/>
          <w:marRight w:val="0"/>
          <w:marTop w:val="0"/>
          <w:marBottom w:val="60"/>
          <w:divBdr>
            <w:top w:val="none" w:sz="0" w:space="0" w:color="auto"/>
            <w:left w:val="none" w:sz="0" w:space="0" w:color="auto"/>
            <w:bottom w:val="none" w:sz="0" w:space="0" w:color="auto"/>
            <w:right w:val="none" w:sz="0" w:space="0" w:color="auto"/>
          </w:divBdr>
        </w:div>
        <w:div w:id="1667978917">
          <w:marLeft w:val="274"/>
          <w:marRight w:val="0"/>
          <w:marTop w:val="0"/>
          <w:marBottom w:val="60"/>
          <w:divBdr>
            <w:top w:val="none" w:sz="0" w:space="0" w:color="auto"/>
            <w:left w:val="none" w:sz="0" w:space="0" w:color="auto"/>
            <w:bottom w:val="none" w:sz="0" w:space="0" w:color="auto"/>
            <w:right w:val="none" w:sz="0" w:space="0" w:color="auto"/>
          </w:divBdr>
        </w:div>
        <w:div w:id="2013291947">
          <w:marLeft w:val="274"/>
          <w:marRight w:val="0"/>
          <w:marTop w:val="0"/>
          <w:marBottom w:val="60"/>
          <w:divBdr>
            <w:top w:val="none" w:sz="0" w:space="0" w:color="auto"/>
            <w:left w:val="none" w:sz="0" w:space="0" w:color="auto"/>
            <w:bottom w:val="none" w:sz="0" w:space="0" w:color="auto"/>
            <w:right w:val="none" w:sz="0" w:space="0" w:color="auto"/>
          </w:divBdr>
        </w:div>
      </w:divsChild>
    </w:div>
    <w:div w:id="1909605374">
      <w:bodyDiv w:val="1"/>
      <w:marLeft w:val="0"/>
      <w:marRight w:val="0"/>
      <w:marTop w:val="0"/>
      <w:marBottom w:val="0"/>
      <w:divBdr>
        <w:top w:val="none" w:sz="0" w:space="0" w:color="auto"/>
        <w:left w:val="none" w:sz="0" w:space="0" w:color="auto"/>
        <w:bottom w:val="none" w:sz="0" w:space="0" w:color="auto"/>
        <w:right w:val="none" w:sz="0" w:space="0" w:color="auto"/>
      </w:divBdr>
    </w:div>
    <w:div w:id="1936941034">
      <w:bodyDiv w:val="1"/>
      <w:marLeft w:val="0"/>
      <w:marRight w:val="0"/>
      <w:marTop w:val="0"/>
      <w:marBottom w:val="0"/>
      <w:divBdr>
        <w:top w:val="none" w:sz="0" w:space="0" w:color="auto"/>
        <w:left w:val="none" w:sz="0" w:space="0" w:color="auto"/>
        <w:bottom w:val="none" w:sz="0" w:space="0" w:color="auto"/>
        <w:right w:val="none" w:sz="0" w:space="0" w:color="auto"/>
      </w:divBdr>
      <w:divsChild>
        <w:div w:id="23134936">
          <w:marLeft w:val="288"/>
          <w:marRight w:val="0"/>
          <w:marTop w:val="0"/>
          <w:marBottom w:val="60"/>
          <w:divBdr>
            <w:top w:val="none" w:sz="0" w:space="0" w:color="auto"/>
            <w:left w:val="none" w:sz="0" w:space="0" w:color="auto"/>
            <w:bottom w:val="none" w:sz="0" w:space="0" w:color="auto"/>
            <w:right w:val="none" w:sz="0" w:space="0" w:color="auto"/>
          </w:divBdr>
        </w:div>
        <w:div w:id="1008796628">
          <w:marLeft w:val="288"/>
          <w:marRight w:val="0"/>
          <w:marTop w:val="0"/>
          <w:marBottom w:val="60"/>
          <w:divBdr>
            <w:top w:val="none" w:sz="0" w:space="0" w:color="auto"/>
            <w:left w:val="none" w:sz="0" w:space="0" w:color="auto"/>
            <w:bottom w:val="none" w:sz="0" w:space="0" w:color="auto"/>
            <w:right w:val="none" w:sz="0" w:space="0" w:color="auto"/>
          </w:divBdr>
        </w:div>
      </w:divsChild>
    </w:div>
    <w:div w:id="2023774405">
      <w:bodyDiv w:val="1"/>
      <w:marLeft w:val="0"/>
      <w:marRight w:val="0"/>
      <w:marTop w:val="0"/>
      <w:marBottom w:val="0"/>
      <w:divBdr>
        <w:top w:val="none" w:sz="0" w:space="0" w:color="auto"/>
        <w:left w:val="none" w:sz="0" w:space="0" w:color="auto"/>
        <w:bottom w:val="none" w:sz="0" w:space="0" w:color="auto"/>
        <w:right w:val="none" w:sz="0" w:space="0" w:color="auto"/>
      </w:divBdr>
      <w:divsChild>
        <w:div w:id="1951935052">
          <w:marLeft w:val="274"/>
          <w:marRight w:val="0"/>
          <w:marTop w:val="0"/>
          <w:marBottom w:val="60"/>
          <w:divBdr>
            <w:top w:val="none" w:sz="0" w:space="0" w:color="auto"/>
            <w:left w:val="none" w:sz="0" w:space="0" w:color="auto"/>
            <w:bottom w:val="none" w:sz="0" w:space="0" w:color="auto"/>
            <w:right w:val="none" w:sz="0" w:space="0" w:color="auto"/>
          </w:divBdr>
        </w:div>
        <w:div w:id="2011830161">
          <w:marLeft w:val="274"/>
          <w:marRight w:val="0"/>
          <w:marTop w:val="0"/>
          <w:marBottom w:val="60"/>
          <w:divBdr>
            <w:top w:val="none" w:sz="0" w:space="0" w:color="auto"/>
            <w:left w:val="none" w:sz="0" w:space="0" w:color="auto"/>
            <w:bottom w:val="none" w:sz="0" w:space="0" w:color="auto"/>
            <w:right w:val="none" w:sz="0" w:space="0" w:color="auto"/>
          </w:divBdr>
        </w:div>
        <w:div w:id="1759328406">
          <w:marLeft w:val="274"/>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s://nera.cmail19.com/t/d-l-bdjtyht-wurmdhji-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ntTable" Target="fontTable.xml"/><Relationship Id="rId30" Type="http://schemas.microsoft.com/office/2016/09/relationships/commentsIds" Target="commentsIds.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efault Theme">
  <a:themeElements>
    <a:clrScheme name="New Brand">
      <a:dk1>
        <a:sysClr val="windowText" lastClr="000000"/>
      </a:dk1>
      <a:lt1>
        <a:sysClr val="window" lastClr="FFFFFF"/>
      </a:lt1>
      <a:dk2>
        <a:srgbClr val="2E368F"/>
      </a:dk2>
      <a:lt2>
        <a:srgbClr val="00264D"/>
      </a:lt2>
      <a:accent1>
        <a:srgbClr val="FF3A40"/>
      </a:accent1>
      <a:accent2>
        <a:srgbClr val="F25E21"/>
      </a:accent2>
      <a:accent3>
        <a:srgbClr val="F8981D"/>
      </a:accent3>
      <a:accent4>
        <a:srgbClr val="FED13B"/>
      </a:accent4>
      <a:accent5>
        <a:srgbClr val="E6E6E1"/>
      </a:accent5>
      <a:accent6>
        <a:srgbClr val="25B3E0"/>
      </a:accent6>
      <a:hlink>
        <a:srgbClr val="0048C7"/>
      </a:hlink>
      <a:folHlink>
        <a:srgbClr val="0048C7"/>
      </a:folHlink>
    </a:clrScheme>
    <a:fontScheme name="Nous Font">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3"/>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cap="rnd">
          <a:solidFill>
            <a:schemeClr val="accent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2019-01-22T00:00:00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A0AD9E8BD6FD49B4C4C4AF506A4544" ma:contentTypeVersion="17" ma:contentTypeDescription="Create a new document." ma:contentTypeScope="" ma:versionID="c30fbdd3ee28bb50d25fac62d4a275a6">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0cd92d3f4597cbdbeb40940089c5c22d"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h562caa41cd8435eb8b6f0bdc23e20a9" ma:index="24"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98945f5-0448-4b4c-97d9-fcd4d7a5a1b1">
      <Value>217</Value>
      <Value>3</Value>
      <Value>917</Value>
      <Value>22</Value>
      <Value>21</Value>
    </TaxCatchAll>
    <pe2555c81638466f9eb614edb9ecde52 xmlns="498945f5-0448-4b4c-97d9-fcd4d7a5a1b1">
      <Terms xmlns="http://schemas.microsoft.com/office/infopath/2007/PartnerControls">
        <TermInfo xmlns="http://schemas.microsoft.com/office/infopath/2007/PartnerControls">
          <TermName>Report</TermName>
          <TermId>116a9244-cef6-47ce-a9a5-088c9cf21292</TermId>
        </TermInfo>
      </Terms>
    </pe2555c81638466f9eb614edb9ecde52>
    <IconOverlay xmlns="http://schemas.microsoft.com/sharepoint/v4" xsi:nil="true"/>
    <g7bcb40ba23249a78edca7d43a67c1c9 xmlns="498945f5-0448-4b4c-97d9-fcd4d7a5a1b1">
      <Terms xmlns="http://schemas.microsoft.com/office/infopath/2007/PartnerControls">
        <TermInfo xmlns="http://schemas.microsoft.com/office/infopath/2007/PartnerControls">
          <TermName>Reporting</TermName>
          <TermId>12af97d0-e555-43d0-b3d2-0f0b8e33cc04</TermId>
        </TermInfo>
      </Terms>
    </g7bcb40ba23249a78edca7d43a67c1c9>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TermInfo xmlns="http://schemas.microsoft.com/office/infopath/2007/PartnerControls">
          <TermName>Industry Growth Centres</TermName>
          <TermId>4cff008b-6721-4398-be7a-9a1b7a276537</TermId>
        </TermInfo>
      </Term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A3PSR54DD4M5-690977237-1818</_dlc_DocId>
    <_dlc_DocIdUrl xmlns="498945f5-0448-4b4c-97d9-fcd4d7a5a1b1">
      <Url>https://dochub/div/sectoralgrowthpolicy/businessfunctions/growthcentresmanagement/growthcentrepolicy/_layouts/15/DocIdRedir.aspx?ID=A3PSR54DD4M5-690977237-1818</Url>
      <Description>A3PSR54DD4M5-690977237-1818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A44925-86B6-4007-9BF5-D49C8E045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08F4F-4967-42E1-9DEE-7C7DC47D5CAC}">
  <ds:schemaRefs>
    <ds:schemaRef ds:uri="http://schemas.microsoft.com/sharepoint/events"/>
  </ds:schemaRefs>
</ds:datastoreItem>
</file>

<file path=customXml/itemProps4.xml><?xml version="1.0" encoding="utf-8"?>
<ds:datastoreItem xmlns:ds="http://schemas.openxmlformats.org/officeDocument/2006/customXml" ds:itemID="{D51B4A30-4335-4615-B531-124E826026D8}">
  <ds:schemaRefs>
    <ds:schemaRef ds:uri="http://schemas.microsoft.com/sharepoint/v3/contenttype/forms"/>
  </ds:schemaRefs>
</ds:datastoreItem>
</file>

<file path=customXml/itemProps5.xml><?xml version="1.0" encoding="utf-8"?>
<ds:datastoreItem xmlns:ds="http://schemas.openxmlformats.org/officeDocument/2006/customXml" ds:itemID="{6CB462EA-10A7-4754-94DC-A6846B7C0C55}">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498945f5-0448-4b4c-97d9-fcd4d7a5a1b1"/>
    <ds:schemaRef ds:uri="http://www.w3.org/XML/1998/namespace"/>
    <ds:schemaRef ds:uri="http://purl.org/dc/dcmitype/"/>
  </ds:schemaRefs>
</ds:datastoreItem>
</file>

<file path=customXml/itemProps6.xml><?xml version="1.0" encoding="utf-8"?>
<ds:datastoreItem xmlns:ds="http://schemas.openxmlformats.org/officeDocument/2006/customXml" ds:itemID="{B9422C1B-16F5-4A94-8C8B-F142B84E9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11984</Words>
  <Characters>69518</Characters>
  <Application>Microsoft Office Word</Application>
  <DocSecurity>0</DocSecurity>
  <Lines>1840</Lines>
  <Paragraphs>505</Paragraphs>
  <ScaleCrop>false</ScaleCrop>
  <HeadingPairs>
    <vt:vector size="2" baseType="variant">
      <vt:variant>
        <vt:lpstr>Title</vt:lpstr>
      </vt:variant>
      <vt:variant>
        <vt:i4>1</vt:i4>
      </vt:variant>
    </vt:vector>
  </HeadingPairs>
  <TitlesOfParts>
    <vt:vector size="1" baseType="lpstr">
      <vt:lpstr>Performance Assessment of the Industry Growth Centres</vt:lpstr>
    </vt:vector>
  </TitlesOfParts>
  <Company/>
  <LinksUpToDate>false</LinksUpToDate>
  <CharactersWithSpaces>81265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Assessment of the Industry Growth Centres</dc:title>
  <dc:subject>Prepared for the Department of Industry, Innovation and Science</dc:subject>
  <dc:creator>Andrew Benoy</dc:creator>
  <cp:keywords/>
  <dc:description/>
  <cp:lastModifiedBy>Francis, Sophie</cp:lastModifiedBy>
  <cp:revision>4</cp:revision>
  <cp:lastPrinted>2019-07-22T07:05:00Z</cp:lastPrinted>
  <dcterms:created xsi:type="dcterms:W3CDTF">2019-07-18T06:52:00Z</dcterms:created>
  <dcterms:modified xsi:type="dcterms:W3CDTF">2019-07-22T07:06:00Z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0x01010090A0AD9E8BD6FD49B4C4C4AF506A4544</vt:lpwstr>
  </property>
  <property fmtid="{D5CDD505-2E9C-101B-9397-08002B2CF9AE}" pid="3" name="Project doc type">
    <vt:lpwstr>26;#A. Admin ＆ Planning|b1f780b9-1325-41ee-b0f8-f9c50aa7f53e</vt:lpwstr>
  </property>
  <property fmtid="{D5CDD505-2E9C-101B-9397-08002B2CF9AE}" pid="4" name="Doc type - level 2">
    <vt:lpwstr/>
  </property>
  <property fmtid="{D5CDD505-2E9C-101B-9397-08002B2CF9AE}" pid="5" name="DocHub_Year">
    <vt:lpwstr>917;#2019|7e451fe0-4dc6-437a-a849-bab7965a9aee</vt:lpwstr>
  </property>
  <property fmtid="{D5CDD505-2E9C-101B-9397-08002B2CF9AE}" pid="6" name="DocHub_DocumentType">
    <vt:lpwstr>21;#Report|116a9244-cef6-47ce-a9a5-088c9cf21292</vt:lpwstr>
  </property>
  <property fmtid="{D5CDD505-2E9C-101B-9397-08002B2CF9AE}" pid="7" name="DocHub_SecurityClassification">
    <vt:lpwstr>3;#UNCLASSIFIED|6106d03b-a1a0-4e30-9d91-d5e9fb4314f9</vt:lpwstr>
  </property>
  <property fmtid="{D5CDD505-2E9C-101B-9397-08002B2CF9AE}" pid="8" name="DocHub_DepartmentalDivisions">
    <vt:lpwstr>838;#Industry Growth|b7898412-5acb-4366-9c53-49187310ef04</vt:lpwstr>
  </property>
  <property fmtid="{D5CDD505-2E9C-101B-9397-08002B2CF9AE}" pid="9" name="DocHub_Month">
    <vt:lpwstr/>
  </property>
  <property fmtid="{D5CDD505-2E9C-101B-9397-08002B2CF9AE}" pid="10" name="DocHub_BriefingCorrespondenceType">
    <vt:lpwstr/>
  </property>
  <property fmtid="{D5CDD505-2E9C-101B-9397-08002B2CF9AE}" pid="11" name="DocHub_WorkActivity">
    <vt:lpwstr>22;#Reporting|12af97d0-e555-43d0-b3d2-0f0b8e33cc04</vt:lpwstr>
  </property>
  <property fmtid="{D5CDD505-2E9C-101B-9397-08002B2CF9AE}" pid="12" name="DocHub_Keywords">
    <vt:lpwstr>217;#Industry Growth Centres|4cff008b-6721-4398-be7a-9a1b7a276537</vt:lpwstr>
  </property>
  <property fmtid="{D5CDD505-2E9C-101B-9397-08002B2CF9AE}" pid="13" name="_dlc_DocIdItemGuid">
    <vt:lpwstr>c1f9287e-cb92-47fc-ba91-be8d948a8f26</vt:lpwstr>
  </property>
</Properties>
</file>