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7.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8.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9.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oter10.xml" ContentType="application/vnd.openxmlformats-officedocument.wordprocessingml.footer+xml"/>
  <Override PartName="/word/header21.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23CE" w:rsidRPr="0075427E" w:rsidRDefault="008623CE" w:rsidP="00C73471">
      <w:pPr>
        <w:pStyle w:val="Noetic-Documenttype"/>
        <w:tabs>
          <w:tab w:val="left" w:pos="1000"/>
        </w:tabs>
        <w:spacing w:after="720"/>
      </w:pPr>
    </w:p>
    <w:p w:rsidR="00A757A8" w:rsidRPr="0075427E" w:rsidRDefault="007270E2" w:rsidP="005A570C">
      <w:pPr>
        <w:pStyle w:val="Heading10"/>
      </w:pPr>
      <w:bookmarkStart w:id="0" w:name="_Toc423384531"/>
      <w:bookmarkStart w:id="1" w:name="_Toc423384594"/>
      <w:bookmarkStart w:id="2" w:name="_Toc423388155"/>
      <w:bookmarkStart w:id="3" w:name="_Toc430102170"/>
      <w:r w:rsidRPr="0075427E">
        <w:t xml:space="preserve">2015 OPERATIONAL REVIEW OF THE </w:t>
      </w:r>
      <w:bookmarkStart w:id="4" w:name="_Toc421282382"/>
      <w:bookmarkStart w:id="5" w:name="_Toc422739822"/>
      <w:bookmarkStart w:id="6" w:name="_Toc422740221"/>
      <w:r w:rsidR="001F195B" w:rsidRPr="0075427E">
        <w:t>NATIONAL OFFSHORE PETROLEUM TITLES ADMINISTRATOR</w:t>
      </w:r>
      <w:bookmarkEnd w:id="0"/>
      <w:bookmarkEnd w:id="1"/>
      <w:bookmarkEnd w:id="2"/>
      <w:bookmarkEnd w:id="3"/>
      <w:r w:rsidR="001F195B" w:rsidRPr="0075427E">
        <w:t xml:space="preserve"> </w:t>
      </w:r>
      <w:bookmarkEnd w:id="4"/>
      <w:bookmarkEnd w:id="5"/>
      <w:bookmarkEnd w:id="6"/>
    </w:p>
    <w:p w:rsidR="00A757A8" w:rsidRPr="0075427E" w:rsidRDefault="001F195B" w:rsidP="005A570C">
      <w:pPr>
        <w:pStyle w:val="Heading20"/>
      </w:pPr>
      <w:bookmarkStart w:id="7" w:name="_Toc421282383"/>
      <w:bookmarkStart w:id="8" w:name="_Toc422739823"/>
      <w:bookmarkStart w:id="9" w:name="_Toc422740222"/>
      <w:bookmarkStart w:id="10" w:name="_Toc423384532"/>
      <w:bookmarkStart w:id="11" w:name="_Toc423384595"/>
      <w:bookmarkStart w:id="12" w:name="_Toc423388156"/>
      <w:bookmarkStart w:id="13" w:name="_Toc430102171"/>
      <w:r w:rsidRPr="0075427E">
        <w:t xml:space="preserve">Report for the Minister </w:t>
      </w:r>
      <w:r w:rsidR="006A1CA2" w:rsidRPr="0075427E">
        <w:t>for</w:t>
      </w:r>
      <w:r w:rsidRPr="0075427E">
        <w:t xml:space="preserve"> Industry and Science</w:t>
      </w:r>
      <w:bookmarkEnd w:id="7"/>
      <w:bookmarkEnd w:id="8"/>
      <w:bookmarkEnd w:id="9"/>
      <w:bookmarkEnd w:id="10"/>
      <w:bookmarkEnd w:id="11"/>
      <w:bookmarkEnd w:id="12"/>
      <w:bookmarkEnd w:id="13"/>
    </w:p>
    <w:p w:rsidR="00A757A8" w:rsidRPr="003F2AC2" w:rsidRDefault="00A757A8" w:rsidP="00A757A8">
      <w:pPr>
        <w:pStyle w:val="IntroPara"/>
        <w:sectPr w:rsidR="00A757A8" w:rsidRPr="003F2AC2" w:rsidSect="003717F6">
          <w:headerReference w:type="default" r:id="rId22"/>
          <w:footerReference w:type="default" r:id="rId23"/>
          <w:headerReference w:type="first" r:id="rId24"/>
          <w:pgSz w:w="9979" w:h="14175" w:code="9"/>
          <w:pgMar w:top="1412" w:right="476" w:bottom="720" w:left="476" w:header="567" w:footer="567" w:gutter="0"/>
          <w:pgNumType w:fmt="upperRoman" w:start="1"/>
          <w:cols w:space="708"/>
          <w:titlePg/>
          <w:docGrid w:linePitch="360"/>
        </w:sectPr>
      </w:pPr>
      <w:r w:rsidRPr="002C3B0F">
        <w:t>Noetic Solutions Pty Limited</w:t>
      </w:r>
      <w:r w:rsidRPr="002C3B0F">
        <w:br/>
        <w:t>ABN 87 098 132 024</w:t>
      </w:r>
      <w:r w:rsidRPr="002C3B0F">
        <w:br/>
      </w:r>
      <w:r w:rsidR="0073505A">
        <w:t>September</w:t>
      </w:r>
      <w:r w:rsidR="001F195B" w:rsidRPr="00E6540C">
        <w:t xml:space="preserve"> </w:t>
      </w:r>
      <w:r w:rsidR="001F195B" w:rsidRPr="003F2AC2">
        <w:t>2015</w:t>
      </w:r>
    </w:p>
    <w:p w:rsidR="00D67B63" w:rsidRPr="00D67B63" w:rsidRDefault="00D67B63" w:rsidP="00326935">
      <w:pPr>
        <w:pStyle w:val="BodyText"/>
        <w:rPr>
          <w:rStyle w:val="Noetic-Bold"/>
          <w:b w:val="0"/>
        </w:rPr>
      </w:pPr>
      <w:r w:rsidRPr="00D67B63">
        <w:rPr>
          <w:rStyle w:val="Noetic-Bold"/>
          <w:b w:val="0"/>
        </w:rPr>
        <w:lastRenderedPageBreak/>
        <w:t>This report was prepared for the Department of Industry and Science by Noetic Solutions Pty Ltd</w:t>
      </w:r>
      <w:r w:rsidR="004E305A">
        <w:rPr>
          <w:rStyle w:val="Noetic-Bold"/>
          <w:b w:val="0"/>
        </w:rPr>
        <w:t>.</w:t>
      </w:r>
    </w:p>
    <w:p w:rsidR="00A757A8" w:rsidRPr="00D85E28" w:rsidRDefault="00A757A8" w:rsidP="00326935">
      <w:pPr>
        <w:pStyle w:val="BodyText"/>
      </w:pPr>
      <w:r w:rsidRPr="00D85E28">
        <w:rPr>
          <w:rStyle w:val="Noetic-Bold"/>
        </w:rPr>
        <w:t>Noetic Solutions Pty Limited</w:t>
      </w:r>
      <w:r w:rsidRPr="00D85E28">
        <w:rPr>
          <w:rStyle w:val="Noetic-Bold"/>
        </w:rPr>
        <w:br/>
      </w:r>
      <w:r w:rsidRPr="00D85E28">
        <w:t>ABN: 87 098 132 027</w:t>
      </w:r>
      <w:r w:rsidRPr="00D85E28">
        <w:rPr>
          <w:rStyle w:val="Noetic-Bold"/>
        </w:rPr>
        <w:br/>
      </w:r>
      <w:r w:rsidRPr="00D85E28">
        <w:t>Locked Bag 3001</w:t>
      </w:r>
      <w:r w:rsidRPr="00D85E28">
        <w:rPr>
          <w:rStyle w:val="Noetic-Bold"/>
        </w:rPr>
        <w:br/>
      </w:r>
      <w:r w:rsidRPr="00D85E28">
        <w:t>DEAKIN WEST ACT 2600 Australia</w:t>
      </w:r>
    </w:p>
    <w:p w:rsidR="00326935" w:rsidRDefault="00A757A8" w:rsidP="00A757A8">
      <w:pPr>
        <w:pStyle w:val="SignatureBlock-Details"/>
      </w:pPr>
      <w:r w:rsidRPr="00D85E28">
        <w:t>Phone</w:t>
      </w:r>
      <w:r w:rsidRPr="00D85E28">
        <w:tab/>
        <w:t xml:space="preserve">+61 2 6234 7777 </w:t>
      </w:r>
      <w:r w:rsidRPr="00D85E28">
        <w:br/>
        <w:t>Fax</w:t>
      </w:r>
      <w:r w:rsidRPr="00D85E28">
        <w:tab/>
        <w:t>+61 2 6232 6515</w:t>
      </w:r>
      <w:r w:rsidRPr="00D85E28">
        <w:br/>
        <w:t>Web</w:t>
      </w:r>
      <w:r w:rsidRPr="00D85E28">
        <w:tab/>
      </w:r>
      <w:hyperlink r:id="rId25" w:history="1">
        <w:r w:rsidRPr="00D85E28">
          <w:t>www.noeticgroup.com</w:t>
        </w:r>
      </w:hyperlink>
    </w:p>
    <w:p w:rsidR="00326935" w:rsidRDefault="00326935">
      <w:pPr>
        <w:spacing w:after="0"/>
        <w:rPr>
          <w:rFonts w:cs="Arial"/>
          <w:szCs w:val="24"/>
        </w:rPr>
      </w:pPr>
      <w:r>
        <w:br w:type="page"/>
      </w:r>
    </w:p>
    <w:p w:rsidR="00326935" w:rsidRPr="00D67B63" w:rsidRDefault="00D67B63" w:rsidP="00D67B63">
      <w:pPr>
        <w:pStyle w:val="BodyText"/>
        <w:spacing w:before="360" w:after="360" w:line="240" w:lineRule="auto"/>
        <w:rPr>
          <w:sz w:val="16"/>
        </w:rPr>
      </w:pPr>
      <w:r w:rsidRPr="00D67B63">
        <w:rPr>
          <w:noProof/>
          <w:sz w:val="16"/>
          <w:lang w:eastAsia="en-AU"/>
        </w:rPr>
        <w:lastRenderedPageBreak/>
        <mc:AlternateContent>
          <mc:Choice Requires="wps">
            <w:drawing>
              <wp:anchor distT="91440" distB="91440" distL="114300" distR="114300" simplePos="0" relativeHeight="251674624" behindDoc="0" locked="0" layoutInCell="0" allowOverlap="1" wp14:anchorId="36ACE1AB" wp14:editId="215A2368">
                <wp:simplePos x="0" y="0"/>
                <wp:positionH relativeFrom="margin">
                  <wp:posOffset>2555875</wp:posOffset>
                </wp:positionH>
                <wp:positionV relativeFrom="margin">
                  <wp:posOffset>-343535</wp:posOffset>
                </wp:positionV>
                <wp:extent cx="2232025" cy="1597660"/>
                <wp:effectExtent l="0" t="0" r="0" b="0"/>
                <wp:wrapSquare wrapText="bothSides"/>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232025" cy="159766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190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A62BF" w:rsidRPr="00E91BEE" w:rsidRDefault="008A62BF" w:rsidP="00D67B63">
                            <w:pPr>
                              <w:spacing w:after="0"/>
                              <w:jc w:val="right"/>
                              <w:rPr>
                                <w:color w:val="A6A6A6"/>
                                <w:sz w:val="16"/>
                                <w:szCs w:val="16"/>
                              </w:rPr>
                            </w:pPr>
                            <w:r w:rsidRPr="00E91BEE">
                              <w:rPr>
                                <w:color w:val="A6A6A6"/>
                                <w:sz w:val="16"/>
                                <w:szCs w:val="16"/>
                              </w:rPr>
                              <w:t>noetic solution</w:t>
                            </w:r>
                            <w:r>
                              <w:rPr>
                                <w:color w:val="A6A6A6"/>
                                <w:sz w:val="16"/>
                                <w:szCs w:val="16"/>
                              </w:rPr>
                              <w:t>s</w:t>
                            </w:r>
                            <w:r w:rsidRPr="00E91BEE">
                              <w:rPr>
                                <w:color w:val="A6A6A6"/>
                                <w:sz w:val="16"/>
                                <w:szCs w:val="16"/>
                              </w:rPr>
                              <w:t xml:space="preserve"> pty limited</w:t>
                            </w:r>
                          </w:p>
                          <w:p w:rsidR="008A62BF" w:rsidRPr="00E91BEE" w:rsidRDefault="008A62BF" w:rsidP="00D67B63">
                            <w:pPr>
                              <w:spacing w:after="60"/>
                              <w:jc w:val="right"/>
                              <w:rPr>
                                <w:color w:val="A6A6A6"/>
                                <w:sz w:val="16"/>
                                <w:szCs w:val="16"/>
                              </w:rPr>
                            </w:pPr>
                            <w:r w:rsidRPr="00E91BEE">
                              <w:rPr>
                                <w:color w:val="A6A6A6"/>
                                <w:sz w:val="16"/>
                                <w:szCs w:val="16"/>
                              </w:rPr>
                              <w:t>abn 87 098 132 024</w:t>
                            </w:r>
                          </w:p>
                          <w:p w:rsidR="008A62BF" w:rsidRPr="00E91BEE" w:rsidRDefault="008A62BF" w:rsidP="00D67B63">
                            <w:pPr>
                              <w:spacing w:after="0"/>
                              <w:jc w:val="right"/>
                              <w:rPr>
                                <w:color w:val="A6A6A6"/>
                                <w:sz w:val="16"/>
                                <w:szCs w:val="16"/>
                              </w:rPr>
                            </w:pPr>
                            <w:r>
                              <w:rPr>
                                <w:color w:val="A6A6A6"/>
                                <w:sz w:val="16"/>
                                <w:szCs w:val="16"/>
                              </w:rPr>
                              <w:t>locked bag 3001</w:t>
                            </w:r>
                          </w:p>
                          <w:p w:rsidR="008A62BF" w:rsidRPr="00E91BEE" w:rsidRDefault="008A62BF" w:rsidP="00D67B63">
                            <w:pPr>
                              <w:spacing w:after="0"/>
                              <w:jc w:val="right"/>
                              <w:rPr>
                                <w:color w:val="A6A6A6"/>
                                <w:sz w:val="16"/>
                                <w:szCs w:val="16"/>
                              </w:rPr>
                            </w:pPr>
                            <w:r>
                              <w:rPr>
                                <w:color w:val="A6A6A6"/>
                                <w:sz w:val="16"/>
                                <w:szCs w:val="16"/>
                              </w:rPr>
                              <w:t>deakin west act 2600</w:t>
                            </w:r>
                          </w:p>
                          <w:p w:rsidR="008A62BF" w:rsidRPr="00E91BEE" w:rsidRDefault="008A62BF" w:rsidP="00D67B63">
                            <w:pPr>
                              <w:spacing w:after="60"/>
                              <w:jc w:val="right"/>
                              <w:rPr>
                                <w:color w:val="A6A6A6"/>
                                <w:sz w:val="16"/>
                                <w:szCs w:val="16"/>
                              </w:rPr>
                            </w:pPr>
                            <w:r w:rsidRPr="00E91BEE">
                              <w:rPr>
                                <w:color w:val="A6A6A6"/>
                                <w:sz w:val="16"/>
                                <w:szCs w:val="16"/>
                              </w:rPr>
                              <w:t>australia</w:t>
                            </w:r>
                          </w:p>
                          <w:p w:rsidR="008A62BF" w:rsidRPr="00E91BEE" w:rsidRDefault="008A62BF" w:rsidP="00D67B63">
                            <w:pPr>
                              <w:spacing w:after="0"/>
                              <w:jc w:val="right"/>
                              <w:rPr>
                                <w:color w:val="A6A6A6"/>
                                <w:sz w:val="16"/>
                                <w:szCs w:val="16"/>
                              </w:rPr>
                            </w:pPr>
                            <w:r w:rsidRPr="00E91BEE">
                              <w:rPr>
                                <w:color w:val="A6A6A6"/>
                                <w:sz w:val="16"/>
                                <w:szCs w:val="16"/>
                              </w:rPr>
                              <w:t xml:space="preserve">phone  +61 </w:t>
                            </w:r>
                            <w:r>
                              <w:rPr>
                                <w:color w:val="A6A6A6"/>
                                <w:sz w:val="16"/>
                                <w:szCs w:val="16"/>
                              </w:rPr>
                              <w:t>2 6234 7777</w:t>
                            </w:r>
                          </w:p>
                          <w:p w:rsidR="008A62BF" w:rsidRPr="00E91BEE" w:rsidRDefault="008A62BF" w:rsidP="00D67B63">
                            <w:pPr>
                              <w:spacing w:after="60"/>
                              <w:jc w:val="right"/>
                              <w:rPr>
                                <w:color w:val="A6A6A6"/>
                                <w:sz w:val="16"/>
                                <w:szCs w:val="16"/>
                              </w:rPr>
                            </w:pPr>
                            <w:r w:rsidRPr="00E91BEE">
                              <w:rPr>
                                <w:color w:val="A6A6A6"/>
                                <w:sz w:val="16"/>
                                <w:szCs w:val="16"/>
                              </w:rPr>
                              <w:t>fax   +</w:t>
                            </w:r>
                            <w:r>
                              <w:rPr>
                                <w:color w:val="A6A6A6"/>
                                <w:sz w:val="16"/>
                                <w:szCs w:val="16"/>
                              </w:rPr>
                              <w:t>61 2 6232 6515</w:t>
                            </w:r>
                          </w:p>
                          <w:p w:rsidR="008A62BF" w:rsidRPr="001D0782" w:rsidRDefault="008A62BF" w:rsidP="00D67B63">
                            <w:pPr>
                              <w:spacing w:after="0"/>
                              <w:jc w:val="right"/>
                              <w:rPr>
                                <w:color w:val="31849B"/>
                                <w:sz w:val="16"/>
                                <w:szCs w:val="16"/>
                              </w:rPr>
                            </w:pPr>
                            <w:r w:rsidRPr="001D0782">
                              <w:rPr>
                                <w:color w:val="31849B"/>
                                <w:sz w:val="16"/>
                                <w:szCs w:val="16"/>
                              </w:rPr>
                              <w:t>www.noeticgroup.com</w:t>
                            </w:r>
                          </w:p>
                        </w:txbxContent>
                      </wps:txbx>
                      <wps:bodyPr rot="0" vert="horz" wrap="square" lIns="274320" tIns="274320" rIns="274320" bIns="274320" anchor="ctr" anchorCtr="0" upright="1">
                        <a:spAutoFit/>
                      </wps:bodyPr>
                    </wps:wsp>
                  </a:graphicData>
                </a:graphic>
                <wp14:sizeRelH relativeFrom="margin">
                  <wp14:pctWidth>40000</wp14:pctWidth>
                </wp14:sizeRelH>
                <wp14:sizeRelV relativeFrom="page">
                  <wp14:pctHeight>0</wp14:pctHeight>
                </wp14:sizeRelV>
              </wp:anchor>
            </w:drawing>
          </mc:Choice>
          <mc:Fallback>
            <w:pict>
              <v:rect w14:anchorId="36ACE1AB" id="Rectangle 4" o:spid="_x0000_s1026" style="position:absolute;margin-left:201.25pt;margin-top:-27.05pt;width:175.75pt;height:125.8pt;flip:x;z-index:251674624;visibility:visible;mso-wrap-style:square;mso-width-percent:400;mso-height-percent:0;mso-wrap-distance-left:9pt;mso-wrap-distance-top:7.2pt;mso-wrap-distance-right:9pt;mso-wrap-distance-bottom:7.2pt;mso-position-horizontal:absolute;mso-position-horizontal-relative:margin;mso-position-vertical:absolute;mso-position-vertical-relative:margin;mso-width-percent:4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" o:allowincell="f" filled="f" fillcolor="black" stroked="f" strokeweight="1.5pt">
                <v:textbox style="mso-fit-shape-to-text:t" inset="21.6pt,21.6pt,21.6pt,21.6pt">
                  <w:txbxContent>
                    <w:p w:rsidR="008A62BF" w:rsidRPr="00E91BEE" w:rsidRDefault="008A62BF" w:rsidP="00D67B63">
                      <w:pPr>
                        <w:spacing w:after="0"/>
                        <w:jc w:val="right"/>
                        <w:rPr>
                          <w:color w:val="A6A6A6"/>
                          <w:sz w:val="16"/>
                          <w:szCs w:val="16"/>
                        </w:rPr>
                      </w:pPr>
                      <w:r w:rsidRPr="00E91BEE">
                        <w:rPr>
                          <w:color w:val="A6A6A6"/>
                          <w:sz w:val="16"/>
                          <w:szCs w:val="16"/>
                        </w:rPr>
                        <w:t>noetic solution</w:t>
                      </w:r>
                      <w:r>
                        <w:rPr>
                          <w:color w:val="A6A6A6"/>
                          <w:sz w:val="16"/>
                          <w:szCs w:val="16"/>
                        </w:rPr>
                        <w:t>s</w:t>
                      </w:r>
                      <w:r w:rsidRPr="00E91BEE">
                        <w:rPr>
                          <w:color w:val="A6A6A6"/>
                          <w:sz w:val="16"/>
                          <w:szCs w:val="16"/>
                        </w:rPr>
                        <w:t xml:space="preserve"> pty limited</w:t>
                      </w:r>
                    </w:p>
                    <w:p w:rsidR="008A62BF" w:rsidRPr="00E91BEE" w:rsidRDefault="008A62BF" w:rsidP="00D67B63">
                      <w:pPr>
                        <w:spacing w:after="60"/>
                        <w:jc w:val="right"/>
                        <w:rPr>
                          <w:color w:val="A6A6A6"/>
                          <w:sz w:val="16"/>
                          <w:szCs w:val="16"/>
                        </w:rPr>
                      </w:pPr>
                      <w:r w:rsidRPr="00E91BEE">
                        <w:rPr>
                          <w:color w:val="A6A6A6"/>
                          <w:sz w:val="16"/>
                          <w:szCs w:val="16"/>
                        </w:rPr>
                        <w:t>abn 87 098 132 024</w:t>
                      </w:r>
                    </w:p>
                    <w:p w:rsidR="008A62BF" w:rsidRPr="00E91BEE" w:rsidRDefault="008A62BF" w:rsidP="00D67B63">
                      <w:pPr>
                        <w:spacing w:after="0"/>
                        <w:jc w:val="right"/>
                        <w:rPr>
                          <w:color w:val="A6A6A6"/>
                          <w:sz w:val="16"/>
                          <w:szCs w:val="16"/>
                        </w:rPr>
                      </w:pPr>
                      <w:r>
                        <w:rPr>
                          <w:color w:val="A6A6A6"/>
                          <w:sz w:val="16"/>
                          <w:szCs w:val="16"/>
                        </w:rPr>
                        <w:t>locked bag 3001</w:t>
                      </w:r>
                    </w:p>
                    <w:p w:rsidR="008A62BF" w:rsidRPr="00E91BEE" w:rsidRDefault="008A62BF" w:rsidP="00D67B63">
                      <w:pPr>
                        <w:spacing w:after="0"/>
                        <w:jc w:val="right"/>
                        <w:rPr>
                          <w:color w:val="A6A6A6"/>
                          <w:sz w:val="16"/>
                          <w:szCs w:val="16"/>
                        </w:rPr>
                      </w:pPr>
                      <w:r>
                        <w:rPr>
                          <w:color w:val="A6A6A6"/>
                          <w:sz w:val="16"/>
                          <w:szCs w:val="16"/>
                        </w:rPr>
                        <w:t>deakin west act 2600</w:t>
                      </w:r>
                    </w:p>
                    <w:p w:rsidR="008A62BF" w:rsidRPr="00E91BEE" w:rsidRDefault="008A62BF" w:rsidP="00D67B63">
                      <w:pPr>
                        <w:spacing w:after="60"/>
                        <w:jc w:val="right"/>
                        <w:rPr>
                          <w:color w:val="A6A6A6"/>
                          <w:sz w:val="16"/>
                          <w:szCs w:val="16"/>
                        </w:rPr>
                      </w:pPr>
                      <w:r w:rsidRPr="00E91BEE">
                        <w:rPr>
                          <w:color w:val="A6A6A6"/>
                          <w:sz w:val="16"/>
                          <w:szCs w:val="16"/>
                        </w:rPr>
                        <w:t>australia</w:t>
                      </w:r>
                    </w:p>
                    <w:p w:rsidR="008A62BF" w:rsidRPr="00E91BEE" w:rsidRDefault="008A62BF" w:rsidP="00D67B63">
                      <w:pPr>
                        <w:spacing w:after="0"/>
                        <w:jc w:val="right"/>
                        <w:rPr>
                          <w:color w:val="A6A6A6"/>
                          <w:sz w:val="16"/>
                          <w:szCs w:val="16"/>
                        </w:rPr>
                      </w:pPr>
                      <w:r w:rsidRPr="00E91BEE">
                        <w:rPr>
                          <w:color w:val="A6A6A6"/>
                          <w:sz w:val="16"/>
                          <w:szCs w:val="16"/>
                        </w:rPr>
                        <w:t xml:space="preserve">phone  +61 </w:t>
                      </w:r>
                      <w:r>
                        <w:rPr>
                          <w:color w:val="A6A6A6"/>
                          <w:sz w:val="16"/>
                          <w:szCs w:val="16"/>
                        </w:rPr>
                        <w:t>2 6234 7777</w:t>
                      </w:r>
                    </w:p>
                    <w:p w:rsidR="008A62BF" w:rsidRPr="00E91BEE" w:rsidRDefault="008A62BF" w:rsidP="00D67B63">
                      <w:pPr>
                        <w:spacing w:after="60"/>
                        <w:jc w:val="right"/>
                        <w:rPr>
                          <w:color w:val="A6A6A6"/>
                          <w:sz w:val="16"/>
                          <w:szCs w:val="16"/>
                        </w:rPr>
                      </w:pPr>
                      <w:r w:rsidRPr="00E91BEE">
                        <w:rPr>
                          <w:color w:val="A6A6A6"/>
                          <w:sz w:val="16"/>
                          <w:szCs w:val="16"/>
                        </w:rPr>
                        <w:t>fax   +</w:t>
                      </w:r>
                      <w:r>
                        <w:rPr>
                          <w:color w:val="A6A6A6"/>
                          <w:sz w:val="16"/>
                          <w:szCs w:val="16"/>
                        </w:rPr>
                        <w:t>61 2 6232 6515</w:t>
                      </w:r>
                    </w:p>
                    <w:p w:rsidR="008A62BF" w:rsidRPr="001D0782" w:rsidRDefault="008A62BF" w:rsidP="00D67B63">
                      <w:pPr>
                        <w:spacing w:after="0"/>
                        <w:jc w:val="right"/>
                        <w:rPr>
                          <w:color w:val="31849B"/>
                          <w:sz w:val="16"/>
                          <w:szCs w:val="16"/>
                        </w:rPr>
                      </w:pPr>
                      <w:r w:rsidRPr="001D0782">
                        <w:rPr>
                          <w:color w:val="31849B"/>
                          <w:sz w:val="16"/>
                          <w:szCs w:val="16"/>
                        </w:rPr>
                        <w:t>www.noeticgroup.com</w:t>
                      </w:r>
                    </w:p>
                  </w:txbxContent>
                </v:textbox>
                <w10:wrap type="square" anchorx="margin" anchory="margin"/>
              </v:rect>
            </w:pict>
          </mc:Fallback>
        </mc:AlternateContent>
      </w:r>
      <w:r w:rsidRPr="00D67B63">
        <w:rPr>
          <w:noProof/>
          <w:sz w:val="16"/>
          <w:lang w:eastAsia="en-AU"/>
        </w:rPr>
        <w:drawing>
          <wp:anchor distT="0" distB="0" distL="114300" distR="114300" simplePos="0" relativeHeight="251675648" behindDoc="1" locked="0" layoutInCell="1" allowOverlap="1" wp14:anchorId="1A0D0ECC" wp14:editId="01FD5C90">
            <wp:simplePos x="0" y="0"/>
            <wp:positionH relativeFrom="column">
              <wp:posOffset>4671060</wp:posOffset>
            </wp:positionH>
            <wp:positionV relativeFrom="paragraph">
              <wp:posOffset>-107315</wp:posOffset>
            </wp:positionV>
            <wp:extent cx="676910" cy="1188720"/>
            <wp:effectExtent l="0" t="0" r="8890" b="0"/>
            <wp:wrapThrough wrapText="bothSides">
              <wp:wrapPolygon edited="0">
                <wp:start x="0" y="0"/>
                <wp:lineTo x="0" y="21115"/>
                <wp:lineTo x="21276" y="21115"/>
                <wp:lineTo x="21276" y="0"/>
                <wp:lineTo x="0" y="0"/>
              </wp:wrapPolygon>
            </wp:wrapThrough>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76910" cy="1188720"/>
                    </a:xfrm>
                    <a:prstGeom prst="rect">
                      <a:avLst/>
                    </a:prstGeom>
                    <a:noFill/>
                  </pic:spPr>
                </pic:pic>
              </a:graphicData>
            </a:graphic>
            <wp14:sizeRelH relativeFrom="page">
              <wp14:pctWidth>0</wp14:pctWidth>
            </wp14:sizeRelH>
            <wp14:sizeRelV relativeFrom="page">
              <wp14:pctHeight>0</wp14:pctHeight>
            </wp14:sizeRelV>
          </wp:anchor>
        </w:drawing>
      </w:r>
      <w:r w:rsidR="00326935" w:rsidRPr="00D67B63">
        <w:rPr>
          <w:sz w:val="16"/>
        </w:rPr>
        <w:t>30 June 2015</w:t>
      </w:r>
    </w:p>
    <w:p w:rsidR="00326935" w:rsidRPr="00D67B63" w:rsidRDefault="00326935" w:rsidP="00326935">
      <w:pPr>
        <w:pStyle w:val="BodyText"/>
        <w:spacing w:after="0"/>
        <w:rPr>
          <w:b/>
          <w:sz w:val="16"/>
        </w:rPr>
      </w:pPr>
      <w:r w:rsidRPr="00D67B63">
        <w:rPr>
          <w:b/>
          <w:sz w:val="16"/>
        </w:rPr>
        <w:t>The Hon. Ian Macfarlane MP</w:t>
      </w:r>
    </w:p>
    <w:p w:rsidR="00326935" w:rsidRPr="00D67B63" w:rsidRDefault="00326935" w:rsidP="00326935">
      <w:pPr>
        <w:pStyle w:val="ClientAddressonLetterHead"/>
        <w:rPr>
          <w:sz w:val="16"/>
        </w:rPr>
      </w:pPr>
      <w:r w:rsidRPr="00D67B63">
        <w:rPr>
          <w:sz w:val="16"/>
        </w:rPr>
        <w:t>Minister for Industry and Science</w:t>
      </w:r>
    </w:p>
    <w:p w:rsidR="00326935" w:rsidRPr="00D67B63" w:rsidRDefault="00326935" w:rsidP="00326935">
      <w:pPr>
        <w:pStyle w:val="ClientAddressonLetterHead"/>
        <w:rPr>
          <w:sz w:val="16"/>
        </w:rPr>
      </w:pPr>
      <w:r w:rsidRPr="00D67B63">
        <w:rPr>
          <w:sz w:val="16"/>
        </w:rPr>
        <w:t>House of Representatives</w:t>
      </w:r>
    </w:p>
    <w:p w:rsidR="00326935" w:rsidRPr="00D67B63" w:rsidRDefault="00326935" w:rsidP="00326935">
      <w:pPr>
        <w:pStyle w:val="ClientAddressonLetterHead"/>
        <w:rPr>
          <w:sz w:val="16"/>
        </w:rPr>
      </w:pPr>
      <w:r w:rsidRPr="00D67B63">
        <w:rPr>
          <w:noProof/>
          <w:sz w:val="16"/>
          <w:lang w:eastAsia="en-AU"/>
        </w:rPr>
        <w:drawing>
          <wp:anchor distT="0" distB="0" distL="114300" distR="114300" simplePos="0" relativeHeight="251672576" behindDoc="1" locked="1" layoutInCell="1" allowOverlap="1" wp14:anchorId="6FD4B97B" wp14:editId="4EDC943A">
            <wp:simplePos x="0" y="0"/>
            <wp:positionH relativeFrom="page">
              <wp:posOffset>6305550</wp:posOffset>
            </wp:positionH>
            <wp:positionV relativeFrom="page">
              <wp:posOffset>791845</wp:posOffset>
            </wp:positionV>
            <wp:extent cx="676910" cy="1190625"/>
            <wp:effectExtent l="0" t="0" r="8890" b="9525"/>
            <wp:wrapNone/>
            <wp:docPr id="7" name="Picture 6" descr="letterhead_header_canber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etterhead_header_canberra"/>
                    <pic:cNvPicPr>
                      <a:picLocks noChangeAspect="1" noChangeArrowheads="1"/>
                    </pic:cNvPicPr>
                  </pic:nvPicPr>
                  <pic:blipFill>
                    <a:blip r:embed="rId27">
                      <a:extLst>
                        <a:ext uri="{28A0092B-C50C-407E-A947-70E740481C1C}">
                          <a14:useLocalDpi xmlns:a14="http://schemas.microsoft.com/office/drawing/2010/main" val="0"/>
                        </a:ext>
                      </a:extLst>
                    </a:blip>
                    <a:srcRect l="64818"/>
                    <a:stretch>
                      <a:fillRect/>
                    </a:stretch>
                  </pic:blipFill>
                  <pic:spPr bwMode="auto">
                    <a:xfrm>
                      <a:off x="0" y="0"/>
                      <a:ext cx="676910" cy="1190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67B63">
        <w:rPr>
          <w:noProof/>
          <w:sz w:val="16"/>
          <w:lang w:eastAsia="en-AU"/>
        </w:rPr>
        <w:t>Parliament House</w:t>
      </w:r>
    </w:p>
    <w:p w:rsidR="00326935" w:rsidRPr="00D67B63" w:rsidRDefault="00326935" w:rsidP="00326935">
      <w:pPr>
        <w:pStyle w:val="ClientAddressonLetterHead"/>
        <w:rPr>
          <w:rFonts w:ascii="Arial Bold" w:hAnsi="Arial Bold"/>
          <w:b/>
          <w:bCs/>
          <w:sz w:val="16"/>
          <w:szCs w:val="16"/>
        </w:rPr>
      </w:pPr>
      <w:r w:rsidRPr="00D67B63">
        <w:rPr>
          <w:sz w:val="16"/>
          <w:szCs w:val="16"/>
        </w:rPr>
        <w:t>CANBERRA ACT 2600</w:t>
      </w:r>
    </w:p>
    <w:p w:rsidR="00326935" w:rsidRPr="00D67B63" w:rsidRDefault="00326935" w:rsidP="00326935">
      <w:pPr>
        <w:pStyle w:val="BodyText"/>
        <w:rPr>
          <w:sz w:val="16"/>
          <w:szCs w:val="16"/>
        </w:rPr>
      </w:pPr>
      <w:r w:rsidRPr="00D67B63">
        <w:rPr>
          <w:sz w:val="16"/>
          <w:szCs w:val="16"/>
        </w:rPr>
        <w:t>Dear Minister</w:t>
      </w:r>
    </w:p>
    <w:p w:rsidR="00326935" w:rsidRPr="00D67B63" w:rsidRDefault="00326935" w:rsidP="00326935">
      <w:pPr>
        <w:pStyle w:val="BodyText"/>
        <w:rPr>
          <w:b/>
          <w:sz w:val="16"/>
          <w:szCs w:val="16"/>
        </w:rPr>
      </w:pPr>
      <w:r w:rsidRPr="00D67B63">
        <w:rPr>
          <w:b/>
          <w:sz w:val="16"/>
          <w:szCs w:val="16"/>
        </w:rPr>
        <w:t>2015 Operational Review of the National Offshore Petroleum Titles Administrator (NOPTA)</w:t>
      </w:r>
    </w:p>
    <w:p w:rsidR="00326935" w:rsidRPr="00D67B63" w:rsidRDefault="00326935" w:rsidP="00BE295F">
      <w:pPr>
        <w:pStyle w:val="BodyText"/>
        <w:spacing w:before="240" w:after="0"/>
        <w:contextualSpacing/>
        <w:rPr>
          <w:b/>
          <w:sz w:val="16"/>
          <w:szCs w:val="16"/>
        </w:rPr>
      </w:pPr>
      <w:r w:rsidRPr="00D67B63">
        <w:rPr>
          <w:b/>
          <w:sz w:val="16"/>
          <w:szCs w:val="16"/>
        </w:rPr>
        <w:t>Reference:</w:t>
      </w:r>
    </w:p>
    <w:p w:rsidR="00326935" w:rsidRPr="00D67B63" w:rsidRDefault="00326935" w:rsidP="00326935">
      <w:pPr>
        <w:pStyle w:val="AnnexL1"/>
        <w:numPr>
          <w:ilvl w:val="0"/>
          <w:numId w:val="9"/>
        </w:numPr>
        <w:ind w:left="357" w:hanging="357"/>
        <w:rPr>
          <w:sz w:val="16"/>
          <w:szCs w:val="16"/>
        </w:rPr>
      </w:pPr>
      <w:r w:rsidRPr="00D67B63">
        <w:rPr>
          <w:sz w:val="16"/>
          <w:szCs w:val="16"/>
        </w:rPr>
        <w:t>2015 NOPTA Operational Review Terms of Reference, dated 06 March 2015</w:t>
      </w:r>
    </w:p>
    <w:p w:rsidR="00326935" w:rsidRPr="00D67B63" w:rsidRDefault="00326935" w:rsidP="00326935">
      <w:pPr>
        <w:pStyle w:val="BodyText"/>
        <w:rPr>
          <w:sz w:val="16"/>
          <w:szCs w:val="16"/>
        </w:rPr>
      </w:pPr>
      <w:r w:rsidRPr="00D67B63">
        <w:rPr>
          <w:sz w:val="16"/>
          <w:szCs w:val="16"/>
        </w:rPr>
        <w:t xml:space="preserve">Thank you for the opportunity to assist the Government with the first operational review of NOPTA. The review was conducted in accordance with Section 695P of the Offshore Petroleum and Greenhouse Gas Storage Act 2006 and the Terms of Reference provided by the Department of Industry and Science. </w:t>
      </w:r>
    </w:p>
    <w:p w:rsidR="00326935" w:rsidRPr="00D67B63" w:rsidRDefault="00326935" w:rsidP="00326935">
      <w:pPr>
        <w:pStyle w:val="BodyText"/>
        <w:rPr>
          <w:sz w:val="16"/>
          <w:szCs w:val="16"/>
        </w:rPr>
      </w:pPr>
      <w:r w:rsidRPr="00D67B63">
        <w:rPr>
          <w:sz w:val="16"/>
          <w:szCs w:val="16"/>
        </w:rPr>
        <w:t>I am pleased to enclose our final report. The report and recommendations were developed after an extensive process which included stakeholder interviews, an online stakeholder survey and a review of NOPTA’s documents and processes.</w:t>
      </w:r>
    </w:p>
    <w:p w:rsidR="00326935" w:rsidRPr="00D67B63" w:rsidRDefault="00326935" w:rsidP="00326935">
      <w:pPr>
        <w:pStyle w:val="BodyText"/>
        <w:rPr>
          <w:sz w:val="16"/>
          <w:szCs w:val="16"/>
        </w:rPr>
      </w:pPr>
      <w:r w:rsidRPr="00D67B63">
        <w:rPr>
          <w:sz w:val="16"/>
          <w:szCs w:val="16"/>
        </w:rPr>
        <w:t xml:space="preserve">Much has been achieved since NOPTA’s creation on 1 January 2012. The recommendations made in this report provide an opportunity to build upon these foundations and strengthen Australia’s offshore petroleum and greenhouse gas storage industries. </w:t>
      </w:r>
    </w:p>
    <w:p w:rsidR="00326935" w:rsidRPr="00D67B63" w:rsidRDefault="00326935" w:rsidP="00326935">
      <w:pPr>
        <w:rPr>
          <w:sz w:val="16"/>
          <w:szCs w:val="16"/>
          <w:lang w:eastAsia="zh-CN"/>
        </w:rPr>
      </w:pPr>
      <w:r w:rsidRPr="00D67B63">
        <w:rPr>
          <w:sz w:val="16"/>
          <w:szCs w:val="16"/>
        </w:rPr>
        <w:t>Yours sincerely</w:t>
      </w:r>
    </w:p>
    <w:p w:rsidR="00326935" w:rsidRPr="00D67B63" w:rsidRDefault="00326935" w:rsidP="00326935">
      <w:pPr>
        <w:pStyle w:val="Noetic-BodyText"/>
        <w:rPr>
          <w:sz w:val="16"/>
          <w:szCs w:val="16"/>
        </w:rPr>
      </w:pPr>
      <w:r w:rsidRPr="00D67B63">
        <w:rPr>
          <w:noProof/>
          <w:sz w:val="16"/>
          <w:szCs w:val="16"/>
          <w:lang w:eastAsia="en-AU"/>
        </w:rPr>
        <w:drawing>
          <wp:inline distT="0" distB="0" distL="0" distR="0" wp14:anchorId="7F2F5F17" wp14:editId="575FF662">
            <wp:extent cx="996950" cy="679450"/>
            <wp:effectExtent l="0" t="0" r="0" b="0"/>
            <wp:docPr id="4" name="Picture 4"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996950" cy="679450"/>
                    </a:xfrm>
                    <a:prstGeom prst="rect">
                      <a:avLst/>
                    </a:prstGeom>
                    <a:noFill/>
                    <a:ln>
                      <a:noFill/>
                    </a:ln>
                  </pic:spPr>
                </pic:pic>
              </a:graphicData>
            </a:graphic>
          </wp:inline>
        </w:drawing>
      </w:r>
    </w:p>
    <w:p w:rsidR="00326935" w:rsidRPr="00D67B63" w:rsidRDefault="00326935" w:rsidP="00326935">
      <w:pPr>
        <w:pStyle w:val="BodyText"/>
        <w:rPr>
          <w:sz w:val="16"/>
          <w:szCs w:val="16"/>
        </w:rPr>
      </w:pPr>
      <w:r w:rsidRPr="00D67B63">
        <w:rPr>
          <w:sz w:val="16"/>
          <w:szCs w:val="16"/>
        </w:rPr>
        <w:t>Peter Murphy</w:t>
      </w:r>
    </w:p>
    <w:p w:rsidR="00326935" w:rsidRPr="00D67B63" w:rsidRDefault="00326935" w:rsidP="00326935">
      <w:pPr>
        <w:pStyle w:val="SignitureBlock-Details"/>
        <w:rPr>
          <w:sz w:val="16"/>
          <w:szCs w:val="16"/>
        </w:rPr>
      </w:pPr>
      <w:r w:rsidRPr="00D67B63">
        <w:rPr>
          <w:sz w:val="16"/>
          <w:szCs w:val="16"/>
        </w:rPr>
        <w:t>Chief Executive Officer</w:t>
      </w:r>
      <w:r w:rsidRPr="00D67B63">
        <w:rPr>
          <w:sz w:val="16"/>
          <w:szCs w:val="16"/>
        </w:rPr>
        <w:br/>
        <w:t>Mobile: +61 416 064 464</w:t>
      </w:r>
      <w:r w:rsidRPr="00D67B63">
        <w:rPr>
          <w:sz w:val="16"/>
          <w:szCs w:val="16"/>
        </w:rPr>
        <w:br/>
        <w:t xml:space="preserve">Email: </w:t>
      </w:r>
      <w:hyperlink r:id="rId29" w:history="1">
        <w:r w:rsidRPr="00D67B63">
          <w:rPr>
            <w:rStyle w:val="Hyperlink"/>
            <w:sz w:val="16"/>
            <w:szCs w:val="16"/>
          </w:rPr>
          <w:t>peter.murphy@noeticgroup.com</w:t>
        </w:r>
      </w:hyperlink>
      <w:r w:rsidRPr="00D67B63">
        <w:rPr>
          <w:sz w:val="16"/>
          <w:szCs w:val="16"/>
        </w:rPr>
        <w:t xml:space="preserve"> </w:t>
      </w:r>
    </w:p>
    <w:p w:rsidR="00326935" w:rsidRPr="00D67B63" w:rsidRDefault="00326935" w:rsidP="00BE295F">
      <w:pPr>
        <w:pStyle w:val="BodyText"/>
        <w:rPr>
          <w:b/>
          <w:sz w:val="16"/>
          <w:szCs w:val="16"/>
        </w:rPr>
      </w:pPr>
      <w:r w:rsidRPr="00D67B63">
        <w:rPr>
          <w:b/>
          <w:sz w:val="16"/>
          <w:szCs w:val="16"/>
        </w:rPr>
        <w:t>Enclosure:</w:t>
      </w:r>
    </w:p>
    <w:p w:rsidR="003717F6" w:rsidRDefault="00326935" w:rsidP="00A757A8">
      <w:pPr>
        <w:pStyle w:val="EnclL1"/>
        <w:numPr>
          <w:ilvl w:val="0"/>
          <w:numId w:val="10"/>
        </w:numPr>
        <w:ind w:left="357" w:hanging="357"/>
      </w:pPr>
      <w:r w:rsidRPr="00D67B63">
        <w:rPr>
          <w:sz w:val="16"/>
          <w:szCs w:val="16"/>
        </w:rPr>
        <w:t>2015 Operational Review Of The National Offshore Petroleum Titles Administrator, Report for the Commonwealth Minister for Industry a</w:t>
      </w:r>
      <w:r w:rsidR="00D67B63" w:rsidRPr="00D67B63">
        <w:rPr>
          <w:sz w:val="16"/>
          <w:szCs w:val="16"/>
        </w:rPr>
        <w:t>nd Science, Dated 30 June 2015.</w:t>
      </w:r>
      <w:r w:rsidR="00A757A8" w:rsidRPr="00D85E28">
        <w:br w:type="page"/>
      </w:r>
      <w:bookmarkStart w:id="14" w:name="_Toc169440132"/>
      <w:bookmarkStart w:id="15" w:name="_Toc422740226"/>
    </w:p>
    <w:sdt>
      <w:sdtPr>
        <w:rPr>
          <w:rFonts w:ascii="Arial" w:eastAsia="Times New Roman" w:hAnsi="Arial" w:cs="Times New Roman"/>
          <w:b w:val="0"/>
          <w:bCs w:val="0"/>
          <w:color w:val="auto"/>
          <w:sz w:val="18"/>
          <w:szCs w:val="20"/>
          <w:lang w:val="en-AU" w:eastAsia="en-US"/>
        </w:rPr>
        <w:id w:val="-1057777852"/>
        <w:docPartObj>
          <w:docPartGallery w:val="Table of Contents"/>
          <w:docPartUnique/>
        </w:docPartObj>
      </w:sdtPr>
      <w:sdtEndPr>
        <w:rPr>
          <w:noProof/>
        </w:rPr>
      </w:sdtEndPr>
      <w:sdtContent>
        <w:p w:rsidR="003717F6" w:rsidRPr="003717F6" w:rsidRDefault="003717F6">
          <w:pPr>
            <w:pStyle w:val="TOCHeading"/>
            <w:rPr>
              <w:rFonts w:ascii="Arial" w:hAnsi="Arial" w:cs="Arial"/>
              <w:b w:val="0"/>
              <w:caps/>
              <w:color w:val="auto"/>
              <w:sz w:val="18"/>
              <w:szCs w:val="18"/>
            </w:rPr>
          </w:pPr>
          <w:r w:rsidRPr="003717F6">
            <w:rPr>
              <w:rFonts w:ascii="Arial" w:hAnsi="Arial" w:cs="Arial"/>
              <w:b w:val="0"/>
              <w:caps/>
              <w:color w:val="auto"/>
              <w:sz w:val="18"/>
              <w:szCs w:val="18"/>
            </w:rPr>
            <w:t>Contents</w:t>
          </w:r>
        </w:p>
        <w:p w:rsidR="003717F6" w:rsidRDefault="003717F6" w:rsidP="00EC3634">
          <w:pPr>
            <w:pStyle w:val="TOC1"/>
            <w:rPr>
              <w:rFonts w:asciiTheme="minorHAnsi" w:eastAsiaTheme="minorEastAsia" w:hAnsiTheme="minorHAnsi" w:cstheme="minorBidi"/>
              <w:color w:val="000000"/>
              <w:sz w:val="22"/>
              <w:szCs w:val="22"/>
              <w:lang w:eastAsia="en-AU"/>
              <w14:textFill>
                <w14:solidFill>
                  <w14:srgbClr w14:val="000000">
                    <w14:lumMod w14:val="50000"/>
                  </w14:srgbClr>
                </w14:solidFill>
              </w14:textFill>
            </w:rPr>
          </w:pPr>
          <w:r>
            <w:fldChar w:fldCharType="begin"/>
          </w:r>
          <w:r>
            <w:instrText xml:space="preserve"> TOC \o "1-4" \h \z \u </w:instrText>
          </w:r>
          <w:r>
            <w:fldChar w:fldCharType="separate"/>
          </w:r>
          <w:hyperlink w:anchor="_Toc430102170" w:history="1">
            <w:r w:rsidRPr="00091212">
              <w:rPr>
                <w:rStyle w:val="Hyperlink"/>
              </w:rPr>
              <w:t>2015 OPERATIONAL REVIEW OF THE NATIONAL OFFSHORE PETROLEUM TITLES ADMINISTRATOR</w:t>
            </w:r>
            <w:r>
              <w:rPr>
                <w:webHidden/>
              </w:rPr>
              <w:tab/>
            </w:r>
            <w:r>
              <w:rPr>
                <w:webHidden/>
              </w:rPr>
              <w:fldChar w:fldCharType="begin"/>
            </w:r>
            <w:r>
              <w:rPr>
                <w:webHidden/>
              </w:rPr>
              <w:instrText xml:space="preserve"> PAGEREF _Toc430102170 \h </w:instrText>
            </w:r>
            <w:r>
              <w:rPr>
                <w:webHidden/>
              </w:rPr>
            </w:r>
            <w:r>
              <w:rPr>
                <w:webHidden/>
              </w:rPr>
              <w:fldChar w:fldCharType="separate"/>
            </w:r>
            <w:r w:rsidR="0041687E">
              <w:rPr>
                <w:webHidden/>
              </w:rPr>
              <w:t>I</w:t>
            </w:r>
            <w:r>
              <w:rPr>
                <w:webHidden/>
              </w:rPr>
              <w:fldChar w:fldCharType="end"/>
            </w:r>
          </w:hyperlink>
        </w:p>
        <w:p w:rsidR="003717F6" w:rsidRDefault="00D574B3">
          <w:pPr>
            <w:pStyle w:val="TOC2"/>
            <w:rPr>
              <w:rFonts w:asciiTheme="minorHAnsi" w:eastAsiaTheme="minorEastAsia" w:hAnsiTheme="minorHAnsi" w:cstheme="minorBidi"/>
              <w:noProof/>
              <w:sz w:val="22"/>
              <w:szCs w:val="22"/>
              <w:lang w:eastAsia="en-AU"/>
            </w:rPr>
          </w:pPr>
          <w:hyperlink w:anchor="_Toc430102171" w:history="1">
            <w:r w:rsidR="003717F6" w:rsidRPr="00091212">
              <w:rPr>
                <w:rStyle w:val="Hyperlink"/>
                <w:noProof/>
              </w:rPr>
              <w:t>Report for the Minister for Industry and Science</w:t>
            </w:r>
            <w:r w:rsidR="003717F6">
              <w:rPr>
                <w:noProof/>
                <w:webHidden/>
              </w:rPr>
              <w:tab/>
            </w:r>
            <w:r w:rsidR="003717F6">
              <w:rPr>
                <w:noProof/>
                <w:webHidden/>
              </w:rPr>
              <w:fldChar w:fldCharType="begin"/>
            </w:r>
            <w:r w:rsidR="003717F6">
              <w:rPr>
                <w:noProof/>
                <w:webHidden/>
              </w:rPr>
              <w:instrText xml:space="preserve"> PAGEREF _Toc430102171 \h </w:instrText>
            </w:r>
            <w:r w:rsidR="003717F6">
              <w:rPr>
                <w:noProof/>
                <w:webHidden/>
              </w:rPr>
            </w:r>
            <w:r w:rsidR="003717F6">
              <w:rPr>
                <w:noProof/>
                <w:webHidden/>
              </w:rPr>
              <w:fldChar w:fldCharType="separate"/>
            </w:r>
            <w:r w:rsidR="0041687E">
              <w:rPr>
                <w:noProof/>
                <w:webHidden/>
              </w:rPr>
              <w:t>I</w:t>
            </w:r>
            <w:r w:rsidR="003717F6">
              <w:rPr>
                <w:noProof/>
                <w:webHidden/>
              </w:rPr>
              <w:fldChar w:fldCharType="end"/>
            </w:r>
          </w:hyperlink>
        </w:p>
        <w:p w:rsidR="003717F6" w:rsidRDefault="00D574B3" w:rsidP="00EC3634">
          <w:pPr>
            <w:pStyle w:val="TOC1"/>
            <w:rPr>
              <w:rFonts w:asciiTheme="minorHAnsi" w:eastAsiaTheme="minorEastAsia" w:hAnsiTheme="minorHAnsi" w:cstheme="minorBidi"/>
              <w:color w:val="000000"/>
              <w:sz w:val="22"/>
              <w:szCs w:val="22"/>
              <w:lang w:eastAsia="en-AU"/>
              <w14:textFill>
                <w14:solidFill>
                  <w14:srgbClr w14:val="000000">
                    <w14:lumMod w14:val="50000"/>
                  </w14:srgbClr>
                </w14:solidFill>
              </w14:textFill>
            </w:rPr>
          </w:pPr>
          <w:hyperlink w:anchor="_Toc430102172" w:history="1">
            <w:r w:rsidR="003717F6" w:rsidRPr="00091212">
              <w:rPr>
                <w:rStyle w:val="Hyperlink"/>
              </w:rPr>
              <w:t>EXECUTIVE SUMMARY</w:t>
            </w:r>
            <w:r w:rsidR="003717F6">
              <w:rPr>
                <w:webHidden/>
              </w:rPr>
              <w:tab/>
            </w:r>
            <w:r w:rsidR="003717F6">
              <w:rPr>
                <w:webHidden/>
              </w:rPr>
              <w:fldChar w:fldCharType="begin"/>
            </w:r>
            <w:r w:rsidR="003717F6">
              <w:rPr>
                <w:webHidden/>
              </w:rPr>
              <w:instrText xml:space="preserve"> PAGEREF _Toc430102172 \h </w:instrText>
            </w:r>
            <w:r w:rsidR="003717F6">
              <w:rPr>
                <w:webHidden/>
              </w:rPr>
            </w:r>
            <w:r w:rsidR="003717F6">
              <w:rPr>
                <w:webHidden/>
              </w:rPr>
              <w:fldChar w:fldCharType="separate"/>
            </w:r>
            <w:r w:rsidR="0041687E">
              <w:rPr>
                <w:webHidden/>
              </w:rPr>
              <w:t>vi</w:t>
            </w:r>
            <w:r w:rsidR="003717F6">
              <w:rPr>
                <w:webHidden/>
              </w:rPr>
              <w:fldChar w:fldCharType="end"/>
            </w:r>
          </w:hyperlink>
        </w:p>
        <w:p w:rsidR="003717F6" w:rsidRDefault="00D574B3" w:rsidP="00EC3634">
          <w:pPr>
            <w:pStyle w:val="TOC1"/>
            <w:rPr>
              <w:rFonts w:asciiTheme="minorHAnsi" w:eastAsiaTheme="minorEastAsia" w:hAnsiTheme="minorHAnsi" w:cstheme="minorBidi"/>
              <w:color w:val="000000"/>
              <w:sz w:val="22"/>
              <w:szCs w:val="22"/>
              <w:lang w:eastAsia="en-AU"/>
              <w14:textFill>
                <w14:solidFill>
                  <w14:srgbClr w14:val="000000">
                    <w14:lumMod w14:val="50000"/>
                  </w14:srgbClr>
                </w14:solidFill>
              </w14:textFill>
            </w:rPr>
          </w:pPr>
          <w:hyperlink w:anchor="_Toc430102173" w:history="1">
            <w:r w:rsidR="003717F6" w:rsidRPr="00091212">
              <w:rPr>
                <w:rStyle w:val="Hyperlink"/>
              </w:rPr>
              <w:t>INTRODUCTION</w:t>
            </w:r>
            <w:r w:rsidR="003717F6">
              <w:rPr>
                <w:webHidden/>
              </w:rPr>
              <w:tab/>
            </w:r>
            <w:r w:rsidR="003717F6">
              <w:rPr>
                <w:webHidden/>
              </w:rPr>
              <w:fldChar w:fldCharType="begin"/>
            </w:r>
            <w:r w:rsidR="003717F6">
              <w:rPr>
                <w:webHidden/>
              </w:rPr>
              <w:instrText xml:space="preserve"> PAGEREF _Toc430102173 \h </w:instrText>
            </w:r>
            <w:r w:rsidR="003717F6">
              <w:rPr>
                <w:webHidden/>
              </w:rPr>
            </w:r>
            <w:r w:rsidR="003717F6">
              <w:rPr>
                <w:webHidden/>
              </w:rPr>
              <w:fldChar w:fldCharType="separate"/>
            </w:r>
            <w:r w:rsidR="0041687E">
              <w:rPr>
                <w:webHidden/>
              </w:rPr>
              <w:t>1</w:t>
            </w:r>
            <w:r w:rsidR="003717F6">
              <w:rPr>
                <w:webHidden/>
              </w:rPr>
              <w:fldChar w:fldCharType="end"/>
            </w:r>
          </w:hyperlink>
        </w:p>
        <w:p w:rsidR="003717F6" w:rsidRDefault="00D574B3">
          <w:pPr>
            <w:pStyle w:val="TOC2"/>
            <w:rPr>
              <w:rFonts w:asciiTheme="minorHAnsi" w:eastAsiaTheme="minorEastAsia" w:hAnsiTheme="minorHAnsi" w:cstheme="minorBidi"/>
              <w:noProof/>
              <w:sz w:val="22"/>
              <w:szCs w:val="22"/>
              <w:lang w:eastAsia="en-AU"/>
            </w:rPr>
          </w:pPr>
          <w:hyperlink w:anchor="_Toc430102174" w:history="1">
            <w:r w:rsidR="003717F6" w:rsidRPr="00091212">
              <w:rPr>
                <w:rStyle w:val="Hyperlink"/>
                <w:noProof/>
              </w:rPr>
              <w:t>Background</w:t>
            </w:r>
            <w:r w:rsidR="003717F6">
              <w:rPr>
                <w:noProof/>
                <w:webHidden/>
              </w:rPr>
              <w:tab/>
            </w:r>
            <w:r w:rsidR="003717F6">
              <w:rPr>
                <w:noProof/>
                <w:webHidden/>
              </w:rPr>
              <w:fldChar w:fldCharType="begin"/>
            </w:r>
            <w:r w:rsidR="003717F6">
              <w:rPr>
                <w:noProof/>
                <w:webHidden/>
              </w:rPr>
              <w:instrText xml:space="preserve"> PAGEREF _Toc430102174 \h </w:instrText>
            </w:r>
            <w:r w:rsidR="003717F6">
              <w:rPr>
                <w:noProof/>
                <w:webHidden/>
              </w:rPr>
            </w:r>
            <w:r w:rsidR="003717F6">
              <w:rPr>
                <w:noProof/>
                <w:webHidden/>
              </w:rPr>
              <w:fldChar w:fldCharType="separate"/>
            </w:r>
            <w:r w:rsidR="0041687E">
              <w:rPr>
                <w:noProof/>
                <w:webHidden/>
              </w:rPr>
              <w:t>1</w:t>
            </w:r>
            <w:r w:rsidR="003717F6">
              <w:rPr>
                <w:noProof/>
                <w:webHidden/>
              </w:rPr>
              <w:fldChar w:fldCharType="end"/>
            </w:r>
          </w:hyperlink>
        </w:p>
        <w:p w:rsidR="003717F6" w:rsidRDefault="00D574B3">
          <w:pPr>
            <w:pStyle w:val="TOC2"/>
            <w:rPr>
              <w:rFonts w:asciiTheme="minorHAnsi" w:eastAsiaTheme="minorEastAsia" w:hAnsiTheme="minorHAnsi" w:cstheme="minorBidi"/>
              <w:noProof/>
              <w:sz w:val="22"/>
              <w:szCs w:val="22"/>
              <w:lang w:eastAsia="en-AU"/>
            </w:rPr>
          </w:pPr>
          <w:hyperlink w:anchor="_Toc430102175" w:history="1">
            <w:r w:rsidR="003717F6" w:rsidRPr="00091212">
              <w:rPr>
                <w:rStyle w:val="Hyperlink"/>
                <w:noProof/>
              </w:rPr>
              <w:t>Aim</w:t>
            </w:r>
            <w:r w:rsidR="003717F6">
              <w:rPr>
                <w:noProof/>
                <w:webHidden/>
              </w:rPr>
              <w:tab/>
            </w:r>
            <w:r w:rsidR="003717F6">
              <w:rPr>
                <w:noProof/>
                <w:webHidden/>
              </w:rPr>
              <w:fldChar w:fldCharType="begin"/>
            </w:r>
            <w:r w:rsidR="003717F6">
              <w:rPr>
                <w:noProof/>
                <w:webHidden/>
              </w:rPr>
              <w:instrText xml:space="preserve"> PAGEREF _Toc430102175 \h </w:instrText>
            </w:r>
            <w:r w:rsidR="003717F6">
              <w:rPr>
                <w:noProof/>
                <w:webHidden/>
              </w:rPr>
            </w:r>
            <w:r w:rsidR="003717F6">
              <w:rPr>
                <w:noProof/>
                <w:webHidden/>
              </w:rPr>
              <w:fldChar w:fldCharType="separate"/>
            </w:r>
            <w:r w:rsidR="0041687E">
              <w:rPr>
                <w:noProof/>
                <w:webHidden/>
              </w:rPr>
              <w:t>1</w:t>
            </w:r>
            <w:r w:rsidR="003717F6">
              <w:rPr>
                <w:noProof/>
                <w:webHidden/>
              </w:rPr>
              <w:fldChar w:fldCharType="end"/>
            </w:r>
          </w:hyperlink>
        </w:p>
        <w:p w:rsidR="003717F6" w:rsidRDefault="00D574B3">
          <w:pPr>
            <w:pStyle w:val="TOC2"/>
            <w:rPr>
              <w:rFonts w:asciiTheme="minorHAnsi" w:eastAsiaTheme="minorEastAsia" w:hAnsiTheme="minorHAnsi" w:cstheme="minorBidi"/>
              <w:noProof/>
              <w:sz w:val="22"/>
              <w:szCs w:val="22"/>
              <w:lang w:eastAsia="en-AU"/>
            </w:rPr>
          </w:pPr>
          <w:hyperlink w:anchor="_Toc430102176" w:history="1">
            <w:r w:rsidR="003717F6" w:rsidRPr="00091212">
              <w:rPr>
                <w:rStyle w:val="Hyperlink"/>
                <w:noProof/>
              </w:rPr>
              <w:t>Scope</w:t>
            </w:r>
            <w:r w:rsidR="003717F6">
              <w:rPr>
                <w:noProof/>
                <w:webHidden/>
              </w:rPr>
              <w:tab/>
            </w:r>
            <w:r w:rsidR="003717F6">
              <w:rPr>
                <w:noProof/>
                <w:webHidden/>
              </w:rPr>
              <w:fldChar w:fldCharType="begin"/>
            </w:r>
            <w:r w:rsidR="003717F6">
              <w:rPr>
                <w:noProof/>
                <w:webHidden/>
              </w:rPr>
              <w:instrText xml:space="preserve"> PAGEREF _Toc430102176 \h </w:instrText>
            </w:r>
            <w:r w:rsidR="003717F6">
              <w:rPr>
                <w:noProof/>
                <w:webHidden/>
              </w:rPr>
            </w:r>
            <w:r w:rsidR="003717F6">
              <w:rPr>
                <w:noProof/>
                <w:webHidden/>
              </w:rPr>
              <w:fldChar w:fldCharType="separate"/>
            </w:r>
            <w:r w:rsidR="0041687E">
              <w:rPr>
                <w:noProof/>
                <w:webHidden/>
              </w:rPr>
              <w:t>1</w:t>
            </w:r>
            <w:r w:rsidR="003717F6">
              <w:rPr>
                <w:noProof/>
                <w:webHidden/>
              </w:rPr>
              <w:fldChar w:fldCharType="end"/>
            </w:r>
          </w:hyperlink>
        </w:p>
        <w:p w:rsidR="003717F6" w:rsidRDefault="00D574B3">
          <w:pPr>
            <w:pStyle w:val="TOC2"/>
            <w:rPr>
              <w:rFonts w:asciiTheme="minorHAnsi" w:eastAsiaTheme="minorEastAsia" w:hAnsiTheme="minorHAnsi" w:cstheme="minorBidi"/>
              <w:noProof/>
              <w:sz w:val="22"/>
              <w:szCs w:val="22"/>
              <w:lang w:eastAsia="en-AU"/>
            </w:rPr>
          </w:pPr>
          <w:hyperlink w:anchor="_Toc430102177" w:history="1">
            <w:r w:rsidR="003717F6" w:rsidRPr="00091212">
              <w:rPr>
                <w:rStyle w:val="Hyperlink"/>
                <w:noProof/>
              </w:rPr>
              <w:t>Legislation</w:t>
            </w:r>
            <w:r w:rsidR="003717F6">
              <w:rPr>
                <w:noProof/>
                <w:webHidden/>
              </w:rPr>
              <w:tab/>
            </w:r>
            <w:r w:rsidR="003717F6">
              <w:rPr>
                <w:noProof/>
                <w:webHidden/>
              </w:rPr>
              <w:fldChar w:fldCharType="begin"/>
            </w:r>
            <w:r w:rsidR="003717F6">
              <w:rPr>
                <w:noProof/>
                <w:webHidden/>
              </w:rPr>
              <w:instrText xml:space="preserve"> PAGEREF _Toc430102177 \h </w:instrText>
            </w:r>
            <w:r w:rsidR="003717F6">
              <w:rPr>
                <w:noProof/>
                <w:webHidden/>
              </w:rPr>
            </w:r>
            <w:r w:rsidR="003717F6">
              <w:rPr>
                <w:noProof/>
                <w:webHidden/>
              </w:rPr>
              <w:fldChar w:fldCharType="separate"/>
            </w:r>
            <w:r w:rsidR="0041687E">
              <w:rPr>
                <w:noProof/>
                <w:webHidden/>
              </w:rPr>
              <w:t>2</w:t>
            </w:r>
            <w:r w:rsidR="003717F6">
              <w:rPr>
                <w:noProof/>
                <w:webHidden/>
              </w:rPr>
              <w:fldChar w:fldCharType="end"/>
            </w:r>
          </w:hyperlink>
        </w:p>
        <w:p w:rsidR="003717F6" w:rsidRDefault="00D574B3">
          <w:pPr>
            <w:pStyle w:val="TOC2"/>
            <w:rPr>
              <w:rFonts w:asciiTheme="minorHAnsi" w:eastAsiaTheme="minorEastAsia" w:hAnsiTheme="minorHAnsi" w:cstheme="minorBidi"/>
              <w:noProof/>
              <w:sz w:val="22"/>
              <w:szCs w:val="22"/>
              <w:lang w:eastAsia="en-AU"/>
            </w:rPr>
          </w:pPr>
          <w:hyperlink w:anchor="_Toc430102178" w:history="1">
            <w:r w:rsidR="003717F6" w:rsidRPr="00091212">
              <w:rPr>
                <w:rStyle w:val="Hyperlink"/>
                <w:noProof/>
              </w:rPr>
              <w:t>Structure of the Report</w:t>
            </w:r>
            <w:r w:rsidR="003717F6">
              <w:rPr>
                <w:noProof/>
                <w:webHidden/>
              </w:rPr>
              <w:tab/>
            </w:r>
            <w:r w:rsidR="003717F6">
              <w:rPr>
                <w:noProof/>
                <w:webHidden/>
              </w:rPr>
              <w:fldChar w:fldCharType="begin"/>
            </w:r>
            <w:r w:rsidR="003717F6">
              <w:rPr>
                <w:noProof/>
                <w:webHidden/>
              </w:rPr>
              <w:instrText xml:space="preserve"> PAGEREF _Toc430102178 \h </w:instrText>
            </w:r>
            <w:r w:rsidR="003717F6">
              <w:rPr>
                <w:noProof/>
                <w:webHidden/>
              </w:rPr>
            </w:r>
            <w:r w:rsidR="003717F6">
              <w:rPr>
                <w:noProof/>
                <w:webHidden/>
              </w:rPr>
              <w:fldChar w:fldCharType="separate"/>
            </w:r>
            <w:r w:rsidR="0041687E">
              <w:rPr>
                <w:noProof/>
                <w:webHidden/>
              </w:rPr>
              <w:t>2</w:t>
            </w:r>
            <w:r w:rsidR="003717F6">
              <w:rPr>
                <w:noProof/>
                <w:webHidden/>
              </w:rPr>
              <w:fldChar w:fldCharType="end"/>
            </w:r>
          </w:hyperlink>
        </w:p>
        <w:p w:rsidR="003717F6" w:rsidRDefault="00D574B3" w:rsidP="00EC3634">
          <w:pPr>
            <w:pStyle w:val="TOC1"/>
            <w:rPr>
              <w:rFonts w:asciiTheme="minorHAnsi" w:eastAsiaTheme="minorEastAsia" w:hAnsiTheme="minorHAnsi" w:cstheme="minorBidi"/>
              <w:color w:val="000000"/>
              <w:sz w:val="22"/>
              <w:szCs w:val="22"/>
              <w:lang w:eastAsia="en-AU"/>
              <w14:textFill>
                <w14:solidFill>
                  <w14:srgbClr w14:val="000000">
                    <w14:lumMod w14:val="50000"/>
                  </w14:srgbClr>
                </w14:solidFill>
              </w14:textFill>
            </w:rPr>
          </w:pPr>
          <w:hyperlink w:anchor="_Toc430102179" w:history="1">
            <w:r w:rsidR="003717F6" w:rsidRPr="00091212">
              <w:rPr>
                <w:rStyle w:val="Hyperlink"/>
              </w:rPr>
              <w:t>Review Methodology</w:t>
            </w:r>
            <w:r w:rsidR="003717F6">
              <w:rPr>
                <w:webHidden/>
              </w:rPr>
              <w:tab/>
            </w:r>
            <w:r w:rsidR="003717F6">
              <w:rPr>
                <w:webHidden/>
              </w:rPr>
              <w:fldChar w:fldCharType="begin"/>
            </w:r>
            <w:r w:rsidR="003717F6">
              <w:rPr>
                <w:webHidden/>
              </w:rPr>
              <w:instrText xml:space="preserve"> PAGEREF _Toc430102179 \h </w:instrText>
            </w:r>
            <w:r w:rsidR="003717F6">
              <w:rPr>
                <w:webHidden/>
              </w:rPr>
            </w:r>
            <w:r w:rsidR="003717F6">
              <w:rPr>
                <w:webHidden/>
              </w:rPr>
              <w:fldChar w:fldCharType="separate"/>
            </w:r>
            <w:r w:rsidR="0041687E">
              <w:rPr>
                <w:webHidden/>
              </w:rPr>
              <w:t>2</w:t>
            </w:r>
            <w:r w:rsidR="003717F6">
              <w:rPr>
                <w:webHidden/>
              </w:rPr>
              <w:fldChar w:fldCharType="end"/>
            </w:r>
          </w:hyperlink>
        </w:p>
        <w:p w:rsidR="003717F6" w:rsidRDefault="00D574B3">
          <w:pPr>
            <w:pStyle w:val="TOC2"/>
            <w:rPr>
              <w:rFonts w:asciiTheme="minorHAnsi" w:eastAsiaTheme="minorEastAsia" w:hAnsiTheme="minorHAnsi" w:cstheme="minorBidi"/>
              <w:noProof/>
              <w:sz w:val="22"/>
              <w:szCs w:val="22"/>
              <w:lang w:eastAsia="en-AU"/>
            </w:rPr>
          </w:pPr>
          <w:hyperlink w:anchor="_Toc430102180" w:history="1">
            <w:r w:rsidR="003717F6" w:rsidRPr="00091212">
              <w:rPr>
                <w:rStyle w:val="Hyperlink"/>
                <w:noProof/>
              </w:rPr>
              <w:t>Overarching Review Principles</w:t>
            </w:r>
            <w:r w:rsidR="003717F6">
              <w:rPr>
                <w:noProof/>
                <w:webHidden/>
              </w:rPr>
              <w:tab/>
            </w:r>
            <w:r w:rsidR="003717F6">
              <w:rPr>
                <w:noProof/>
                <w:webHidden/>
              </w:rPr>
              <w:fldChar w:fldCharType="begin"/>
            </w:r>
            <w:r w:rsidR="003717F6">
              <w:rPr>
                <w:noProof/>
                <w:webHidden/>
              </w:rPr>
              <w:instrText xml:space="preserve"> PAGEREF _Toc430102180 \h </w:instrText>
            </w:r>
            <w:r w:rsidR="003717F6">
              <w:rPr>
                <w:noProof/>
                <w:webHidden/>
              </w:rPr>
            </w:r>
            <w:r w:rsidR="003717F6">
              <w:rPr>
                <w:noProof/>
                <w:webHidden/>
              </w:rPr>
              <w:fldChar w:fldCharType="separate"/>
            </w:r>
            <w:r w:rsidR="0041687E">
              <w:rPr>
                <w:noProof/>
                <w:webHidden/>
              </w:rPr>
              <w:t>3</w:t>
            </w:r>
            <w:r w:rsidR="003717F6">
              <w:rPr>
                <w:noProof/>
                <w:webHidden/>
              </w:rPr>
              <w:fldChar w:fldCharType="end"/>
            </w:r>
          </w:hyperlink>
        </w:p>
        <w:p w:rsidR="003717F6" w:rsidRDefault="00D574B3">
          <w:pPr>
            <w:pStyle w:val="TOC2"/>
            <w:rPr>
              <w:rFonts w:asciiTheme="minorHAnsi" w:eastAsiaTheme="minorEastAsia" w:hAnsiTheme="minorHAnsi" w:cstheme="minorBidi"/>
              <w:noProof/>
              <w:sz w:val="22"/>
              <w:szCs w:val="22"/>
              <w:lang w:eastAsia="en-AU"/>
            </w:rPr>
          </w:pPr>
          <w:hyperlink w:anchor="_Toc430102181" w:history="1">
            <w:r w:rsidR="003717F6" w:rsidRPr="00091212">
              <w:rPr>
                <w:rStyle w:val="Hyperlink"/>
                <w:noProof/>
              </w:rPr>
              <w:t>Review Methods</w:t>
            </w:r>
            <w:r w:rsidR="003717F6">
              <w:rPr>
                <w:noProof/>
                <w:webHidden/>
              </w:rPr>
              <w:tab/>
            </w:r>
            <w:r w:rsidR="003717F6">
              <w:rPr>
                <w:noProof/>
                <w:webHidden/>
              </w:rPr>
              <w:fldChar w:fldCharType="begin"/>
            </w:r>
            <w:r w:rsidR="003717F6">
              <w:rPr>
                <w:noProof/>
                <w:webHidden/>
              </w:rPr>
              <w:instrText xml:space="preserve"> PAGEREF _Toc430102181 \h </w:instrText>
            </w:r>
            <w:r w:rsidR="003717F6">
              <w:rPr>
                <w:noProof/>
                <w:webHidden/>
              </w:rPr>
            </w:r>
            <w:r w:rsidR="003717F6">
              <w:rPr>
                <w:noProof/>
                <w:webHidden/>
              </w:rPr>
              <w:fldChar w:fldCharType="separate"/>
            </w:r>
            <w:r w:rsidR="0041687E">
              <w:rPr>
                <w:noProof/>
                <w:webHidden/>
              </w:rPr>
              <w:t>3</w:t>
            </w:r>
            <w:r w:rsidR="003717F6">
              <w:rPr>
                <w:noProof/>
                <w:webHidden/>
              </w:rPr>
              <w:fldChar w:fldCharType="end"/>
            </w:r>
          </w:hyperlink>
        </w:p>
        <w:p w:rsidR="003717F6" w:rsidRDefault="00D574B3">
          <w:pPr>
            <w:pStyle w:val="TOC3"/>
            <w:rPr>
              <w:rFonts w:asciiTheme="minorHAnsi" w:eastAsiaTheme="minorEastAsia" w:hAnsiTheme="minorHAnsi" w:cstheme="minorBidi"/>
              <w:noProof/>
              <w:sz w:val="22"/>
              <w:szCs w:val="22"/>
              <w:lang w:eastAsia="en-AU"/>
            </w:rPr>
          </w:pPr>
          <w:hyperlink w:anchor="_Toc430102182" w:history="1">
            <w:r w:rsidR="003717F6" w:rsidRPr="00091212">
              <w:rPr>
                <w:rStyle w:val="Hyperlink"/>
                <w:noProof/>
              </w:rPr>
              <w:t>Data Collection Methods</w:t>
            </w:r>
            <w:r w:rsidR="003717F6">
              <w:rPr>
                <w:noProof/>
                <w:webHidden/>
              </w:rPr>
              <w:tab/>
            </w:r>
            <w:r w:rsidR="003717F6">
              <w:rPr>
                <w:noProof/>
                <w:webHidden/>
              </w:rPr>
              <w:fldChar w:fldCharType="begin"/>
            </w:r>
            <w:r w:rsidR="003717F6">
              <w:rPr>
                <w:noProof/>
                <w:webHidden/>
              </w:rPr>
              <w:instrText xml:space="preserve"> PAGEREF _Toc430102182 \h </w:instrText>
            </w:r>
            <w:r w:rsidR="003717F6">
              <w:rPr>
                <w:noProof/>
                <w:webHidden/>
              </w:rPr>
            </w:r>
            <w:r w:rsidR="003717F6">
              <w:rPr>
                <w:noProof/>
                <w:webHidden/>
              </w:rPr>
              <w:fldChar w:fldCharType="separate"/>
            </w:r>
            <w:r w:rsidR="0041687E">
              <w:rPr>
                <w:noProof/>
                <w:webHidden/>
              </w:rPr>
              <w:t>3</w:t>
            </w:r>
            <w:r w:rsidR="003717F6">
              <w:rPr>
                <w:noProof/>
                <w:webHidden/>
              </w:rPr>
              <w:fldChar w:fldCharType="end"/>
            </w:r>
          </w:hyperlink>
        </w:p>
        <w:p w:rsidR="003717F6" w:rsidRDefault="00D574B3">
          <w:pPr>
            <w:pStyle w:val="TOC4"/>
            <w:rPr>
              <w:rFonts w:asciiTheme="minorHAnsi" w:eastAsiaTheme="minorEastAsia" w:hAnsiTheme="minorHAnsi" w:cstheme="minorBidi"/>
              <w:noProof/>
              <w:sz w:val="22"/>
              <w:szCs w:val="22"/>
              <w:lang w:eastAsia="en-AU"/>
            </w:rPr>
          </w:pPr>
          <w:hyperlink w:anchor="_Toc430102183" w:history="1">
            <w:r w:rsidR="003717F6" w:rsidRPr="00091212">
              <w:rPr>
                <w:rStyle w:val="Hyperlink"/>
                <w:noProof/>
              </w:rPr>
              <w:t>Qualitative Data</w:t>
            </w:r>
            <w:r w:rsidR="003717F6">
              <w:rPr>
                <w:noProof/>
                <w:webHidden/>
              </w:rPr>
              <w:tab/>
            </w:r>
            <w:r w:rsidR="003717F6">
              <w:rPr>
                <w:noProof/>
                <w:webHidden/>
              </w:rPr>
              <w:fldChar w:fldCharType="begin"/>
            </w:r>
            <w:r w:rsidR="003717F6">
              <w:rPr>
                <w:noProof/>
                <w:webHidden/>
              </w:rPr>
              <w:instrText xml:space="preserve"> PAGEREF _Toc430102183 \h </w:instrText>
            </w:r>
            <w:r w:rsidR="003717F6">
              <w:rPr>
                <w:noProof/>
                <w:webHidden/>
              </w:rPr>
            </w:r>
            <w:r w:rsidR="003717F6">
              <w:rPr>
                <w:noProof/>
                <w:webHidden/>
              </w:rPr>
              <w:fldChar w:fldCharType="separate"/>
            </w:r>
            <w:r w:rsidR="0041687E">
              <w:rPr>
                <w:noProof/>
                <w:webHidden/>
              </w:rPr>
              <w:t>3</w:t>
            </w:r>
            <w:r w:rsidR="003717F6">
              <w:rPr>
                <w:noProof/>
                <w:webHidden/>
              </w:rPr>
              <w:fldChar w:fldCharType="end"/>
            </w:r>
          </w:hyperlink>
        </w:p>
        <w:p w:rsidR="003717F6" w:rsidRDefault="00D574B3">
          <w:pPr>
            <w:pStyle w:val="TOC4"/>
            <w:rPr>
              <w:rFonts w:asciiTheme="minorHAnsi" w:eastAsiaTheme="minorEastAsia" w:hAnsiTheme="minorHAnsi" w:cstheme="minorBidi"/>
              <w:noProof/>
              <w:sz w:val="22"/>
              <w:szCs w:val="22"/>
              <w:lang w:eastAsia="en-AU"/>
            </w:rPr>
          </w:pPr>
          <w:hyperlink w:anchor="_Toc430102184" w:history="1">
            <w:r w:rsidR="003717F6" w:rsidRPr="00091212">
              <w:rPr>
                <w:rStyle w:val="Hyperlink"/>
                <w:noProof/>
              </w:rPr>
              <w:t>Quantitative Data</w:t>
            </w:r>
            <w:r w:rsidR="003717F6">
              <w:rPr>
                <w:noProof/>
                <w:webHidden/>
              </w:rPr>
              <w:tab/>
            </w:r>
            <w:r w:rsidR="003717F6">
              <w:rPr>
                <w:noProof/>
                <w:webHidden/>
              </w:rPr>
              <w:fldChar w:fldCharType="begin"/>
            </w:r>
            <w:r w:rsidR="003717F6">
              <w:rPr>
                <w:noProof/>
                <w:webHidden/>
              </w:rPr>
              <w:instrText xml:space="preserve"> PAGEREF _Toc430102184 \h </w:instrText>
            </w:r>
            <w:r w:rsidR="003717F6">
              <w:rPr>
                <w:noProof/>
                <w:webHidden/>
              </w:rPr>
            </w:r>
            <w:r w:rsidR="003717F6">
              <w:rPr>
                <w:noProof/>
                <w:webHidden/>
              </w:rPr>
              <w:fldChar w:fldCharType="separate"/>
            </w:r>
            <w:r w:rsidR="0041687E">
              <w:rPr>
                <w:noProof/>
                <w:webHidden/>
              </w:rPr>
              <w:t>4</w:t>
            </w:r>
            <w:r w:rsidR="003717F6">
              <w:rPr>
                <w:noProof/>
                <w:webHidden/>
              </w:rPr>
              <w:fldChar w:fldCharType="end"/>
            </w:r>
          </w:hyperlink>
        </w:p>
        <w:p w:rsidR="003717F6" w:rsidRDefault="00D574B3">
          <w:pPr>
            <w:pStyle w:val="TOC3"/>
            <w:rPr>
              <w:rFonts w:asciiTheme="minorHAnsi" w:eastAsiaTheme="minorEastAsia" w:hAnsiTheme="minorHAnsi" w:cstheme="minorBidi"/>
              <w:noProof/>
              <w:sz w:val="22"/>
              <w:szCs w:val="22"/>
              <w:lang w:eastAsia="en-AU"/>
            </w:rPr>
          </w:pPr>
          <w:hyperlink w:anchor="_Toc430102185" w:history="1">
            <w:r w:rsidR="003717F6" w:rsidRPr="00091212">
              <w:rPr>
                <w:rStyle w:val="Hyperlink"/>
                <w:noProof/>
              </w:rPr>
              <w:t>Stakeholder Engagement Strategy</w:t>
            </w:r>
            <w:r w:rsidR="003717F6">
              <w:rPr>
                <w:noProof/>
                <w:webHidden/>
              </w:rPr>
              <w:tab/>
            </w:r>
            <w:r w:rsidR="003717F6">
              <w:rPr>
                <w:noProof/>
                <w:webHidden/>
              </w:rPr>
              <w:fldChar w:fldCharType="begin"/>
            </w:r>
            <w:r w:rsidR="003717F6">
              <w:rPr>
                <w:noProof/>
                <w:webHidden/>
              </w:rPr>
              <w:instrText xml:space="preserve"> PAGEREF _Toc430102185 \h </w:instrText>
            </w:r>
            <w:r w:rsidR="003717F6">
              <w:rPr>
                <w:noProof/>
                <w:webHidden/>
              </w:rPr>
            </w:r>
            <w:r w:rsidR="003717F6">
              <w:rPr>
                <w:noProof/>
                <w:webHidden/>
              </w:rPr>
              <w:fldChar w:fldCharType="separate"/>
            </w:r>
            <w:r w:rsidR="0041687E">
              <w:rPr>
                <w:noProof/>
                <w:webHidden/>
              </w:rPr>
              <w:t>4</w:t>
            </w:r>
            <w:r w:rsidR="003717F6">
              <w:rPr>
                <w:noProof/>
                <w:webHidden/>
              </w:rPr>
              <w:fldChar w:fldCharType="end"/>
            </w:r>
          </w:hyperlink>
        </w:p>
        <w:p w:rsidR="003717F6" w:rsidRDefault="00D574B3">
          <w:pPr>
            <w:pStyle w:val="TOC4"/>
            <w:rPr>
              <w:rFonts w:asciiTheme="minorHAnsi" w:eastAsiaTheme="minorEastAsia" w:hAnsiTheme="minorHAnsi" w:cstheme="minorBidi"/>
              <w:noProof/>
              <w:sz w:val="22"/>
              <w:szCs w:val="22"/>
              <w:lang w:eastAsia="en-AU"/>
            </w:rPr>
          </w:pPr>
          <w:hyperlink w:anchor="_Toc430102186" w:history="1">
            <w:r w:rsidR="003717F6" w:rsidRPr="00091212">
              <w:rPr>
                <w:rStyle w:val="Hyperlink"/>
                <w:noProof/>
              </w:rPr>
              <w:t>Participatory Research</w:t>
            </w:r>
            <w:r w:rsidR="003717F6">
              <w:rPr>
                <w:noProof/>
                <w:webHidden/>
              </w:rPr>
              <w:tab/>
            </w:r>
            <w:r w:rsidR="003717F6">
              <w:rPr>
                <w:noProof/>
                <w:webHidden/>
              </w:rPr>
              <w:fldChar w:fldCharType="begin"/>
            </w:r>
            <w:r w:rsidR="003717F6">
              <w:rPr>
                <w:noProof/>
                <w:webHidden/>
              </w:rPr>
              <w:instrText xml:space="preserve"> PAGEREF _Toc430102186 \h </w:instrText>
            </w:r>
            <w:r w:rsidR="003717F6">
              <w:rPr>
                <w:noProof/>
                <w:webHidden/>
              </w:rPr>
            </w:r>
            <w:r w:rsidR="003717F6">
              <w:rPr>
                <w:noProof/>
                <w:webHidden/>
              </w:rPr>
              <w:fldChar w:fldCharType="separate"/>
            </w:r>
            <w:r w:rsidR="0041687E">
              <w:rPr>
                <w:noProof/>
                <w:webHidden/>
              </w:rPr>
              <w:t>5</w:t>
            </w:r>
            <w:r w:rsidR="003717F6">
              <w:rPr>
                <w:noProof/>
                <w:webHidden/>
              </w:rPr>
              <w:fldChar w:fldCharType="end"/>
            </w:r>
          </w:hyperlink>
        </w:p>
        <w:p w:rsidR="003717F6" w:rsidRDefault="00D574B3" w:rsidP="00EC3634">
          <w:pPr>
            <w:pStyle w:val="TOC1"/>
            <w:rPr>
              <w:rFonts w:asciiTheme="minorHAnsi" w:eastAsiaTheme="minorEastAsia" w:hAnsiTheme="minorHAnsi" w:cstheme="minorBidi"/>
              <w:color w:val="000000"/>
              <w:sz w:val="22"/>
              <w:szCs w:val="22"/>
              <w:lang w:eastAsia="en-AU"/>
              <w14:textFill>
                <w14:solidFill>
                  <w14:srgbClr w14:val="000000">
                    <w14:lumMod w14:val="50000"/>
                  </w14:srgbClr>
                </w14:solidFill>
              </w14:textFill>
            </w:rPr>
          </w:pPr>
          <w:hyperlink w:anchor="_Toc430102187" w:history="1">
            <w:r w:rsidR="003717F6" w:rsidRPr="00091212">
              <w:rPr>
                <w:rStyle w:val="Hyperlink"/>
              </w:rPr>
              <w:t>Review Context</w:t>
            </w:r>
            <w:r w:rsidR="003717F6">
              <w:rPr>
                <w:webHidden/>
              </w:rPr>
              <w:tab/>
            </w:r>
            <w:r w:rsidR="003717F6">
              <w:rPr>
                <w:webHidden/>
              </w:rPr>
              <w:fldChar w:fldCharType="begin"/>
            </w:r>
            <w:r w:rsidR="003717F6">
              <w:rPr>
                <w:webHidden/>
              </w:rPr>
              <w:instrText xml:space="preserve"> PAGEREF _Toc430102187 \h </w:instrText>
            </w:r>
            <w:r w:rsidR="003717F6">
              <w:rPr>
                <w:webHidden/>
              </w:rPr>
            </w:r>
            <w:r w:rsidR="003717F6">
              <w:rPr>
                <w:webHidden/>
              </w:rPr>
              <w:fldChar w:fldCharType="separate"/>
            </w:r>
            <w:r w:rsidR="0041687E">
              <w:rPr>
                <w:webHidden/>
              </w:rPr>
              <w:t>5</w:t>
            </w:r>
            <w:r w:rsidR="003717F6">
              <w:rPr>
                <w:webHidden/>
              </w:rPr>
              <w:fldChar w:fldCharType="end"/>
            </w:r>
          </w:hyperlink>
        </w:p>
        <w:p w:rsidR="003717F6" w:rsidRDefault="00D574B3">
          <w:pPr>
            <w:pStyle w:val="TOC2"/>
            <w:rPr>
              <w:rFonts w:asciiTheme="minorHAnsi" w:eastAsiaTheme="minorEastAsia" w:hAnsiTheme="minorHAnsi" w:cstheme="minorBidi"/>
              <w:noProof/>
              <w:sz w:val="22"/>
              <w:szCs w:val="22"/>
              <w:lang w:eastAsia="en-AU"/>
            </w:rPr>
          </w:pPr>
          <w:hyperlink w:anchor="_Toc430102188" w:history="1">
            <w:r w:rsidR="003717F6" w:rsidRPr="00091212">
              <w:rPr>
                <w:rStyle w:val="Hyperlink"/>
                <w:noProof/>
              </w:rPr>
              <w:t>NOPTA’s Placement and Structure</w:t>
            </w:r>
            <w:r w:rsidR="003717F6">
              <w:rPr>
                <w:noProof/>
                <w:webHidden/>
              </w:rPr>
              <w:tab/>
            </w:r>
            <w:r w:rsidR="003717F6">
              <w:rPr>
                <w:noProof/>
                <w:webHidden/>
              </w:rPr>
              <w:fldChar w:fldCharType="begin"/>
            </w:r>
            <w:r w:rsidR="003717F6">
              <w:rPr>
                <w:noProof/>
                <w:webHidden/>
              </w:rPr>
              <w:instrText xml:space="preserve"> PAGEREF _Toc430102188 \h </w:instrText>
            </w:r>
            <w:r w:rsidR="003717F6">
              <w:rPr>
                <w:noProof/>
                <w:webHidden/>
              </w:rPr>
            </w:r>
            <w:r w:rsidR="003717F6">
              <w:rPr>
                <w:noProof/>
                <w:webHidden/>
              </w:rPr>
              <w:fldChar w:fldCharType="separate"/>
            </w:r>
            <w:r w:rsidR="0041687E">
              <w:rPr>
                <w:noProof/>
                <w:webHidden/>
              </w:rPr>
              <w:t>5</w:t>
            </w:r>
            <w:r w:rsidR="003717F6">
              <w:rPr>
                <w:noProof/>
                <w:webHidden/>
              </w:rPr>
              <w:fldChar w:fldCharType="end"/>
            </w:r>
          </w:hyperlink>
        </w:p>
        <w:p w:rsidR="003717F6" w:rsidRDefault="00D574B3">
          <w:pPr>
            <w:pStyle w:val="TOC2"/>
            <w:rPr>
              <w:rFonts w:asciiTheme="minorHAnsi" w:eastAsiaTheme="minorEastAsia" w:hAnsiTheme="minorHAnsi" w:cstheme="minorBidi"/>
              <w:noProof/>
              <w:sz w:val="22"/>
              <w:szCs w:val="22"/>
              <w:lang w:eastAsia="en-AU"/>
            </w:rPr>
          </w:pPr>
          <w:hyperlink w:anchor="_Toc430102189" w:history="1">
            <w:r w:rsidR="003717F6" w:rsidRPr="00091212">
              <w:rPr>
                <w:rStyle w:val="Hyperlink"/>
                <w:noProof/>
              </w:rPr>
              <w:t>Productivity Commission Report and Montara Commission of Inquiry and Government Response</w:t>
            </w:r>
            <w:r w:rsidR="003717F6">
              <w:rPr>
                <w:noProof/>
                <w:webHidden/>
              </w:rPr>
              <w:tab/>
            </w:r>
            <w:r w:rsidR="003717F6">
              <w:rPr>
                <w:noProof/>
                <w:webHidden/>
              </w:rPr>
              <w:fldChar w:fldCharType="begin"/>
            </w:r>
            <w:r w:rsidR="003717F6">
              <w:rPr>
                <w:noProof/>
                <w:webHidden/>
              </w:rPr>
              <w:instrText xml:space="preserve"> PAGEREF _Toc430102189 \h </w:instrText>
            </w:r>
            <w:r w:rsidR="003717F6">
              <w:rPr>
                <w:noProof/>
                <w:webHidden/>
              </w:rPr>
            </w:r>
            <w:r w:rsidR="003717F6">
              <w:rPr>
                <w:noProof/>
                <w:webHidden/>
              </w:rPr>
              <w:fldChar w:fldCharType="separate"/>
            </w:r>
            <w:r w:rsidR="0041687E">
              <w:rPr>
                <w:noProof/>
                <w:webHidden/>
              </w:rPr>
              <w:t>8</w:t>
            </w:r>
            <w:r w:rsidR="003717F6">
              <w:rPr>
                <w:noProof/>
                <w:webHidden/>
              </w:rPr>
              <w:fldChar w:fldCharType="end"/>
            </w:r>
          </w:hyperlink>
        </w:p>
        <w:p w:rsidR="003717F6" w:rsidRDefault="00D574B3">
          <w:pPr>
            <w:pStyle w:val="TOC2"/>
            <w:rPr>
              <w:rFonts w:asciiTheme="minorHAnsi" w:eastAsiaTheme="minorEastAsia" w:hAnsiTheme="minorHAnsi" w:cstheme="minorBidi"/>
              <w:noProof/>
              <w:sz w:val="22"/>
              <w:szCs w:val="22"/>
              <w:lang w:eastAsia="en-AU"/>
            </w:rPr>
          </w:pPr>
          <w:hyperlink w:anchor="_Toc430102190" w:history="1">
            <w:r w:rsidR="003717F6" w:rsidRPr="00091212">
              <w:rPr>
                <w:rStyle w:val="Hyperlink"/>
                <w:noProof/>
              </w:rPr>
              <w:t>Australia’s Offshore Petroleum Sector</w:t>
            </w:r>
            <w:r w:rsidR="003717F6">
              <w:rPr>
                <w:noProof/>
                <w:webHidden/>
              </w:rPr>
              <w:tab/>
            </w:r>
            <w:r w:rsidR="003717F6">
              <w:rPr>
                <w:noProof/>
                <w:webHidden/>
              </w:rPr>
              <w:fldChar w:fldCharType="begin"/>
            </w:r>
            <w:r w:rsidR="003717F6">
              <w:rPr>
                <w:noProof/>
                <w:webHidden/>
              </w:rPr>
              <w:instrText xml:space="preserve"> PAGEREF _Toc430102190 \h </w:instrText>
            </w:r>
            <w:r w:rsidR="003717F6">
              <w:rPr>
                <w:noProof/>
                <w:webHidden/>
              </w:rPr>
            </w:r>
            <w:r w:rsidR="003717F6">
              <w:rPr>
                <w:noProof/>
                <w:webHidden/>
              </w:rPr>
              <w:fldChar w:fldCharType="separate"/>
            </w:r>
            <w:r w:rsidR="0041687E">
              <w:rPr>
                <w:noProof/>
                <w:webHidden/>
              </w:rPr>
              <w:t>9</w:t>
            </w:r>
            <w:r w:rsidR="003717F6">
              <w:rPr>
                <w:noProof/>
                <w:webHidden/>
              </w:rPr>
              <w:fldChar w:fldCharType="end"/>
            </w:r>
          </w:hyperlink>
        </w:p>
        <w:p w:rsidR="003717F6" w:rsidRDefault="00D574B3">
          <w:pPr>
            <w:pStyle w:val="TOC2"/>
            <w:rPr>
              <w:rFonts w:asciiTheme="minorHAnsi" w:eastAsiaTheme="minorEastAsia" w:hAnsiTheme="minorHAnsi" w:cstheme="minorBidi"/>
              <w:noProof/>
              <w:sz w:val="22"/>
              <w:szCs w:val="22"/>
              <w:lang w:eastAsia="en-AU"/>
            </w:rPr>
          </w:pPr>
          <w:hyperlink w:anchor="_Toc430102191" w:history="1">
            <w:r w:rsidR="003717F6" w:rsidRPr="00091212">
              <w:rPr>
                <w:rStyle w:val="Hyperlink"/>
                <w:noProof/>
              </w:rPr>
              <w:t>Legislative Requirements</w:t>
            </w:r>
            <w:r w:rsidR="003717F6">
              <w:rPr>
                <w:noProof/>
                <w:webHidden/>
              </w:rPr>
              <w:tab/>
            </w:r>
            <w:r w:rsidR="003717F6">
              <w:rPr>
                <w:noProof/>
                <w:webHidden/>
              </w:rPr>
              <w:fldChar w:fldCharType="begin"/>
            </w:r>
            <w:r w:rsidR="003717F6">
              <w:rPr>
                <w:noProof/>
                <w:webHidden/>
              </w:rPr>
              <w:instrText xml:space="preserve"> PAGEREF _Toc430102191 \h </w:instrText>
            </w:r>
            <w:r w:rsidR="003717F6">
              <w:rPr>
                <w:noProof/>
                <w:webHidden/>
              </w:rPr>
            </w:r>
            <w:r w:rsidR="003717F6">
              <w:rPr>
                <w:noProof/>
                <w:webHidden/>
              </w:rPr>
              <w:fldChar w:fldCharType="separate"/>
            </w:r>
            <w:r w:rsidR="0041687E">
              <w:rPr>
                <w:noProof/>
                <w:webHidden/>
              </w:rPr>
              <w:t>10</w:t>
            </w:r>
            <w:r w:rsidR="003717F6">
              <w:rPr>
                <w:noProof/>
                <w:webHidden/>
              </w:rPr>
              <w:fldChar w:fldCharType="end"/>
            </w:r>
          </w:hyperlink>
        </w:p>
        <w:p w:rsidR="003717F6" w:rsidRDefault="00D574B3">
          <w:pPr>
            <w:pStyle w:val="TOC2"/>
            <w:rPr>
              <w:rFonts w:asciiTheme="minorHAnsi" w:eastAsiaTheme="minorEastAsia" w:hAnsiTheme="minorHAnsi" w:cstheme="minorBidi"/>
              <w:noProof/>
              <w:sz w:val="22"/>
              <w:szCs w:val="22"/>
              <w:lang w:eastAsia="en-AU"/>
            </w:rPr>
          </w:pPr>
          <w:hyperlink w:anchor="_Toc430102192" w:history="1">
            <w:r w:rsidR="003717F6" w:rsidRPr="00091212">
              <w:rPr>
                <w:rStyle w:val="Hyperlink"/>
                <w:noProof/>
              </w:rPr>
              <w:t>Joint Authority</w:t>
            </w:r>
            <w:r w:rsidR="003717F6">
              <w:rPr>
                <w:noProof/>
                <w:webHidden/>
              </w:rPr>
              <w:tab/>
            </w:r>
            <w:r w:rsidR="003717F6">
              <w:rPr>
                <w:noProof/>
                <w:webHidden/>
              </w:rPr>
              <w:fldChar w:fldCharType="begin"/>
            </w:r>
            <w:r w:rsidR="003717F6">
              <w:rPr>
                <w:noProof/>
                <w:webHidden/>
              </w:rPr>
              <w:instrText xml:space="preserve"> PAGEREF _Toc430102192 \h </w:instrText>
            </w:r>
            <w:r w:rsidR="003717F6">
              <w:rPr>
                <w:noProof/>
                <w:webHidden/>
              </w:rPr>
            </w:r>
            <w:r w:rsidR="003717F6">
              <w:rPr>
                <w:noProof/>
                <w:webHidden/>
              </w:rPr>
              <w:fldChar w:fldCharType="separate"/>
            </w:r>
            <w:r w:rsidR="0041687E">
              <w:rPr>
                <w:noProof/>
                <w:webHidden/>
              </w:rPr>
              <w:t>11</w:t>
            </w:r>
            <w:r w:rsidR="003717F6">
              <w:rPr>
                <w:noProof/>
                <w:webHidden/>
              </w:rPr>
              <w:fldChar w:fldCharType="end"/>
            </w:r>
          </w:hyperlink>
        </w:p>
        <w:p w:rsidR="003717F6" w:rsidRDefault="00D574B3" w:rsidP="00EC3634">
          <w:pPr>
            <w:pStyle w:val="TOC1"/>
            <w:rPr>
              <w:rFonts w:asciiTheme="minorHAnsi" w:eastAsiaTheme="minorEastAsia" w:hAnsiTheme="minorHAnsi" w:cstheme="minorBidi"/>
              <w:color w:val="000000"/>
              <w:sz w:val="22"/>
              <w:szCs w:val="22"/>
              <w:lang w:eastAsia="en-AU"/>
              <w14:textFill>
                <w14:solidFill>
                  <w14:srgbClr w14:val="000000">
                    <w14:lumMod w14:val="50000"/>
                  </w14:srgbClr>
                </w14:solidFill>
              </w14:textFill>
            </w:rPr>
          </w:pPr>
          <w:hyperlink w:anchor="_Toc430102193" w:history="1">
            <w:r w:rsidR="003717F6" w:rsidRPr="00091212">
              <w:rPr>
                <w:rStyle w:val="Hyperlink"/>
              </w:rPr>
              <w:t>Findings of the Review</w:t>
            </w:r>
            <w:r w:rsidR="003717F6">
              <w:rPr>
                <w:webHidden/>
              </w:rPr>
              <w:tab/>
            </w:r>
            <w:r w:rsidR="003717F6">
              <w:rPr>
                <w:webHidden/>
              </w:rPr>
              <w:fldChar w:fldCharType="begin"/>
            </w:r>
            <w:r w:rsidR="003717F6">
              <w:rPr>
                <w:webHidden/>
              </w:rPr>
              <w:instrText xml:space="preserve"> PAGEREF _Toc430102193 \h </w:instrText>
            </w:r>
            <w:r w:rsidR="003717F6">
              <w:rPr>
                <w:webHidden/>
              </w:rPr>
            </w:r>
            <w:r w:rsidR="003717F6">
              <w:rPr>
                <w:webHidden/>
              </w:rPr>
              <w:fldChar w:fldCharType="separate"/>
            </w:r>
            <w:r w:rsidR="0041687E">
              <w:rPr>
                <w:webHidden/>
              </w:rPr>
              <w:t>12</w:t>
            </w:r>
            <w:r w:rsidR="003717F6">
              <w:rPr>
                <w:webHidden/>
              </w:rPr>
              <w:fldChar w:fldCharType="end"/>
            </w:r>
          </w:hyperlink>
        </w:p>
        <w:p w:rsidR="003717F6" w:rsidRDefault="00D574B3">
          <w:pPr>
            <w:pStyle w:val="TOC2"/>
            <w:rPr>
              <w:rFonts w:asciiTheme="minorHAnsi" w:eastAsiaTheme="minorEastAsia" w:hAnsiTheme="minorHAnsi" w:cstheme="minorBidi"/>
              <w:noProof/>
              <w:sz w:val="22"/>
              <w:szCs w:val="22"/>
              <w:lang w:eastAsia="en-AU"/>
            </w:rPr>
          </w:pPr>
          <w:hyperlink w:anchor="_Toc430102194" w:history="1">
            <w:r w:rsidR="003717F6" w:rsidRPr="00091212">
              <w:rPr>
                <w:rStyle w:val="Hyperlink"/>
                <w:noProof/>
              </w:rPr>
              <w:t>NOPTA’s Advice to Joint Authorities</w:t>
            </w:r>
            <w:r w:rsidR="003717F6">
              <w:rPr>
                <w:noProof/>
                <w:webHidden/>
              </w:rPr>
              <w:tab/>
            </w:r>
            <w:r w:rsidR="003717F6">
              <w:rPr>
                <w:noProof/>
                <w:webHidden/>
              </w:rPr>
              <w:fldChar w:fldCharType="begin"/>
            </w:r>
            <w:r w:rsidR="003717F6">
              <w:rPr>
                <w:noProof/>
                <w:webHidden/>
              </w:rPr>
              <w:instrText xml:space="preserve"> PAGEREF _Toc430102194 \h </w:instrText>
            </w:r>
            <w:r w:rsidR="003717F6">
              <w:rPr>
                <w:noProof/>
                <w:webHidden/>
              </w:rPr>
            </w:r>
            <w:r w:rsidR="003717F6">
              <w:rPr>
                <w:noProof/>
                <w:webHidden/>
              </w:rPr>
              <w:fldChar w:fldCharType="separate"/>
            </w:r>
            <w:r w:rsidR="0041687E">
              <w:rPr>
                <w:noProof/>
                <w:webHidden/>
              </w:rPr>
              <w:t>12</w:t>
            </w:r>
            <w:r w:rsidR="003717F6">
              <w:rPr>
                <w:noProof/>
                <w:webHidden/>
              </w:rPr>
              <w:fldChar w:fldCharType="end"/>
            </w:r>
          </w:hyperlink>
        </w:p>
        <w:p w:rsidR="003717F6" w:rsidRDefault="00D574B3">
          <w:pPr>
            <w:pStyle w:val="TOC2"/>
            <w:rPr>
              <w:rFonts w:asciiTheme="minorHAnsi" w:eastAsiaTheme="minorEastAsia" w:hAnsiTheme="minorHAnsi" w:cstheme="minorBidi"/>
              <w:noProof/>
              <w:sz w:val="22"/>
              <w:szCs w:val="22"/>
              <w:lang w:eastAsia="en-AU"/>
            </w:rPr>
          </w:pPr>
          <w:hyperlink w:anchor="_Toc430102195" w:history="1">
            <w:r w:rsidR="003717F6" w:rsidRPr="00091212">
              <w:rPr>
                <w:rStyle w:val="Hyperlink"/>
                <w:noProof/>
              </w:rPr>
              <w:t>Joint Authority Decision Making</w:t>
            </w:r>
            <w:r w:rsidR="003717F6">
              <w:rPr>
                <w:noProof/>
                <w:webHidden/>
              </w:rPr>
              <w:tab/>
            </w:r>
            <w:r w:rsidR="003717F6">
              <w:rPr>
                <w:noProof/>
                <w:webHidden/>
              </w:rPr>
              <w:fldChar w:fldCharType="begin"/>
            </w:r>
            <w:r w:rsidR="003717F6">
              <w:rPr>
                <w:noProof/>
                <w:webHidden/>
              </w:rPr>
              <w:instrText xml:space="preserve"> PAGEREF _Toc430102195 \h </w:instrText>
            </w:r>
            <w:r w:rsidR="003717F6">
              <w:rPr>
                <w:noProof/>
                <w:webHidden/>
              </w:rPr>
            </w:r>
            <w:r w:rsidR="003717F6">
              <w:rPr>
                <w:noProof/>
                <w:webHidden/>
              </w:rPr>
              <w:fldChar w:fldCharType="separate"/>
            </w:r>
            <w:r w:rsidR="0041687E">
              <w:rPr>
                <w:noProof/>
                <w:webHidden/>
              </w:rPr>
              <w:t>13</w:t>
            </w:r>
            <w:r w:rsidR="003717F6">
              <w:rPr>
                <w:noProof/>
                <w:webHidden/>
              </w:rPr>
              <w:fldChar w:fldCharType="end"/>
            </w:r>
          </w:hyperlink>
        </w:p>
        <w:p w:rsidR="003717F6" w:rsidRDefault="00D574B3">
          <w:pPr>
            <w:pStyle w:val="TOC2"/>
            <w:rPr>
              <w:rFonts w:asciiTheme="minorHAnsi" w:eastAsiaTheme="minorEastAsia" w:hAnsiTheme="minorHAnsi" w:cstheme="minorBidi"/>
              <w:noProof/>
              <w:sz w:val="22"/>
              <w:szCs w:val="22"/>
              <w:lang w:eastAsia="en-AU"/>
            </w:rPr>
          </w:pPr>
          <w:hyperlink w:anchor="_Toc430102196" w:history="1">
            <w:r w:rsidR="003717F6" w:rsidRPr="00091212">
              <w:rPr>
                <w:rStyle w:val="Hyperlink"/>
                <w:noProof/>
              </w:rPr>
              <w:t>Titles Information</w:t>
            </w:r>
            <w:r w:rsidR="003717F6">
              <w:rPr>
                <w:noProof/>
                <w:webHidden/>
              </w:rPr>
              <w:tab/>
            </w:r>
            <w:r w:rsidR="003717F6">
              <w:rPr>
                <w:noProof/>
                <w:webHidden/>
              </w:rPr>
              <w:fldChar w:fldCharType="begin"/>
            </w:r>
            <w:r w:rsidR="003717F6">
              <w:rPr>
                <w:noProof/>
                <w:webHidden/>
              </w:rPr>
              <w:instrText xml:space="preserve"> PAGEREF _Toc430102196 \h </w:instrText>
            </w:r>
            <w:r w:rsidR="003717F6">
              <w:rPr>
                <w:noProof/>
                <w:webHidden/>
              </w:rPr>
            </w:r>
            <w:r w:rsidR="003717F6">
              <w:rPr>
                <w:noProof/>
                <w:webHidden/>
              </w:rPr>
              <w:fldChar w:fldCharType="separate"/>
            </w:r>
            <w:r w:rsidR="0041687E">
              <w:rPr>
                <w:noProof/>
                <w:webHidden/>
              </w:rPr>
              <w:t>14</w:t>
            </w:r>
            <w:r w:rsidR="003717F6">
              <w:rPr>
                <w:noProof/>
                <w:webHidden/>
              </w:rPr>
              <w:fldChar w:fldCharType="end"/>
            </w:r>
          </w:hyperlink>
        </w:p>
        <w:p w:rsidR="003717F6" w:rsidRDefault="00D574B3">
          <w:pPr>
            <w:pStyle w:val="TOC2"/>
            <w:rPr>
              <w:rFonts w:asciiTheme="minorHAnsi" w:eastAsiaTheme="minorEastAsia" w:hAnsiTheme="minorHAnsi" w:cstheme="minorBidi"/>
              <w:noProof/>
              <w:sz w:val="22"/>
              <w:szCs w:val="22"/>
              <w:lang w:eastAsia="en-AU"/>
            </w:rPr>
          </w:pPr>
          <w:hyperlink w:anchor="_Toc430102197" w:history="1">
            <w:r w:rsidR="003717F6" w:rsidRPr="00091212">
              <w:rPr>
                <w:rStyle w:val="Hyperlink"/>
                <w:noProof/>
              </w:rPr>
              <w:t>Compliance</w:t>
            </w:r>
            <w:r w:rsidR="003717F6">
              <w:rPr>
                <w:noProof/>
                <w:webHidden/>
              </w:rPr>
              <w:tab/>
            </w:r>
            <w:r w:rsidR="003717F6">
              <w:rPr>
                <w:noProof/>
                <w:webHidden/>
              </w:rPr>
              <w:fldChar w:fldCharType="begin"/>
            </w:r>
            <w:r w:rsidR="003717F6">
              <w:rPr>
                <w:noProof/>
                <w:webHidden/>
              </w:rPr>
              <w:instrText xml:space="preserve"> PAGEREF _Toc430102197 \h </w:instrText>
            </w:r>
            <w:r w:rsidR="003717F6">
              <w:rPr>
                <w:noProof/>
                <w:webHidden/>
              </w:rPr>
            </w:r>
            <w:r w:rsidR="003717F6">
              <w:rPr>
                <w:noProof/>
                <w:webHidden/>
              </w:rPr>
              <w:fldChar w:fldCharType="separate"/>
            </w:r>
            <w:r w:rsidR="0041687E">
              <w:rPr>
                <w:noProof/>
                <w:webHidden/>
              </w:rPr>
              <w:t>17</w:t>
            </w:r>
            <w:r w:rsidR="003717F6">
              <w:rPr>
                <w:noProof/>
                <w:webHidden/>
              </w:rPr>
              <w:fldChar w:fldCharType="end"/>
            </w:r>
          </w:hyperlink>
        </w:p>
        <w:p w:rsidR="003717F6" w:rsidRDefault="00D574B3">
          <w:pPr>
            <w:pStyle w:val="TOC2"/>
            <w:rPr>
              <w:rFonts w:asciiTheme="minorHAnsi" w:eastAsiaTheme="minorEastAsia" w:hAnsiTheme="minorHAnsi" w:cstheme="minorBidi"/>
              <w:noProof/>
              <w:sz w:val="22"/>
              <w:szCs w:val="22"/>
              <w:lang w:eastAsia="en-AU"/>
            </w:rPr>
          </w:pPr>
          <w:hyperlink w:anchor="_Toc430102198" w:history="1">
            <w:r w:rsidR="003717F6" w:rsidRPr="00091212">
              <w:rPr>
                <w:rStyle w:val="Hyperlink"/>
                <w:noProof/>
              </w:rPr>
              <w:t>Resource Management</w:t>
            </w:r>
            <w:r w:rsidR="003717F6">
              <w:rPr>
                <w:noProof/>
                <w:webHidden/>
              </w:rPr>
              <w:tab/>
            </w:r>
            <w:r w:rsidR="003717F6">
              <w:rPr>
                <w:noProof/>
                <w:webHidden/>
              </w:rPr>
              <w:fldChar w:fldCharType="begin"/>
            </w:r>
            <w:r w:rsidR="003717F6">
              <w:rPr>
                <w:noProof/>
                <w:webHidden/>
              </w:rPr>
              <w:instrText xml:space="preserve"> PAGEREF _Toc430102198 \h </w:instrText>
            </w:r>
            <w:r w:rsidR="003717F6">
              <w:rPr>
                <w:noProof/>
                <w:webHidden/>
              </w:rPr>
            </w:r>
            <w:r w:rsidR="003717F6">
              <w:rPr>
                <w:noProof/>
                <w:webHidden/>
              </w:rPr>
              <w:fldChar w:fldCharType="separate"/>
            </w:r>
            <w:r w:rsidR="0041687E">
              <w:rPr>
                <w:noProof/>
                <w:webHidden/>
              </w:rPr>
              <w:t>18</w:t>
            </w:r>
            <w:r w:rsidR="003717F6">
              <w:rPr>
                <w:noProof/>
                <w:webHidden/>
              </w:rPr>
              <w:fldChar w:fldCharType="end"/>
            </w:r>
          </w:hyperlink>
        </w:p>
        <w:p w:rsidR="003717F6" w:rsidRDefault="00D574B3">
          <w:pPr>
            <w:pStyle w:val="TOC2"/>
            <w:rPr>
              <w:rFonts w:asciiTheme="minorHAnsi" w:eastAsiaTheme="minorEastAsia" w:hAnsiTheme="minorHAnsi" w:cstheme="minorBidi"/>
              <w:noProof/>
              <w:sz w:val="22"/>
              <w:szCs w:val="22"/>
              <w:lang w:eastAsia="en-AU"/>
            </w:rPr>
          </w:pPr>
          <w:hyperlink w:anchor="_Toc430102199" w:history="1">
            <w:r w:rsidR="003717F6" w:rsidRPr="00091212">
              <w:rPr>
                <w:rStyle w:val="Hyperlink"/>
                <w:noProof/>
              </w:rPr>
              <w:t>Internal Operations</w:t>
            </w:r>
            <w:r w:rsidR="003717F6">
              <w:rPr>
                <w:noProof/>
                <w:webHidden/>
              </w:rPr>
              <w:tab/>
            </w:r>
            <w:r w:rsidR="003717F6">
              <w:rPr>
                <w:noProof/>
                <w:webHidden/>
              </w:rPr>
              <w:fldChar w:fldCharType="begin"/>
            </w:r>
            <w:r w:rsidR="003717F6">
              <w:rPr>
                <w:noProof/>
                <w:webHidden/>
              </w:rPr>
              <w:instrText xml:space="preserve"> PAGEREF _Toc430102199 \h </w:instrText>
            </w:r>
            <w:r w:rsidR="003717F6">
              <w:rPr>
                <w:noProof/>
                <w:webHidden/>
              </w:rPr>
            </w:r>
            <w:r w:rsidR="003717F6">
              <w:rPr>
                <w:noProof/>
                <w:webHidden/>
              </w:rPr>
              <w:fldChar w:fldCharType="separate"/>
            </w:r>
            <w:r w:rsidR="0041687E">
              <w:rPr>
                <w:noProof/>
                <w:webHidden/>
              </w:rPr>
              <w:t>19</w:t>
            </w:r>
            <w:r w:rsidR="003717F6">
              <w:rPr>
                <w:noProof/>
                <w:webHidden/>
              </w:rPr>
              <w:fldChar w:fldCharType="end"/>
            </w:r>
          </w:hyperlink>
        </w:p>
        <w:p w:rsidR="003717F6" w:rsidRDefault="00D574B3">
          <w:pPr>
            <w:pStyle w:val="TOC2"/>
            <w:rPr>
              <w:rFonts w:asciiTheme="minorHAnsi" w:eastAsiaTheme="minorEastAsia" w:hAnsiTheme="minorHAnsi" w:cstheme="minorBidi"/>
              <w:noProof/>
              <w:sz w:val="22"/>
              <w:szCs w:val="22"/>
              <w:lang w:eastAsia="en-AU"/>
            </w:rPr>
          </w:pPr>
          <w:hyperlink w:anchor="_Toc430102200" w:history="1">
            <w:r w:rsidR="003717F6" w:rsidRPr="00091212">
              <w:rPr>
                <w:rStyle w:val="Hyperlink"/>
                <w:noProof/>
              </w:rPr>
              <w:t>Cost Recovery</w:t>
            </w:r>
            <w:r w:rsidR="003717F6">
              <w:rPr>
                <w:noProof/>
                <w:webHidden/>
              </w:rPr>
              <w:tab/>
            </w:r>
            <w:r w:rsidR="003717F6">
              <w:rPr>
                <w:noProof/>
                <w:webHidden/>
              </w:rPr>
              <w:fldChar w:fldCharType="begin"/>
            </w:r>
            <w:r w:rsidR="003717F6">
              <w:rPr>
                <w:noProof/>
                <w:webHidden/>
              </w:rPr>
              <w:instrText xml:space="preserve"> PAGEREF _Toc430102200 \h </w:instrText>
            </w:r>
            <w:r w:rsidR="003717F6">
              <w:rPr>
                <w:noProof/>
                <w:webHidden/>
              </w:rPr>
            </w:r>
            <w:r w:rsidR="003717F6">
              <w:rPr>
                <w:noProof/>
                <w:webHidden/>
              </w:rPr>
              <w:fldChar w:fldCharType="separate"/>
            </w:r>
            <w:r w:rsidR="0041687E">
              <w:rPr>
                <w:noProof/>
                <w:webHidden/>
              </w:rPr>
              <w:t>20</w:t>
            </w:r>
            <w:r w:rsidR="003717F6">
              <w:rPr>
                <w:noProof/>
                <w:webHidden/>
              </w:rPr>
              <w:fldChar w:fldCharType="end"/>
            </w:r>
          </w:hyperlink>
        </w:p>
        <w:p w:rsidR="003717F6" w:rsidRDefault="00D574B3">
          <w:pPr>
            <w:pStyle w:val="TOC2"/>
            <w:rPr>
              <w:rFonts w:asciiTheme="minorHAnsi" w:eastAsiaTheme="minorEastAsia" w:hAnsiTheme="minorHAnsi" w:cstheme="minorBidi"/>
              <w:noProof/>
              <w:sz w:val="22"/>
              <w:szCs w:val="22"/>
              <w:lang w:eastAsia="en-AU"/>
            </w:rPr>
          </w:pPr>
          <w:hyperlink w:anchor="_Toc430102201" w:history="1">
            <w:r w:rsidR="003717F6" w:rsidRPr="00091212">
              <w:rPr>
                <w:rStyle w:val="Hyperlink"/>
                <w:noProof/>
              </w:rPr>
              <w:t>Placement within the Commonwealth Department of Industry and Science</w:t>
            </w:r>
            <w:r w:rsidR="003717F6">
              <w:rPr>
                <w:noProof/>
                <w:webHidden/>
              </w:rPr>
              <w:tab/>
            </w:r>
            <w:r w:rsidR="003717F6">
              <w:rPr>
                <w:noProof/>
                <w:webHidden/>
              </w:rPr>
              <w:fldChar w:fldCharType="begin"/>
            </w:r>
            <w:r w:rsidR="003717F6">
              <w:rPr>
                <w:noProof/>
                <w:webHidden/>
              </w:rPr>
              <w:instrText xml:space="preserve"> PAGEREF _Toc430102201 \h </w:instrText>
            </w:r>
            <w:r w:rsidR="003717F6">
              <w:rPr>
                <w:noProof/>
                <w:webHidden/>
              </w:rPr>
            </w:r>
            <w:r w:rsidR="003717F6">
              <w:rPr>
                <w:noProof/>
                <w:webHidden/>
              </w:rPr>
              <w:fldChar w:fldCharType="separate"/>
            </w:r>
            <w:r w:rsidR="0041687E">
              <w:rPr>
                <w:noProof/>
                <w:webHidden/>
              </w:rPr>
              <w:t>23</w:t>
            </w:r>
            <w:r w:rsidR="003717F6">
              <w:rPr>
                <w:noProof/>
                <w:webHidden/>
              </w:rPr>
              <w:fldChar w:fldCharType="end"/>
            </w:r>
          </w:hyperlink>
        </w:p>
        <w:p w:rsidR="003717F6" w:rsidRDefault="00D574B3">
          <w:pPr>
            <w:pStyle w:val="TOC2"/>
            <w:rPr>
              <w:rFonts w:asciiTheme="minorHAnsi" w:eastAsiaTheme="minorEastAsia" w:hAnsiTheme="minorHAnsi" w:cstheme="minorBidi"/>
              <w:noProof/>
              <w:sz w:val="22"/>
              <w:szCs w:val="22"/>
              <w:lang w:eastAsia="en-AU"/>
            </w:rPr>
          </w:pPr>
          <w:hyperlink w:anchor="_Toc430102202" w:history="1">
            <w:r w:rsidR="003717F6" w:rsidRPr="00091212">
              <w:rPr>
                <w:rStyle w:val="Hyperlink"/>
                <w:noProof/>
              </w:rPr>
              <w:t>Relationships with Stakeholders</w:t>
            </w:r>
            <w:r w:rsidR="003717F6">
              <w:rPr>
                <w:noProof/>
                <w:webHidden/>
              </w:rPr>
              <w:tab/>
            </w:r>
            <w:r w:rsidR="003717F6">
              <w:rPr>
                <w:noProof/>
                <w:webHidden/>
              </w:rPr>
              <w:fldChar w:fldCharType="begin"/>
            </w:r>
            <w:r w:rsidR="003717F6">
              <w:rPr>
                <w:noProof/>
                <w:webHidden/>
              </w:rPr>
              <w:instrText xml:space="preserve"> PAGEREF _Toc430102202 \h </w:instrText>
            </w:r>
            <w:r w:rsidR="003717F6">
              <w:rPr>
                <w:noProof/>
                <w:webHidden/>
              </w:rPr>
            </w:r>
            <w:r w:rsidR="003717F6">
              <w:rPr>
                <w:noProof/>
                <w:webHidden/>
              </w:rPr>
              <w:fldChar w:fldCharType="separate"/>
            </w:r>
            <w:r w:rsidR="0041687E">
              <w:rPr>
                <w:noProof/>
                <w:webHidden/>
              </w:rPr>
              <w:t>24</w:t>
            </w:r>
            <w:r w:rsidR="003717F6">
              <w:rPr>
                <w:noProof/>
                <w:webHidden/>
              </w:rPr>
              <w:fldChar w:fldCharType="end"/>
            </w:r>
          </w:hyperlink>
        </w:p>
        <w:p w:rsidR="003717F6" w:rsidRDefault="00D574B3">
          <w:pPr>
            <w:pStyle w:val="TOC3"/>
            <w:rPr>
              <w:rFonts w:asciiTheme="minorHAnsi" w:eastAsiaTheme="minorEastAsia" w:hAnsiTheme="minorHAnsi" w:cstheme="minorBidi"/>
              <w:noProof/>
              <w:sz w:val="22"/>
              <w:szCs w:val="22"/>
              <w:lang w:eastAsia="en-AU"/>
            </w:rPr>
          </w:pPr>
          <w:hyperlink w:anchor="_Toc430102203" w:history="1">
            <w:r w:rsidR="003717F6" w:rsidRPr="00091212">
              <w:rPr>
                <w:rStyle w:val="Hyperlink"/>
                <w:noProof/>
              </w:rPr>
              <w:t>Industry</w:t>
            </w:r>
            <w:r w:rsidR="003717F6">
              <w:rPr>
                <w:noProof/>
                <w:webHidden/>
              </w:rPr>
              <w:tab/>
            </w:r>
            <w:r w:rsidR="003717F6">
              <w:rPr>
                <w:noProof/>
                <w:webHidden/>
              </w:rPr>
              <w:fldChar w:fldCharType="begin"/>
            </w:r>
            <w:r w:rsidR="003717F6">
              <w:rPr>
                <w:noProof/>
                <w:webHidden/>
              </w:rPr>
              <w:instrText xml:space="preserve"> PAGEREF _Toc430102203 \h </w:instrText>
            </w:r>
            <w:r w:rsidR="003717F6">
              <w:rPr>
                <w:noProof/>
                <w:webHidden/>
              </w:rPr>
            </w:r>
            <w:r w:rsidR="003717F6">
              <w:rPr>
                <w:noProof/>
                <w:webHidden/>
              </w:rPr>
              <w:fldChar w:fldCharType="separate"/>
            </w:r>
            <w:r w:rsidR="0041687E">
              <w:rPr>
                <w:noProof/>
                <w:webHidden/>
              </w:rPr>
              <w:t>24</w:t>
            </w:r>
            <w:r w:rsidR="003717F6">
              <w:rPr>
                <w:noProof/>
                <w:webHidden/>
              </w:rPr>
              <w:fldChar w:fldCharType="end"/>
            </w:r>
          </w:hyperlink>
        </w:p>
        <w:p w:rsidR="003717F6" w:rsidRDefault="00D574B3">
          <w:pPr>
            <w:pStyle w:val="TOC3"/>
            <w:rPr>
              <w:rFonts w:asciiTheme="minorHAnsi" w:eastAsiaTheme="minorEastAsia" w:hAnsiTheme="minorHAnsi" w:cstheme="minorBidi"/>
              <w:noProof/>
              <w:sz w:val="22"/>
              <w:szCs w:val="22"/>
              <w:lang w:eastAsia="en-AU"/>
            </w:rPr>
          </w:pPr>
          <w:hyperlink w:anchor="_Toc430102204" w:history="1">
            <w:r w:rsidR="003717F6" w:rsidRPr="00091212">
              <w:rPr>
                <w:rStyle w:val="Hyperlink"/>
                <w:noProof/>
              </w:rPr>
              <w:t>Commonwealth Government Agencies</w:t>
            </w:r>
            <w:r w:rsidR="003717F6">
              <w:rPr>
                <w:noProof/>
                <w:webHidden/>
              </w:rPr>
              <w:tab/>
            </w:r>
            <w:r w:rsidR="003717F6">
              <w:rPr>
                <w:noProof/>
                <w:webHidden/>
              </w:rPr>
              <w:fldChar w:fldCharType="begin"/>
            </w:r>
            <w:r w:rsidR="003717F6">
              <w:rPr>
                <w:noProof/>
                <w:webHidden/>
              </w:rPr>
              <w:instrText xml:space="preserve"> PAGEREF _Toc430102204 \h </w:instrText>
            </w:r>
            <w:r w:rsidR="003717F6">
              <w:rPr>
                <w:noProof/>
                <w:webHidden/>
              </w:rPr>
            </w:r>
            <w:r w:rsidR="003717F6">
              <w:rPr>
                <w:noProof/>
                <w:webHidden/>
              </w:rPr>
              <w:fldChar w:fldCharType="separate"/>
            </w:r>
            <w:r w:rsidR="0041687E">
              <w:rPr>
                <w:noProof/>
                <w:webHidden/>
              </w:rPr>
              <w:t>24</w:t>
            </w:r>
            <w:r w:rsidR="003717F6">
              <w:rPr>
                <w:noProof/>
                <w:webHidden/>
              </w:rPr>
              <w:fldChar w:fldCharType="end"/>
            </w:r>
          </w:hyperlink>
        </w:p>
        <w:p w:rsidR="003717F6" w:rsidRDefault="00D574B3">
          <w:pPr>
            <w:pStyle w:val="TOC3"/>
            <w:rPr>
              <w:rFonts w:asciiTheme="minorHAnsi" w:eastAsiaTheme="minorEastAsia" w:hAnsiTheme="minorHAnsi" w:cstheme="minorBidi"/>
              <w:noProof/>
              <w:sz w:val="22"/>
              <w:szCs w:val="22"/>
              <w:lang w:eastAsia="en-AU"/>
            </w:rPr>
          </w:pPr>
          <w:hyperlink w:anchor="_Toc430102205" w:history="1">
            <w:r w:rsidR="003717F6" w:rsidRPr="00091212">
              <w:rPr>
                <w:rStyle w:val="Hyperlink"/>
                <w:noProof/>
              </w:rPr>
              <w:t>Relationship with State and Territory Governments</w:t>
            </w:r>
            <w:r w:rsidR="003717F6">
              <w:rPr>
                <w:noProof/>
                <w:webHidden/>
              </w:rPr>
              <w:tab/>
            </w:r>
            <w:r w:rsidR="003717F6">
              <w:rPr>
                <w:noProof/>
                <w:webHidden/>
              </w:rPr>
              <w:fldChar w:fldCharType="begin"/>
            </w:r>
            <w:r w:rsidR="003717F6">
              <w:rPr>
                <w:noProof/>
                <w:webHidden/>
              </w:rPr>
              <w:instrText xml:space="preserve"> PAGEREF _Toc430102205 \h </w:instrText>
            </w:r>
            <w:r w:rsidR="003717F6">
              <w:rPr>
                <w:noProof/>
                <w:webHidden/>
              </w:rPr>
            </w:r>
            <w:r w:rsidR="003717F6">
              <w:rPr>
                <w:noProof/>
                <w:webHidden/>
              </w:rPr>
              <w:fldChar w:fldCharType="separate"/>
            </w:r>
            <w:r w:rsidR="0041687E">
              <w:rPr>
                <w:noProof/>
                <w:webHidden/>
              </w:rPr>
              <w:t>25</w:t>
            </w:r>
            <w:r w:rsidR="003717F6">
              <w:rPr>
                <w:noProof/>
                <w:webHidden/>
              </w:rPr>
              <w:fldChar w:fldCharType="end"/>
            </w:r>
          </w:hyperlink>
        </w:p>
        <w:p w:rsidR="003717F6" w:rsidRDefault="00D574B3">
          <w:pPr>
            <w:pStyle w:val="TOC2"/>
            <w:rPr>
              <w:rFonts w:asciiTheme="minorHAnsi" w:eastAsiaTheme="minorEastAsia" w:hAnsiTheme="minorHAnsi" w:cstheme="minorBidi"/>
              <w:noProof/>
              <w:sz w:val="22"/>
              <w:szCs w:val="22"/>
              <w:lang w:eastAsia="en-AU"/>
            </w:rPr>
          </w:pPr>
          <w:hyperlink w:anchor="_Toc430102206" w:history="1">
            <w:r w:rsidR="003717F6" w:rsidRPr="00091212">
              <w:rPr>
                <w:rStyle w:val="Hyperlink"/>
                <w:noProof/>
              </w:rPr>
              <w:t>Data Management</w:t>
            </w:r>
            <w:r w:rsidR="003717F6">
              <w:rPr>
                <w:noProof/>
                <w:webHidden/>
              </w:rPr>
              <w:tab/>
            </w:r>
            <w:r w:rsidR="003717F6">
              <w:rPr>
                <w:noProof/>
                <w:webHidden/>
              </w:rPr>
              <w:fldChar w:fldCharType="begin"/>
            </w:r>
            <w:r w:rsidR="003717F6">
              <w:rPr>
                <w:noProof/>
                <w:webHidden/>
              </w:rPr>
              <w:instrText xml:space="preserve"> PAGEREF _Toc430102206 \h </w:instrText>
            </w:r>
            <w:r w:rsidR="003717F6">
              <w:rPr>
                <w:noProof/>
                <w:webHidden/>
              </w:rPr>
            </w:r>
            <w:r w:rsidR="003717F6">
              <w:rPr>
                <w:noProof/>
                <w:webHidden/>
              </w:rPr>
              <w:fldChar w:fldCharType="separate"/>
            </w:r>
            <w:r w:rsidR="0041687E">
              <w:rPr>
                <w:noProof/>
                <w:webHidden/>
              </w:rPr>
              <w:t>25</w:t>
            </w:r>
            <w:r w:rsidR="003717F6">
              <w:rPr>
                <w:noProof/>
                <w:webHidden/>
              </w:rPr>
              <w:fldChar w:fldCharType="end"/>
            </w:r>
          </w:hyperlink>
        </w:p>
        <w:p w:rsidR="003717F6" w:rsidRDefault="00D574B3">
          <w:pPr>
            <w:pStyle w:val="TOC2"/>
            <w:rPr>
              <w:rFonts w:asciiTheme="minorHAnsi" w:eastAsiaTheme="minorEastAsia" w:hAnsiTheme="minorHAnsi" w:cstheme="minorBidi"/>
              <w:noProof/>
              <w:sz w:val="22"/>
              <w:szCs w:val="22"/>
              <w:lang w:eastAsia="en-AU"/>
            </w:rPr>
          </w:pPr>
          <w:hyperlink w:anchor="_Toc430102207" w:history="1">
            <w:r w:rsidR="003717F6" w:rsidRPr="00091212">
              <w:rPr>
                <w:rStyle w:val="Hyperlink"/>
                <w:noProof/>
              </w:rPr>
              <w:t>Implementing the Government’s Response to Productivity Commission Report</w:t>
            </w:r>
            <w:r w:rsidR="003717F6">
              <w:rPr>
                <w:noProof/>
                <w:webHidden/>
              </w:rPr>
              <w:tab/>
            </w:r>
            <w:r w:rsidR="003717F6">
              <w:rPr>
                <w:noProof/>
                <w:webHidden/>
              </w:rPr>
              <w:fldChar w:fldCharType="begin"/>
            </w:r>
            <w:r w:rsidR="003717F6">
              <w:rPr>
                <w:noProof/>
                <w:webHidden/>
              </w:rPr>
              <w:instrText xml:space="preserve"> PAGEREF _Toc430102207 \h </w:instrText>
            </w:r>
            <w:r w:rsidR="003717F6">
              <w:rPr>
                <w:noProof/>
                <w:webHidden/>
              </w:rPr>
            </w:r>
            <w:r w:rsidR="003717F6">
              <w:rPr>
                <w:noProof/>
                <w:webHidden/>
              </w:rPr>
              <w:fldChar w:fldCharType="separate"/>
            </w:r>
            <w:r w:rsidR="0041687E">
              <w:rPr>
                <w:noProof/>
                <w:webHidden/>
              </w:rPr>
              <w:t>27</w:t>
            </w:r>
            <w:r w:rsidR="003717F6">
              <w:rPr>
                <w:noProof/>
                <w:webHidden/>
              </w:rPr>
              <w:fldChar w:fldCharType="end"/>
            </w:r>
          </w:hyperlink>
        </w:p>
        <w:p w:rsidR="003717F6" w:rsidRDefault="00D574B3">
          <w:pPr>
            <w:pStyle w:val="TOC2"/>
            <w:rPr>
              <w:rFonts w:asciiTheme="minorHAnsi" w:eastAsiaTheme="minorEastAsia" w:hAnsiTheme="minorHAnsi" w:cstheme="minorBidi"/>
              <w:noProof/>
              <w:sz w:val="22"/>
              <w:szCs w:val="22"/>
              <w:lang w:eastAsia="en-AU"/>
            </w:rPr>
          </w:pPr>
          <w:hyperlink w:anchor="_Toc430102208" w:history="1">
            <w:r w:rsidR="003717F6" w:rsidRPr="00091212">
              <w:rPr>
                <w:rStyle w:val="Hyperlink"/>
                <w:noProof/>
              </w:rPr>
              <w:t>Greenhouse Gas Storage</w:t>
            </w:r>
            <w:r w:rsidR="003717F6">
              <w:rPr>
                <w:noProof/>
                <w:webHidden/>
              </w:rPr>
              <w:tab/>
            </w:r>
            <w:r w:rsidR="003717F6">
              <w:rPr>
                <w:noProof/>
                <w:webHidden/>
              </w:rPr>
              <w:fldChar w:fldCharType="begin"/>
            </w:r>
            <w:r w:rsidR="003717F6">
              <w:rPr>
                <w:noProof/>
                <w:webHidden/>
              </w:rPr>
              <w:instrText xml:space="preserve"> PAGEREF _Toc430102208 \h </w:instrText>
            </w:r>
            <w:r w:rsidR="003717F6">
              <w:rPr>
                <w:noProof/>
                <w:webHidden/>
              </w:rPr>
            </w:r>
            <w:r w:rsidR="003717F6">
              <w:rPr>
                <w:noProof/>
                <w:webHidden/>
              </w:rPr>
              <w:fldChar w:fldCharType="separate"/>
            </w:r>
            <w:r w:rsidR="0041687E">
              <w:rPr>
                <w:noProof/>
                <w:webHidden/>
              </w:rPr>
              <w:t>29</w:t>
            </w:r>
            <w:r w:rsidR="003717F6">
              <w:rPr>
                <w:noProof/>
                <w:webHidden/>
              </w:rPr>
              <w:fldChar w:fldCharType="end"/>
            </w:r>
          </w:hyperlink>
        </w:p>
        <w:p w:rsidR="003717F6" w:rsidRDefault="00D574B3">
          <w:pPr>
            <w:pStyle w:val="TOC2"/>
            <w:rPr>
              <w:rFonts w:asciiTheme="minorHAnsi" w:eastAsiaTheme="minorEastAsia" w:hAnsiTheme="minorHAnsi" w:cstheme="minorBidi"/>
              <w:noProof/>
              <w:sz w:val="22"/>
              <w:szCs w:val="22"/>
              <w:lang w:eastAsia="en-AU"/>
            </w:rPr>
          </w:pPr>
          <w:hyperlink w:anchor="_Toc430102209" w:history="1">
            <w:r w:rsidR="003717F6" w:rsidRPr="00091212">
              <w:rPr>
                <w:rStyle w:val="Hyperlink"/>
                <w:noProof/>
              </w:rPr>
              <w:t>NOPTA’s Insight</w:t>
            </w:r>
            <w:r w:rsidR="003717F6">
              <w:rPr>
                <w:noProof/>
                <w:webHidden/>
              </w:rPr>
              <w:tab/>
            </w:r>
            <w:r w:rsidR="003717F6">
              <w:rPr>
                <w:noProof/>
                <w:webHidden/>
              </w:rPr>
              <w:fldChar w:fldCharType="begin"/>
            </w:r>
            <w:r w:rsidR="003717F6">
              <w:rPr>
                <w:noProof/>
                <w:webHidden/>
              </w:rPr>
              <w:instrText xml:space="preserve"> PAGEREF _Toc430102209 \h </w:instrText>
            </w:r>
            <w:r w:rsidR="003717F6">
              <w:rPr>
                <w:noProof/>
                <w:webHidden/>
              </w:rPr>
            </w:r>
            <w:r w:rsidR="003717F6">
              <w:rPr>
                <w:noProof/>
                <w:webHidden/>
              </w:rPr>
              <w:fldChar w:fldCharType="separate"/>
            </w:r>
            <w:r w:rsidR="0041687E">
              <w:rPr>
                <w:noProof/>
                <w:webHidden/>
              </w:rPr>
              <w:t>30</w:t>
            </w:r>
            <w:r w:rsidR="003717F6">
              <w:rPr>
                <w:noProof/>
                <w:webHidden/>
              </w:rPr>
              <w:fldChar w:fldCharType="end"/>
            </w:r>
          </w:hyperlink>
        </w:p>
        <w:p w:rsidR="003717F6" w:rsidRDefault="00D574B3">
          <w:pPr>
            <w:pStyle w:val="TOC2"/>
            <w:rPr>
              <w:rFonts w:asciiTheme="minorHAnsi" w:eastAsiaTheme="minorEastAsia" w:hAnsiTheme="minorHAnsi" w:cstheme="minorBidi"/>
              <w:noProof/>
              <w:sz w:val="22"/>
              <w:szCs w:val="22"/>
              <w:lang w:eastAsia="en-AU"/>
            </w:rPr>
          </w:pPr>
          <w:hyperlink w:anchor="_Toc430102210" w:history="1">
            <w:r w:rsidR="003717F6" w:rsidRPr="00091212">
              <w:rPr>
                <w:rStyle w:val="Hyperlink"/>
                <w:noProof/>
              </w:rPr>
              <w:t>Government’s Deregulation Agenda</w:t>
            </w:r>
            <w:r w:rsidR="003717F6">
              <w:rPr>
                <w:noProof/>
                <w:webHidden/>
              </w:rPr>
              <w:tab/>
            </w:r>
            <w:r w:rsidR="003717F6">
              <w:rPr>
                <w:noProof/>
                <w:webHidden/>
              </w:rPr>
              <w:fldChar w:fldCharType="begin"/>
            </w:r>
            <w:r w:rsidR="003717F6">
              <w:rPr>
                <w:noProof/>
                <w:webHidden/>
              </w:rPr>
              <w:instrText xml:space="preserve"> PAGEREF _Toc430102210 \h </w:instrText>
            </w:r>
            <w:r w:rsidR="003717F6">
              <w:rPr>
                <w:noProof/>
                <w:webHidden/>
              </w:rPr>
            </w:r>
            <w:r w:rsidR="003717F6">
              <w:rPr>
                <w:noProof/>
                <w:webHidden/>
              </w:rPr>
              <w:fldChar w:fldCharType="separate"/>
            </w:r>
            <w:r w:rsidR="0041687E">
              <w:rPr>
                <w:noProof/>
                <w:webHidden/>
              </w:rPr>
              <w:t>30</w:t>
            </w:r>
            <w:r w:rsidR="003717F6">
              <w:rPr>
                <w:noProof/>
                <w:webHidden/>
              </w:rPr>
              <w:fldChar w:fldCharType="end"/>
            </w:r>
          </w:hyperlink>
        </w:p>
        <w:p w:rsidR="003717F6" w:rsidRPr="00EC3634" w:rsidRDefault="00D574B3" w:rsidP="00EC3634">
          <w:pPr>
            <w:pStyle w:val="TOC1"/>
            <w:rPr>
              <w:rFonts w:asciiTheme="minorHAnsi" w:eastAsiaTheme="minorEastAsia" w:hAnsiTheme="minorHAnsi" w:cstheme="minorBidi"/>
              <w:color w:val="auto"/>
              <w:sz w:val="22"/>
              <w:szCs w:val="22"/>
              <w:lang w:eastAsia="en-AU"/>
            </w:rPr>
          </w:pPr>
          <w:hyperlink w:anchor="_Toc430102211" w:history="1">
            <w:r w:rsidR="003717F6" w:rsidRPr="00EC3634">
              <w:rPr>
                <w:rStyle w:val="Hyperlink"/>
                <w:color w:val="244061" w:themeColor="accent1" w:themeShade="80"/>
              </w:rPr>
              <w:t>Conclusion</w:t>
            </w:r>
            <w:r w:rsidR="003717F6" w:rsidRPr="00EC3634">
              <w:rPr>
                <w:webHidden/>
              </w:rPr>
              <w:tab/>
            </w:r>
            <w:r w:rsidR="003717F6" w:rsidRPr="00EC3634">
              <w:rPr>
                <w:webHidden/>
              </w:rPr>
              <w:fldChar w:fldCharType="begin"/>
            </w:r>
            <w:r w:rsidR="003717F6" w:rsidRPr="00EC3634">
              <w:rPr>
                <w:webHidden/>
              </w:rPr>
              <w:instrText xml:space="preserve"> PAGEREF _Toc430102211 \h </w:instrText>
            </w:r>
            <w:r w:rsidR="003717F6" w:rsidRPr="00EC3634">
              <w:rPr>
                <w:webHidden/>
              </w:rPr>
            </w:r>
            <w:r w:rsidR="003717F6" w:rsidRPr="00EC3634">
              <w:rPr>
                <w:webHidden/>
              </w:rPr>
              <w:fldChar w:fldCharType="separate"/>
            </w:r>
            <w:r w:rsidR="0041687E">
              <w:rPr>
                <w:webHidden/>
              </w:rPr>
              <w:t>31</w:t>
            </w:r>
            <w:r w:rsidR="003717F6" w:rsidRPr="00EC3634">
              <w:rPr>
                <w:webHidden/>
              </w:rPr>
              <w:fldChar w:fldCharType="end"/>
            </w:r>
          </w:hyperlink>
        </w:p>
        <w:p w:rsidR="00EC3634" w:rsidRPr="00EC3634" w:rsidRDefault="00D574B3" w:rsidP="00EC3634">
          <w:pPr>
            <w:pStyle w:val="TOC1"/>
            <w:rPr>
              <w:rFonts w:asciiTheme="minorHAnsi" w:eastAsiaTheme="minorEastAsia" w:hAnsiTheme="minorHAnsi" w:cstheme="minorBidi"/>
              <w:color w:val="auto"/>
              <w:sz w:val="22"/>
              <w:szCs w:val="22"/>
              <w:lang w:val="en-GB" w:eastAsia="en-GB"/>
            </w:rPr>
          </w:pPr>
          <w:hyperlink w:anchor="_Toc423426798" w:history="1">
            <w:r w:rsidR="00EC3634" w:rsidRPr="00EC3634">
              <w:rPr>
                <w:rStyle w:val="Hyperlink"/>
                <w:color w:val="244061" w:themeColor="accent1" w:themeShade="80"/>
              </w:rPr>
              <w:t>Annex A</w:t>
            </w:r>
            <w:r w:rsidR="00EC3634" w:rsidRPr="00EC3634">
              <w:rPr>
                <w:rFonts w:asciiTheme="minorHAnsi" w:eastAsiaTheme="minorEastAsia" w:hAnsiTheme="minorHAnsi" w:cstheme="minorBidi"/>
                <w:sz w:val="22"/>
                <w:szCs w:val="22"/>
                <w:lang w:val="en-GB" w:eastAsia="en-GB"/>
              </w:rPr>
              <w:tab/>
            </w:r>
            <w:r w:rsidR="00EC3634" w:rsidRPr="00EC3634">
              <w:rPr>
                <w:rStyle w:val="Hyperlink"/>
                <w:color w:val="244061" w:themeColor="accent1" w:themeShade="80"/>
              </w:rPr>
              <w:t>NOPTA Terms of Reference</w:t>
            </w:r>
            <w:r w:rsidR="00EC3634" w:rsidRPr="00EC3634">
              <w:rPr>
                <w:webHidden/>
              </w:rPr>
              <w:tab/>
            </w:r>
            <w:r w:rsidR="00EC3634" w:rsidRPr="00EC3634">
              <w:rPr>
                <w:webHidden/>
              </w:rPr>
              <w:fldChar w:fldCharType="begin"/>
            </w:r>
            <w:r w:rsidR="00EC3634" w:rsidRPr="00EC3634">
              <w:rPr>
                <w:webHidden/>
              </w:rPr>
              <w:instrText xml:space="preserve"> PAGEREF _Toc423426798 \h </w:instrText>
            </w:r>
            <w:r w:rsidR="00EC3634" w:rsidRPr="00EC3634">
              <w:rPr>
                <w:webHidden/>
              </w:rPr>
            </w:r>
            <w:r w:rsidR="00EC3634" w:rsidRPr="00EC3634">
              <w:rPr>
                <w:webHidden/>
              </w:rPr>
              <w:fldChar w:fldCharType="separate"/>
            </w:r>
            <w:r w:rsidR="0041687E">
              <w:rPr>
                <w:webHidden/>
              </w:rPr>
              <w:t>A-1</w:t>
            </w:r>
            <w:r w:rsidR="00EC3634" w:rsidRPr="00EC3634">
              <w:rPr>
                <w:webHidden/>
              </w:rPr>
              <w:fldChar w:fldCharType="end"/>
            </w:r>
          </w:hyperlink>
        </w:p>
        <w:p w:rsidR="00EC3634" w:rsidRPr="00EC3634" w:rsidRDefault="00D574B3" w:rsidP="00EC3634">
          <w:pPr>
            <w:pStyle w:val="TOC1"/>
            <w:rPr>
              <w:rFonts w:asciiTheme="minorHAnsi" w:eastAsiaTheme="minorEastAsia" w:hAnsiTheme="minorHAnsi" w:cstheme="minorBidi"/>
              <w:color w:val="auto"/>
              <w:sz w:val="22"/>
              <w:szCs w:val="22"/>
              <w:lang w:val="en-GB" w:eastAsia="en-GB"/>
            </w:rPr>
          </w:pPr>
          <w:hyperlink w:anchor="_Toc423426799" w:history="1">
            <w:r w:rsidR="00EC3634" w:rsidRPr="00EC3634">
              <w:rPr>
                <w:rStyle w:val="Hyperlink"/>
                <w:color w:val="244061" w:themeColor="accent1" w:themeShade="80"/>
              </w:rPr>
              <w:t>Annex B</w:t>
            </w:r>
            <w:r w:rsidR="00EC3634" w:rsidRPr="00EC3634">
              <w:rPr>
                <w:rFonts w:asciiTheme="minorHAnsi" w:eastAsiaTheme="minorEastAsia" w:hAnsiTheme="minorHAnsi" w:cstheme="minorBidi"/>
                <w:sz w:val="22"/>
                <w:szCs w:val="22"/>
                <w:lang w:val="en-GB" w:eastAsia="en-GB"/>
              </w:rPr>
              <w:tab/>
            </w:r>
            <w:r w:rsidR="00EC3634" w:rsidRPr="00EC3634">
              <w:rPr>
                <w:rStyle w:val="Hyperlink"/>
                <w:color w:val="244061" w:themeColor="accent1" w:themeShade="80"/>
              </w:rPr>
              <w:t>Stakeholders Interviewed</w:t>
            </w:r>
            <w:r w:rsidR="00EC3634" w:rsidRPr="00EC3634">
              <w:rPr>
                <w:webHidden/>
              </w:rPr>
              <w:tab/>
            </w:r>
            <w:r w:rsidR="00EC3634" w:rsidRPr="00EC3634">
              <w:rPr>
                <w:webHidden/>
              </w:rPr>
              <w:fldChar w:fldCharType="begin"/>
            </w:r>
            <w:r w:rsidR="00EC3634" w:rsidRPr="00EC3634">
              <w:rPr>
                <w:webHidden/>
              </w:rPr>
              <w:instrText xml:space="preserve"> PAGEREF _Toc423426799 \h </w:instrText>
            </w:r>
            <w:r w:rsidR="00EC3634" w:rsidRPr="00EC3634">
              <w:rPr>
                <w:webHidden/>
              </w:rPr>
            </w:r>
            <w:r w:rsidR="00EC3634" w:rsidRPr="00EC3634">
              <w:rPr>
                <w:webHidden/>
              </w:rPr>
              <w:fldChar w:fldCharType="separate"/>
            </w:r>
            <w:r w:rsidR="0041687E">
              <w:rPr>
                <w:webHidden/>
              </w:rPr>
              <w:t>B-1</w:t>
            </w:r>
            <w:r w:rsidR="00EC3634" w:rsidRPr="00EC3634">
              <w:rPr>
                <w:webHidden/>
              </w:rPr>
              <w:fldChar w:fldCharType="end"/>
            </w:r>
          </w:hyperlink>
        </w:p>
        <w:p w:rsidR="00EC3634" w:rsidRPr="00EC3634" w:rsidRDefault="00D574B3" w:rsidP="00EC3634">
          <w:pPr>
            <w:pStyle w:val="TOC1"/>
            <w:rPr>
              <w:rFonts w:asciiTheme="minorHAnsi" w:eastAsiaTheme="minorEastAsia" w:hAnsiTheme="minorHAnsi" w:cstheme="minorBidi"/>
              <w:color w:val="auto"/>
              <w:sz w:val="22"/>
              <w:szCs w:val="22"/>
              <w:lang w:val="en-GB" w:eastAsia="en-GB"/>
            </w:rPr>
          </w:pPr>
          <w:hyperlink w:anchor="_Toc423426800" w:history="1">
            <w:r w:rsidR="00EC3634" w:rsidRPr="00EC3634">
              <w:rPr>
                <w:rStyle w:val="Hyperlink"/>
                <w:color w:val="244061" w:themeColor="accent1" w:themeShade="80"/>
              </w:rPr>
              <w:t>Annex C</w:t>
            </w:r>
            <w:r w:rsidR="00EC3634" w:rsidRPr="00EC3634">
              <w:rPr>
                <w:rFonts w:asciiTheme="minorHAnsi" w:eastAsiaTheme="minorEastAsia" w:hAnsiTheme="minorHAnsi" w:cstheme="minorBidi"/>
                <w:sz w:val="22"/>
                <w:szCs w:val="22"/>
                <w:lang w:val="en-GB" w:eastAsia="en-GB"/>
              </w:rPr>
              <w:tab/>
            </w:r>
            <w:r w:rsidR="00EC3634" w:rsidRPr="00EC3634">
              <w:rPr>
                <w:rStyle w:val="Hyperlink"/>
                <w:color w:val="244061" w:themeColor="accent1" w:themeShade="80"/>
              </w:rPr>
              <w:t>Documents Reviewed</w:t>
            </w:r>
            <w:r w:rsidR="00EC3634" w:rsidRPr="00EC3634">
              <w:rPr>
                <w:webHidden/>
              </w:rPr>
              <w:tab/>
            </w:r>
            <w:r w:rsidR="00EC3634" w:rsidRPr="00EC3634">
              <w:rPr>
                <w:webHidden/>
              </w:rPr>
              <w:fldChar w:fldCharType="begin"/>
            </w:r>
            <w:r w:rsidR="00EC3634" w:rsidRPr="00EC3634">
              <w:rPr>
                <w:webHidden/>
              </w:rPr>
              <w:instrText xml:space="preserve"> PAGEREF _Toc423426800 \h </w:instrText>
            </w:r>
            <w:r w:rsidR="00EC3634" w:rsidRPr="00EC3634">
              <w:rPr>
                <w:webHidden/>
              </w:rPr>
            </w:r>
            <w:r w:rsidR="00EC3634" w:rsidRPr="00EC3634">
              <w:rPr>
                <w:webHidden/>
              </w:rPr>
              <w:fldChar w:fldCharType="separate"/>
            </w:r>
            <w:r w:rsidR="0041687E">
              <w:rPr>
                <w:webHidden/>
              </w:rPr>
              <w:t>C-1</w:t>
            </w:r>
            <w:r w:rsidR="00EC3634" w:rsidRPr="00EC3634">
              <w:rPr>
                <w:webHidden/>
              </w:rPr>
              <w:fldChar w:fldCharType="end"/>
            </w:r>
          </w:hyperlink>
        </w:p>
        <w:p w:rsidR="00EC3634" w:rsidRPr="00EC3634" w:rsidRDefault="00D574B3" w:rsidP="00EC3634">
          <w:pPr>
            <w:pStyle w:val="TOC1"/>
            <w:rPr>
              <w:rFonts w:asciiTheme="minorHAnsi" w:eastAsiaTheme="minorEastAsia" w:hAnsiTheme="minorHAnsi" w:cstheme="minorBidi"/>
              <w:color w:val="auto"/>
              <w:sz w:val="22"/>
              <w:szCs w:val="22"/>
              <w:lang w:val="en-GB" w:eastAsia="en-GB"/>
            </w:rPr>
          </w:pPr>
          <w:hyperlink w:anchor="_Toc423426801" w:history="1">
            <w:r w:rsidR="00EC3634" w:rsidRPr="00EC3634">
              <w:rPr>
                <w:rStyle w:val="Hyperlink"/>
                <w:color w:val="244061" w:themeColor="accent1" w:themeShade="80"/>
              </w:rPr>
              <w:t>Annex D</w:t>
            </w:r>
            <w:r w:rsidR="00EC3634" w:rsidRPr="00EC3634">
              <w:rPr>
                <w:rFonts w:asciiTheme="minorHAnsi" w:eastAsiaTheme="minorEastAsia" w:hAnsiTheme="minorHAnsi" w:cstheme="minorBidi"/>
                <w:sz w:val="22"/>
                <w:szCs w:val="22"/>
                <w:lang w:val="en-GB" w:eastAsia="en-GB"/>
              </w:rPr>
              <w:tab/>
            </w:r>
            <w:r w:rsidR="00EC3634" w:rsidRPr="00EC3634">
              <w:rPr>
                <w:rStyle w:val="Hyperlink"/>
                <w:color w:val="244061" w:themeColor="accent1" w:themeShade="80"/>
              </w:rPr>
              <w:t>Comparison of Fees</w:t>
            </w:r>
            <w:r w:rsidR="00EC3634" w:rsidRPr="00EC3634">
              <w:rPr>
                <w:webHidden/>
              </w:rPr>
              <w:tab/>
            </w:r>
            <w:r w:rsidR="00EC3634" w:rsidRPr="00EC3634">
              <w:rPr>
                <w:webHidden/>
              </w:rPr>
              <w:fldChar w:fldCharType="begin"/>
            </w:r>
            <w:r w:rsidR="00EC3634" w:rsidRPr="00EC3634">
              <w:rPr>
                <w:webHidden/>
              </w:rPr>
              <w:instrText xml:space="preserve"> PAGEREF _Toc423426801 \h </w:instrText>
            </w:r>
            <w:r w:rsidR="00EC3634" w:rsidRPr="00EC3634">
              <w:rPr>
                <w:webHidden/>
              </w:rPr>
            </w:r>
            <w:r w:rsidR="00EC3634" w:rsidRPr="00EC3634">
              <w:rPr>
                <w:webHidden/>
              </w:rPr>
              <w:fldChar w:fldCharType="separate"/>
            </w:r>
            <w:r w:rsidR="0041687E">
              <w:rPr>
                <w:webHidden/>
              </w:rPr>
              <w:t>D-1</w:t>
            </w:r>
            <w:r w:rsidR="00EC3634" w:rsidRPr="00EC3634">
              <w:rPr>
                <w:webHidden/>
              </w:rPr>
              <w:fldChar w:fldCharType="end"/>
            </w:r>
          </w:hyperlink>
        </w:p>
        <w:p w:rsidR="003717F6" w:rsidRDefault="00D574B3">
          <w:pPr>
            <w:pStyle w:val="TOC3"/>
            <w:rPr>
              <w:rFonts w:asciiTheme="minorHAnsi" w:eastAsiaTheme="minorEastAsia" w:hAnsiTheme="minorHAnsi" w:cstheme="minorBidi"/>
              <w:noProof/>
              <w:sz w:val="22"/>
              <w:szCs w:val="22"/>
              <w:lang w:eastAsia="en-AU"/>
            </w:rPr>
          </w:pPr>
          <w:hyperlink w:anchor="_Toc430102212" w:history="1">
            <w:r w:rsidR="003717F6" w:rsidRPr="00091212">
              <w:rPr>
                <w:rStyle w:val="Hyperlink"/>
                <w:noProof/>
              </w:rPr>
              <w:t>Australia</w:t>
            </w:r>
            <w:r w:rsidR="003717F6">
              <w:rPr>
                <w:noProof/>
                <w:webHidden/>
              </w:rPr>
              <w:tab/>
            </w:r>
            <w:r w:rsidR="003717F6">
              <w:rPr>
                <w:noProof/>
                <w:webHidden/>
              </w:rPr>
              <w:fldChar w:fldCharType="begin"/>
            </w:r>
            <w:r w:rsidR="003717F6">
              <w:rPr>
                <w:noProof/>
                <w:webHidden/>
              </w:rPr>
              <w:instrText xml:space="preserve"> PAGEREF _Toc430102212 \h </w:instrText>
            </w:r>
            <w:r w:rsidR="003717F6">
              <w:rPr>
                <w:noProof/>
                <w:webHidden/>
              </w:rPr>
            </w:r>
            <w:r w:rsidR="003717F6">
              <w:rPr>
                <w:noProof/>
                <w:webHidden/>
              </w:rPr>
              <w:fldChar w:fldCharType="separate"/>
            </w:r>
            <w:r w:rsidR="0041687E">
              <w:rPr>
                <w:noProof/>
                <w:webHidden/>
              </w:rPr>
              <w:t>D-1</w:t>
            </w:r>
            <w:r w:rsidR="003717F6">
              <w:rPr>
                <w:noProof/>
                <w:webHidden/>
              </w:rPr>
              <w:fldChar w:fldCharType="end"/>
            </w:r>
          </w:hyperlink>
        </w:p>
        <w:p w:rsidR="003717F6" w:rsidRDefault="00D574B3">
          <w:pPr>
            <w:pStyle w:val="TOC3"/>
            <w:rPr>
              <w:rFonts w:asciiTheme="minorHAnsi" w:eastAsiaTheme="minorEastAsia" w:hAnsiTheme="minorHAnsi" w:cstheme="minorBidi"/>
              <w:noProof/>
              <w:sz w:val="22"/>
              <w:szCs w:val="22"/>
              <w:lang w:eastAsia="en-AU"/>
            </w:rPr>
          </w:pPr>
          <w:hyperlink w:anchor="_Toc430102213" w:history="1">
            <w:r w:rsidR="003717F6" w:rsidRPr="00091212">
              <w:rPr>
                <w:rStyle w:val="Hyperlink"/>
                <w:noProof/>
              </w:rPr>
              <w:t>Norway</w:t>
            </w:r>
            <w:r w:rsidR="003717F6">
              <w:rPr>
                <w:noProof/>
                <w:webHidden/>
              </w:rPr>
              <w:tab/>
            </w:r>
            <w:r w:rsidR="003717F6">
              <w:rPr>
                <w:noProof/>
                <w:webHidden/>
              </w:rPr>
              <w:fldChar w:fldCharType="begin"/>
            </w:r>
            <w:r w:rsidR="003717F6">
              <w:rPr>
                <w:noProof/>
                <w:webHidden/>
              </w:rPr>
              <w:instrText xml:space="preserve"> PAGEREF _Toc430102213 \h </w:instrText>
            </w:r>
            <w:r w:rsidR="003717F6">
              <w:rPr>
                <w:noProof/>
                <w:webHidden/>
              </w:rPr>
            </w:r>
            <w:r w:rsidR="003717F6">
              <w:rPr>
                <w:noProof/>
                <w:webHidden/>
              </w:rPr>
              <w:fldChar w:fldCharType="separate"/>
            </w:r>
            <w:r w:rsidR="0041687E">
              <w:rPr>
                <w:noProof/>
                <w:webHidden/>
              </w:rPr>
              <w:t>D-2</w:t>
            </w:r>
            <w:r w:rsidR="003717F6">
              <w:rPr>
                <w:noProof/>
                <w:webHidden/>
              </w:rPr>
              <w:fldChar w:fldCharType="end"/>
            </w:r>
          </w:hyperlink>
        </w:p>
        <w:p w:rsidR="003717F6" w:rsidRDefault="00D574B3">
          <w:pPr>
            <w:pStyle w:val="TOC3"/>
            <w:rPr>
              <w:rFonts w:asciiTheme="minorHAnsi" w:eastAsiaTheme="minorEastAsia" w:hAnsiTheme="minorHAnsi" w:cstheme="minorBidi"/>
              <w:noProof/>
              <w:sz w:val="22"/>
              <w:szCs w:val="22"/>
              <w:lang w:eastAsia="en-AU"/>
            </w:rPr>
          </w:pPr>
          <w:hyperlink w:anchor="_Toc430102214" w:history="1">
            <w:r w:rsidR="003717F6" w:rsidRPr="00091212">
              <w:rPr>
                <w:rStyle w:val="Hyperlink"/>
                <w:noProof/>
              </w:rPr>
              <w:t>United Kingdom</w:t>
            </w:r>
            <w:r w:rsidR="003717F6">
              <w:rPr>
                <w:noProof/>
                <w:webHidden/>
              </w:rPr>
              <w:tab/>
            </w:r>
            <w:r w:rsidR="003717F6">
              <w:rPr>
                <w:noProof/>
                <w:webHidden/>
              </w:rPr>
              <w:fldChar w:fldCharType="begin"/>
            </w:r>
            <w:r w:rsidR="003717F6">
              <w:rPr>
                <w:noProof/>
                <w:webHidden/>
              </w:rPr>
              <w:instrText xml:space="preserve"> PAGEREF _Toc430102214 \h </w:instrText>
            </w:r>
            <w:r w:rsidR="003717F6">
              <w:rPr>
                <w:noProof/>
                <w:webHidden/>
              </w:rPr>
            </w:r>
            <w:r w:rsidR="003717F6">
              <w:rPr>
                <w:noProof/>
                <w:webHidden/>
              </w:rPr>
              <w:fldChar w:fldCharType="separate"/>
            </w:r>
            <w:r w:rsidR="0041687E">
              <w:rPr>
                <w:noProof/>
                <w:webHidden/>
              </w:rPr>
              <w:t>D-3</w:t>
            </w:r>
            <w:r w:rsidR="003717F6">
              <w:rPr>
                <w:noProof/>
                <w:webHidden/>
              </w:rPr>
              <w:fldChar w:fldCharType="end"/>
            </w:r>
          </w:hyperlink>
        </w:p>
        <w:p w:rsidR="003717F6" w:rsidRPr="00EC3634" w:rsidRDefault="00D574B3">
          <w:pPr>
            <w:pStyle w:val="TOC3"/>
            <w:rPr>
              <w:rStyle w:val="Hyperlink"/>
              <w:noProof/>
              <w:color w:val="auto"/>
            </w:rPr>
          </w:pPr>
          <w:hyperlink w:anchor="_Toc430102215" w:history="1">
            <w:r w:rsidR="003717F6" w:rsidRPr="00091212">
              <w:rPr>
                <w:rStyle w:val="Hyperlink"/>
                <w:noProof/>
              </w:rPr>
              <w:t>International Jurisdiction Comparison</w:t>
            </w:r>
            <w:r w:rsidR="003717F6">
              <w:rPr>
                <w:noProof/>
                <w:webHidden/>
              </w:rPr>
              <w:tab/>
            </w:r>
            <w:r w:rsidR="003717F6">
              <w:rPr>
                <w:noProof/>
                <w:webHidden/>
              </w:rPr>
              <w:fldChar w:fldCharType="begin"/>
            </w:r>
            <w:r w:rsidR="003717F6">
              <w:rPr>
                <w:noProof/>
                <w:webHidden/>
              </w:rPr>
              <w:instrText xml:space="preserve"> PAGEREF _Toc430102215 \h </w:instrText>
            </w:r>
            <w:r w:rsidR="003717F6">
              <w:rPr>
                <w:noProof/>
                <w:webHidden/>
              </w:rPr>
            </w:r>
            <w:r w:rsidR="003717F6">
              <w:rPr>
                <w:noProof/>
                <w:webHidden/>
              </w:rPr>
              <w:fldChar w:fldCharType="separate"/>
            </w:r>
            <w:r w:rsidR="0041687E">
              <w:rPr>
                <w:noProof/>
                <w:webHidden/>
              </w:rPr>
              <w:t>D-4</w:t>
            </w:r>
            <w:r w:rsidR="003717F6">
              <w:rPr>
                <w:noProof/>
                <w:webHidden/>
              </w:rPr>
              <w:fldChar w:fldCharType="end"/>
            </w:r>
          </w:hyperlink>
        </w:p>
        <w:p w:rsidR="00EC3634" w:rsidRPr="00EC3634" w:rsidRDefault="00EC3634" w:rsidP="00EC3634">
          <w:pPr>
            <w:pStyle w:val="TOC1"/>
            <w:rPr>
              <w:rStyle w:val="Hyperlink"/>
              <w:b w:val="0"/>
              <w:color w:val="auto"/>
              <w:u w:val="none"/>
            </w:rPr>
          </w:pPr>
          <w:r w:rsidRPr="00EC3634">
            <w:rPr>
              <w:rStyle w:val="Hyperlink"/>
              <w:b w:val="0"/>
              <w:color w:val="244061" w:themeColor="accent1" w:themeShade="80"/>
              <w:u w:val="none"/>
            </w:rPr>
            <w:t>Annex E</w:t>
          </w:r>
          <w:r w:rsidRPr="00EC3634">
            <w:rPr>
              <w:rStyle w:val="Hyperlink"/>
              <w:b w:val="0"/>
              <w:color w:val="244061" w:themeColor="accent1" w:themeShade="80"/>
              <w:u w:val="none"/>
            </w:rPr>
            <w:tab/>
            <w:t>Stakeholder Survey Results</w:t>
          </w:r>
          <w:r w:rsidRPr="00EC3634">
            <w:rPr>
              <w:rStyle w:val="Hyperlink"/>
              <w:b w:val="0"/>
              <w:webHidden/>
              <w:color w:val="244061" w:themeColor="accent1" w:themeShade="80"/>
              <w:u w:val="none"/>
            </w:rPr>
            <w:tab/>
          </w:r>
          <w:r w:rsidRPr="00EC3634">
            <w:rPr>
              <w:rStyle w:val="Hyperlink"/>
              <w:b w:val="0"/>
              <w:webHidden/>
              <w:color w:val="244061" w:themeColor="accent1" w:themeShade="80"/>
              <w:u w:val="none"/>
            </w:rPr>
            <w:fldChar w:fldCharType="begin"/>
          </w:r>
          <w:r w:rsidRPr="00EC3634">
            <w:rPr>
              <w:rStyle w:val="Hyperlink"/>
              <w:b w:val="0"/>
              <w:webHidden/>
              <w:color w:val="244061" w:themeColor="accent1" w:themeShade="80"/>
              <w:u w:val="none"/>
            </w:rPr>
            <w:instrText xml:space="preserve"> PAGEREF _Toc423426806 \h </w:instrText>
          </w:r>
          <w:r w:rsidRPr="00EC3634">
            <w:rPr>
              <w:rStyle w:val="Hyperlink"/>
              <w:b w:val="0"/>
              <w:webHidden/>
              <w:color w:val="244061" w:themeColor="accent1" w:themeShade="80"/>
              <w:u w:val="none"/>
            </w:rPr>
          </w:r>
          <w:r w:rsidRPr="00EC3634">
            <w:rPr>
              <w:rStyle w:val="Hyperlink"/>
              <w:b w:val="0"/>
              <w:webHidden/>
              <w:color w:val="244061" w:themeColor="accent1" w:themeShade="80"/>
              <w:u w:val="none"/>
            </w:rPr>
            <w:fldChar w:fldCharType="separate"/>
          </w:r>
          <w:r w:rsidR="0041687E">
            <w:rPr>
              <w:rStyle w:val="Hyperlink"/>
              <w:b w:val="0"/>
              <w:webHidden/>
              <w:color w:val="244061" w:themeColor="accent1" w:themeShade="80"/>
              <w:u w:val="none"/>
            </w:rPr>
            <w:t>E-1</w:t>
          </w:r>
          <w:r w:rsidRPr="00EC3634">
            <w:rPr>
              <w:rStyle w:val="Hyperlink"/>
              <w:b w:val="0"/>
              <w:webHidden/>
              <w:color w:val="244061" w:themeColor="accent1" w:themeShade="80"/>
              <w:u w:val="none"/>
            </w:rPr>
            <w:fldChar w:fldCharType="end"/>
          </w:r>
        </w:p>
        <w:p w:rsidR="003717F6" w:rsidRDefault="00D574B3">
          <w:pPr>
            <w:pStyle w:val="TOC2"/>
            <w:rPr>
              <w:rFonts w:asciiTheme="minorHAnsi" w:eastAsiaTheme="minorEastAsia" w:hAnsiTheme="minorHAnsi" w:cstheme="minorBidi"/>
              <w:noProof/>
              <w:sz w:val="22"/>
              <w:szCs w:val="22"/>
              <w:lang w:eastAsia="en-AU"/>
            </w:rPr>
          </w:pPr>
          <w:hyperlink w:anchor="_Toc430102216" w:history="1">
            <w:r w:rsidR="003717F6" w:rsidRPr="00091212">
              <w:rPr>
                <w:rStyle w:val="Hyperlink"/>
                <w:noProof/>
              </w:rPr>
              <w:t>Private Sector Survey Responses</w:t>
            </w:r>
            <w:r w:rsidR="003717F6">
              <w:rPr>
                <w:noProof/>
                <w:webHidden/>
              </w:rPr>
              <w:tab/>
            </w:r>
            <w:r w:rsidR="003717F6">
              <w:rPr>
                <w:noProof/>
                <w:webHidden/>
              </w:rPr>
              <w:fldChar w:fldCharType="begin"/>
            </w:r>
            <w:r w:rsidR="003717F6">
              <w:rPr>
                <w:noProof/>
                <w:webHidden/>
              </w:rPr>
              <w:instrText xml:space="preserve"> PAGEREF _Toc430102216 \h </w:instrText>
            </w:r>
            <w:r w:rsidR="003717F6">
              <w:rPr>
                <w:noProof/>
                <w:webHidden/>
              </w:rPr>
            </w:r>
            <w:r w:rsidR="003717F6">
              <w:rPr>
                <w:noProof/>
                <w:webHidden/>
              </w:rPr>
              <w:fldChar w:fldCharType="separate"/>
            </w:r>
            <w:r w:rsidR="0041687E">
              <w:rPr>
                <w:noProof/>
                <w:webHidden/>
              </w:rPr>
              <w:t>E-1</w:t>
            </w:r>
            <w:r w:rsidR="003717F6">
              <w:rPr>
                <w:noProof/>
                <w:webHidden/>
              </w:rPr>
              <w:fldChar w:fldCharType="end"/>
            </w:r>
          </w:hyperlink>
        </w:p>
        <w:p w:rsidR="003717F6" w:rsidRDefault="00D574B3">
          <w:pPr>
            <w:pStyle w:val="TOC3"/>
            <w:rPr>
              <w:rFonts w:asciiTheme="minorHAnsi" w:eastAsiaTheme="minorEastAsia" w:hAnsiTheme="minorHAnsi" w:cstheme="minorBidi"/>
              <w:noProof/>
              <w:sz w:val="22"/>
              <w:szCs w:val="22"/>
              <w:lang w:eastAsia="en-AU"/>
            </w:rPr>
          </w:pPr>
          <w:hyperlink w:anchor="_Toc430102217" w:history="1">
            <w:r w:rsidR="003717F6" w:rsidRPr="00091212">
              <w:rPr>
                <w:rStyle w:val="Hyperlink"/>
                <w:noProof/>
              </w:rPr>
              <w:t>Regulation and the Productivity Commission Review</w:t>
            </w:r>
            <w:r w:rsidR="003717F6">
              <w:rPr>
                <w:noProof/>
                <w:webHidden/>
              </w:rPr>
              <w:tab/>
            </w:r>
            <w:r w:rsidR="003717F6">
              <w:rPr>
                <w:noProof/>
                <w:webHidden/>
              </w:rPr>
              <w:fldChar w:fldCharType="begin"/>
            </w:r>
            <w:r w:rsidR="003717F6">
              <w:rPr>
                <w:noProof/>
                <w:webHidden/>
              </w:rPr>
              <w:instrText xml:space="preserve"> PAGEREF _Toc430102217 \h </w:instrText>
            </w:r>
            <w:r w:rsidR="003717F6">
              <w:rPr>
                <w:noProof/>
                <w:webHidden/>
              </w:rPr>
            </w:r>
            <w:r w:rsidR="003717F6">
              <w:rPr>
                <w:noProof/>
                <w:webHidden/>
              </w:rPr>
              <w:fldChar w:fldCharType="separate"/>
            </w:r>
            <w:r w:rsidR="0041687E">
              <w:rPr>
                <w:noProof/>
                <w:webHidden/>
              </w:rPr>
              <w:t>E-1</w:t>
            </w:r>
            <w:r w:rsidR="003717F6">
              <w:rPr>
                <w:noProof/>
                <w:webHidden/>
              </w:rPr>
              <w:fldChar w:fldCharType="end"/>
            </w:r>
          </w:hyperlink>
        </w:p>
        <w:p w:rsidR="003717F6" w:rsidRDefault="00D574B3">
          <w:pPr>
            <w:pStyle w:val="TOC3"/>
            <w:rPr>
              <w:rFonts w:asciiTheme="minorHAnsi" w:eastAsiaTheme="minorEastAsia" w:hAnsiTheme="minorHAnsi" w:cstheme="minorBidi"/>
              <w:noProof/>
              <w:sz w:val="22"/>
              <w:szCs w:val="22"/>
              <w:lang w:eastAsia="en-AU"/>
            </w:rPr>
          </w:pPr>
          <w:hyperlink w:anchor="_Toc430102218" w:history="1">
            <w:r w:rsidR="003717F6" w:rsidRPr="00091212">
              <w:rPr>
                <w:rStyle w:val="Hyperlink"/>
                <w:noProof/>
              </w:rPr>
              <w:t>Management of Titles</w:t>
            </w:r>
            <w:r w:rsidR="003717F6">
              <w:rPr>
                <w:noProof/>
                <w:webHidden/>
              </w:rPr>
              <w:tab/>
            </w:r>
            <w:r w:rsidR="003717F6">
              <w:rPr>
                <w:noProof/>
                <w:webHidden/>
              </w:rPr>
              <w:fldChar w:fldCharType="begin"/>
            </w:r>
            <w:r w:rsidR="003717F6">
              <w:rPr>
                <w:noProof/>
                <w:webHidden/>
              </w:rPr>
              <w:instrText xml:space="preserve"> PAGEREF _Toc430102218 \h </w:instrText>
            </w:r>
            <w:r w:rsidR="003717F6">
              <w:rPr>
                <w:noProof/>
                <w:webHidden/>
              </w:rPr>
            </w:r>
            <w:r w:rsidR="003717F6">
              <w:rPr>
                <w:noProof/>
                <w:webHidden/>
              </w:rPr>
              <w:fldChar w:fldCharType="separate"/>
            </w:r>
            <w:r w:rsidR="0041687E">
              <w:rPr>
                <w:noProof/>
                <w:webHidden/>
              </w:rPr>
              <w:t>E-3</w:t>
            </w:r>
            <w:r w:rsidR="003717F6">
              <w:rPr>
                <w:noProof/>
                <w:webHidden/>
              </w:rPr>
              <w:fldChar w:fldCharType="end"/>
            </w:r>
          </w:hyperlink>
        </w:p>
        <w:p w:rsidR="003717F6" w:rsidRDefault="00D574B3">
          <w:pPr>
            <w:pStyle w:val="TOC3"/>
            <w:rPr>
              <w:rFonts w:asciiTheme="minorHAnsi" w:eastAsiaTheme="minorEastAsia" w:hAnsiTheme="minorHAnsi" w:cstheme="minorBidi"/>
              <w:noProof/>
              <w:sz w:val="22"/>
              <w:szCs w:val="22"/>
              <w:lang w:eastAsia="en-AU"/>
            </w:rPr>
          </w:pPr>
          <w:hyperlink w:anchor="_Toc430102219" w:history="1">
            <w:r w:rsidR="003717F6" w:rsidRPr="00091212">
              <w:rPr>
                <w:rStyle w:val="Hyperlink"/>
                <w:noProof/>
              </w:rPr>
              <w:t>Data Management</w:t>
            </w:r>
            <w:r w:rsidR="003717F6">
              <w:rPr>
                <w:noProof/>
                <w:webHidden/>
              </w:rPr>
              <w:tab/>
            </w:r>
            <w:r w:rsidR="003717F6">
              <w:rPr>
                <w:noProof/>
                <w:webHidden/>
              </w:rPr>
              <w:fldChar w:fldCharType="begin"/>
            </w:r>
            <w:r w:rsidR="003717F6">
              <w:rPr>
                <w:noProof/>
                <w:webHidden/>
              </w:rPr>
              <w:instrText xml:space="preserve"> PAGEREF _Toc430102219 \h </w:instrText>
            </w:r>
            <w:r w:rsidR="003717F6">
              <w:rPr>
                <w:noProof/>
                <w:webHidden/>
              </w:rPr>
            </w:r>
            <w:r w:rsidR="003717F6">
              <w:rPr>
                <w:noProof/>
                <w:webHidden/>
              </w:rPr>
              <w:fldChar w:fldCharType="separate"/>
            </w:r>
            <w:r w:rsidR="0041687E">
              <w:rPr>
                <w:noProof/>
                <w:webHidden/>
              </w:rPr>
              <w:t>E-4</w:t>
            </w:r>
            <w:r w:rsidR="003717F6">
              <w:rPr>
                <w:noProof/>
                <w:webHidden/>
              </w:rPr>
              <w:fldChar w:fldCharType="end"/>
            </w:r>
          </w:hyperlink>
        </w:p>
        <w:p w:rsidR="003717F6" w:rsidRDefault="00D574B3">
          <w:pPr>
            <w:pStyle w:val="TOC3"/>
            <w:rPr>
              <w:rFonts w:asciiTheme="minorHAnsi" w:eastAsiaTheme="minorEastAsia" w:hAnsiTheme="minorHAnsi" w:cstheme="minorBidi"/>
              <w:noProof/>
              <w:sz w:val="22"/>
              <w:szCs w:val="22"/>
              <w:lang w:eastAsia="en-AU"/>
            </w:rPr>
          </w:pPr>
          <w:hyperlink w:anchor="_Toc430102220" w:history="1">
            <w:r w:rsidR="003717F6" w:rsidRPr="00091212">
              <w:rPr>
                <w:rStyle w:val="Hyperlink"/>
                <w:noProof/>
              </w:rPr>
              <w:t>Your Relationship with NOPTA</w:t>
            </w:r>
            <w:r w:rsidR="003717F6">
              <w:rPr>
                <w:noProof/>
                <w:webHidden/>
              </w:rPr>
              <w:tab/>
            </w:r>
            <w:r w:rsidR="003717F6">
              <w:rPr>
                <w:noProof/>
                <w:webHidden/>
              </w:rPr>
              <w:fldChar w:fldCharType="begin"/>
            </w:r>
            <w:r w:rsidR="003717F6">
              <w:rPr>
                <w:noProof/>
                <w:webHidden/>
              </w:rPr>
              <w:instrText xml:space="preserve"> PAGEREF _Toc430102220 \h </w:instrText>
            </w:r>
            <w:r w:rsidR="003717F6">
              <w:rPr>
                <w:noProof/>
                <w:webHidden/>
              </w:rPr>
            </w:r>
            <w:r w:rsidR="003717F6">
              <w:rPr>
                <w:noProof/>
                <w:webHidden/>
              </w:rPr>
              <w:fldChar w:fldCharType="separate"/>
            </w:r>
            <w:r w:rsidR="0041687E">
              <w:rPr>
                <w:noProof/>
                <w:webHidden/>
              </w:rPr>
              <w:t>E-6</w:t>
            </w:r>
            <w:r w:rsidR="003717F6">
              <w:rPr>
                <w:noProof/>
                <w:webHidden/>
              </w:rPr>
              <w:fldChar w:fldCharType="end"/>
            </w:r>
          </w:hyperlink>
        </w:p>
        <w:p w:rsidR="003717F6" w:rsidRDefault="00D574B3">
          <w:pPr>
            <w:pStyle w:val="TOC3"/>
            <w:rPr>
              <w:rFonts w:asciiTheme="minorHAnsi" w:eastAsiaTheme="minorEastAsia" w:hAnsiTheme="minorHAnsi" w:cstheme="minorBidi"/>
              <w:noProof/>
              <w:sz w:val="22"/>
              <w:szCs w:val="22"/>
              <w:lang w:eastAsia="en-AU"/>
            </w:rPr>
          </w:pPr>
          <w:hyperlink w:anchor="_Toc430102221" w:history="1">
            <w:r w:rsidR="003717F6" w:rsidRPr="00091212">
              <w:rPr>
                <w:rStyle w:val="Hyperlink"/>
                <w:noProof/>
              </w:rPr>
              <w:t>Regulatory Improvement</w:t>
            </w:r>
            <w:r w:rsidR="003717F6">
              <w:rPr>
                <w:noProof/>
                <w:webHidden/>
              </w:rPr>
              <w:tab/>
            </w:r>
            <w:r w:rsidR="003717F6">
              <w:rPr>
                <w:noProof/>
                <w:webHidden/>
              </w:rPr>
              <w:fldChar w:fldCharType="begin"/>
            </w:r>
            <w:r w:rsidR="003717F6">
              <w:rPr>
                <w:noProof/>
                <w:webHidden/>
              </w:rPr>
              <w:instrText xml:space="preserve"> PAGEREF _Toc430102221 \h </w:instrText>
            </w:r>
            <w:r w:rsidR="003717F6">
              <w:rPr>
                <w:noProof/>
                <w:webHidden/>
              </w:rPr>
            </w:r>
            <w:r w:rsidR="003717F6">
              <w:rPr>
                <w:noProof/>
                <w:webHidden/>
              </w:rPr>
              <w:fldChar w:fldCharType="separate"/>
            </w:r>
            <w:r w:rsidR="0041687E">
              <w:rPr>
                <w:noProof/>
                <w:webHidden/>
              </w:rPr>
              <w:t>E-7</w:t>
            </w:r>
            <w:r w:rsidR="003717F6">
              <w:rPr>
                <w:noProof/>
                <w:webHidden/>
              </w:rPr>
              <w:fldChar w:fldCharType="end"/>
            </w:r>
          </w:hyperlink>
        </w:p>
        <w:p w:rsidR="003717F6" w:rsidRDefault="00D574B3">
          <w:pPr>
            <w:pStyle w:val="TOC2"/>
            <w:rPr>
              <w:rFonts w:asciiTheme="minorHAnsi" w:eastAsiaTheme="minorEastAsia" w:hAnsiTheme="minorHAnsi" w:cstheme="minorBidi"/>
              <w:noProof/>
              <w:sz w:val="22"/>
              <w:szCs w:val="22"/>
              <w:lang w:eastAsia="en-AU"/>
            </w:rPr>
          </w:pPr>
          <w:hyperlink w:anchor="_Toc430102222" w:history="1">
            <w:r w:rsidR="003717F6" w:rsidRPr="00091212">
              <w:rPr>
                <w:rStyle w:val="Hyperlink"/>
                <w:noProof/>
              </w:rPr>
              <w:t>Public Sector Survey Responses</w:t>
            </w:r>
            <w:r w:rsidR="003717F6">
              <w:rPr>
                <w:noProof/>
                <w:webHidden/>
              </w:rPr>
              <w:tab/>
            </w:r>
            <w:r w:rsidR="003717F6">
              <w:rPr>
                <w:noProof/>
                <w:webHidden/>
              </w:rPr>
              <w:fldChar w:fldCharType="begin"/>
            </w:r>
            <w:r w:rsidR="003717F6">
              <w:rPr>
                <w:noProof/>
                <w:webHidden/>
              </w:rPr>
              <w:instrText xml:space="preserve"> PAGEREF _Toc430102222 \h </w:instrText>
            </w:r>
            <w:r w:rsidR="003717F6">
              <w:rPr>
                <w:noProof/>
                <w:webHidden/>
              </w:rPr>
            </w:r>
            <w:r w:rsidR="003717F6">
              <w:rPr>
                <w:noProof/>
                <w:webHidden/>
              </w:rPr>
              <w:fldChar w:fldCharType="separate"/>
            </w:r>
            <w:r w:rsidR="0041687E">
              <w:rPr>
                <w:noProof/>
                <w:webHidden/>
              </w:rPr>
              <w:t>E-8</w:t>
            </w:r>
            <w:r w:rsidR="003717F6">
              <w:rPr>
                <w:noProof/>
                <w:webHidden/>
              </w:rPr>
              <w:fldChar w:fldCharType="end"/>
            </w:r>
          </w:hyperlink>
        </w:p>
        <w:p w:rsidR="003717F6" w:rsidRDefault="00D574B3">
          <w:pPr>
            <w:pStyle w:val="TOC3"/>
            <w:rPr>
              <w:rFonts w:asciiTheme="minorHAnsi" w:eastAsiaTheme="minorEastAsia" w:hAnsiTheme="minorHAnsi" w:cstheme="minorBidi"/>
              <w:noProof/>
              <w:sz w:val="22"/>
              <w:szCs w:val="22"/>
              <w:lang w:eastAsia="en-AU"/>
            </w:rPr>
          </w:pPr>
          <w:hyperlink w:anchor="_Toc430102223" w:history="1">
            <w:r w:rsidR="003717F6" w:rsidRPr="00091212">
              <w:rPr>
                <w:rStyle w:val="Hyperlink"/>
                <w:noProof/>
              </w:rPr>
              <w:t>Regulation and the Productivity Commission Review</w:t>
            </w:r>
            <w:r w:rsidR="003717F6">
              <w:rPr>
                <w:noProof/>
                <w:webHidden/>
              </w:rPr>
              <w:tab/>
            </w:r>
            <w:r w:rsidR="003717F6">
              <w:rPr>
                <w:noProof/>
                <w:webHidden/>
              </w:rPr>
              <w:fldChar w:fldCharType="begin"/>
            </w:r>
            <w:r w:rsidR="003717F6">
              <w:rPr>
                <w:noProof/>
                <w:webHidden/>
              </w:rPr>
              <w:instrText xml:space="preserve"> PAGEREF _Toc430102223 \h </w:instrText>
            </w:r>
            <w:r w:rsidR="003717F6">
              <w:rPr>
                <w:noProof/>
                <w:webHidden/>
              </w:rPr>
            </w:r>
            <w:r w:rsidR="003717F6">
              <w:rPr>
                <w:noProof/>
                <w:webHidden/>
              </w:rPr>
              <w:fldChar w:fldCharType="separate"/>
            </w:r>
            <w:r w:rsidR="0041687E">
              <w:rPr>
                <w:noProof/>
                <w:webHidden/>
              </w:rPr>
              <w:t>E-8</w:t>
            </w:r>
            <w:r w:rsidR="003717F6">
              <w:rPr>
                <w:noProof/>
                <w:webHidden/>
              </w:rPr>
              <w:fldChar w:fldCharType="end"/>
            </w:r>
          </w:hyperlink>
        </w:p>
        <w:p w:rsidR="003717F6" w:rsidRDefault="00D574B3">
          <w:pPr>
            <w:pStyle w:val="TOC3"/>
            <w:rPr>
              <w:rFonts w:asciiTheme="minorHAnsi" w:eastAsiaTheme="minorEastAsia" w:hAnsiTheme="minorHAnsi" w:cstheme="minorBidi"/>
              <w:noProof/>
              <w:sz w:val="22"/>
              <w:szCs w:val="22"/>
              <w:lang w:eastAsia="en-AU"/>
            </w:rPr>
          </w:pPr>
          <w:hyperlink w:anchor="_Toc430102224" w:history="1">
            <w:r w:rsidR="003717F6" w:rsidRPr="00091212">
              <w:rPr>
                <w:rStyle w:val="Hyperlink"/>
                <w:noProof/>
              </w:rPr>
              <w:t>Management of Titles</w:t>
            </w:r>
            <w:r w:rsidR="003717F6">
              <w:rPr>
                <w:noProof/>
                <w:webHidden/>
              </w:rPr>
              <w:tab/>
            </w:r>
            <w:r w:rsidR="003717F6">
              <w:rPr>
                <w:noProof/>
                <w:webHidden/>
              </w:rPr>
              <w:fldChar w:fldCharType="begin"/>
            </w:r>
            <w:r w:rsidR="003717F6">
              <w:rPr>
                <w:noProof/>
                <w:webHidden/>
              </w:rPr>
              <w:instrText xml:space="preserve"> PAGEREF _Toc430102224 \h </w:instrText>
            </w:r>
            <w:r w:rsidR="003717F6">
              <w:rPr>
                <w:noProof/>
                <w:webHidden/>
              </w:rPr>
            </w:r>
            <w:r w:rsidR="003717F6">
              <w:rPr>
                <w:noProof/>
                <w:webHidden/>
              </w:rPr>
              <w:fldChar w:fldCharType="separate"/>
            </w:r>
            <w:r w:rsidR="0041687E">
              <w:rPr>
                <w:noProof/>
                <w:webHidden/>
              </w:rPr>
              <w:t>E-9</w:t>
            </w:r>
            <w:r w:rsidR="003717F6">
              <w:rPr>
                <w:noProof/>
                <w:webHidden/>
              </w:rPr>
              <w:fldChar w:fldCharType="end"/>
            </w:r>
          </w:hyperlink>
        </w:p>
        <w:p w:rsidR="003717F6" w:rsidRDefault="00D574B3">
          <w:pPr>
            <w:pStyle w:val="TOC3"/>
            <w:rPr>
              <w:rFonts w:asciiTheme="minorHAnsi" w:eastAsiaTheme="minorEastAsia" w:hAnsiTheme="minorHAnsi" w:cstheme="minorBidi"/>
              <w:noProof/>
              <w:sz w:val="22"/>
              <w:szCs w:val="22"/>
              <w:lang w:eastAsia="en-AU"/>
            </w:rPr>
          </w:pPr>
          <w:hyperlink w:anchor="_Toc430102225" w:history="1">
            <w:r w:rsidR="003717F6" w:rsidRPr="00091212">
              <w:rPr>
                <w:rStyle w:val="Hyperlink"/>
                <w:noProof/>
              </w:rPr>
              <w:t>Data Management</w:t>
            </w:r>
            <w:r w:rsidR="003717F6">
              <w:rPr>
                <w:noProof/>
                <w:webHidden/>
              </w:rPr>
              <w:tab/>
            </w:r>
            <w:r w:rsidR="003717F6">
              <w:rPr>
                <w:noProof/>
                <w:webHidden/>
              </w:rPr>
              <w:fldChar w:fldCharType="begin"/>
            </w:r>
            <w:r w:rsidR="003717F6">
              <w:rPr>
                <w:noProof/>
                <w:webHidden/>
              </w:rPr>
              <w:instrText xml:space="preserve"> PAGEREF _Toc430102225 \h </w:instrText>
            </w:r>
            <w:r w:rsidR="003717F6">
              <w:rPr>
                <w:noProof/>
                <w:webHidden/>
              </w:rPr>
            </w:r>
            <w:r w:rsidR="003717F6">
              <w:rPr>
                <w:noProof/>
                <w:webHidden/>
              </w:rPr>
              <w:fldChar w:fldCharType="separate"/>
            </w:r>
            <w:r w:rsidR="0041687E">
              <w:rPr>
                <w:noProof/>
                <w:webHidden/>
              </w:rPr>
              <w:t>E-10</w:t>
            </w:r>
            <w:r w:rsidR="003717F6">
              <w:rPr>
                <w:noProof/>
                <w:webHidden/>
              </w:rPr>
              <w:fldChar w:fldCharType="end"/>
            </w:r>
          </w:hyperlink>
        </w:p>
        <w:p w:rsidR="003717F6" w:rsidRDefault="00D574B3">
          <w:pPr>
            <w:pStyle w:val="TOC3"/>
            <w:rPr>
              <w:rFonts w:asciiTheme="minorHAnsi" w:eastAsiaTheme="minorEastAsia" w:hAnsiTheme="minorHAnsi" w:cstheme="minorBidi"/>
              <w:noProof/>
              <w:sz w:val="22"/>
              <w:szCs w:val="22"/>
              <w:lang w:eastAsia="en-AU"/>
            </w:rPr>
          </w:pPr>
          <w:hyperlink w:anchor="_Toc430102226" w:history="1">
            <w:r w:rsidR="003717F6" w:rsidRPr="00091212">
              <w:rPr>
                <w:rStyle w:val="Hyperlink"/>
                <w:noProof/>
              </w:rPr>
              <w:t>Your Relationship with NOPTA</w:t>
            </w:r>
            <w:r w:rsidR="003717F6">
              <w:rPr>
                <w:noProof/>
                <w:webHidden/>
              </w:rPr>
              <w:tab/>
            </w:r>
            <w:r w:rsidR="003717F6">
              <w:rPr>
                <w:noProof/>
                <w:webHidden/>
              </w:rPr>
              <w:fldChar w:fldCharType="begin"/>
            </w:r>
            <w:r w:rsidR="003717F6">
              <w:rPr>
                <w:noProof/>
                <w:webHidden/>
              </w:rPr>
              <w:instrText xml:space="preserve"> PAGEREF _Toc430102226 \h </w:instrText>
            </w:r>
            <w:r w:rsidR="003717F6">
              <w:rPr>
                <w:noProof/>
                <w:webHidden/>
              </w:rPr>
            </w:r>
            <w:r w:rsidR="003717F6">
              <w:rPr>
                <w:noProof/>
                <w:webHidden/>
              </w:rPr>
              <w:fldChar w:fldCharType="separate"/>
            </w:r>
            <w:r w:rsidR="0041687E">
              <w:rPr>
                <w:noProof/>
                <w:webHidden/>
              </w:rPr>
              <w:t>E-12</w:t>
            </w:r>
            <w:r w:rsidR="003717F6">
              <w:rPr>
                <w:noProof/>
                <w:webHidden/>
              </w:rPr>
              <w:fldChar w:fldCharType="end"/>
            </w:r>
          </w:hyperlink>
        </w:p>
        <w:p w:rsidR="003717F6" w:rsidRDefault="00D574B3">
          <w:pPr>
            <w:pStyle w:val="TOC3"/>
            <w:rPr>
              <w:rFonts w:asciiTheme="minorHAnsi" w:eastAsiaTheme="minorEastAsia" w:hAnsiTheme="minorHAnsi" w:cstheme="minorBidi"/>
              <w:noProof/>
              <w:sz w:val="22"/>
              <w:szCs w:val="22"/>
              <w:lang w:eastAsia="en-AU"/>
            </w:rPr>
          </w:pPr>
          <w:hyperlink w:anchor="_Toc430102227" w:history="1">
            <w:r w:rsidR="003717F6" w:rsidRPr="00091212">
              <w:rPr>
                <w:rStyle w:val="Hyperlink"/>
                <w:noProof/>
              </w:rPr>
              <w:t>Regulatory Improvement</w:t>
            </w:r>
            <w:r w:rsidR="003717F6">
              <w:rPr>
                <w:noProof/>
                <w:webHidden/>
              </w:rPr>
              <w:tab/>
            </w:r>
            <w:r w:rsidR="003717F6">
              <w:rPr>
                <w:noProof/>
                <w:webHidden/>
              </w:rPr>
              <w:fldChar w:fldCharType="begin"/>
            </w:r>
            <w:r w:rsidR="003717F6">
              <w:rPr>
                <w:noProof/>
                <w:webHidden/>
              </w:rPr>
              <w:instrText xml:space="preserve"> PAGEREF _Toc430102227 \h </w:instrText>
            </w:r>
            <w:r w:rsidR="003717F6">
              <w:rPr>
                <w:noProof/>
                <w:webHidden/>
              </w:rPr>
            </w:r>
            <w:r w:rsidR="003717F6">
              <w:rPr>
                <w:noProof/>
                <w:webHidden/>
              </w:rPr>
              <w:fldChar w:fldCharType="separate"/>
            </w:r>
            <w:r w:rsidR="0041687E">
              <w:rPr>
                <w:noProof/>
                <w:webHidden/>
              </w:rPr>
              <w:t>E-13</w:t>
            </w:r>
            <w:r w:rsidR="003717F6">
              <w:rPr>
                <w:noProof/>
                <w:webHidden/>
              </w:rPr>
              <w:fldChar w:fldCharType="end"/>
            </w:r>
          </w:hyperlink>
        </w:p>
        <w:p w:rsidR="00EC3634" w:rsidRDefault="003717F6" w:rsidP="00EC3634">
          <w:pPr>
            <w:rPr>
              <w:b/>
              <w:bCs/>
              <w:noProof/>
            </w:rPr>
          </w:pPr>
          <w:r>
            <w:rPr>
              <w:rFonts w:ascii="Arial Bold" w:hAnsi="Arial Bold"/>
              <w:b/>
              <w:caps/>
              <w:color w:val="14487D"/>
              <w:sz w:val="20"/>
            </w:rPr>
            <w:fldChar w:fldCharType="end"/>
          </w:r>
        </w:p>
      </w:sdtContent>
    </w:sdt>
    <w:bookmarkEnd w:id="15" w:displacedByCustomXml="prev"/>
    <w:bookmarkEnd w:id="14" w:displacedByCustomXml="prev"/>
    <w:p w:rsidR="003717F6" w:rsidRPr="00EC3634" w:rsidRDefault="00A757A8" w:rsidP="00EC3634">
      <w:r w:rsidRPr="00EC3634">
        <w:rPr>
          <w:szCs w:val="18"/>
        </w:rPr>
        <w:br w:type="page"/>
      </w:r>
      <w:bookmarkStart w:id="16" w:name="_Toc422740227"/>
      <w:bookmarkStart w:id="17" w:name="_Toc423426758"/>
    </w:p>
    <w:p w:rsidR="003717F6" w:rsidRPr="003717F6" w:rsidRDefault="003717F6" w:rsidP="003717F6">
      <w:pPr>
        <w:pStyle w:val="BodyText"/>
      </w:pPr>
    </w:p>
    <w:p w:rsidR="00A757A8" w:rsidRPr="00D85E28" w:rsidRDefault="00A757A8" w:rsidP="00A33CEB">
      <w:pPr>
        <w:pStyle w:val="Heading10"/>
      </w:pPr>
      <w:bookmarkStart w:id="18" w:name="_Toc430102172"/>
      <w:r w:rsidRPr="00D85E28">
        <w:t>EXECUTIVE SUMMARY</w:t>
      </w:r>
      <w:bookmarkEnd w:id="16"/>
      <w:bookmarkEnd w:id="17"/>
      <w:bookmarkEnd w:id="18"/>
    </w:p>
    <w:p w:rsidR="00520457" w:rsidRPr="00D85E28" w:rsidRDefault="00520457" w:rsidP="00520457">
      <w:pPr>
        <w:pStyle w:val="BodyText"/>
      </w:pPr>
      <w:r w:rsidRPr="005F35AE">
        <w:t xml:space="preserve">The National Offshore Petroleum Titles Administrator (NOPTA) is a statutory appointment which also holds the role of General Manager of a branch within the Resources Division, Department of Industry and Science (The Department). </w:t>
      </w:r>
      <w:r w:rsidR="006874A5" w:rsidRPr="005F35AE">
        <w:t xml:space="preserve">The </w:t>
      </w:r>
      <w:r w:rsidR="005F35AE">
        <w:t xml:space="preserve">Titles </w:t>
      </w:r>
      <w:r w:rsidR="006874A5" w:rsidRPr="005F35AE">
        <w:t>Administrator leads an organisation that is responsible for</w:t>
      </w:r>
      <w:r w:rsidRPr="005F35AE">
        <w:t xml:space="preserve"> the management</w:t>
      </w:r>
      <w:r w:rsidRPr="00D85E28">
        <w:t xml:space="preserve"> of offshore petroleum title applications, advice to Joint Authorities to assist with title decisions, compliance regulation for title conditions, and data management associated with offshore exploration and production activities in Commonwealth Waters. NOPTA </w:t>
      </w:r>
      <w:r w:rsidR="00207B1B">
        <w:t>delivers it</w:t>
      </w:r>
      <w:r w:rsidR="004A3B13">
        <w:t>s</w:t>
      </w:r>
      <w:r w:rsidR="00207B1B">
        <w:t xml:space="preserve"> services</w:t>
      </w:r>
      <w:r w:rsidRPr="00D85E28">
        <w:t xml:space="preserve"> in two locations (Perth and Melbourne), with operating costs recovered through a range of levies and fees imposed on </w:t>
      </w:r>
      <w:r w:rsidRPr="004D16F8">
        <w:t>industr</w:t>
      </w:r>
      <w:r w:rsidR="00082852">
        <w:t>y</w:t>
      </w:r>
      <w:r w:rsidRPr="00D85E28">
        <w:t>.</w:t>
      </w:r>
    </w:p>
    <w:p w:rsidR="00520457" w:rsidRPr="002C3B0F" w:rsidRDefault="006874A5" w:rsidP="00520457">
      <w:pPr>
        <w:pStyle w:val="BodyText"/>
      </w:pPr>
      <w:r>
        <w:t>T</w:t>
      </w:r>
      <w:r w:rsidRPr="00D85E28">
        <w:t xml:space="preserve">he Department </w:t>
      </w:r>
      <w:r>
        <w:t xml:space="preserve">contracted </w:t>
      </w:r>
      <w:r w:rsidR="00520457" w:rsidRPr="00D85E28">
        <w:t xml:space="preserve">Noetic Solutions Pty Limited (Noetic) to undertake the 2015 Operational Review of NOPTA (the Review) in accordance with Section 695P (2) of the </w:t>
      </w:r>
      <w:r w:rsidR="00520457" w:rsidRPr="00923566">
        <w:rPr>
          <w:i/>
        </w:rPr>
        <w:t>Offshore Petroleum and Greenhouse Gas Storage Act</w:t>
      </w:r>
      <w:r w:rsidR="00BB2487" w:rsidRPr="003F2AC2">
        <w:rPr>
          <w:i/>
        </w:rPr>
        <w:t>,</w:t>
      </w:r>
      <w:r w:rsidR="00520457" w:rsidRPr="00923566">
        <w:rPr>
          <w:i/>
        </w:rPr>
        <w:t xml:space="preserve"> </w:t>
      </w:r>
      <w:r w:rsidR="00520457" w:rsidRPr="003F2AC2">
        <w:t xml:space="preserve">2006 (OPGGS Act). This is the first operational review of NOPTA since its establishment on 1 January 2012. </w:t>
      </w:r>
      <w:r w:rsidR="00520457" w:rsidRPr="002C3B0F">
        <w:t xml:space="preserve">The </w:t>
      </w:r>
      <w:r w:rsidR="00520457">
        <w:t>Review</w:t>
      </w:r>
      <w:r w:rsidR="00F71F9E">
        <w:t>’s</w:t>
      </w:r>
      <w:r w:rsidR="00520457">
        <w:t xml:space="preserve"> </w:t>
      </w:r>
      <w:r w:rsidR="00520457" w:rsidRPr="002C3B0F">
        <w:t>Terms of Reference</w:t>
      </w:r>
      <w:r w:rsidR="00207B1B">
        <w:t xml:space="preserve"> </w:t>
      </w:r>
      <w:r w:rsidR="00520457" w:rsidRPr="002C3B0F">
        <w:t xml:space="preserve">cover themes </w:t>
      </w:r>
      <w:r w:rsidR="00BB2487" w:rsidRPr="002C3B0F">
        <w:t xml:space="preserve">related to </w:t>
      </w:r>
      <w:r w:rsidR="00520457" w:rsidRPr="002C3B0F">
        <w:t xml:space="preserve">NOPTA’s </w:t>
      </w:r>
      <w:r w:rsidR="00207B1B">
        <w:t>effectiveness</w:t>
      </w:r>
      <w:r w:rsidR="003F4251">
        <w:t>, the quality of advice to Joint Authorities, its effectiveness in managing data,</w:t>
      </w:r>
      <w:r w:rsidR="007338DF">
        <w:t xml:space="preserve"> the quality of relationships with stakeholders and the extent to which </w:t>
      </w:r>
      <w:r w:rsidR="00BC6CFC">
        <w:t>NOPTA’s establishment and operation</w:t>
      </w:r>
      <w:r w:rsidR="007338DF">
        <w:t xml:space="preserve"> has met the objectives of the Government’s response to the Productivity Commission</w:t>
      </w:r>
      <w:r w:rsidR="00BC6CFC">
        <w:rPr>
          <w:rStyle w:val="FootnoteReference"/>
        </w:rPr>
        <w:footnoteReference w:id="2"/>
      </w:r>
      <w:r w:rsidR="007338DF">
        <w:t xml:space="preserve"> recommendations</w:t>
      </w:r>
      <w:r w:rsidR="00520457" w:rsidRPr="002C3B0F">
        <w:t>.</w:t>
      </w:r>
    </w:p>
    <w:p w:rsidR="00520457" w:rsidRPr="002C3B0F" w:rsidRDefault="00520457" w:rsidP="00520457">
      <w:pPr>
        <w:pStyle w:val="BodyText"/>
      </w:pPr>
      <w:r w:rsidRPr="002C3B0F">
        <w:t xml:space="preserve">Prior to 2012 </w:t>
      </w:r>
      <w:r w:rsidR="00B6743B">
        <w:t>each state and territory managed titles in both their own and Commonwealth waters</w:t>
      </w:r>
      <w:r>
        <w:t>.</w:t>
      </w:r>
      <w:r w:rsidRPr="002C3B0F">
        <w:t xml:space="preserve"> This resulted in a burden on industry as the effort required to apply for titles was reflective of the similar-yet-different systems in place. This was one driver for the Productivity Commission’s </w:t>
      </w:r>
      <w:r w:rsidRPr="002C3B0F">
        <w:rPr>
          <w:i/>
        </w:rPr>
        <w:t>Review of Regulatory Burden on the Upstream Petroleum (Oil and Gas) Sector</w:t>
      </w:r>
      <w:r w:rsidRPr="002C3B0F">
        <w:t xml:space="preserve">, which made 30 recommendations to improve the regulation of Australia’s offshore petroleum industry. Among the recommendations, the establishment of a single national offshore petroleum regulator </w:t>
      </w:r>
      <w:r w:rsidR="006874A5">
        <w:t>featured</w:t>
      </w:r>
      <w:r w:rsidRPr="002C3B0F">
        <w:t xml:space="preserve">. The Commonwealth Government’s response accepted many of these recommendations, with the creation of NOPTA </w:t>
      </w:r>
      <w:r w:rsidR="003B0B7E">
        <w:t>forming part of</w:t>
      </w:r>
      <w:r w:rsidRPr="002C3B0F">
        <w:t xml:space="preserve"> this response.</w:t>
      </w:r>
    </w:p>
    <w:p w:rsidR="003B0B7E" w:rsidRPr="003B0B7E" w:rsidRDefault="003B0B7E">
      <w:pPr>
        <w:pStyle w:val="BodyText"/>
      </w:pPr>
      <w:r w:rsidRPr="003B0B7E">
        <w:t>T</w:t>
      </w:r>
      <w:r w:rsidR="00ED4760">
        <w:t>his</w:t>
      </w:r>
      <w:r w:rsidRPr="003B0B7E">
        <w:t xml:space="preserve"> Review undertook its t</w:t>
      </w:r>
      <w:bookmarkStart w:id="19" w:name="_GoBack"/>
      <w:bookmarkEnd w:id="19"/>
      <w:r w:rsidRPr="003B0B7E">
        <w:t xml:space="preserve">ask through consulting with stakeholders </w:t>
      </w:r>
      <w:r w:rsidR="006874A5">
        <w:t>from</w:t>
      </w:r>
      <w:r w:rsidR="006874A5" w:rsidRPr="003B0B7E">
        <w:t xml:space="preserve"> </w:t>
      </w:r>
      <w:r w:rsidRPr="003B0B7E">
        <w:t>government, industry associations and</w:t>
      </w:r>
      <w:r>
        <w:t xml:space="preserve"> a wide range of</w:t>
      </w:r>
      <w:r w:rsidRPr="003B0B7E">
        <w:t xml:space="preserve"> individual companies.</w:t>
      </w:r>
      <w:r>
        <w:t xml:space="preserve"> Consultation was primarily through interviews, with some written submissions</w:t>
      </w:r>
      <w:r w:rsidR="00583288">
        <w:t xml:space="preserve"> and an online survey</w:t>
      </w:r>
      <w:r w:rsidR="004B5BEC">
        <w:t xml:space="preserve">. </w:t>
      </w:r>
      <w:r>
        <w:t xml:space="preserve">All </w:t>
      </w:r>
      <w:r w:rsidR="006874A5">
        <w:t>consultation was</w:t>
      </w:r>
      <w:r>
        <w:t xml:space="preserve"> undertaken on a non-attributed basis</w:t>
      </w:r>
      <w:r w:rsidR="004B5BEC">
        <w:t xml:space="preserve">. </w:t>
      </w:r>
      <w:r w:rsidR="00520457" w:rsidRPr="002C3B0F">
        <w:t xml:space="preserve">The Review </w:t>
      </w:r>
      <w:r>
        <w:t>consulted with NOPTA’s staff and examined documentation relating to operations and titles processing</w:t>
      </w:r>
      <w:r w:rsidR="004B5BEC">
        <w:t xml:space="preserve">. </w:t>
      </w:r>
      <w:r w:rsidR="00E41B81">
        <w:t>The Review makes a number of findings and recommendations in the report.</w:t>
      </w:r>
    </w:p>
    <w:p w:rsidR="00520457" w:rsidRPr="002C3B0F" w:rsidRDefault="00ED4760" w:rsidP="00520457">
      <w:pPr>
        <w:pStyle w:val="BodyText"/>
      </w:pPr>
      <w:r>
        <w:lastRenderedPageBreak/>
        <w:t>Overall t</w:t>
      </w:r>
      <w:r w:rsidR="00520457" w:rsidRPr="00204E55">
        <w:t xml:space="preserve">he Review </w:t>
      </w:r>
      <w:r w:rsidR="00520457" w:rsidRPr="002C3B0F">
        <w:t xml:space="preserve">found that NOPTA </w:t>
      </w:r>
      <w:r w:rsidR="004D3DE8">
        <w:t>is</w:t>
      </w:r>
      <w:r w:rsidR="004D3DE8" w:rsidRPr="002C3B0F">
        <w:t xml:space="preserve"> </w:t>
      </w:r>
      <w:r w:rsidR="00520457" w:rsidRPr="002C3B0F">
        <w:t>effective in</w:t>
      </w:r>
      <w:r w:rsidRPr="00F44C45">
        <w:t xml:space="preserve"> contributing to the efficiency of the decision making by a Joint Authority for a State or the Northern Territory</w:t>
      </w:r>
      <w:r w:rsidR="00520457" w:rsidRPr="002C3B0F">
        <w:t xml:space="preserve">. </w:t>
      </w:r>
      <w:r w:rsidR="0028494F">
        <w:t xml:space="preserve">NOPTA has done so by developing the necessary internal </w:t>
      </w:r>
      <w:r w:rsidR="004D3DE8">
        <w:t xml:space="preserve">mechanisms </w:t>
      </w:r>
      <w:r w:rsidR="0028494F">
        <w:t>and having staff with the requisite skills</w:t>
      </w:r>
      <w:r w:rsidR="004B5BEC">
        <w:t xml:space="preserve">. </w:t>
      </w:r>
      <w:r w:rsidR="0028494F">
        <w:t xml:space="preserve">It has generally applied this capability to deliver high quality </w:t>
      </w:r>
      <w:r w:rsidR="00D64416">
        <w:t xml:space="preserve">advice to Joint Authorities. The Review identifies a number of areas where improvements in capability can be made to enhance the quality of </w:t>
      </w:r>
      <w:r w:rsidR="00E41B81">
        <w:t xml:space="preserve">future </w:t>
      </w:r>
      <w:r w:rsidR="00D64416">
        <w:t>advice</w:t>
      </w:r>
      <w:r w:rsidR="00520457" w:rsidRPr="002C3B0F">
        <w:t>.</w:t>
      </w:r>
    </w:p>
    <w:p w:rsidR="004273D4" w:rsidRDefault="0071613F">
      <w:pPr>
        <w:pStyle w:val="BodyText"/>
      </w:pPr>
      <w:r>
        <w:t xml:space="preserve">In </w:t>
      </w:r>
      <w:r w:rsidR="004D3DE8">
        <w:t xml:space="preserve">preparing </w:t>
      </w:r>
      <w:r>
        <w:t>this advice, the Review found that NOPTA has sought to develop strong relationships with stakeholders</w:t>
      </w:r>
      <w:r w:rsidR="004B5BEC">
        <w:t xml:space="preserve">. </w:t>
      </w:r>
      <w:r>
        <w:t xml:space="preserve">Industry consistently reported that NOPTA’s staff proactively engaged, </w:t>
      </w:r>
      <w:r w:rsidR="00D64416">
        <w:t xml:space="preserve">provided options for consideration and </w:t>
      </w:r>
      <w:r w:rsidR="00E41B81">
        <w:t xml:space="preserve">were </w:t>
      </w:r>
      <w:r w:rsidR="00D64416">
        <w:t>responsive</w:t>
      </w:r>
      <w:r w:rsidR="004B5BEC">
        <w:t xml:space="preserve">. </w:t>
      </w:r>
      <w:r w:rsidR="00D64416">
        <w:t xml:space="preserve">At the state and territory level, the Review found that relationships are </w:t>
      </w:r>
      <w:r w:rsidR="00E41B81">
        <w:t>positive</w:t>
      </w:r>
      <w:r w:rsidR="00D64416">
        <w:t xml:space="preserve"> and </w:t>
      </w:r>
      <w:r w:rsidR="00E41B81">
        <w:t>effective</w:t>
      </w:r>
      <w:r w:rsidR="004D3DE8">
        <w:t>,</w:t>
      </w:r>
      <w:r w:rsidR="00D64416">
        <w:t xml:space="preserve"> although this was not always the case</w:t>
      </w:r>
      <w:r w:rsidR="004273D4">
        <w:t xml:space="preserve"> and ongoing effort will be required to enhance them</w:t>
      </w:r>
      <w:r w:rsidR="004B5BEC">
        <w:t xml:space="preserve">. </w:t>
      </w:r>
      <w:r w:rsidR="00D64416">
        <w:t xml:space="preserve">At the Federal level, NOPTA’s relationships </w:t>
      </w:r>
      <w:r w:rsidR="004D3DE8">
        <w:t>are</w:t>
      </w:r>
      <w:r w:rsidR="00D64416">
        <w:t xml:space="preserve"> uneven</w:t>
      </w:r>
      <w:r w:rsidR="004B5BEC">
        <w:t xml:space="preserve">. </w:t>
      </w:r>
      <w:r w:rsidR="00D64416">
        <w:t>With the Department and Geoscience Australia they are generally sound and productive</w:t>
      </w:r>
      <w:r w:rsidR="004B5BEC">
        <w:t xml:space="preserve">. </w:t>
      </w:r>
      <w:r w:rsidR="00D80F8C">
        <w:t>While the relationship with the Australian Maritime Safety Authority is of relatively limited significance, there is latitude to improve this relationship for mutual benefit</w:t>
      </w:r>
      <w:r w:rsidR="004B5BEC">
        <w:t xml:space="preserve">. </w:t>
      </w:r>
      <w:r w:rsidR="004D3DE8">
        <w:t xml:space="preserve">While </w:t>
      </w:r>
      <w:r w:rsidR="00D64416">
        <w:t>NOPTA’s relationship with</w:t>
      </w:r>
      <w:r w:rsidR="00E41B81">
        <w:t xml:space="preserve"> the</w:t>
      </w:r>
      <w:r w:rsidR="00D64416">
        <w:t xml:space="preserve"> National Offshore Petroleum Safety and Environment</w:t>
      </w:r>
      <w:r w:rsidR="004273D4">
        <w:t>al</w:t>
      </w:r>
      <w:r w:rsidR="00D64416">
        <w:t xml:space="preserve"> Management </w:t>
      </w:r>
      <w:r w:rsidR="004273D4">
        <w:t>Authority (NOPSEMA)</w:t>
      </w:r>
      <w:r w:rsidR="00D64416">
        <w:t xml:space="preserve"> has developed</w:t>
      </w:r>
      <w:r w:rsidR="00E41B81">
        <w:t>,</w:t>
      </w:r>
      <w:r w:rsidR="00D64416">
        <w:t xml:space="preserve"> there is opportunity for </w:t>
      </w:r>
      <w:r w:rsidR="004D3DE8">
        <w:t xml:space="preserve">greater </w:t>
      </w:r>
      <w:r w:rsidR="00D64416">
        <w:t>improvement between the agencies</w:t>
      </w:r>
      <w:r w:rsidR="004B5BEC">
        <w:t xml:space="preserve">. </w:t>
      </w:r>
      <w:r w:rsidR="00D80F8C">
        <w:t xml:space="preserve">The Review notes that through </w:t>
      </w:r>
      <w:r w:rsidR="004D3DE8">
        <w:t xml:space="preserve">strengthening </w:t>
      </w:r>
      <w:r w:rsidR="00D80F8C">
        <w:t xml:space="preserve">this relationship there </w:t>
      </w:r>
      <w:r w:rsidR="004D3DE8">
        <w:t xml:space="preserve">are </w:t>
      </w:r>
      <w:r w:rsidR="00D80F8C">
        <w:t>both short and long term opportunities to improve end-to-end service to industry.</w:t>
      </w:r>
    </w:p>
    <w:p w:rsidR="009821DB" w:rsidRDefault="00F71708">
      <w:pPr>
        <w:pStyle w:val="BodyText"/>
      </w:pPr>
      <w:r w:rsidRPr="00F71708">
        <w:t xml:space="preserve">An important service provided by NOPTA for stakeholders is the </w:t>
      </w:r>
      <w:r w:rsidR="004D3DE8">
        <w:t xml:space="preserve">management of a </w:t>
      </w:r>
      <w:r w:rsidRPr="00F71708">
        <w:t xml:space="preserve">publically available register of petroleum titles through the </w:t>
      </w:r>
      <w:r w:rsidR="009821DB">
        <w:t>National Electronic Approvals Tracking System</w:t>
      </w:r>
      <w:r w:rsidR="009821DB" w:rsidRPr="00F71708">
        <w:t xml:space="preserve"> </w:t>
      </w:r>
      <w:r w:rsidRPr="00F71708">
        <w:t>(NEATS)</w:t>
      </w:r>
      <w:r w:rsidR="004B5BEC">
        <w:t xml:space="preserve">. </w:t>
      </w:r>
      <w:r w:rsidRPr="00F71708">
        <w:t>The Review found that this system is well regarded by stakeholders and is widely used</w:t>
      </w:r>
      <w:r w:rsidR="004B5BEC">
        <w:t xml:space="preserve">. </w:t>
      </w:r>
      <w:r w:rsidR="009821DB">
        <w:t>The Review also identifies that t</w:t>
      </w:r>
      <w:r w:rsidRPr="00F71708">
        <w:t xml:space="preserve">here </w:t>
      </w:r>
      <w:r>
        <w:t>are both short and long term enhancements to NEATS that will make NOPTA more efficient and will reduce regulatory burden to industry</w:t>
      </w:r>
      <w:r w:rsidR="004B5BEC">
        <w:t xml:space="preserve">. </w:t>
      </w:r>
      <w:r w:rsidR="009821DB">
        <w:t>The improvements include enabling the online submission of applications, making NEATS a ‘workflow’ system and linking NEATS to NOPSEMA’s activities.</w:t>
      </w:r>
    </w:p>
    <w:p w:rsidR="009821DB" w:rsidRDefault="00D85FAA">
      <w:pPr>
        <w:pStyle w:val="BodyText"/>
      </w:pPr>
      <w:r>
        <w:t>NOPTA has a responsibility to obtain and securely store data</w:t>
      </w:r>
      <w:r w:rsidR="00A7015E">
        <w:t xml:space="preserve"> from </w:t>
      </w:r>
      <w:r w:rsidR="004D3DE8">
        <w:t>companies</w:t>
      </w:r>
      <w:r>
        <w:t>.</w:t>
      </w:r>
      <w:r w:rsidR="00A7015E">
        <w:t xml:space="preserve"> This data can </w:t>
      </w:r>
      <w:r w:rsidR="004D3DE8">
        <w:t xml:space="preserve">subsequently </w:t>
      </w:r>
      <w:r w:rsidR="00A7015E">
        <w:t xml:space="preserve">be released </w:t>
      </w:r>
      <w:r w:rsidR="004D3DE8">
        <w:t xml:space="preserve">for use by industry </w:t>
      </w:r>
      <w:r w:rsidR="00A7015E">
        <w:t>once authorised</w:t>
      </w:r>
      <w:r w:rsidR="004B5BEC">
        <w:t xml:space="preserve">. </w:t>
      </w:r>
      <w:r w:rsidR="00A7015E">
        <w:t>NOPTA has established data standards and is applying these standards to data that it collects</w:t>
      </w:r>
      <w:r w:rsidR="004B5BEC">
        <w:t xml:space="preserve">. </w:t>
      </w:r>
      <w:r w:rsidR="00A7015E">
        <w:t xml:space="preserve">These standards will need to be rigorously applied as some data that is </w:t>
      </w:r>
      <w:r w:rsidR="007C4890">
        <w:t xml:space="preserve">currently </w:t>
      </w:r>
      <w:r w:rsidR="00A7015E">
        <w:t>released is incomplete or inaccurate</w:t>
      </w:r>
      <w:r w:rsidR="004B5BEC">
        <w:t xml:space="preserve">. </w:t>
      </w:r>
      <w:r w:rsidR="00A7015E">
        <w:t>Much of this was collected prior to NOPTA’s establishment but it is an unnec</w:t>
      </w:r>
      <w:r w:rsidR="00A17E71">
        <w:t>essary impediment to industry.</w:t>
      </w:r>
    </w:p>
    <w:p w:rsidR="0039790F" w:rsidRPr="0039790F" w:rsidRDefault="0039790F">
      <w:pPr>
        <w:pStyle w:val="BodyText"/>
      </w:pPr>
      <w:r>
        <w:rPr>
          <w:rFonts w:eastAsia="Calibri"/>
        </w:rPr>
        <w:t xml:space="preserve">Physical </w:t>
      </w:r>
      <w:r w:rsidR="007C4890">
        <w:rPr>
          <w:rFonts w:eastAsia="Calibri"/>
        </w:rPr>
        <w:t>samples are</w:t>
      </w:r>
      <w:r>
        <w:rPr>
          <w:rFonts w:eastAsia="Calibri"/>
        </w:rPr>
        <w:t xml:space="preserve"> held by the National Offshore Petroleum and Data Core Repository (NOPDCR), which is a NOPTA-led initiative with Geoscience Australia and Western Australia’s Department of Mines and Petroleum. NOPDCR is considered </w:t>
      </w:r>
      <w:r w:rsidR="004D3DE8">
        <w:rPr>
          <w:rFonts w:eastAsia="Calibri"/>
        </w:rPr>
        <w:t xml:space="preserve">an effective system for managing physical samples </w:t>
      </w:r>
      <w:r>
        <w:rPr>
          <w:rFonts w:eastAsia="Calibri"/>
        </w:rPr>
        <w:t xml:space="preserve">by industry and </w:t>
      </w:r>
      <w:r w:rsidR="00E41B81">
        <w:rPr>
          <w:rFonts w:eastAsia="Calibri"/>
        </w:rPr>
        <w:t>jurisdictions</w:t>
      </w:r>
      <w:r w:rsidR="004D3DE8">
        <w:rPr>
          <w:rFonts w:eastAsia="Calibri"/>
        </w:rPr>
        <w:t>,</w:t>
      </w:r>
      <w:r>
        <w:rPr>
          <w:rFonts w:eastAsia="Calibri"/>
        </w:rPr>
        <w:t xml:space="preserve"> </w:t>
      </w:r>
      <w:r w:rsidR="00A17E71">
        <w:rPr>
          <w:rFonts w:eastAsia="Calibri"/>
        </w:rPr>
        <w:t>and is well regarded.</w:t>
      </w:r>
    </w:p>
    <w:p w:rsidR="00B0418F" w:rsidRDefault="00B0418F" w:rsidP="00520457">
      <w:pPr>
        <w:pStyle w:val="BodyText"/>
      </w:pPr>
      <w:r>
        <w:t xml:space="preserve">As a regulator, NOPTA </w:t>
      </w:r>
      <w:r w:rsidR="00E709A1">
        <w:t>undertakes</w:t>
      </w:r>
      <w:r>
        <w:t xml:space="preserve"> a range of </w:t>
      </w:r>
      <w:r w:rsidRPr="00F44C45">
        <w:t>compliance, monitoring and enforcement activities</w:t>
      </w:r>
      <w:r w:rsidR="004B5BEC">
        <w:t xml:space="preserve">. </w:t>
      </w:r>
      <w:r>
        <w:t>On a day-to-day basis, the Review found that NOPTA is able to effectively undertake these activities</w:t>
      </w:r>
      <w:r w:rsidR="004B5BEC">
        <w:t xml:space="preserve">. </w:t>
      </w:r>
      <w:r>
        <w:t xml:space="preserve">There are, however, a </w:t>
      </w:r>
      <w:r>
        <w:lastRenderedPageBreak/>
        <w:t>number of improvements that can be made to improve NOPTA’s performance in these areas</w:t>
      </w:r>
      <w:r w:rsidR="004B5BEC">
        <w:t xml:space="preserve">. </w:t>
      </w:r>
      <w:r>
        <w:t>The comprehensive monitoring of the development and production phases of offshore petroleum activity can be strengthened</w:t>
      </w:r>
      <w:r w:rsidR="004B5BEC">
        <w:t xml:space="preserve">. </w:t>
      </w:r>
      <w:r>
        <w:t>This will require an increase in NOPTA’s capability and capacity to undertake this task, primarily through additional personnel with geotechnical expertise</w:t>
      </w:r>
      <w:r w:rsidR="004B5BEC">
        <w:t xml:space="preserve">. </w:t>
      </w:r>
      <w:r>
        <w:t xml:space="preserve">Additionally, </w:t>
      </w:r>
      <w:r w:rsidR="003C063B">
        <w:t>the Review believes that</w:t>
      </w:r>
      <w:r w:rsidR="00DA428C">
        <w:t xml:space="preserve"> through</w:t>
      </w:r>
      <w:r w:rsidR="003C063B">
        <w:t xml:space="preserve"> NOPTA</w:t>
      </w:r>
      <w:r w:rsidR="00DA428C">
        <w:t>’s monitoring and compliance activities</w:t>
      </w:r>
      <w:r w:rsidR="003C063B">
        <w:t xml:space="preserve"> </w:t>
      </w:r>
      <w:r w:rsidR="00DA428C">
        <w:t>it</w:t>
      </w:r>
      <w:r w:rsidR="003C063B">
        <w:t xml:space="preserve"> </w:t>
      </w:r>
      <w:r w:rsidR="00DA428C">
        <w:t xml:space="preserve">can </w:t>
      </w:r>
      <w:r w:rsidR="003C063B">
        <w:t xml:space="preserve">assist policy development </w:t>
      </w:r>
      <w:r w:rsidR="004D3DE8">
        <w:t xml:space="preserve">by </w:t>
      </w:r>
      <w:r w:rsidR="003C063B">
        <w:t xml:space="preserve">government </w:t>
      </w:r>
      <w:r w:rsidR="004D3DE8">
        <w:t xml:space="preserve">through </w:t>
      </w:r>
      <w:r w:rsidR="00DA428C">
        <w:t>analysing and supplying information on trends and f</w:t>
      </w:r>
      <w:r w:rsidR="00A17E71">
        <w:t>uture changes in the industry.</w:t>
      </w:r>
    </w:p>
    <w:p w:rsidR="00520457" w:rsidRPr="002C3B0F" w:rsidRDefault="00520457" w:rsidP="00520457">
      <w:pPr>
        <w:pStyle w:val="BodyText"/>
      </w:pPr>
      <w:r w:rsidRPr="002C3B0F">
        <w:t xml:space="preserve">NOPTA’s establishment </w:t>
      </w:r>
      <w:r>
        <w:t>followed</w:t>
      </w:r>
      <w:r w:rsidR="00BB2487" w:rsidRPr="002C3B0F">
        <w:t xml:space="preserve"> </w:t>
      </w:r>
      <w:r w:rsidRPr="002C3B0F">
        <w:t xml:space="preserve">the Productivity Commission’s review of regulatory burden in the upstream petroleum sector. The Government’s response to the Productivity Commission’s report </w:t>
      </w:r>
      <w:r w:rsidR="004D3DE8">
        <w:t>specified</w:t>
      </w:r>
      <w:r w:rsidR="004D3DE8" w:rsidRPr="002C3B0F">
        <w:t xml:space="preserve"> </w:t>
      </w:r>
      <w:r w:rsidRPr="002C3B0F">
        <w:t xml:space="preserve">a number of </w:t>
      </w:r>
      <w:r w:rsidR="00583288">
        <w:t>actions to</w:t>
      </w:r>
      <w:r w:rsidRPr="002C3B0F">
        <w:t xml:space="preserve"> address the report’s recommendations. NOPTA’s </w:t>
      </w:r>
      <w:r w:rsidR="00583288">
        <w:t xml:space="preserve">creation and successful operation </w:t>
      </w:r>
      <w:r>
        <w:t>meet</w:t>
      </w:r>
      <w:r w:rsidR="00583288">
        <w:t>s</w:t>
      </w:r>
      <w:r w:rsidRPr="002C3B0F">
        <w:t xml:space="preserve"> a range of these</w:t>
      </w:r>
      <w:r w:rsidR="004D3DE8">
        <w:t xml:space="preserve"> requirements</w:t>
      </w:r>
      <w:r w:rsidRPr="002C3B0F">
        <w:t>, including</w:t>
      </w:r>
      <w:r>
        <w:t xml:space="preserve"> </w:t>
      </w:r>
      <w:r w:rsidR="00583288">
        <w:t>the</w:t>
      </w:r>
      <w:r w:rsidRPr="002C3B0F">
        <w:t xml:space="preserve"> separation of policy and regulatory administration, implementation of a cost recovery model, adoption of objective-based regulation, and an electronic approvals tracking system. The Review believes that NOPTA’s establishment </w:t>
      </w:r>
      <w:r w:rsidR="00CF186D">
        <w:t>meets the objectives of</w:t>
      </w:r>
      <w:r w:rsidRPr="002C3B0F">
        <w:t xml:space="preserve"> the </w:t>
      </w:r>
      <w:r w:rsidR="00CF186D">
        <w:t xml:space="preserve">Australian </w:t>
      </w:r>
      <w:r w:rsidRPr="002C3B0F">
        <w:t>Government’s response</w:t>
      </w:r>
      <w:r w:rsidR="00CF186D">
        <w:t xml:space="preserve"> to the Productive Commission’s report to a large extent</w:t>
      </w:r>
      <w:r w:rsidRPr="002C3B0F">
        <w:t>.</w:t>
      </w:r>
    </w:p>
    <w:p w:rsidR="00520457" w:rsidRPr="002C3B0F" w:rsidRDefault="00520457" w:rsidP="00520457">
      <w:pPr>
        <w:pStyle w:val="BodyText"/>
      </w:pPr>
      <w:r w:rsidRPr="002C3B0F">
        <w:t xml:space="preserve">The </w:t>
      </w:r>
      <w:r w:rsidR="00583288">
        <w:t xml:space="preserve">Review’s examination of the </w:t>
      </w:r>
      <w:r w:rsidRPr="002C3B0F">
        <w:t xml:space="preserve">operating arrangements for </w:t>
      </w:r>
      <w:r w:rsidR="00BB2487" w:rsidRPr="002C3B0F">
        <w:t xml:space="preserve">the </w:t>
      </w:r>
      <w:r w:rsidRPr="002C3B0F">
        <w:t xml:space="preserve">provision of advice </w:t>
      </w:r>
      <w:r>
        <w:t>look</w:t>
      </w:r>
      <w:r w:rsidR="00F60360">
        <w:t>ed</w:t>
      </w:r>
      <w:r w:rsidRPr="002C3B0F">
        <w:t xml:space="preserve"> at the Joint Authority model and whether it supports NOPTA’s provision of good advice. The Review found that not all stakeholders believed it was </w:t>
      </w:r>
      <w:r w:rsidR="00F60360">
        <w:t>an effective</w:t>
      </w:r>
      <w:r w:rsidRPr="002C3B0F">
        <w:t xml:space="preserve"> model. Notably, the Review found that </w:t>
      </w:r>
      <w:r w:rsidR="00F60360">
        <w:t>while NOPTA adhered to the timeframes set for the provision of advice</w:t>
      </w:r>
      <w:r w:rsidR="00381FA5">
        <w:t>, Joint</w:t>
      </w:r>
      <w:r w:rsidRPr="002C3B0F">
        <w:t xml:space="preserve"> </w:t>
      </w:r>
      <w:r>
        <w:t>Authorit</w:t>
      </w:r>
      <w:r w:rsidR="00583288">
        <w:t>ies</w:t>
      </w:r>
      <w:r w:rsidRPr="002C3B0F">
        <w:t xml:space="preserve"> </w:t>
      </w:r>
      <w:r w:rsidR="00F60360">
        <w:t xml:space="preserve">had no publicly </w:t>
      </w:r>
      <w:r w:rsidR="00583288">
        <w:t xml:space="preserve">available </w:t>
      </w:r>
      <w:r w:rsidR="00F60360">
        <w:t>timeframes set to determine decisions and the process was opaque to industry</w:t>
      </w:r>
      <w:r w:rsidR="004B5BEC">
        <w:t xml:space="preserve">. </w:t>
      </w:r>
      <w:r w:rsidR="00583288">
        <w:t>It has led to uncertainty and additional costs to industry.</w:t>
      </w:r>
      <w:r w:rsidRPr="002C3B0F">
        <w:t xml:space="preserve"> The Review identified the need for binding timeframes </w:t>
      </w:r>
      <w:r w:rsidR="00F60360">
        <w:t xml:space="preserve">for the determination of </w:t>
      </w:r>
      <w:r w:rsidRPr="002C3B0F">
        <w:t>decisions and the extension of approval tracking to include these timeframes</w:t>
      </w:r>
      <w:r w:rsidR="00583288">
        <w:t xml:space="preserve"> in order to remove this uncertainty and burden.</w:t>
      </w:r>
    </w:p>
    <w:p w:rsidR="00520457" w:rsidRDefault="00520457" w:rsidP="00520457">
      <w:pPr>
        <w:pStyle w:val="BodyText"/>
      </w:pPr>
      <w:r w:rsidRPr="002C3B0F">
        <w:t>The Review identified a number of opportunities to reduce regulatory burden without compromising the integrity of Australia’s offshore petroleum management system or the quality of NOPTA’s role. The Review notes that the next major reform for this area is a single national titles regulator</w:t>
      </w:r>
      <w:r w:rsidR="000608C9" w:rsidRPr="002C3B0F">
        <w:t xml:space="preserve"> </w:t>
      </w:r>
      <w:r w:rsidRPr="002C3B0F">
        <w:t xml:space="preserve">for all waters beyond the low tide mark. </w:t>
      </w:r>
      <w:r w:rsidR="00DA428C">
        <w:t>Progressing this reform will require careful consideration of the benefits and disadvantages, and comprehensive consultation with the states and territory</w:t>
      </w:r>
      <w:r w:rsidR="004B5BEC">
        <w:t xml:space="preserve">. </w:t>
      </w:r>
      <w:r w:rsidR="00583288">
        <w:t xml:space="preserve">The Review does not underestimate the complexity of such a reform but believes it will reduce regulatory burden and enhance </w:t>
      </w:r>
      <w:r w:rsidR="00E20F68">
        <w:t>Australia’s offshore petroleum industry</w:t>
      </w:r>
      <w:r w:rsidR="00EC1710">
        <w:t>, and is therefore worthy of consideration</w:t>
      </w:r>
      <w:r w:rsidR="00E20F68">
        <w:t>.</w:t>
      </w:r>
      <w:r w:rsidR="003B2B7E">
        <w:t xml:space="preserve"> T</w:t>
      </w:r>
      <w:r>
        <w:t xml:space="preserve">he recommendations made </w:t>
      </w:r>
      <w:r w:rsidR="00DA428C">
        <w:t>in the report are below</w:t>
      </w:r>
      <w:r>
        <w:t>:</w:t>
      </w:r>
    </w:p>
    <w:p w:rsidR="00E709A1" w:rsidRPr="002C3B0F" w:rsidRDefault="00E709A1" w:rsidP="00E709A1">
      <w:pPr>
        <w:pStyle w:val="RecommExec"/>
      </w:pPr>
      <w:r w:rsidRPr="002C3B0F">
        <w:t>That</w:t>
      </w:r>
      <w:r>
        <w:t xml:space="preserve"> </w:t>
      </w:r>
      <w:r w:rsidRPr="002C3B0F">
        <w:t>timeframes for the consid</w:t>
      </w:r>
      <w:r w:rsidR="003B2B7E">
        <w:t>eration of, and decision making</w:t>
      </w:r>
      <w:r w:rsidRPr="002C3B0F">
        <w:t xml:space="preserve"> for</w:t>
      </w:r>
      <w:r w:rsidR="003B2B7E">
        <w:t>,</w:t>
      </w:r>
      <w:r w:rsidRPr="002C3B0F">
        <w:t xml:space="preserve"> all titles related matters by Joint Authorities is agreed with jurisdictions and implemented. </w:t>
      </w:r>
    </w:p>
    <w:p w:rsidR="00E709A1" w:rsidRPr="002C3B0F" w:rsidRDefault="00F63F6E" w:rsidP="00E709A1">
      <w:pPr>
        <w:pStyle w:val="RecommExec"/>
      </w:pPr>
      <w:r w:rsidRPr="002C3B0F">
        <w:t xml:space="preserve">The adherence of </w:t>
      </w:r>
      <w:r>
        <w:t xml:space="preserve">the Titles Administrator and </w:t>
      </w:r>
      <w:r w:rsidRPr="002C3B0F">
        <w:t>Joint Authorities against the agreed timeframes are reported as part of NOPTA’s annual report</w:t>
      </w:r>
      <w:r w:rsidR="00E709A1" w:rsidRPr="002C3B0F">
        <w:t>.</w:t>
      </w:r>
    </w:p>
    <w:p w:rsidR="00E709A1" w:rsidRPr="002C3B0F" w:rsidRDefault="00E709A1" w:rsidP="00E709A1">
      <w:pPr>
        <w:pStyle w:val="RecommExec"/>
      </w:pPr>
      <w:r w:rsidRPr="002C3B0F">
        <w:lastRenderedPageBreak/>
        <w:t xml:space="preserve">That the feasibility of delegating simple decisions to the </w:t>
      </w:r>
      <w:r w:rsidR="003B2B7E">
        <w:t xml:space="preserve">Titles </w:t>
      </w:r>
      <w:r w:rsidRPr="002C3B0F">
        <w:t>Administrator is investigated.</w:t>
      </w:r>
    </w:p>
    <w:p w:rsidR="00E709A1" w:rsidRPr="002C3B0F" w:rsidRDefault="00E709A1" w:rsidP="00E709A1">
      <w:pPr>
        <w:pStyle w:val="RecommExec"/>
      </w:pPr>
      <w:r w:rsidRPr="002C3B0F">
        <w:t xml:space="preserve">That NOPTA, in conjunction with stakeholders, </w:t>
      </w:r>
      <w:r>
        <w:t>develop and implement short and long term plans</w:t>
      </w:r>
      <w:r w:rsidRPr="002C3B0F">
        <w:t xml:space="preserve"> to enhance the NEATS system to improve the efficiency and access to titles information. </w:t>
      </w:r>
    </w:p>
    <w:p w:rsidR="00E709A1" w:rsidRPr="003F2AC2" w:rsidRDefault="00E709A1" w:rsidP="00E709A1">
      <w:pPr>
        <w:pStyle w:val="RecommExec"/>
      </w:pPr>
      <w:r w:rsidRPr="002C3B0F">
        <w:t>That NEATS functionality is extended to include more information on the progress of applications through the J</w:t>
      </w:r>
      <w:r>
        <w:t xml:space="preserve">oint </w:t>
      </w:r>
      <w:r w:rsidRPr="002C3B0F">
        <w:t>A</w:t>
      </w:r>
      <w:r>
        <w:t>uthority</w:t>
      </w:r>
      <w:r w:rsidRPr="002C3B0F">
        <w:t xml:space="preserve"> process.</w:t>
      </w:r>
    </w:p>
    <w:p w:rsidR="00AA71D9" w:rsidRPr="002C3B0F" w:rsidRDefault="00AA71D9" w:rsidP="00AA71D9">
      <w:pPr>
        <w:pStyle w:val="RecommExec"/>
      </w:pPr>
      <w:r>
        <w:t xml:space="preserve">That depending on the outcomes of the Department of Industry and Science’s report on the Management of Offshore Resources, the Minister consider an enhancement to NOPTA’s capability and capacity to enable it to </w:t>
      </w:r>
      <w:r w:rsidRPr="002C3B0F">
        <w:t>more effectively contribute to the management of Australia’s offshore resources.</w:t>
      </w:r>
    </w:p>
    <w:p w:rsidR="00E709A1" w:rsidRPr="002C3B0F" w:rsidRDefault="003D2623" w:rsidP="00E709A1">
      <w:pPr>
        <w:pStyle w:val="RecommExec"/>
      </w:pPr>
      <w:r w:rsidRPr="002C3B0F">
        <w:t xml:space="preserve">That NOPTA develop and implement plans to </w:t>
      </w:r>
      <w:r>
        <w:t>facilitate</w:t>
      </w:r>
      <w:r w:rsidRPr="002C3B0F">
        <w:t xml:space="preserve"> Recommendations 3 and 6 </w:t>
      </w:r>
      <w:r>
        <w:t>(if</w:t>
      </w:r>
      <w:r w:rsidRPr="002C3B0F">
        <w:t xml:space="preserve"> accepted</w:t>
      </w:r>
      <w:r>
        <w:t>)</w:t>
      </w:r>
      <w:r w:rsidR="00E709A1" w:rsidRPr="002C3B0F">
        <w:t>.</w:t>
      </w:r>
    </w:p>
    <w:p w:rsidR="00E709A1" w:rsidRPr="002C3B0F" w:rsidRDefault="00E709A1" w:rsidP="00E709A1">
      <w:pPr>
        <w:pStyle w:val="RecommExec"/>
      </w:pPr>
      <w:r w:rsidRPr="002C3B0F">
        <w:t>That NOPTA prepare and issue its own annual report.</w:t>
      </w:r>
    </w:p>
    <w:p w:rsidR="00E709A1" w:rsidRPr="002C3B0F" w:rsidRDefault="00C15FDC" w:rsidP="00E709A1">
      <w:pPr>
        <w:pStyle w:val="RecommExec"/>
      </w:pPr>
      <w:r w:rsidRPr="00A87828">
        <w:t xml:space="preserve">NOPTA and NOPSEMA </w:t>
      </w:r>
      <w:r>
        <w:t>should establish an instrument (such as a Memorandum of Understanding or Charter of Engagement) to clarify the interaction between the agencies</w:t>
      </w:r>
      <w:r w:rsidR="00E709A1" w:rsidRPr="00A87828">
        <w:t>.</w:t>
      </w:r>
    </w:p>
    <w:p w:rsidR="00E709A1" w:rsidRPr="002C3B0F" w:rsidRDefault="00E709A1" w:rsidP="00E709A1">
      <w:pPr>
        <w:pStyle w:val="RecommExec"/>
      </w:pPr>
      <w:r w:rsidRPr="002C3B0F">
        <w:t>That NOPTA investigate the implications of a growth in applications for greenhouse gas storage tit</w:t>
      </w:r>
      <w:r w:rsidRPr="003F2AC2">
        <w:t>les.</w:t>
      </w:r>
      <w:r w:rsidRPr="002C3B0F">
        <w:t xml:space="preserve"> This should be undertaken in conjunction with the Department of Industry and Science, and NOPSEMA.</w:t>
      </w:r>
    </w:p>
    <w:p w:rsidR="00E709A1" w:rsidRDefault="00E709A1" w:rsidP="00E709A1">
      <w:pPr>
        <w:pStyle w:val="RecommExec"/>
      </w:pPr>
      <w:r w:rsidRPr="002C3B0F">
        <w:t xml:space="preserve">That NOPTA provide its insights </w:t>
      </w:r>
      <w:r w:rsidRPr="003F2AC2">
        <w:t>on the offshore petroleum and greenhouse gas storage industries</w:t>
      </w:r>
      <w:r w:rsidRPr="002C3B0F">
        <w:t xml:space="preserve"> to jurisdictions to assist with policy development.</w:t>
      </w:r>
    </w:p>
    <w:p w:rsidR="00E709A1" w:rsidRPr="002C3B0F" w:rsidRDefault="00E709A1" w:rsidP="00E709A1">
      <w:pPr>
        <w:pStyle w:val="RecommExec"/>
      </w:pPr>
      <w:r w:rsidRPr="002C3B0F">
        <w:t xml:space="preserve">That the </w:t>
      </w:r>
      <w:r>
        <w:t xml:space="preserve">Commonwealth </w:t>
      </w:r>
      <w:r w:rsidRPr="002C3B0F">
        <w:t xml:space="preserve">Minister </w:t>
      </w:r>
      <w:r w:rsidRPr="003F2AC2">
        <w:t xml:space="preserve">considers </w:t>
      </w:r>
      <w:r w:rsidRPr="002C3B0F">
        <w:t xml:space="preserve">the conduct of a feasibility study for the creation of a single offshore titles administrative framework </w:t>
      </w:r>
      <w:r>
        <w:t xml:space="preserve">for both Commonwealth waters and State/Northern Territory waters </w:t>
      </w:r>
      <w:r w:rsidRPr="002C3B0F">
        <w:t>through the conferral of powers</w:t>
      </w:r>
      <w:r>
        <w:t xml:space="preserve"> under State and Northern Territory legislation</w:t>
      </w:r>
      <w:r w:rsidRPr="002C3B0F">
        <w:t>.</w:t>
      </w:r>
    </w:p>
    <w:p w:rsidR="00A757A8" w:rsidRPr="002C3B0F" w:rsidRDefault="00A757A8" w:rsidP="00A757A8">
      <w:pPr>
        <w:pStyle w:val="Heading1"/>
        <w:sectPr w:rsidR="00A757A8" w:rsidRPr="002C3B0F" w:rsidSect="00065B08">
          <w:headerReference w:type="even" r:id="rId30"/>
          <w:footerReference w:type="default" r:id="rId31"/>
          <w:headerReference w:type="first" r:id="rId32"/>
          <w:footerReference w:type="first" r:id="rId33"/>
          <w:pgSz w:w="9979" w:h="14175" w:code="9"/>
          <w:pgMar w:top="1412" w:right="476" w:bottom="720" w:left="476" w:header="851" w:footer="851" w:gutter="0"/>
          <w:pgNumType w:fmt="lowerRoman" w:start="2"/>
          <w:cols w:space="708"/>
          <w:titlePg/>
          <w:docGrid w:linePitch="360"/>
        </w:sectPr>
      </w:pPr>
    </w:p>
    <w:p w:rsidR="00A757A8" w:rsidRPr="002C3B0F" w:rsidRDefault="00A757A8" w:rsidP="00461A31">
      <w:pPr>
        <w:pStyle w:val="Heading10"/>
      </w:pPr>
      <w:bookmarkStart w:id="20" w:name="_Toc422740228"/>
      <w:bookmarkStart w:id="21" w:name="_Toc423426759"/>
      <w:bookmarkStart w:id="22" w:name="_Toc430102173"/>
      <w:r w:rsidRPr="002C3B0F">
        <w:lastRenderedPageBreak/>
        <w:t>INTRODUCTION</w:t>
      </w:r>
      <w:bookmarkEnd w:id="20"/>
      <w:bookmarkEnd w:id="21"/>
      <w:bookmarkEnd w:id="22"/>
    </w:p>
    <w:p w:rsidR="00A757A8" w:rsidRPr="002C3B0F" w:rsidRDefault="00A757A8" w:rsidP="00461A31">
      <w:pPr>
        <w:pStyle w:val="Heading20"/>
      </w:pPr>
      <w:bookmarkStart w:id="23" w:name="_Toc430102174"/>
      <w:r w:rsidRPr="002C3B0F">
        <w:t>Background</w:t>
      </w:r>
      <w:bookmarkEnd w:id="23"/>
    </w:p>
    <w:p w:rsidR="00731DEC" w:rsidRPr="002C3B0F" w:rsidRDefault="00EC1710">
      <w:pPr>
        <w:pStyle w:val="NumberL1"/>
      </w:pPr>
      <w:r w:rsidRPr="002C3B0F">
        <w:t>The Department of Industry and Science (the Department)</w:t>
      </w:r>
      <w:r>
        <w:t xml:space="preserve"> engaged </w:t>
      </w:r>
      <w:r w:rsidR="0087335B" w:rsidRPr="002C3B0F">
        <w:t xml:space="preserve">Noetic Solutions Pty Limited (Noetic) </w:t>
      </w:r>
      <w:r w:rsidR="00553029" w:rsidRPr="002C3B0F">
        <w:t>to conduct a</w:t>
      </w:r>
      <w:r>
        <w:t xml:space="preserve">n </w:t>
      </w:r>
      <w:r w:rsidR="00553029" w:rsidRPr="002C3B0F">
        <w:t>operational review of the National Offshore Petroleum Titles Administrator (NOPTA)</w:t>
      </w:r>
      <w:r w:rsidR="0087335B" w:rsidRPr="002C3B0F">
        <w:t>.</w:t>
      </w:r>
      <w:r w:rsidR="00447C1F" w:rsidRPr="002C3B0F">
        <w:t xml:space="preserve"> </w:t>
      </w:r>
      <w:r w:rsidR="00731DEC" w:rsidRPr="002C3B0F">
        <w:t xml:space="preserve">This review is mandated under section 695P of the </w:t>
      </w:r>
      <w:r w:rsidR="00731DEC" w:rsidRPr="00DD606D">
        <w:rPr>
          <w:i/>
        </w:rPr>
        <w:t>Offshore Petroleum and Greenhouse Gas Storage Act</w:t>
      </w:r>
      <w:r w:rsidR="007A379B" w:rsidRPr="003F2AC2">
        <w:rPr>
          <w:i/>
        </w:rPr>
        <w:t>,</w:t>
      </w:r>
      <w:r w:rsidR="00731DEC" w:rsidRPr="00DD606D">
        <w:rPr>
          <w:i/>
        </w:rPr>
        <w:t xml:space="preserve"> </w:t>
      </w:r>
      <w:r w:rsidR="00731DEC" w:rsidRPr="003F2AC2">
        <w:t>2006 (OPGGS</w:t>
      </w:r>
      <w:r w:rsidR="00AA6EC2" w:rsidRPr="003F2AC2">
        <w:t xml:space="preserve"> </w:t>
      </w:r>
      <w:r w:rsidR="00731DEC" w:rsidRPr="003F2AC2">
        <w:t>A</w:t>
      </w:r>
      <w:r w:rsidR="00AA6EC2" w:rsidRPr="002C3B0F">
        <w:t>ct</w:t>
      </w:r>
      <w:r w:rsidR="00731DEC" w:rsidRPr="002C3B0F">
        <w:t xml:space="preserve">). </w:t>
      </w:r>
    </w:p>
    <w:p w:rsidR="0087335B" w:rsidRPr="002C3B0F" w:rsidRDefault="0087335B">
      <w:pPr>
        <w:pStyle w:val="NumberL1"/>
      </w:pPr>
      <w:r w:rsidRPr="002C3B0F">
        <w:t>To gather</w:t>
      </w:r>
      <w:r w:rsidR="007A379B" w:rsidRPr="002C3B0F">
        <w:t xml:space="preserve"> the</w:t>
      </w:r>
      <w:r w:rsidRPr="002C3B0F">
        <w:t xml:space="preserve"> information necessary to </w:t>
      </w:r>
      <w:r w:rsidR="00EC1710">
        <w:t>complete the</w:t>
      </w:r>
      <w:r w:rsidRPr="002C3B0F">
        <w:t xml:space="preserve"> review, Noetic consulted widely with stakeholders in the upstream petroleum industry, the </w:t>
      </w:r>
      <w:r w:rsidR="009D6D26" w:rsidRPr="002C3B0F">
        <w:t>greenhouse gas storage industry</w:t>
      </w:r>
      <w:r w:rsidRPr="002C3B0F">
        <w:t xml:space="preserve">, the Commonwealth Government, a range of State/Territory Governments, and NOPTA itself. </w:t>
      </w:r>
      <w:r w:rsidR="00447C1F" w:rsidRPr="002C3B0F">
        <w:t>Information gathering included a</w:t>
      </w:r>
      <w:r w:rsidR="00893F36" w:rsidRPr="002C3B0F">
        <w:t xml:space="preserve"> review </w:t>
      </w:r>
      <w:r w:rsidR="00447C1F" w:rsidRPr="002C3B0F">
        <w:t>of</w:t>
      </w:r>
      <w:r w:rsidR="00893F36" w:rsidRPr="002C3B0F">
        <w:t xml:space="preserve"> NOPTA operational documents, Commonwealth Government documents pertaining to NOPTA’s establishment and operations, State/Territory Government documents, industry documents, and internal documents</w:t>
      </w:r>
      <w:r w:rsidR="004B5BEC">
        <w:t xml:space="preserve">. </w:t>
      </w:r>
      <w:r w:rsidR="002B5310">
        <w:t>Stakeholder’s</w:t>
      </w:r>
      <w:r w:rsidR="00EC1710">
        <w:t xml:space="preserve"> views were also gathered through an online survey.</w:t>
      </w:r>
    </w:p>
    <w:p w:rsidR="00893F36" w:rsidRPr="002C3B0F" w:rsidRDefault="00893F36">
      <w:pPr>
        <w:pStyle w:val="NumberL1"/>
      </w:pPr>
      <w:r w:rsidRPr="002C3B0F">
        <w:t>This report makes a number of findings and recommendations in relation to the Terms of Reference</w:t>
      </w:r>
      <w:r w:rsidR="00AA6EC2" w:rsidRPr="002C3B0F">
        <w:t xml:space="preserve"> (at Annex A)</w:t>
      </w:r>
      <w:r w:rsidRPr="002C3B0F">
        <w:t>.</w:t>
      </w:r>
    </w:p>
    <w:p w:rsidR="00A757A8" w:rsidRPr="002C3B0F" w:rsidRDefault="00A757A8" w:rsidP="00461A31">
      <w:pPr>
        <w:pStyle w:val="Heading20"/>
      </w:pPr>
      <w:bookmarkStart w:id="24" w:name="_Toc422740230"/>
      <w:bookmarkStart w:id="25" w:name="_Toc423426761"/>
      <w:bookmarkStart w:id="26" w:name="_Toc430102175"/>
      <w:r w:rsidRPr="002C3B0F">
        <w:t>Aim</w:t>
      </w:r>
      <w:bookmarkEnd w:id="24"/>
      <w:bookmarkEnd w:id="25"/>
      <w:bookmarkEnd w:id="26"/>
    </w:p>
    <w:p w:rsidR="004C3F02" w:rsidRPr="002C3B0F" w:rsidRDefault="00A757A8">
      <w:pPr>
        <w:pStyle w:val="NumberL1"/>
      </w:pPr>
      <w:r w:rsidRPr="002C3B0F">
        <w:t xml:space="preserve">The aim of this </w:t>
      </w:r>
      <w:r w:rsidR="001732FC" w:rsidRPr="002C3B0F">
        <w:t>report</w:t>
      </w:r>
      <w:r w:rsidR="00731DEC" w:rsidRPr="002C3B0F">
        <w:t xml:space="preserve"> </w:t>
      </w:r>
      <w:r w:rsidR="00997D47" w:rsidRPr="002C3B0F">
        <w:t>is to</w:t>
      </w:r>
      <w:r w:rsidR="00731DEC" w:rsidRPr="002C3B0F">
        <w:t xml:space="preserve"> </w:t>
      </w:r>
      <w:r w:rsidR="001732FC" w:rsidRPr="002C3B0F">
        <w:t>present the findings of Noetic’s</w:t>
      </w:r>
      <w:r w:rsidR="00731DEC" w:rsidRPr="002C3B0F">
        <w:t xml:space="preserve"> operational revi</w:t>
      </w:r>
      <w:r w:rsidR="001732FC" w:rsidRPr="002C3B0F">
        <w:t>ew of NOPTA.</w:t>
      </w:r>
      <w:r w:rsidR="004C3F02" w:rsidRPr="002C3B0F">
        <w:t xml:space="preserve"> </w:t>
      </w:r>
    </w:p>
    <w:p w:rsidR="00A757A8" w:rsidRPr="002C3B0F" w:rsidRDefault="00A757A8" w:rsidP="00C627F2">
      <w:pPr>
        <w:pStyle w:val="Heading20"/>
      </w:pPr>
      <w:bookmarkStart w:id="27" w:name="_Toc422740231"/>
      <w:bookmarkStart w:id="28" w:name="_Toc423426762"/>
      <w:bookmarkStart w:id="29" w:name="_Toc430102176"/>
      <w:r w:rsidRPr="002C3B0F">
        <w:t>Scope</w:t>
      </w:r>
      <w:bookmarkEnd w:id="27"/>
      <w:bookmarkEnd w:id="28"/>
      <w:bookmarkEnd w:id="29"/>
    </w:p>
    <w:p w:rsidR="00482CD9" w:rsidRPr="002C3B0F" w:rsidRDefault="00482CD9" w:rsidP="003F2AC2">
      <w:pPr>
        <w:pStyle w:val="NumberL1"/>
      </w:pPr>
      <w:r w:rsidRPr="002C3B0F">
        <w:t>The scope of this report is to assess the performance of NOPTA</w:t>
      </w:r>
      <w:r w:rsidR="006A1CA2" w:rsidRPr="002C3B0F">
        <w:t xml:space="preserve"> against its</w:t>
      </w:r>
      <w:r w:rsidRPr="002C3B0F">
        <w:t xml:space="preserve"> legislated functions as set out in the Terms of Reference. The Terms of Reference provides a basis to assess </w:t>
      </w:r>
      <w:r w:rsidR="006A1CA2" w:rsidRPr="002C3B0F">
        <w:t xml:space="preserve">the effectiveness of </w:t>
      </w:r>
      <w:r w:rsidRPr="002C3B0F">
        <w:t>NOPTA</w:t>
      </w:r>
      <w:r w:rsidR="006A1CA2" w:rsidRPr="002C3B0F">
        <w:t xml:space="preserve"> in carrying out its</w:t>
      </w:r>
      <w:r w:rsidRPr="002C3B0F">
        <w:t xml:space="preserve"> functions, including titles administration, provision of advice for decision making by </w:t>
      </w:r>
      <w:r w:rsidR="005C37EC">
        <w:t>r</w:t>
      </w:r>
      <w:r w:rsidRPr="002C3B0F">
        <w:t xml:space="preserve">esponsible Commonwealth and State Ministers and their delegates, data access and management, compliance and monitoring, stakeholder engagement and cooperation </w:t>
      </w:r>
      <w:r w:rsidR="006A1CA2" w:rsidRPr="002C3B0F">
        <w:t>with</w:t>
      </w:r>
      <w:r w:rsidRPr="002C3B0F">
        <w:t xml:space="preserve"> NOPSEMA and other </w:t>
      </w:r>
      <w:r w:rsidR="007A379B" w:rsidRPr="002C3B0F">
        <w:t xml:space="preserve">State </w:t>
      </w:r>
      <w:r w:rsidRPr="002C3B0F">
        <w:t>and Territory regulatory bodies.</w:t>
      </w:r>
    </w:p>
    <w:p w:rsidR="0087335B" w:rsidRPr="002C3B0F" w:rsidRDefault="005B441A">
      <w:pPr>
        <w:pStyle w:val="NumberL1"/>
      </w:pPr>
      <w:r w:rsidRPr="002C3B0F">
        <w:t xml:space="preserve">The </w:t>
      </w:r>
      <w:r w:rsidR="00AA6EC2" w:rsidRPr="002C3B0F">
        <w:t>R</w:t>
      </w:r>
      <w:r w:rsidRPr="002C3B0F">
        <w:t>eport</w:t>
      </w:r>
      <w:r w:rsidR="0087335B" w:rsidRPr="002C3B0F">
        <w:t xml:space="preserve"> will also consider the extent in which the establishment of NOPTA has met the objectives </w:t>
      </w:r>
      <w:r w:rsidR="002B5310">
        <w:t>of the Government’s response to</w:t>
      </w:r>
      <w:r w:rsidR="0087335B" w:rsidRPr="002C3B0F">
        <w:t xml:space="preserve"> the Productivity Commission’s </w:t>
      </w:r>
      <w:r w:rsidR="0087335B" w:rsidRPr="002B5310">
        <w:rPr>
          <w:i/>
        </w:rPr>
        <w:t>Review of Regulatory Burden on the Upstream Petroleum</w:t>
      </w:r>
      <w:r w:rsidR="002B5310" w:rsidRPr="002B5310">
        <w:rPr>
          <w:i/>
        </w:rPr>
        <w:t xml:space="preserve"> (Oil and Gas)</w:t>
      </w:r>
      <w:r w:rsidR="0087335B" w:rsidRPr="002B5310">
        <w:rPr>
          <w:i/>
        </w:rPr>
        <w:t xml:space="preserve"> Sector</w:t>
      </w:r>
      <w:r w:rsidR="004B5BEC">
        <w:t xml:space="preserve">. </w:t>
      </w:r>
      <w:r w:rsidR="005C37EC">
        <w:t xml:space="preserve"> </w:t>
      </w:r>
    </w:p>
    <w:p w:rsidR="001F195B" w:rsidRPr="002C3B0F" w:rsidRDefault="001F195B" w:rsidP="00461A31">
      <w:pPr>
        <w:pStyle w:val="Heading20"/>
      </w:pPr>
      <w:bookmarkStart w:id="30" w:name="_Toc422740232"/>
      <w:bookmarkStart w:id="31" w:name="_Toc423426763"/>
      <w:bookmarkStart w:id="32" w:name="_Toc430102177"/>
      <w:r w:rsidRPr="002C3B0F">
        <w:lastRenderedPageBreak/>
        <w:t>Legislation</w:t>
      </w:r>
      <w:bookmarkEnd w:id="30"/>
      <w:bookmarkEnd w:id="31"/>
      <w:bookmarkEnd w:id="32"/>
    </w:p>
    <w:p w:rsidR="007A379B" w:rsidRPr="002C3B0F" w:rsidRDefault="005B441A">
      <w:pPr>
        <w:pStyle w:val="NumberL1"/>
      </w:pPr>
      <w:r w:rsidRPr="002C3B0F">
        <w:t xml:space="preserve">The primary legislation that governs </w:t>
      </w:r>
      <w:r w:rsidR="008E6F59" w:rsidRPr="002C3B0F">
        <w:t xml:space="preserve">offshore petroleum and greenhouse storage is the </w:t>
      </w:r>
      <w:r w:rsidR="008E6F59" w:rsidRPr="002C3B0F">
        <w:rPr>
          <w:i/>
        </w:rPr>
        <w:t xml:space="preserve">Offshore Petroleum </w:t>
      </w:r>
      <w:r w:rsidR="002A2054" w:rsidRPr="002C3B0F">
        <w:rPr>
          <w:i/>
        </w:rPr>
        <w:t xml:space="preserve">and </w:t>
      </w:r>
      <w:r w:rsidR="008E6F59" w:rsidRPr="002C3B0F">
        <w:rPr>
          <w:i/>
        </w:rPr>
        <w:t>Greenhouse Gas Storage Act</w:t>
      </w:r>
      <w:r w:rsidR="007A379B" w:rsidRPr="002C3B0F">
        <w:rPr>
          <w:i/>
        </w:rPr>
        <w:t>,</w:t>
      </w:r>
      <w:r w:rsidR="008E6F59" w:rsidRPr="002C3B0F">
        <w:t xml:space="preserve"> 2006</w:t>
      </w:r>
      <w:r w:rsidR="00AA6EC2" w:rsidRPr="002C3B0F">
        <w:t>.</w:t>
      </w:r>
      <w:r w:rsidR="008E6F59" w:rsidRPr="002C3B0F">
        <w:t xml:space="preserve"> Offshore petroleum and greenhouse gas storage regulatory functions are </w:t>
      </w:r>
      <w:r w:rsidR="00AA6EC2" w:rsidRPr="002C3B0F">
        <w:t>specified in</w:t>
      </w:r>
      <w:r w:rsidR="008E6F59" w:rsidRPr="002C3B0F">
        <w:t xml:space="preserve"> four supporting regulations. These regulations </w:t>
      </w:r>
      <w:r w:rsidR="007A379B" w:rsidRPr="002C3B0F">
        <w:t>include:</w:t>
      </w:r>
    </w:p>
    <w:p w:rsidR="007A379B" w:rsidRPr="007B3EEC" w:rsidRDefault="008E6F59" w:rsidP="00A36899">
      <w:pPr>
        <w:pStyle w:val="NumberL2"/>
        <w:tabs>
          <w:tab w:val="clear" w:pos="720"/>
          <w:tab w:val="num" w:pos="1134"/>
        </w:tabs>
        <w:ind w:left="1134" w:hanging="567"/>
      </w:pPr>
      <w:r w:rsidRPr="008E0B90">
        <w:rPr>
          <w:i/>
        </w:rPr>
        <w:t>Offshore Petroleum and Greenhouse Gas Storage (Safety) Regulations</w:t>
      </w:r>
      <w:r w:rsidR="007A379B" w:rsidRPr="008E0B90">
        <w:rPr>
          <w:i/>
        </w:rPr>
        <w:t>,</w:t>
      </w:r>
      <w:r w:rsidRPr="007B3EEC">
        <w:t xml:space="preserve"> 2009</w:t>
      </w:r>
    </w:p>
    <w:p w:rsidR="007A379B" w:rsidRPr="007B3EEC" w:rsidRDefault="008E6F59" w:rsidP="00A36899">
      <w:pPr>
        <w:pStyle w:val="NumberL2"/>
        <w:tabs>
          <w:tab w:val="clear" w:pos="720"/>
          <w:tab w:val="num" w:pos="1134"/>
        </w:tabs>
        <w:ind w:left="1134" w:hanging="567"/>
      </w:pPr>
      <w:r w:rsidRPr="008E0B90">
        <w:rPr>
          <w:i/>
        </w:rPr>
        <w:t>Offshore Petroleum and Greenhouse Gas Storage (Resource Management and Administration) Regulations</w:t>
      </w:r>
      <w:r w:rsidR="007A379B" w:rsidRPr="008E0B90">
        <w:rPr>
          <w:i/>
        </w:rPr>
        <w:t>,</w:t>
      </w:r>
      <w:r w:rsidRPr="007B3EEC">
        <w:t xml:space="preserve"> 2011</w:t>
      </w:r>
    </w:p>
    <w:p w:rsidR="007A379B" w:rsidRPr="007B3EEC" w:rsidRDefault="008E6F59" w:rsidP="00A36899">
      <w:pPr>
        <w:pStyle w:val="NumberL2"/>
        <w:tabs>
          <w:tab w:val="clear" w:pos="720"/>
          <w:tab w:val="num" w:pos="1134"/>
        </w:tabs>
        <w:ind w:left="1134" w:hanging="567"/>
      </w:pPr>
      <w:r w:rsidRPr="008E0B90">
        <w:rPr>
          <w:i/>
        </w:rPr>
        <w:t>Offshore Petroleum and Greenhouse Gas Storage (Environment) Regulations</w:t>
      </w:r>
      <w:r w:rsidR="007A379B" w:rsidRPr="008E0B90">
        <w:rPr>
          <w:i/>
        </w:rPr>
        <w:t>,</w:t>
      </w:r>
      <w:r w:rsidRPr="007B3EEC">
        <w:t xml:space="preserve"> 2009</w:t>
      </w:r>
    </w:p>
    <w:p w:rsidR="00575B16" w:rsidRPr="007B3EEC" w:rsidRDefault="008E6F59" w:rsidP="00A36899">
      <w:pPr>
        <w:pStyle w:val="NumberL2"/>
        <w:tabs>
          <w:tab w:val="clear" w:pos="720"/>
          <w:tab w:val="num" w:pos="1134"/>
        </w:tabs>
        <w:ind w:left="1134" w:hanging="567"/>
      </w:pPr>
      <w:r w:rsidRPr="008E0B90">
        <w:rPr>
          <w:i/>
        </w:rPr>
        <w:t>Offshore Petroleum and Greenhouse Gas Storage (Safety Levies) Regulations</w:t>
      </w:r>
      <w:r w:rsidR="007A379B" w:rsidRPr="008E0B90">
        <w:rPr>
          <w:i/>
        </w:rPr>
        <w:t>,</w:t>
      </w:r>
      <w:r w:rsidRPr="007B3EEC">
        <w:t xml:space="preserve"> 2004. </w:t>
      </w:r>
    </w:p>
    <w:p w:rsidR="00C62A4C" w:rsidRPr="002C3B0F" w:rsidRDefault="00C62A4C">
      <w:pPr>
        <w:pStyle w:val="NumberL1"/>
      </w:pPr>
      <w:r w:rsidRPr="002C3B0F">
        <w:t xml:space="preserve">Section 695P of </w:t>
      </w:r>
      <w:r w:rsidR="000F6CAA" w:rsidRPr="002C3B0F">
        <w:t xml:space="preserve">the </w:t>
      </w:r>
      <w:r w:rsidRPr="002C3B0F">
        <w:t>OPGGS</w:t>
      </w:r>
      <w:r w:rsidR="009D790E" w:rsidRPr="002C3B0F">
        <w:t xml:space="preserve"> </w:t>
      </w:r>
      <w:r w:rsidRPr="002C3B0F">
        <w:t>A</w:t>
      </w:r>
      <w:r w:rsidR="009D790E" w:rsidRPr="002C3B0F">
        <w:t>ct</w:t>
      </w:r>
      <w:r w:rsidRPr="002C3B0F">
        <w:t xml:space="preserve"> prescribes that a review into the activities and functions of NOPTA </w:t>
      </w:r>
      <w:r w:rsidR="005C37EC">
        <w:t>is</w:t>
      </w:r>
      <w:r w:rsidR="005C37EC" w:rsidRPr="002C3B0F">
        <w:t xml:space="preserve"> </w:t>
      </w:r>
      <w:r w:rsidRPr="002C3B0F">
        <w:t xml:space="preserve">conducted three years </w:t>
      </w:r>
      <w:r w:rsidR="001B1D9A" w:rsidRPr="002C3B0F">
        <w:t xml:space="preserve">after </w:t>
      </w:r>
      <w:r w:rsidRPr="002C3B0F">
        <w:t xml:space="preserve">the commencement of the </w:t>
      </w:r>
      <w:r>
        <w:t>legislated</w:t>
      </w:r>
      <w:r w:rsidRPr="002C3B0F">
        <w:t xml:space="preserve"> functions. </w:t>
      </w:r>
      <w:r w:rsidR="004F28E8" w:rsidRPr="002C3B0F">
        <w:t>This is the first ministerial review of NOPTA since its establishment on 1 January 2012</w:t>
      </w:r>
      <w:r w:rsidR="0071219E" w:rsidRPr="002C3B0F">
        <w:t xml:space="preserve">, </w:t>
      </w:r>
      <w:r w:rsidR="001B1D9A" w:rsidRPr="002C3B0F">
        <w:t xml:space="preserve">and </w:t>
      </w:r>
      <w:r w:rsidR="0071219E" w:rsidRPr="002C3B0F">
        <w:t>fulfil</w:t>
      </w:r>
      <w:r w:rsidR="001B1D9A" w:rsidRPr="002C3B0F">
        <w:t>s</w:t>
      </w:r>
      <w:r w:rsidR="008E0B90">
        <w:t xml:space="preserve"> the requirement of Section </w:t>
      </w:r>
      <w:r w:rsidR="0071219E" w:rsidRPr="002C3B0F">
        <w:t>695P.</w:t>
      </w:r>
    </w:p>
    <w:p w:rsidR="00C62A4C" w:rsidRPr="002C3B0F" w:rsidRDefault="00C62A4C">
      <w:pPr>
        <w:pStyle w:val="NumberL1"/>
      </w:pPr>
      <w:r w:rsidRPr="002C3B0F">
        <w:t>The review is completed upon delivery of this report to the responsible Commonwealth Minister</w:t>
      </w:r>
      <w:r w:rsidR="0071219E" w:rsidRPr="002C3B0F">
        <w:t>, who is The Hon Ian Macfarlane MP, Commonwealth Minister for Industry and Science</w:t>
      </w:r>
      <w:r w:rsidR="001B1D9A" w:rsidRPr="002C3B0F">
        <w:t>.</w:t>
      </w:r>
    </w:p>
    <w:p w:rsidR="0087335B" w:rsidRPr="002C3B0F" w:rsidRDefault="0087335B" w:rsidP="00461A31">
      <w:pPr>
        <w:pStyle w:val="Heading20"/>
      </w:pPr>
      <w:bookmarkStart w:id="33" w:name="_Toc422740233"/>
      <w:bookmarkStart w:id="34" w:name="_Toc423426764"/>
      <w:bookmarkStart w:id="35" w:name="_Toc430102178"/>
      <w:r w:rsidRPr="002C3B0F">
        <w:t>Structure of the Report</w:t>
      </w:r>
      <w:bookmarkEnd w:id="33"/>
      <w:bookmarkEnd w:id="34"/>
      <w:bookmarkEnd w:id="35"/>
    </w:p>
    <w:p w:rsidR="0087335B" w:rsidRPr="002C3B0F" w:rsidRDefault="0087335B">
      <w:pPr>
        <w:pStyle w:val="NumberL1"/>
      </w:pPr>
      <w:r w:rsidRPr="002C3B0F">
        <w:t>To ensure that all elements within the Terms of Reference are addressed, this report is structured to cover the following topics:</w:t>
      </w:r>
    </w:p>
    <w:p w:rsidR="0087335B" w:rsidRPr="002C3B0F" w:rsidRDefault="0087335B" w:rsidP="00A36899">
      <w:pPr>
        <w:pStyle w:val="NumberL2"/>
        <w:tabs>
          <w:tab w:val="clear" w:pos="720"/>
          <w:tab w:val="num" w:pos="1134"/>
        </w:tabs>
        <w:ind w:left="1134" w:hanging="567"/>
      </w:pPr>
      <w:r w:rsidRPr="002C3B0F">
        <w:t>Review Methodology</w:t>
      </w:r>
    </w:p>
    <w:p w:rsidR="0087335B" w:rsidRPr="002C3B0F" w:rsidRDefault="0087335B" w:rsidP="00A36899">
      <w:pPr>
        <w:pStyle w:val="NumberL2"/>
        <w:tabs>
          <w:tab w:val="clear" w:pos="720"/>
          <w:tab w:val="num" w:pos="1134"/>
        </w:tabs>
        <w:ind w:left="1134" w:hanging="567"/>
      </w:pPr>
      <w:r w:rsidRPr="002C3B0F">
        <w:t>Review Context</w:t>
      </w:r>
    </w:p>
    <w:p w:rsidR="0087335B" w:rsidRPr="002C3B0F" w:rsidRDefault="0087335B" w:rsidP="00A36899">
      <w:pPr>
        <w:pStyle w:val="NumberL2"/>
        <w:tabs>
          <w:tab w:val="clear" w:pos="720"/>
          <w:tab w:val="num" w:pos="1134"/>
        </w:tabs>
        <w:ind w:left="1134" w:hanging="567"/>
      </w:pPr>
      <w:r w:rsidRPr="002C3B0F">
        <w:t>Findings of the Review.</w:t>
      </w:r>
    </w:p>
    <w:p w:rsidR="001F195B" w:rsidRPr="00461A31" w:rsidRDefault="0087335B" w:rsidP="00461A31">
      <w:pPr>
        <w:pStyle w:val="Heading10"/>
        <w:rPr>
          <w:caps w:val="0"/>
        </w:rPr>
      </w:pPr>
      <w:bookmarkStart w:id="36" w:name="_Toc422740234"/>
      <w:bookmarkStart w:id="37" w:name="_Toc423426765"/>
      <w:bookmarkStart w:id="38" w:name="_Toc430102179"/>
      <w:r w:rsidRPr="00461A31">
        <w:rPr>
          <w:caps w:val="0"/>
        </w:rPr>
        <w:t xml:space="preserve">Review </w:t>
      </w:r>
      <w:r w:rsidR="001F195B" w:rsidRPr="00461A31">
        <w:rPr>
          <w:caps w:val="0"/>
        </w:rPr>
        <w:t>Methodology</w:t>
      </w:r>
      <w:bookmarkEnd w:id="36"/>
      <w:bookmarkEnd w:id="37"/>
      <w:bookmarkEnd w:id="38"/>
    </w:p>
    <w:p w:rsidR="0087335B" w:rsidRPr="002C3B0F" w:rsidRDefault="00F12153">
      <w:pPr>
        <w:pStyle w:val="NumberL1"/>
      </w:pPr>
      <w:r w:rsidRPr="002C3B0F">
        <w:t xml:space="preserve">This section provides an overview of Noetic’s review methodology which describes how the review </w:t>
      </w:r>
      <w:r w:rsidR="005379EF" w:rsidRPr="002C3B0F">
        <w:t xml:space="preserve">was </w:t>
      </w:r>
      <w:r w:rsidRPr="002C3B0F">
        <w:t>conducted</w:t>
      </w:r>
      <w:r w:rsidR="0087335B" w:rsidRPr="002C3B0F">
        <w:t xml:space="preserve">. </w:t>
      </w:r>
      <w:r w:rsidR="00893F36" w:rsidRPr="002C3B0F">
        <w:t xml:space="preserve">Noetic’s approach to the review involved close engagement with the Department to establish the review strategy, before independently conducting the review. </w:t>
      </w:r>
      <w:r w:rsidR="0087335B" w:rsidRPr="002C3B0F">
        <w:t xml:space="preserve">Specifically, </w:t>
      </w:r>
      <w:r w:rsidR="00893F36" w:rsidRPr="002C3B0F">
        <w:t>this section outlines the</w:t>
      </w:r>
      <w:r w:rsidR="0087335B" w:rsidRPr="002C3B0F">
        <w:t>:</w:t>
      </w:r>
    </w:p>
    <w:p w:rsidR="0087335B" w:rsidRPr="002C3B0F" w:rsidRDefault="005054C7" w:rsidP="00A36899">
      <w:pPr>
        <w:pStyle w:val="NumberL2"/>
        <w:tabs>
          <w:tab w:val="clear" w:pos="720"/>
          <w:tab w:val="num" w:pos="1134"/>
        </w:tabs>
        <w:ind w:left="1134" w:hanging="567"/>
      </w:pPr>
      <w:r>
        <w:t>O</w:t>
      </w:r>
      <w:r w:rsidR="0087335B" w:rsidRPr="002C3B0F">
        <w:t>verarching review principles</w:t>
      </w:r>
    </w:p>
    <w:p w:rsidR="0087335B" w:rsidRPr="002C3B0F" w:rsidRDefault="005054C7" w:rsidP="00A36899">
      <w:pPr>
        <w:pStyle w:val="NumberL2"/>
        <w:tabs>
          <w:tab w:val="clear" w:pos="720"/>
          <w:tab w:val="num" w:pos="1134"/>
        </w:tabs>
        <w:ind w:left="1134" w:hanging="567"/>
      </w:pPr>
      <w:r>
        <w:t>R</w:t>
      </w:r>
      <w:r w:rsidR="00F22906" w:rsidRPr="002C3B0F">
        <w:t>eview methods,</w:t>
      </w:r>
      <w:r w:rsidR="00893F36" w:rsidRPr="002C3B0F">
        <w:t xml:space="preserve"> including:</w:t>
      </w:r>
    </w:p>
    <w:p w:rsidR="00893F36" w:rsidRPr="002C3B0F" w:rsidRDefault="005054C7" w:rsidP="00DD61E8">
      <w:pPr>
        <w:pStyle w:val="NumberL3"/>
      </w:pPr>
      <w:r>
        <w:t>D</w:t>
      </w:r>
      <w:r w:rsidR="00893F36" w:rsidRPr="002C3B0F">
        <w:t>ata collection methods</w:t>
      </w:r>
    </w:p>
    <w:p w:rsidR="0087335B" w:rsidRPr="002C3B0F" w:rsidRDefault="005054C7" w:rsidP="00DD61E8">
      <w:pPr>
        <w:pStyle w:val="NumberL3"/>
      </w:pPr>
      <w:r>
        <w:lastRenderedPageBreak/>
        <w:t>St</w:t>
      </w:r>
      <w:r w:rsidR="00893F36" w:rsidRPr="002C3B0F">
        <w:t>akeholder engagement methods.</w:t>
      </w:r>
    </w:p>
    <w:p w:rsidR="00F12153" w:rsidRPr="007B3EEC" w:rsidRDefault="00F12153" w:rsidP="00A33CEB">
      <w:pPr>
        <w:pStyle w:val="Heading20"/>
      </w:pPr>
      <w:bookmarkStart w:id="39" w:name="_Toc415235152"/>
      <w:bookmarkStart w:id="40" w:name="_Toc423426766"/>
      <w:bookmarkStart w:id="41" w:name="_Toc430102180"/>
      <w:r w:rsidRPr="007B3EEC">
        <w:t>Overarching Review Principles</w:t>
      </w:r>
      <w:bookmarkEnd w:id="39"/>
      <w:bookmarkEnd w:id="40"/>
      <w:bookmarkEnd w:id="41"/>
    </w:p>
    <w:p w:rsidR="00F12153" w:rsidRPr="002C3B0F" w:rsidRDefault="00F12153">
      <w:pPr>
        <w:pStyle w:val="NumberL1"/>
      </w:pPr>
      <w:r w:rsidRPr="002C3B0F">
        <w:t>Throughout the review process, Noetic</w:t>
      </w:r>
      <w:r w:rsidR="00AA6EC2" w:rsidRPr="002C3B0F">
        <w:t xml:space="preserve"> </w:t>
      </w:r>
      <w:r w:rsidR="00140E12" w:rsidRPr="002C3B0F">
        <w:t>adhered</w:t>
      </w:r>
      <w:r w:rsidRPr="002C3B0F">
        <w:t xml:space="preserve"> to the following overarching principles:</w:t>
      </w:r>
    </w:p>
    <w:p w:rsidR="00AA6EC2" w:rsidRPr="002C3B0F" w:rsidRDefault="00F12153" w:rsidP="00A36899">
      <w:pPr>
        <w:pStyle w:val="NumberL2"/>
        <w:tabs>
          <w:tab w:val="clear" w:pos="720"/>
          <w:tab w:val="num" w:pos="1134"/>
        </w:tabs>
        <w:ind w:left="1134" w:hanging="567"/>
        <w:rPr>
          <w:rStyle w:val="CommentReference"/>
          <w:rFonts w:cs="Times New Roman"/>
          <w:sz w:val="18"/>
          <w:szCs w:val="18"/>
          <w:lang w:eastAsia="en-AU"/>
        </w:rPr>
      </w:pPr>
      <w:r w:rsidRPr="007B3EEC">
        <w:rPr>
          <w:b/>
        </w:rPr>
        <w:t>Oversight</w:t>
      </w:r>
      <w:r w:rsidR="001B1D9A" w:rsidRPr="002C3B0F">
        <w:rPr>
          <w:b/>
        </w:rPr>
        <w:t>.</w:t>
      </w:r>
      <w:r w:rsidRPr="002C3B0F">
        <w:t xml:space="preserve"> Noetic </w:t>
      </w:r>
      <w:r w:rsidR="005379EF" w:rsidRPr="002C3B0F">
        <w:t>has</w:t>
      </w:r>
      <w:r w:rsidRPr="002C3B0F">
        <w:t xml:space="preserve"> </w:t>
      </w:r>
      <w:r w:rsidR="00F51B8D" w:rsidRPr="002C3B0F">
        <w:t>consulted with</w:t>
      </w:r>
      <w:r w:rsidRPr="002C3B0F">
        <w:t xml:space="preserve"> the Department to ensure robust governance is applied throughout the review, including guidance and authorisation of activities. </w:t>
      </w:r>
      <w:r w:rsidR="00F51B8D" w:rsidRPr="002C3B0F">
        <w:t xml:space="preserve">The Department was regularly informed of the review’s progress and at times </w:t>
      </w:r>
      <w:r w:rsidR="001B1D9A" w:rsidRPr="002C3B0F">
        <w:t xml:space="preserve">was </w:t>
      </w:r>
      <w:r w:rsidR="00F51B8D" w:rsidRPr="002C3B0F">
        <w:t xml:space="preserve">asked to assist in resolving issues that </w:t>
      </w:r>
      <w:r w:rsidR="001B1D9A" w:rsidRPr="002C3B0F">
        <w:t>arose during</w:t>
      </w:r>
      <w:r w:rsidR="00F27069" w:rsidRPr="002C3B0F">
        <w:t xml:space="preserve"> the review process. </w:t>
      </w:r>
    </w:p>
    <w:p w:rsidR="00F12153" w:rsidRPr="002C3B0F" w:rsidRDefault="00F12153" w:rsidP="00A36899">
      <w:pPr>
        <w:pStyle w:val="NumberL2"/>
        <w:tabs>
          <w:tab w:val="clear" w:pos="720"/>
          <w:tab w:val="num" w:pos="1134"/>
        </w:tabs>
        <w:ind w:left="1134" w:hanging="567"/>
      </w:pPr>
      <w:r w:rsidRPr="002C3B0F">
        <w:rPr>
          <w:b/>
          <w:bCs/>
        </w:rPr>
        <w:t>Confidentiality</w:t>
      </w:r>
      <w:r w:rsidR="001B1D9A" w:rsidRPr="002C3B0F">
        <w:rPr>
          <w:b/>
          <w:bCs/>
        </w:rPr>
        <w:t>.</w:t>
      </w:r>
      <w:r w:rsidRPr="002C3B0F">
        <w:t xml:space="preserve"> Noetic </w:t>
      </w:r>
      <w:r w:rsidR="005379EF" w:rsidRPr="002C3B0F">
        <w:t>recognised the</w:t>
      </w:r>
      <w:r w:rsidRPr="002C3B0F">
        <w:t xml:space="preserve"> importance of maintaining confidentiality throughout t</w:t>
      </w:r>
      <w:r w:rsidR="005379EF" w:rsidRPr="002C3B0F">
        <w:t xml:space="preserve">he review </w:t>
      </w:r>
      <w:r w:rsidRPr="002C3B0F">
        <w:t xml:space="preserve">process. </w:t>
      </w:r>
      <w:r w:rsidR="005379EF" w:rsidRPr="002C3B0F">
        <w:t>All</w:t>
      </w:r>
      <w:r w:rsidRPr="002C3B0F">
        <w:t xml:space="preserve"> participants in the </w:t>
      </w:r>
      <w:r w:rsidR="005379EF" w:rsidRPr="002C3B0F">
        <w:t>consultation</w:t>
      </w:r>
      <w:r w:rsidRPr="002C3B0F">
        <w:t xml:space="preserve"> process </w:t>
      </w:r>
      <w:r w:rsidR="005379EF" w:rsidRPr="002C3B0F">
        <w:t>were made</w:t>
      </w:r>
      <w:r w:rsidRPr="002C3B0F">
        <w:t xml:space="preserve"> aware that their responses will be treated as confidential and that all information detailed in the final report will be listed as anonymous contributions.</w:t>
      </w:r>
    </w:p>
    <w:p w:rsidR="005379EF" w:rsidRPr="002C3B0F" w:rsidRDefault="00F12153" w:rsidP="00A36899">
      <w:pPr>
        <w:pStyle w:val="NumberL2"/>
        <w:tabs>
          <w:tab w:val="clear" w:pos="720"/>
          <w:tab w:val="num" w:pos="1134"/>
        </w:tabs>
        <w:ind w:left="1134" w:hanging="567"/>
      </w:pPr>
      <w:r w:rsidRPr="002C3B0F">
        <w:rPr>
          <w:b/>
          <w:bCs/>
        </w:rPr>
        <w:t>Bias minimisation and assumptions</w:t>
      </w:r>
      <w:r w:rsidR="001B1D9A" w:rsidRPr="002C3B0F">
        <w:rPr>
          <w:b/>
          <w:bCs/>
        </w:rPr>
        <w:t>.</w:t>
      </w:r>
      <w:r w:rsidRPr="002C3B0F">
        <w:t xml:space="preserve"> </w:t>
      </w:r>
      <w:r w:rsidR="005379EF" w:rsidRPr="002C3B0F">
        <w:t xml:space="preserve">All efforts were made to minimise bias during consultation with stakeholders. Leading questions were avoided and Noetic consulted with a </w:t>
      </w:r>
      <w:r w:rsidR="001B1D9A" w:rsidRPr="002C3B0F">
        <w:t>diverse</w:t>
      </w:r>
      <w:r w:rsidR="005379EF" w:rsidRPr="002C3B0F">
        <w:t xml:space="preserve"> stakeholder</w:t>
      </w:r>
      <w:r w:rsidR="001B1D9A" w:rsidRPr="002C3B0F">
        <w:t xml:space="preserve"> group </w:t>
      </w:r>
      <w:r w:rsidR="005379EF" w:rsidRPr="002C3B0F">
        <w:t xml:space="preserve">to ensure the highest quality of response. </w:t>
      </w:r>
    </w:p>
    <w:p w:rsidR="00F12153" w:rsidRPr="002C3B0F" w:rsidRDefault="00F12153" w:rsidP="00A36899">
      <w:pPr>
        <w:pStyle w:val="NumberL2"/>
        <w:tabs>
          <w:tab w:val="clear" w:pos="720"/>
          <w:tab w:val="num" w:pos="1134"/>
        </w:tabs>
        <w:ind w:left="1134" w:hanging="567"/>
      </w:pPr>
      <w:r w:rsidRPr="002C3B0F">
        <w:rPr>
          <w:b/>
          <w:bCs/>
        </w:rPr>
        <w:t>Appropriate sample size</w:t>
      </w:r>
      <w:r w:rsidR="001B1D9A" w:rsidRPr="002C3B0F">
        <w:rPr>
          <w:b/>
          <w:bCs/>
        </w:rPr>
        <w:t>.</w:t>
      </w:r>
      <w:r w:rsidRPr="002C3B0F">
        <w:t xml:space="preserve"> </w:t>
      </w:r>
      <w:r w:rsidR="005379EF" w:rsidRPr="002C3B0F">
        <w:t>Noetic identified</w:t>
      </w:r>
      <w:r w:rsidRPr="002C3B0F">
        <w:t xml:space="preserve"> and maximise</w:t>
      </w:r>
      <w:r w:rsidR="005379EF" w:rsidRPr="002C3B0F">
        <w:t>d</w:t>
      </w:r>
      <w:r w:rsidRPr="002C3B0F">
        <w:t xml:space="preserve"> sample sizes from the available population to enhance the robustness of </w:t>
      </w:r>
      <w:r w:rsidR="001B1D9A" w:rsidRPr="002C3B0F">
        <w:t xml:space="preserve">the </w:t>
      </w:r>
      <w:r w:rsidRPr="002C3B0F">
        <w:t xml:space="preserve">research. </w:t>
      </w:r>
      <w:r w:rsidR="005379EF" w:rsidRPr="002C3B0F">
        <w:t>Noetic</w:t>
      </w:r>
      <w:r w:rsidRPr="002C3B0F">
        <w:t xml:space="preserve"> use</w:t>
      </w:r>
      <w:r w:rsidR="005379EF" w:rsidRPr="002C3B0F">
        <w:t>d</w:t>
      </w:r>
      <w:r w:rsidRPr="002C3B0F">
        <w:t xml:space="preserve"> a balance of quantitative and qualitative research methods to verify anecdotal evidence, and investigate trends for causal issues.</w:t>
      </w:r>
    </w:p>
    <w:p w:rsidR="00F12153" w:rsidRPr="002C3B0F" w:rsidRDefault="00F12153" w:rsidP="00A36899">
      <w:pPr>
        <w:pStyle w:val="NumberL2"/>
        <w:tabs>
          <w:tab w:val="clear" w:pos="720"/>
          <w:tab w:val="num" w:pos="1134"/>
        </w:tabs>
        <w:ind w:left="1134" w:hanging="567"/>
      </w:pPr>
      <w:r w:rsidRPr="002C3B0F">
        <w:rPr>
          <w:b/>
          <w:bCs/>
        </w:rPr>
        <w:t>Appropriate stakeholder selection for issues</w:t>
      </w:r>
      <w:r w:rsidR="001B1D9A" w:rsidRPr="002C3B0F">
        <w:rPr>
          <w:b/>
          <w:bCs/>
        </w:rPr>
        <w:t>.</w:t>
      </w:r>
      <w:r w:rsidRPr="002C3B0F">
        <w:t xml:space="preserve"> Noetic </w:t>
      </w:r>
      <w:r w:rsidR="005379EF" w:rsidRPr="002C3B0F">
        <w:t>selected</w:t>
      </w:r>
      <w:r w:rsidRPr="002C3B0F">
        <w:t xml:space="preserve"> appropriate stakeholders to discuss relevant elements in the Terms of Reference. </w:t>
      </w:r>
    </w:p>
    <w:p w:rsidR="00F12153" w:rsidRPr="007B3EEC" w:rsidRDefault="00F12153" w:rsidP="00A33CEB">
      <w:pPr>
        <w:pStyle w:val="Heading20"/>
      </w:pPr>
      <w:bookmarkStart w:id="42" w:name="_Toc415235153"/>
      <w:bookmarkStart w:id="43" w:name="_Toc423426767"/>
      <w:bookmarkStart w:id="44" w:name="_Toc430102181"/>
      <w:r w:rsidRPr="007B3EEC">
        <w:t>Review Methods</w:t>
      </w:r>
      <w:bookmarkEnd w:id="42"/>
      <w:bookmarkEnd w:id="43"/>
      <w:bookmarkEnd w:id="44"/>
    </w:p>
    <w:p w:rsidR="00F12153" w:rsidRPr="00A33CEB" w:rsidRDefault="00F12153" w:rsidP="00A33CEB">
      <w:pPr>
        <w:pStyle w:val="Heading30"/>
      </w:pPr>
      <w:bookmarkStart w:id="45" w:name="_Toc423426768"/>
      <w:bookmarkStart w:id="46" w:name="_Toc430102182"/>
      <w:r w:rsidRPr="00A33CEB">
        <w:t>Data Collection Methods</w:t>
      </w:r>
      <w:bookmarkEnd w:id="45"/>
      <w:bookmarkEnd w:id="46"/>
    </w:p>
    <w:p w:rsidR="00F12153" w:rsidRPr="002C3B0F" w:rsidRDefault="00F12153">
      <w:pPr>
        <w:pStyle w:val="NumberL1"/>
      </w:pPr>
      <w:r w:rsidRPr="002C3B0F">
        <w:t xml:space="preserve">Noetic </w:t>
      </w:r>
      <w:r w:rsidR="00301111" w:rsidRPr="002C3B0F">
        <w:t>sought to use</w:t>
      </w:r>
      <w:r w:rsidR="0071219E" w:rsidRPr="002C3B0F">
        <w:t xml:space="preserve"> </w:t>
      </w:r>
      <w:r w:rsidRPr="002C3B0F">
        <w:t xml:space="preserve">quantitative and qualitative data in the conduct of </w:t>
      </w:r>
      <w:r w:rsidR="00301111" w:rsidRPr="002C3B0F">
        <w:t>the</w:t>
      </w:r>
      <w:r w:rsidRPr="002C3B0F">
        <w:t xml:space="preserve"> review. Noetic </w:t>
      </w:r>
      <w:r w:rsidR="00A958AB" w:rsidRPr="002C3B0F">
        <w:t>placed</w:t>
      </w:r>
      <w:r w:rsidRPr="002C3B0F">
        <w:t xml:space="preserve"> an emphasis on collecting both types to ensure that findings </w:t>
      </w:r>
      <w:r w:rsidR="00A958AB" w:rsidRPr="002C3B0F">
        <w:t>were</w:t>
      </w:r>
      <w:r w:rsidRPr="002C3B0F">
        <w:t xml:space="preserve"> both legitimate and well-supported.</w:t>
      </w:r>
    </w:p>
    <w:p w:rsidR="00F12153" w:rsidRPr="00A33CEB" w:rsidRDefault="0003513C" w:rsidP="00A33CEB">
      <w:pPr>
        <w:pStyle w:val="Heading40"/>
      </w:pPr>
      <w:bookmarkStart w:id="47" w:name="_Toc423426769"/>
      <w:bookmarkStart w:id="48" w:name="_Toc430102183"/>
      <w:r w:rsidRPr="00A33CEB">
        <w:t>Q</w:t>
      </w:r>
      <w:r w:rsidR="00F12153" w:rsidRPr="00A33CEB">
        <w:t xml:space="preserve">ualitative </w:t>
      </w:r>
      <w:r w:rsidRPr="00A33CEB">
        <w:t>D</w:t>
      </w:r>
      <w:r w:rsidR="00F12153" w:rsidRPr="00A33CEB">
        <w:t>ata</w:t>
      </w:r>
      <w:bookmarkEnd w:id="47"/>
      <w:bookmarkEnd w:id="48"/>
    </w:p>
    <w:p w:rsidR="00F12153" w:rsidRPr="002C3B0F" w:rsidRDefault="00F12153">
      <w:pPr>
        <w:pStyle w:val="NumberL1"/>
      </w:pPr>
      <w:r w:rsidRPr="002C3B0F">
        <w:t xml:space="preserve">The review team </w:t>
      </w:r>
      <w:r w:rsidR="00A958AB" w:rsidRPr="002C3B0F">
        <w:t>sourced</w:t>
      </w:r>
      <w:r w:rsidRPr="002C3B0F">
        <w:t xml:space="preserve"> its qualitative data primarily from a program of direct stakeholder consultation.</w:t>
      </w:r>
      <w:r w:rsidR="0071219E" w:rsidRPr="002C3B0F">
        <w:t xml:space="preserve"> Prior to undertaking the Review, Noetic produced</w:t>
      </w:r>
      <w:r w:rsidRPr="002C3B0F">
        <w:t xml:space="preserve"> a </w:t>
      </w:r>
      <w:r w:rsidR="0071219E" w:rsidRPr="002C3B0F">
        <w:t>S</w:t>
      </w:r>
      <w:r w:rsidRPr="002C3B0F">
        <w:t xml:space="preserve">takeholder </w:t>
      </w:r>
      <w:r w:rsidR="0071219E" w:rsidRPr="002C3B0F">
        <w:t>E</w:t>
      </w:r>
      <w:r w:rsidRPr="002C3B0F">
        <w:t xml:space="preserve">ngagement </w:t>
      </w:r>
      <w:r w:rsidR="0071219E" w:rsidRPr="002C3B0F">
        <w:t>S</w:t>
      </w:r>
      <w:r w:rsidRPr="002C3B0F">
        <w:t xml:space="preserve">trategy </w:t>
      </w:r>
      <w:r w:rsidR="00A958AB" w:rsidRPr="002C3B0F">
        <w:t>that outlined</w:t>
      </w:r>
      <w:r w:rsidRPr="002C3B0F">
        <w:t xml:space="preserve"> the stages of stakeholder engagement with the five broad stakeholder groups: </w:t>
      </w:r>
    </w:p>
    <w:p w:rsidR="0071219E" w:rsidRPr="002C3B0F" w:rsidRDefault="0071219E" w:rsidP="00A36899">
      <w:pPr>
        <w:pStyle w:val="NumberL2"/>
        <w:tabs>
          <w:tab w:val="clear" w:pos="720"/>
          <w:tab w:val="num" w:pos="1134"/>
        </w:tabs>
        <w:ind w:left="1134" w:hanging="567"/>
      </w:pPr>
      <w:r w:rsidRPr="002C3B0F">
        <w:t>NOPTA personnel</w:t>
      </w:r>
    </w:p>
    <w:p w:rsidR="00F12153" w:rsidRPr="002C3B0F" w:rsidRDefault="00F12153" w:rsidP="00A36899">
      <w:pPr>
        <w:pStyle w:val="NumberL2"/>
        <w:tabs>
          <w:tab w:val="clear" w:pos="720"/>
          <w:tab w:val="num" w:pos="1134"/>
        </w:tabs>
        <w:ind w:left="1134" w:hanging="567"/>
      </w:pPr>
      <w:r w:rsidRPr="002C3B0F">
        <w:lastRenderedPageBreak/>
        <w:t xml:space="preserve">The Commonwealth Government, including government agencies (such as the Department of Industry and Science, </w:t>
      </w:r>
      <w:r w:rsidR="000F6CAA" w:rsidRPr="002C3B0F">
        <w:t xml:space="preserve">the </w:t>
      </w:r>
      <w:r w:rsidR="008E6F59" w:rsidRPr="002C3B0F">
        <w:t>National Offshore Petroleum Safety and Environmental Management Authority</w:t>
      </w:r>
      <w:r w:rsidR="00AA6EC2" w:rsidRPr="002C3B0F">
        <w:t xml:space="preserve"> (</w:t>
      </w:r>
      <w:r w:rsidRPr="002C3B0F">
        <w:t>NOPSEMA</w:t>
      </w:r>
      <w:r w:rsidR="00AA6EC2" w:rsidRPr="002C3B0F">
        <w:t>)</w:t>
      </w:r>
      <w:r w:rsidRPr="002C3B0F">
        <w:t xml:space="preserve">, and Geoscience Australia) </w:t>
      </w:r>
    </w:p>
    <w:p w:rsidR="00F12153" w:rsidRPr="002C3B0F" w:rsidRDefault="00F12153" w:rsidP="00A36899">
      <w:pPr>
        <w:pStyle w:val="NumberL2"/>
        <w:tabs>
          <w:tab w:val="clear" w:pos="720"/>
          <w:tab w:val="num" w:pos="1134"/>
        </w:tabs>
        <w:ind w:left="1134" w:hanging="567"/>
      </w:pPr>
      <w:r w:rsidRPr="002C3B0F">
        <w:t xml:space="preserve">State and Territory Offshore Petroleum Regulatory bodies </w:t>
      </w:r>
      <w:r w:rsidR="0071219E" w:rsidRPr="002C3B0F">
        <w:t>and Joint Authority delegates</w:t>
      </w:r>
    </w:p>
    <w:p w:rsidR="00F12153" w:rsidRPr="002C3B0F" w:rsidRDefault="00AA6EC2" w:rsidP="00A36899">
      <w:pPr>
        <w:pStyle w:val="NumberL2"/>
        <w:tabs>
          <w:tab w:val="clear" w:pos="720"/>
          <w:tab w:val="num" w:pos="1134"/>
        </w:tabs>
        <w:ind w:left="1134" w:hanging="567"/>
      </w:pPr>
      <w:r w:rsidRPr="002C3B0F">
        <w:t xml:space="preserve">Peak bodies, </w:t>
      </w:r>
      <w:r w:rsidR="00F12153" w:rsidRPr="002C3B0F">
        <w:t xml:space="preserve">such as </w:t>
      </w:r>
      <w:r w:rsidR="001022A8" w:rsidRPr="002C3B0F">
        <w:t>t</w:t>
      </w:r>
      <w:r w:rsidR="008E6F59" w:rsidRPr="002C3B0F">
        <w:t>he A</w:t>
      </w:r>
      <w:r w:rsidRPr="002C3B0F">
        <w:t>ustralian Petroleum Production and</w:t>
      </w:r>
      <w:r w:rsidR="008E6F59" w:rsidRPr="002C3B0F">
        <w:t xml:space="preserve"> Exploration Association</w:t>
      </w:r>
      <w:r w:rsidRPr="002C3B0F">
        <w:t xml:space="preserve"> (</w:t>
      </w:r>
      <w:r w:rsidR="00F12153" w:rsidRPr="002C3B0F">
        <w:t>APPEA)</w:t>
      </w:r>
    </w:p>
    <w:p w:rsidR="00F12153" w:rsidRPr="002C3B0F" w:rsidRDefault="00F12153" w:rsidP="00A36899">
      <w:pPr>
        <w:pStyle w:val="NumberL2"/>
        <w:tabs>
          <w:tab w:val="clear" w:pos="720"/>
          <w:tab w:val="num" w:pos="1134"/>
        </w:tabs>
        <w:ind w:left="1134" w:hanging="567"/>
      </w:pPr>
      <w:r w:rsidRPr="002C3B0F">
        <w:t xml:space="preserve">Private </w:t>
      </w:r>
      <w:r w:rsidR="001022A8" w:rsidRPr="002C3B0F">
        <w:t>c</w:t>
      </w:r>
      <w:r w:rsidRPr="002C3B0F">
        <w:t>ompanies that engage with N</w:t>
      </w:r>
      <w:r w:rsidR="00AA6EC2" w:rsidRPr="002C3B0F">
        <w:t>OPTA on titles-related matters</w:t>
      </w:r>
    </w:p>
    <w:p w:rsidR="00AE0653" w:rsidRPr="002C3B0F" w:rsidRDefault="00AE0653" w:rsidP="00A36899">
      <w:pPr>
        <w:pStyle w:val="NumberL2"/>
        <w:tabs>
          <w:tab w:val="clear" w:pos="720"/>
          <w:tab w:val="num" w:pos="1134"/>
        </w:tabs>
        <w:ind w:left="1134" w:hanging="567"/>
      </w:pPr>
      <w:r w:rsidRPr="002C3B0F">
        <w:t xml:space="preserve">Greenhouse gas storage </w:t>
      </w:r>
      <w:r w:rsidR="00873168" w:rsidRPr="002C3B0F">
        <w:t>stakeholders</w:t>
      </w:r>
      <w:r w:rsidR="00AA6EC2" w:rsidRPr="002C3B0F">
        <w:t>.</w:t>
      </w:r>
    </w:p>
    <w:p w:rsidR="00F12153" w:rsidRPr="007B3EEC" w:rsidRDefault="0003513C" w:rsidP="00A33CEB">
      <w:pPr>
        <w:pStyle w:val="Heading40"/>
      </w:pPr>
      <w:bookmarkStart w:id="49" w:name="_Toc423426770"/>
      <w:bookmarkStart w:id="50" w:name="_Toc430102184"/>
      <w:r>
        <w:t>Q</w:t>
      </w:r>
      <w:r w:rsidR="00F12153" w:rsidRPr="007B3EEC">
        <w:t xml:space="preserve">uantitative </w:t>
      </w:r>
      <w:r>
        <w:t>D</w:t>
      </w:r>
      <w:r w:rsidR="00F12153" w:rsidRPr="007B3EEC">
        <w:t>ata</w:t>
      </w:r>
      <w:bookmarkEnd w:id="49"/>
      <w:bookmarkEnd w:id="50"/>
    </w:p>
    <w:p w:rsidR="00F12153" w:rsidRPr="002C3B0F" w:rsidRDefault="00F12153">
      <w:pPr>
        <w:pStyle w:val="NumberL1"/>
      </w:pPr>
      <w:r w:rsidRPr="002C3B0F">
        <w:t xml:space="preserve">Noetic </w:t>
      </w:r>
      <w:r w:rsidR="00A958AB" w:rsidRPr="002C3B0F">
        <w:t xml:space="preserve">collected </w:t>
      </w:r>
      <w:r w:rsidRPr="002C3B0F">
        <w:t xml:space="preserve">quantitative data that </w:t>
      </w:r>
      <w:r w:rsidR="00A958AB" w:rsidRPr="002C3B0F">
        <w:t>provided</w:t>
      </w:r>
      <w:r w:rsidRPr="002C3B0F">
        <w:t xml:space="preserve"> both depth and breadth to the qualitative findings. Noetic </w:t>
      </w:r>
      <w:r w:rsidR="00A958AB" w:rsidRPr="002C3B0F">
        <w:t xml:space="preserve">collected </w:t>
      </w:r>
      <w:r w:rsidRPr="002C3B0F">
        <w:t xml:space="preserve">quantitative data </w:t>
      </w:r>
      <w:r w:rsidR="00A958AB" w:rsidRPr="002C3B0F">
        <w:t>through a</w:t>
      </w:r>
      <w:r w:rsidRPr="002C3B0F">
        <w:t xml:space="preserve"> range of sources. This include</w:t>
      </w:r>
      <w:r w:rsidR="00A958AB" w:rsidRPr="002C3B0F">
        <w:t>d:</w:t>
      </w:r>
    </w:p>
    <w:p w:rsidR="00F12153" w:rsidRPr="002C3B0F" w:rsidRDefault="00F12153" w:rsidP="00A36899">
      <w:pPr>
        <w:pStyle w:val="NumberL2"/>
        <w:tabs>
          <w:tab w:val="clear" w:pos="720"/>
          <w:tab w:val="num" w:pos="1134"/>
        </w:tabs>
        <w:ind w:left="1134" w:hanging="567"/>
      </w:pPr>
      <w:r w:rsidRPr="002C3B0F">
        <w:rPr>
          <w:b/>
        </w:rPr>
        <w:t xml:space="preserve">Online </w:t>
      </w:r>
      <w:r w:rsidR="001022A8" w:rsidRPr="002C3B0F">
        <w:rPr>
          <w:b/>
        </w:rPr>
        <w:t>s</w:t>
      </w:r>
      <w:r w:rsidRPr="002C3B0F">
        <w:rPr>
          <w:b/>
        </w:rPr>
        <w:t>urveys</w:t>
      </w:r>
      <w:r w:rsidRPr="00DD606D">
        <w:rPr>
          <w:b/>
        </w:rPr>
        <w:t>.</w:t>
      </w:r>
      <w:r w:rsidRPr="003F2AC2">
        <w:t xml:space="preserve"> Noetic </w:t>
      </w:r>
      <w:r w:rsidR="00A958AB" w:rsidRPr="003F2AC2">
        <w:t>conducted two surveys for this review, one for</w:t>
      </w:r>
      <w:r w:rsidRPr="003F2AC2">
        <w:t xml:space="preserve"> p</w:t>
      </w:r>
      <w:r w:rsidRPr="002C3B0F">
        <w:t>ublic-sector stakeholders</w:t>
      </w:r>
      <w:r w:rsidR="00A958AB" w:rsidRPr="002C3B0F">
        <w:t xml:space="preserve"> and another for private-sector stakeholders</w:t>
      </w:r>
      <w:r w:rsidRPr="002C3B0F">
        <w:t xml:space="preserve">. These surveys </w:t>
      </w:r>
      <w:r w:rsidR="00A958AB" w:rsidRPr="002C3B0F">
        <w:t>collected</w:t>
      </w:r>
      <w:r w:rsidR="008A0DEE" w:rsidRPr="002C3B0F">
        <w:t xml:space="preserve"> </w:t>
      </w:r>
      <w:r w:rsidRPr="002C3B0F">
        <w:t>information related to the Terms of Reference,</w:t>
      </w:r>
      <w:r w:rsidRPr="003F2AC2">
        <w:rPr>
          <w:rStyle w:val="FootnoteReference"/>
        </w:rPr>
        <w:footnoteReference w:id="3"/>
      </w:r>
      <w:r w:rsidRPr="003F2AC2">
        <w:t xml:space="preserve"> as well as </w:t>
      </w:r>
      <w:r w:rsidR="00A958AB" w:rsidRPr="003F2AC2">
        <w:t>provided</w:t>
      </w:r>
      <w:r w:rsidRPr="003F2AC2">
        <w:t xml:space="preserve"> an opportunity for stakeholders to comment on other issues that </w:t>
      </w:r>
      <w:r w:rsidR="00940D32" w:rsidRPr="002C3B0F">
        <w:t>were</w:t>
      </w:r>
      <w:r w:rsidRPr="002C3B0F">
        <w:t xml:space="preserve"> not immediately apparent. </w:t>
      </w:r>
    </w:p>
    <w:p w:rsidR="00F12153" w:rsidRPr="002C3B0F" w:rsidRDefault="00F12153" w:rsidP="00A36899">
      <w:pPr>
        <w:pStyle w:val="NumberL2"/>
        <w:tabs>
          <w:tab w:val="clear" w:pos="720"/>
          <w:tab w:val="num" w:pos="1134"/>
        </w:tabs>
        <w:ind w:left="1134" w:hanging="567"/>
      </w:pPr>
      <w:r w:rsidRPr="002C3B0F">
        <w:rPr>
          <w:b/>
        </w:rPr>
        <w:t xml:space="preserve">Telephone </w:t>
      </w:r>
      <w:r w:rsidR="009A59BE" w:rsidRPr="002C3B0F">
        <w:rPr>
          <w:b/>
        </w:rPr>
        <w:t>interviews</w:t>
      </w:r>
      <w:r w:rsidRPr="00DD606D">
        <w:rPr>
          <w:b/>
        </w:rPr>
        <w:t>.</w:t>
      </w:r>
      <w:r w:rsidRPr="003F2AC2">
        <w:t xml:space="preserve"> Noetic </w:t>
      </w:r>
      <w:r w:rsidR="00A958AB" w:rsidRPr="003F2AC2">
        <w:t>engaged</w:t>
      </w:r>
      <w:r w:rsidRPr="003F2AC2">
        <w:t xml:space="preserve"> with private sector stakeholders through a series of short </w:t>
      </w:r>
      <w:r w:rsidR="00A958AB" w:rsidRPr="002C3B0F">
        <w:t>tele</w:t>
      </w:r>
      <w:r w:rsidRPr="002C3B0F">
        <w:t xml:space="preserve">phone interviews. These interviews </w:t>
      </w:r>
      <w:r w:rsidR="00A958AB" w:rsidRPr="002C3B0F">
        <w:t>collected</w:t>
      </w:r>
      <w:r w:rsidRPr="002C3B0F">
        <w:t xml:space="preserve"> high-level information related to the Terms of Reference th</w:t>
      </w:r>
      <w:r w:rsidR="00A958AB" w:rsidRPr="002C3B0F">
        <w:t>rough set questions. They also</w:t>
      </w:r>
      <w:r w:rsidRPr="002C3B0F">
        <w:t xml:space="preserve"> </w:t>
      </w:r>
      <w:r w:rsidR="00A958AB" w:rsidRPr="002C3B0F">
        <w:t>provided an</w:t>
      </w:r>
      <w:r w:rsidRPr="002C3B0F">
        <w:t xml:space="preserve"> opportunity to explore comments or concerns a stakeholder may have, and flag these for future discussion or follow-up. </w:t>
      </w:r>
    </w:p>
    <w:p w:rsidR="00F12153" w:rsidRPr="002C3B0F" w:rsidRDefault="00F12153" w:rsidP="00A36899">
      <w:pPr>
        <w:pStyle w:val="NumberL2"/>
        <w:tabs>
          <w:tab w:val="clear" w:pos="720"/>
          <w:tab w:val="num" w:pos="1134"/>
        </w:tabs>
        <w:ind w:left="1134" w:hanging="567"/>
      </w:pPr>
      <w:r w:rsidRPr="002C3B0F">
        <w:rPr>
          <w:b/>
        </w:rPr>
        <w:t>Document review</w:t>
      </w:r>
      <w:r w:rsidRPr="00DD606D">
        <w:rPr>
          <w:b/>
        </w:rPr>
        <w:t>.</w:t>
      </w:r>
      <w:r w:rsidRPr="003F2AC2">
        <w:t xml:space="preserve"> Noetic </w:t>
      </w:r>
      <w:r w:rsidR="002A6990" w:rsidRPr="003F2AC2">
        <w:t>reviewed</w:t>
      </w:r>
      <w:r w:rsidRPr="003F2AC2">
        <w:t xml:space="preserve"> a range of relevant documents to find evidence to support findings or re</w:t>
      </w:r>
      <w:r w:rsidR="002A6990" w:rsidRPr="002C3B0F">
        <w:t xml:space="preserve">commendations. These documents </w:t>
      </w:r>
      <w:r w:rsidRPr="002C3B0F">
        <w:t xml:space="preserve">include statistics (such as metrics around granting, suspending or renewing titles), policies, workflows (to see how </w:t>
      </w:r>
      <w:r w:rsidR="00940D32" w:rsidRPr="002C3B0F">
        <w:t xml:space="preserve">the </w:t>
      </w:r>
      <w:r w:rsidRPr="002C3B0F">
        <w:t xml:space="preserve">functions of NOPTA are carried out), and standard operating procedures. </w:t>
      </w:r>
    </w:p>
    <w:p w:rsidR="00AE0653" w:rsidRPr="002C3B0F" w:rsidRDefault="00AE0653" w:rsidP="00A36899">
      <w:pPr>
        <w:pStyle w:val="NumberL2"/>
        <w:tabs>
          <w:tab w:val="clear" w:pos="720"/>
          <w:tab w:val="num" w:pos="1134"/>
        </w:tabs>
        <w:ind w:left="1134" w:hanging="567"/>
      </w:pPr>
      <w:r w:rsidRPr="002C3B0F">
        <w:rPr>
          <w:b/>
        </w:rPr>
        <w:t>Complementary Data Sources</w:t>
      </w:r>
      <w:r w:rsidRPr="00DD606D">
        <w:rPr>
          <w:b/>
        </w:rPr>
        <w:t>.</w:t>
      </w:r>
      <w:r w:rsidRPr="003F2AC2">
        <w:t xml:space="preserve"> Noetic also reviewed data from a separate stakeholder survey completed by KPMG. This survey was conducted for NOPTA to assess stakeholders</w:t>
      </w:r>
      <w:r w:rsidR="003A7542" w:rsidRPr="002C3B0F">
        <w:t>’</w:t>
      </w:r>
      <w:r w:rsidRPr="002C3B0F">
        <w:t xml:space="preserve"> views</w:t>
      </w:r>
      <w:r w:rsidR="008C3BA3" w:rsidRPr="002C3B0F">
        <w:t xml:space="preserve"> </w:t>
      </w:r>
      <w:r w:rsidRPr="002C3B0F">
        <w:t xml:space="preserve">on engagement and interaction with upstream petroleum and greenhouse gas storage stakeholders. </w:t>
      </w:r>
    </w:p>
    <w:p w:rsidR="00F12153" w:rsidRPr="007B3EEC" w:rsidRDefault="00893F36" w:rsidP="00A33CEB">
      <w:pPr>
        <w:pStyle w:val="Heading30"/>
      </w:pPr>
      <w:bookmarkStart w:id="51" w:name="_Toc423426771"/>
      <w:bookmarkStart w:id="52" w:name="_Toc430102185"/>
      <w:r w:rsidRPr="007B3EEC">
        <w:t>Stakeholder</w:t>
      </w:r>
      <w:r w:rsidR="00F12153" w:rsidRPr="007B3EEC">
        <w:t xml:space="preserve"> Engagement Strategy</w:t>
      </w:r>
      <w:bookmarkEnd w:id="51"/>
      <w:bookmarkEnd w:id="52"/>
      <w:r w:rsidR="00F12153" w:rsidRPr="007B3EEC">
        <w:t xml:space="preserve"> </w:t>
      </w:r>
    </w:p>
    <w:p w:rsidR="00F22906" w:rsidRPr="002C3B0F" w:rsidRDefault="00F12153">
      <w:pPr>
        <w:pStyle w:val="NumberL1"/>
      </w:pPr>
      <w:r w:rsidRPr="002C3B0F">
        <w:t xml:space="preserve">Noetic </w:t>
      </w:r>
      <w:r w:rsidR="005D2F77" w:rsidRPr="002C3B0F">
        <w:t>identified</w:t>
      </w:r>
      <w:r w:rsidRPr="002C3B0F">
        <w:t xml:space="preserve"> stakeholder interviews </w:t>
      </w:r>
      <w:r w:rsidR="005D2F77" w:rsidRPr="002C3B0F">
        <w:t>as the</w:t>
      </w:r>
      <w:r w:rsidRPr="002C3B0F">
        <w:t xml:space="preserve"> most powerful tool for collecting qualitative data. Consequently, the Noetic Team ensure</w:t>
      </w:r>
      <w:r w:rsidR="002A6990" w:rsidRPr="002C3B0F">
        <w:t>d</w:t>
      </w:r>
      <w:r w:rsidRPr="002C3B0F">
        <w:t xml:space="preserve"> that all stakeholder interviews</w:t>
      </w:r>
      <w:r w:rsidR="00F22906" w:rsidRPr="002C3B0F">
        <w:t>:</w:t>
      </w:r>
    </w:p>
    <w:p w:rsidR="00F22906" w:rsidRPr="002C3B0F" w:rsidRDefault="005054C7" w:rsidP="00A36899">
      <w:pPr>
        <w:pStyle w:val="NumberL2"/>
        <w:tabs>
          <w:tab w:val="clear" w:pos="720"/>
          <w:tab w:val="num" w:pos="1134"/>
        </w:tabs>
        <w:ind w:left="1134" w:hanging="567"/>
      </w:pPr>
      <w:r>
        <w:lastRenderedPageBreak/>
        <w:t>H</w:t>
      </w:r>
      <w:r w:rsidR="00F22906" w:rsidRPr="002C3B0F">
        <w:t xml:space="preserve">ad prior engagement to brief interviewees </w:t>
      </w:r>
      <w:r w:rsidR="00F12BD0" w:rsidRPr="002C3B0F">
        <w:t xml:space="preserve">on </w:t>
      </w:r>
      <w:r w:rsidR="00F22906" w:rsidRPr="002C3B0F">
        <w:t>the aims of the review and their part in it</w:t>
      </w:r>
    </w:p>
    <w:p w:rsidR="00F22906" w:rsidRPr="002C3B0F" w:rsidRDefault="005054C7" w:rsidP="00A36899">
      <w:pPr>
        <w:pStyle w:val="NumberL2"/>
        <w:tabs>
          <w:tab w:val="clear" w:pos="720"/>
          <w:tab w:val="num" w:pos="1134"/>
        </w:tabs>
        <w:ind w:left="1134" w:hanging="567"/>
      </w:pPr>
      <w:r>
        <w:t>W</w:t>
      </w:r>
      <w:r w:rsidR="00F22906" w:rsidRPr="002C3B0F">
        <w:t xml:space="preserve">ere </w:t>
      </w:r>
      <w:r w:rsidR="00940D32" w:rsidRPr="002C3B0F">
        <w:t>long enough</w:t>
      </w:r>
      <w:r w:rsidR="00F22906" w:rsidRPr="002C3B0F">
        <w:t xml:space="preserve"> to ensure that all relevant subject matter is covered</w:t>
      </w:r>
    </w:p>
    <w:p w:rsidR="00F22906" w:rsidRPr="002C3B0F" w:rsidRDefault="005054C7" w:rsidP="00A36899">
      <w:pPr>
        <w:pStyle w:val="NumberL2"/>
        <w:tabs>
          <w:tab w:val="clear" w:pos="720"/>
          <w:tab w:val="num" w:pos="1134"/>
        </w:tabs>
        <w:ind w:left="1134" w:hanging="567"/>
      </w:pPr>
      <w:r>
        <w:t>W</w:t>
      </w:r>
      <w:r w:rsidR="00F22906" w:rsidRPr="002C3B0F">
        <w:t xml:space="preserve">ere </w:t>
      </w:r>
      <w:r w:rsidR="00940D32" w:rsidRPr="002C3B0F">
        <w:t>sequenced</w:t>
      </w:r>
      <w:r w:rsidR="00F22906" w:rsidRPr="002C3B0F">
        <w:t xml:space="preserve"> to enable a debrief between each interview</w:t>
      </w:r>
    </w:p>
    <w:p w:rsidR="00F22906" w:rsidRPr="002C3B0F" w:rsidRDefault="005054C7" w:rsidP="00A36899">
      <w:pPr>
        <w:pStyle w:val="NumberL2"/>
        <w:tabs>
          <w:tab w:val="clear" w:pos="720"/>
          <w:tab w:val="num" w:pos="1134"/>
        </w:tabs>
        <w:ind w:left="1134" w:hanging="567"/>
      </w:pPr>
      <w:r>
        <w:t>W</w:t>
      </w:r>
      <w:r w:rsidR="00F22906" w:rsidRPr="002C3B0F">
        <w:t xml:space="preserve">ere </w:t>
      </w:r>
      <w:r w:rsidR="00940D32" w:rsidRPr="002C3B0F">
        <w:t xml:space="preserve">constrained </w:t>
      </w:r>
      <w:r w:rsidR="00F22906" w:rsidRPr="002C3B0F">
        <w:t>to relevant issues to ensure the interview stay</w:t>
      </w:r>
      <w:r w:rsidR="00650F77" w:rsidRPr="002C3B0F">
        <w:t>ed</w:t>
      </w:r>
      <w:r w:rsidR="00F22906" w:rsidRPr="002C3B0F">
        <w:t xml:space="preserve"> focused</w:t>
      </w:r>
    </w:p>
    <w:p w:rsidR="00F22906" w:rsidRPr="002C3B0F" w:rsidRDefault="005054C7" w:rsidP="00A36899">
      <w:pPr>
        <w:pStyle w:val="NumberL2"/>
        <w:tabs>
          <w:tab w:val="clear" w:pos="720"/>
          <w:tab w:val="num" w:pos="1134"/>
        </w:tabs>
        <w:ind w:left="1134" w:hanging="567"/>
      </w:pPr>
      <w:r>
        <w:t>I</w:t>
      </w:r>
      <w:r w:rsidR="00F22906" w:rsidRPr="002C3B0F">
        <w:t>ncluded a follow up contact with interviewees to confirm what was discussed and provide an opportunity for further comment</w:t>
      </w:r>
    </w:p>
    <w:p w:rsidR="00F22906" w:rsidRPr="002C3B0F" w:rsidRDefault="005054C7" w:rsidP="00A36899">
      <w:pPr>
        <w:pStyle w:val="NumberL2"/>
        <w:tabs>
          <w:tab w:val="clear" w:pos="720"/>
          <w:tab w:val="num" w:pos="1134"/>
        </w:tabs>
        <w:ind w:left="1134" w:hanging="567"/>
      </w:pPr>
      <w:r>
        <w:t>W</w:t>
      </w:r>
      <w:r w:rsidR="00F22906" w:rsidRPr="002C3B0F">
        <w:t>ere designed to leverage information and explore themes raised in previous interviews in a manner that ensured confidentiality.</w:t>
      </w:r>
    </w:p>
    <w:p w:rsidR="00F22906" w:rsidRPr="007B3EEC" w:rsidRDefault="00F22906" w:rsidP="00A33CEB">
      <w:pPr>
        <w:pStyle w:val="Heading40"/>
      </w:pPr>
      <w:bookmarkStart w:id="53" w:name="_Toc423426772"/>
      <w:bookmarkStart w:id="54" w:name="_Toc430102186"/>
      <w:r w:rsidRPr="007B3EEC">
        <w:t>Participatory Research</w:t>
      </w:r>
      <w:bookmarkEnd w:id="53"/>
      <w:bookmarkEnd w:id="54"/>
    </w:p>
    <w:p w:rsidR="00F22906" w:rsidRPr="002C3B0F" w:rsidRDefault="00F22906">
      <w:pPr>
        <w:pStyle w:val="NumberL1"/>
      </w:pPr>
      <w:r w:rsidRPr="002C3B0F">
        <w:t xml:space="preserve">The Noetic Team adopted a Participatory Action Research (PAR) approach to stakeholder engagement throughout the conduct of the review. This approach focused on building rapport with stakeholders and avoiding a situation where interviewees </w:t>
      </w:r>
      <w:r w:rsidR="00940D32" w:rsidRPr="002C3B0F">
        <w:t xml:space="preserve">might </w:t>
      </w:r>
      <w:r w:rsidRPr="002C3B0F">
        <w:t xml:space="preserve">feel </w:t>
      </w:r>
      <w:r w:rsidR="00940D32" w:rsidRPr="002C3B0F">
        <w:t xml:space="preserve">that </w:t>
      </w:r>
      <w:r w:rsidRPr="002C3B0F">
        <w:t>the review team was imposing. This approach is utilised to develop a relationship between review team and participants, allowing for the stakeholder to feel as though they have ‘buy-in’ to the review process.</w:t>
      </w:r>
    </w:p>
    <w:p w:rsidR="00F22906" w:rsidRPr="002C3B0F" w:rsidRDefault="00F22906">
      <w:pPr>
        <w:pStyle w:val="NumberL1"/>
      </w:pPr>
      <w:r w:rsidRPr="002C3B0F">
        <w:t>Practically, PAR is a collaborative approach to research which focuses on enabling key stakeholders to identify problems that they see as important. It allows for research to be undertaken alongside participants rather than conducting research about them.</w:t>
      </w:r>
    </w:p>
    <w:p w:rsidR="00A757A8" w:rsidRPr="00461A31" w:rsidRDefault="00940D32" w:rsidP="00461A31">
      <w:pPr>
        <w:pStyle w:val="Heading10"/>
        <w:rPr>
          <w:caps w:val="0"/>
        </w:rPr>
      </w:pPr>
      <w:bookmarkStart w:id="55" w:name="_Toc423426773"/>
      <w:bookmarkStart w:id="56" w:name="_Toc430102187"/>
      <w:r w:rsidRPr="00461A31">
        <w:rPr>
          <w:caps w:val="0"/>
        </w:rPr>
        <w:t>Review Context</w:t>
      </w:r>
      <w:bookmarkEnd w:id="55"/>
      <w:bookmarkEnd w:id="56"/>
    </w:p>
    <w:p w:rsidR="00A757A8" w:rsidRPr="002C3B0F" w:rsidRDefault="00C13502">
      <w:pPr>
        <w:pStyle w:val="NumberL1"/>
      </w:pPr>
      <w:r w:rsidRPr="002C3B0F">
        <w:t>As this is the first</w:t>
      </w:r>
      <w:r w:rsidR="001F195B" w:rsidRPr="002C3B0F">
        <w:t xml:space="preserve"> </w:t>
      </w:r>
      <w:r w:rsidRPr="002C3B0F">
        <w:t>r</w:t>
      </w:r>
      <w:r w:rsidR="001F195B" w:rsidRPr="002C3B0F">
        <w:t xml:space="preserve">eview </w:t>
      </w:r>
      <w:r w:rsidRPr="002C3B0F">
        <w:t>of NOPTA since it was established, it must consider a range of factors surrounding the circumstances of the Government’s decision to establish</w:t>
      </w:r>
      <w:r w:rsidR="006A2741" w:rsidRPr="002C3B0F">
        <w:t xml:space="preserve"> NOPTA</w:t>
      </w:r>
      <w:r w:rsidRPr="002C3B0F">
        <w:t>. These include consideration of NOPTA’s placement (within the Department) and structure, the Productivity Commission report and Montara Commission of Inquiry, the broader offshore petroleum sector, and the legislative requirements/functions of NOPTA.</w:t>
      </w:r>
    </w:p>
    <w:p w:rsidR="00A757A8" w:rsidRPr="002C3B0F" w:rsidRDefault="001F195B" w:rsidP="00A33CEB">
      <w:pPr>
        <w:pStyle w:val="Heading20"/>
      </w:pPr>
      <w:bookmarkStart w:id="57" w:name="_Toc422740236"/>
      <w:bookmarkStart w:id="58" w:name="_Toc423426774"/>
      <w:bookmarkStart w:id="59" w:name="_Toc430102188"/>
      <w:r w:rsidRPr="002C3B0F">
        <w:t>NOPTA’s Placement and Structure</w:t>
      </w:r>
      <w:bookmarkEnd w:id="57"/>
      <w:bookmarkEnd w:id="58"/>
      <w:bookmarkEnd w:id="59"/>
    </w:p>
    <w:p w:rsidR="00182CC5" w:rsidRPr="002C3B0F" w:rsidRDefault="0063593C" w:rsidP="00FD2ACB">
      <w:pPr>
        <w:pStyle w:val="NumberL1"/>
      </w:pPr>
      <w:r w:rsidRPr="002C3B0F">
        <w:t>NOPTA operates within the Department</w:t>
      </w:r>
      <w:r w:rsidR="009A59BE" w:rsidRPr="002C3B0F">
        <w:t xml:space="preserve"> of Industry and Science</w:t>
      </w:r>
      <w:r w:rsidR="005D2F77" w:rsidRPr="002C3B0F">
        <w:t>,</w:t>
      </w:r>
      <w:r w:rsidRPr="002C3B0F">
        <w:t xml:space="preserve"> </w:t>
      </w:r>
      <w:r w:rsidR="005D2F77" w:rsidRPr="002C3B0F">
        <w:t>and forms</w:t>
      </w:r>
      <w:r w:rsidRPr="002C3B0F">
        <w:t xml:space="preserve"> a Branch within the Resources Division. </w:t>
      </w:r>
      <w:r w:rsidR="009A59BE" w:rsidRPr="002C3B0F">
        <w:t>T</w:t>
      </w:r>
      <w:r w:rsidR="008A0DEE" w:rsidRPr="002C3B0F">
        <w:t xml:space="preserve">he </w:t>
      </w:r>
      <w:r w:rsidR="006A2741" w:rsidRPr="002C3B0F">
        <w:t>Titles</w:t>
      </w:r>
      <w:r w:rsidR="008A0DEE" w:rsidRPr="002C3B0F">
        <w:t xml:space="preserve"> Administrator is </w:t>
      </w:r>
      <w:r w:rsidRPr="002C3B0F">
        <w:t>a statutory position</w:t>
      </w:r>
      <w:r w:rsidR="007A32C1" w:rsidRPr="002C3B0F">
        <w:t xml:space="preserve"> (see below)</w:t>
      </w:r>
      <w:r w:rsidRPr="002C3B0F">
        <w:t>,</w:t>
      </w:r>
      <w:r w:rsidR="008C3BA3" w:rsidRPr="002C3B0F">
        <w:t xml:space="preserve"> </w:t>
      </w:r>
      <w:r w:rsidR="009A59BE" w:rsidRPr="002C3B0F">
        <w:t>however</w:t>
      </w:r>
      <w:r w:rsidRPr="002C3B0F">
        <w:t xml:space="preserve"> the organisation is not a statutory agency. NOPTA’s structure</w:t>
      </w:r>
      <w:r w:rsidR="003F4A49" w:rsidRPr="002C3B0F">
        <w:t xml:space="preserve"> (see Figure 1)</w:t>
      </w:r>
      <w:r w:rsidRPr="002C3B0F">
        <w:t xml:space="preserve"> includes the </w:t>
      </w:r>
      <w:r w:rsidR="006A2741" w:rsidRPr="002C3B0F">
        <w:t>Titles</w:t>
      </w:r>
      <w:r w:rsidRPr="002C3B0F">
        <w:t xml:space="preserve"> Administrator, who </w:t>
      </w:r>
      <w:r w:rsidR="007A32C1" w:rsidRPr="002C3B0F">
        <w:t>also assumes the title and functions of</w:t>
      </w:r>
      <w:r w:rsidRPr="002C3B0F">
        <w:t xml:space="preserve"> General Manager, the Deputy General Manager (who often assumes the Acting </w:t>
      </w:r>
      <w:r w:rsidR="006A2741" w:rsidRPr="002C3B0F">
        <w:t xml:space="preserve">Titles </w:t>
      </w:r>
      <w:r w:rsidRPr="002C3B0F">
        <w:t>Administrator position when the</w:t>
      </w:r>
      <w:r w:rsidR="006A2741" w:rsidRPr="002C3B0F">
        <w:t xml:space="preserve"> Titles</w:t>
      </w:r>
      <w:r w:rsidRPr="002C3B0F">
        <w:t xml:space="preserve"> Administrator is absent), and the Chief </w:t>
      </w:r>
      <w:r w:rsidRPr="002C3B0F">
        <w:lastRenderedPageBreak/>
        <w:t xml:space="preserve">Geoscientist. There are </w:t>
      </w:r>
      <w:r w:rsidR="009A59BE" w:rsidRPr="002C3B0F">
        <w:t xml:space="preserve">five </w:t>
      </w:r>
      <w:r w:rsidRPr="002C3B0F">
        <w:t>teams within the organisation, covering the range of functions NOPTA undertakes.</w:t>
      </w:r>
    </w:p>
    <w:p w:rsidR="00DD61E8" w:rsidRDefault="004B3916" w:rsidP="00DD61E8">
      <w:r w:rsidRPr="004B3916">
        <w:rPr>
          <w:noProof/>
          <w:lang w:eastAsia="en-AU"/>
        </w:rPr>
        <w:drawing>
          <wp:inline distT="0" distB="0" distL="0" distR="0" wp14:anchorId="78E38478" wp14:editId="4B5DF617">
            <wp:extent cx="5580380" cy="4332333"/>
            <wp:effectExtent l="0" t="0" r="1270" b="0"/>
            <wp:docPr id="1" name="Picture 1" descr="NOPTA Organisaitonal Structure" title="Fig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eter.murphy\AppData\Local\Microsoft\Windows\Temporary Internet Files\Content.Outlook\P8L03ICB\150630 NOPTA Org Chart D2 JFP.png"/>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5580380" cy="4332333"/>
                    </a:xfrm>
                    <a:prstGeom prst="rect">
                      <a:avLst/>
                    </a:prstGeom>
                    <a:noFill/>
                    <a:ln>
                      <a:noFill/>
                    </a:ln>
                  </pic:spPr>
                </pic:pic>
              </a:graphicData>
            </a:graphic>
          </wp:inline>
        </w:drawing>
      </w:r>
    </w:p>
    <w:p w:rsidR="003B21DB" w:rsidRPr="002C3B0F" w:rsidRDefault="009D0B97" w:rsidP="009D0B97">
      <w:pPr>
        <w:jc w:val="center"/>
        <w:rPr>
          <w:b/>
        </w:rPr>
      </w:pPr>
      <w:r w:rsidRPr="00B06DD6">
        <w:rPr>
          <w:rStyle w:val="FigCaptionChar"/>
        </w:rPr>
        <w:t>Figure 1</w:t>
      </w:r>
      <w:r w:rsidR="003F4A49" w:rsidRPr="00B06DD6">
        <w:rPr>
          <w:rStyle w:val="FigCaptionChar"/>
        </w:rPr>
        <w:t>:</w:t>
      </w:r>
      <w:r w:rsidRPr="00B06DD6">
        <w:rPr>
          <w:rStyle w:val="FigCaptionChar"/>
        </w:rPr>
        <w:t xml:space="preserve"> NOPTA Organisational Structure</w:t>
      </w:r>
      <w:r w:rsidRPr="002C3B0F">
        <w:rPr>
          <w:rStyle w:val="FootnoteReference"/>
          <w:b/>
        </w:rPr>
        <w:footnoteReference w:id="4"/>
      </w:r>
    </w:p>
    <w:p w:rsidR="00472F7F" w:rsidRPr="002C3B0F" w:rsidRDefault="00472F7F" w:rsidP="00472F7F">
      <w:pPr>
        <w:pStyle w:val="NumberL1"/>
      </w:pPr>
      <w:r w:rsidRPr="002C3B0F">
        <w:t>The Strategic Coordination &amp; Support Team functions include</w:t>
      </w:r>
      <w:r w:rsidRPr="003F2AC2">
        <w:rPr>
          <w:rStyle w:val="FootnoteReference"/>
        </w:rPr>
        <w:footnoteReference w:id="5"/>
      </w:r>
      <w:r w:rsidRPr="002C3B0F">
        <w:t xml:space="preserve">: </w:t>
      </w:r>
    </w:p>
    <w:p w:rsidR="00472F7F" w:rsidRPr="002C3B0F" w:rsidRDefault="00472F7F" w:rsidP="00472F7F">
      <w:pPr>
        <w:pStyle w:val="NumberL2"/>
        <w:tabs>
          <w:tab w:val="clear" w:pos="720"/>
          <w:tab w:val="num" w:pos="1134"/>
        </w:tabs>
        <w:ind w:left="1134" w:hanging="567"/>
      </w:pPr>
      <w:r w:rsidRPr="002C3B0F">
        <w:t>Financial management functions.</w:t>
      </w:r>
    </w:p>
    <w:p w:rsidR="00472F7F" w:rsidRPr="002C3B0F" w:rsidRDefault="00472F7F" w:rsidP="00472F7F">
      <w:pPr>
        <w:pStyle w:val="NumberL2"/>
        <w:tabs>
          <w:tab w:val="clear" w:pos="720"/>
          <w:tab w:val="num" w:pos="1134"/>
        </w:tabs>
        <w:ind w:left="1134" w:hanging="567"/>
      </w:pPr>
      <w:r w:rsidRPr="002C3B0F">
        <w:t>Coordination and liaison between the Department and NOPTA.</w:t>
      </w:r>
    </w:p>
    <w:p w:rsidR="00472F7F" w:rsidRPr="002C3B0F" w:rsidRDefault="00472F7F" w:rsidP="00472F7F">
      <w:pPr>
        <w:pStyle w:val="NumberL2"/>
        <w:tabs>
          <w:tab w:val="clear" w:pos="720"/>
          <w:tab w:val="num" w:pos="1134"/>
        </w:tabs>
        <w:ind w:left="1134" w:hanging="567"/>
      </w:pPr>
      <w:r w:rsidRPr="002C3B0F">
        <w:t xml:space="preserve">Management of operational functions including property and human resources. </w:t>
      </w:r>
    </w:p>
    <w:p w:rsidR="00182CC5" w:rsidRPr="003F2AC2" w:rsidRDefault="00182CC5" w:rsidP="00A33CEB">
      <w:pPr>
        <w:pStyle w:val="NumberL1"/>
        <w:keepNext/>
      </w:pPr>
      <w:r w:rsidRPr="002C3B0F">
        <w:lastRenderedPageBreak/>
        <w:t>The Titles Team functions include</w:t>
      </w:r>
      <w:r w:rsidRPr="003F2AC2">
        <w:t xml:space="preserve">: </w:t>
      </w:r>
    </w:p>
    <w:p w:rsidR="00182CC5" w:rsidRPr="002C3B0F" w:rsidRDefault="00182CC5" w:rsidP="00A33CEB">
      <w:pPr>
        <w:pStyle w:val="NumberL2"/>
        <w:keepNext/>
        <w:tabs>
          <w:tab w:val="clear" w:pos="720"/>
          <w:tab w:val="num" w:pos="1134"/>
        </w:tabs>
        <w:ind w:left="1134" w:hanging="567"/>
      </w:pPr>
      <w:r w:rsidRPr="003F2AC2">
        <w:t>Maintaining the publicly available titles register</w:t>
      </w:r>
      <w:r w:rsidR="009D790E" w:rsidRPr="002C3B0F">
        <w:t>,</w:t>
      </w:r>
      <w:r w:rsidRPr="002C3B0F">
        <w:t xml:space="preserve"> </w:t>
      </w:r>
      <w:r w:rsidR="009D790E" w:rsidRPr="002C3B0F">
        <w:t xml:space="preserve">the </w:t>
      </w:r>
      <w:r w:rsidR="009D790E" w:rsidRPr="00472F7F">
        <w:rPr>
          <w:szCs w:val="20"/>
        </w:rPr>
        <w:t>National Electronic Approvals Tracking System</w:t>
      </w:r>
      <w:r w:rsidRPr="002C3B0F">
        <w:t xml:space="preserve"> (NEATS)</w:t>
      </w:r>
      <w:r w:rsidR="00667C33" w:rsidRPr="002C3B0F">
        <w:t>.</w:t>
      </w:r>
    </w:p>
    <w:p w:rsidR="00182CC5" w:rsidRPr="002C3B0F" w:rsidRDefault="00182CC5" w:rsidP="00A36899">
      <w:pPr>
        <w:pStyle w:val="NumberL2"/>
        <w:tabs>
          <w:tab w:val="clear" w:pos="720"/>
          <w:tab w:val="num" w:pos="1134"/>
        </w:tabs>
        <w:ind w:left="1134" w:hanging="567"/>
      </w:pPr>
      <w:r w:rsidRPr="002C3B0F">
        <w:t>Provid</w:t>
      </w:r>
      <w:r w:rsidR="003F4A49" w:rsidRPr="002C3B0F">
        <w:t>ing</w:t>
      </w:r>
      <w:r w:rsidRPr="002C3B0F">
        <w:t xml:space="preserve"> information and data to other teams within NOPTA to assist providing advice to the Joint Authorit</w:t>
      </w:r>
      <w:r w:rsidR="00771FAA">
        <w:t>y and the Titles Administrator.</w:t>
      </w:r>
    </w:p>
    <w:p w:rsidR="00182CC5" w:rsidRPr="002C3B0F" w:rsidRDefault="00667C33" w:rsidP="00A36899">
      <w:pPr>
        <w:pStyle w:val="NumberL2"/>
        <w:tabs>
          <w:tab w:val="clear" w:pos="720"/>
          <w:tab w:val="num" w:pos="1134"/>
        </w:tabs>
        <w:ind w:left="1134" w:hanging="567"/>
      </w:pPr>
      <w:r w:rsidRPr="002C3B0F">
        <w:t>Implementing and administering title decisio</w:t>
      </w:r>
      <w:r w:rsidR="00771FAA">
        <w:t>ns made by the Joint Authority.</w:t>
      </w:r>
    </w:p>
    <w:p w:rsidR="00667C33" w:rsidRPr="002C3B0F" w:rsidRDefault="00667C33" w:rsidP="00F61552">
      <w:pPr>
        <w:pStyle w:val="NumberL1"/>
      </w:pPr>
      <w:r w:rsidRPr="002C3B0F">
        <w:t>The Compliance &amp; Support Operati</w:t>
      </w:r>
      <w:r w:rsidR="00771FAA">
        <w:t>ons Team functions include:</w:t>
      </w:r>
    </w:p>
    <w:p w:rsidR="00667C33" w:rsidRPr="002C3B0F" w:rsidRDefault="00667C33" w:rsidP="00A36899">
      <w:pPr>
        <w:pStyle w:val="NumberL2"/>
        <w:tabs>
          <w:tab w:val="clear" w:pos="720"/>
          <w:tab w:val="num" w:pos="1134"/>
        </w:tabs>
        <w:ind w:left="1134" w:hanging="567"/>
      </w:pPr>
      <w:r w:rsidRPr="002C3B0F">
        <w:t>Monitor</w:t>
      </w:r>
      <w:r w:rsidR="003F4A49" w:rsidRPr="002C3B0F">
        <w:t>ing</w:t>
      </w:r>
      <w:r w:rsidRPr="002C3B0F">
        <w:t xml:space="preserve"> </w:t>
      </w:r>
      <w:r w:rsidR="00893F36" w:rsidRPr="002C3B0F">
        <w:t>titleholders’</w:t>
      </w:r>
      <w:r w:rsidRPr="002C3B0F">
        <w:t xml:space="preserve"> compliance regime</w:t>
      </w:r>
      <w:r w:rsidR="003F4A49" w:rsidRPr="002C3B0F">
        <w:t>s</w:t>
      </w:r>
      <w:r w:rsidRPr="002C3B0F">
        <w:t xml:space="preserve"> and identify</w:t>
      </w:r>
      <w:r w:rsidR="003F4A49" w:rsidRPr="002C3B0F">
        <w:t>ing</w:t>
      </w:r>
      <w:r w:rsidRPr="002C3B0F">
        <w:t xml:space="preserve"> and communicat</w:t>
      </w:r>
      <w:r w:rsidR="003F4A49" w:rsidRPr="002C3B0F">
        <w:t>ing</w:t>
      </w:r>
      <w:r w:rsidR="00771FAA">
        <w:t xml:space="preserve"> instances of non-compliance.</w:t>
      </w:r>
    </w:p>
    <w:p w:rsidR="00667C33" w:rsidRPr="002C3B0F" w:rsidRDefault="00667C33" w:rsidP="00A36899">
      <w:pPr>
        <w:pStyle w:val="NumberL2"/>
        <w:tabs>
          <w:tab w:val="clear" w:pos="720"/>
          <w:tab w:val="num" w:pos="1134"/>
        </w:tabs>
        <w:ind w:left="1134" w:hanging="567"/>
      </w:pPr>
      <w:r w:rsidRPr="002C3B0F">
        <w:t>Provid</w:t>
      </w:r>
      <w:r w:rsidR="003F4A49" w:rsidRPr="002C3B0F">
        <w:t>ing</w:t>
      </w:r>
      <w:r w:rsidRPr="002C3B0F">
        <w:t xml:space="preserve"> guidance and assistance to titleholders to assist them in fulfilling their obligations. </w:t>
      </w:r>
    </w:p>
    <w:p w:rsidR="00873A47" w:rsidRPr="002C3B0F" w:rsidRDefault="00873A47" w:rsidP="003F2AC2">
      <w:pPr>
        <w:pStyle w:val="NumberL1"/>
      </w:pPr>
      <w:r w:rsidRPr="002C3B0F">
        <w:t>The Information and Communication Tec</w:t>
      </w:r>
      <w:r w:rsidR="00771FAA">
        <w:t>hnology Team functions include:</w:t>
      </w:r>
    </w:p>
    <w:p w:rsidR="00873A47" w:rsidRPr="002C3B0F" w:rsidRDefault="00873A47" w:rsidP="00A36899">
      <w:pPr>
        <w:pStyle w:val="NumberL2"/>
        <w:tabs>
          <w:tab w:val="clear" w:pos="720"/>
          <w:tab w:val="num" w:pos="1134"/>
        </w:tabs>
        <w:ind w:left="1134" w:hanging="567"/>
      </w:pPr>
      <w:r w:rsidRPr="002C3B0F">
        <w:t xml:space="preserve">Facilitating the development and maintenance of NOPTA’s information business management tools such as NEATS. </w:t>
      </w:r>
    </w:p>
    <w:p w:rsidR="00472F7F" w:rsidRDefault="00472F7F">
      <w:pPr>
        <w:pStyle w:val="NumberL1"/>
      </w:pPr>
      <w:r>
        <w:t>The Data Management Team functions include:</w:t>
      </w:r>
    </w:p>
    <w:p w:rsidR="00F61552" w:rsidRPr="002C3B0F" w:rsidRDefault="00F61552" w:rsidP="00F61552">
      <w:pPr>
        <w:pStyle w:val="NumberL2"/>
        <w:tabs>
          <w:tab w:val="clear" w:pos="720"/>
          <w:tab w:val="num" w:pos="1134"/>
        </w:tabs>
        <w:ind w:left="1134" w:hanging="567"/>
      </w:pPr>
      <w:r w:rsidRPr="002C3B0F">
        <w:t>Maintaining the organisation’s data management capabilities.</w:t>
      </w:r>
    </w:p>
    <w:p w:rsidR="00F61552" w:rsidRPr="002C3B0F" w:rsidRDefault="00F61552" w:rsidP="00F61552">
      <w:pPr>
        <w:pStyle w:val="NumberL2"/>
        <w:tabs>
          <w:tab w:val="clear" w:pos="720"/>
          <w:tab w:val="num" w:pos="1134"/>
        </w:tabs>
        <w:ind w:left="1134" w:hanging="567"/>
      </w:pPr>
      <w:r w:rsidRPr="002C3B0F">
        <w:t>Evaluating and monitoring compliance of organisation’s data samples as required by legislation.</w:t>
      </w:r>
    </w:p>
    <w:p w:rsidR="00472F7F" w:rsidRPr="00472F7F" w:rsidRDefault="00F61552" w:rsidP="00F61552">
      <w:pPr>
        <w:pStyle w:val="NumberL2"/>
        <w:tabs>
          <w:tab w:val="clear" w:pos="720"/>
          <w:tab w:val="num" w:pos="1134"/>
        </w:tabs>
        <w:ind w:left="1134" w:hanging="567"/>
      </w:pPr>
      <w:r w:rsidRPr="002C3B0F">
        <w:t>Coordinating data management with support from organisations such as Geoscience Australia</w:t>
      </w:r>
      <w:r w:rsidR="00771FAA">
        <w:t>.</w:t>
      </w:r>
    </w:p>
    <w:p w:rsidR="00873A47" w:rsidRPr="002C3B0F" w:rsidRDefault="00873A47">
      <w:pPr>
        <w:pStyle w:val="NumberL1"/>
      </w:pPr>
      <w:r w:rsidRPr="002C3B0F">
        <w:t>The Geoscience Engi</w:t>
      </w:r>
      <w:r w:rsidR="00771FAA">
        <w:t>neering Team functions include:</w:t>
      </w:r>
    </w:p>
    <w:p w:rsidR="00873A47" w:rsidRPr="002C3B0F" w:rsidRDefault="00873A47" w:rsidP="00A36899">
      <w:pPr>
        <w:pStyle w:val="NumberL2"/>
        <w:tabs>
          <w:tab w:val="clear" w:pos="720"/>
          <w:tab w:val="num" w:pos="1134"/>
        </w:tabs>
        <w:ind w:left="1134" w:hanging="567"/>
      </w:pPr>
      <w:r w:rsidRPr="002C3B0F">
        <w:t>Providing geotechnical information and support for the assessment of title applications, assessment of field development plans and other support as required</w:t>
      </w:r>
      <w:r w:rsidR="00DA44A8" w:rsidRPr="002C3B0F">
        <w:t>.</w:t>
      </w:r>
    </w:p>
    <w:p w:rsidR="00873A47" w:rsidRPr="002C3B0F" w:rsidRDefault="00873A47" w:rsidP="00A36899">
      <w:pPr>
        <w:pStyle w:val="NumberL2"/>
        <w:tabs>
          <w:tab w:val="clear" w:pos="720"/>
          <w:tab w:val="num" w:pos="1134"/>
        </w:tabs>
        <w:ind w:left="1134" w:hanging="567"/>
      </w:pPr>
      <w:r w:rsidRPr="002C3B0F">
        <w:t>Providing geotechnical information and support on the assessment of acreage release bids</w:t>
      </w:r>
      <w:r w:rsidR="00DA44A8" w:rsidRPr="002C3B0F">
        <w:t>.</w:t>
      </w:r>
    </w:p>
    <w:p w:rsidR="00873A47" w:rsidRPr="002C3B0F" w:rsidRDefault="00DA44A8" w:rsidP="00A36899">
      <w:pPr>
        <w:pStyle w:val="NumberL2"/>
        <w:tabs>
          <w:tab w:val="clear" w:pos="720"/>
          <w:tab w:val="num" w:pos="1134"/>
        </w:tabs>
        <w:ind w:left="1134" w:hanging="567"/>
      </w:pPr>
      <w:r w:rsidRPr="002C3B0F">
        <w:t>Providing technical information on the status of Australia’s offshore oil and gas</w:t>
      </w:r>
      <w:r w:rsidR="00EC2CA9" w:rsidRPr="002C3B0F">
        <w:t xml:space="preserve"> </w:t>
      </w:r>
      <w:r w:rsidRPr="002C3B0F">
        <w:t>resources</w:t>
      </w:r>
      <w:r w:rsidR="00EC2CA9" w:rsidRPr="002C3B0F">
        <w:t>.</w:t>
      </w:r>
    </w:p>
    <w:p w:rsidR="00DA44A8" w:rsidRPr="002C3B0F" w:rsidRDefault="00DA44A8" w:rsidP="00A36899">
      <w:pPr>
        <w:pStyle w:val="NumberL2"/>
        <w:tabs>
          <w:tab w:val="clear" w:pos="720"/>
          <w:tab w:val="num" w:pos="1134"/>
        </w:tabs>
        <w:ind w:left="1134" w:hanging="567"/>
      </w:pPr>
      <w:r w:rsidRPr="002C3B0F">
        <w:t>Providing assistance in monitoring the geophysical activities of companies and ass</w:t>
      </w:r>
      <w:r w:rsidR="00771FAA">
        <w:t>essing the quality of the data.</w:t>
      </w:r>
    </w:p>
    <w:p w:rsidR="00DA44A8" w:rsidRPr="002C3B0F" w:rsidRDefault="00DA44A8" w:rsidP="00A36899">
      <w:pPr>
        <w:pStyle w:val="NumberL2"/>
        <w:tabs>
          <w:tab w:val="clear" w:pos="720"/>
          <w:tab w:val="num" w:pos="1134"/>
        </w:tabs>
        <w:ind w:left="1134" w:hanging="567"/>
      </w:pPr>
      <w:r w:rsidRPr="002C3B0F">
        <w:t xml:space="preserve">Providing an assessment on </w:t>
      </w:r>
      <w:r w:rsidR="003F4A49" w:rsidRPr="002C3B0F">
        <w:t xml:space="preserve">the </w:t>
      </w:r>
      <w:r w:rsidR="00771FAA">
        <w:t>resource rate of recoveries.</w:t>
      </w:r>
    </w:p>
    <w:p w:rsidR="0036100A" w:rsidRPr="002C3B0F" w:rsidRDefault="0036100A">
      <w:pPr>
        <w:pStyle w:val="NumberL1"/>
      </w:pPr>
      <w:r w:rsidRPr="002C3B0F">
        <w:t xml:space="preserve">These teams are headed by a </w:t>
      </w:r>
      <w:r w:rsidR="007A32C1" w:rsidRPr="002C3B0F">
        <w:t xml:space="preserve">team </w:t>
      </w:r>
      <w:r w:rsidRPr="002C3B0F">
        <w:t>Manager, with the Strategic Coordination &amp; Support Team also containing an ICT Manager</w:t>
      </w:r>
      <w:r w:rsidR="007A32C1" w:rsidRPr="002C3B0F">
        <w:t xml:space="preserve"> in addition to their team Manager</w:t>
      </w:r>
      <w:r w:rsidRPr="002C3B0F">
        <w:t>. Team members within each team are further separated into sections. For example, the Compliance &amp; Operations Support Team contains a Legal Compliance section (4 staff), Commercial &amp; Analytics section (4 staff), and Geo</w:t>
      </w:r>
      <w:r w:rsidR="003F4A49" w:rsidRPr="002C3B0F">
        <w:t>s</w:t>
      </w:r>
      <w:r w:rsidRPr="002C3B0F">
        <w:t>patial Systems section (2 staff).</w:t>
      </w:r>
    </w:p>
    <w:p w:rsidR="0036100A" w:rsidRPr="002C3B0F" w:rsidRDefault="0036100A">
      <w:pPr>
        <w:pStyle w:val="NumberL1"/>
      </w:pPr>
      <w:r w:rsidRPr="002C3B0F">
        <w:lastRenderedPageBreak/>
        <w:t>NOPTA maintains two office locations. The head office is in Perth (where it is located</w:t>
      </w:r>
      <w:r w:rsidR="008A0DEE" w:rsidRPr="002C3B0F">
        <w:t xml:space="preserve"> </w:t>
      </w:r>
      <w:r w:rsidR="00425161" w:rsidRPr="002C3B0F">
        <w:t xml:space="preserve">adjacent to </w:t>
      </w:r>
      <w:r w:rsidRPr="002C3B0F">
        <w:t>the NOPSEMA head office), with a second office located in Melbourne.</w:t>
      </w:r>
    </w:p>
    <w:p w:rsidR="001F195B" w:rsidRPr="002C3B0F" w:rsidRDefault="001F195B" w:rsidP="00A33CEB">
      <w:pPr>
        <w:pStyle w:val="Heading20"/>
      </w:pPr>
      <w:bookmarkStart w:id="60" w:name="_Toc422740237"/>
      <w:bookmarkStart w:id="61" w:name="_Toc423426775"/>
      <w:bookmarkStart w:id="62" w:name="_Toc430102189"/>
      <w:r w:rsidRPr="002C3B0F">
        <w:t>Productivity Commission Report</w:t>
      </w:r>
      <w:r w:rsidR="00F057D2" w:rsidRPr="002C3B0F">
        <w:t xml:space="preserve"> and Montara Commission of Inquiry and Government Response</w:t>
      </w:r>
      <w:bookmarkEnd w:id="60"/>
      <w:bookmarkEnd w:id="61"/>
      <w:bookmarkEnd w:id="62"/>
    </w:p>
    <w:p w:rsidR="002A6990" w:rsidRPr="002C3B0F" w:rsidRDefault="007A32C1">
      <w:pPr>
        <w:pStyle w:val="NumberL1"/>
      </w:pPr>
      <w:r w:rsidRPr="002C3B0F">
        <w:t xml:space="preserve">There has been an increased emphasis on </w:t>
      </w:r>
      <w:r w:rsidR="00171618" w:rsidRPr="002C3B0F">
        <w:t>reducing</w:t>
      </w:r>
      <w:r w:rsidR="00F1328B" w:rsidRPr="002C3B0F">
        <w:t xml:space="preserve"> the</w:t>
      </w:r>
      <w:r w:rsidR="00171618" w:rsidRPr="002C3B0F">
        <w:t xml:space="preserve"> regulatory burden </w:t>
      </w:r>
      <w:r w:rsidRPr="002C3B0F">
        <w:t xml:space="preserve">within the offshore petroleum and gas industry </w:t>
      </w:r>
      <w:r w:rsidR="00B22EE4" w:rsidRPr="002C3B0F">
        <w:t xml:space="preserve">by the </w:t>
      </w:r>
      <w:r w:rsidRPr="002C3B0F">
        <w:t xml:space="preserve">Commonwealth </w:t>
      </w:r>
      <w:r w:rsidR="001022A8" w:rsidRPr="002C3B0F">
        <w:t xml:space="preserve">Government </w:t>
      </w:r>
      <w:r w:rsidRPr="002C3B0F">
        <w:t xml:space="preserve">since the mid-2000s. </w:t>
      </w:r>
      <w:r w:rsidR="007066D4" w:rsidRPr="002C3B0F">
        <w:t>T</w:t>
      </w:r>
      <w:r w:rsidR="0070159D" w:rsidRPr="002C3B0F">
        <w:t xml:space="preserve">he creation of the </w:t>
      </w:r>
      <w:r w:rsidR="0070159D" w:rsidRPr="002B5310">
        <w:rPr>
          <w:i/>
        </w:rPr>
        <w:t>Taskforce on Regulatory Burdens on Business</w:t>
      </w:r>
      <w:r w:rsidR="0070159D" w:rsidRPr="002C3B0F">
        <w:t xml:space="preserve"> in 2005</w:t>
      </w:r>
      <w:r w:rsidR="00455873" w:rsidRPr="002C3B0F">
        <w:t xml:space="preserve"> </w:t>
      </w:r>
      <w:r w:rsidR="007066D4" w:rsidRPr="002C3B0F">
        <w:t>resulted in</w:t>
      </w:r>
      <w:r w:rsidR="0070159D" w:rsidRPr="002C3B0F">
        <w:t xml:space="preserve"> a focus on reducing the compliance burden on business from government regulation. Successive Australian Governments advocated and </w:t>
      </w:r>
      <w:r w:rsidR="007066D4" w:rsidRPr="002C3B0F">
        <w:t xml:space="preserve">implemented </w:t>
      </w:r>
      <w:r w:rsidR="0070159D" w:rsidRPr="002C3B0F">
        <w:t>reform initiatives that address excess, inconsistent and duplicative regulation</w:t>
      </w:r>
      <w:r w:rsidR="007066D4" w:rsidRPr="002C3B0F">
        <w:t xml:space="preserve">, with </w:t>
      </w:r>
      <w:r w:rsidR="0070159D" w:rsidRPr="002C3B0F">
        <w:t xml:space="preserve">Australia’s upstream petroleum and gas sector identified as an area </w:t>
      </w:r>
      <w:r w:rsidR="007066D4" w:rsidRPr="002C3B0F">
        <w:t xml:space="preserve">to </w:t>
      </w:r>
      <w:r w:rsidR="00330857" w:rsidRPr="002C3B0F">
        <w:t xml:space="preserve">benefit from these </w:t>
      </w:r>
      <w:r w:rsidR="0070159D" w:rsidRPr="002C3B0F">
        <w:t>reforms.</w:t>
      </w:r>
    </w:p>
    <w:p w:rsidR="0070159D" w:rsidRPr="002C3B0F" w:rsidRDefault="0070159D">
      <w:pPr>
        <w:pStyle w:val="NumberL1"/>
      </w:pPr>
      <w:r w:rsidRPr="002C3B0F">
        <w:t xml:space="preserve">Australia’s oil and gas reserves </w:t>
      </w:r>
      <w:r w:rsidR="00F32A95" w:rsidRPr="002C3B0F">
        <w:t>cross</w:t>
      </w:r>
      <w:r w:rsidRPr="002C3B0F">
        <w:t xml:space="preserve"> multiple jurisdictions, with</w:t>
      </w:r>
      <w:r w:rsidR="00F32A95" w:rsidRPr="002C3B0F">
        <w:t xml:space="preserve"> fields crossing onshore, co</w:t>
      </w:r>
      <w:r w:rsidR="00BF0720" w:rsidRPr="002C3B0F">
        <w:t>ast</w:t>
      </w:r>
      <w:r w:rsidR="00F32A95" w:rsidRPr="002C3B0F">
        <w:t>al water, and Commonwealth water boundaries</w:t>
      </w:r>
      <w:r w:rsidRPr="002C3B0F">
        <w:t xml:space="preserve">. </w:t>
      </w:r>
      <w:r w:rsidR="0068559E" w:rsidRPr="002C3B0F">
        <w:t>The reform process considered p</w:t>
      </w:r>
      <w:r w:rsidR="00EF6604" w:rsidRPr="002C3B0F">
        <w:t xml:space="preserve">revious regulations </w:t>
      </w:r>
      <w:r w:rsidR="0068559E" w:rsidRPr="002C3B0F">
        <w:t>to be</w:t>
      </w:r>
      <w:r w:rsidRPr="002C3B0F">
        <w:t xml:space="preserve"> unclear, inconsistent, conflicting and complex. </w:t>
      </w:r>
      <w:r w:rsidR="00F32A95" w:rsidRPr="002C3B0F">
        <w:t>This impacted</w:t>
      </w:r>
      <w:r w:rsidRPr="002C3B0F">
        <w:t xml:space="preserve"> Australia’s attractiveness as an investment destination</w:t>
      </w:r>
      <w:r w:rsidR="00F32A95" w:rsidRPr="002C3B0F">
        <w:t>,</w:t>
      </w:r>
      <w:r w:rsidRPr="002C3B0F">
        <w:t xml:space="preserve"> </w:t>
      </w:r>
      <w:r w:rsidR="00F32A95" w:rsidRPr="002C3B0F">
        <w:t>with continued investment in the sector potentially impacted</w:t>
      </w:r>
      <w:r w:rsidRPr="002C3B0F">
        <w:t xml:space="preserve"> if the regulations </w:t>
      </w:r>
      <w:r w:rsidR="003F4A49" w:rsidRPr="002C3B0F">
        <w:t>remained unchanged</w:t>
      </w:r>
      <w:r w:rsidRPr="002C3B0F">
        <w:t>.</w:t>
      </w:r>
    </w:p>
    <w:p w:rsidR="0070159D" w:rsidRPr="002C3B0F" w:rsidRDefault="0070159D">
      <w:pPr>
        <w:pStyle w:val="NumberL1"/>
      </w:pPr>
      <w:r w:rsidRPr="002C3B0F">
        <w:t xml:space="preserve">In 2008, the Council of Australian Governments (COAG) </w:t>
      </w:r>
      <w:r w:rsidR="00F32A95" w:rsidRPr="002C3B0F">
        <w:t>identified</w:t>
      </w:r>
      <w:r w:rsidRPr="002C3B0F">
        <w:t xml:space="preserve"> Australia’s upstream petroleum and gas sector </w:t>
      </w:r>
      <w:r w:rsidR="00F32A95" w:rsidRPr="002C3B0F">
        <w:t>as</w:t>
      </w:r>
      <w:r w:rsidRPr="002C3B0F">
        <w:t xml:space="preserve"> a focus area for reform. The Productivity Commission was tasked with reviewing Australia’s framework for regulating upstream petroleum activities and to consider any opportunities to streamline regulatory approvals, provide clear timeframes to industry and remove duplication across multiple jurisdictions. Key focus areas included:</w:t>
      </w:r>
    </w:p>
    <w:p w:rsidR="0070159D" w:rsidRPr="002C3B0F" w:rsidRDefault="0070159D" w:rsidP="00A36899">
      <w:pPr>
        <w:pStyle w:val="NumberL2"/>
        <w:tabs>
          <w:tab w:val="clear" w:pos="720"/>
          <w:tab w:val="num" w:pos="1134"/>
        </w:tabs>
        <w:ind w:left="1134" w:hanging="567"/>
      </w:pPr>
      <w:r w:rsidRPr="002C3B0F">
        <w:t>How multiple approvals and duplicate assessment</w:t>
      </w:r>
      <w:r w:rsidR="00771FAA">
        <w:t xml:space="preserve"> requirements can be minimised.</w:t>
      </w:r>
    </w:p>
    <w:p w:rsidR="0070159D" w:rsidRPr="002C3B0F" w:rsidRDefault="0070159D" w:rsidP="00A36899">
      <w:pPr>
        <w:pStyle w:val="NumberL2"/>
        <w:tabs>
          <w:tab w:val="clear" w:pos="720"/>
          <w:tab w:val="num" w:pos="1134"/>
        </w:tabs>
        <w:ind w:left="1134" w:hanging="567"/>
      </w:pPr>
      <w:r w:rsidRPr="002C3B0F">
        <w:t>How administration by multiple agencies can be minimised</w:t>
      </w:r>
      <w:r w:rsidR="00455873" w:rsidRPr="002C3B0F">
        <w:t>.</w:t>
      </w:r>
    </w:p>
    <w:p w:rsidR="0070159D" w:rsidRPr="002C3B0F" w:rsidRDefault="0070159D" w:rsidP="00A36899">
      <w:pPr>
        <w:pStyle w:val="NumberL2"/>
        <w:tabs>
          <w:tab w:val="clear" w:pos="720"/>
          <w:tab w:val="num" w:pos="1134"/>
        </w:tabs>
        <w:ind w:left="1134" w:hanging="567"/>
      </w:pPr>
      <w:r w:rsidRPr="002C3B0F">
        <w:t>How inconsistencies in legislative requirements and decision making can be minimised</w:t>
      </w:r>
      <w:r w:rsidR="00455873" w:rsidRPr="002C3B0F">
        <w:t>.</w:t>
      </w:r>
    </w:p>
    <w:p w:rsidR="0070159D" w:rsidRPr="002C3B0F" w:rsidRDefault="0070159D" w:rsidP="00A36899">
      <w:pPr>
        <w:pStyle w:val="NumberL2"/>
        <w:tabs>
          <w:tab w:val="clear" w:pos="720"/>
          <w:tab w:val="num" w:pos="1134"/>
        </w:tabs>
        <w:ind w:left="1134" w:hanging="567"/>
      </w:pPr>
      <w:r w:rsidRPr="002C3B0F">
        <w:t>Ensuring regulators are adequately resourced wit</w:t>
      </w:r>
      <w:r w:rsidR="00771FAA">
        <w:t>h appropriately skilled people.</w:t>
      </w:r>
    </w:p>
    <w:p w:rsidR="0070159D" w:rsidRPr="002C3B0F" w:rsidRDefault="0070159D" w:rsidP="00A36899">
      <w:pPr>
        <w:pStyle w:val="NumberL2"/>
        <w:tabs>
          <w:tab w:val="clear" w:pos="720"/>
          <w:tab w:val="num" w:pos="1134"/>
        </w:tabs>
        <w:ind w:left="1134" w:hanging="567"/>
      </w:pPr>
      <w:r w:rsidRPr="002C3B0F">
        <w:t>Consolidating specialist expertise, efficiently using scar</w:t>
      </w:r>
      <w:r w:rsidR="00EC2CA9" w:rsidRPr="002C3B0F">
        <w:t>c</w:t>
      </w:r>
      <w:r w:rsidRPr="002C3B0F">
        <w:t xml:space="preserve">e resources and enhancing the ability </w:t>
      </w:r>
      <w:r w:rsidR="00771FAA">
        <w:t>to retain specialist expertise.</w:t>
      </w:r>
    </w:p>
    <w:p w:rsidR="0070159D" w:rsidRPr="003F2AC2" w:rsidRDefault="0070159D">
      <w:pPr>
        <w:pStyle w:val="NumberL1"/>
      </w:pPr>
      <w:r w:rsidRPr="002C3B0F">
        <w:t>In 2009 the Productivity Commission completed its review and made its recommendations to the Government. The recommendations</w:t>
      </w:r>
      <w:r w:rsidR="00981E13" w:rsidRPr="002C3B0F">
        <w:t xml:space="preserve"> relevant to NOPTA’s operations are</w:t>
      </w:r>
      <w:r w:rsidR="00771FAA">
        <w:t>:</w:t>
      </w:r>
    </w:p>
    <w:p w:rsidR="0070159D" w:rsidRPr="002C3B0F" w:rsidRDefault="0070159D" w:rsidP="00A36899">
      <w:pPr>
        <w:pStyle w:val="NumberL2"/>
        <w:tabs>
          <w:tab w:val="clear" w:pos="720"/>
          <w:tab w:val="num" w:pos="1134"/>
        </w:tabs>
        <w:ind w:left="1134" w:hanging="567"/>
      </w:pPr>
      <w:r w:rsidRPr="002C3B0F">
        <w:t>The establishment of a national offshore petroleum regulator</w:t>
      </w:r>
      <w:r w:rsidR="005F0A0F" w:rsidRPr="002C3B0F">
        <w:t>.</w:t>
      </w:r>
    </w:p>
    <w:p w:rsidR="0070159D" w:rsidRPr="002C3B0F" w:rsidRDefault="0070159D" w:rsidP="00A36899">
      <w:pPr>
        <w:pStyle w:val="NumberL2"/>
        <w:tabs>
          <w:tab w:val="clear" w:pos="720"/>
          <w:tab w:val="num" w:pos="1134"/>
        </w:tabs>
        <w:ind w:left="1134" w:hanging="567"/>
      </w:pPr>
      <w:r w:rsidRPr="002C3B0F">
        <w:t>The separation of policy advice from regulato</w:t>
      </w:r>
      <w:r w:rsidR="00771FAA">
        <w:t>ry administration.</w:t>
      </w:r>
    </w:p>
    <w:p w:rsidR="0070159D" w:rsidRPr="002C3B0F" w:rsidRDefault="0070159D" w:rsidP="00A36899">
      <w:pPr>
        <w:pStyle w:val="NumberL2"/>
        <w:tabs>
          <w:tab w:val="clear" w:pos="720"/>
          <w:tab w:val="num" w:pos="1134"/>
        </w:tabs>
        <w:ind w:left="1134" w:hanging="567"/>
      </w:pPr>
      <w:r w:rsidRPr="002C3B0F">
        <w:lastRenderedPageBreak/>
        <w:t>Statutory timeframes on regulatory deliberations with clear guidance to assist industry in ensuring efficient processing and determ</w:t>
      </w:r>
      <w:r w:rsidR="00771FAA">
        <w:t>inations of regulatory matters.</w:t>
      </w:r>
    </w:p>
    <w:p w:rsidR="0070159D" w:rsidRPr="002C3B0F" w:rsidRDefault="0070159D" w:rsidP="00A36899">
      <w:pPr>
        <w:pStyle w:val="NumberL2"/>
        <w:tabs>
          <w:tab w:val="clear" w:pos="720"/>
          <w:tab w:val="num" w:pos="1134"/>
        </w:tabs>
        <w:ind w:left="1134" w:hanging="567"/>
      </w:pPr>
      <w:r w:rsidRPr="002C3B0F">
        <w:t>The implementation of a cost recovery model used to fund the administrative functions of the new national offshore petroleum regulator. This model would also be associated with the removal of the registration f</w:t>
      </w:r>
      <w:r w:rsidR="00771FAA">
        <w:t>ees for transfers and dealings.</w:t>
      </w:r>
    </w:p>
    <w:p w:rsidR="0070159D" w:rsidRPr="002C3B0F" w:rsidRDefault="0070159D" w:rsidP="00A36899">
      <w:pPr>
        <w:pStyle w:val="NumberL2"/>
        <w:tabs>
          <w:tab w:val="clear" w:pos="720"/>
          <w:tab w:val="num" w:pos="1134"/>
        </w:tabs>
        <w:ind w:left="1134" w:hanging="567"/>
      </w:pPr>
      <w:r w:rsidRPr="002C3B0F">
        <w:t>Movement from prescriptive regulation to objective based regulation</w:t>
      </w:r>
      <w:r w:rsidR="005F0A0F" w:rsidRPr="002C3B0F">
        <w:t>.</w:t>
      </w:r>
    </w:p>
    <w:p w:rsidR="0070159D" w:rsidRPr="002C3B0F" w:rsidRDefault="0070159D" w:rsidP="00A36899">
      <w:pPr>
        <w:pStyle w:val="NumberL2"/>
        <w:tabs>
          <w:tab w:val="clear" w:pos="720"/>
          <w:tab w:val="num" w:pos="1134"/>
        </w:tabs>
        <w:ind w:left="1134" w:hanging="567"/>
      </w:pPr>
      <w:r w:rsidRPr="002C3B0F">
        <w:t>The introduction of an electronic approvals tracking system</w:t>
      </w:r>
      <w:r w:rsidR="005F0A0F" w:rsidRPr="002C3B0F">
        <w:t>.</w:t>
      </w:r>
    </w:p>
    <w:p w:rsidR="0070159D" w:rsidRPr="002C3B0F" w:rsidRDefault="00AA750E">
      <w:pPr>
        <w:pStyle w:val="NumberL1"/>
      </w:pPr>
      <w:r w:rsidRPr="002C3B0F">
        <w:t xml:space="preserve">While the Commonwealth Government’s response to the Productivity Commission recommendations </w:t>
      </w:r>
      <w:r w:rsidR="0078646F" w:rsidRPr="002C3B0F">
        <w:t>was</w:t>
      </w:r>
      <w:r w:rsidRPr="002C3B0F">
        <w:t xml:space="preserve"> being developed (see below), t</w:t>
      </w:r>
      <w:r w:rsidR="0070159D" w:rsidRPr="002C3B0F">
        <w:t>he then</w:t>
      </w:r>
      <w:r w:rsidR="007A32C1" w:rsidRPr="002C3B0F">
        <w:t>-</w:t>
      </w:r>
      <w:r w:rsidR="0070159D" w:rsidRPr="002C3B0F">
        <w:t xml:space="preserve">Minister for Resources and Energy announced the government’s intention to establish a national regulator for offshore petroleum, minerals and greenhouse gas storage activities on 5 August 2009. </w:t>
      </w:r>
      <w:r w:rsidR="008623CE" w:rsidRPr="002C3B0F">
        <w:t xml:space="preserve">Three weeks </w:t>
      </w:r>
      <w:r w:rsidR="007A32C1" w:rsidRPr="002C3B0F">
        <w:t>after this announcement</w:t>
      </w:r>
      <w:r w:rsidR="008623CE" w:rsidRPr="002C3B0F">
        <w:t>, on 21 August 2009</w:t>
      </w:r>
      <w:r w:rsidR="0070159D" w:rsidRPr="002C3B0F">
        <w:t xml:space="preserve">, an uncontrolled </w:t>
      </w:r>
      <w:r w:rsidR="00990B79" w:rsidRPr="002C3B0F">
        <w:t>hydrocarbon</w:t>
      </w:r>
      <w:r w:rsidR="0070159D" w:rsidRPr="002C3B0F">
        <w:t xml:space="preserve"> release occurred at the Montara oil field, 690km west of Darwin. The nature of this incident</w:t>
      </w:r>
      <w:r w:rsidR="00990B79" w:rsidRPr="002C3B0F">
        <w:t>,</w:t>
      </w:r>
      <w:r w:rsidR="0070159D" w:rsidRPr="002C3B0F">
        <w:t xml:space="preserve"> and a similar incident in the Gulf of Mexico</w:t>
      </w:r>
      <w:r w:rsidR="007A32C1" w:rsidRPr="002C3B0F">
        <w:t xml:space="preserve"> in April 2010</w:t>
      </w:r>
      <w:r w:rsidR="00990B79" w:rsidRPr="002C3B0F">
        <w:t>,</w:t>
      </w:r>
      <w:r w:rsidR="0070159D" w:rsidRPr="002C3B0F">
        <w:t xml:space="preserve"> increased </w:t>
      </w:r>
      <w:r w:rsidR="00990B79" w:rsidRPr="002C3B0F">
        <w:t>scrutiny</w:t>
      </w:r>
      <w:r w:rsidR="0070159D" w:rsidRPr="002C3B0F">
        <w:t xml:space="preserve"> on Australia’s regulatory functions </w:t>
      </w:r>
      <w:r w:rsidR="00990B79" w:rsidRPr="002C3B0F">
        <w:t>within the</w:t>
      </w:r>
      <w:r w:rsidR="0070159D" w:rsidRPr="002C3B0F">
        <w:t xml:space="preserve"> sector. The Montara Commission of Inquiry was established to </w:t>
      </w:r>
      <w:r w:rsidR="00990B79" w:rsidRPr="002C3B0F">
        <w:t>report on the causes of the</w:t>
      </w:r>
      <w:r w:rsidR="0070159D" w:rsidRPr="002C3B0F">
        <w:t xml:space="preserve"> incident and what steps could be taken by the government and the industry to </w:t>
      </w:r>
      <w:r w:rsidR="00990B79" w:rsidRPr="002C3B0F">
        <w:t xml:space="preserve">prevent </w:t>
      </w:r>
      <w:r w:rsidR="007A32C1" w:rsidRPr="002C3B0F">
        <w:t>similar</w:t>
      </w:r>
      <w:r w:rsidR="0070159D" w:rsidRPr="002C3B0F">
        <w:t xml:space="preserve"> incident</w:t>
      </w:r>
      <w:r w:rsidR="00990B79" w:rsidRPr="002C3B0F">
        <w:t>s in the future</w:t>
      </w:r>
      <w:r w:rsidR="00455873" w:rsidRPr="002C3B0F">
        <w:t>.</w:t>
      </w:r>
    </w:p>
    <w:p w:rsidR="0070159D" w:rsidRPr="002C3B0F" w:rsidRDefault="0070159D">
      <w:pPr>
        <w:pStyle w:val="NumberL1"/>
      </w:pPr>
      <w:r w:rsidRPr="002C3B0F">
        <w:t xml:space="preserve">The findings of the Montara Commission of Inquiry further stressed the need for a single, independent regulatory body for upstream petroleum exploration and production. This enquiry advocated for an independent regulator </w:t>
      </w:r>
      <w:r w:rsidR="00990B79" w:rsidRPr="002C3B0F">
        <w:t>that</w:t>
      </w:r>
      <w:r w:rsidRPr="002C3B0F">
        <w:t xml:space="preserve"> would </w:t>
      </w:r>
      <w:r w:rsidR="00990B79" w:rsidRPr="002C3B0F">
        <w:t xml:space="preserve">not only </w:t>
      </w:r>
      <w:r w:rsidRPr="002C3B0F">
        <w:t xml:space="preserve">separate policy from regulation but be in a position to support government departments through the provision of information to assist them in their policy </w:t>
      </w:r>
      <w:r w:rsidR="00771FAA">
        <w:t>needs.</w:t>
      </w:r>
    </w:p>
    <w:p w:rsidR="0070159D" w:rsidRPr="002C3B0F" w:rsidRDefault="0070159D">
      <w:pPr>
        <w:pStyle w:val="NumberL1"/>
      </w:pPr>
      <w:r w:rsidRPr="002C3B0F">
        <w:t xml:space="preserve">The Australian Government’s response to the </w:t>
      </w:r>
      <w:r w:rsidR="00AA750E" w:rsidRPr="002C3B0F">
        <w:t>P</w:t>
      </w:r>
      <w:r w:rsidRPr="002C3B0F">
        <w:t xml:space="preserve">roductivity </w:t>
      </w:r>
      <w:r w:rsidR="00AA750E" w:rsidRPr="002C3B0F">
        <w:t>C</w:t>
      </w:r>
      <w:r w:rsidRPr="002C3B0F">
        <w:t>ommission</w:t>
      </w:r>
      <w:r w:rsidR="00AA750E" w:rsidRPr="002C3B0F">
        <w:t xml:space="preserve"> recommendations</w:t>
      </w:r>
      <w:r w:rsidRPr="002C3B0F">
        <w:t xml:space="preserve"> was published in May 2011. Among the responses</w:t>
      </w:r>
      <w:r w:rsidR="006A2741" w:rsidRPr="002C3B0F">
        <w:t>,</w:t>
      </w:r>
      <w:r w:rsidRPr="002C3B0F">
        <w:t xml:space="preserve"> the government signalled a revised petroleum regulatory reform model in which a Joint Authority model would be retained for key decisions.</w:t>
      </w:r>
      <w:r w:rsidR="009D790E" w:rsidRPr="002C3B0F">
        <w:t xml:space="preserve"> </w:t>
      </w:r>
      <w:r w:rsidRPr="002C3B0F">
        <w:t xml:space="preserve">NOPTA would be established </w:t>
      </w:r>
      <w:r w:rsidR="00AA750E" w:rsidRPr="002C3B0F">
        <w:t>in an advisory capacity</w:t>
      </w:r>
      <w:r w:rsidRPr="002C3B0F">
        <w:t xml:space="preserve"> to the Joint Authority</w:t>
      </w:r>
      <w:r w:rsidR="00AA750E" w:rsidRPr="002C3B0F">
        <w:t xml:space="preserve"> on</w:t>
      </w:r>
      <w:r w:rsidRPr="002C3B0F">
        <w:t xml:space="preserve"> resources titles</w:t>
      </w:r>
      <w:r w:rsidR="00AA750E" w:rsidRPr="002C3B0F">
        <w:t>,</w:t>
      </w:r>
      <w:r w:rsidRPr="002C3B0F">
        <w:t xml:space="preserve"> and </w:t>
      </w:r>
      <w:r w:rsidR="00AA750E" w:rsidRPr="002C3B0F">
        <w:t xml:space="preserve">was prescribed to </w:t>
      </w:r>
      <w:r w:rsidRPr="002C3B0F">
        <w:t xml:space="preserve">undertake functions such as keeping a register of titles and </w:t>
      </w:r>
      <w:r w:rsidR="004A3B13">
        <w:t>data collection</w:t>
      </w:r>
      <w:r w:rsidRPr="002C3B0F">
        <w:t>. Th</w:t>
      </w:r>
      <w:r w:rsidR="00AA750E" w:rsidRPr="002C3B0F">
        <w:t>e</w:t>
      </w:r>
      <w:r w:rsidRPr="002C3B0F">
        <w:t xml:space="preserve"> statutory position</w:t>
      </w:r>
      <w:r w:rsidR="00AA750E" w:rsidRPr="002C3B0F">
        <w:t xml:space="preserve"> of Titles Administrator</w:t>
      </w:r>
      <w:r w:rsidRPr="002C3B0F">
        <w:t xml:space="preserve"> was established on 1 January 2012 with</w:t>
      </w:r>
      <w:r w:rsidR="00AA750E" w:rsidRPr="002C3B0F">
        <w:t>in</w:t>
      </w:r>
      <w:r w:rsidRPr="002C3B0F">
        <w:t xml:space="preserve"> the </w:t>
      </w:r>
      <w:r w:rsidR="00A13BEE" w:rsidRPr="002C3B0F">
        <w:t>then</w:t>
      </w:r>
      <w:r w:rsidRPr="002C3B0F">
        <w:t xml:space="preserve"> Department of Resources</w:t>
      </w:r>
      <w:r w:rsidR="006A2741" w:rsidRPr="002C3B0F">
        <w:t>,</w:t>
      </w:r>
      <w:r w:rsidRPr="002C3B0F">
        <w:t xml:space="preserve"> </w:t>
      </w:r>
      <w:r w:rsidR="00381AF1" w:rsidRPr="002C3B0F">
        <w:t>Energy</w:t>
      </w:r>
      <w:r w:rsidR="00771FAA">
        <w:t xml:space="preserve"> and Tourism.</w:t>
      </w:r>
    </w:p>
    <w:p w:rsidR="001F195B" w:rsidRPr="002C3B0F" w:rsidRDefault="00F9514C" w:rsidP="00A33CEB">
      <w:pPr>
        <w:pStyle w:val="Heading20"/>
      </w:pPr>
      <w:bookmarkStart w:id="63" w:name="_Toc422740238"/>
      <w:bookmarkStart w:id="64" w:name="_Toc423426776"/>
      <w:bookmarkStart w:id="65" w:name="_Toc430102190"/>
      <w:r w:rsidRPr="002C3B0F">
        <w:t>Australia’s Offshore Petroleum Sector</w:t>
      </w:r>
      <w:bookmarkEnd w:id="63"/>
      <w:bookmarkEnd w:id="64"/>
      <w:bookmarkEnd w:id="65"/>
    </w:p>
    <w:p w:rsidR="001D4A23" w:rsidRPr="003F2AC2" w:rsidRDefault="001D4A23">
      <w:pPr>
        <w:pStyle w:val="NumberL1"/>
      </w:pPr>
      <w:r w:rsidRPr="002C3B0F">
        <w:t xml:space="preserve">Legislative </w:t>
      </w:r>
      <w:r w:rsidR="00AA750E" w:rsidRPr="002C3B0F">
        <w:t xml:space="preserve">oversight </w:t>
      </w:r>
      <w:r w:rsidRPr="002C3B0F">
        <w:t>for Australia’s offshore petroleum reserves varies</w:t>
      </w:r>
      <w:r w:rsidR="00AA750E" w:rsidRPr="002C3B0F">
        <w:t xml:space="preserve"> according to location</w:t>
      </w:r>
      <w:r w:rsidRPr="002C3B0F">
        <w:t xml:space="preserve">. Offshore </w:t>
      </w:r>
      <w:r w:rsidR="00AA750E" w:rsidRPr="002C3B0F">
        <w:t xml:space="preserve">reserves </w:t>
      </w:r>
      <w:r w:rsidR="00D63E7A" w:rsidRPr="002C3B0F">
        <w:t>landward of a line</w:t>
      </w:r>
      <w:r w:rsidRPr="002C3B0F">
        <w:t xml:space="preserve"> three nautical miles</w:t>
      </w:r>
      <w:r w:rsidR="00D63E7A" w:rsidRPr="002C3B0F">
        <w:t xml:space="preserve"> seaward</w:t>
      </w:r>
      <w:r w:rsidRPr="002C3B0F">
        <w:t xml:space="preserve"> of the territorial sea baseline are the responsibility of State and Territory governments. </w:t>
      </w:r>
      <w:r w:rsidR="009D2105" w:rsidRPr="002C3B0F">
        <w:t xml:space="preserve">This includes internal water areas such as bays and </w:t>
      </w:r>
      <w:r w:rsidR="009D2105" w:rsidRPr="002C3B0F">
        <w:lastRenderedPageBreak/>
        <w:t xml:space="preserve">gulfs, </w:t>
      </w:r>
      <w:r w:rsidR="00F12BD0" w:rsidRPr="002C3B0F">
        <w:t>for example—</w:t>
      </w:r>
      <w:r w:rsidR="009D2105" w:rsidRPr="002C3B0F">
        <w:t>Spencer Gulf in South Australia</w:t>
      </w:r>
      <w:r w:rsidR="00D63E7A" w:rsidRPr="002C3B0F">
        <w:t>.</w:t>
      </w:r>
      <w:r w:rsidR="00D63E7A" w:rsidRPr="003F2AC2">
        <w:rPr>
          <w:rStyle w:val="FootnoteReference"/>
        </w:rPr>
        <w:footnoteReference w:id="6"/>
      </w:r>
      <w:r w:rsidR="00D63E7A" w:rsidRPr="003F2AC2">
        <w:t xml:space="preserve"> The OPGGS Act defines this area of State and Territory jurisdiction as ‘designated coastal waters’.</w:t>
      </w:r>
      <w:r w:rsidR="00D63E7A" w:rsidRPr="003F2AC2">
        <w:rPr>
          <w:rStyle w:val="FootnoteReference"/>
        </w:rPr>
        <w:footnoteReference w:id="7"/>
      </w:r>
      <w:r w:rsidRPr="003F2AC2">
        <w:t xml:space="preserve"> Offshore areas </w:t>
      </w:r>
      <w:r w:rsidR="00D63E7A" w:rsidRPr="003F2AC2">
        <w:t xml:space="preserve">seaward of designated coastal waters (i.e. more than </w:t>
      </w:r>
      <w:r w:rsidRPr="002C3B0F">
        <w:t xml:space="preserve">three nautical </w:t>
      </w:r>
      <w:r w:rsidR="00D63E7A" w:rsidRPr="002C3B0F">
        <w:t xml:space="preserve">miles from the </w:t>
      </w:r>
      <w:r w:rsidRPr="002C3B0F">
        <w:t>territorial sea baseline</w:t>
      </w:r>
      <w:r w:rsidR="00D63E7A" w:rsidRPr="002C3B0F">
        <w:t>) but within</w:t>
      </w:r>
      <w:r w:rsidR="00AA750E" w:rsidRPr="002C3B0F">
        <w:t xml:space="preserve"> the </w:t>
      </w:r>
      <w:r w:rsidR="00D63E7A" w:rsidRPr="002C3B0F">
        <w:t>limits of Australia’s continental shelf</w:t>
      </w:r>
      <w:r w:rsidRPr="002C3B0F">
        <w:t xml:space="preserve"> are</w:t>
      </w:r>
      <w:r w:rsidR="00F12BD0" w:rsidRPr="002C3B0F">
        <w:t xml:space="preserve"> a Commonwealth</w:t>
      </w:r>
      <w:r w:rsidRPr="002C3B0F">
        <w:t xml:space="preserve"> responsibility.</w:t>
      </w:r>
      <w:r w:rsidR="00D63E7A" w:rsidRPr="002C3B0F">
        <w:t xml:space="preserve"> The OPGGS Act defines this area of Commonwealth jurisdiction as the ‘offshore area’.</w:t>
      </w:r>
      <w:r w:rsidR="00D63E7A" w:rsidRPr="002C3B0F">
        <w:rPr>
          <w:rStyle w:val="FootnoteReference"/>
        </w:rPr>
        <w:t xml:space="preserve"> </w:t>
      </w:r>
      <w:r w:rsidR="00D63E7A" w:rsidRPr="003F2AC2">
        <w:rPr>
          <w:rStyle w:val="FootnoteReference"/>
        </w:rPr>
        <w:footnoteReference w:id="8"/>
      </w:r>
    </w:p>
    <w:p w:rsidR="008313AB" w:rsidRPr="002C3B0F" w:rsidRDefault="001D4A23">
      <w:pPr>
        <w:pStyle w:val="NumberL1"/>
      </w:pPr>
      <w:r w:rsidRPr="002C3B0F">
        <w:t>Offshore petroleum exploration and development in Australia operates on a titles system. Exploration and development activities can only occur if a company/joint venture holds</w:t>
      </w:r>
      <w:r w:rsidR="00E91496" w:rsidRPr="002C3B0F">
        <w:t xml:space="preserve"> a valid title. For </w:t>
      </w:r>
      <w:r w:rsidR="008313AB" w:rsidRPr="002C3B0F">
        <w:t>a</w:t>
      </w:r>
      <w:r w:rsidR="00E91496" w:rsidRPr="002C3B0F">
        <w:t xml:space="preserve"> company/joint venture to be awarded a</w:t>
      </w:r>
      <w:r w:rsidR="00381AF1" w:rsidRPr="002C3B0F">
        <w:t>n exploration</w:t>
      </w:r>
      <w:r w:rsidR="00E91496" w:rsidRPr="002C3B0F">
        <w:t xml:space="preserve"> title, a bid submissi</w:t>
      </w:r>
      <w:r w:rsidR="00EF6604" w:rsidRPr="002C3B0F">
        <w:t xml:space="preserve">on must be compiled with a </w:t>
      </w:r>
      <w:r w:rsidR="00E91496" w:rsidRPr="002C3B0F">
        <w:t xml:space="preserve">work program </w:t>
      </w:r>
      <w:r w:rsidR="00EF6604" w:rsidRPr="002C3B0F">
        <w:t xml:space="preserve">providing detail on how the area is to be explored. </w:t>
      </w:r>
      <w:r w:rsidR="00E91496" w:rsidRPr="002C3B0F">
        <w:t xml:space="preserve">Prospective titleholders must also demonstrate their financial and technical capabilities to undertake the work. </w:t>
      </w:r>
      <w:r w:rsidR="00232288" w:rsidRPr="002C3B0F">
        <w:t>Bids are assessed against</w:t>
      </w:r>
      <w:r w:rsidR="00771FAA">
        <w:t xml:space="preserve"> publically available criteria.</w:t>
      </w:r>
    </w:p>
    <w:p w:rsidR="001D4A23" w:rsidRPr="002C3B0F" w:rsidRDefault="00E91496">
      <w:pPr>
        <w:pStyle w:val="NumberL1"/>
      </w:pPr>
      <w:r w:rsidRPr="002C3B0F">
        <w:t xml:space="preserve">In </w:t>
      </w:r>
      <w:r w:rsidR="00CA5584" w:rsidRPr="002C3B0F">
        <w:t xml:space="preserve">known or </w:t>
      </w:r>
      <w:r w:rsidRPr="002C3B0F">
        <w:t xml:space="preserve">mature area exploration areas, </w:t>
      </w:r>
      <w:r w:rsidR="008313AB" w:rsidRPr="002C3B0F">
        <w:t xml:space="preserve">competitive </w:t>
      </w:r>
      <w:r w:rsidRPr="002C3B0F">
        <w:t xml:space="preserve">cash bidding </w:t>
      </w:r>
      <w:r w:rsidR="008313AB" w:rsidRPr="002C3B0F">
        <w:t xml:space="preserve">is used to allocate </w:t>
      </w:r>
      <w:r w:rsidR="00CA5584" w:rsidRPr="002C3B0F">
        <w:t>exploration</w:t>
      </w:r>
      <w:r w:rsidR="008313AB" w:rsidRPr="002C3B0F">
        <w:t xml:space="preserve"> titles. The title is awarded to the higher cash bidder. </w:t>
      </w:r>
      <w:r w:rsidR="00CA5584" w:rsidRPr="002C3B0F">
        <w:t>Cash bidding was last used in Australia b</w:t>
      </w:r>
      <w:r w:rsidR="008313AB" w:rsidRPr="002C3B0F">
        <w:t>etween 1985 and 1992</w:t>
      </w:r>
      <w:r w:rsidR="00CA5584" w:rsidRPr="002C3B0F">
        <w:t>. It is current government policy to use</w:t>
      </w:r>
      <w:r w:rsidR="008313AB" w:rsidRPr="002C3B0F">
        <w:t xml:space="preserve"> cash bidding </w:t>
      </w:r>
      <w:r w:rsidR="00CA5584" w:rsidRPr="002C3B0F">
        <w:t xml:space="preserve">as a way to </w:t>
      </w:r>
      <w:r w:rsidR="00EE14BB" w:rsidRPr="002C3B0F">
        <w:t>efficiently</w:t>
      </w:r>
      <w:r w:rsidR="00CA5584" w:rsidRPr="002C3B0F">
        <w:t xml:space="preserve"> allocate exploration titles</w:t>
      </w:r>
      <w:r w:rsidR="00D63E7A" w:rsidRPr="002C3B0F">
        <w:t>, coming into effect from</w:t>
      </w:r>
      <w:r w:rsidR="00CA5584" w:rsidRPr="002C3B0F">
        <w:t xml:space="preserve"> </w:t>
      </w:r>
      <w:r w:rsidR="008313AB" w:rsidRPr="002C3B0F">
        <w:t xml:space="preserve">the 2014 </w:t>
      </w:r>
      <w:r w:rsidR="00CA5584" w:rsidRPr="002C3B0F">
        <w:t xml:space="preserve">Offshore Petroleum Exploration </w:t>
      </w:r>
      <w:r w:rsidR="008313AB" w:rsidRPr="002C3B0F">
        <w:t>Acreage Release</w:t>
      </w:r>
      <w:r w:rsidR="00CA5584" w:rsidRPr="002C3B0F">
        <w:t>.</w:t>
      </w:r>
    </w:p>
    <w:p w:rsidR="00232288" w:rsidRPr="002C3B0F" w:rsidRDefault="00381AF1">
      <w:pPr>
        <w:pStyle w:val="NumberL1"/>
      </w:pPr>
      <w:r w:rsidRPr="002C3B0F">
        <w:t xml:space="preserve">Applications for other offshore petroleum titles are assessed against clear legislative criteria. </w:t>
      </w:r>
      <w:r w:rsidR="00232288" w:rsidRPr="002C3B0F">
        <w:t xml:space="preserve">When a titleholder discovers </w:t>
      </w:r>
      <w:r w:rsidR="009D790E" w:rsidRPr="002C3B0F">
        <w:t>petroleum</w:t>
      </w:r>
      <w:r w:rsidR="00232288" w:rsidRPr="002C3B0F">
        <w:t xml:space="preserve"> within their </w:t>
      </w:r>
      <w:r w:rsidRPr="002C3B0F">
        <w:t>exploration permit</w:t>
      </w:r>
      <w:r w:rsidR="00232288" w:rsidRPr="002C3B0F">
        <w:t xml:space="preserve">, they must give details of the discovery to NOPTA. </w:t>
      </w:r>
      <w:r w:rsidRPr="002C3B0F">
        <w:t>Titleholders are then required to seek a declaration of location over those</w:t>
      </w:r>
      <w:r w:rsidR="00232288" w:rsidRPr="002C3B0F">
        <w:t xml:space="preserve"> discoveries</w:t>
      </w:r>
      <w:r w:rsidRPr="002C3B0F">
        <w:t>, in turn granting them</w:t>
      </w:r>
      <w:r w:rsidR="00232288" w:rsidRPr="002C3B0F">
        <w:t xml:space="preserve"> an exclusive </w:t>
      </w:r>
      <w:r w:rsidR="00EF6604" w:rsidRPr="002C3B0F">
        <w:t xml:space="preserve">right to apply for a </w:t>
      </w:r>
      <w:r w:rsidRPr="002C3B0F">
        <w:t>retention lease or production licence</w:t>
      </w:r>
      <w:r w:rsidR="00D63E7A" w:rsidRPr="002C3B0F">
        <w:t>.</w:t>
      </w:r>
    </w:p>
    <w:p w:rsidR="00EF6604" w:rsidRPr="002C3B0F" w:rsidRDefault="00232288">
      <w:pPr>
        <w:pStyle w:val="NumberL1"/>
      </w:pPr>
      <w:r w:rsidRPr="002C3B0F">
        <w:t>The Joint Authority is the decision maker for the award of petroleum titles in Australia</w:t>
      </w:r>
      <w:r w:rsidR="00CA5584" w:rsidRPr="002C3B0F">
        <w:t>’s offshore areas</w:t>
      </w:r>
      <w:r w:rsidR="00F45770" w:rsidRPr="002C3B0F">
        <w:t xml:space="preserve"> and </w:t>
      </w:r>
      <w:r w:rsidRPr="002C3B0F">
        <w:t>is supported in their deliberation</w:t>
      </w:r>
      <w:r w:rsidR="00EF6604" w:rsidRPr="002C3B0F">
        <w:t>s</w:t>
      </w:r>
      <w:r w:rsidRPr="002C3B0F">
        <w:t xml:space="preserve"> and decision making </w:t>
      </w:r>
      <w:r w:rsidR="00CA5584" w:rsidRPr="002C3B0F">
        <w:t>by</w:t>
      </w:r>
      <w:r w:rsidRPr="002C3B0F">
        <w:t xml:space="preserve"> technical support </w:t>
      </w:r>
      <w:r w:rsidR="00CA5584" w:rsidRPr="002C3B0F">
        <w:t>and advice</w:t>
      </w:r>
      <w:r w:rsidRPr="002C3B0F">
        <w:t xml:space="preserve"> from NOPTA. </w:t>
      </w:r>
      <w:r w:rsidR="00EF6604" w:rsidRPr="002C3B0F">
        <w:t>NOP</w:t>
      </w:r>
      <w:r w:rsidR="00CA5584" w:rsidRPr="002C3B0F">
        <w:t>T</w:t>
      </w:r>
      <w:r w:rsidR="00EF6604" w:rsidRPr="002C3B0F">
        <w:t xml:space="preserve">A acts as the </w:t>
      </w:r>
      <w:r w:rsidR="00E71549" w:rsidRPr="002C3B0F">
        <w:t>communications conduit</w:t>
      </w:r>
      <w:r w:rsidR="00EF6604" w:rsidRPr="002C3B0F">
        <w:t xml:space="preserve"> between in</w:t>
      </w:r>
      <w:r w:rsidR="00771FAA">
        <w:t>dustry and the Joint Authority.</w:t>
      </w:r>
    </w:p>
    <w:p w:rsidR="00F9514C" w:rsidRPr="002C3B0F" w:rsidRDefault="00F9514C" w:rsidP="00A33CEB">
      <w:pPr>
        <w:pStyle w:val="Heading20"/>
      </w:pPr>
      <w:bookmarkStart w:id="66" w:name="_Toc422740239"/>
      <w:bookmarkStart w:id="67" w:name="_Toc423426777"/>
      <w:bookmarkStart w:id="68" w:name="_Toc430102191"/>
      <w:r w:rsidRPr="002C3B0F">
        <w:t>Legislative Requirements</w:t>
      </w:r>
      <w:bookmarkEnd w:id="66"/>
      <w:bookmarkEnd w:id="67"/>
      <w:bookmarkEnd w:id="68"/>
    </w:p>
    <w:p w:rsidR="003C1638" w:rsidRPr="002C3B0F" w:rsidRDefault="003C1638">
      <w:pPr>
        <w:pStyle w:val="NumberL1"/>
      </w:pPr>
      <w:r w:rsidRPr="002C3B0F">
        <w:t xml:space="preserve">NOPTA’s functions are prescribed in Commonwealth legislation. The </w:t>
      </w:r>
      <w:r w:rsidR="00D63E7A" w:rsidRPr="002C3B0F">
        <w:t>primary</w:t>
      </w:r>
      <w:r w:rsidRPr="002C3B0F">
        <w:t xml:space="preserve"> legislation that governs the operation of NOPTA is the OPGGS</w:t>
      </w:r>
      <w:r w:rsidR="009D790E" w:rsidRPr="002C3B0F">
        <w:t xml:space="preserve"> </w:t>
      </w:r>
      <w:r w:rsidRPr="002C3B0F">
        <w:t>A</w:t>
      </w:r>
      <w:r w:rsidR="009D790E" w:rsidRPr="002C3B0F">
        <w:t>ct</w:t>
      </w:r>
      <w:r w:rsidRPr="002C3B0F">
        <w:t xml:space="preserve">. Regulatory powers are mainly described in further detail in the </w:t>
      </w:r>
      <w:r w:rsidRPr="002C3B0F">
        <w:rPr>
          <w:i/>
        </w:rPr>
        <w:t>Offshore Petroleum and Greenhouse Gas Storage (Resource Management and Administration) Regulations</w:t>
      </w:r>
      <w:r w:rsidR="00DD606D">
        <w:rPr>
          <w:i/>
        </w:rPr>
        <w:t>,</w:t>
      </w:r>
      <w:r w:rsidRPr="002C3B0F">
        <w:rPr>
          <w:i/>
        </w:rPr>
        <w:t xml:space="preserve"> 2011.</w:t>
      </w:r>
    </w:p>
    <w:p w:rsidR="0083591B" w:rsidRPr="002C3B0F" w:rsidRDefault="00D3102D">
      <w:pPr>
        <w:pStyle w:val="NumberL1"/>
      </w:pPr>
      <w:r w:rsidRPr="002C3B0F">
        <w:lastRenderedPageBreak/>
        <w:t xml:space="preserve">The position of Titles Administrator is a statutory position within the </w:t>
      </w:r>
      <w:r w:rsidR="009A1B25" w:rsidRPr="002C3B0F">
        <w:t>Resources Division of the</w:t>
      </w:r>
      <w:r w:rsidRPr="002C3B0F">
        <w:t xml:space="preserve"> Department of Industry and Science. NOPT</w:t>
      </w:r>
      <w:r w:rsidR="00771FAA">
        <w:t>A is not an independent agency.</w:t>
      </w:r>
    </w:p>
    <w:p w:rsidR="00675D3F" w:rsidRPr="002C3B0F" w:rsidRDefault="00D3102D">
      <w:pPr>
        <w:pStyle w:val="NumberL1"/>
      </w:pPr>
      <w:r w:rsidRPr="002C3B0F">
        <w:t xml:space="preserve">The legislation </w:t>
      </w:r>
      <w:r w:rsidR="00D63E7A" w:rsidRPr="002C3B0F">
        <w:t>that</w:t>
      </w:r>
      <w:r w:rsidRPr="002C3B0F">
        <w:t xml:space="preserve"> outlines the relationship between Joint A</w:t>
      </w:r>
      <w:r w:rsidR="00DD606D">
        <w:t>uthorities and NOPTA (OPGGS Act</w:t>
      </w:r>
      <w:r w:rsidRPr="002C3B0F">
        <w:t xml:space="preserve"> ch 1, pt 1.3) includ</w:t>
      </w:r>
      <w:r w:rsidR="00D63E7A" w:rsidRPr="002C3B0F">
        <w:t>es</w:t>
      </w:r>
      <w:r w:rsidRPr="002C3B0F">
        <w:t>:</w:t>
      </w:r>
    </w:p>
    <w:p w:rsidR="00675D3F" w:rsidRPr="002C3B0F" w:rsidRDefault="00675D3F" w:rsidP="00A36899">
      <w:pPr>
        <w:pStyle w:val="NumberL2"/>
        <w:tabs>
          <w:tab w:val="clear" w:pos="720"/>
          <w:tab w:val="num" w:pos="1134"/>
        </w:tabs>
        <w:ind w:left="1134" w:hanging="567"/>
      </w:pPr>
      <w:r w:rsidRPr="002C3B0F">
        <w:t>Keeping a written record of J</w:t>
      </w:r>
      <w:r w:rsidR="009A1B25" w:rsidRPr="002C3B0F">
        <w:t>oint Authority</w:t>
      </w:r>
      <w:r w:rsidRPr="002C3B0F">
        <w:t xml:space="preserve"> decisions (s 61)</w:t>
      </w:r>
    </w:p>
    <w:p w:rsidR="00675D3F" w:rsidRPr="002C3B0F" w:rsidRDefault="00675D3F" w:rsidP="00A36899">
      <w:pPr>
        <w:pStyle w:val="NumberL2"/>
        <w:tabs>
          <w:tab w:val="clear" w:pos="720"/>
          <w:tab w:val="num" w:pos="1134"/>
        </w:tabs>
        <w:ind w:left="1134" w:hanging="567"/>
      </w:pPr>
      <w:r w:rsidRPr="002C3B0F">
        <w:t xml:space="preserve">Signing documents on behalf of a </w:t>
      </w:r>
      <w:r w:rsidR="009A1B25" w:rsidRPr="002C3B0F">
        <w:t>Joint Authority</w:t>
      </w:r>
      <w:r w:rsidRPr="002C3B0F">
        <w:t xml:space="preserve"> (s 62)</w:t>
      </w:r>
    </w:p>
    <w:p w:rsidR="00675D3F" w:rsidRPr="002C3B0F" w:rsidRDefault="00675D3F" w:rsidP="00A36899">
      <w:pPr>
        <w:pStyle w:val="NumberL2"/>
        <w:tabs>
          <w:tab w:val="clear" w:pos="720"/>
          <w:tab w:val="num" w:pos="1134"/>
        </w:tabs>
        <w:ind w:left="1134" w:hanging="567"/>
      </w:pPr>
      <w:r w:rsidRPr="002C3B0F">
        <w:t xml:space="preserve">Communications to or by a </w:t>
      </w:r>
      <w:r w:rsidR="009A1B25" w:rsidRPr="002C3B0F">
        <w:t>Joint Authority</w:t>
      </w:r>
      <w:r w:rsidRPr="002C3B0F">
        <w:t xml:space="preserve"> </w:t>
      </w:r>
      <w:r w:rsidR="00233E0A" w:rsidRPr="002C3B0F">
        <w:t>(s 63)</w:t>
      </w:r>
    </w:p>
    <w:p w:rsidR="003C1638" w:rsidRPr="002C3B0F" w:rsidRDefault="00233E0A" w:rsidP="00A36899">
      <w:pPr>
        <w:pStyle w:val="NumberL2"/>
        <w:tabs>
          <w:tab w:val="clear" w:pos="720"/>
          <w:tab w:val="num" w:pos="1134"/>
        </w:tabs>
        <w:ind w:left="1134" w:hanging="567"/>
      </w:pPr>
      <w:r w:rsidRPr="002C3B0F">
        <w:t>Execut</w:t>
      </w:r>
      <w:r w:rsidR="00F45770" w:rsidRPr="002C3B0F">
        <w:t>ing</w:t>
      </w:r>
      <w:r w:rsidRPr="002C3B0F">
        <w:t xml:space="preserve"> or issu</w:t>
      </w:r>
      <w:r w:rsidR="00F45770" w:rsidRPr="002C3B0F">
        <w:t>ing</w:t>
      </w:r>
      <w:r w:rsidRPr="002C3B0F">
        <w:t xml:space="preserve"> an instrument, giv</w:t>
      </w:r>
      <w:r w:rsidR="00F45770" w:rsidRPr="002C3B0F">
        <w:t>ing</w:t>
      </w:r>
      <w:r w:rsidRPr="002C3B0F">
        <w:t xml:space="preserve"> a notice, or communicat</w:t>
      </w:r>
      <w:r w:rsidR="00F45770" w:rsidRPr="002C3B0F">
        <w:t>ing</w:t>
      </w:r>
      <w:r w:rsidRPr="002C3B0F">
        <w:t xml:space="preserve"> a matter (s 65).</w:t>
      </w:r>
    </w:p>
    <w:p w:rsidR="00D3102D" w:rsidRPr="003F2AC2" w:rsidRDefault="00D3102D" w:rsidP="003F2AC2">
      <w:pPr>
        <w:pStyle w:val="NumberL1"/>
      </w:pPr>
      <w:r w:rsidRPr="002C3B0F">
        <w:t>NOPTA has three key responsibilities as prescribed by governing legislation.</w:t>
      </w:r>
      <w:r w:rsidRPr="003F2AC2">
        <w:rPr>
          <w:rStyle w:val="FootnoteReference"/>
        </w:rPr>
        <w:footnoteReference w:id="9"/>
      </w:r>
      <w:r w:rsidRPr="003F2AC2">
        <w:t xml:space="preserve"> These three responsibilities are:</w:t>
      </w:r>
    </w:p>
    <w:p w:rsidR="00D3102D" w:rsidRPr="002C3B0F" w:rsidRDefault="00D3102D" w:rsidP="00A36899">
      <w:pPr>
        <w:pStyle w:val="NumberL2"/>
        <w:tabs>
          <w:tab w:val="clear" w:pos="720"/>
          <w:tab w:val="num" w:pos="1134"/>
        </w:tabs>
        <w:ind w:left="1134" w:hanging="567"/>
      </w:pPr>
      <w:r w:rsidRPr="002C3B0F">
        <w:t>Assisting and advising the Joint Authority and the responsible Commonwealth Minister</w:t>
      </w:r>
    </w:p>
    <w:p w:rsidR="00D3102D" w:rsidRPr="002C3B0F" w:rsidRDefault="00D3102D" w:rsidP="00A36899">
      <w:pPr>
        <w:pStyle w:val="NumberL2"/>
        <w:tabs>
          <w:tab w:val="clear" w:pos="720"/>
          <w:tab w:val="num" w:pos="1134"/>
        </w:tabs>
        <w:ind w:left="1134" w:hanging="567"/>
      </w:pPr>
      <w:r w:rsidRPr="002C3B0F">
        <w:t>Keep</w:t>
      </w:r>
      <w:r w:rsidR="00F45770" w:rsidRPr="002C3B0F">
        <w:t>ing</w:t>
      </w:r>
      <w:r w:rsidRPr="002C3B0F">
        <w:t xml:space="preserve"> a register of titles</w:t>
      </w:r>
    </w:p>
    <w:p w:rsidR="00D3102D" w:rsidRPr="002C3B0F" w:rsidRDefault="00F45770" w:rsidP="00A36899">
      <w:pPr>
        <w:pStyle w:val="NumberL2"/>
        <w:tabs>
          <w:tab w:val="clear" w:pos="720"/>
          <w:tab w:val="num" w:pos="1134"/>
        </w:tabs>
        <w:ind w:left="1134" w:hanging="567"/>
      </w:pPr>
      <w:r w:rsidRPr="002C3B0F">
        <w:t xml:space="preserve">Management of data </w:t>
      </w:r>
      <w:r w:rsidR="00D3102D" w:rsidRPr="002C3B0F">
        <w:t>and information.</w:t>
      </w:r>
    </w:p>
    <w:p w:rsidR="00D3102D" w:rsidRPr="002C3B0F" w:rsidRDefault="00D3102D" w:rsidP="003F2AC2">
      <w:pPr>
        <w:pStyle w:val="NumberL1"/>
      </w:pPr>
      <w:r w:rsidRPr="002C3B0F">
        <w:t xml:space="preserve">NOPTA is resourced through a cost-recovery model. It has the power to impose fees and levies to recover costs and operating expenses. The authority to impose these levies is contained in Part 4C of the </w:t>
      </w:r>
      <w:r w:rsidRPr="002C3B0F">
        <w:rPr>
          <w:i/>
        </w:rPr>
        <w:t>Offshore Petroleum and Greenhouse Gas Storage (Regulatory Levies) Act</w:t>
      </w:r>
      <w:r w:rsidR="00F45770" w:rsidRPr="002C3B0F">
        <w:rPr>
          <w:i/>
        </w:rPr>
        <w:t>,</w:t>
      </w:r>
      <w:r w:rsidRPr="002C3B0F">
        <w:rPr>
          <w:i/>
        </w:rPr>
        <w:t xml:space="preserve"> 2003</w:t>
      </w:r>
      <w:r w:rsidRPr="002C3B0F">
        <w:t xml:space="preserve">. NOPTA’s </w:t>
      </w:r>
      <w:r w:rsidRPr="002C3B0F">
        <w:rPr>
          <w:i/>
        </w:rPr>
        <w:t>Cost Recovery Impact Statement</w:t>
      </w:r>
      <w:r w:rsidRPr="002C3B0F">
        <w:t xml:space="preserve"> (CRIS) outlines NOPTA’s cost recovery model.</w:t>
      </w:r>
    </w:p>
    <w:p w:rsidR="003B21DB" w:rsidRPr="002C3B0F" w:rsidRDefault="00360CBB" w:rsidP="00A33CEB">
      <w:pPr>
        <w:pStyle w:val="Heading20"/>
      </w:pPr>
      <w:bookmarkStart w:id="69" w:name="_Toc422740240"/>
      <w:bookmarkStart w:id="70" w:name="_Toc423426778"/>
      <w:bookmarkStart w:id="71" w:name="_Toc430102192"/>
      <w:r w:rsidRPr="00B05FC5">
        <w:t>Joint Authority</w:t>
      </w:r>
      <w:bookmarkEnd w:id="69"/>
      <w:bookmarkEnd w:id="70"/>
      <w:bookmarkEnd w:id="71"/>
    </w:p>
    <w:p w:rsidR="006127A2" w:rsidRPr="002C3B0F" w:rsidRDefault="006127A2">
      <w:pPr>
        <w:pStyle w:val="NumberL1"/>
      </w:pPr>
      <w:r w:rsidRPr="002C3B0F">
        <w:t xml:space="preserve">A Joint Authority for an offshore area of a state or territory is constituted by the responsible Commonwealth Minister and </w:t>
      </w:r>
      <w:r w:rsidR="00D34636" w:rsidRPr="002C3B0F">
        <w:t>the responsible State / Northern Territory Minister. The responsible Commonwealth Minister is also the Joint Authority for the offshore area of Tasmania, Eastern Greater Sunrise offshore area, and external Territories. Joint Authority members can delegate any or all of their functions to officials withi</w:t>
      </w:r>
      <w:r w:rsidR="00771FAA">
        <w:t>n their respective Departments.</w:t>
      </w:r>
    </w:p>
    <w:p w:rsidR="00360CBB" w:rsidRPr="002C3B0F" w:rsidRDefault="00360CBB">
      <w:pPr>
        <w:pStyle w:val="NumberL1"/>
      </w:pPr>
      <w:r w:rsidRPr="002C3B0F">
        <w:t>The Joint Authority has the legislative power to make decisions on petroleum and greenhouse gas storage titles as prescribed under the OPGGS</w:t>
      </w:r>
      <w:r w:rsidR="009D790E" w:rsidRPr="002C3B0F">
        <w:t xml:space="preserve"> </w:t>
      </w:r>
      <w:r w:rsidRPr="002C3B0F">
        <w:t>A</w:t>
      </w:r>
      <w:r w:rsidR="009D790E" w:rsidRPr="002C3B0F">
        <w:t>ct</w:t>
      </w:r>
      <w:r w:rsidRPr="002C3B0F">
        <w:t>. These decisions include matters such as:</w:t>
      </w:r>
      <w:r w:rsidR="00003326" w:rsidRPr="002C3B0F">
        <w:t xml:space="preserve"> </w:t>
      </w:r>
      <w:r w:rsidR="00840FFB" w:rsidRPr="002C3B0F">
        <w:t>t</w:t>
      </w:r>
      <w:r w:rsidR="00003326" w:rsidRPr="002C3B0F">
        <w:t xml:space="preserve">he release of offshore petroleum exploration areas, assessment of bids from industry for these areas, granting (or refusal) </w:t>
      </w:r>
      <w:r w:rsidR="00F06106" w:rsidRPr="002C3B0F">
        <w:t xml:space="preserve">of </w:t>
      </w:r>
      <w:r w:rsidR="00003326" w:rsidRPr="002C3B0F">
        <w:t>and renewal of</w:t>
      </w:r>
      <w:r w:rsidRPr="002C3B0F">
        <w:t xml:space="preserve"> petroleum titles, the imposition of title condition</w:t>
      </w:r>
      <w:r w:rsidR="00F06106" w:rsidRPr="002C3B0F">
        <w:t>s</w:t>
      </w:r>
      <w:r w:rsidRPr="002C3B0F">
        <w:t xml:space="preserve"> and cancellation of titles</w:t>
      </w:r>
      <w:r w:rsidR="00003326" w:rsidRPr="002C3B0F">
        <w:t>.</w:t>
      </w:r>
    </w:p>
    <w:p w:rsidR="00360CBB" w:rsidRPr="002C3B0F" w:rsidRDefault="002B3DD2">
      <w:pPr>
        <w:pStyle w:val="NumberL1"/>
      </w:pPr>
      <w:r w:rsidRPr="002C3B0F">
        <w:lastRenderedPageBreak/>
        <w:t>One of NOPTA’s functions under the OPGGS Act is to “provide information, assessments, analysis, reports, advice and recommendations” to the responsible Commonwealth Minister and responsible State / Territory Minister to support their function as a member of a Joint Authority.</w:t>
      </w:r>
      <w:r w:rsidRPr="003F2AC2">
        <w:rPr>
          <w:rStyle w:val="FootnoteReference"/>
        </w:rPr>
        <w:footnoteReference w:id="10"/>
      </w:r>
      <w:r w:rsidRPr="003F2AC2">
        <w:t xml:space="preserve"> </w:t>
      </w:r>
      <w:r w:rsidR="00360CBB" w:rsidRPr="003F2AC2">
        <w:t xml:space="preserve">NOPTA </w:t>
      </w:r>
      <w:r w:rsidR="00F25B88" w:rsidRPr="003F2AC2">
        <w:t>liaises</w:t>
      </w:r>
      <w:r w:rsidR="00360CBB" w:rsidRPr="003F2AC2">
        <w:t xml:space="preserve"> with industry to provide information and support to the Joint Authority to assist in </w:t>
      </w:r>
      <w:r w:rsidR="00360CBB" w:rsidRPr="002C3B0F">
        <w:t xml:space="preserve">the decision-making </w:t>
      </w:r>
      <w:r w:rsidR="00F06106" w:rsidRPr="002C3B0F">
        <w:t>process</w:t>
      </w:r>
      <w:r w:rsidR="009D0B97" w:rsidRPr="002C3B0F">
        <w:t>.</w:t>
      </w:r>
    </w:p>
    <w:p w:rsidR="00360CBB" w:rsidRPr="002C3B0F" w:rsidRDefault="00360CBB">
      <w:pPr>
        <w:pStyle w:val="NumberL1"/>
      </w:pPr>
      <w:r w:rsidRPr="002C3B0F">
        <w:t xml:space="preserve">The </w:t>
      </w:r>
      <w:r w:rsidR="00D34636" w:rsidRPr="002C3B0F">
        <w:t>current</w:t>
      </w:r>
      <w:r w:rsidRPr="002C3B0F">
        <w:t xml:space="preserve"> responsible Commonwealth Minist</w:t>
      </w:r>
      <w:r w:rsidR="00003326" w:rsidRPr="002C3B0F">
        <w:t xml:space="preserve">er </w:t>
      </w:r>
      <w:r w:rsidR="00D34636" w:rsidRPr="002C3B0F">
        <w:t>is</w:t>
      </w:r>
      <w:r w:rsidR="004A3B13">
        <w:t xml:space="preserve"> the Hon</w:t>
      </w:r>
      <w:r w:rsidR="00003326" w:rsidRPr="002C3B0F">
        <w:t xml:space="preserve"> Ian Macf</w:t>
      </w:r>
      <w:r w:rsidRPr="002C3B0F">
        <w:t>arl</w:t>
      </w:r>
      <w:r w:rsidR="00F25B88" w:rsidRPr="002C3B0F">
        <w:t>a</w:t>
      </w:r>
      <w:r w:rsidRPr="002C3B0F">
        <w:t>ne MP, Min</w:t>
      </w:r>
      <w:r w:rsidR="00ED7B58" w:rsidRPr="002C3B0F">
        <w:t>i</w:t>
      </w:r>
      <w:r w:rsidRPr="002C3B0F">
        <w:t>ster for Industry and Science</w:t>
      </w:r>
      <w:r w:rsidR="00771FAA">
        <w:t>.</w:t>
      </w:r>
    </w:p>
    <w:p w:rsidR="00D3102D" w:rsidRPr="00A33CEB" w:rsidRDefault="00617A4E" w:rsidP="00A33CEB">
      <w:pPr>
        <w:pStyle w:val="Heading10"/>
        <w:rPr>
          <w:caps w:val="0"/>
        </w:rPr>
      </w:pPr>
      <w:bookmarkStart w:id="72" w:name="_Toc422740241"/>
      <w:bookmarkStart w:id="73" w:name="_Toc423426779"/>
      <w:bookmarkStart w:id="74" w:name="_Toc430102193"/>
      <w:r w:rsidRPr="00A33CEB">
        <w:rPr>
          <w:caps w:val="0"/>
        </w:rPr>
        <w:t xml:space="preserve">Findings </w:t>
      </w:r>
      <w:r w:rsidR="001F195B" w:rsidRPr="00A33CEB">
        <w:rPr>
          <w:caps w:val="0"/>
        </w:rPr>
        <w:t xml:space="preserve">of the </w:t>
      </w:r>
      <w:bookmarkEnd w:id="72"/>
      <w:r w:rsidRPr="00A33CEB">
        <w:rPr>
          <w:caps w:val="0"/>
        </w:rPr>
        <w:t>Review</w:t>
      </w:r>
      <w:bookmarkEnd w:id="73"/>
      <w:bookmarkEnd w:id="74"/>
    </w:p>
    <w:p w:rsidR="00A757A8" w:rsidRPr="002C3B0F" w:rsidRDefault="0047688A" w:rsidP="00A33CEB">
      <w:pPr>
        <w:pStyle w:val="Heading20"/>
      </w:pPr>
      <w:bookmarkStart w:id="75" w:name="_Toc422740242"/>
      <w:bookmarkStart w:id="76" w:name="_Toc423426780"/>
      <w:bookmarkStart w:id="77" w:name="_Toc430102194"/>
      <w:r>
        <w:t>NOPTA’s</w:t>
      </w:r>
      <w:r w:rsidR="00666F31" w:rsidRPr="002C3B0F">
        <w:t xml:space="preserve"> Advice</w:t>
      </w:r>
      <w:bookmarkEnd w:id="75"/>
      <w:r w:rsidR="00666F31" w:rsidRPr="002C3B0F">
        <w:t xml:space="preserve"> </w:t>
      </w:r>
      <w:r>
        <w:t>to Joint Authorities</w:t>
      </w:r>
      <w:bookmarkEnd w:id="76"/>
      <w:bookmarkEnd w:id="77"/>
    </w:p>
    <w:p w:rsidR="00E6540C" w:rsidRPr="002C3B0F" w:rsidRDefault="00E6540C" w:rsidP="00E6540C">
      <w:pPr>
        <w:pStyle w:val="NumberL1"/>
      </w:pPr>
      <w:r w:rsidRPr="002C3B0F">
        <w:t xml:space="preserve">The Joint Authority provides the opportunity for the Commonwealth and the relevant state or territory to collaboratively review titles applications and requests. </w:t>
      </w:r>
      <w:r>
        <w:t>The Joint Authority uses</w:t>
      </w:r>
      <w:r w:rsidRPr="002C3B0F">
        <w:t xml:space="preserve"> the advice provided by NOPTA on an application </w:t>
      </w:r>
      <w:r>
        <w:t>as part of its</w:t>
      </w:r>
      <w:r w:rsidRPr="002C3B0F">
        <w:t xml:space="preserve"> decision making process</w:t>
      </w:r>
      <w:r>
        <w:t>.</w:t>
      </w:r>
      <w:r w:rsidRPr="002C3B0F">
        <w:t xml:space="preserve"> Should the Joint Authority be unable to reach an agreement on the decision, the view of the Responsible Commonwealth Minister prevails.</w:t>
      </w:r>
      <w:r w:rsidRPr="003F2AC2">
        <w:rPr>
          <w:rStyle w:val="FootnoteReference"/>
        </w:rPr>
        <w:footnoteReference w:id="11"/>
      </w:r>
      <w:r w:rsidRPr="003F2AC2">
        <w:t xml:space="preserve"> The </w:t>
      </w:r>
      <w:r>
        <w:t xml:space="preserve">Commonwealth </w:t>
      </w:r>
      <w:r w:rsidRPr="003F2AC2">
        <w:t xml:space="preserve">Minister </w:t>
      </w:r>
      <w:r w:rsidRPr="002C3B0F">
        <w:t xml:space="preserve">may then decide the matter, which has effect as </w:t>
      </w:r>
      <w:r w:rsidR="00771FAA">
        <w:t>the Joint Authority’s decision.</w:t>
      </w:r>
    </w:p>
    <w:p w:rsidR="00323DFE" w:rsidRPr="002C3B0F" w:rsidRDefault="00323DFE">
      <w:pPr>
        <w:pStyle w:val="NumberL1"/>
      </w:pPr>
      <w:r w:rsidRPr="002C3B0F">
        <w:t xml:space="preserve">The </w:t>
      </w:r>
      <w:r w:rsidR="00751488">
        <w:t xml:space="preserve">very limited amount </w:t>
      </w:r>
      <w:r w:rsidRPr="002C3B0F">
        <w:t xml:space="preserve">of dissent on NOPTA’s advice to </w:t>
      </w:r>
      <w:r w:rsidR="00711E8E" w:rsidRPr="002C3B0F">
        <w:t xml:space="preserve">the </w:t>
      </w:r>
      <w:r w:rsidR="001944C7" w:rsidRPr="002C3B0F">
        <w:t>Joint Authority</w:t>
      </w:r>
      <w:r w:rsidRPr="002C3B0F">
        <w:t xml:space="preserve"> is indicative of the </w:t>
      </w:r>
      <w:r w:rsidR="00751488">
        <w:t xml:space="preserve">overall </w:t>
      </w:r>
      <w:r w:rsidRPr="002C3B0F">
        <w:t>quality of advice provided</w:t>
      </w:r>
      <w:r w:rsidRPr="003F2AC2">
        <w:t>.</w:t>
      </w:r>
      <w:r w:rsidR="008C3BA3" w:rsidRPr="003F2AC2">
        <w:t xml:space="preserve"> </w:t>
      </w:r>
      <w:r w:rsidRPr="003F2AC2">
        <w:t xml:space="preserve">Jurisdictions mostly agreed that the quality of advice to </w:t>
      </w:r>
      <w:r w:rsidR="00ED7B58" w:rsidRPr="002C3B0F">
        <w:t xml:space="preserve">the </w:t>
      </w:r>
      <w:r w:rsidRPr="002C3B0F">
        <w:t>J</w:t>
      </w:r>
      <w:r w:rsidR="00F06106" w:rsidRPr="002C3B0F">
        <w:t>oint Authority</w:t>
      </w:r>
      <w:r w:rsidRPr="002C3B0F">
        <w:t xml:space="preserve"> was appropriate and of a high standard. A few instances where this was not the case were quoted to the Review.</w:t>
      </w:r>
      <w:r w:rsidR="00751488">
        <w:t xml:space="preserve"> NOPTA readily engaged with state and territory staff in these circumstances.</w:t>
      </w:r>
      <w:r>
        <w:t xml:space="preserve"> </w:t>
      </w:r>
      <w:r w:rsidR="00751488">
        <w:t>That there was some disagreement</w:t>
      </w:r>
      <w:r w:rsidRPr="002C3B0F">
        <w:t xml:space="preserve"> is not unexpected given the quantity of applications handled, the complexity of some applications and the different approaches taken across different jurisdictions</w:t>
      </w:r>
      <w:r w:rsidR="004B5BEC">
        <w:t xml:space="preserve">. </w:t>
      </w:r>
      <w:r w:rsidR="0047688A">
        <w:t>NOPTA has developed the necessary capability and internal operating capacity to generate this advice. The nature of this internal capability is discussed later in the report</w:t>
      </w:r>
      <w:r w:rsidR="00414578">
        <w:t xml:space="preserve"> and a range of enhancements to this capability are recommended</w:t>
      </w:r>
      <w:r w:rsidR="004B5BEC">
        <w:t xml:space="preserve">. </w:t>
      </w:r>
      <w:r w:rsidR="00225C7B">
        <w:t>While there is some scope for improvement, o</w:t>
      </w:r>
      <w:r w:rsidR="0047688A">
        <w:t xml:space="preserve">verall NOPTA is providing quality advice to Joint Authorities that </w:t>
      </w:r>
      <w:r w:rsidR="00225C7B">
        <w:t xml:space="preserve">is contributing to the </w:t>
      </w:r>
      <w:r w:rsidR="00771FAA">
        <w:t>efficiency of decision making.</w:t>
      </w:r>
    </w:p>
    <w:p w:rsidR="0047688A" w:rsidRDefault="0047688A" w:rsidP="006045A5">
      <w:pPr>
        <w:pStyle w:val="Noetic-Columnrecommendation"/>
      </w:pPr>
      <w:r>
        <w:t xml:space="preserve">NOPTA provides </w:t>
      </w:r>
      <w:r w:rsidR="00225C7B">
        <w:t xml:space="preserve">quality advice that contributes to the </w:t>
      </w:r>
      <w:r w:rsidR="00225C7B" w:rsidRPr="00F44C45">
        <w:t>efficiency of the decision making by a Joint Authority for a State or the Northern Territory.</w:t>
      </w:r>
    </w:p>
    <w:p w:rsidR="00B6489F" w:rsidRDefault="00B6489F" w:rsidP="00A33CEB">
      <w:pPr>
        <w:pStyle w:val="Heading20"/>
      </w:pPr>
      <w:bookmarkStart w:id="78" w:name="_Toc423426781"/>
      <w:bookmarkStart w:id="79" w:name="_Toc430102195"/>
      <w:r>
        <w:lastRenderedPageBreak/>
        <w:t xml:space="preserve">Joint Authority </w:t>
      </w:r>
      <w:r w:rsidR="00113362">
        <w:t>Decision Making</w:t>
      </w:r>
      <w:bookmarkEnd w:id="78"/>
      <w:bookmarkEnd w:id="79"/>
    </w:p>
    <w:p w:rsidR="00877B22" w:rsidRPr="002C3B0F" w:rsidRDefault="00113362" w:rsidP="00617A4E">
      <w:pPr>
        <w:pStyle w:val="NumberL1"/>
      </w:pPr>
      <w:r>
        <w:t xml:space="preserve">The process by which advice is developed by NOPTA for the Joint Authority </w:t>
      </w:r>
      <w:r w:rsidR="00DD606D">
        <w:t>is well regarded by industry.</w:t>
      </w:r>
      <w:r>
        <w:t xml:space="preserve"> It is seen as transparent, consultative and generally predictable</w:t>
      </w:r>
      <w:r w:rsidR="004B5BEC">
        <w:t xml:space="preserve">. </w:t>
      </w:r>
      <w:r w:rsidR="00414578">
        <w:t>Industry is able to track the progress of applications as they are reviewed by NOPTA and timeframes are almost always met.</w:t>
      </w:r>
      <w:r>
        <w:t xml:space="preserve"> </w:t>
      </w:r>
      <w:r w:rsidR="00877B22" w:rsidRPr="002C3B0F">
        <w:t xml:space="preserve">Industry’s </w:t>
      </w:r>
      <w:r>
        <w:t xml:space="preserve">near </w:t>
      </w:r>
      <w:r w:rsidR="00323DFE" w:rsidRPr="002C3B0F">
        <w:t>universal</w:t>
      </w:r>
      <w:r w:rsidR="00877B22" w:rsidRPr="002C3B0F">
        <w:t xml:space="preserve"> concern with advice provided to the </w:t>
      </w:r>
      <w:r w:rsidR="001C5FBB">
        <w:t xml:space="preserve">Joint Authority </w:t>
      </w:r>
      <w:r w:rsidR="006B4610" w:rsidRPr="002C3B0F">
        <w:t xml:space="preserve">is </w:t>
      </w:r>
      <w:r w:rsidR="001C5FBB">
        <w:t xml:space="preserve">the </w:t>
      </w:r>
      <w:r w:rsidR="00877B22">
        <w:t>difficult</w:t>
      </w:r>
      <w:r w:rsidR="001C5FBB">
        <w:t>y in</w:t>
      </w:r>
      <w:r w:rsidR="00877B22" w:rsidRPr="002C3B0F">
        <w:t xml:space="preserve"> </w:t>
      </w:r>
      <w:r w:rsidR="00877B22">
        <w:t>track</w:t>
      </w:r>
      <w:r w:rsidR="001C5FBB">
        <w:t>ing</w:t>
      </w:r>
      <w:r w:rsidR="00877B22" w:rsidRPr="002C3B0F">
        <w:t xml:space="preserve"> progress</w:t>
      </w:r>
      <w:r w:rsidR="009B756E" w:rsidRPr="002C3B0F">
        <w:t xml:space="preserve"> </w:t>
      </w:r>
      <w:r w:rsidR="001C5FBB">
        <w:t>once NOPTA has submitted its advice.</w:t>
      </w:r>
      <w:r w:rsidR="009B756E" w:rsidRPr="002C3B0F">
        <w:t xml:space="preserve"> </w:t>
      </w:r>
      <w:r w:rsidR="001C5FBB">
        <w:t>For industry t</w:t>
      </w:r>
      <w:r w:rsidR="00877B22">
        <w:t>here</w:t>
      </w:r>
      <w:r w:rsidR="00877B22" w:rsidRPr="002C3B0F">
        <w:t xml:space="preserve"> </w:t>
      </w:r>
      <w:r w:rsidR="006B4610" w:rsidRPr="002C3B0F">
        <w:t>is</w:t>
      </w:r>
      <w:r w:rsidR="00877B22" w:rsidRPr="002C3B0F">
        <w:t xml:space="preserve"> no certainty around timeframes on decision making</w:t>
      </w:r>
      <w:r w:rsidR="0057293E" w:rsidRPr="002C3B0F">
        <w:t xml:space="preserve"> and that even simple applications </w:t>
      </w:r>
      <w:r w:rsidR="006B4610" w:rsidRPr="002C3B0F">
        <w:t>can</w:t>
      </w:r>
      <w:r w:rsidR="0057293E" w:rsidRPr="002C3B0F">
        <w:t xml:space="preserve"> take a significant amount of time</w:t>
      </w:r>
      <w:r w:rsidR="00877B22" w:rsidRPr="002C3B0F">
        <w:t>.</w:t>
      </w:r>
      <w:r w:rsidR="0057293E" w:rsidRPr="002C3B0F">
        <w:t xml:space="preserve"> For some companies, this can create concerns when approvals are required to meet deadlines or where assets were laying idle awaiting decisions.</w:t>
      </w:r>
      <w:r w:rsidR="00877B22" w:rsidRPr="002C3B0F">
        <w:t xml:space="preserve"> </w:t>
      </w:r>
      <w:r w:rsidR="0057293E" w:rsidRPr="002C3B0F">
        <w:t>The J</w:t>
      </w:r>
      <w:r w:rsidR="001944C7" w:rsidRPr="002C3B0F">
        <w:t xml:space="preserve">oint </w:t>
      </w:r>
      <w:r w:rsidR="0057293E" w:rsidRPr="002C3B0F">
        <w:t>A</w:t>
      </w:r>
      <w:r w:rsidR="001944C7" w:rsidRPr="002C3B0F">
        <w:t>uthority</w:t>
      </w:r>
      <w:r w:rsidR="0057293E" w:rsidRPr="002C3B0F">
        <w:t xml:space="preserve"> process’s lack of transparency </w:t>
      </w:r>
      <w:r w:rsidR="00877B22" w:rsidRPr="002C3B0F">
        <w:t>was described by one stakeholder</w:t>
      </w:r>
      <w:r w:rsidR="00364B01" w:rsidRPr="002C3B0F">
        <w:t xml:space="preserve"> as a</w:t>
      </w:r>
      <w:r w:rsidR="0057293E" w:rsidRPr="002C3B0F">
        <w:t>kin to a</w:t>
      </w:r>
      <w:r w:rsidR="00364B01" w:rsidRPr="002C3B0F">
        <w:t xml:space="preserve"> ‘black-box’. </w:t>
      </w:r>
      <w:r w:rsidR="008617E2" w:rsidRPr="002C3B0F">
        <w:t xml:space="preserve">This was due in part to some </w:t>
      </w:r>
      <w:r w:rsidR="001944C7" w:rsidRPr="002C3B0F">
        <w:t>Joint Authority delegates</w:t>
      </w:r>
      <w:r w:rsidR="008617E2" w:rsidRPr="002C3B0F">
        <w:t xml:space="preserve"> undertaking a comprehensive review of the advice provided by NOPTA</w:t>
      </w:r>
      <w:r w:rsidR="001944C7" w:rsidRPr="002C3B0F">
        <w:t xml:space="preserve">, resulting in delays to </w:t>
      </w:r>
      <w:r w:rsidR="001A7A00" w:rsidRPr="002C3B0F">
        <w:t>application decisions</w:t>
      </w:r>
      <w:r w:rsidR="008617E2" w:rsidRPr="002C3B0F">
        <w:t xml:space="preserve">. </w:t>
      </w:r>
      <w:r w:rsidR="00E72922" w:rsidRPr="002C3B0F">
        <w:t xml:space="preserve">In some cases this </w:t>
      </w:r>
      <w:r w:rsidR="008617E2" w:rsidRPr="002C3B0F">
        <w:t>includes detailed technical review</w:t>
      </w:r>
      <w:r w:rsidR="001A7A00" w:rsidRPr="002C3B0F">
        <w:t>s</w:t>
      </w:r>
      <w:r w:rsidR="008617E2" w:rsidRPr="002C3B0F">
        <w:t xml:space="preserve"> of the advice. While this might be deemed appropriate in ensuring high quality advice</w:t>
      </w:r>
      <w:r w:rsidR="00E72922" w:rsidRPr="002C3B0F">
        <w:t xml:space="preserve"> </w:t>
      </w:r>
      <w:r w:rsidR="001C5FBB">
        <w:t>to delegates</w:t>
      </w:r>
      <w:r w:rsidR="008617E2" w:rsidRPr="002C3B0F">
        <w:t xml:space="preserve">, it can also be seen as </w:t>
      </w:r>
      <w:r w:rsidR="00E72922" w:rsidRPr="002C3B0F">
        <w:t xml:space="preserve">a </w:t>
      </w:r>
      <w:r w:rsidR="008617E2" w:rsidRPr="002C3B0F">
        <w:t>duplication</w:t>
      </w:r>
      <w:r w:rsidR="00625FBF" w:rsidRPr="002C3B0F">
        <w:t xml:space="preserve"> of effort</w:t>
      </w:r>
      <w:r w:rsidR="008617E2" w:rsidRPr="002C3B0F">
        <w:t xml:space="preserve">. </w:t>
      </w:r>
      <w:r w:rsidR="003249E3" w:rsidRPr="002C3B0F">
        <w:t xml:space="preserve">In most cases jurisdictions reported that the quality of NOPTA’s advice was sound and </w:t>
      </w:r>
      <w:r w:rsidR="00625FBF" w:rsidRPr="002C3B0F">
        <w:t xml:space="preserve">differences were usually </w:t>
      </w:r>
      <w:r w:rsidR="00E72922" w:rsidRPr="002C3B0F">
        <w:t xml:space="preserve">related to </w:t>
      </w:r>
      <w:r w:rsidR="003249E3" w:rsidRPr="002C3B0F">
        <w:t>minor issues of interpretation</w:t>
      </w:r>
      <w:r w:rsidR="00771FAA">
        <w:t>.</w:t>
      </w:r>
    </w:p>
    <w:p w:rsidR="00625FBF" w:rsidRPr="003F2AC2" w:rsidRDefault="00625FBF" w:rsidP="00F201E4">
      <w:pPr>
        <w:pStyle w:val="NumberL1"/>
      </w:pPr>
      <w:r w:rsidRPr="002C3B0F">
        <w:t xml:space="preserve">The time taken </w:t>
      </w:r>
      <w:r w:rsidR="00D0266C" w:rsidRPr="002C3B0F">
        <w:t xml:space="preserve">for </w:t>
      </w:r>
      <w:r w:rsidR="00F201E4" w:rsidRPr="002C3B0F">
        <w:t xml:space="preserve">State </w:t>
      </w:r>
      <w:r w:rsidR="00D0266C" w:rsidRPr="002C3B0F">
        <w:t xml:space="preserve">and </w:t>
      </w:r>
      <w:r w:rsidR="00F201E4" w:rsidRPr="002C3B0F">
        <w:t xml:space="preserve">Territory </w:t>
      </w:r>
      <w:r w:rsidR="001A7A00" w:rsidRPr="002C3B0F">
        <w:t>Joint Authority</w:t>
      </w:r>
      <w:r w:rsidR="00D0266C" w:rsidRPr="002C3B0F">
        <w:t xml:space="preserve"> delegates</w:t>
      </w:r>
      <w:r w:rsidRPr="002C3B0F">
        <w:t xml:space="preserve"> to complete th</w:t>
      </w:r>
      <w:r w:rsidR="00D0266C" w:rsidRPr="002C3B0F">
        <w:t>e</w:t>
      </w:r>
      <w:r w:rsidRPr="002C3B0F">
        <w:t xml:space="preserve"> review</w:t>
      </w:r>
      <w:r w:rsidR="00D0266C" w:rsidRPr="002C3B0F">
        <w:t>s</w:t>
      </w:r>
      <w:r w:rsidRPr="002C3B0F">
        <w:t xml:space="preserve"> varies. It is understood that this is caused by a variety of factors</w:t>
      </w:r>
      <w:r w:rsidR="00F201E4" w:rsidRPr="002C3B0F">
        <w:t xml:space="preserve"> </w:t>
      </w:r>
      <w:r w:rsidRPr="002C3B0F">
        <w:t>includ</w:t>
      </w:r>
      <w:r w:rsidR="00F201E4" w:rsidRPr="002C3B0F">
        <w:t>ing</w:t>
      </w:r>
      <w:r w:rsidRPr="002C3B0F">
        <w:t xml:space="preserve"> the complexity of advice, the number of applications to be reviewed and the existing work load of the agency reviewing the advice. In the latter case, it is reasonable that the processing of a jurisdiction’s own application take priority over the review of advice for the J</w:t>
      </w:r>
      <w:r w:rsidR="001A7A00" w:rsidRPr="002C3B0F">
        <w:t xml:space="preserve">oint </w:t>
      </w:r>
      <w:r w:rsidRPr="002C3B0F">
        <w:t>A</w:t>
      </w:r>
      <w:r w:rsidR="001A7A00" w:rsidRPr="002C3B0F">
        <w:t>uthority</w:t>
      </w:r>
      <w:r w:rsidR="004B5BEC">
        <w:t xml:space="preserve">. </w:t>
      </w:r>
      <w:r w:rsidR="00414578">
        <w:t>In fewer cases, it was because of the need to carefully consider jurisdictional issues in relation to the application – an important function of the Joint Authority.</w:t>
      </w:r>
      <w:r w:rsidRPr="002C3B0F">
        <w:t xml:space="preserve"> However, </w:t>
      </w:r>
      <w:r w:rsidR="0057293E" w:rsidRPr="002C3B0F">
        <w:t xml:space="preserve">these factors all add to the delay in the consideration of advice by the </w:t>
      </w:r>
      <w:r w:rsidR="001A7A00" w:rsidRPr="002C3B0F">
        <w:t>Joint Authority</w:t>
      </w:r>
      <w:r w:rsidR="0057293E" w:rsidRPr="002C3B0F">
        <w:t>. It is the Review’s opinion that this adds</w:t>
      </w:r>
      <w:r w:rsidR="00F201E4" w:rsidRPr="002C3B0F">
        <w:t xml:space="preserve"> </w:t>
      </w:r>
      <w:r w:rsidR="0057293E" w:rsidRPr="002C3B0F">
        <w:t xml:space="preserve">unnecessary </w:t>
      </w:r>
      <w:r w:rsidR="001C5FBB">
        <w:t xml:space="preserve">regulatory </w:t>
      </w:r>
      <w:r w:rsidR="001409FB" w:rsidRPr="002C3B0F">
        <w:t xml:space="preserve">burden to industry. Consequently, it would appear reasonable that </w:t>
      </w:r>
      <w:r w:rsidR="00414578">
        <w:t xml:space="preserve">binding </w:t>
      </w:r>
      <w:r w:rsidR="001409FB" w:rsidRPr="002C3B0F">
        <w:t>timeframes are established for the consideration of NOPTA’s advice by the J</w:t>
      </w:r>
      <w:r w:rsidR="001A7A00" w:rsidRPr="002C3B0F">
        <w:t xml:space="preserve">oint </w:t>
      </w:r>
      <w:r w:rsidR="001409FB" w:rsidRPr="002C3B0F">
        <w:t>A</w:t>
      </w:r>
      <w:r w:rsidR="001A7A00" w:rsidRPr="002C3B0F">
        <w:t>uthority</w:t>
      </w:r>
      <w:r w:rsidR="001409FB" w:rsidRPr="002C3B0F">
        <w:t xml:space="preserve"> and that the adherence to these timeframes </w:t>
      </w:r>
      <w:r w:rsidR="001C5FBB">
        <w:t xml:space="preserve">is </w:t>
      </w:r>
      <w:r w:rsidR="001409FB" w:rsidRPr="002C3B0F">
        <w:t xml:space="preserve">reported upon. These timeframes should be developed in conjunction with all stakeholders. The benefits of this for industry </w:t>
      </w:r>
      <w:r w:rsidR="00FD6BBD" w:rsidRPr="002C3B0F">
        <w:t>are</w:t>
      </w:r>
      <w:r w:rsidR="001409FB" w:rsidRPr="002C3B0F">
        <w:t xml:space="preserve"> that it would provide certainty on the decision </w:t>
      </w:r>
      <w:r w:rsidR="001C5FBB">
        <w:t>making</w:t>
      </w:r>
      <w:r w:rsidR="001409FB">
        <w:t xml:space="preserve"> </w:t>
      </w:r>
      <w:r w:rsidR="001409FB" w:rsidRPr="002C3B0F">
        <w:t>cycle and for jurisdictions it would provide benchmarks for scheduling</w:t>
      </w:r>
      <w:r w:rsidR="00F201E4" w:rsidRPr="002C3B0F">
        <w:t xml:space="preserve"> the</w:t>
      </w:r>
      <w:r w:rsidR="00771FAA">
        <w:t xml:space="preserve"> consideration of advice.</w:t>
      </w:r>
    </w:p>
    <w:p w:rsidR="006B4610" w:rsidRPr="002C3B0F" w:rsidRDefault="006B4610" w:rsidP="00F201E4">
      <w:pPr>
        <w:pStyle w:val="NumberL1"/>
      </w:pPr>
      <w:r w:rsidRPr="002C3B0F">
        <w:t xml:space="preserve">The Review believes that there is opportunity to reduce the time taken to consider and approve simple applications. Currently, apart from two minor categories, all applications under the OPGGS Act require NOPTA to provide advice to </w:t>
      </w:r>
      <w:r w:rsidR="00973305" w:rsidRPr="002C3B0F">
        <w:t>the</w:t>
      </w:r>
      <w:r w:rsidRPr="002C3B0F">
        <w:t xml:space="preserve"> </w:t>
      </w:r>
      <w:r w:rsidR="001A7A00" w:rsidRPr="002C3B0F">
        <w:t>Joint Authority</w:t>
      </w:r>
      <w:r w:rsidRPr="002C3B0F">
        <w:t xml:space="preserve"> for the </w:t>
      </w:r>
      <w:r w:rsidR="001A7A00" w:rsidRPr="002C3B0F">
        <w:t>Joint Authority</w:t>
      </w:r>
      <w:r w:rsidRPr="002C3B0F">
        <w:t xml:space="preserve"> to make the decision. </w:t>
      </w:r>
      <w:r w:rsidR="00E17CFB" w:rsidRPr="002C3B0F">
        <w:t xml:space="preserve">In </w:t>
      </w:r>
      <w:r w:rsidR="002E7954" w:rsidRPr="002C3B0F">
        <w:t>the majority of cases this is appropriate and as noted</w:t>
      </w:r>
      <w:r w:rsidR="00414578">
        <w:t>,</w:t>
      </w:r>
      <w:r w:rsidR="002E7954" w:rsidRPr="002C3B0F">
        <w:t xml:space="preserve"> </w:t>
      </w:r>
      <w:r w:rsidR="001C5FBB">
        <w:t xml:space="preserve">is generally </w:t>
      </w:r>
      <w:r w:rsidR="002E7954" w:rsidRPr="002C3B0F">
        <w:t>effectively. However,</w:t>
      </w:r>
      <w:r w:rsidR="00666F31" w:rsidRPr="002C3B0F">
        <w:t xml:space="preserve"> </w:t>
      </w:r>
      <w:r w:rsidR="002E7954" w:rsidRPr="002C3B0F">
        <w:t>f</w:t>
      </w:r>
      <w:r w:rsidRPr="002C3B0F">
        <w:t>or relatively straight forward decisions (such as</w:t>
      </w:r>
      <w:r w:rsidR="005C4077" w:rsidRPr="002C3B0F">
        <w:t xml:space="preserve"> declaration of location</w:t>
      </w:r>
      <w:r w:rsidRPr="002C3B0F">
        <w:t>) this appears unnecessary. For decisions of a minor nature that are essentially administrative</w:t>
      </w:r>
      <w:r w:rsidR="009B756E" w:rsidRPr="002C3B0F">
        <w:t xml:space="preserve"> or do not touch upon resource management issues</w:t>
      </w:r>
      <w:r w:rsidRPr="002C3B0F">
        <w:t xml:space="preserve">, there is a case to </w:t>
      </w:r>
      <w:r w:rsidR="00113362">
        <w:t xml:space="preserve">be </w:t>
      </w:r>
      <w:r w:rsidRPr="002C3B0F">
        <w:t xml:space="preserve">made that they are considered by NOPTA and the Administrator makes </w:t>
      </w:r>
      <w:r w:rsidR="001C5FBB">
        <w:t xml:space="preserve">the </w:t>
      </w:r>
      <w:r w:rsidRPr="002C3B0F">
        <w:t>determination.</w:t>
      </w:r>
      <w:r w:rsidR="002E7954" w:rsidRPr="002C3B0F">
        <w:t xml:space="preserve"> The number </w:t>
      </w:r>
      <w:r w:rsidR="00414578" w:rsidRPr="002C3B0F">
        <w:lastRenderedPageBreak/>
        <w:t xml:space="preserve">considered </w:t>
      </w:r>
      <w:r w:rsidR="002E7954" w:rsidRPr="002C3B0F">
        <w:t xml:space="preserve">suitable is few. Even with a small number, </w:t>
      </w:r>
      <w:r w:rsidR="00FA34F1" w:rsidRPr="002C3B0F">
        <w:t>t</w:t>
      </w:r>
      <w:r w:rsidRPr="002C3B0F">
        <w:t>his would require NOPTA to have sufficient capability and capacity to ensure that</w:t>
      </w:r>
      <w:r w:rsidR="00F04E9A" w:rsidRPr="002C3B0F">
        <w:t xml:space="preserve"> the agency has the ability to manage such a change.</w:t>
      </w:r>
      <w:r w:rsidR="00E17CFB" w:rsidRPr="002C3B0F">
        <w:t xml:space="preserve"> Consequently, </w:t>
      </w:r>
      <w:r w:rsidR="002E7954" w:rsidRPr="002C3B0F">
        <w:t xml:space="preserve">in order to improve the efficiency of the titles administration process there is scope to identify approval processes that could be delegated to the </w:t>
      </w:r>
      <w:r w:rsidR="00257505" w:rsidRPr="002C3B0F">
        <w:t xml:space="preserve">Titles </w:t>
      </w:r>
      <w:r w:rsidR="002E7954" w:rsidRPr="002C3B0F">
        <w:t xml:space="preserve">Administrator for </w:t>
      </w:r>
      <w:r w:rsidR="002E7954">
        <w:t>decision</w:t>
      </w:r>
      <w:r w:rsidR="004B5BEC">
        <w:t xml:space="preserve">. </w:t>
      </w:r>
      <w:r w:rsidR="00C534FA">
        <w:t>This could be investigated by the Department of Industry and Science.</w:t>
      </w:r>
      <w:r w:rsidR="002E7954" w:rsidRPr="002C3B0F">
        <w:t xml:space="preserve"> Should this be implemented it would require the enhancement of NOP</w:t>
      </w:r>
      <w:r w:rsidR="00DD53AF">
        <w:t>T</w:t>
      </w:r>
      <w:r w:rsidR="002E7954" w:rsidRPr="002C3B0F">
        <w:t>A’s capability and capacity (this is discussed in the section NOPTA’s Internal Operation below).</w:t>
      </w:r>
    </w:p>
    <w:p w:rsidR="00EF6D1A" w:rsidRDefault="00E444BA" w:rsidP="00BB2E6B">
      <w:pPr>
        <w:pStyle w:val="RecommBody"/>
      </w:pPr>
      <w:r w:rsidRPr="002C3B0F">
        <w:t>That</w:t>
      </w:r>
      <w:r>
        <w:t xml:space="preserve"> </w:t>
      </w:r>
      <w:r w:rsidRPr="002C3B0F">
        <w:t>timeframes for the consideration of, and decision making for</w:t>
      </w:r>
      <w:r w:rsidR="003B2B7E">
        <w:t>,</w:t>
      </w:r>
      <w:r w:rsidRPr="002C3B0F">
        <w:t xml:space="preserve"> all titles related matters by Joint Authorities </w:t>
      </w:r>
      <w:r w:rsidR="00BB536C" w:rsidRPr="002C3B0F">
        <w:t>is</w:t>
      </w:r>
      <w:r w:rsidRPr="002C3B0F">
        <w:t xml:space="preserve"> agreed with jurisdictions and implemented. </w:t>
      </w:r>
    </w:p>
    <w:p w:rsidR="005054C7" w:rsidRPr="005054C7" w:rsidRDefault="005054C7" w:rsidP="005054C7">
      <w:pPr>
        <w:spacing w:after="0"/>
      </w:pPr>
    </w:p>
    <w:p w:rsidR="00F105D0" w:rsidRDefault="00F105D0" w:rsidP="00BB2E6B">
      <w:pPr>
        <w:pStyle w:val="RecommBody"/>
      </w:pPr>
      <w:r w:rsidRPr="002C3B0F">
        <w:t xml:space="preserve">The adherence of </w:t>
      </w:r>
      <w:r w:rsidR="00F63F6E">
        <w:t xml:space="preserve">the Titles Administrator and </w:t>
      </w:r>
      <w:r w:rsidRPr="002C3B0F">
        <w:t>Joint Authorities against the agree</w:t>
      </w:r>
      <w:r w:rsidR="00CF2A2D" w:rsidRPr="002C3B0F">
        <w:t>d</w:t>
      </w:r>
      <w:r w:rsidRPr="002C3B0F">
        <w:t xml:space="preserve"> timeframes are reported as part of NOPTA’s annual report.</w:t>
      </w:r>
    </w:p>
    <w:p w:rsidR="005054C7" w:rsidRPr="005054C7" w:rsidRDefault="005054C7" w:rsidP="005054C7">
      <w:pPr>
        <w:spacing w:after="0"/>
      </w:pPr>
    </w:p>
    <w:p w:rsidR="00EF6D1A" w:rsidRPr="002C3B0F" w:rsidRDefault="00F24F21" w:rsidP="00BB2E6B">
      <w:pPr>
        <w:pStyle w:val="RecommBody"/>
      </w:pPr>
      <w:r w:rsidRPr="002C3B0F">
        <w:t xml:space="preserve">That </w:t>
      </w:r>
      <w:r w:rsidR="00666F31" w:rsidRPr="002C3B0F">
        <w:t xml:space="preserve">the feasibility of delegating simple decisions to the </w:t>
      </w:r>
      <w:r w:rsidR="003B2B7E">
        <w:t xml:space="preserve">Titles </w:t>
      </w:r>
      <w:r w:rsidR="00666F31" w:rsidRPr="002C3B0F">
        <w:t xml:space="preserve">Administrator is investigated. </w:t>
      </w:r>
    </w:p>
    <w:p w:rsidR="00F9514C" w:rsidRPr="002C3B0F" w:rsidRDefault="00024F16" w:rsidP="00A33CEB">
      <w:pPr>
        <w:pStyle w:val="Heading20"/>
      </w:pPr>
      <w:bookmarkStart w:id="80" w:name="_Toc422740243"/>
      <w:bookmarkStart w:id="81" w:name="_Toc423426782"/>
      <w:bookmarkStart w:id="82" w:name="_Toc430102196"/>
      <w:r w:rsidRPr="002C3B0F">
        <w:t>Titles I</w:t>
      </w:r>
      <w:r w:rsidR="00666F31" w:rsidRPr="002C3B0F">
        <w:t>nformation</w:t>
      </w:r>
      <w:bookmarkEnd w:id="80"/>
      <w:bookmarkEnd w:id="81"/>
      <w:bookmarkEnd w:id="82"/>
    </w:p>
    <w:p w:rsidR="005B04DF" w:rsidRPr="002C3B0F" w:rsidRDefault="005B04DF" w:rsidP="006A5002">
      <w:pPr>
        <w:pStyle w:val="NumberL1"/>
      </w:pPr>
      <w:r w:rsidRPr="002C3B0F">
        <w:t>The provision of titles information</w:t>
      </w:r>
      <w:r w:rsidR="00CF2A2D" w:rsidRPr="002C3B0F">
        <w:t>, including title interests and endorsements,</w:t>
      </w:r>
      <w:r w:rsidRPr="002C3B0F">
        <w:t xml:space="preserve"> to stakeholders is a core function of NOPTA. An effective information system allows stakeholders to transparently view the operation of titles administration. The benefit of this is that it engenders confidence in the fairness of the titles system and strengthens Australia’s competitiveness as a destination for investment in the offshore </w:t>
      </w:r>
      <w:r w:rsidR="00E324FA" w:rsidRPr="002C3B0F">
        <w:t>petroleum</w:t>
      </w:r>
      <w:r w:rsidRPr="002C3B0F">
        <w:t xml:space="preserve"> industry.</w:t>
      </w:r>
      <w:r w:rsidR="00794821">
        <w:t xml:space="preserve"> Stakeholders highlighted that when compared to many other countries, the transparent nature of Australia’s titles system was a competitive advantage</w:t>
      </w:r>
      <w:r w:rsidR="00A87828">
        <w:t>.</w:t>
      </w:r>
    </w:p>
    <w:p w:rsidR="00AA6EC2" w:rsidRDefault="005B04DF" w:rsidP="00C70CFB">
      <w:pPr>
        <w:pStyle w:val="NumberL1"/>
      </w:pPr>
      <w:r w:rsidRPr="002C3B0F">
        <w:t>NOPTA’s primary tool for providing information on titles administration is through the N</w:t>
      </w:r>
      <w:r w:rsidR="00CF2A2D" w:rsidRPr="002C3B0F">
        <w:t>ational</w:t>
      </w:r>
      <w:r w:rsidRPr="002C3B0F">
        <w:t xml:space="preserve"> E</w:t>
      </w:r>
      <w:r w:rsidR="00CF2A2D" w:rsidRPr="002C3B0F">
        <w:t>lectronic</w:t>
      </w:r>
      <w:r w:rsidRPr="002C3B0F">
        <w:t xml:space="preserve"> A</w:t>
      </w:r>
      <w:r w:rsidR="00CF2A2D" w:rsidRPr="002C3B0F">
        <w:t>pprovals</w:t>
      </w:r>
      <w:r w:rsidRPr="002C3B0F">
        <w:t xml:space="preserve"> T</w:t>
      </w:r>
      <w:r w:rsidR="00CF2A2D" w:rsidRPr="002C3B0F">
        <w:t>racking</w:t>
      </w:r>
      <w:r w:rsidRPr="002C3B0F">
        <w:t xml:space="preserve"> System (NEATS). The tool uses a portal that allows users to access information on extant titles, the location of the title (this includes the use of an interactive map, see Figure </w:t>
      </w:r>
      <w:r w:rsidR="00C70CFB" w:rsidRPr="002C3B0F">
        <w:t>2</w:t>
      </w:r>
      <w:r w:rsidRPr="002C3B0F">
        <w:t>), and the progress of titles applications</w:t>
      </w:r>
      <w:r w:rsidR="00FA34F1" w:rsidRPr="002C3B0F">
        <w:t>,</w:t>
      </w:r>
      <w:r w:rsidRPr="002C3B0F">
        <w:t xml:space="preserve"> among other features. Stakeholders provided </w:t>
      </w:r>
      <w:r w:rsidR="00D257F6">
        <w:t>universally</w:t>
      </w:r>
      <w:r w:rsidR="00D257F6" w:rsidRPr="002C3B0F">
        <w:t xml:space="preserve"> </w:t>
      </w:r>
      <w:r w:rsidRPr="002C3B0F">
        <w:t>positive feedback on NEATS. Most praised its useability, the accuracy of information and the transparen</w:t>
      </w:r>
      <w:r w:rsidR="0007668F" w:rsidRPr="002C3B0F">
        <w:t>cy it provides</w:t>
      </w:r>
      <w:r w:rsidRPr="002C3B0F">
        <w:t xml:space="preserve"> on the operation of titles in Australia. </w:t>
      </w:r>
    </w:p>
    <w:p w:rsidR="00F03DC8" w:rsidRPr="002C3B0F" w:rsidRDefault="00F03DC8" w:rsidP="00F03DC8">
      <w:pPr>
        <w:pStyle w:val="NumberL1"/>
      </w:pPr>
      <w:r w:rsidRPr="002C3B0F">
        <w:t xml:space="preserve">While NEATS is an effective system, </w:t>
      </w:r>
      <w:r>
        <w:t xml:space="preserve">there is opportunity to enhance </w:t>
      </w:r>
      <w:r w:rsidRPr="002C3B0F">
        <w:t>its useability and functions. Stakeholders identified the requirement for the online submission of applications as a key enhancement. NOPTA has identified the need for this and is working towards implementing such an improvement.</w:t>
      </w:r>
    </w:p>
    <w:p w:rsidR="00F03DC8" w:rsidRPr="002C3B0F" w:rsidRDefault="00F03DC8" w:rsidP="00F03DC8">
      <w:pPr>
        <w:pStyle w:val="NumberL1"/>
      </w:pPr>
      <w:r w:rsidRPr="002C3B0F">
        <w:lastRenderedPageBreak/>
        <w:t>Additional short-term suggestions for the improvement of NEATS include the ability to produce activity reports for individual jurisdictions and increased scope to filter information during searches. NOPTA has also recognised a number of minor upgrades to the functionality of NEATS and is seeki</w:t>
      </w:r>
      <w:r w:rsidR="00771FAA">
        <w:t>ng to put these into operation.</w:t>
      </w:r>
    </w:p>
    <w:p w:rsidR="00F03DC8" w:rsidRPr="002C3B0F" w:rsidRDefault="00F03DC8" w:rsidP="00F03DC8">
      <w:pPr>
        <w:pStyle w:val="NumberL1"/>
      </w:pPr>
      <w:r w:rsidRPr="002C3B0F">
        <w:t>A more significant improvement will aim to address the inability to track applications in NEATS from submission through to J</w:t>
      </w:r>
      <w:r>
        <w:t xml:space="preserve">oint </w:t>
      </w:r>
      <w:r w:rsidRPr="002C3B0F">
        <w:t>A</w:t>
      </w:r>
      <w:r>
        <w:t>uthority</w:t>
      </w:r>
      <w:r w:rsidRPr="002C3B0F">
        <w:t xml:space="preserve"> decision. Currently, title applications cannot be tracked in NEATS after NOPTA has completed its advice until the J</w:t>
      </w:r>
      <w:r>
        <w:t xml:space="preserve">oint </w:t>
      </w:r>
      <w:r w:rsidRPr="002C3B0F">
        <w:t>A</w:t>
      </w:r>
      <w:r>
        <w:t>uthority</w:t>
      </w:r>
      <w:r w:rsidRPr="002C3B0F">
        <w:t xml:space="preserve"> has made a determination. Should Recommendation 1 be accepted (agreed timeframes for J</w:t>
      </w:r>
      <w:r>
        <w:t xml:space="preserve">oint </w:t>
      </w:r>
      <w:r w:rsidRPr="002C3B0F">
        <w:t>A</w:t>
      </w:r>
      <w:r>
        <w:t>uthority</w:t>
      </w:r>
      <w:r w:rsidRPr="002C3B0F">
        <w:t xml:space="preserve"> consideration of advice), there is benefit in extending the tracking of titles applications through the full lifecycle of the process.</w:t>
      </w:r>
    </w:p>
    <w:p w:rsidR="00AA6EC2" w:rsidRPr="003F2AC2" w:rsidRDefault="00AA6EC2" w:rsidP="00321F67">
      <w:pPr>
        <w:spacing w:after="0"/>
        <w:jc w:val="center"/>
      </w:pPr>
      <w:r w:rsidRPr="007B3EEC">
        <w:rPr>
          <w:noProof/>
          <w:lang w:eastAsia="en-AU"/>
        </w:rPr>
        <w:drawing>
          <wp:inline distT="0" distB="0" distL="0" distR="0" wp14:anchorId="2851497A" wp14:editId="517C9567">
            <wp:extent cx="5729241" cy="4067175"/>
            <wp:effectExtent l="0" t="0" r="5080" b="0"/>
            <wp:docPr id="3" name="Picture 2" descr="Screen capture of the National Electronic Approvals Tracking System (NEATS) interactive map" title="Fig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5745509" cy="4078723"/>
                    </a:xfrm>
                    <a:prstGeom prst="rect">
                      <a:avLst/>
                    </a:prstGeom>
                    <a:noFill/>
                    <a:ln>
                      <a:noFill/>
                    </a:ln>
                  </pic:spPr>
                </pic:pic>
              </a:graphicData>
            </a:graphic>
          </wp:inline>
        </w:drawing>
      </w:r>
    </w:p>
    <w:p w:rsidR="00AA6EC2" w:rsidRPr="00A33CEB" w:rsidRDefault="00CF2A2D" w:rsidP="00A33CEB">
      <w:pPr>
        <w:pStyle w:val="FigCaption"/>
      </w:pPr>
      <w:r w:rsidRPr="00A33CEB">
        <w:t xml:space="preserve">Figure </w:t>
      </w:r>
      <w:r w:rsidR="00C70CFB" w:rsidRPr="00A33CEB">
        <w:t>2:</w:t>
      </w:r>
      <w:r w:rsidRPr="00A33CEB">
        <w:t xml:space="preserve"> </w:t>
      </w:r>
      <w:r w:rsidR="001C22F3" w:rsidRPr="00A33CEB">
        <w:t>NEATS Interactive Map</w:t>
      </w:r>
    </w:p>
    <w:p w:rsidR="00711E8E" w:rsidRPr="002C3B0F" w:rsidRDefault="00C955DC" w:rsidP="001C6582">
      <w:pPr>
        <w:pStyle w:val="NumberL1"/>
      </w:pPr>
      <w:r w:rsidRPr="002C3B0F">
        <w:t>In addition to the improvements noted above, a major</w:t>
      </w:r>
      <w:r w:rsidR="00795A26" w:rsidRPr="002C3B0F">
        <w:t xml:space="preserve"> opportunity for </w:t>
      </w:r>
      <w:r w:rsidRPr="002C3B0F">
        <w:t>enhancing</w:t>
      </w:r>
      <w:r w:rsidR="00795A26" w:rsidRPr="002C3B0F">
        <w:t xml:space="preserve"> the functionality of NEATS</w:t>
      </w:r>
      <w:r w:rsidR="00347269" w:rsidRPr="002C3B0F">
        <w:t xml:space="preserve"> is</w:t>
      </w:r>
      <w:r w:rsidR="00795A26" w:rsidRPr="002C3B0F">
        <w:t xml:space="preserve"> to adopt</w:t>
      </w:r>
      <w:r w:rsidR="00347269" w:rsidRPr="002C3B0F">
        <w:t xml:space="preserve"> a</w:t>
      </w:r>
      <w:r w:rsidR="00795A26" w:rsidRPr="002C3B0F">
        <w:t xml:space="preserve"> ‘workflow’ model</w:t>
      </w:r>
      <w:r w:rsidR="004B5BEC">
        <w:t xml:space="preserve">. </w:t>
      </w:r>
      <w:r w:rsidRPr="002C3B0F">
        <w:t>This means</w:t>
      </w:r>
      <w:r w:rsidR="00795A26" w:rsidRPr="002C3B0F">
        <w:t xml:space="preserve"> </w:t>
      </w:r>
      <w:r w:rsidRPr="002C3B0F">
        <w:t>providing the functionality to</w:t>
      </w:r>
      <w:r w:rsidR="00795A26" w:rsidRPr="002C3B0F">
        <w:t xml:space="preserve"> </w:t>
      </w:r>
      <w:r w:rsidRPr="002C3B0F">
        <w:t>support</w:t>
      </w:r>
      <w:r w:rsidR="00795A26" w:rsidRPr="002C3B0F">
        <w:t xml:space="preserve"> the </w:t>
      </w:r>
      <w:r w:rsidRPr="002C3B0F">
        <w:t>end</w:t>
      </w:r>
      <w:r w:rsidR="001C6582" w:rsidRPr="002C3B0F">
        <w:noBreakHyphen/>
      </w:r>
      <w:r w:rsidRPr="002C3B0F">
        <w:t>to</w:t>
      </w:r>
      <w:r w:rsidR="001C6582" w:rsidRPr="002C3B0F">
        <w:noBreakHyphen/>
      </w:r>
      <w:r w:rsidRPr="002C3B0F">
        <w:t>end process for</w:t>
      </w:r>
      <w:r w:rsidR="00795A26" w:rsidRPr="002C3B0F">
        <w:t xml:space="preserve"> applications and advice in one online portal. The entire process </w:t>
      </w:r>
      <w:r w:rsidR="00A3171A" w:rsidRPr="002C3B0F">
        <w:t>c</w:t>
      </w:r>
      <w:r w:rsidR="00795A26" w:rsidRPr="002C3B0F">
        <w:t>ould be automated, resulting in the ability to track an application’s status within the process. Such a system would allow for a reduction in the reliance on manual processes of both NOPTA and the J</w:t>
      </w:r>
      <w:r w:rsidR="00A373AB">
        <w:t xml:space="preserve">oint </w:t>
      </w:r>
      <w:r w:rsidR="00795A26" w:rsidRPr="002C3B0F">
        <w:t>A</w:t>
      </w:r>
      <w:r w:rsidR="00A373AB">
        <w:t>uthority</w:t>
      </w:r>
      <w:r w:rsidR="00795A26" w:rsidRPr="002C3B0F">
        <w:t xml:space="preserve"> delegates, and a reduction i</w:t>
      </w:r>
      <w:r w:rsidR="00010366" w:rsidRPr="002C3B0F">
        <w:t xml:space="preserve">n </w:t>
      </w:r>
      <w:r w:rsidR="00010366" w:rsidRPr="002C3B0F">
        <w:lastRenderedPageBreak/>
        <w:t>the burden placed on industry for both submission and tracking applications.</w:t>
      </w:r>
      <w:r w:rsidR="00C11080" w:rsidRPr="002C3B0F">
        <w:t xml:space="preserve"> </w:t>
      </w:r>
      <w:r w:rsidR="00A3171A" w:rsidRPr="002C3B0F">
        <w:t xml:space="preserve">Development of this is </w:t>
      </w:r>
      <w:r w:rsidR="00AA3B8C" w:rsidRPr="002C3B0F">
        <w:t xml:space="preserve">not a simple undertaking but </w:t>
      </w:r>
      <w:r w:rsidR="001C6582" w:rsidRPr="002C3B0F">
        <w:t xml:space="preserve">it </w:t>
      </w:r>
      <w:r w:rsidR="00AA3B8C" w:rsidRPr="002C3B0F">
        <w:t>will improv</w:t>
      </w:r>
      <w:r w:rsidR="001C6582" w:rsidRPr="002C3B0F">
        <w:t>e</w:t>
      </w:r>
      <w:r w:rsidR="00AA3B8C" w:rsidRPr="002C3B0F">
        <w:t xml:space="preserve"> efficiency.</w:t>
      </w:r>
    </w:p>
    <w:p w:rsidR="00795A26" w:rsidRPr="002C3B0F" w:rsidRDefault="00711E8E" w:rsidP="003F2AC2">
      <w:pPr>
        <w:pStyle w:val="NumberL1"/>
      </w:pPr>
      <w:r w:rsidRPr="002C3B0F">
        <w:t>If NEATS moved towards this workflow model, t</w:t>
      </w:r>
      <w:r w:rsidR="00C11080" w:rsidRPr="002C3B0F">
        <w:t xml:space="preserve">here </w:t>
      </w:r>
      <w:r w:rsidR="00D257F6">
        <w:t>is</w:t>
      </w:r>
      <w:r w:rsidR="00C11080" w:rsidRPr="002C3B0F">
        <w:t xml:space="preserve"> scope to expand the system to include</w:t>
      </w:r>
      <w:r w:rsidRPr="002C3B0F">
        <w:t xml:space="preserve"> other regulatory functions that encompass </w:t>
      </w:r>
      <w:r w:rsidR="0050182D" w:rsidRPr="002C3B0F">
        <w:t>end-to-end</w:t>
      </w:r>
      <w:r w:rsidRPr="002C3B0F">
        <w:t xml:space="preserve"> oversight of a </w:t>
      </w:r>
      <w:r w:rsidR="00347269" w:rsidRPr="002C3B0F">
        <w:t>title</w:t>
      </w:r>
      <w:r w:rsidRPr="002C3B0F">
        <w:t xml:space="preserve"> (i.e</w:t>
      </w:r>
      <w:r w:rsidR="00AA3B8C" w:rsidRPr="002C3B0F">
        <w:t>.</w:t>
      </w:r>
      <w:r w:rsidRPr="002C3B0F">
        <w:t xml:space="preserve"> covering application, exploration, retention and production phases).</w:t>
      </w:r>
      <w:r w:rsidR="0050182D" w:rsidRPr="002C3B0F">
        <w:t xml:space="preserve"> This presents an opportunity to include</w:t>
      </w:r>
      <w:r w:rsidR="00C11080" w:rsidRPr="002C3B0F">
        <w:t xml:space="preserve"> NOPSEMA</w:t>
      </w:r>
      <w:r w:rsidR="0050182D" w:rsidRPr="002C3B0F">
        <w:t>'s compliance and monitoring functions</w:t>
      </w:r>
      <w:r w:rsidR="00347269" w:rsidRPr="002C3B0F">
        <w:t>,</w:t>
      </w:r>
      <w:r w:rsidR="0050182D" w:rsidRPr="002C3B0F">
        <w:t xml:space="preserve"> and reporting in NEATS</w:t>
      </w:r>
      <w:r w:rsidR="00C11080" w:rsidRPr="002C3B0F">
        <w:t>.</w:t>
      </w:r>
      <w:r w:rsidR="0050182D" w:rsidRPr="002C3B0F">
        <w:t xml:space="preserve"> The benefits of integrating NOPTA and NOPSEMA data from exploration through to production and </w:t>
      </w:r>
      <w:r w:rsidR="00347269" w:rsidRPr="002C3B0F">
        <w:t>eventual surrender</w:t>
      </w:r>
      <w:r w:rsidR="0050182D" w:rsidRPr="002C3B0F">
        <w:t xml:space="preserve">, includes greater transparency of information, enhanced reporting and oversight functions, </w:t>
      </w:r>
      <w:r w:rsidR="00347269" w:rsidRPr="002C3B0F">
        <w:t>and potentially reduced regulatory burden for industry</w:t>
      </w:r>
      <w:r w:rsidR="004B5BEC">
        <w:t xml:space="preserve">. </w:t>
      </w:r>
      <w:r w:rsidR="00347269" w:rsidRPr="002C3B0F">
        <w:t>This improvement represents a long term development opportunity for NOPTA and NOPSEMA.</w:t>
      </w:r>
    </w:p>
    <w:p w:rsidR="0007668F" w:rsidRPr="002C3B0F" w:rsidRDefault="0007668F" w:rsidP="001C6582">
      <w:pPr>
        <w:pStyle w:val="NumberL1"/>
      </w:pPr>
      <w:r w:rsidRPr="002C3B0F">
        <w:t>Given the importance of the NEATS system to both the day</w:t>
      </w:r>
      <w:r w:rsidR="001C22F3" w:rsidRPr="002C3B0F">
        <w:t>-</w:t>
      </w:r>
      <w:r w:rsidRPr="002C3B0F">
        <w:t>to</w:t>
      </w:r>
      <w:r w:rsidR="001C22F3" w:rsidRPr="002C3B0F">
        <w:t>-</w:t>
      </w:r>
      <w:r w:rsidRPr="002C3B0F">
        <w:t xml:space="preserve">day administration and </w:t>
      </w:r>
      <w:r w:rsidR="001C6582" w:rsidRPr="002C3B0F">
        <w:t xml:space="preserve">the </w:t>
      </w:r>
      <w:r w:rsidRPr="002C3B0F">
        <w:t>overall confidence of Australia’s titles system, NOPTA should (in conjunction with stakeholders</w:t>
      </w:r>
      <w:r w:rsidR="003A1860" w:rsidRPr="002C3B0F">
        <w:t xml:space="preserve"> including jurisdictions, industry and NOPSEMA</w:t>
      </w:r>
      <w:r w:rsidRPr="002C3B0F">
        <w:t>) continue to enhance NEATS</w:t>
      </w:r>
      <w:r w:rsidR="00010366" w:rsidRPr="002C3B0F">
        <w:t xml:space="preserve"> </w:t>
      </w:r>
      <w:r w:rsidR="003A1860" w:rsidRPr="002C3B0F">
        <w:t>over</w:t>
      </w:r>
      <w:r w:rsidR="00010366" w:rsidRPr="002C3B0F">
        <w:t xml:space="preserve"> both the short- and long-term</w:t>
      </w:r>
      <w:r w:rsidR="00771FAA">
        <w:t>.</w:t>
      </w:r>
    </w:p>
    <w:p w:rsidR="00EF6D1A" w:rsidRPr="005054C7" w:rsidRDefault="002F0168" w:rsidP="006045A5">
      <w:pPr>
        <w:pStyle w:val="Noetic-Columnrecommendation"/>
        <w:tabs>
          <w:tab w:val="clear" w:pos="425"/>
          <w:tab w:val="num" w:pos="567"/>
        </w:tabs>
        <w:ind w:left="567" w:hanging="567"/>
      </w:pPr>
      <w:r w:rsidRPr="005054C7">
        <w:t>The transparency of titles information and data is seen as a national competitive advantage for Australia in attracting investment into the</w:t>
      </w:r>
      <w:r w:rsidR="00771FAA">
        <w:t xml:space="preserve"> offshore oil and gas industry.</w:t>
      </w:r>
    </w:p>
    <w:p w:rsidR="00AA1E3E" w:rsidRDefault="00AA1E3E" w:rsidP="001C6582">
      <w:pPr>
        <w:pStyle w:val="NumberL1"/>
      </w:pPr>
      <w:r>
        <w:t>A key feature of NEATS is the access it provides to the Titles Register. The Titles Administrator is required to keep a register of titles and petroleum special prospecting authorities in each offshore area, as outlined in Part 4.2 of the OPGGS Act. The register must contain information pertaining to the title as set out in the legislation, as well as notices or instruments in relation to the title. This information is available to view through NEATS, with title notices and instruments available in PDF format.</w:t>
      </w:r>
    </w:p>
    <w:p w:rsidR="00AA1E3E" w:rsidRDefault="00AA1E3E" w:rsidP="006045A5">
      <w:pPr>
        <w:pStyle w:val="Noetic-Columnrecommendation"/>
        <w:tabs>
          <w:tab w:val="clear" w:pos="425"/>
          <w:tab w:val="num" w:pos="567"/>
        </w:tabs>
        <w:ind w:left="567" w:hanging="567"/>
      </w:pPr>
      <w:r>
        <w:t>NOPTA maintains a Titles Register that complies with the legislation as set out in the OPGGS Act, with public access to the Register available through NEATS.</w:t>
      </w:r>
    </w:p>
    <w:p w:rsidR="008066DF" w:rsidRPr="002C3B0F" w:rsidRDefault="00BA34FD" w:rsidP="001C6582">
      <w:pPr>
        <w:pStyle w:val="NumberL1"/>
      </w:pPr>
      <w:r w:rsidRPr="003F2AC2">
        <w:t>In addition to NEATS, NOPTA provides Geographic Information System (GIS) services. This includes provi</w:t>
      </w:r>
      <w:r w:rsidR="00F43FDD" w:rsidRPr="003F2AC2">
        <w:t>ding GIS information to government agencies</w:t>
      </w:r>
      <w:r w:rsidR="00920C5B" w:rsidRPr="002C3B0F">
        <w:t xml:space="preserve"> and to industry. The NOPTA website includes both title and well GIS information available to download, and is updated regularly.</w:t>
      </w:r>
      <w:r w:rsidR="0050182D" w:rsidRPr="002C3B0F">
        <w:t xml:space="preserve"> </w:t>
      </w:r>
      <w:r w:rsidR="00F43FDD" w:rsidRPr="002C3B0F">
        <w:t>G</w:t>
      </w:r>
      <w:r w:rsidR="00920C5B" w:rsidRPr="002C3B0F">
        <w:t>overnment agencies noted that the GIS data was accurate and they used it</w:t>
      </w:r>
      <w:r w:rsidR="00F43FDD" w:rsidRPr="002C3B0F">
        <w:t xml:space="preserve"> as part of their business</w:t>
      </w:r>
      <w:r w:rsidR="00920C5B" w:rsidRPr="002C3B0F">
        <w:t>, but</w:t>
      </w:r>
      <w:r w:rsidR="00F43FDD" w:rsidRPr="002C3B0F">
        <w:t xml:space="preserve"> often</w:t>
      </w:r>
      <w:r w:rsidR="00920C5B" w:rsidRPr="002C3B0F">
        <w:t xml:space="preserve"> supplemented it with other GIS services</w:t>
      </w:r>
      <w:r w:rsidR="00F43FDD" w:rsidRPr="002C3B0F">
        <w:t xml:space="preserve"> (such as subscription services)</w:t>
      </w:r>
      <w:r w:rsidR="00920C5B" w:rsidRPr="002C3B0F">
        <w:t xml:space="preserve">. States and </w:t>
      </w:r>
      <w:r w:rsidR="001C6582" w:rsidRPr="002C3B0F">
        <w:t xml:space="preserve">Territory </w:t>
      </w:r>
      <w:r w:rsidR="00920C5B" w:rsidRPr="002C3B0F">
        <w:t>J</w:t>
      </w:r>
      <w:r w:rsidR="00A373AB">
        <w:t xml:space="preserve">oint </w:t>
      </w:r>
      <w:r w:rsidR="00920C5B" w:rsidRPr="002C3B0F">
        <w:t>A</w:t>
      </w:r>
      <w:r w:rsidR="00A373AB">
        <w:t>uthority</w:t>
      </w:r>
      <w:r w:rsidR="00920C5B" w:rsidRPr="002C3B0F">
        <w:t xml:space="preserve"> delegates </w:t>
      </w:r>
      <w:r w:rsidR="00D257F6">
        <w:t>are satisfied</w:t>
      </w:r>
      <w:r w:rsidR="00920C5B" w:rsidRPr="002C3B0F">
        <w:t xml:space="preserve"> with the GIS service.</w:t>
      </w:r>
      <w:r w:rsidR="00C11080" w:rsidRPr="002C3B0F">
        <w:t xml:space="preserve"> </w:t>
      </w:r>
      <w:r w:rsidR="00920C5B" w:rsidRPr="002C3B0F">
        <w:t>The feedback on GIS services from industry was generally g</w:t>
      </w:r>
      <w:r w:rsidR="00C11080" w:rsidRPr="002C3B0F">
        <w:t xml:space="preserve">ood, </w:t>
      </w:r>
      <w:r w:rsidR="00D257F6">
        <w:t xml:space="preserve">although most use third party providers for </w:t>
      </w:r>
      <w:r w:rsidR="002B5310">
        <w:t>most</w:t>
      </w:r>
      <w:r w:rsidR="00D257F6">
        <w:t xml:space="preserve"> of a company’s GIS needs</w:t>
      </w:r>
      <w:r w:rsidR="00C11080" w:rsidRPr="002C3B0F">
        <w:t>.</w:t>
      </w:r>
    </w:p>
    <w:p w:rsidR="008066DF" w:rsidRPr="00A87828" w:rsidRDefault="00C11080" w:rsidP="006045A5">
      <w:pPr>
        <w:pStyle w:val="Noetic-Columnrecommendation"/>
        <w:tabs>
          <w:tab w:val="clear" w:pos="425"/>
          <w:tab w:val="num" w:pos="567"/>
        </w:tabs>
        <w:ind w:left="567" w:hanging="567"/>
      </w:pPr>
      <w:r w:rsidRPr="00A87828">
        <w:t xml:space="preserve">GIS services provided by NOPTA are used by a variety of stakeholders, and considered to be </w:t>
      </w:r>
      <w:r w:rsidR="008066DF" w:rsidRPr="00A87828">
        <w:t>appropriate and accurate</w:t>
      </w:r>
      <w:r w:rsidRPr="00A87828">
        <w:t>.</w:t>
      </w:r>
    </w:p>
    <w:p w:rsidR="00A757A8" w:rsidRPr="002C3B0F" w:rsidRDefault="00E64A38" w:rsidP="00A87828">
      <w:pPr>
        <w:pStyle w:val="RecommBody"/>
      </w:pPr>
      <w:r w:rsidRPr="002C3B0F">
        <w:t xml:space="preserve">That NOPTA, in conjunction with stakeholders, </w:t>
      </w:r>
      <w:r w:rsidR="00012D6B">
        <w:t>develop and implement short and long term plans</w:t>
      </w:r>
      <w:r w:rsidR="00012D6B" w:rsidRPr="002C3B0F">
        <w:t xml:space="preserve"> </w:t>
      </w:r>
      <w:r w:rsidRPr="002C3B0F">
        <w:t>to enhance the NEATS system to improve the efficiency and access to titles information.</w:t>
      </w:r>
    </w:p>
    <w:p w:rsidR="008066DF" w:rsidRPr="002C3B0F" w:rsidRDefault="008066DF" w:rsidP="00520457">
      <w:pPr>
        <w:spacing w:after="0"/>
      </w:pPr>
    </w:p>
    <w:p w:rsidR="00A757A8" w:rsidRPr="002C3B0F" w:rsidRDefault="007F5ED1" w:rsidP="00A87828">
      <w:pPr>
        <w:pStyle w:val="RecommBody"/>
      </w:pPr>
      <w:r w:rsidRPr="002C3B0F">
        <w:t>That NEATS functionality is extended to include more information on the progress of applications through the J</w:t>
      </w:r>
      <w:r w:rsidR="00A373AB">
        <w:t xml:space="preserve">oint </w:t>
      </w:r>
      <w:r w:rsidRPr="002C3B0F">
        <w:t>A</w:t>
      </w:r>
      <w:r w:rsidR="00A373AB">
        <w:t>uthority</w:t>
      </w:r>
      <w:r w:rsidRPr="002C3B0F">
        <w:t xml:space="preserve"> process.</w:t>
      </w:r>
    </w:p>
    <w:p w:rsidR="00F9514C" w:rsidRPr="002C3B0F" w:rsidRDefault="00F9514C" w:rsidP="00B06DD6">
      <w:pPr>
        <w:pStyle w:val="Heading20"/>
      </w:pPr>
      <w:bookmarkStart w:id="83" w:name="_Toc422740244"/>
      <w:bookmarkStart w:id="84" w:name="_Toc423426783"/>
      <w:bookmarkStart w:id="85" w:name="_Toc430102197"/>
      <w:bookmarkStart w:id="86" w:name="_Toc165369419"/>
      <w:r w:rsidRPr="002C3B0F">
        <w:t>Compliance</w:t>
      </w:r>
      <w:bookmarkEnd w:id="83"/>
      <w:bookmarkEnd w:id="84"/>
      <w:bookmarkEnd w:id="85"/>
    </w:p>
    <w:p w:rsidR="002A7EC7" w:rsidRPr="003F2AC2" w:rsidRDefault="002A7EC7" w:rsidP="001C6582">
      <w:pPr>
        <w:pStyle w:val="NumberL1"/>
      </w:pPr>
      <w:r w:rsidRPr="002C3B0F">
        <w:t>A key function of any regulatory</w:t>
      </w:r>
      <w:r w:rsidR="001C6582" w:rsidRPr="002C3B0F">
        <w:t xml:space="preserve"> agency</w:t>
      </w:r>
      <w:r w:rsidRPr="002C3B0F">
        <w:t xml:space="preserve"> is to undertake compliance action to ensure that </w:t>
      </w:r>
      <w:r w:rsidR="004A3B13">
        <w:t>Titleholders</w:t>
      </w:r>
      <w:r w:rsidRPr="002C3B0F">
        <w:t xml:space="preserve"> are adhering to the requirements set out in legislation and regulation</w:t>
      </w:r>
      <w:r w:rsidR="004B5BEC">
        <w:t xml:space="preserve">. </w:t>
      </w:r>
      <w:r w:rsidRPr="002C3B0F">
        <w:t xml:space="preserve">This includes monitoring conditions that can be placed on </w:t>
      </w:r>
      <w:r w:rsidR="004A3B13">
        <w:t>Titleholders’</w:t>
      </w:r>
      <w:r w:rsidRPr="002C3B0F">
        <w:t xml:space="preserve"> licenses</w:t>
      </w:r>
      <w:r w:rsidR="004B5BEC">
        <w:t xml:space="preserve">. </w:t>
      </w:r>
      <w:r w:rsidRPr="002C3B0F">
        <w:t>NOPTA is responsible for ensuring compliance on titles related activities in Commonwealth waters</w:t>
      </w:r>
      <w:r w:rsidR="004B5BEC">
        <w:t xml:space="preserve">. </w:t>
      </w:r>
      <w:r w:rsidRPr="002C3B0F">
        <w:t xml:space="preserve">Most of NOPTA’s compliance activity is undertaken by the </w:t>
      </w:r>
      <w:r w:rsidR="008154F4">
        <w:t>Compliance and Operations Support T</w:t>
      </w:r>
      <w:r>
        <w:t>eam.</w:t>
      </w:r>
    </w:p>
    <w:p w:rsidR="002A7EC7" w:rsidRPr="002C3B0F" w:rsidRDefault="002A7EC7" w:rsidP="001C6582">
      <w:pPr>
        <w:pStyle w:val="NumberL1"/>
      </w:pPr>
      <w:r w:rsidRPr="002C3B0F">
        <w:t xml:space="preserve">NOPTA’s compliance activities are aided by high levels of compliance reporting by the </w:t>
      </w:r>
      <w:r w:rsidR="008154F4">
        <w:t>offshore petroleum</w:t>
      </w:r>
      <w:r w:rsidRPr="002C3B0F">
        <w:t xml:space="preserve"> industry</w:t>
      </w:r>
      <w:r w:rsidR="004B5BEC">
        <w:t xml:space="preserve">. </w:t>
      </w:r>
      <w:r w:rsidRPr="002C3B0F">
        <w:t xml:space="preserve">It is arguable that maintaining security of tenure on titles is the driver behind this behaviour, </w:t>
      </w:r>
      <w:r w:rsidR="00E657F4">
        <w:t>and</w:t>
      </w:r>
      <w:r w:rsidR="00E657F4" w:rsidRPr="002C3B0F">
        <w:t xml:space="preserve"> </w:t>
      </w:r>
      <w:r w:rsidRPr="002C3B0F">
        <w:t>since its inception NOPTA has not used its powers to prosecute</w:t>
      </w:r>
      <w:r w:rsidR="004B5BEC">
        <w:t xml:space="preserve">. </w:t>
      </w:r>
      <w:r w:rsidRPr="002C3B0F">
        <w:t>NOPTA’s compliance approach and processes appear to have evolved as the agency has gained experience</w:t>
      </w:r>
      <w:r w:rsidR="00E657F4">
        <w:t xml:space="preserve"> and learnt from mistakes</w:t>
      </w:r>
      <w:r w:rsidR="004B5BEC">
        <w:t xml:space="preserve">. </w:t>
      </w:r>
      <w:r w:rsidRPr="002C3B0F">
        <w:t>NOPTA has a compliance work program that guides its effort for compliance action. The Review spoke with stakeholders about compliance monitoring and most agreed that it was appropriate and effective, although a number</w:t>
      </w:r>
      <w:r w:rsidR="00E657F4">
        <w:t xml:space="preserve"> of companies</w:t>
      </w:r>
      <w:r w:rsidRPr="002C3B0F">
        <w:t xml:space="preserve"> noted that it lacked flexibility (this is discussed below)</w:t>
      </w:r>
      <w:r w:rsidR="004B5BEC">
        <w:t xml:space="preserve">. </w:t>
      </w:r>
      <w:r w:rsidRPr="002C3B0F">
        <w:t>The Review confirmed that NOPTA gathers and checks evidence as part of its compliance activities</w:t>
      </w:r>
      <w:r w:rsidR="004B5BEC">
        <w:t xml:space="preserve">. </w:t>
      </w:r>
      <w:r w:rsidRPr="002C3B0F">
        <w:t>NOPTA’s compliance activity is</w:t>
      </w:r>
      <w:r w:rsidR="00E657F4">
        <w:t xml:space="preserve"> generally</w:t>
      </w:r>
      <w:r w:rsidRPr="002C3B0F">
        <w:t xml:space="preserve"> thorough </w:t>
      </w:r>
      <w:r w:rsidR="001C6582" w:rsidRPr="002C3B0F">
        <w:t xml:space="preserve">and appropriate </w:t>
      </w:r>
      <w:r w:rsidRPr="002C3B0F">
        <w:t xml:space="preserve">noting that it </w:t>
      </w:r>
      <w:r w:rsidR="001C6582" w:rsidRPr="002C3B0F">
        <w:t xml:space="preserve">relies </w:t>
      </w:r>
      <w:r w:rsidRPr="002C3B0F">
        <w:t xml:space="preserve">primarily on </w:t>
      </w:r>
      <w:r w:rsidR="000A6F71" w:rsidRPr="002C3B0F">
        <w:t>self-reporting</w:t>
      </w:r>
      <w:r w:rsidRPr="002C3B0F">
        <w:t>.</w:t>
      </w:r>
    </w:p>
    <w:p w:rsidR="002A7EC7" w:rsidRPr="002C3B0F" w:rsidRDefault="002A7EC7" w:rsidP="003F2AC2">
      <w:pPr>
        <w:pStyle w:val="NumberL1"/>
      </w:pPr>
      <w:r w:rsidRPr="002C3B0F">
        <w:t>NOPTA has identified a number of improvements to assist with its compliance activities</w:t>
      </w:r>
      <w:r w:rsidR="004B5BEC">
        <w:t xml:space="preserve">. </w:t>
      </w:r>
      <w:r w:rsidRPr="002C3B0F">
        <w:t>These primarily related to enhancing information management on compliance within the agency</w:t>
      </w:r>
      <w:r w:rsidR="004B5BEC">
        <w:t xml:space="preserve">. </w:t>
      </w:r>
      <w:r w:rsidRPr="002C3B0F">
        <w:t>A number of projects are either in progress or planned to improve information management (in particular through the use of a SharePoint system) in order to enhance internal situational awareness of compliance related issues</w:t>
      </w:r>
      <w:r w:rsidR="004B5BEC">
        <w:t xml:space="preserve">. </w:t>
      </w:r>
      <w:r w:rsidRPr="002C3B0F">
        <w:t>This is likely to lead to better compliance outcomes</w:t>
      </w:r>
      <w:r w:rsidR="00E657F4">
        <w:t xml:space="preserve"> and will incorporate lessons learnt</w:t>
      </w:r>
      <w:r w:rsidR="00771FAA">
        <w:t>.</w:t>
      </w:r>
    </w:p>
    <w:p w:rsidR="002A7EC7" w:rsidRPr="002C3B0F" w:rsidRDefault="002A7EC7">
      <w:pPr>
        <w:pStyle w:val="NumberL1"/>
      </w:pPr>
      <w:r w:rsidRPr="002C3B0F">
        <w:t>As noted above, some stakeholders highlighted that NOPTA showed little flexibility in undertaking compliance activities</w:t>
      </w:r>
      <w:r w:rsidR="004B5BEC">
        <w:t xml:space="preserve">. </w:t>
      </w:r>
      <w:r w:rsidRPr="002C3B0F">
        <w:t>For instance, in reviewing compliance against title work programs some companies believed that NOPTA applied an overly strict approach to compliance</w:t>
      </w:r>
      <w:r w:rsidR="004B5BEC">
        <w:t xml:space="preserve">. </w:t>
      </w:r>
      <w:r w:rsidRPr="002C3B0F">
        <w:t>This was particularly the case where companies believed that they had complied (or intended to comply) with the intent of the work program but through changes in circumstances</w:t>
      </w:r>
      <w:r w:rsidRPr="003F2AC2">
        <w:rPr>
          <w:rStyle w:val="FootnoteReference"/>
        </w:rPr>
        <w:footnoteReference w:id="12"/>
      </w:r>
      <w:r w:rsidRPr="003F2AC2">
        <w:t xml:space="preserve"> were considering an alternative approach</w:t>
      </w:r>
      <w:r w:rsidR="004B5BEC">
        <w:t xml:space="preserve">. </w:t>
      </w:r>
      <w:r w:rsidRPr="003F2AC2">
        <w:t>Industry believes that while helpful in working w</w:t>
      </w:r>
      <w:r w:rsidRPr="002C3B0F">
        <w:t>ith them, NOPTA applied a rigid approach to compliance.</w:t>
      </w:r>
    </w:p>
    <w:p w:rsidR="002A7EC7" w:rsidRPr="002C3B0F" w:rsidRDefault="002A7EC7" w:rsidP="001C6582">
      <w:pPr>
        <w:pStyle w:val="NumberL1"/>
      </w:pPr>
      <w:r w:rsidRPr="002C3B0F">
        <w:lastRenderedPageBreak/>
        <w:t>The Review understands that the majority of industry aims to comply with the requirements of the agreements made and that changes sought are reasonable and defensible on a number of grounds</w:t>
      </w:r>
      <w:r w:rsidR="004B5BEC">
        <w:t xml:space="preserve">. </w:t>
      </w:r>
      <w:r w:rsidRPr="002C3B0F">
        <w:t>For NOPTA there are the challenges of the legislation limiting the flexibility of the advice provided to a J</w:t>
      </w:r>
      <w:r w:rsidR="00A373AB">
        <w:t xml:space="preserve">oint </w:t>
      </w:r>
      <w:r w:rsidRPr="002C3B0F">
        <w:t>A</w:t>
      </w:r>
      <w:r w:rsidR="00A373AB">
        <w:t>uthority</w:t>
      </w:r>
      <w:r w:rsidRPr="002C3B0F">
        <w:t xml:space="preserve"> and in doing so, maintaining the integrity of the titles system</w:t>
      </w:r>
      <w:r w:rsidR="004B5BEC">
        <w:t xml:space="preserve">. </w:t>
      </w:r>
      <w:r w:rsidRPr="002C3B0F">
        <w:t>This is particularly the case where there is competition for a title</w:t>
      </w:r>
      <w:r w:rsidR="004B5BEC">
        <w:t xml:space="preserve">. </w:t>
      </w:r>
      <w:r w:rsidRPr="002C3B0F">
        <w:t>However, the</w:t>
      </w:r>
      <w:r w:rsidR="003856E2">
        <w:t>re are provisions</w:t>
      </w:r>
      <w:r w:rsidRPr="002C3B0F">
        <w:t xml:space="preserve"> for companies to manage titles through mechanisms such as Good Standing Arrangements</w:t>
      </w:r>
      <w:r w:rsidR="003856E2">
        <w:t xml:space="preserve"> if suitable</w:t>
      </w:r>
      <w:r w:rsidR="004B5BEC">
        <w:t xml:space="preserve">. </w:t>
      </w:r>
      <w:r w:rsidRPr="003F2AC2">
        <w:t>While the Review notes the concerns of industry around this aspect of compliance, the Review believes that the nature of the titles regime and the mechanisms it contains means that NOPTA is regulating appropriately and that changes to this approach would potentially impact upon the integrity of the regime.</w:t>
      </w:r>
    </w:p>
    <w:p w:rsidR="002A7EC7" w:rsidRPr="00A87828" w:rsidRDefault="002A7EC7" w:rsidP="006045A5">
      <w:pPr>
        <w:pStyle w:val="Noetic-Columnrecommendation"/>
        <w:tabs>
          <w:tab w:val="clear" w:pos="425"/>
          <w:tab w:val="num" w:pos="567"/>
        </w:tabs>
        <w:ind w:left="567" w:hanging="567"/>
      </w:pPr>
      <w:r w:rsidRPr="00A87828">
        <w:t xml:space="preserve">NOPTA’s </w:t>
      </w:r>
      <w:r w:rsidRPr="007B3EEC">
        <w:t>day</w:t>
      </w:r>
      <w:r w:rsidR="00E71487" w:rsidRPr="007B3EEC">
        <w:t>-</w:t>
      </w:r>
      <w:r w:rsidRPr="007B3EEC">
        <w:t>to</w:t>
      </w:r>
      <w:r w:rsidR="00E71487" w:rsidRPr="007B3EEC">
        <w:t>-</w:t>
      </w:r>
      <w:r w:rsidRPr="007B3EEC">
        <w:t>day</w:t>
      </w:r>
      <w:r w:rsidR="00E71487" w:rsidRPr="007B3EEC">
        <w:t xml:space="preserve"> </w:t>
      </w:r>
      <w:r w:rsidR="00E71487" w:rsidRPr="00A87828">
        <w:t>compliance</w:t>
      </w:r>
      <w:r w:rsidRPr="00A87828">
        <w:t xml:space="preserve"> activities are appropriate and its internal improvement plans will assist in enhancing its capability.</w:t>
      </w:r>
    </w:p>
    <w:p w:rsidR="00F9514C" w:rsidRPr="003F2AC2" w:rsidRDefault="00F9514C" w:rsidP="00B06DD6">
      <w:pPr>
        <w:pStyle w:val="Heading20"/>
      </w:pPr>
      <w:bookmarkStart w:id="87" w:name="_Toc422740245"/>
      <w:bookmarkStart w:id="88" w:name="_Toc423426784"/>
      <w:bookmarkStart w:id="89" w:name="_Toc430102198"/>
      <w:r w:rsidRPr="003F2AC2">
        <w:t>Resource Management</w:t>
      </w:r>
      <w:bookmarkEnd w:id="87"/>
      <w:bookmarkEnd w:id="88"/>
      <w:bookmarkEnd w:id="89"/>
    </w:p>
    <w:p w:rsidR="002A7EC7" w:rsidRPr="002C3B0F" w:rsidRDefault="002A7EC7" w:rsidP="00E71487">
      <w:pPr>
        <w:pStyle w:val="NumberL1"/>
      </w:pPr>
      <w:r w:rsidRPr="003F2AC2">
        <w:t>NOPTA is required under Part 6.10 of the OPGGS Act to provide assistance to Joint Authorities to help optimise the management of Australia’s petroleum resour</w:t>
      </w:r>
      <w:r w:rsidRPr="002C3B0F">
        <w:t>ces</w:t>
      </w:r>
      <w:r w:rsidR="004B5BEC">
        <w:t xml:space="preserve">. </w:t>
      </w:r>
      <w:r w:rsidRPr="002C3B0F">
        <w:t>This Review is aware that the Department of Industry and Science is undertaking a separate review of Offshore Oil and Gas Resource Management</w:t>
      </w:r>
      <w:r w:rsidR="004B5BEC">
        <w:t xml:space="preserve">. </w:t>
      </w:r>
      <w:r w:rsidRPr="002C3B0F">
        <w:t>Notwithstanding the Department’s review, Noetic will comment on NOPTA’s role in resource management</w:t>
      </w:r>
      <w:r w:rsidR="004B5BEC">
        <w:t xml:space="preserve">. </w:t>
      </w:r>
      <w:r w:rsidRPr="002C3B0F">
        <w:t xml:space="preserve">NOPTA undertakes this function primarily through the </w:t>
      </w:r>
      <w:r w:rsidR="00785B18" w:rsidRPr="002C3B0F">
        <w:t>Geoscience Engineering Team</w:t>
      </w:r>
      <w:r w:rsidR="00787A88" w:rsidRPr="002C3B0F">
        <w:t>.</w:t>
      </w:r>
    </w:p>
    <w:p w:rsidR="002A7EC7" w:rsidRPr="002C3B0F" w:rsidRDefault="002A7EC7" w:rsidP="003F2AC2">
      <w:pPr>
        <w:pStyle w:val="NumberL1"/>
      </w:pPr>
      <w:r w:rsidRPr="002C3B0F">
        <w:t>Managing offshore oil and gas resources is a technical and complex task</w:t>
      </w:r>
      <w:r w:rsidR="004B5BEC">
        <w:t xml:space="preserve">. </w:t>
      </w:r>
      <w:r w:rsidRPr="002C3B0F">
        <w:t xml:space="preserve">It requires personnel with the necessary qualifications, experience and knowledge to undertake the required review and </w:t>
      </w:r>
      <w:r w:rsidR="00E801CB" w:rsidRPr="002C3B0F">
        <w:t xml:space="preserve">ongoing </w:t>
      </w:r>
      <w:r w:rsidRPr="002C3B0F">
        <w:t>oversight of the development and production phases</w:t>
      </w:r>
      <w:r w:rsidR="004B5BEC">
        <w:t xml:space="preserve">. </w:t>
      </w:r>
      <w:r w:rsidRPr="002C3B0F">
        <w:t>These personnel are required to review development plans and the</w:t>
      </w:r>
      <w:r w:rsidR="005D68F5" w:rsidRPr="002C3B0F">
        <w:t xml:space="preserve"> ongoing</w:t>
      </w:r>
      <w:r w:rsidRPr="002C3B0F">
        <w:t xml:space="preserve"> implementation of these plans to ensure that the exploitation of the res</w:t>
      </w:r>
      <w:r w:rsidR="00787A88" w:rsidRPr="002C3B0F">
        <w:t xml:space="preserve">ource is </w:t>
      </w:r>
      <w:r w:rsidR="005D68F5" w:rsidRPr="002C3B0F">
        <w:t xml:space="preserve">in </w:t>
      </w:r>
      <w:r w:rsidR="00787A88" w:rsidRPr="002C3B0F">
        <w:t>the national interest.</w:t>
      </w:r>
      <w:r w:rsidR="005D68F5" w:rsidRPr="002C3B0F">
        <w:t xml:space="preserve"> Noting the size of Australia’s offshore petroleum industry this is not an insignificant task, particularly for a sma</w:t>
      </w:r>
      <w:r w:rsidR="00771FAA">
        <w:t>ll organisation such as NOPTA.</w:t>
      </w:r>
    </w:p>
    <w:p w:rsidR="00EA36A4" w:rsidRPr="002C3B0F" w:rsidRDefault="002A7EC7" w:rsidP="00E71487">
      <w:pPr>
        <w:pStyle w:val="NumberL1"/>
      </w:pPr>
      <w:r w:rsidRPr="002C3B0F">
        <w:t xml:space="preserve">NOPTA </w:t>
      </w:r>
      <w:r w:rsidR="00E71487" w:rsidRPr="002C3B0F">
        <w:t xml:space="preserve">currently </w:t>
      </w:r>
      <w:r w:rsidRPr="002C3B0F">
        <w:t>has approximately seven personnel that have the skills to contribute to this function</w:t>
      </w:r>
      <w:r w:rsidR="004B5BEC">
        <w:t xml:space="preserve">. </w:t>
      </w:r>
      <w:r w:rsidRPr="002C3B0F">
        <w:t xml:space="preserve">This appears to be sufficient capacity for the </w:t>
      </w:r>
      <w:r w:rsidR="00A82C1D" w:rsidRPr="002C3B0F">
        <w:t xml:space="preserve">day to day administration of titles in terms of processing exploration applications and the </w:t>
      </w:r>
      <w:r w:rsidR="00F21103">
        <w:t>limited</w:t>
      </w:r>
      <w:r w:rsidR="00F21103" w:rsidRPr="002C3B0F">
        <w:t xml:space="preserve"> </w:t>
      </w:r>
      <w:r w:rsidR="00A82C1D" w:rsidRPr="002C3B0F">
        <w:t>oversight of development and production</w:t>
      </w:r>
      <w:r w:rsidR="004B5BEC">
        <w:t xml:space="preserve">. </w:t>
      </w:r>
      <w:r w:rsidR="00E801CB" w:rsidRPr="002C3B0F">
        <w:t xml:space="preserve">There is not, however, sufficient personnel to undertake </w:t>
      </w:r>
      <w:r w:rsidR="005D68F5" w:rsidRPr="002C3B0F">
        <w:t>the task of resource management in a comprehensive manner</w:t>
      </w:r>
      <w:r w:rsidR="004B5BEC">
        <w:t xml:space="preserve">. </w:t>
      </w:r>
      <w:r w:rsidR="00EA36A4" w:rsidRPr="002C3B0F">
        <w:t xml:space="preserve">Consequently, the Review believes that this important function is not </w:t>
      </w:r>
      <w:r w:rsidR="00F21103">
        <w:t>currently</w:t>
      </w:r>
      <w:r w:rsidR="00F21103" w:rsidRPr="002C3B0F">
        <w:t xml:space="preserve"> </w:t>
      </w:r>
      <w:r w:rsidR="003856E2">
        <w:t>undertaken</w:t>
      </w:r>
      <w:r w:rsidR="003856E2" w:rsidRPr="002C3B0F">
        <w:t xml:space="preserve"> </w:t>
      </w:r>
      <w:r w:rsidR="00EA36A4" w:rsidRPr="002C3B0F">
        <w:t>to the extent that it should, primarily through a lack of capacity and supporting c</w:t>
      </w:r>
      <w:r w:rsidR="00771FAA">
        <w:t>apability.</w:t>
      </w:r>
    </w:p>
    <w:p w:rsidR="002A7EC7" w:rsidRPr="002C3B0F" w:rsidRDefault="00EA36A4" w:rsidP="00E71487">
      <w:pPr>
        <w:pStyle w:val="NumberL1"/>
      </w:pPr>
      <w:r w:rsidRPr="002C3B0F">
        <w:t>Ensuring that NOPTA can undertake the function of resource management in the most effective way will require the growth of its capacity and enhancement to its organisational capability</w:t>
      </w:r>
      <w:r w:rsidR="004B5BEC">
        <w:t xml:space="preserve">. </w:t>
      </w:r>
      <w:r w:rsidR="005D68F5" w:rsidRPr="002C3B0F">
        <w:t xml:space="preserve">This </w:t>
      </w:r>
      <w:r w:rsidRPr="002C3B0F">
        <w:t>means</w:t>
      </w:r>
      <w:r w:rsidR="005D68F5" w:rsidRPr="002C3B0F">
        <w:t xml:space="preserve"> an increase to NOPTA’</w:t>
      </w:r>
      <w:r w:rsidRPr="002C3B0F">
        <w:t xml:space="preserve">s </w:t>
      </w:r>
      <w:r w:rsidR="009712FB" w:rsidRPr="002C3B0F">
        <w:t>capacity, that</w:t>
      </w:r>
      <w:r w:rsidR="005D68F5" w:rsidRPr="002C3B0F">
        <w:t xml:space="preserve"> is</w:t>
      </w:r>
      <w:r w:rsidR="009712FB" w:rsidRPr="002C3B0F">
        <w:t>,</w:t>
      </w:r>
      <w:r w:rsidR="005D68F5" w:rsidRPr="002C3B0F">
        <w:t xml:space="preserve"> the number of personnel</w:t>
      </w:r>
      <w:r w:rsidRPr="002C3B0F">
        <w:t xml:space="preserve"> with the requisite skills and experience</w:t>
      </w:r>
      <w:r w:rsidR="004B5BEC">
        <w:t xml:space="preserve">. </w:t>
      </w:r>
      <w:r w:rsidR="009712FB" w:rsidRPr="002C3B0F">
        <w:t>The Review notes that such personnel are in high demand with industry</w:t>
      </w:r>
      <w:r w:rsidR="004B5BEC">
        <w:t xml:space="preserve">. </w:t>
      </w:r>
      <w:r w:rsidR="009712FB" w:rsidRPr="002C3B0F">
        <w:t>Attracting and retaining them will entail thorough planning</w:t>
      </w:r>
      <w:r w:rsidR="004B5BEC">
        <w:t xml:space="preserve">. </w:t>
      </w:r>
      <w:r w:rsidR="005D68F5" w:rsidRPr="002C3B0F">
        <w:t>In addition to the requirement to increase NO</w:t>
      </w:r>
      <w:r w:rsidR="00DD53AF">
        <w:t>P</w:t>
      </w:r>
      <w:r w:rsidR="005D68F5" w:rsidRPr="002C3B0F">
        <w:t xml:space="preserve">TA’s capacity, there will be a </w:t>
      </w:r>
      <w:r w:rsidR="005D68F5" w:rsidRPr="002C3B0F">
        <w:lastRenderedPageBreak/>
        <w:t>need to enhance NOPTA’s capability in terms of ensuring it has the processes, information technology</w:t>
      </w:r>
      <w:r w:rsidRPr="002C3B0F">
        <w:t xml:space="preserve"> (such as new information systems and integration into existing systems), data management and </w:t>
      </w:r>
      <w:r w:rsidR="009712FB" w:rsidRPr="002C3B0F">
        <w:t xml:space="preserve">organisational </w:t>
      </w:r>
      <w:r w:rsidRPr="002C3B0F">
        <w:t>systems to support the function</w:t>
      </w:r>
      <w:r w:rsidR="004B5BEC">
        <w:t xml:space="preserve">. </w:t>
      </w:r>
      <w:r w:rsidRPr="002C3B0F">
        <w:t>The development and implementation of this expanded capability and additional capacity will require careful planning</w:t>
      </w:r>
      <w:r w:rsidR="004B5BEC">
        <w:t xml:space="preserve">. </w:t>
      </w:r>
      <w:r w:rsidR="009712FB" w:rsidRPr="002C3B0F">
        <w:t>As part of the planning process,</w:t>
      </w:r>
      <w:r w:rsidRPr="002C3B0F">
        <w:t xml:space="preserve"> liaison with the Department of Industry, Geoscience Australia</w:t>
      </w:r>
      <w:r w:rsidRPr="003F2AC2">
        <w:t>, industry and other stakeholders</w:t>
      </w:r>
      <w:r w:rsidR="009712FB" w:rsidRPr="003F2AC2">
        <w:t xml:space="preserve"> will need undertaking</w:t>
      </w:r>
      <w:r w:rsidR="00771FAA">
        <w:t>.</w:t>
      </w:r>
    </w:p>
    <w:p w:rsidR="000815E0" w:rsidRPr="000815E0" w:rsidRDefault="000815E0" w:rsidP="000815E0">
      <w:pPr>
        <w:pStyle w:val="RecommBody"/>
      </w:pPr>
      <w:r w:rsidRPr="000815E0">
        <w:t>That depending on the outcomes of the Department of Industry and Science’s report on the Management of Offshore Resources, the Minister consider an enhancement to NOPTA’s capability and capacity to enable it to more effectively contribute to the management of Australia’s offshore resources.</w:t>
      </w:r>
    </w:p>
    <w:p w:rsidR="00F9514C" w:rsidRPr="002C3B0F" w:rsidRDefault="00F9514C" w:rsidP="00B06DD6">
      <w:pPr>
        <w:pStyle w:val="Heading20"/>
      </w:pPr>
      <w:bookmarkStart w:id="90" w:name="_Toc422740246"/>
      <w:bookmarkStart w:id="91" w:name="_Toc423426785"/>
      <w:bookmarkStart w:id="92" w:name="_Toc430102199"/>
      <w:r w:rsidRPr="002C3B0F">
        <w:t>Internal Operations</w:t>
      </w:r>
      <w:bookmarkEnd w:id="90"/>
      <w:bookmarkEnd w:id="91"/>
      <w:bookmarkEnd w:id="92"/>
    </w:p>
    <w:p w:rsidR="00BD224F" w:rsidRPr="002C3B0F" w:rsidRDefault="00BD224F" w:rsidP="00E71487">
      <w:pPr>
        <w:pStyle w:val="NumberL1"/>
      </w:pPr>
      <w:r w:rsidRPr="002C3B0F">
        <w:t xml:space="preserve">NOPTA </w:t>
      </w:r>
      <w:r w:rsidR="0094487F" w:rsidRPr="002C3B0F">
        <w:t>h</w:t>
      </w:r>
      <w:r w:rsidRPr="002C3B0F">
        <w:t xml:space="preserve">as approximately 44 staff in two offices. The structure of the organisation is explained in the Background section of this report. The Review team examined NOPTA’s operations, procedures, documents, outputs and held discussions with key staff. Much has been achieved since NOPTA commenced operations in January 2012, particularly given </w:t>
      </w:r>
      <w:r w:rsidR="00EF6D1A" w:rsidRPr="002C3B0F">
        <w:t xml:space="preserve">the short timeframe from the decision to establish NOPTA to the commencement of operations. Notably, stakeholders </w:t>
      </w:r>
      <w:r w:rsidR="00410C92">
        <w:t xml:space="preserve">mostly </w:t>
      </w:r>
      <w:r w:rsidR="00EF6D1A" w:rsidRPr="002C3B0F">
        <w:t xml:space="preserve">described the start of NOPTA’s operations as being ‘seamless’. This reflects well on the staff at NOPTA in what must have been a </w:t>
      </w:r>
      <w:r w:rsidR="001C73D0" w:rsidRPr="002C3B0F">
        <w:t xml:space="preserve">challenging </w:t>
      </w:r>
      <w:r w:rsidR="00EF6D1A" w:rsidRPr="002C3B0F">
        <w:t>time.</w:t>
      </w:r>
    </w:p>
    <w:p w:rsidR="00EF6D1A" w:rsidRPr="002C3B0F" w:rsidRDefault="00EF6D1A" w:rsidP="00E71487">
      <w:pPr>
        <w:pStyle w:val="NumberL1"/>
      </w:pPr>
      <w:r w:rsidRPr="002C3B0F">
        <w:t xml:space="preserve">The current level of work that NOPTA is undertaking </w:t>
      </w:r>
      <w:r w:rsidR="00471B10" w:rsidRPr="002C3B0F">
        <w:t>keeps staff fully engaged, processing applications and developing advice. Based on the Review’s observations the level of staffing is adequate for the current workload</w:t>
      </w:r>
      <w:r w:rsidR="00410C92">
        <w:t xml:space="preserve"> (except for resource management which is discussed above)</w:t>
      </w:r>
      <w:r w:rsidR="00471B10" w:rsidRPr="002C3B0F">
        <w:t xml:space="preserve">, although this should </w:t>
      </w:r>
      <w:r w:rsidR="00683828" w:rsidRPr="002C3B0F">
        <w:t>continue</w:t>
      </w:r>
      <w:r w:rsidR="00471B10" w:rsidRPr="002C3B0F">
        <w:t xml:space="preserve"> to be monitored. The Review believes that a key element of the agency’s performance is a culture of continuous improvement. Each section of NOPTA has plans to enhance its operation and service, and is open to new ideas for improvement.</w:t>
      </w:r>
      <w:r w:rsidR="008C3BA3" w:rsidRPr="002C3B0F">
        <w:t xml:space="preserve"> </w:t>
      </w:r>
      <w:r w:rsidR="00471B10" w:rsidRPr="002C3B0F">
        <w:t xml:space="preserve">This is commendable. </w:t>
      </w:r>
      <w:r w:rsidR="00E25096" w:rsidRPr="002C3B0F">
        <w:t xml:space="preserve">However, </w:t>
      </w:r>
      <w:r w:rsidR="00E25096">
        <w:t>there is a perception</w:t>
      </w:r>
      <w:r w:rsidR="00E71487" w:rsidRPr="002C3B0F">
        <w:t xml:space="preserve"> that </w:t>
      </w:r>
      <w:r w:rsidR="00E25096" w:rsidRPr="002C3B0F">
        <w:t xml:space="preserve">NOPTA’s advice is </w:t>
      </w:r>
      <w:r w:rsidR="00410C92">
        <w:t xml:space="preserve">not always </w:t>
      </w:r>
      <w:r w:rsidR="00E25096" w:rsidRPr="002C3B0F">
        <w:t>consistent</w:t>
      </w:r>
      <w:r w:rsidR="004B5BEC">
        <w:t xml:space="preserve">. </w:t>
      </w:r>
      <w:r w:rsidR="00E25096">
        <w:t>This was from a range of stakeholders and while it</w:t>
      </w:r>
      <w:r w:rsidR="00E71487" w:rsidRPr="002C3B0F">
        <w:t xml:space="preserve"> </w:t>
      </w:r>
      <w:r w:rsidR="00E25096" w:rsidRPr="002C3B0F">
        <w:t>was not identified as a major issue</w:t>
      </w:r>
      <w:r w:rsidR="00E25096">
        <w:t xml:space="preserve"> by any</w:t>
      </w:r>
      <w:r w:rsidR="00E25096" w:rsidRPr="002C3B0F">
        <w:t>, it should be a focus of NO</w:t>
      </w:r>
      <w:r w:rsidR="00DD53AF">
        <w:t>P</w:t>
      </w:r>
      <w:r w:rsidR="00E25096" w:rsidRPr="002C3B0F">
        <w:t>TA’s continuous improvement efforts.</w:t>
      </w:r>
    </w:p>
    <w:p w:rsidR="00BD224F" w:rsidRPr="002C3B0F" w:rsidRDefault="00EF6D1A" w:rsidP="003F2AC2">
      <w:pPr>
        <w:pStyle w:val="NumberL1"/>
      </w:pPr>
      <w:r w:rsidRPr="002C3B0F">
        <w:t xml:space="preserve">NOPTA receives support from the Department of Industry and Science for a range of its corporate activities (such as Information Communications Technology and Human Resources). NOPTA does have a number of personnel who provide internal support to the agency. Based on the Review Team’s experience in shared services arrangements, the level of this </w:t>
      </w:r>
      <w:r w:rsidR="00471B10" w:rsidRPr="002C3B0F">
        <w:t>internal support is appropriate</w:t>
      </w:r>
      <w:r w:rsidR="00897B6E" w:rsidRPr="002C3B0F">
        <w:t>, particularly given that NOPTA’s offices are not based in Canberra</w:t>
      </w:r>
      <w:r w:rsidR="00471B10" w:rsidRPr="002C3B0F">
        <w:t>. This means that quality corporate services are provided to NOPTA’s</w:t>
      </w:r>
      <w:r w:rsidR="00771FAA">
        <w:t xml:space="preserve"> staff with a minimum overhead.</w:t>
      </w:r>
    </w:p>
    <w:p w:rsidR="00F24F21" w:rsidRPr="002C3B0F" w:rsidRDefault="00471B10" w:rsidP="00E71487">
      <w:pPr>
        <w:pStyle w:val="NumberL1"/>
      </w:pPr>
      <w:r w:rsidRPr="002C3B0F">
        <w:lastRenderedPageBreak/>
        <w:t>If accepted, Recommendation 3 of this report will require the strengthening of NOPTA’s internal capability and capacity</w:t>
      </w:r>
      <w:r w:rsidR="00E71487" w:rsidRPr="002C3B0F">
        <w:t>.</w:t>
      </w:r>
      <w:r w:rsidR="00440F3C" w:rsidRPr="003F2AC2">
        <w:rPr>
          <w:rStyle w:val="FootnoteReference"/>
        </w:rPr>
        <w:footnoteReference w:id="13"/>
      </w:r>
      <w:r w:rsidR="001C73D0" w:rsidRPr="003F2AC2">
        <w:t xml:space="preserve"> This will include the ability to </w:t>
      </w:r>
      <w:r w:rsidR="007538AF" w:rsidRPr="003F2AC2">
        <w:t>undertake</w:t>
      </w:r>
      <w:r w:rsidR="001C73D0" w:rsidRPr="003F2AC2">
        <w:t xml:space="preserve"> internal checks </w:t>
      </w:r>
      <w:r w:rsidR="001C73D0">
        <w:t xml:space="preserve">and </w:t>
      </w:r>
      <w:r w:rsidR="00410C92">
        <w:t xml:space="preserve">quality assurance </w:t>
      </w:r>
      <w:r w:rsidR="001C73D0" w:rsidRPr="003F2AC2">
        <w:t>to ensure the integrity of the decision</w:t>
      </w:r>
      <w:r w:rsidR="00E71487" w:rsidRPr="002C3B0F">
        <w:t>-</w:t>
      </w:r>
      <w:r w:rsidR="001C73D0" w:rsidRPr="002C3B0F">
        <w:t>making process.</w:t>
      </w:r>
      <w:r w:rsidRPr="002C3B0F">
        <w:t xml:space="preserve"> This will requi</w:t>
      </w:r>
      <w:r w:rsidR="00BF39B0" w:rsidRPr="002C3B0F">
        <w:t xml:space="preserve">re the development and implementation of a plan for this enhancement prior to changes being </w:t>
      </w:r>
      <w:r w:rsidR="00E71487" w:rsidRPr="002C3B0F">
        <w:t>introduced</w:t>
      </w:r>
      <w:r w:rsidR="00BF39B0" w:rsidRPr="002C3B0F">
        <w:t xml:space="preserve">. Similarly if Recommendation </w:t>
      </w:r>
      <w:r w:rsidR="006E1609" w:rsidRPr="002C3B0F">
        <w:t xml:space="preserve">6 </w:t>
      </w:r>
      <w:r w:rsidR="00BF39B0" w:rsidRPr="002C3B0F">
        <w:t xml:space="preserve">is </w:t>
      </w:r>
      <w:r w:rsidR="00300FAA" w:rsidRPr="002C3B0F">
        <w:t>accepted</w:t>
      </w:r>
      <w:r w:rsidR="00E71487" w:rsidRPr="002C3B0F">
        <w:t>,</w:t>
      </w:r>
      <w:r w:rsidR="00BF39B0" w:rsidRPr="002C3B0F">
        <w:t xml:space="preserve"> it will require the growth of NOPTA’s capacity and strengthening </w:t>
      </w:r>
      <w:r w:rsidR="00E71487" w:rsidRPr="002C3B0F">
        <w:t xml:space="preserve">of </w:t>
      </w:r>
      <w:r w:rsidR="00BF39B0" w:rsidRPr="002C3B0F">
        <w:t>its capability to undertake resource management</w:t>
      </w:r>
      <w:r w:rsidR="00F24F21" w:rsidRPr="002C3B0F">
        <w:t>.</w:t>
      </w:r>
      <w:r w:rsidR="002C7157" w:rsidRPr="002C3B0F">
        <w:t xml:space="preserve"> This too will require a structured approach </w:t>
      </w:r>
      <w:r w:rsidR="00771FAA">
        <w:t>to planning and implementation.</w:t>
      </w:r>
    </w:p>
    <w:p w:rsidR="0042034C" w:rsidRPr="002C3B0F" w:rsidRDefault="0042034C" w:rsidP="0042034C">
      <w:pPr>
        <w:pStyle w:val="RecommBody"/>
        <w:keepLines w:val="0"/>
      </w:pPr>
      <w:r w:rsidRPr="002C3B0F">
        <w:t xml:space="preserve">That NOPTA develop and implement plans to </w:t>
      </w:r>
      <w:r>
        <w:t>facilitate</w:t>
      </w:r>
      <w:r w:rsidRPr="002C3B0F">
        <w:t xml:space="preserve"> Recommendations 3 and 6 </w:t>
      </w:r>
      <w:r>
        <w:t>(if</w:t>
      </w:r>
      <w:r w:rsidRPr="002C3B0F">
        <w:t xml:space="preserve"> accepted</w:t>
      </w:r>
      <w:r>
        <w:t>)</w:t>
      </w:r>
      <w:r w:rsidRPr="002C3B0F">
        <w:t>.</w:t>
      </w:r>
    </w:p>
    <w:p w:rsidR="00F9514C" w:rsidRPr="002C3B0F" w:rsidRDefault="00F9514C" w:rsidP="00B06DD6">
      <w:pPr>
        <w:pStyle w:val="Heading20"/>
      </w:pPr>
      <w:bookmarkStart w:id="93" w:name="_Toc422740247"/>
      <w:bookmarkStart w:id="94" w:name="_Toc423426786"/>
      <w:bookmarkStart w:id="95" w:name="_Toc430102200"/>
      <w:r w:rsidRPr="002C3B0F">
        <w:t>Cost Recovery</w:t>
      </w:r>
      <w:bookmarkEnd w:id="93"/>
      <w:bookmarkEnd w:id="94"/>
      <w:bookmarkEnd w:id="95"/>
    </w:p>
    <w:p w:rsidR="0062024E" w:rsidRPr="003F2AC2" w:rsidRDefault="0062024E" w:rsidP="00E71487">
      <w:pPr>
        <w:pStyle w:val="NumberL1"/>
      </w:pPr>
      <w:r w:rsidRPr="002C3B0F">
        <w:t xml:space="preserve">NOPTA </w:t>
      </w:r>
      <w:r w:rsidR="00F3418B" w:rsidRPr="002C3B0F">
        <w:t xml:space="preserve">operates on the basis of </w:t>
      </w:r>
      <w:r w:rsidR="00F3418B" w:rsidRPr="0018094A">
        <w:t xml:space="preserve">a </w:t>
      </w:r>
      <w:r w:rsidR="00F3418B" w:rsidRPr="002C3B0F">
        <w:t>cost recovery</w:t>
      </w:r>
      <w:r w:rsidR="00F3418B" w:rsidRPr="0018094A">
        <w:t xml:space="preserve"> agency</w:t>
      </w:r>
      <w:r w:rsidR="00F3418B" w:rsidRPr="002C3B0F">
        <w:t>.</w:t>
      </w:r>
      <w:r w:rsidRPr="002C3B0F">
        <w:t xml:space="preserve"> </w:t>
      </w:r>
      <w:r w:rsidR="00F3418B" w:rsidRPr="002C3B0F">
        <w:t xml:space="preserve">Its </w:t>
      </w:r>
      <w:r w:rsidR="005C4077" w:rsidRPr="002C3B0F">
        <w:t xml:space="preserve">administrative expenses </w:t>
      </w:r>
      <w:r w:rsidR="00F3418B" w:rsidRPr="002C3B0F">
        <w:t xml:space="preserve">for </w:t>
      </w:r>
      <w:r w:rsidR="005C4077" w:rsidRPr="002C3B0F">
        <w:t xml:space="preserve">Financial Year 2013/14 </w:t>
      </w:r>
      <w:r w:rsidR="00F3418B" w:rsidRPr="002C3B0F">
        <w:t>was $10.06 million</w:t>
      </w:r>
      <w:r w:rsidR="00E71487" w:rsidRPr="002C3B0F">
        <w:t>.</w:t>
      </w:r>
      <w:r w:rsidR="00F3418B" w:rsidRPr="003F2AC2">
        <w:rPr>
          <w:rStyle w:val="FootnoteReference"/>
        </w:rPr>
        <w:footnoteReference w:id="14"/>
      </w:r>
    </w:p>
    <w:p w:rsidR="000262BD" w:rsidRPr="003F2AC2" w:rsidRDefault="00F3418B" w:rsidP="002C3B0F">
      <w:pPr>
        <w:pStyle w:val="NumberL1"/>
      </w:pPr>
      <w:r w:rsidRPr="003F2AC2">
        <w:t xml:space="preserve">During the consultation phase, stakeholders were asked about the level of fees charged by NOPTA and if this represented value for money. No concerns were expressed by any stakeholders about the level of fees. All agreed that their organisations </w:t>
      </w:r>
      <w:r w:rsidR="00410C92">
        <w:t>received</w:t>
      </w:r>
      <w:r w:rsidRPr="003F2AC2">
        <w:t xml:space="preserve"> value for money for the fees and the level of service.</w:t>
      </w:r>
      <w:r w:rsidR="000262BD" w:rsidRPr="003F2AC2">
        <w:t xml:space="preserve"> This reflects well on the efficiency of NOPTA.</w:t>
      </w:r>
    </w:p>
    <w:p w:rsidR="008A3346" w:rsidRPr="003F2AC2" w:rsidRDefault="000262BD" w:rsidP="002C3B0F">
      <w:pPr>
        <w:pStyle w:val="NumberL1"/>
      </w:pPr>
      <w:r w:rsidRPr="003F2AC2">
        <w:t>As noted in the previous section, NOPTA receives a range of corporate support services from the Department of Industry and Science. This arrangement is supported by the Review as it provides a cost effective way of delivering services to a modestly sized organisation like NOPTA. However, the Review Team was not clear that all costs are being fully recovered from NOPTA, with evidence being conflicting. The amounts are likely small, however, all costs should be recovered providing it is cost effective to do so. The Department should ensure that all costs are being fully recovered from NOPTA.</w:t>
      </w:r>
    </w:p>
    <w:p w:rsidR="000262BD" w:rsidRPr="005054C7" w:rsidRDefault="000262BD" w:rsidP="006045A5">
      <w:pPr>
        <w:pStyle w:val="Noetic-Columnrecommendation"/>
        <w:tabs>
          <w:tab w:val="clear" w:pos="425"/>
          <w:tab w:val="num" w:pos="567"/>
        </w:tabs>
        <w:ind w:left="567" w:hanging="567"/>
      </w:pPr>
      <w:r w:rsidRPr="005054C7">
        <w:t>There may</w:t>
      </w:r>
      <w:r w:rsidR="00D375BE" w:rsidRPr="005054C7">
        <w:t xml:space="preserve"> </w:t>
      </w:r>
      <w:r w:rsidRPr="005054C7">
        <w:t>be costs that</w:t>
      </w:r>
      <w:r w:rsidR="007538AF" w:rsidRPr="005054C7">
        <w:t xml:space="preserve"> are</w:t>
      </w:r>
      <w:r w:rsidRPr="005054C7">
        <w:t xml:space="preserve"> not being recovered by the Department from NOPTA. Should this be the case and it is </w:t>
      </w:r>
      <w:r w:rsidR="00900D5D" w:rsidRPr="005054C7">
        <w:t>cost effective to do so, these costs should be recovered.</w:t>
      </w:r>
    </w:p>
    <w:p w:rsidR="0041218D" w:rsidRPr="003F2AC2" w:rsidRDefault="00F3418B" w:rsidP="003F2AC2">
      <w:pPr>
        <w:pStyle w:val="NumberL1"/>
      </w:pPr>
      <w:r w:rsidRPr="003F2AC2">
        <w:t xml:space="preserve">To confirm that </w:t>
      </w:r>
      <w:r w:rsidR="00A31A6E" w:rsidRPr="003F2AC2">
        <w:t xml:space="preserve">the level of fees charged is appropriate and contributes to Australia’s international competitiveness, a review of fees charged by other nations was undertaken. While it is difficult to undertake a direct comparison, </w:t>
      </w:r>
      <w:r w:rsidR="0041218D" w:rsidRPr="003F2AC2">
        <w:t>Text Box 1</w:t>
      </w:r>
      <w:r w:rsidR="00A31A6E" w:rsidRPr="003F2AC2">
        <w:t xml:space="preserve"> contains information on fee structures for Norway and the United Kingdom.</w:t>
      </w:r>
      <w:r w:rsidR="00764F58" w:rsidRPr="003F2AC2">
        <w:t xml:space="preserve"> </w:t>
      </w:r>
      <w:r w:rsidR="00A31A6E" w:rsidRPr="003F2AC2">
        <w:t xml:space="preserve">During discussions with industry </w:t>
      </w:r>
      <w:r w:rsidR="007538AF" w:rsidRPr="003F2AC2">
        <w:t xml:space="preserve">in </w:t>
      </w:r>
      <w:r w:rsidR="00A31A6E" w:rsidRPr="003F2AC2">
        <w:t>the consultation phase, stakeholders a</w:t>
      </w:r>
      <w:r w:rsidR="00764F58" w:rsidRPr="003F2AC2">
        <w:t xml:space="preserve">necdotally </w:t>
      </w:r>
      <w:r w:rsidR="00A31A6E" w:rsidRPr="003F2AC2">
        <w:lastRenderedPageBreak/>
        <w:t xml:space="preserve">advised that NOPTA’s fees are </w:t>
      </w:r>
      <w:r w:rsidR="00764F58" w:rsidRPr="003F2AC2">
        <w:t>competitive</w:t>
      </w:r>
      <w:r w:rsidR="00A31A6E" w:rsidRPr="003F2AC2">
        <w:t xml:space="preserve"> when benchmarked against other countries in the</w:t>
      </w:r>
      <w:r w:rsidR="0041218D" w:rsidRPr="003F2AC2">
        <w:t xml:space="preserve"> </w:t>
      </w:r>
      <w:r w:rsidR="00764F58" w:rsidRPr="003F2AC2">
        <w:t>Asia/Pacific</w:t>
      </w:r>
      <w:r w:rsidR="003B6187">
        <w:t xml:space="preserve"> region</w:t>
      </w:r>
      <w:r w:rsidR="0041218D" w:rsidRPr="003F2AC2">
        <w:t>.</w:t>
      </w:r>
    </w:p>
    <w:p w:rsidR="00EF6D1A" w:rsidRPr="005054C7" w:rsidRDefault="00764F58" w:rsidP="006045A5">
      <w:pPr>
        <w:pStyle w:val="Noetic-Columnrecommendation"/>
        <w:tabs>
          <w:tab w:val="clear" w:pos="425"/>
          <w:tab w:val="num" w:pos="567"/>
        </w:tabs>
        <w:ind w:left="567" w:hanging="567"/>
      </w:pPr>
      <w:r w:rsidRPr="005054C7">
        <w:t>NOPTA provides an effective function at a reasonable cost to industry.</w:t>
      </w:r>
    </w:p>
    <w:p w:rsidR="00893F36" w:rsidRPr="004D22F4" w:rsidRDefault="00893F36" w:rsidP="00E42D56">
      <w:pPr>
        <w:pStyle w:val="TextBoxCaption"/>
      </w:pPr>
      <w:r w:rsidRPr="003F2AC2">
        <w:lastRenderedPageBreak/>
        <w:t>Text Box 1 – Internat</w:t>
      </w:r>
      <w:r w:rsidRPr="007E77BE">
        <w:t>ional Comparis</w:t>
      </w:r>
      <w:r w:rsidRPr="004D22F4">
        <w:t>on of Offshore Petroleum Titles Fees</w:t>
      </w:r>
    </w:p>
    <w:p w:rsidR="00FD68C7" w:rsidRPr="007B3EEC" w:rsidRDefault="00FD68C7" w:rsidP="007B3EEC">
      <w:pPr>
        <w:pStyle w:val="Noetic-BodyText"/>
        <w:pBdr>
          <w:top w:val="single" w:sz="4" w:space="1" w:color="auto"/>
          <w:left w:val="single" w:sz="4" w:space="4" w:color="auto"/>
          <w:bottom w:val="single" w:sz="4" w:space="1" w:color="auto"/>
          <w:right w:val="single" w:sz="4" w:space="4" w:color="auto"/>
        </w:pBdr>
        <w:shd w:val="clear" w:color="auto" w:fill="CCCCCC"/>
        <w:rPr>
          <w:szCs w:val="20"/>
        </w:rPr>
      </w:pPr>
      <w:r w:rsidRPr="007E77BE">
        <w:t>It is difficult to compare the regulatory processing fees of different jurisdictions across the world. Eac</w:t>
      </w:r>
      <w:r w:rsidRPr="003F2AC2">
        <w:t>h separate jurisdiction takes a differ</w:t>
      </w:r>
      <w:r w:rsidRPr="004D22F4">
        <w:t>ent approach</w:t>
      </w:r>
      <w:r w:rsidRPr="003F2AC2">
        <w:t xml:space="preserve"> for fees and charges, with some calculating base</w:t>
      </w:r>
      <w:r w:rsidRPr="007E77BE">
        <w:t>d on perceived ‘value’ of a block, others on the effort required to process an application, and others by calculating a mix of factors. For the purposes of t</w:t>
      </w:r>
      <w:r w:rsidRPr="003F2AC2">
        <w:t xml:space="preserve">his comparison, fees between Norway, the United Kingdom, and Australia are considered. An in-depth break down of fee/levy methodology is outlined in Annex </w:t>
      </w:r>
      <w:r w:rsidR="008A0DEE" w:rsidRPr="007B3EEC">
        <w:rPr>
          <w:szCs w:val="20"/>
        </w:rPr>
        <w:t>D</w:t>
      </w:r>
      <w:r w:rsidRPr="007B3EEC">
        <w:rPr>
          <w:szCs w:val="20"/>
        </w:rPr>
        <w:t>.</w:t>
      </w:r>
    </w:p>
    <w:p w:rsidR="009D215F" w:rsidRPr="005E2A49" w:rsidRDefault="00C5088C" w:rsidP="007B3EEC">
      <w:pPr>
        <w:pStyle w:val="Noetic-BodyText"/>
        <w:pBdr>
          <w:top w:val="single" w:sz="4" w:space="1" w:color="auto"/>
          <w:left w:val="single" w:sz="4" w:space="4" w:color="auto"/>
          <w:bottom w:val="single" w:sz="4" w:space="1" w:color="auto"/>
          <w:right w:val="single" w:sz="4" w:space="4" w:color="auto"/>
        </w:pBdr>
        <w:shd w:val="clear" w:color="auto" w:fill="CCCCCC"/>
      </w:pPr>
      <w:r w:rsidRPr="007B3EEC">
        <w:rPr>
          <w:szCs w:val="20"/>
        </w:rPr>
        <w:t>In order to compare fees and charges between jurisdictions, a scenario has been considered based on an existing title. This scenario comes from the United Kingdom and is based on seaward license P2077</w:t>
      </w:r>
      <w:r w:rsidR="005E2A49">
        <w:t>.</w:t>
      </w:r>
      <w:r w:rsidRPr="007B3EEC">
        <w:rPr>
          <w:rStyle w:val="FootnoteReference"/>
        </w:rPr>
        <w:footnoteReference w:id="15"/>
      </w:r>
      <w:r w:rsidRPr="005E2A49">
        <w:t xml:space="preserve"> The size of the area is approximately 26km</w:t>
      </w:r>
      <w:r w:rsidRPr="007B3EEC">
        <w:rPr>
          <w:vertAlign w:val="superscript"/>
        </w:rPr>
        <w:t>2</w:t>
      </w:r>
      <w:r w:rsidRPr="003F2AC2">
        <w:t>. The license comes with work conditions that need to be perfor</w:t>
      </w:r>
      <w:r w:rsidRPr="005E2A49">
        <w:t xml:space="preserve">med in the initial term of </w:t>
      </w:r>
      <w:r w:rsidR="005E2A49">
        <w:t>four</w:t>
      </w:r>
      <w:r w:rsidRPr="005E2A49">
        <w:t xml:space="preserve"> years.</w:t>
      </w:r>
    </w:p>
    <w:p w:rsidR="0075427E" w:rsidRDefault="00C5088C" w:rsidP="007B3EEC">
      <w:pPr>
        <w:pStyle w:val="Noetic-BodyText"/>
        <w:pBdr>
          <w:top w:val="single" w:sz="4" w:space="1" w:color="auto"/>
          <w:left w:val="single" w:sz="4" w:space="4" w:color="auto"/>
          <w:bottom w:val="single" w:sz="4" w:space="1" w:color="auto"/>
          <w:right w:val="single" w:sz="4" w:space="4" w:color="auto"/>
        </w:pBdr>
        <w:shd w:val="clear" w:color="auto" w:fill="CCCCCC"/>
      </w:pPr>
      <w:r w:rsidRPr="003F2AC2">
        <w:t>To compare prices in multiple jurisdictions, the same conditions as required by UK seaward license P2077 will be costed if they were to o</w:t>
      </w:r>
      <w:r w:rsidRPr="005E2A49">
        <w:t>ccur both in Australia and Norway. There is a requirement in the work conditions to perform a seismic study and to drill a well.</w:t>
      </w:r>
      <w:r w:rsidRPr="003F2AC2">
        <w:t xml:space="preserve"> In Norway there is a charge for performing a seismic study of 33,000NOK. In the United Kingdom there is a £647 charge to drill a well. For the case of comparison, these activities are assumed to be performed in Year 3.</w:t>
      </w:r>
    </w:p>
    <w:p w:rsidR="00A87828" w:rsidRDefault="00FF562D" w:rsidP="00A87828">
      <w:pPr>
        <w:pStyle w:val="Noetic-BodyText"/>
        <w:pBdr>
          <w:top w:val="single" w:sz="4" w:space="1" w:color="auto"/>
          <w:left w:val="single" w:sz="4" w:space="4" w:color="auto"/>
          <w:bottom w:val="single" w:sz="4" w:space="1" w:color="auto"/>
          <w:right w:val="single" w:sz="4" w:space="4" w:color="auto"/>
        </w:pBdr>
        <w:shd w:val="clear" w:color="auto" w:fill="CCCCCC"/>
      </w:pPr>
      <w:r>
        <w:rPr>
          <w:noProof/>
          <w:lang w:eastAsia="en-AU"/>
        </w:rPr>
        <mc:AlternateContent>
          <mc:Choice Requires="wps">
            <w:drawing>
              <wp:anchor distT="0" distB="0" distL="114300" distR="114300" simplePos="0" relativeHeight="251670528" behindDoc="0" locked="0" layoutInCell="1" allowOverlap="1" wp14:anchorId="337C6038" wp14:editId="458408FA">
                <wp:simplePos x="0" y="0"/>
                <wp:positionH relativeFrom="margin">
                  <wp:posOffset>-29210</wp:posOffset>
                </wp:positionH>
                <wp:positionV relativeFrom="paragraph">
                  <wp:posOffset>304165</wp:posOffset>
                </wp:positionV>
                <wp:extent cx="5638800" cy="1804035"/>
                <wp:effectExtent l="0" t="0" r="0" b="5715"/>
                <wp:wrapNone/>
                <wp:docPr id="1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0" cy="1804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Grid"/>
                              <w:tblW w:w="8642" w:type="dxa"/>
                              <w:tblLook w:val="04A0" w:firstRow="1" w:lastRow="0" w:firstColumn="1" w:lastColumn="0" w:noHBand="0" w:noVBand="1"/>
                            </w:tblPr>
                            <w:tblGrid>
                              <w:gridCol w:w="1247"/>
                              <w:gridCol w:w="1627"/>
                              <w:gridCol w:w="1127"/>
                              <w:gridCol w:w="1127"/>
                              <w:gridCol w:w="1127"/>
                              <w:gridCol w:w="1127"/>
                              <w:gridCol w:w="1260"/>
                            </w:tblGrid>
                            <w:tr w:rsidR="008A62BF" w:rsidTr="00994547">
                              <w:trPr>
                                <w:cnfStyle w:val="100000000000" w:firstRow="1" w:lastRow="0" w:firstColumn="0" w:lastColumn="0" w:oddVBand="0" w:evenVBand="0" w:oddHBand="0" w:evenHBand="0" w:firstRowFirstColumn="0" w:firstRowLastColumn="0" w:lastRowFirstColumn="0" w:lastRowLastColumn="0"/>
                                <w:trHeight w:val="439"/>
                              </w:trPr>
                              <w:tc>
                                <w:tcPr>
                                  <w:tcW w:w="1247" w:type="dxa"/>
                                </w:tcPr>
                                <w:p w:rsidR="008A62BF" w:rsidRDefault="008A62BF" w:rsidP="00C5088C">
                                  <w:r>
                                    <w:t>Jurisdiction</w:t>
                                  </w:r>
                                </w:p>
                              </w:tc>
                              <w:tc>
                                <w:tcPr>
                                  <w:tcW w:w="1627" w:type="dxa"/>
                                </w:tcPr>
                                <w:p w:rsidR="008A62BF" w:rsidRDefault="008A62BF" w:rsidP="00C5088C">
                                  <w:r>
                                    <w:t>Commencement Costs</w:t>
                                  </w:r>
                                </w:p>
                              </w:tc>
                              <w:tc>
                                <w:tcPr>
                                  <w:tcW w:w="1127" w:type="dxa"/>
                                </w:tcPr>
                                <w:p w:rsidR="008A62BF" w:rsidRDefault="008A62BF" w:rsidP="00C5088C">
                                  <w:r>
                                    <w:t>Year 1</w:t>
                                  </w:r>
                                </w:p>
                              </w:tc>
                              <w:tc>
                                <w:tcPr>
                                  <w:tcW w:w="1127" w:type="dxa"/>
                                </w:tcPr>
                                <w:p w:rsidR="008A62BF" w:rsidRDefault="008A62BF" w:rsidP="00C5088C">
                                  <w:r>
                                    <w:t>Year 2</w:t>
                                  </w:r>
                                </w:p>
                              </w:tc>
                              <w:tc>
                                <w:tcPr>
                                  <w:tcW w:w="1127" w:type="dxa"/>
                                </w:tcPr>
                                <w:p w:rsidR="008A62BF" w:rsidRDefault="008A62BF" w:rsidP="00C5088C">
                                  <w:r>
                                    <w:t>Year 3</w:t>
                                  </w:r>
                                </w:p>
                              </w:tc>
                              <w:tc>
                                <w:tcPr>
                                  <w:tcW w:w="1127" w:type="dxa"/>
                                </w:tcPr>
                                <w:p w:rsidR="008A62BF" w:rsidRDefault="008A62BF" w:rsidP="00C5088C">
                                  <w:r>
                                    <w:t>Year 4</w:t>
                                  </w:r>
                                </w:p>
                              </w:tc>
                              <w:tc>
                                <w:tcPr>
                                  <w:tcW w:w="1260" w:type="dxa"/>
                                </w:tcPr>
                                <w:p w:rsidR="008A62BF" w:rsidRDefault="008A62BF" w:rsidP="00C5088C">
                                  <w:r>
                                    <w:t>Total</w:t>
                                  </w:r>
                                </w:p>
                              </w:tc>
                            </w:tr>
                            <w:tr w:rsidR="008A62BF" w:rsidTr="00A87828">
                              <w:trPr>
                                <w:cnfStyle w:val="000000100000" w:firstRow="0" w:lastRow="0" w:firstColumn="0" w:lastColumn="0" w:oddVBand="0" w:evenVBand="0" w:oddHBand="1" w:evenHBand="0" w:firstRowFirstColumn="0" w:firstRowLastColumn="0" w:lastRowFirstColumn="0" w:lastRowLastColumn="0"/>
                              </w:trPr>
                              <w:tc>
                                <w:tcPr>
                                  <w:tcW w:w="1247" w:type="dxa"/>
                                </w:tcPr>
                                <w:p w:rsidR="008A62BF" w:rsidRDefault="008A62BF" w:rsidP="00C5088C">
                                  <w:r>
                                    <w:t>United Kingdom</w:t>
                                  </w:r>
                                </w:p>
                              </w:tc>
                              <w:tc>
                                <w:tcPr>
                                  <w:tcW w:w="1627" w:type="dxa"/>
                                </w:tcPr>
                                <w:p w:rsidR="008A62BF" w:rsidRDefault="008A62BF" w:rsidP="00C5088C">
                                  <w:r>
                                    <w:t>$7,792.21</w:t>
                                  </w:r>
                                  <w:r w:rsidRPr="004501FE">
                                    <w:rPr>
                                      <w:vertAlign w:val="superscript"/>
                                    </w:rPr>
                                    <w:t xml:space="preserve"> β</w:t>
                                  </w:r>
                                </w:p>
                              </w:tc>
                              <w:tc>
                                <w:tcPr>
                                  <w:tcW w:w="1127" w:type="dxa"/>
                                </w:tcPr>
                                <w:p w:rsidR="008A62BF" w:rsidRDefault="008A62BF" w:rsidP="00C5088C">
                                  <w:r>
                                    <w:t>$7,792.21</w:t>
                                  </w:r>
                                </w:p>
                              </w:tc>
                              <w:tc>
                                <w:tcPr>
                                  <w:tcW w:w="1127" w:type="dxa"/>
                                </w:tcPr>
                                <w:p w:rsidR="008A62BF" w:rsidRDefault="008A62BF" w:rsidP="00C5088C">
                                  <w:r>
                                    <w:t>$7,792.21</w:t>
                                  </w:r>
                                </w:p>
                              </w:tc>
                              <w:tc>
                                <w:tcPr>
                                  <w:tcW w:w="1127" w:type="dxa"/>
                                </w:tcPr>
                                <w:p w:rsidR="008A62BF" w:rsidRDefault="008A62BF" w:rsidP="00C5088C">
                                  <w:r>
                                    <w:t>$9,084.92</w:t>
                                  </w:r>
                                </w:p>
                              </w:tc>
                              <w:tc>
                                <w:tcPr>
                                  <w:tcW w:w="1127" w:type="dxa"/>
                                </w:tcPr>
                                <w:p w:rsidR="008A62BF" w:rsidRDefault="008A62BF" w:rsidP="00C5088C">
                                  <w:r>
                                    <w:t>$15,584.42</w:t>
                                  </w:r>
                                </w:p>
                              </w:tc>
                              <w:tc>
                                <w:tcPr>
                                  <w:tcW w:w="1260" w:type="dxa"/>
                                </w:tcPr>
                                <w:p w:rsidR="008A62BF" w:rsidRDefault="008A62BF" w:rsidP="00C5088C">
                                  <w:r>
                                    <w:t>$48,045.97</w:t>
                                  </w:r>
                                  <w:r w:rsidRPr="004501FE">
                                    <w:rPr>
                                      <w:vertAlign w:val="superscript"/>
                                    </w:rPr>
                                    <w:t xml:space="preserve"> β</w:t>
                                  </w:r>
                                </w:p>
                              </w:tc>
                            </w:tr>
                            <w:tr w:rsidR="008A62BF" w:rsidTr="00A87828">
                              <w:trPr>
                                <w:cnfStyle w:val="000000010000" w:firstRow="0" w:lastRow="0" w:firstColumn="0" w:lastColumn="0" w:oddVBand="0" w:evenVBand="0" w:oddHBand="0" w:evenHBand="1" w:firstRowFirstColumn="0" w:firstRowLastColumn="0" w:lastRowFirstColumn="0" w:lastRowLastColumn="0"/>
                              </w:trPr>
                              <w:tc>
                                <w:tcPr>
                                  <w:tcW w:w="1247" w:type="dxa"/>
                                </w:tcPr>
                                <w:p w:rsidR="008A62BF" w:rsidRDefault="008A62BF" w:rsidP="00C5088C">
                                  <w:r>
                                    <w:t>Norway</w:t>
                                  </w:r>
                                </w:p>
                              </w:tc>
                              <w:tc>
                                <w:tcPr>
                                  <w:tcW w:w="1627" w:type="dxa"/>
                                </w:tcPr>
                                <w:p w:rsidR="008A62BF" w:rsidRDefault="008A62BF" w:rsidP="00C5088C">
                                  <w:r>
                                    <w:t>$10,762.12</w:t>
                                  </w:r>
                                </w:p>
                              </w:tc>
                              <w:tc>
                                <w:tcPr>
                                  <w:tcW w:w="1127" w:type="dxa"/>
                                </w:tcPr>
                                <w:p w:rsidR="008A62BF" w:rsidRDefault="008A62BF" w:rsidP="00C5088C">
                                  <w:r>
                                    <w:t>$10,762.12</w:t>
                                  </w:r>
                                </w:p>
                              </w:tc>
                              <w:tc>
                                <w:tcPr>
                                  <w:tcW w:w="1127" w:type="dxa"/>
                                </w:tcPr>
                                <w:p w:rsidR="008A62BF" w:rsidRDefault="008A62BF" w:rsidP="00C5088C">
                                  <w:r>
                                    <w:t>$10,762.12</w:t>
                                  </w:r>
                                </w:p>
                              </w:tc>
                              <w:tc>
                                <w:tcPr>
                                  <w:tcW w:w="1127" w:type="dxa"/>
                                </w:tcPr>
                                <w:p w:rsidR="008A62BF" w:rsidRDefault="008A62BF" w:rsidP="00C5088C">
                                  <w:r>
                                    <w:t>$16,225.97</w:t>
                                  </w:r>
                                </w:p>
                              </w:tc>
                              <w:tc>
                                <w:tcPr>
                                  <w:tcW w:w="1127" w:type="dxa"/>
                                </w:tcPr>
                                <w:p w:rsidR="008A62BF" w:rsidRDefault="008A62BF" w:rsidP="00C5088C">
                                  <w:r>
                                    <w:t>$10,762.12</w:t>
                                  </w:r>
                                </w:p>
                              </w:tc>
                              <w:tc>
                                <w:tcPr>
                                  <w:tcW w:w="1260" w:type="dxa"/>
                                </w:tcPr>
                                <w:p w:rsidR="008A62BF" w:rsidRDefault="008A62BF" w:rsidP="00C5088C">
                                  <w:r>
                                    <w:t>$59,274.45</w:t>
                                  </w:r>
                                </w:p>
                              </w:tc>
                            </w:tr>
                            <w:tr w:rsidR="008A62BF" w:rsidTr="00A87828">
                              <w:trPr>
                                <w:cnfStyle w:val="000000100000" w:firstRow="0" w:lastRow="0" w:firstColumn="0" w:lastColumn="0" w:oddVBand="0" w:evenVBand="0" w:oddHBand="1" w:evenHBand="0" w:firstRowFirstColumn="0" w:firstRowLastColumn="0" w:lastRowFirstColumn="0" w:lastRowLastColumn="0"/>
                              </w:trPr>
                              <w:tc>
                                <w:tcPr>
                                  <w:tcW w:w="1247" w:type="dxa"/>
                                </w:tcPr>
                                <w:p w:rsidR="008A62BF" w:rsidRDefault="008A62BF" w:rsidP="00C5088C">
                                  <w:r>
                                    <w:t>Australia</w:t>
                                  </w:r>
                                </w:p>
                              </w:tc>
                              <w:tc>
                                <w:tcPr>
                                  <w:tcW w:w="1627" w:type="dxa"/>
                                </w:tcPr>
                                <w:p w:rsidR="008A62BF" w:rsidRDefault="008A62BF" w:rsidP="00C5088C">
                                  <w:r>
                                    <w:t>$8,783.00</w:t>
                                  </w:r>
                                </w:p>
                              </w:tc>
                              <w:tc>
                                <w:tcPr>
                                  <w:tcW w:w="1127" w:type="dxa"/>
                                </w:tcPr>
                                <w:p w:rsidR="008A62BF" w:rsidRDefault="008A62BF" w:rsidP="00C5088C">
                                  <w:r>
                                    <w:t>$9,781.00</w:t>
                                  </w:r>
                                </w:p>
                              </w:tc>
                              <w:tc>
                                <w:tcPr>
                                  <w:tcW w:w="1127" w:type="dxa"/>
                                </w:tcPr>
                                <w:p w:rsidR="008A62BF" w:rsidRDefault="008A62BF" w:rsidP="00C5088C">
                                  <w:r>
                                    <w:t>$9,781.00</w:t>
                                  </w:r>
                                </w:p>
                              </w:tc>
                              <w:tc>
                                <w:tcPr>
                                  <w:tcW w:w="1127" w:type="dxa"/>
                                </w:tcPr>
                                <w:p w:rsidR="008A62BF" w:rsidRDefault="008A62BF" w:rsidP="00C5088C">
                                  <w:r>
                                    <w:t>$9,781.00</w:t>
                                  </w:r>
                                </w:p>
                              </w:tc>
                              <w:tc>
                                <w:tcPr>
                                  <w:tcW w:w="1127" w:type="dxa"/>
                                </w:tcPr>
                                <w:p w:rsidR="008A62BF" w:rsidRDefault="008A62BF" w:rsidP="00C5088C">
                                  <w:r>
                                    <w:t>$9,781.00</w:t>
                                  </w:r>
                                </w:p>
                              </w:tc>
                              <w:tc>
                                <w:tcPr>
                                  <w:tcW w:w="1260" w:type="dxa"/>
                                </w:tcPr>
                                <w:p w:rsidR="008A62BF" w:rsidRDefault="008A62BF" w:rsidP="00C5088C">
                                  <w:r>
                                    <w:t>$47,907.00</w:t>
                                  </w:r>
                                </w:p>
                              </w:tc>
                            </w:tr>
                          </w:tbl>
                          <w:p w:rsidR="008A62BF" w:rsidRDefault="008A62B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7C6038" id="_x0000_t202" coordsize="21600,21600" o:spt="202" path="m,l,21600r21600,l21600,xe">
                <v:stroke joinstyle="miter"/>
                <v:path gradientshapeok="t" o:connecttype="rect"/>
              </v:shapetype>
              <v:shape id="Text Box 3" o:spid="_x0000_s1027" type="#_x0000_t202" style="position:absolute;margin-left:-2.3pt;margin-top:23.95pt;width:444pt;height:142.0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" filled="f" stroked="f">
                <v:textbox>
                  <w:txbxContent>
                    <w:tbl>
                      <w:tblPr>
                        <w:tblStyle w:val="TableGrid"/>
                        <w:tblW w:w="8642" w:type="dxa"/>
                        <w:tblLook w:val="04A0" w:firstRow="1" w:lastRow="0" w:firstColumn="1" w:lastColumn="0" w:noHBand="0" w:noVBand="1"/>
                      </w:tblPr>
                      <w:tblGrid>
                        <w:gridCol w:w="1247"/>
                        <w:gridCol w:w="1627"/>
                        <w:gridCol w:w="1127"/>
                        <w:gridCol w:w="1127"/>
                        <w:gridCol w:w="1127"/>
                        <w:gridCol w:w="1127"/>
                        <w:gridCol w:w="1260"/>
                      </w:tblGrid>
                      <w:tr w:rsidR="008A62BF" w:rsidTr="00994547">
                        <w:trPr>
                          <w:cnfStyle w:val="100000000000" w:firstRow="1" w:lastRow="0" w:firstColumn="0" w:lastColumn="0" w:oddVBand="0" w:evenVBand="0" w:oddHBand="0" w:evenHBand="0" w:firstRowFirstColumn="0" w:firstRowLastColumn="0" w:lastRowFirstColumn="0" w:lastRowLastColumn="0"/>
                          <w:trHeight w:val="439"/>
                        </w:trPr>
                        <w:tc>
                          <w:tcPr>
                            <w:tcW w:w="1247" w:type="dxa"/>
                          </w:tcPr>
                          <w:p w:rsidR="008A62BF" w:rsidRDefault="008A62BF" w:rsidP="00C5088C">
                            <w:r>
                              <w:t>Jurisdiction</w:t>
                            </w:r>
                          </w:p>
                        </w:tc>
                        <w:tc>
                          <w:tcPr>
                            <w:tcW w:w="1627" w:type="dxa"/>
                          </w:tcPr>
                          <w:p w:rsidR="008A62BF" w:rsidRDefault="008A62BF" w:rsidP="00C5088C">
                            <w:r>
                              <w:t>Commencement Costs</w:t>
                            </w:r>
                          </w:p>
                        </w:tc>
                        <w:tc>
                          <w:tcPr>
                            <w:tcW w:w="1127" w:type="dxa"/>
                          </w:tcPr>
                          <w:p w:rsidR="008A62BF" w:rsidRDefault="008A62BF" w:rsidP="00C5088C">
                            <w:r>
                              <w:t>Year 1</w:t>
                            </w:r>
                          </w:p>
                        </w:tc>
                        <w:tc>
                          <w:tcPr>
                            <w:tcW w:w="1127" w:type="dxa"/>
                          </w:tcPr>
                          <w:p w:rsidR="008A62BF" w:rsidRDefault="008A62BF" w:rsidP="00C5088C">
                            <w:r>
                              <w:t>Year 2</w:t>
                            </w:r>
                          </w:p>
                        </w:tc>
                        <w:tc>
                          <w:tcPr>
                            <w:tcW w:w="1127" w:type="dxa"/>
                          </w:tcPr>
                          <w:p w:rsidR="008A62BF" w:rsidRDefault="008A62BF" w:rsidP="00C5088C">
                            <w:r>
                              <w:t>Year 3</w:t>
                            </w:r>
                          </w:p>
                        </w:tc>
                        <w:tc>
                          <w:tcPr>
                            <w:tcW w:w="1127" w:type="dxa"/>
                          </w:tcPr>
                          <w:p w:rsidR="008A62BF" w:rsidRDefault="008A62BF" w:rsidP="00C5088C">
                            <w:r>
                              <w:t>Year 4</w:t>
                            </w:r>
                          </w:p>
                        </w:tc>
                        <w:tc>
                          <w:tcPr>
                            <w:tcW w:w="1260" w:type="dxa"/>
                          </w:tcPr>
                          <w:p w:rsidR="008A62BF" w:rsidRDefault="008A62BF" w:rsidP="00C5088C">
                            <w:r>
                              <w:t>Total</w:t>
                            </w:r>
                          </w:p>
                        </w:tc>
                      </w:tr>
                      <w:tr w:rsidR="008A62BF" w:rsidTr="00A87828">
                        <w:trPr>
                          <w:cnfStyle w:val="000000100000" w:firstRow="0" w:lastRow="0" w:firstColumn="0" w:lastColumn="0" w:oddVBand="0" w:evenVBand="0" w:oddHBand="1" w:evenHBand="0" w:firstRowFirstColumn="0" w:firstRowLastColumn="0" w:lastRowFirstColumn="0" w:lastRowLastColumn="0"/>
                        </w:trPr>
                        <w:tc>
                          <w:tcPr>
                            <w:tcW w:w="1247" w:type="dxa"/>
                          </w:tcPr>
                          <w:p w:rsidR="008A62BF" w:rsidRDefault="008A62BF" w:rsidP="00C5088C">
                            <w:r>
                              <w:t>United Kingdom</w:t>
                            </w:r>
                          </w:p>
                        </w:tc>
                        <w:tc>
                          <w:tcPr>
                            <w:tcW w:w="1627" w:type="dxa"/>
                          </w:tcPr>
                          <w:p w:rsidR="008A62BF" w:rsidRDefault="008A62BF" w:rsidP="00C5088C">
                            <w:r>
                              <w:t>$7,792.21</w:t>
                            </w:r>
                            <w:r w:rsidRPr="004501FE">
                              <w:rPr>
                                <w:vertAlign w:val="superscript"/>
                              </w:rPr>
                              <w:t xml:space="preserve"> β</w:t>
                            </w:r>
                          </w:p>
                        </w:tc>
                        <w:tc>
                          <w:tcPr>
                            <w:tcW w:w="1127" w:type="dxa"/>
                          </w:tcPr>
                          <w:p w:rsidR="008A62BF" w:rsidRDefault="008A62BF" w:rsidP="00C5088C">
                            <w:r>
                              <w:t>$7,792.21</w:t>
                            </w:r>
                          </w:p>
                        </w:tc>
                        <w:tc>
                          <w:tcPr>
                            <w:tcW w:w="1127" w:type="dxa"/>
                          </w:tcPr>
                          <w:p w:rsidR="008A62BF" w:rsidRDefault="008A62BF" w:rsidP="00C5088C">
                            <w:r>
                              <w:t>$7,792.21</w:t>
                            </w:r>
                          </w:p>
                        </w:tc>
                        <w:tc>
                          <w:tcPr>
                            <w:tcW w:w="1127" w:type="dxa"/>
                          </w:tcPr>
                          <w:p w:rsidR="008A62BF" w:rsidRDefault="008A62BF" w:rsidP="00C5088C">
                            <w:r>
                              <w:t>$9,084.92</w:t>
                            </w:r>
                          </w:p>
                        </w:tc>
                        <w:tc>
                          <w:tcPr>
                            <w:tcW w:w="1127" w:type="dxa"/>
                          </w:tcPr>
                          <w:p w:rsidR="008A62BF" w:rsidRDefault="008A62BF" w:rsidP="00C5088C">
                            <w:r>
                              <w:t>$15,584.42</w:t>
                            </w:r>
                          </w:p>
                        </w:tc>
                        <w:tc>
                          <w:tcPr>
                            <w:tcW w:w="1260" w:type="dxa"/>
                          </w:tcPr>
                          <w:p w:rsidR="008A62BF" w:rsidRDefault="008A62BF" w:rsidP="00C5088C">
                            <w:r>
                              <w:t>$48,045.97</w:t>
                            </w:r>
                            <w:r w:rsidRPr="004501FE">
                              <w:rPr>
                                <w:vertAlign w:val="superscript"/>
                              </w:rPr>
                              <w:t xml:space="preserve"> β</w:t>
                            </w:r>
                          </w:p>
                        </w:tc>
                      </w:tr>
                      <w:tr w:rsidR="008A62BF" w:rsidTr="00A87828">
                        <w:trPr>
                          <w:cnfStyle w:val="000000010000" w:firstRow="0" w:lastRow="0" w:firstColumn="0" w:lastColumn="0" w:oddVBand="0" w:evenVBand="0" w:oddHBand="0" w:evenHBand="1" w:firstRowFirstColumn="0" w:firstRowLastColumn="0" w:lastRowFirstColumn="0" w:lastRowLastColumn="0"/>
                        </w:trPr>
                        <w:tc>
                          <w:tcPr>
                            <w:tcW w:w="1247" w:type="dxa"/>
                          </w:tcPr>
                          <w:p w:rsidR="008A62BF" w:rsidRDefault="008A62BF" w:rsidP="00C5088C">
                            <w:r>
                              <w:t>Norway</w:t>
                            </w:r>
                          </w:p>
                        </w:tc>
                        <w:tc>
                          <w:tcPr>
                            <w:tcW w:w="1627" w:type="dxa"/>
                          </w:tcPr>
                          <w:p w:rsidR="008A62BF" w:rsidRDefault="008A62BF" w:rsidP="00C5088C">
                            <w:r>
                              <w:t>$10,762.12</w:t>
                            </w:r>
                          </w:p>
                        </w:tc>
                        <w:tc>
                          <w:tcPr>
                            <w:tcW w:w="1127" w:type="dxa"/>
                          </w:tcPr>
                          <w:p w:rsidR="008A62BF" w:rsidRDefault="008A62BF" w:rsidP="00C5088C">
                            <w:r>
                              <w:t>$10,762.12</w:t>
                            </w:r>
                          </w:p>
                        </w:tc>
                        <w:tc>
                          <w:tcPr>
                            <w:tcW w:w="1127" w:type="dxa"/>
                          </w:tcPr>
                          <w:p w:rsidR="008A62BF" w:rsidRDefault="008A62BF" w:rsidP="00C5088C">
                            <w:r>
                              <w:t>$10,762.12</w:t>
                            </w:r>
                          </w:p>
                        </w:tc>
                        <w:tc>
                          <w:tcPr>
                            <w:tcW w:w="1127" w:type="dxa"/>
                          </w:tcPr>
                          <w:p w:rsidR="008A62BF" w:rsidRDefault="008A62BF" w:rsidP="00C5088C">
                            <w:r>
                              <w:t>$16,225.97</w:t>
                            </w:r>
                          </w:p>
                        </w:tc>
                        <w:tc>
                          <w:tcPr>
                            <w:tcW w:w="1127" w:type="dxa"/>
                          </w:tcPr>
                          <w:p w:rsidR="008A62BF" w:rsidRDefault="008A62BF" w:rsidP="00C5088C">
                            <w:r>
                              <w:t>$10,762.12</w:t>
                            </w:r>
                          </w:p>
                        </w:tc>
                        <w:tc>
                          <w:tcPr>
                            <w:tcW w:w="1260" w:type="dxa"/>
                          </w:tcPr>
                          <w:p w:rsidR="008A62BF" w:rsidRDefault="008A62BF" w:rsidP="00C5088C">
                            <w:r>
                              <w:t>$59,274.45</w:t>
                            </w:r>
                          </w:p>
                        </w:tc>
                      </w:tr>
                      <w:tr w:rsidR="008A62BF" w:rsidTr="00A87828">
                        <w:trPr>
                          <w:cnfStyle w:val="000000100000" w:firstRow="0" w:lastRow="0" w:firstColumn="0" w:lastColumn="0" w:oddVBand="0" w:evenVBand="0" w:oddHBand="1" w:evenHBand="0" w:firstRowFirstColumn="0" w:firstRowLastColumn="0" w:lastRowFirstColumn="0" w:lastRowLastColumn="0"/>
                        </w:trPr>
                        <w:tc>
                          <w:tcPr>
                            <w:tcW w:w="1247" w:type="dxa"/>
                          </w:tcPr>
                          <w:p w:rsidR="008A62BF" w:rsidRDefault="008A62BF" w:rsidP="00C5088C">
                            <w:r>
                              <w:t>Australia</w:t>
                            </w:r>
                          </w:p>
                        </w:tc>
                        <w:tc>
                          <w:tcPr>
                            <w:tcW w:w="1627" w:type="dxa"/>
                          </w:tcPr>
                          <w:p w:rsidR="008A62BF" w:rsidRDefault="008A62BF" w:rsidP="00C5088C">
                            <w:r>
                              <w:t>$8,783.00</w:t>
                            </w:r>
                          </w:p>
                        </w:tc>
                        <w:tc>
                          <w:tcPr>
                            <w:tcW w:w="1127" w:type="dxa"/>
                          </w:tcPr>
                          <w:p w:rsidR="008A62BF" w:rsidRDefault="008A62BF" w:rsidP="00C5088C">
                            <w:r>
                              <w:t>$9,781.00</w:t>
                            </w:r>
                          </w:p>
                        </w:tc>
                        <w:tc>
                          <w:tcPr>
                            <w:tcW w:w="1127" w:type="dxa"/>
                          </w:tcPr>
                          <w:p w:rsidR="008A62BF" w:rsidRDefault="008A62BF" w:rsidP="00C5088C">
                            <w:r>
                              <w:t>$9,781.00</w:t>
                            </w:r>
                          </w:p>
                        </w:tc>
                        <w:tc>
                          <w:tcPr>
                            <w:tcW w:w="1127" w:type="dxa"/>
                          </w:tcPr>
                          <w:p w:rsidR="008A62BF" w:rsidRDefault="008A62BF" w:rsidP="00C5088C">
                            <w:r>
                              <w:t>$9,781.00</w:t>
                            </w:r>
                          </w:p>
                        </w:tc>
                        <w:tc>
                          <w:tcPr>
                            <w:tcW w:w="1127" w:type="dxa"/>
                          </w:tcPr>
                          <w:p w:rsidR="008A62BF" w:rsidRDefault="008A62BF" w:rsidP="00C5088C">
                            <w:r>
                              <w:t>$9,781.00</w:t>
                            </w:r>
                          </w:p>
                        </w:tc>
                        <w:tc>
                          <w:tcPr>
                            <w:tcW w:w="1260" w:type="dxa"/>
                          </w:tcPr>
                          <w:p w:rsidR="008A62BF" w:rsidRDefault="008A62BF" w:rsidP="00C5088C">
                            <w:r>
                              <w:t>$47,907.00</w:t>
                            </w:r>
                          </w:p>
                        </w:tc>
                      </w:tr>
                    </w:tbl>
                    <w:p w:rsidR="008A62BF" w:rsidRDefault="008A62BF"/>
                  </w:txbxContent>
                </v:textbox>
                <w10:wrap anchorx="margin"/>
              </v:shape>
            </w:pict>
          </mc:Fallback>
        </mc:AlternateContent>
      </w:r>
      <w:r w:rsidR="00C5088C">
        <w:t>The approximate costs</w:t>
      </w:r>
      <w:r w:rsidR="00F61552">
        <w:t xml:space="preserve"> (converted to $AUD, as noted in Annex D)</w:t>
      </w:r>
      <w:r w:rsidR="00C5088C">
        <w:t xml:space="preserve"> in each jurisdiction to perform the activities as required by seaward license P2077 are:</w:t>
      </w:r>
    </w:p>
    <w:p w:rsidR="00994547" w:rsidRDefault="00994547" w:rsidP="00994547">
      <w:pPr>
        <w:pStyle w:val="Noetic-BodyText"/>
        <w:pBdr>
          <w:top w:val="single" w:sz="4" w:space="1" w:color="auto"/>
          <w:left w:val="single" w:sz="4" w:space="4" w:color="auto"/>
          <w:bottom w:val="single" w:sz="4" w:space="1" w:color="auto"/>
          <w:right w:val="single" w:sz="4" w:space="4" w:color="auto"/>
        </w:pBdr>
        <w:shd w:val="clear" w:color="auto" w:fill="CCCCCC"/>
        <w:spacing w:after="200"/>
      </w:pPr>
    </w:p>
    <w:p w:rsidR="00994547" w:rsidRDefault="00994547" w:rsidP="00994547">
      <w:pPr>
        <w:pStyle w:val="Noetic-BodyText"/>
        <w:pBdr>
          <w:top w:val="single" w:sz="4" w:space="1" w:color="auto"/>
          <w:left w:val="single" w:sz="4" w:space="4" w:color="auto"/>
          <w:bottom w:val="single" w:sz="4" w:space="1" w:color="auto"/>
          <w:right w:val="single" w:sz="4" w:space="4" w:color="auto"/>
        </w:pBdr>
        <w:shd w:val="clear" w:color="auto" w:fill="CCCCCC"/>
        <w:spacing w:after="0"/>
      </w:pPr>
    </w:p>
    <w:p w:rsidR="00A87828" w:rsidRDefault="00A87828" w:rsidP="00A87828">
      <w:pPr>
        <w:pStyle w:val="Noetic-BodyText"/>
        <w:pBdr>
          <w:top w:val="single" w:sz="4" w:space="1" w:color="auto"/>
          <w:left w:val="single" w:sz="4" w:space="4" w:color="auto"/>
          <w:bottom w:val="single" w:sz="4" w:space="1" w:color="auto"/>
          <w:right w:val="single" w:sz="4" w:space="4" w:color="auto"/>
        </w:pBdr>
        <w:shd w:val="clear" w:color="auto" w:fill="CCCCCC"/>
      </w:pPr>
    </w:p>
    <w:p w:rsidR="00A87828" w:rsidRDefault="00A87828" w:rsidP="00A87828">
      <w:pPr>
        <w:pStyle w:val="Noetic-BodyText"/>
        <w:pBdr>
          <w:top w:val="single" w:sz="4" w:space="1" w:color="auto"/>
          <w:left w:val="single" w:sz="4" w:space="4" w:color="auto"/>
          <w:bottom w:val="single" w:sz="4" w:space="1" w:color="auto"/>
          <w:right w:val="single" w:sz="4" w:space="4" w:color="auto"/>
        </w:pBdr>
        <w:shd w:val="clear" w:color="auto" w:fill="CCCCCC"/>
      </w:pPr>
    </w:p>
    <w:p w:rsidR="00A87828" w:rsidRDefault="00A87828" w:rsidP="00A87828">
      <w:pPr>
        <w:pStyle w:val="Noetic-BodyText"/>
        <w:pBdr>
          <w:top w:val="single" w:sz="4" w:space="1" w:color="auto"/>
          <w:left w:val="single" w:sz="4" w:space="4" w:color="auto"/>
          <w:bottom w:val="single" w:sz="4" w:space="1" w:color="auto"/>
          <w:right w:val="single" w:sz="4" w:space="4" w:color="auto"/>
        </w:pBdr>
        <w:shd w:val="clear" w:color="auto" w:fill="CCCCCC"/>
      </w:pPr>
    </w:p>
    <w:p w:rsidR="00A87828" w:rsidRPr="00A87828" w:rsidRDefault="00A87828" w:rsidP="00A87828">
      <w:pPr>
        <w:pStyle w:val="Noetic-BodyText"/>
        <w:pBdr>
          <w:top w:val="single" w:sz="4" w:space="1" w:color="auto"/>
          <w:left w:val="single" w:sz="4" w:space="4" w:color="auto"/>
          <w:bottom w:val="single" w:sz="4" w:space="1" w:color="auto"/>
          <w:right w:val="single" w:sz="4" w:space="4" w:color="auto"/>
        </w:pBdr>
        <w:shd w:val="clear" w:color="auto" w:fill="CCCCCC"/>
        <w:rPr>
          <w:sz w:val="16"/>
        </w:rPr>
      </w:pPr>
      <w:r w:rsidRPr="00A87828">
        <w:rPr>
          <w:sz w:val="16"/>
        </w:rPr>
        <w:t>β – There is no standard application fee for exploration licenses/permits in the United Kingdom. Applications fees are calculated using a formula as described above.</w:t>
      </w:r>
    </w:p>
    <w:p w:rsidR="00F9514C" w:rsidRPr="005E2A49" w:rsidRDefault="008066DF" w:rsidP="00E42D56">
      <w:pPr>
        <w:pStyle w:val="Heading20"/>
      </w:pPr>
      <w:bookmarkStart w:id="96" w:name="_Toc422740248"/>
      <w:bookmarkStart w:id="97" w:name="_Toc423426787"/>
      <w:bookmarkStart w:id="98" w:name="_Toc430102201"/>
      <w:r w:rsidRPr="0075427E">
        <w:lastRenderedPageBreak/>
        <w:t>Placemen</w:t>
      </w:r>
      <w:r w:rsidRPr="003F2AC2">
        <w:t>t</w:t>
      </w:r>
      <w:r w:rsidR="00495BF3" w:rsidRPr="003F2AC2">
        <w:t xml:space="preserve"> </w:t>
      </w:r>
      <w:r w:rsidR="00F9514C" w:rsidRPr="003F2AC2">
        <w:t>within th</w:t>
      </w:r>
      <w:r w:rsidR="00F9514C" w:rsidRPr="0075427E">
        <w:t>e Commonwea</w:t>
      </w:r>
      <w:r w:rsidR="00F9514C" w:rsidRPr="005E2A49">
        <w:t>lth Department of Industry and Science</w:t>
      </w:r>
      <w:bookmarkEnd w:id="96"/>
      <w:bookmarkEnd w:id="97"/>
      <w:bookmarkEnd w:id="98"/>
    </w:p>
    <w:p w:rsidR="00192C55" w:rsidRPr="002C3B0F" w:rsidRDefault="007156BD" w:rsidP="0075427E">
      <w:pPr>
        <w:pStyle w:val="NumberL1"/>
      </w:pPr>
      <w:r w:rsidRPr="003F2AC2">
        <w:t>The Background sec</w:t>
      </w:r>
      <w:r w:rsidRPr="0075427E">
        <w:t>tion of the report notes that NOPTA is a part of the Resource</w:t>
      </w:r>
      <w:r w:rsidR="00F46755" w:rsidRPr="003F2AC2">
        <w:t>s</w:t>
      </w:r>
      <w:r w:rsidRPr="003F2AC2">
        <w:t xml:space="preserve"> Division within the Department of Industry and Science. The </w:t>
      </w:r>
      <w:r w:rsidR="00BE18E9" w:rsidRPr="002C3B0F">
        <w:t>General Manager</w:t>
      </w:r>
      <w:r w:rsidRPr="002C3B0F">
        <w:t xml:space="preserve"> of NOPTA, the </w:t>
      </w:r>
      <w:r w:rsidR="00BE18E9" w:rsidRPr="002C3B0F">
        <w:t>Titles</w:t>
      </w:r>
      <w:r w:rsidRPr="002C3B0F">
        <w:t xml:space="preserve"> Administrator, is a statutory appointment under the OPG</w:t>
      </w:r>
      <w:r w:rsidR="0041218D" w:rsidRPr="002C3B0F">
        <w:t>G</w:t>
      </w:r>
      <w:r w:rsidRPr="002C3B0F">
        <w:t>S A</w:t>
      </w:r>
      <w:r w:rsidR="00771FAA">
        <w:t>ct.</w:t>
      </w:r>
    </w:p>
    <w:p w:rsidR="007156BD" w:rsidRPr="003F2AC2" w:rsidRDefault="007156BD" w:rsidP="005E2A49">
      <w:pPr>
        <w:pStyle w:val="NumberL1"/>
      </w:pPr>
      <w:r w:rsidRPr="002C3B0F">
        <w:t xml:space="preserve">The issue of the status of NOPTA was raised during the consultation phase. It was </w:t>
      </w:r>
      <w:r w:rsidR="005E2A49">
        <w:t>posited</w:t>
      </w:r>
      <w:r w:rsidR="005E2A49" w:rsidRPr="005E2A49">
        <w:t xml:space="preserve"> </w:t>
      </w:r>
      <w:r w:rsidRPr="005E2A49">
        <w:t xml:space="preserve">that </w:t>
      </w:r>
      <w:r w:rsidR="00AF7C47" w:rsidRPr="003F2AC2">
        <w:t xml:space="preserve">there would be benefit for the agency to be a standalone statutory agency. This is on the basis that it would </w:t>
      </w:r>
      <w:r w:rsidR="00AF7C47" w:rsidRPr="002C3B0F">
        <w:t xml:space="preserve">ensure that NOPTA’s advice is </w:t>
      </w:r>
      <w:r w:rsidR="005E2A49">
        <w:t xml:space="preserve">both </w:t>
      </w:r>
      <w:r w:rsidR="00AF7C47" w:rsidRPr="005E2A49">
        <w:t xml:space="preserve">impartial and seen to be </w:t>
      </w:r>
      <w:r w:rsidR="005E2A49">
        <w:t>impartial</w:t>
      </w:r>
      <w:r w:rsidR="00AF7C47" w:rsidRPr="005E2A49">
        <w:t xml:space="preserve">. An example of where this operates effectively in the offshore </w:t>
      </w:r>
      <w:r w:rsidR="00E324FA" w:rsidRPr="003F2AC2">
        <w:t>petroleum</w:t>
      </w:r>
      <w:r w:rsidR="00AF7C47" w:rsidRPr="003F2AC2">
        <w:t xml:space="preserve"> industry is NOPSEMA. Impartiality is essential in titles administration and for Australia operating a world class offshore pe</w:t>
      </w:r>
      <w:r w:rsidR="00AF7C47" w:rsidRPr="002C3B0F">
        <w:t>troleum industr</w:t>
      </w:r>
      <w:r w:rsidR="00AF7C47" w:rsidRPr="005E2A49">
        <w:t>y that is attractive to investors. As nearly all decisions on titles matters are made by the J</w:t>
      </w:r>
      <w:r w:rsidR="00A373AB">
        <w:t xml:space="preserve">oint </w:t>
      </w:r>
      <w:r w:rsidR="00AF7C47" w:rsidRPr="005E2A49">
        <w:t>A</w:t>
      </w:r>
      <w:r w:rsidR="00A373AB">
        <w:t>uthority</w:t>
      </w:r>
      <w:r w:rsidR="00AF7C47" w:rsidRPr="005E2A49">
        <w:t>, the Review believes</w:t>
      </w:r>
      <w:r w:rsidR="00797309" w:rsidRPr="003F2AC2">
        <w:t xml:space="preserve"> that the required impartiality is provided </w:t>
      </w:r>
      <w:r w:rsidR="00D375BE" w:rsidRPr="002C3B0F">
        <w:t xml:space="preserve">through this mechanism. In addition, the Review could find no evidence that the advice provided by NOPTA was unduly influenced. </w:t>
      </w:r>
      <w:r w:rsidR="00671329" w:rsidRPr="002C3B0F">
        <w:t xml:space="preserve">Consequently, the Review notes that there might be some potential benefits in making NOPTA a statutory agency, </w:t>
      </w:r>
      <w:r w:rsidR="007E77BE">
        <w:t xml:space="preserve">although </w:t>
      </w:r>
      <w:r w:rsidR="00671329" w:rsidRPr="007E77BE">
        <w:t>there is no compelling e</w:t>
      </w:r>
      <w:r w:rsidR="00771FAA">
        <w:t>vidence that this should occur.</w:t>
      </w:r>
    </w:p>
    <w:p w:rsidR="00D375BE" w:rsidRPr="005054C7" w:rsidRDefault="00D375BE" w:rsidP="006045A5">
      <w:pPr>
        <w:pStyle w:val="Noetic-Columnrecommendation"/>
        <w:tabs>
          <w:tab w:val="clear" w:pos="425"/>
          <w:tab w:val="num" w:pos="567"/>
        </w:tabs>
        <w:ind w:left="567" w:hanging="567"/>
      </w:pPr>
      <w:r w:rsidRPr="005054C7">
        <w:t xml:space="preserve">It is arguable that NOPTA’s function might be best performed by a statutory agency outside of the Department of Industry and Science. However, the Review did not find any compelling evidence that this </w:t>
      </w:r>
      <w:r w:rsidR="003B6187">
        <w:t>is</w:t>
      </w:r>
      <w:r w:rsidRPr="005054C7">
        <w:t xml:space="preserve"> the case.</w:t>
      </w:r>
    </w:p>
    <w:p w:rsidR="00984533" w:rsidRPr="002C3B0F" w:rsidRDefault="00671329" w:rsidP="0075427E">
      <w:pPr>
        <w:pStyle w:val="NumberL1"/>
      </w:pPr>
      <w:r w:rsidRPr="003F2AC2">
        <w:t xml:space="preserve">The work undertaken by NOPTA is important to the offshore oil and gas and </w:t>
      </w:r>
      <w:r w:rsidR="00267EC5" w:rsidRPr="003F2AC2">
        <w:t>greenhouse</w:t>
      </w:r>
      <w:r w:rsidRPr="002C3B0F">
        <w:t xml:space="preserve"> gas storage industries. Currently, NOPTA’s work is reported as part of the Department of Industry and Science’s annual report. In Financial Yea</w:t>
      </w:r>
      <w:r w:rsidRPr="0075427E">
        <w:t>r 2013/2014 NOPTA’s operations were reported on one page.</w:t>
      </w:r>
      <w:r w:rsidR="00E03BBE" w:rsidRPr="003F2AC2">
        <w:t xml:space="preserve"> This does not appear to meet the intent to s 69</w:t>
      </w:r>
      <w:r w:rsidR="00E03BBE" w:rsidRPr="002C3B0F">
        <w:t>5N of the OPGGS Act.</w:t>
      </w:r>
      <w:r w:rsidRPr="002C3B0F">
        <w:t xml:space="preserve"> Noting its importance to the </w:t>
      </w:r>
      <w:r w:rsidR="00984533" w:rsidRPr="002C3B0F">
        <w:t>industr</w:t>
      </w:r>
      <w:r w:rsidR="00E03BBE" w:rsidRPr="002C3B0F">
        <w:t>y</w:t>
      </w:r>
      <w:r w:rsidR="00984533" w:rsidRPr="002C3B0F">
        <w:t xml:space="preserve"> it works for, the Review</w:t>
      </w:r>
      <w:r w:rsidR="00E03BBE" w:rsidRPr="002C3B0F">
        <w:t xml:space="preserve"> does not</w:t>
      </w:r>
      <w:r w:rsidR="00984533" w:rsidRPr="002C3B0F">
        <w:t xml:space="preserve"> believe</w:t>
      </w:r>
      <w:r w:rsidR="00E03BBE" w:rsidRPr="002C3B0F">
        <w:t xml:space="preserve"> the current approach is satisfactory.</w:t>
      </w:r>
      <w:r w:rsidR="00984533" w:rsidRPr="002C3B0F">
        <w:t xml:space="preserve"> The Review notes that similar sized organisations undertaking similar functions report separately. For instance, the Supervising Scientist is </w:t>
      </w:r>
      <w:r w:rsidR="003856E2">
        <w:t>a branch within</w:t>
      </w:r>
      <w:r w:rsidR="00984533" w:rsidRPr="002C3B0F">
        <w:t xml:space="preserve"> the </w:t>
      </w:r>
      <w:r w:rsidR="00E324FA" w:rsidRPr="002C3B0F">
        <w:t>Commonwealth</w:t>
      </w:r>
      <w:r w:rsidR="00984533" w:rsidRPr="002C3B0F">
        <w:t xml:space="preserve"> Department of </w:t>
      </w:r>
      <w:r w:rsidR="00267EC5" w:rsidRPr="002C3B0F">
        <w:t>the</w:t>
      </w:r>
      <w:r w:rsidR="00984533" w:rsidRPr="002C3B0F">
        <w:t xml:space="preserve"> Environment. It is responsible for regulati</w:t>
      </w:r>
      <w:r w:rsidR="00984533" w:rsidRPr="0034363A">
        <w:t>ng aspects of the Ranger Uranium Mine in Kakadu National Park</w:t>
      </w:r>
      <w:r w:rsidR="003856E2">
        <w:t xml:space="preserve"> and providing independent advice to the department to which it belongs.</w:t>
      </w:r>
      <w:r w:rsidR="00984533" w:rsidRPr="0034363A">
        <w:t xml:space="preserve"> </w:t>
      </w:r>
      <w:r w:rsidR="003856E2">
        <w:t>The branch</w:t>
      </w:r>
      <w:r w:rsidR="00984533" w:rsidRPr="0034363A">
        <w:t xml:space="preserve"> produces a standalone annual report</w:t>
      </w:r>
      <w:r w:rsidR="003856E2">
        <w:t>, separate to that of the Department of Environment</w:t>
      </w:r>
      <w:r w:rsidR="00984533" w:rsidRPr="0034363A">
        <w:t xml:space="preserve">. The need for NOPTA to develop </w:t>
      </w:r>
      <w:r w:rsidR="00984533" w:rsidRPr="003F2AC2">
        <w:t xml:space="preserve">a separate, comprehensive annual report is important given it is a cost recovery agency. </w:t>
      </w:r>
      <w:r w:rsidR="00E03BBE" w:rsidRPr="002C3B0F">
        <w:t>As most of the necessary content is already collected, there is minimal additional cost</w:t>
      </w:r>
      <w:r w:rsidR="003B6187">
        <w:t xml:space="preserve"> to do so</w:t>
      </w:r>
      <w:r w:rsidR="00E03BBE" w:rsidRPr="002C3B0F">
        <w:t>.</w:t>
      </w:r>
    </w:p>
    <w:p w:rsidR="00984533" w:rsidRPr="003F2AC2" w:rsidRDefault="00DE0B28" w:rsidP="00A87828">
      <w:pPr>
        <w:pStyle w:val="RecommBody"/>
      </w:pPr>
      <w:r w:rsidRPr="002C3B0F">
        <w:t>That NOPTA prepare and issue its own annual report.</w:t>
      </w:r>
    </w:p>
    <w:p w:rsidR="00F9514C" w:rsidRPr="002C3B0F" w:rsidRDefault="00493F3A" w:rsidP="00E42D56">
      <w:pPr>
        <w:pStyle w:val="Heading20"/>
      </w:pPr>
      <w:bookmarkStart w:id="99" w:name="_Toc422740249"/>
      <w:bookmarkStart w:id="100" w:name="_Toc423426788"/>
      <w:bookmarkStart w:id="101" w:name="_Toc430102202"/>
      <w:r w:rsidRPr="002C3B0F">
        <w:lastRenderedPageBreak/>
        <w:t>Relationship</w:t>
      </w:r>
      <w:r w:rsidR="00ED63CF" w:rsidRPr="002C3B0F">
        <w:t>s</w:t>
      </w:r>
      <w:r w:rsidRPr="002C3B0F">
        <w:t xml:space="preserve"> with </w:t>
      </w:r>
      <w:r w:rsidR="00ED63CF" w:rsidRPr="002C3B0F">
        <w:t>Stakeholders</w:t>
      </w:r>
      <w:bookmarkEnd w:id="99"/>
      <w:bookmarkEnd w:id="100"/>
      <w:bookmarkEnd w:id="101"/>
    </w:p>
    <w:p w:rsidR="00C875C5" w:rsidRPr="002C3B0F" w:rsidRDefault="008B797F" w:rsidP="00E42D56">
      <w:pPr>
        <w:pStyle w:val="Heading30"/>
      </w:pPr>
      <w:bookmarkStart w:id="102" w:name="_Toc423426789"/>
      <w:bookmarkStart w:id="103" w:name="_Toc430102203"/>
      <w:r w:rsidRPr="002C3B0F">
        <w:t>Indu</w:t>
      </w:r>
      <w:r w:rsidRPr="003F2AC2">
        <w:t>stry</w:t>
      </w:r>
      <w:bookmarkEnd w:id="102"/>
      <w:bookmarkEnd w:id="103"/>
    </w:p>
    <w:p w:rsidR="00493F3A" w:rsidRPr="002C3B0F" w:rsidRDefault="008B797F" w:rsidP="003F2AC2">
      <w:pPr>
        <w:pStyle w:val="NumberL1"/>
      </w:pPr>
      <w:r w:rsidRPr="002C3B0F">
        <w:t xml:space="preserve">The ability to </w:t>
      </w:r>
      <w:r w:rsidR="00F24FC5" w:rsidRPr="002C3B0F">
        <w:t xml:space="preserve">work closely with industry while maintaining an independent and consistent outcome </w:t>
      </w:r>
      <w:r w:rsidR="00F24FC5" w:rsidRPr="003F2AC2">
        <w:t>is the hallmark of an effective agency such as NOPTA</w:t>
      </w:r>
      <w:r w:rsidR="003F2AC2">
        <w:t>.</w:t>
      </w:r>
      <w:r w:rsidR="00F24FC5" w:rsidRPr="003F2AC2">
        <w:rPr>
          <w:rStyle w:val="FootnoteReference"/>
        </w:rPr>
        <w:footnoteReference w:id="16"/>
      </w:r>
      <w:r w:rsidR="00624D26" w:rsidRPr="003F2AC2">
        <w:t xml:space="preserve"> It was expressed to the Review team almost universally that NOPTA has </w:t>
      </w:r>
      <w:r w:rsidR="00671329" w:rsidRPr="002C3B0F">
        <w:t>established</w:t>
      </w:r>
      <w:r w:rsidR="00624D26" w:rsidRPr="002C3B0F">
        <w:t xml:space="preserve"> effective working relationships</w:t>
      </w:r>
      <w:r w:rsidR="00493F3A" w:rsidRPr="002C3B0F">
        <w:t xml:space="preserve"> </w:t>
      </w:r>
      <w:r w:rsidR="00D6624D" w:rsidRPr="002C3B0F">
        <w:t xml:space="preserve">with </w:t>
      </w:r>
      <w:r w:rsidR="00493F3A" w:rsidRPr="002C3B0F">
        <w:t xml:space="preserve">the </w:t>
      </w:r>
      <w:r w:rsidR="003B6187">
        <w:t>offshore petroleum</w:t>
      </w:r>
      <w:r w:rsidR="00624D26" w:rsidRPr="002C3B0F">
        <w:t xml:space="preserve"> and greenhouse gas storage </w:t>
      </w:r>
      <w:r w:rsidR="00493F3A" w:rsidRPr="002C3B0F">
        <w:t>Industr</w:t>
      </w:r>
      <w:r w:rsidR="00624D26" w:rsidRPr="002C3B0F">
        <w:t xml:space="preserve">ies. NOPTA was praised for its willingness to engage with companies, the general guidance provided and its ability to offer suggestions for company consideration. In doing so, it </w:t>
      </w:r>
      <w:r w:rsidR="00CD2AED" w:rsidRPr="002C3B0F">
        <w:t xml:space="preserve">appears that </w:t>
      </w:r>
      <w:r w:rsidR="00624D26" w:rsidRPr="002C3B0F">
        <w:t xml:space="preserve">NOPTA’s staff </w:t>
      </w:r>
      <w:r w:rsidR="004A3B13">
        <w:t>remained</w:t>
      </w:r>
      <w:r w:rsidR="00CD2AED" w:rsidRPr="002C3B0F">
        <w:t xml:space="preserve"> impartial and did not compromise the agency’s independence. </w:t>
      </w:r>
      <w:r w:rsidR="00CC057A" w:rsidRPr="002C3B0F">
        <w:t>The willingness of NOPTA’s staff to engage with stakeholders and the timeliness of responses was fa</w:t>
      </w:r>
      <w:r w:rsidR="004B5BEC">
        <w:t>vourably noted by stakeholders.</w:t>
      </w:r>
    </w:p>
    <w:p w:rsidR="00BF0720" w:rsidRPr="002C3B0F" w:rsidRDefault="00BF0720">
      <w:pPr>
        <w:pStyle w:val="NumberL1"/>
      </w:pPr>
      <w:r w:rsidRPr="002C3B0F">
        <w:t>The dual location</w:t>
      </w:r>
      <w:r w:rsidR="004A3B13">
        <w:t>s</w:t>
      </w:r>
      <w:r w:rsidRPr="002C3B0F">
        <w:t xml:space="preserve"> </w:t>
      </w:r>
      <w:r w:rsidR="00CD2AED" w:rsidRPr="002C3B0F">
        <w:t xml:space="preserve">with </w:t>
      </w:r>
      <w:r w:rsidRPr="002C3B0F">
        <w:t xml:space="preserve">offices </w:t>
      </w:r>
      <w:r w:rsidR="004A3B13">
        <w:t xml:space="preserve">in </w:t>
      </w:r>
      <w:r w:rsidRPr="002C3B0F">
        <w:t>Perth and Melbourne</w:t>
      </w:r>
      <w:r w:rsidR="00CD2AED" w:rsidRPr="002C3B0F">
        <w:t xml:space="preserve"> </w:t>
      </w:r>
      <w:r w:rsidR="0094487F" w:rsidRPr="002C3B0F">
        <w:t>benefits NOPTA’s stakeholder relations</w:t>
      </w:r>
      <w:r w:rsidR="00CD2AED" w:rsidRPr="002C3B0F">
        <w:t xml:space="preserve">. Stakeholders noted that staff from both locations </w:t>
      </w:r>
      <w:r w:rsidR="00CC057A" w:rsidRPr="002C3B0F">
        <w:t>are often</w:t>
      </w:r>
      <w:r w:rsidR="00CD2AED" w:rsidRPr="002C3B0F">
        <w:t xml:space="preserve"> drawn into </w:t>
      </w:r>
      <w:r w:rsidR="00CC057A" w:rsidRPr="002C3B0F">
        <w:t xml:space="preserve">discussions and that this was beneficial. Notably stakeholders with offices outside of </w:t>
      </w:r>
      <w:r w:rsidR="003B6187">
        <w:t>both</w:t>
      </w:r>
      <w:r w:rsidR="003B6187" w:rsidRPr="002C3B0F">
        <w:t xml:space="preserve"> </w:t>
      </w:r>
      <w:r w:rsidR="00CC057A" w:rsidRPr="002C3B0F">
        <w:t xml:space="preserve">Perth </w:t>
      </w:r>
      <w:r w:rsidR="003B6187">
        <w:t>and</w:t>
      </w:r>
      <w:r w:rsidR="003B6187" w:rsidRPr="002C3B0F">
        <w:t xml:space="preserve"> </w:t>
      </w:r>
      <w:r w:rsidR="00CC057A" w:rsidRPr="002C3B0F">
        <w:t xml:space="preserve">Melbourne found it easy to access staff and advice. </w:t>
      </w:r>
      <w:r w:rsidR="0038229A" w:rsidRPr="002C3B0F">
        <w:t>The use of two offices contributes to NOPTA’s effectiveness and should be maintained.</w:t>
      </w:r>
    </w:p>
    <w:p w:rsidR="001C7A03" w:rsidRPr="005054C7" w:rsidRDefault="00C15739" w:rsidP="006045A5">
      <w:pPr>
        <w:pStyle w:val="Noetic-Columnrecommendation"/>
        <w:tabs>
          <w:tab w:val="clear" w:pos="425"/>
          <w:tab w:val="num" w:pos="567"/>
        </w:tabs>
        <w:ind w:left="567" w:hanging="567"/>
      </w:pPr>
      <w:r w:rsidRPr="005054C7">
        <w:t>NOPTA has developed effective working relations with industry and this includes small companies, as well as large multi-national companies.</w:t>
      </w:r>
      <w:r w:rsidR="0038229A" w:rsidRPr="005054C7">
        <w:t xml:space="preserve"> The use of offices in two locations contributes to this effectiveness.</w:t>
      </w:r>
    </w:p>
    <w:p w:rsidR="00493F3A" w:rsidRPr="002C3B0F" w:rsidRDefault="00493F3A" w:rsidP="00E42D56">
      <w:pPr>
        <w:pStyle w:val="Heading30"/>
      </w:pPr>
      <w:bookmarkStart w:id="104" w:name="_Toc423426790"/>
      <w:bookmarkStart w:id="105" w:name="_Toc430102204"/>
      <w:r w:rsidRPr="00A87828">
        <w:t>Commonwealth Governmen</w:t>
      </w:r>
      <w:r w:rsidR="0010097B" w:rsidRPr="00A87828">
        <w:t>t</w:t>
      </w:r>
      <w:r w:rsidR="00EA3138" w:rsidRPr="00A87828">
        <w:t xml:space="preserve"> Agencies</w:t>
      </w:r>
      <w:bookmarkEnd w:id="104"/>
      <w:bookmarkEnd w:id="105"/>
    </w:p>
    <w:p w:rsidR="00897B6E" w:rsidRPr="002C3B0F" w:rsidRDefault="00897B6E" w:rsidP="003F2AC2">
      <w:pPr>
        <w:pStyle w:val="NumberL1"/>
      </w:pPr>
      <w:r w:rsidRPr="002C3B0F">
        <w:t xml:space="preserve">As part of the management and regulation of the offshore </w:t>
      </w:r>
      <w:r w:rsidR="000A6F71" w:rsidRPr="002C3B0F">
        <w:t>petroleum</w:t>
      </w:r>
      <w:r w:rsidRPr="002C3B0F">
        <w:t xml:space="preserve"> and greenhouse gas storage industries, NOPTA works with a range of Commonwealth agencies. </w:t>
      </w:r>
      <w:r w:rsidR="00B9488A" w:rsidRPr="002C3B0F">
        <w:t>The key Commonwealth agencies that NOPTA works with are the Department of Industry and Science, Geoscience Australia and NOPSEMA</w:t>
      </w:r>
      <w:r w:rsidR="004B5BEC">
        <w:t xml:space="preserve">. </w:t>
      </w:r>
      <w:r w:rsidR="00B9488A" w:rsidRPr="002C3B0F">
        <w:t>The relationships with the Department and Geoscience Australia are on the whole sound and productive</w:t>
      </w:r>
      <w:r w:rsidR="004B5BEC">
        <w:t xml:space="preserve">. </w:t>
      </w:r>
      <w:r w:rsidR="00DE7E0B" w:rsidRPr="002C3B0F">
        <w:t>There is a need for NOPTA to continue to monitor the health of these relationships and to strengthen them wherever possible</w:t>
      </w:r>
      <w:r w:rsidR="004B5BEC">
        <w:t xml:space="preserve">. </w:t>
      </w:r>
      <w:r w:rsidR="0099623C" w:rsidRPr="002C3B0F">
        <w:t>In addition to these relationships, NOPTA has some dealing with the Australian Maritime Safety Authority (AMSA).</w:t>
      </w:r>
    </w:p>
    <w:p w:rsidR="0099623C" w:rsidRPr="002C3B0F" w:rsidRDefault="0099623C" w:rsidP="003F2AC2">
      <w:pPr>
        <w:pStyle w:val="NumberL1"/>
      </w:pPr>
      <w:r w:rsidRPr="002C3B0F">
        <w:t xml:space="preserve">AMSA’s dealings with the offshore petroleum industry primarily deal with </w:t>
      </w:r>
      <w:r w:rsidR="003B6187">
        <w:t xml:space="preserve">maritime safety, and </w:t>
      </w:r>
      <w:r w:rsidRPr="002C3B0F">
        <w:t>the prevention and response to pollution</w:t>
      </w:r>
      <w:r w:rsidR="004B5BEC">
        <w:t xml:space="preserve">. </w:t>
      </w:r>
      <w:r w:rsidRPr="002C3B0F">
        <w:t>NOPTA’s responsibilities fo</w:t>
      </w:r>
      <w:r w:rsidR="0031751A" w:rsidRPr="002C3B0F">
        <w:t>r titles administration has limited overlap with AMSA’s responsibilities for maritime safety</w:t>
      </w:r>
      <w:r w:rsidR="004B5BEC">
        <w:t xml:space="preserve">. </w:t>
      </w:r>
      <w:r w:rsidR="0031751A" w:rsidRPr="002C3B0F">
        <w:t>There are however, some aspects of petroleum industry operations in shipping lanes where these responsibilities do intersect</w:t>
      </w:r>
      <w:r w:rsidR="004B5BEC">
        <w:t xml:space="preserve">. </w:t>
      </w:r>
      <w:r w:rsidR="0031751A" w:rsidRPr="002C3B0F">
        <w:t xml:space="preserve">The Review believes that there is scope for </w:t>
      </w:r>
      <w:r w:rsidR="004150E6">
        <w:t>closer</w:t>
      </w:r>
      <w:r w:rsidR="004150E6" w:rsidRPr="002C3B0F">
        <w:t xml:space="preserve"> </w:t>
      </w:r>
      <w:r w:rsidR="0031751A" w:rsidRPr="002C3B0F">
        <w:t>liaison between the agencies in this area of mutual interest.</w:t>
      </w:r>
    </w:p>
    <w:p w:rsidR="0031751A" w:rsidRPr="005054C7" w:rsidRDefault="0031751A" w:rsidP="006045A5">
      <w:pPr>
        <w:pStyle w:val="Noetic-Columnrecommendation"/>
        <w:tabs>
          <w:tab w:val="clear" w:pos="425"/>
          <w:tab w:val="num" w:pos="567"/>
        </w:tabs>
        <w:ind w:left="567" w:hanging="567"/>
      </w:pPr>
      <w:r w:rsidRPr="005054C7">
        <w:t>NOPTA look to strengthen its liaison with AMSA on petroleum industry activity in shipping lanes.</w:t>
      </w:r>
    </w:p>
    <w:p w:rsidR="00A42491" w:rsidRPr="00A42491" w:rsidRDefault="00DE7E0B" w:rsidP="00A42491">
      <w:pPr>
        <w:pStyle w:val="NumberL1"/>
      </w:pPr>
      <w:r w:rsidRPr="003F2AC2">
        <w:lastRenderedPageBreak/>
        <w:t xml:space="preserve">The relationship with NOPSEMA is important as both agencies are pivotal to the effective oversight of </w:t>
      </w:r>
      <w:r w:rsidR="00D60F3E" w:rsidRPr="003F2AC2">
        <w:t>Australia’s offshore petroleum industry</w:t>
      </w:r>
      <w:r w:rsidR="003F36D5" w:rsidRPr="002C3B0F">
        <w:t xml:space="preserve">. </w:t>
      </w:r>
      <w:r w:rsidR="00D60F3E" w:rsidRPr="002C3B0F">
        <w:t>Overall this relationship does not appear to have been effective as it could have been</w:t>
      </w:r>
      <w:r w:rsidR="004B5BEC">
        <w:t xml:space="preserve">. </w:t>
      </w:r>
      <w:r w:rsidR="00D60F3E" w:rsidRPr="002C3B0F">
        <w:t>There was little contact between the agencies and limited exchange of information or knowledge</w:t>
      </w:r>
      <w:r w:rsidR="004B5BEC">
        <w:t xml:space="preserve">. </w:t>
      </w:r>
      <w:r w:rsidR="002757EC" w:rsidRPr="002C3B0F">
        <w:t xml:space="preserve">Fortunately, this situation has recently improved and a range of </w:t>
      </w:r>
      <w:r w:rsidR="0099623C" w:rsidRPr="002C3B0F">
        <w:t>initiatives</w:t>
      </w:r>
      <w:r w:rsidR="002757EC" w:rsidRPr="002C3B0F">
        <w:t xml:space="preserve"> are helping to strengthen the working relationship between the agencies.</w:t>
      </w:r>
      <w:r w:rsidR="00D60F3E" w:rsidRPr="002C3B0F">
        <w:t xml:space="preserve"> </w:t>
      </w:r>
      <w:r w:rsidR="000A0498">
        <w:t xml:space="preserve">To help ensure the longevity of this, it is suggested that </w:t>
      </w:r>
      <w:r w:rsidR="004E6024">
        <w:t>terms of the agencies' interactions</w:t>
      </w:r>
      <w:r w:rsidR="000A0498">
        <w:t xml:space="preserve"> </w:t>
      </w:r>
      <w:r w:rsidR="004E6024">
        <w:t>(including roles, responsibilities, et cetera) are</w:t>
      </w:r>
      <w:r w:rsidR="000A0498">
        <w:t xml:space="preserve"> recorded and agreed. This could be done through an instrument, such as a</w:t>
      </w:r>
      <w:r w:rsidR="004E6024">
        <w:t xml:space="preserve"> Memorandum of Understanding or a Charter of Engagement</w:t>
      </w:r>
      <w:r w:rsidR="000A0498">
        <w:t>. The form of this should be agreed with NOPSEMA and reviewed</w:t>
      </w:r>
      <w:r w:rsidR="004E6024">
        <w:t xml:space="preserve"> periodically.</w:t>
      </w:r>
    </w:p>
    <w:p w:rsidR="00A42491" w:rsidRPr="003F2AC2" w:rsidRDefault="00A42491" w:rsidP="00A42491">
      <w:pPr>
        <w:pStyle w:val="RecommBody"/>
      </w:pPr>
      <w:r w:rsidRPr="00A87828">
        <w:t xml:space="preserve">NOPTA and NOPSEMA </w:t>
      </w:r>
      <w:r w:rsidR="008D63A6">
        <w:t>should establish a</w:t>
      </w:r>
      <w:r w:rsidR="006E5412">
        <w:t>n</w:t>
      </w:r>
      <w:r w:rsidR="008D63A6">
        <w:t xml:space="preserve"> </w:t>
      </w:r>
      <w:r w:rsidR="000A0498">
        <w:t>instrument (such as a Memorandum of Understanding or Charter of Engagement)</w:t>
      </w:r>
      <w:r w:rsidR="008D63A6">
        <w:t xml:space="preserve"> to clarify the interaction between the agencies</w:t>
      </w:r>
      <w:r w:rsidRPr="00A87828">
        <w:t>.</w:t>
      </w:r>
    </w:p>
    <w:p w:rsidR="007F6FF1" w:rsidRPr="003F2AC2" w:rsidRDefault="00493F3A" w:rsidP="00E42D56">
      <w:pPr>
        <w:pStyle w:val="Heading30"/>
      </w:pPr>
      <w:bookmarkStart w:id="106" w:name="_Toc423426791"/>
      <w:bookmarkStart w:id="107" w:name="_Toc430102205"/>
      <w:r w:rsidRPr="003F2AC2">
        <w:t>Relationship with State and Territory Governments</w:t>
      </w:r>
      <w:bookmarkEnd w:id="106"/>
      <w:bookmarkEnd w:id="107"/>
    </w:p>
    <w:p w:rsidR="009D0B97" w:rsidRPr="00826F69" w:rsidRDefault="00994547" w:rsidP="003F2AC2">
      <w:pPr>
        <w:pStyle w:val="NumberL1"/>
      </w:pPr>
      <w:r w:rsidRPr="00826F69">
        <w:t>In the period immediately following NOPTA’s establishment,</w:t>
      </w:r>
      <w:r w:rsidR="005C4077" w:rsidRPr="00826F69">
        <w:t xml:space="preserve"> the initial relationship with State and Territory Governments was</w:t>
      </w:r>
      <w:r w:rsidR="00252286" w:rsidRPr="00826F69">
        <w:t xml:space="preserve"> </w:t>
      </w:r>
      <w:r w:rsidR="007538AF" w:rsidRPr="00826F69">
        <w:t>generally described</w:t>
      </w:r>
      <w:r w:rsidRPr="00826F69">
        <w:t xml:space="preserve"> by stakeholders</w:t>
      </w:r>
      <w:r w:rsidR="007538AF" w:rsidRPr="00826F69">
        <w:t xml:space="preserve"> as</w:t>
      </w:r>
      <w:r w:rsidR="00252286" w:rsidRPr="00826F69">
        <w:t xml:space="preserve"> ‘poor’</w:t>
      </w:r>
      <w:r w:rsidR="005C4077" w:rsidRPr="00826F69">
        <w:t xml:space="preserve">. </w:t>
      </w:r>
      <w:r w:rsidRPr="00826F69">
        <w:t>As m</w:t>
      </w:r>
      <w:r w:rsidR="005C4077" w:rsidRPr="00826F69">
        <w:t xml:space="preserve">any of NOPTA’s </w:t>
      </w:r>
      <w:r w:rsidR="00252286" w:rsidRPr="00826F69">
        <w:t>t</w:t>
      </w:r>
      <w:r w:rsidR="005C4077" w:rsidRPr="00826F69">
        <w:t xml:space="preserve">asks and functions were previously performed by the respective resources departments of each </w:t>
      </w:r>
      <w:r w:rsidR="00252286" w:rsidRPr="00826F69">
        <w:t>S</w:t>
      </w:r>
      <w:r w:rsidR="005C4077" w:rsidRPr="00826F69">
        <w:t>tate and</w:t>
      </w:r>
      <w:r w:rsidR="00252286" w:rsidRPr="00826F69">
        <w:t xml:space="preserve"> Territory</w:t>
      </w:r>
      <w:r w:rsidRPr="00826F69">
        <w:t>, the handover of responsibility to NOPTA</w:t>
      </w:r>
      <w:r w:rsidR="007538AF" w:rsidRPr="00826F69">
        <w:t xml:space="preserve"> did not necessarily sit well</w:t>
      </w:r>
      <w:r w:rsidRPr="00826F69">
        <w:t>. Furthermore, some</w:t>
      </w:r>
      <w:r w:rsidR="00CB6217" w:rsidRPr="00826F69">
        <w:t xml:space="preserve"> early implementation issues caused friction</w:t>
      </w:r>
      <w:r w:rsidR="00252286" w:rsidRPr="00826F69">
        <w:t>.</w:t>
      </w:r>
      <w:r w:rsidRPr="00826F69">
        <w:t xml:space="preserve"> Fortunately, these relationships have </w:t>
      </w:r>
      <w:r w:rsidR="00CB6217" w:rsidRPr="00826F69">
        <w:t>improved</w:t>
      </w:r>
      <w:r w:rsidRPr="00826F69">
        <w:t xml:space="preserve"> and are at a level </w:t>
      </w:r>
      <w:r w:rsidR="00203A2C" w:rsidRPr="00826F69">
        <w:t>that contributes to the effectiveness of the titles system</w:t>
      </w:r>
      <w:r w:rsidRPr="00826F69">
        <w:t>.</w:t>
      </w:r>
      <w:r w:rsidR="00CB6217" w:rsidRPr="00826F69">
        <w:t xml:space="preserve"> In the Review’s discussions with jurisdictions the quality of relationships was</w:t>
      </w:r>
      <w:r w:rsidRPr="00826F69">
        <w:t xml:space="preserve"> commented</w:t>
      </w:r>
      <w:r w:rsidR="00CB6217" w:rsidRPr="00826F69">
        <w:t xml:space="preserve"> </w:t>
      </w:r>
      <w:r w:rsidR="004150E6" w:rsidRPr="00826F69">
        <w:t xml:space="preserve">on </w:t>
      </w:r>
      <w:r w:rsidRPr="00826F69">
        <w:t>favourably, with many describing the responsiveness of NOPTA’s staff as a driver for good relations.</w:t>
      </w:r>
      <w:r w:rsidR="005C4077" w:rsidRPr="00826F69">
        <w:t xml:space="preserve"> </w:t>
      </w:r>
      <w:r w:rsidRPr="00826F69">
        <w:t>To b</w:t>
      </w:r>
      <w:r w:rsidR="00CB6217" w:rsidRPr="00826F69">
        <w:t>uild on these relationships will require NOPTA to continue to engage closely with its state and territory counterparts.</w:t>
      </w:r>
    </w:p>
    <w:p w:rsidR="00994547" w:rsidRPr="00826F69" w:rsidRDefault="00994547" w:rsidP="006045A5">
      <w:pPr>
        <w:pStyle w:val="Noetic-Columnrecommendation"/>
        <w:tabs>
          <w:tab w:val="clear" w:pos="425"/>
          <w:tab w:val="num" w:pos="567"/>
        </w:tabs>
        <w:ind w:left="567" w:hanging="567"/>
      </w:pPr>
      <w:r w:rsidRPr="00826F69">
        <w:t xml:space="preserve">NOPTA maintains good working relationships with the States and </w:t>
      </w:r>
      <w:r w:rsidR="00826F69">
        <w:t xml:space="preserve">Northern </w:t>
      </w:r>
      <w:r w:rsidRPr="00826F69">
        <w:t>Territory.</w:t>
      </w:r>
    </w:p>
    <w:p w:rsidR="00493F3A" w:rsidRPr="007512A9" w:rsidRDefault="00493F3A" w:rsidP="00E42D56">
      <w:pPr>
        <w:pStyle w:val="Heading20"/>
      </w:pPr>
      <w:bookmarkStart w:id="108" w:name="_Toc422740250"/>
      <w:bookmarkStart w:id="109" w:name="_Toc423426792"/>
      <w:bookmarkStart w:id="110" w:name="_Toc430102206"/>
      <w:r w:rsidRPr="007F6452">
        <w:t>Data Manage</w:t>
      </w:r>
      <w:r w:rsidRPr="007512A9">
        <w:t>ment</w:t>
      </w:r>
      <w:bookmarkEnd w:id="108"/>
      <w:bookmarkEnd w:id="109"/>
      <w:bookmarkEnd w:id="110"/>
    </w:p>
    <w:p w:rsidR="000B2FFF" w:rsidRPr="002C3B0F" w:rsidRDefault="000B2FFF" w:rsidP="003F2AC2">
      <w:pPr>
        <w:pStyle w:val="NumberL1"/>
        <w:rPr>
          <w:rFonts w:eastAsia="Calibri"/>
        </w:rPr>
      </w:pPr>
      <w:r w:rsidRPr="002C3B0F">
        <w:rPr>
          <w:rFonts w:eastAsia="Calibri"/>
        </w:rPr>
        <w:t xml:space="preserve">As noted previously, the effective management of titles related data is critical in supporting the development of Australia’s offshore </w:t>
      </w:r>
      <w:r w:rsidR="00D460C5" w:rsidRPr="002C3B0F">
        <w:rPr>
          <w:rFonts w:eastAsia="Calibri"/>
        </w:rPr>
        <w:t xml:space="preserve">petroleum </w:t>
      </w:r>
      <w:r w:rsidRPr="002C3B0F">
        <w:rPr>
          <w:rFonts w:eastAsia="Calibri"/>
        </w:rPr>
        <w:t>resources. NOPTA plays an important role in ensuring this data is readily available. It does so by working with the other agencies with responsibilities for this data</w:t>
      </w:r>
      <w:r w:rsidR="0018094A" w:rsidRPr="002C3B0F">
        <w:rPr>
          <w:rFonts w:eastAsia="Calibri"/>
        </w:rPr>
        <w:t xml:space="preserve"> - </w:t>
      </w:r>
      <w:r w:rsidRPr="002C3B0F">
        <w:rPr>
          <w:rFonts w:eastAsia="Calibri"/>
        </w:rPr>
        <w:t>primarily</w:t>
      </w:r>
      <w:r w:rsidR="0018094A" w:rsidRPr="002C3B0F">
        <w:rPr>
          <w:rFonts w:eastAsia="Calibri"/>
        </w:rPr>
        <w:t xml:space="preserve"> </w:t>
      </w:r>
      <w:r w:rsidRPr="002C3B0F">
        <w:rPr>
          <w:rFonts w:eastAsia="Calibri"/>
        </w:rPr>
        <w:t>Geoscience Australia and the Geological Survey of Western Australia</w:t>
      </w:r>
      <w:r w:rsidR="004A3B13">
        <w:rPr>
          <w:rFonts w:eastAsia="Calibri"/>
        </w:rPr>
        <w:t xml:space="preserve"> (a Branch of WA’s Department of Mines and Petroleum)</w:t>
      </w:r>
      <w:r w:rsidRPr="002C3B0F">
        <w:rPr>
          <w:rFonts w:eastAsia="Calibri"/>
        </w:rPr>
        <w:t>. This includes both electronic data, physical copies of data (</w:t>
      </w:r>
      <w:r w:rsidR="007512A9">
        <w:rPr>
          <w:rFonts w:eastAsia="Calibri"/>
        </w:rPr>
        <w:t xml:space="preserve">such as </w:t>
      </w:r>
      <w:r w:rsidRPr="007512A9">
        <w:rPr>
          <w:rFonts w:eastAsia="Calibri"/>
        </w:rPr>
        <w:t>seismic tapes, paper copies of well logs and other reports</w:t>
      </w:r>
      <w:r w:rsidR="008C4001" w:rsidRPr="002C3B0F">
        <w:rPr>
          <w:rFonts w:eastAsia="Calibri"/>
        </w:rPr>
        <w:t>, among others</w:t>
      </w:r>
      <w:r w:rsidR="00622D17" w:rsidRPr="002C3B0F">
        <w:rPr>
          <w:rFonts w:eastAsia="Calibri"/>
        </w:rPr>
        <w:t xml:space="preserve">) and physical samples (such as </w:t>
      </w:r>
      <w:r w:rsidR="004A3B13">
        <w:rPr>
          <w:rFonts w:eastAsia="Calibri"/>
        </w:rPr>
        <w:t>drill core</w:t>
      </w:r>
      <w:r w:rsidR="00622D17" w:rsidRPr="002C3B0F">
        <w:rPr>
          <w:rFonts w:eastAsia="Calibri"/>
        </w:rPr>
        <w:t xml:space="preserve"> and cuttings). </w:t>
      </w:r>
    </w:p>
    <w:p w:rsidR="00AA6EC2" w:rsidRPr="002C3B0F" w:rsidRDefault="00622D17" w:rsidP="007512A9">
      <w:pPr>
        <w:pStyle w:val="NumberL1"/>
        <w:rPr>
          <w:rFonts w:eastAsia="Calibri"/>
        </w:rPr>
      </w:pPr>
      <w:r w:rsidRPr="002C3B0F">
        <w:rPr>
          <w:rFonts w:eastAsia="Calibri"/>
        </w:rPr>
        <w:t>Since the creation of NOPTA there are two important developments in data management. The first is the establishment of</w:t>
      </w:r>
      <w:r w:rsidR="00F62BB3" w:rsidRPr="002C3B0F">
        <w:rPr>
          <w:rFonts w:eastAsia="Calibri"/>
        </w:rPr>
        <w:t xml:space="preserve"> the National Offshore </w:t>
      </w:r>
      <w:r w:rsidR="00F62BB3" w:rsidRPr="007F6452">
        <w:rPr>
          <w:rFonts w:eastAsia="Calibri"/>
        </w:rPr>
        <w:t xml:space="preserve">Petroleum Data and Core Repository (NOPDCR), a collaboration </w:t>
      </w:r>
      <w:r w:rsidR="00F62BB3" w:rsidRPr="007F6452">
        <w:rPr>
          <w:rFonts w:eastAsia="Calibri"/>
        </w:rPr>
        <w:lastRenderedPageBreak/>
        <w:t>between NOPTA, Geo</w:t>
      </w:r>
      <w:r w:rsidR="00F62BB3" w:rsidRPr="002C3B0F">
        <w:rPr>
          <w:rFonts w:eastAsia="Calibri"/>
        </w:rPr>
        <w:t>science Australia and the W</w:t>
      </w:r>
      <w:r w:rsidR="007512A9">
        <w:rPr>
          <w:rFonts w:eastAsia="Calibri"/>
        </w:rPr>
        <w:t xml:space="preserve">estern Australia </w:t>
      </w:r>
      <w:r w:rsidR="00F62BB3" w:rsidRPr="007512A9">
        <w:rPr>
          <w:rFonts w:eastAsia="Calibri"/>
        </w:rPr>
        <w:t>Department of Mines and Petroleum (DMP). The NOPDCR replaces the previous system where G</w:t>
      </w:r>
      <w:r w:rsidR="00437436" w:rsidRPr="002C3B0F">
        <w:rPr>
          <w:rFonts w:eastAsia="Calibri"/>
        </w:rPr>
        <w:t>eoscience Australia</w:t>
      </w:r>
      <w:r w:rsidR="00F62BB3" w:rsidRPr="002C3B0F">
        <w:rPr>
          <w:rFonts w:eastAsia="Calibri"/>
        </w:rPr>
        <w:t xml:space="preserve"> would hold </w:t>
      </w:r>
      <w:r w:rsidR="0062024E" w:rsidRPr="002C3B0F">
        <w:rPr>
          <w:rFonts w:eastAsia="Calibri"/>
        </w:rPr>
        <w:t>one-third</w:t>
      </w:r>
      <w:r w:rsidR="00F62BB3" w:rsidRPr="002C3B0F">
        <w:rPr>
          <w:rFonts w:eastAsia="Calibri"/>
        </w:rPr>
        <w:t xml:space="preserve"> of a core in the Canberra Core Store, with </w:t>
      </w:r>
      <w:r w:rsidR="0062024E" w:rsidRPr="002C3B0F">
        <w:rPr>
          <w:rFonts w:eastAsia="Calibri"/>
        </w:rPr>
        <w:t>two-thirds</w:t>
      </w:r>
      <w:r w:rsidR="00F62BB3" w:rsidRPr="002C3B0F">
        <w:rPr>
          <w:rFonts w:eastAsia="Calibri"/>
        </w:rPr>
        <w:t xml:space="preserve"> of a core being held by the relevant jurisdiction in their own core storage facility. The NOPDCR has consolidated the jurisdictional storage, with all jurisdictional cores being stored</w:t>
      </w:r>
      <w:r w:rsidRPr="002C3B0F">
        <w:rPr>
          <w:rFonts w:eastAsia="Calibri"/>
        </w:rPr>
        <w:t xml:space="preserve"> </w:t>
      </w:r>
      <w:r w:rsidR="00F62BB3" w:rsidRPr="002C3B0F">
        <w:rPr>
          <w:rFonts w:eastAsia="Calibri"/>
        </w:rPr>
        <w:t xml:space="preserve">in DMP’s Carlisle Core Store </w:t>
      </w:r>
      <w:r w:rsidRPr="002C3B0F">
        <w:rPr>
          <w:rFonts w:eastAsia="Calibri"/>
        </w:rPr>
        <w:t xml:space="preserve">facility in Perth. This world class facility provides secure storage of samples and the </w:t>
      </w:r>
      <w:r w:rsidRPr="007F6452">
        <w:rPr>
          <w:rFonts w:eastAsia="Calibri"/>
        </w:rPr>
        <w:t>ability for them to be easily accessed (where authorised</w:t>
      </w:r>
      <w:r w:rsidRPr="003F2AC2">
        <w:rPr>
          <w:rStyle w:val="FootnoteReference"/>
          <w:rFonts w:eastAsia="Calibri"/>
        </w:rPr>
        <w:footnoteReference w:id="17"/>
      </w:r>
      <w:r w:rsidRPr="003F2AC2">
        <w:rPr>
          <w:rFonts w:eastAsia="Calibri"/>
        </w:rPr>
        <w:t xml:space="preserve">). </w:t>
      </w:r>
      <w:r w:rsidR="00F62BB3" w:rsidRPr="002C3B0F">
        <w:rPr>
          <w:rFonts w:eastAsia="Calibri"/>
        </w:rPr>
        <w:t xml:space="preserve">The benefits of NOPDCR include better storage conditions for core samples (as previous jurisdictional storage varied greatly) and increased access to core samples for industry as samples exist </w:t>
      </w:r>
      <w:r w:rsidR="00215AC7">
        <w:rPr>
          <w:rFonts w:eastAsia="Calibri"/>
        </w:rPr>
        <w:t>o</w:t>
      </w:r>
      <w:r w:rsidR="00F62BB3" w:rsidRPr="002C3B0F">
        <w:rPr>
          <w:rFonts w:eastAsia="Calibri"/>
        </w:rPr>
        <w:t>n both</w:t>
      </w:r>
      <w:r w:rsidR="006006AA" w:rsidRPr="002C3B0F">
        <w:rPr>
          <w:rFonts w:eastAsia="Calibri"/>
        </w:rPr>
        <w:t xml:space="preserve"> the west and east</w:t>
      </w:r>
      <w:r w:rsidR="00F62BB3" w:rsidRPr="002C3B0F">
        <w:rPr>
          <w:rFonts w:eastAsia="Calibri"/>
        </w:rPr>
        <w:t xml:space="preserve"> coa</w:t>
      </w:r>
      <w:r w:rsidR="006006AA" w:rsidRPr="002C3B0F">
        <w:rPr>
          <w:rFonts w:eastAsia="Calibri"/>
        </w:rPr>
        <w:t>s</w:t>
      </w:r>
      <w:r w:rsidR="00F62BB3" w:rsidRPr="002C3B0F">
        <w:rPr>
          <w:rFonts w:eastAsia="Calibri"/>
        </w:rPr>
        <w:t>ts of Australia.</w:t>
      </w:r>
    </w:p>
    <w:p w:rsidR="00F55814" w:rsidRPr="002C3B0F" w:rsidRDefault="000B2FFF" w:rsidP="00F55814">
      <w:pPr>
        <w:pStyle w:val="NumberL1"/>
        <w:rPr>
          <w:rFonts w:eastAsia="Calibri"/>
        </w:rPr>
      </w:pPr>
      <w:r w:rsidRPr="002C3B0F">
        <w:rPr>
          <w:rFonts w:eastAsia="Calibri"/>
        </w:rPr>
        <w:t xml:space="preserve">The </w:t>
      </w:r>
      <w:r w:rsidR="00622D17" w:rsidRPr="002C3B0F">
        <w:rPr>
          <w:rFonts w:eastAsia="Calibri"/>
        </w:rPr>
        <w:t xml:space="preserve">other significant enhancement is the </w:t>
      </w:r>
      <w:r w:rsidRPr="002C3B0F">
        <w:rPr>
          <w:rFonts w:eastAsia="Calibri"/>
        </w:rPr>
        <w:t xml:space="preserve">development </w:t>
      </w:r>
      <w:r w:rsidR="00622D17" w:rsidRPr="002C3B0F">
        <w:rPr>
          <w:rFonts w:eastAsia="Calibri"/>
        </w:rPr>
        <w:t>of</w:t>
      </w:r>
      <w:r w:rsidRPr="002C3B0F">
        <w:rPr>
          <w:rFonts w:eastAsia="Calibri"/>
        </w:rPr>
        <w:t xml:space="preserve"> the National Offshore Petroleum Information Management System (NOPIMS), a data discovery and delivery system for offshore wells</w:t>
      </w:r>
      <w:r w:rsidR="00152C98" w:rsidRPr="002C3B0F">
        <w:rPr>
          <w:rFonts w:eastAsia="Calibri"/>
        </w:rPr>
        <w:t>,</w:t>
      </w:r>
      <w:r w:rsidRPr="002C3B0F">
        <w:rPr>
          <w:rFonts w:eastAsia="Calibri"/>
        </w:rPr>
        <w:t xml:space="preserve"> and survey</w:t>
      </w:r>
      <w:r w:rsidR="007512A9">
        <w:rPr>
          <w:rFonts w:eastAsia="Calibri"/>
        </w:rPr>
        <w:t xml:space="preserve"> </w:t>
      </w:r>
      <w:r w:rsidRPr="007512A9">
        <w:rPr>
          <w:rFonts w:eastAsia="Calibri"/>
        </w:rPr>
        <w:t>data and</w:t>
      </w:r>
      <w:r w:rsidRPr="002C3B0F">
        <w:rPr>
          <w:rFonts w:eastAsia="Calibri"/>
        </w:rPr>
        <w:t xml:space="preserve"> information.</w:t>
      </w:r>
      <w:r w:rsidR="00622D17" w:rsidRPr="002C3B0F">
        <w:rPr>
          <w:rFonts w:eastAsia="Calibri"/>
        </w:rPr>
        <w:t xml:space="preserve"> The system was launched at the Australian Petroleum Production and Exploration Association Conference in Melbourne in May 2015.</w:t>
      </w:r>
    </w:p>
    <w:p w:rsidR="000B2FFF" w:rsidRPr="002C3B0F" w:rsidRDefault="000B2FFF">
      <w:pPr>
        <w:pStyle w:val="NumberL1"/>
        <w:rPr>
          <w:rFonts w:eastAsia="Calibri"/>
        </w:rPr>
      </w:pPr>
      <w:r w:rsidRPr="002C3B0F">
        <w:rPr>
          <w:rFonts w:eastAsia="Calibri"/>
        </w:rPr>
        <w:t xml:space="preserve">When </w:t>
      </w:r>
      <w:r w:rsidR="00622D17" w:rsidRPr="002C3B0F">
        <w:rPr>
          <w:rFonts w:eastAsia="Calibri"/>
        </w:rPr>
        <w:t xml:space="preserve">fully </w:t>
      </w:r>
      <w:r w:rsidRPr="002C3B0F">
        <w:rPr>
          <w:rFonts w:eastAsia="Calibri"/>
        </w:rPr>
        <w:t xml:space="preserve">operational, it is understood that the benefits of NOPIMS will include improved access to data across offshore areas. It will be an online system that will allow access to data quicker, easier and less expensively than before. NOPIMS will also remove some of the artificial barriers facing stakeholders, in particular the need to go to multiple sources for data in different areas of Australia. </w:t>
      </w:r>
      <w:r w:rsidR="00622D17" w:rsidRPr="002C3B0F">
        <w:rPr>
          <w:rFonts w:eastAsia="Calibri"/>
        </w:rPr>
        <w:t>D</w:t>
      </w:r>
      <w:r w:rsidRPr="002C3B0F">
        <w:rPr>
          <w:rFonts w:eastAsia="Calibri"/>
        </w:rPr>
        <w:t>ata coverage and completeness will be initially limited to reports and data for open-file acti</w:t>
      </w:r>
      <w:r w:rsidR="009108F7" w:rsidRPr="002C3B0F">
        <w:rPr>
          <w:rFonts w:eastAsia="Calibri"/>
        </w:rPr>
        <w:t xml:space="preserve">vities post 1 January 2012. </w:t>
      </w:r>
      <w:r w:rsidRPr="002C3B0F">
        <w:rPr>
          <w:rFonts w:eastAsia="Calibri"/>
        </w:rPr>
        <w:t>NOPIMS will be progressively populated over time with data for open-file activities prior to this date.</w:t>
      </w:r>
      <w:r w:rsidR="009108F7" w:rsidRPr="002C3B0F">
        <w:rPr>
          <w:rFonts w:eastAsia="Calibri"/>
        </w:rPr>
        <w:t xml:space="preserve"> The introduction of and planned growth of NOPIMS is a positive development in data management for Australia’s offshore petroleum sector.</w:t>
      </w:r>
    </w:p>
    <w:p w:rsidR="009108F7" w:rsidRPr="00A42491" w:rsidRDefault="009108F7" w:rsidP="006045A5">
      <w:pPr>
        <w:pStyle w:val="Noetic-Columnrecommendation"/>
        <w:tabs>
          <w:tab w:val="clear" w:pos="425"/>
          <w:tab w:val="num" w:pos="567"/>
        </w:tabs>
        <w:ind w:left="567" w:hanging="567"/>
        <w:rPr>
          <w:rFonts w:eastAsia="Calibri"/>
        </w:rPr>
      </w:pPr>
      <w:r w:rsidRPr="00A42491">
        <w:rPr>
          <w:rFonts w:eastAsia="Calibri"/>
        </w:rPr>
        <w:t>NOPIMS provides a single point to access</w:t>
      </w:r>
      <w:r w:rsidR="00152C98" w:rsidRPr="00A42491">
        <w:rPr>
          <w:rFonts w:eastAsia="Calibri"/>
        </w:rPr>
        <w:t xml:space="preserve"> to </w:t>
      </w:r>
      <w:r w:rsidR="00152C98" w:rsidRPr="006045A5">
        <w:t>offshore</w:t>
      </w:r>
      <w:r w:rsidR="00152C98" w:rsidRPr="00A42491">
        <w:rPr>
          <w:rFonts w:eastAsia="Calibri"/>
        </w:rPr>
        <w:t xml:space="preserve"> petroleum data and its ongoing enhancement will assist the development of Australia’s offshore hydrocarbon resource.</w:t>
      </w:r>
    </w:p>
    <w:p w:rsidR="00F55814" w:rsidRPr="00F55814" w:rsidRDefault="000B2FFF" w:rsidP="00F55814">
      <w:pPr>
        <w:pStyle w:val="NumberL1"/>
        <w:rPr>
          <w:rFonts w:eastAsia="Calibri"/>
        </w:rPr>
      </w:pPr>
      <w:r w:rsidRPr="003F2AC2">
        <w:rPr>
          <w:rFonts w:eastAsia="Calibri"/>
        </w:rPr>
        <w:t>The success of NOPIMS will depend on the quality of submitted digital data</w:t>
      </w:r>
      <w:r w:rsidR="004A3B13">
        <w:rPr>
          <w:rFonts w:eastAsia="Calibri"/>
        </w:rPr>
        <w:t xml:space="preserve"> made available through that system</w:t>
      </w:r>
      <w:r w:rsidRPr="003F2AC2">
        <w:rPr>
          <w:rFonts w:eastAsia="Calibri"/>
        </w:rPr>
        <w:t>.</w:t>
      </w:r>
      <w:r w:rsidR="00B66610" w:rsidRPr="002C3B0F">
        <w:rPr>
          <w:rFonts w:eastAsia="Calibri"/>
        </w:rPr>
        <w:t xml:space="preserve"> A number of stakeholders noted that data is not always complete when released by NOPTA</w:t>
      </w:r>
      <w:r w:rsidR="008707AC" w:rsidRPr="002C3B0F">
        <w:rPr>
          <w:rFonts w:eastAsia="Calibri"/>
        </w:rPr>
        <w:t xml:space="preserve"> causing delays in using the data</w:t>
      </w:r>
      <w:r w:rsidR="004B5BEC">
        <w:rPr>
          <w:rFonts w:eastAsia="Calibri"/>
        </w:rPr>
        <w:t xml:space="preserve">. </w:t>
      </w:r>
      <w:r w:rsidR="003C271C">
        <w:rPr>
          <w:rFonts w:eastAsia="Calibri"/>
        </w:rPr>
        <w:t>Much of the data referred to was created prior to the establishment of NOPTA.</w:t>
      </w:r>
      <w:r w:rsidR="008707AC">
        <w:rPr>
          <w:rFonts w:eastAsia="Calibri"/>
        </w:rPr>
        <w:t xml:space="preserve"> I</w:t>
      </w:r>
      <w:r w:rsidR="004A3B13">
        <w:rPr>
          <w:rFonts w:eastAsia="Calibri"/>
        </w:rPr>
        <w:t>t should be noted however that i</w:t>
      </w:r>
      <w:r w:rsidR="008707AC">
        <w:rPr>
          <w:rFonts w:eastAsia="Calibri"/>
        </w:rPr>
        <w:t xml:space="preserve">n some cases, </w:t>
      </w:r>
      <w:r w:rsidR="003C271C">
        <w:rPr>
          <w:rFonts w:eastAsia="Calibri"/>
        </w:rPr>
        <w:t>despite the efforts of NOPTA’s staff</w:t>
      </w:r>
      <w:r w:rsidR="008707AC" w:rsidRPr="002C3B0F">
        <w:rPr>
          <w:rFonts w:eastAsia="Calibri"/>
        </w:rPr>
        <w:t>, missing data cannot be recovered due to the passage of time.</w:t>
      </w:r>
      <w:r w:rsidR="00B66610" w:rsidRPr="002C3B0F">
        <w:rPr>
          <w:rFonts w:eastAsia="Calibri"/>
        </w:rPr>
        <w:t xml:space="preserve"> </w:t>
      </w:r>
      <w:r w:rsidR="008707AC" w:rsidRPr="002C3B0F">
        <w:rPr>
          <w:rFonts w:eastAsia="Calibri"/>
        </w:rPr>
        <w:t>Since 2012</w:t>
      </w:r>
      <w:r w:rsidRPr="002C3B0F">
        <w:rPr>
          <w:rFonts w:eastAsia="Calibri"/>
        </w:rPr>
        <w:t xml:space="preserve"> data submission standards </w:t>
      </w:r>
      <w:r w:rsidR="00162F2D">
        <w:rPr>
          <w:rFonts w:eastAsia="Calibri"/>
        </w:rPr>
        <w:t>have been</w:t>
      </w:r>
      <w:r w:rsidR="00162F2D" w:rsidRPr="002C3B0F">
        <w:rPr>
          <w:rFonts w:eastAsia="Calibri"/>
        </w:rPr>
        <w:t xml:space="preserve"> </w:t>
      </w:r>
      <w:r w:rsidRPr="002C3B0F">
        <w:rPr>
          <w:rFonts w:eastAsia="Calibri"/>
        </w:rPr>
        <w:t xml:space="preserve">set out in the </w:t>
      </w:r>
      <w:r w:rsidR="008707AC" w:rsidRPr="002C3B0F">
        <w:rPr>
          <w:rFonts w:eastAsia="Calibri"/>
        </w:rPr>
        <w:t>NOPTA’s</w:t>
      </w:r>
      <w:r w:rsidRPr="002C3B0F">
        <w:rPr>
          <w:rFonts w:eastAsia="Calibri"/>
        </w:rPr>
        <w:t xml:space="preserve"> data submission requirements</w:t>
      </w:r>
      <w:r w:rsidR="006006AA" w:rsidRPr="002C3B0F">
        <w:rPr>
          <w:rFonts w:eastAsia="Calibri"/>
        </w:rPr>
        <w:t>.</w:t>
      </w:r>
      <w:r w:rsidRPr="003F2AC2">
        <w:rPr>
          <w:rFonts w:eastAsia="Calibri"/>
          <w:vertAlign w:val="superscript"/>
        </w:rPr>
        <w:footnoteReference w:id="18"/>
      </w:r>
      <w:r w:rsidRPr="003F2AC2">
        <w:rPr>
          <w:rFonts w:eastAsia="Calibri"/>
        </w:rPr>
        <w:t xml:space="preserve"> Compliance with these requirements is necessary to allow the maximum benefit to be reaped from the system, thus reducing the long term costs associated with non-compliant</w:t>
      </w:r>
      <w:r w:rsidR="008553A1">
        <w:rPr>
          <w:rFonts w:eastAsia="Calibri"/>
        </w:rPr>
        <w:t xml:space="preserve"> </w:t>
      </w:r>
      <w:r w:rsidRPr="003F2AC2">
        <w:rPr>
          <w:rFonts w:eastAsia="Calibri"/>
        </w:rPr>
        <w:t>data to both industry and government.</w:t>
      </w:r>
      <w:r w:rsidR="008707AC" w:rsidRPr="002C3B0F">
        <w:rPr>
          <w:rFonts w:eastAsia="Calibri"/>
        </w:rPr>
        <w:t xml:space="preserve"> </w:t>
      </w:r>
      <w:r w:rsidR="008707AC" w:rsidRPr="008553A1">
        <w:rPr>
          <w:rFonts w:eastAsia="Calibri"/>
        </w:rPr>
        <w:t>NOPTA has a quality control system in place to check that submissions adhere to the standards. As data obtained under this standard s</w:t>
      </w:r>
      <w:r w:rsidR="008707AC" w:rsidRPr="002C3B0F">
        <w:rPr>
          <w:rFonts w:eastAsia="Calibri"/>
        </w:rPr>
        <w:t xml:space="preserve">tarts </w:t>
      </w:r>
      <w:r w:rsidR="008707AC" w:rsidRPr="008553A1">
        <w:rPr>
          <w:rFonts w:eastAsia="Calibri"/>
        </w:rPr>
        <w:lastRenderedPageBreak/>
        <w:t>being released by NOPTA, the completeness of this data should be monitored to ensure that N</w:t>
      </w:r>
      <w:r w:rsidR="004B5BEC">
        <w:rPr>
          <w:rFonts w:eastAsia="Calibri"/>
        </w:rPr>
        <w:t>OPTA’s processes are effective.</w:t>
      </w:r>
    </w:p>
    <w:p w:rsidR="00A93EF3" w:rsidRPr="002C3B0F" w:rsidRDefault="00A93EF3" w:rsidP="008553A1">
      <w:pPr>
        <w:pStyle w:val="NumberL1"/>
      </w:pPr>
      <w:r w:rsidRPr="008553A1">
        <w:t>Confidence in Australia’s titles system is partly based on the faith that industry has in government’s ability to secure its d</w:t>
      </w:r>
      <w:r w:rsidRPr="002C3B0F">
        <w:t xml:space="preserve">ata </w:t>
      </w:r>
      <w:r w:rsidRPr="008553A1">
        <w:t>during confidentiality periods.</w:t>
      </w:r>
      <w:r w:rsidR="000A0498">
        <w:t xml:space="preserve"> </w:t>
      </w:r>
      <w:r w:rsidR="00F55814">
        <w:t>Under Regulation,</w:t>
      </w:r>
      <w:r w:rsidRPr="008553A1">
        <w:t xml:space="preserve"> </w:t>
      </w:r>
      <w:r w:rsidR="000A0498">
        <w:t>c</w:t>
      </w:r>
      <w:r w:rsidRPr="008553A1">
        <w:t xml:space="preserve">ompanies are given set times where the data they furnish </w:t>
      </w:r>
      <w:r w:rsidR="006006AA" w:rsidRPr="002C3B0F">
        <w:t>remains</w:t>
      </w:r>
      <w:r w:rsidRPr="002C3B0F">
        <w:t xml:space="preserve"> confidential.</w:t>
      </w:r>
      <w:r w:rsidR="009D215F" w:rsidRPr="003F2AC2">
        <w:rPr>
          <w:rStyle w:val="FootnoteReference"/>
        </w:rPr>
        <w:footnoteReference w:id="19"/>
      </w:r>
      <w:r w:rsidR="008553A1">
        <w:t xml:space="preserve"> </w:t>
      </w:r>
      <w:r w:rsidRPr="003F2AC2">
        <w:t xml:space="preserve">Industry </w:t>
      </w:r>
      <w:r w:rsidR="006006AA" w:rsidRPr="003F2AC2">
        <w:t xml:space="preserve">expressed </w:t>
      </w:r>
      <w:r w:rsidRPr="002C3B0F">
        <w:t>confiden</w:t>
      </w:r>
      <w:r w:rsidR="006006AA" w:rsidRPr="002C3B0F">
        <w:t>ce</w:t>
      </w:r>
      <w:r w:rsidRPr="002C3B0F">
        <w:t xml:space="preserve"> that NOPTA and its partner agencies are effective at maintaining data confidential</w:t>
      </w:r>
      <w:r w:rsidR="004A3B13">
        <w:t>ity</w:t>
      </w:r>
      <w:r w:rsidRPr="002C3B0F">
        <w:t>. The Review also looked at NOPTA’s processes and security arrangements for protecting data. These processes are in place and testing of the electronic security occu</w:t>
      </w:r>
      <w:r w:rsidRPr="00DA2B56">
        <w:t xml:space="preserve">rs periodically. NOPTA should continue to review its processes to maintain the confidentially of data including the </w:t>
      </w:r>
      <w:r w:rsidRPr="002C3B0F">
        <w:t>testing of its electronic systems to prevent unauthorised access</w:t>
      </w:r>
      <w:r w:rsidR="00F15D6E" w:rsidRPr="002C3B0F">
        <w:t xml:space="preserve"> of data</w:t>
      </w:r>
      <w:r w:rsidRPr="002C3B0F">
        <w:t>.</w:t>
      </w:r>
    </w:p>
    <w:p w:rsidR="00EF6D1A" w:rsidRPr="00A42491" w:rsidRDefault="00F15D6E" w:rsidP="006045A5">
      <w:pPr>
        <w:pStyle w:val="Noetic-Columnrecommendation"/>
        <w:tabs>
          <w:tab w:val="clear" w:pos="425"/>
          <w:tab w:val="num" w:pos="567"/>
        </w:tabs>
        <w:ind w:left="567" w:hanging="567"/>
      </w:pPr>
      <w:r w:rsidRPr="00A42491">
        <w:t xml:space="preserve">Stakeholders </w:t>
      </w:r>
      <w:r w:rsidR="00DB27DA" w:rsidRPr="00A42491">
        <w:t xml:space="preserve">have confidence in NOPTA’s ability to secure confidential data. NOPTA should continue to enhance the effectiveness of measures to maintain </w:t>
      </w:r>
      <w:r w:rsidR="00DE7E0B" w:rsidRPr="00A42491">
        <w:t xml:space="preserve">the </w:t>
      </w:r>
      <w:r w:rsidR="00DB27DA" w:rsidRPr="00A42491">
        <w:t xml:space="preserve">confidential </w:t>
      </w:r>
      <w:r w:rsidR="00DE7E0B" w:rsidRPr="00A42491">
        <w:t>of data</w:t>
      </w:r>
      <w:r w:rsidR="00DB27DA" w:rsidRPr="00A42491">
        <w:t>.</w:t>
      </w:r>
    </w:p>
    <w:p w:rsidR="00BD224F" w:rsidRPr="00DA2B56" w:rsidRDefault="00517A01" w:rsidP="003F2AC2">
      <w:pPr>
        <w:pStyle w:val="NumberL1"/>
      </w:pPr>
      <w:r w:rsidRPr="003F2AC2">
        <w:t xml:space="preserve">Stakeholders raised the issue of </w:t>
      </w:r>
      <w:r w:rsidR="00B20463" w:rsidRPr="003F2AC2">
        <w:t xml:space="preserve">non-exclusive (also known as </w:t>
      </w:r>
      <w:r w:rsidRPr="002C3B0F">
        <w:t>multi-client</w:t>
      </w:r>
      <w:r w:rsidR="00B20463" w:rsidRPr="002C3B0F">
        <w:t>)</w:t>
      </w:r>
      <w:r w:rsidRPr="002C3B0F">
        <w:t xml:space="preserve"> seismic data with the Review team during the consultation phase. A variety of views were expressed. This issue is outside this Review’s Terms of Reference. The Department of Industry and Science is conducting a separate review</w:t>
      </w:r>
      <w:r w:rsidR="00B41D15" w:rsidRPr="002C3B0F">
        <w:t xml:space="preserve"> which covers the</w:t>
      </w:r>
      <w:r w:rsidRPr="002C3B0F">
        <w:t xml:space="preserve"> issue and stakeholder feedback was provided separately</w:t>
      </w:r>
      <w:r w:rsidR="00B41D15" w:rsidRPr="002C3B0F">
        <w:t xml:space="preserve"> to the Head of this review</w:t>
      </w:r>
      <w:r w:rsidRPr="002C3B0F">
        <w:t>.</w:t>
      </w:r>
    </w:p>
    <w:p w:rsidR="000E787C" w:rsidRPr="002C3B0F" w:rsidRDefault="00976376" w:rsidP="00E42D56">
      <w:pPr>
        <w:pStyle w:val="Heading20"/>
      </w:pPr>
      <w:bookmarkStart w:id="111" w:name="_Toc422740251"/>
      <w:bookmarkStart w:id="112" w:name="_Toc423426793"/>
      <w:bookmarkStart w:id="113" w:name="_Toc430102207"/>
      <w:r w:rsidRPr="002C3B0F">
        <w:t>Implementing</w:t>
      </w:r>
      <w:r w:rsidR="00875031" w:rsidRPr="002C3B0F">
        <w:t xml:space="preserve"> the</w:t>
      </w:r>
      <w:r w:rsidR="00F80316" w:rsidRPr="002C3B0F">
        <w:t xml:space="preserve"> Government’s </w:t>
      </w:r>
      <w:r w:rsidR="00493F3A" w:rsidRPr="002C3B0F">
        <w:t>Response to Productivity Commission</w:t>
      </w:r>
      <w:r w:rsidR="00F80316" w:rsidRPr="002C3B0F">
        <w:t xml:space="preserve"> Report</w:t>
      </w:r>
      <w:bookmarkEnd w:id="111"/>
      <w:bookmarkEnd w:id="112"/>
      <w:bookmarkEnd w:id="113"/>
    </w:p>
    <w:p w:rsidR="00520457" w:rsidRPr="002C3B0F" w:rsidRDefault="00520457" w:rsidP="003F2AC2">
      <w:pPr>
        <w:pStyle w:val="NumberL1"/>
      </w:pPr>
      <w:bookmarkStart w:id="114" w:name="_Toc422740252"/>
      <w:r w:rsidRPr="002C3B0F">
        <w:t>In 2009, the Productivity Commission</w:t>
      </w:r>
      <w:r w:rsidRPr="00DA2B56">
        <w:t xml:space="preserve"> co</w:t>
      </w:r>
      <w:r w:rsidRPr="002C3B0F">
        <w:t>mpleted its review of the Regulatory Burden on the Upstream Petroleum (Oil &amp; Gas) Sec</w:t>
      </w:r>
      <w:r w:rsidRPr="007F6452">
        <w:t>tor. The review was commissioned following a COAG decision to focus on upstream petroleum as an area of reform. The Commonwealth Government formally responded to the Produ</w:t>
      </w:r>
      <w:r w:rsidRPr="002C3B0F">
        <w:t>ctivity Commission’s report in 2011. In its response, the Government agreed to Productivity Commission re</w:t>
      </w:r>
      <w:r w:rsidR="004B5BEC">
        <w:t>port recommendations including:</w:t>
      </w:r>
    </w:p>
    <w:p w:rsidR="00520457" w:rsidRPr="007F6452" w:rsidRDefault="00520457" w:rsidP="00A36899">
      <w:pPr>
        <w:pStyle w:val="NumberL2"/>
        <w:tabs>
          <w:tab w:val="clear" w:pos="720"/>
          <w:tab w:val="num" w:pos="1134"/>
        </w:tabs>
        <w:ind w:left="1134" w:hanging="567"/>
      </w:pPr>
      <w:r>
        <w:t>The</w:t>
      </w:r>
      <w:r w:rsidR="007F6452" w:rsidRPr="007F6452">
        <w:t xml:space="preserve"> </w:t>
      </w:r>
      <w:r w:rsidRPr="007F6452">
        <w:t>establishment of a national offshore petroleum regulator</w:t>
      </w:r>
    </w:p>
    <w:p w:rsidR="00520457" w:rsidRPr="002C3B0F" w:rsidRDefault="00520457" w:rsidP="00A36899">
      <w:pPr>
        <w:pStyle w:val="NumberL2"/>
        <w:tabs>
          <w:tab w:val="clear" w:pos="720"/>
          <w:tab w:val="num" w:pos="1134"/>
        </w:tabs>
        <w:ind w:left="1134" w:hanging="567"/>
      </w:pPr>
      <w:r>
        <w:t>The</w:t>
      </w:r>
      <w:r w:rsidR="007F6452" w:rsidRPr="007F6452">
        <w:t xml:space="preserve"> </w:t>
      </w:r>
      <w:r w:rsidRPr="007F6452">
        <w:t>separation of policy advice from regulatory administr</w:t>
      </w:r>
      <w:r w:rsidRPr="002C3B0F">
        <w:t>ation</w:t>
      </w:r>
    </w:p>
    <w:p w:rsidR="00520457" w:rsidRPr="00937447" w:rsidRDefault="00520457" w:rsidP="00A36899">
      <w:pPr>
        <w:pStyle w:val="NumberL2"/>
        <w:tabs>
          <w:tab w:val="clear" w:pos="720"/>
          <w:tab w:val="num" w:pos="1134"/>
        </w:tabs>
        <w:ind w:left="1134" w:hanging="567"/>
      </w:pPr>
      <w:r w:rsidRPr="00937447">
        <w:t>The</w:t>
      </w:r>
      <w:r w:rsidR="007F6452" w:rsidRPr="00937447">
        <w:t xml:space="preserve"> </w:t>
      </w:r>
      <w:r w:rsidRPr="00937447">
        <w:t>implementation of statutory timeframes on regulatory decisions with clear guidance to assist industry</w:t>
      </w:r>
    </w:p>
    <w:p w:rsidR="00520457" w:rsidRPr="007F6452" w:rsidRDefault="00520457" w:rsidP="00A36899">
      <w:pPr>
        <w:pStyle w:val="NumberL2"/>
        <w:tabs>
          <w:tab w:val="clear" w:pos="720"/>
          <w:tab w:val="num" w:pos="1134"/>
        </w:tabs>
        <w:ind w:left="1134" w:hanging="567"/>
      </w:pPr>
      <w:r>
        <w:t>The</w:t>
      </w:r>
      <w:r w:rsidR="007F6452" w:rsidRPr="007F6452">
        <w:t xml:space="preserve"> </w:t>
      </w:r>
      <w:r w:rsidRPr="007F6452">
        <w:t>implementation of a cost recovery model to fund the administrative functions of the new offshore petroleum regulator</w:t>
      </w:r>
    </w:p>
    <w:p w:rsidR="00520457" w:rsidRPr="007F6452" w:rsidRDefault="00520457" w:rsidP="00A36899">
      <w:pPr>
        <w:pStyle w:val="NumberL2"/>
        <w:tabs>
          <w:tab w:val="clear" w:pos="720"/>
          <w:tab w:val="num" w:pos="1134"/>
        </w:tabs>
        <w:ind w:left="1134" w:hanging="567"/>
      </w:pPr>
      <w:r>
        <w:lastRenderedPageBreak/>
        <w:t>Movement</w:t>
      </w:r>
      <w:r w:rsidR="007F6452" w:rsidRPr="007F6452">
        <w:t xml:space="preserve"> </w:t>
      </w:r>
      <w:r w:rsidRPr="007F6452">
        <w:t>from prescript</w:t>
      </w:r>
      <w:r w:rsidRPr="002C3B0F">
        <w:t>ive regulation to objective based regulation</w:t>
      </w:r>
    </w:p>
    <w:p w:rsidR="00520457" w:rsidRPr="007F6452" w:rsidRDefault="00520457" w:rsidP="00A36899">
      <w:pPr>
        <w:pStyle w:val="NumberL2"/>
        <w:tabs>
          <w:tab w:val="clear" w:pos="720"/>
          <w:tab w:val="num" w:pos="1134"/>
        </w:tabs>
        <w:ind w:left="1134" w:hanging="567"/>
      </w:pPr>
      <w:r>
        <w:t>The</w:t>
      </w:r>
      <w:r w:rsidR="007F6452" w:rsidRPr="007F6452">
        <w:t xml:space="preserve"> </w:t>
      </w:r>
      <w:r w:rsidRPr="007F6452">
        <w:t>introduction of an electroni</w:t>
      </w:r>
      <w:r w:rsidR="004B5BEC">
        <w:t>c tracking system.</w:t>
      </w:r>
    </w:p>
    <w:p w:rsidR="00520457" w:rsidRPr="002C3B0F" w:rsidRDefault="00520457">
      <w:pPr>
        <w:pStyle w:val="NumberL1"/>
      </w:pPr>
      <w:r w:rsidRPr="002C3B0F">
        <w:t xml:space="preserve">NOPTA’s establishment on 1 January 2012 saw it created as one of two organisations in the Commonwealth Government’s regulation of the offshore petroleum industry, with the second organisation being NOPSEMA. Despite the Productivity Commission recommending a single national offshore petroleum regulator, NOPTA’s functions of providing advice, analysis, reports and recommendations to the Joint Authority differs substantially from the functions that NOPSEMA carries out (namely safety and environmental regulation). Hence, the separation of NOPTA and NOPSEMA supports the Government’s ability to carry out its legislative functions and powers in the management of </w:t>
      </w:r>
      <w:r w:rsidR="004B5BEC">
        <w:t>Australia’s offshore resources.</w:t>
      </w:r>
    </w:p>
    <w:p w:rsidR="00520457" w:rsidRPr="002C3B0F" w:rsidRDefault="00520457">
      <w:pPr>
        <w:pStyle w:val="NumberL1"/>
      </w:pPr>
      <w:r w:rsidRPr="002C3B0F">
        <w:t xml:space="preserve">The separation of policy functions from regulatory administration has been achieved with NOPTA’s current structure and place within the Department (for an in-depth assessment of NOPTA’s place, see the </w:t>
      </w:r>
      <w:r w:rsidRPr="002C3B0F">
        <w:rPr>
          <w:i/>
        </w:rPr>
        <w:t>Placement within the Commonwealth Department of Industry and Science</w:t>
      </w:r>
      <w:r w:rsidRPr="002C3B0F">
        <w:t xml:space="preserve"> section of this report). Although policy functions are maintained within the Offshore Resources Branch (i.e. within the same Departmental Division as NOPTA), the Review is satisfied that there is </w:t>
      </w:r>
      <w:r w:rsidR="00862005">
        <w:t>sufficient</w:t>
      </w:r>
      <w:r w:rsidR="00862005" w:rsidRPr="002C3B0F">
        <w:t xml:space="preserve"> </w:t>
      </w:r>
      <w:r w:rsidRPr="002C3B0F">
        <w:t xml:space="preserve">separation so that each can carry out </w:t>
      </w:r>
      <w:r w:rsidR="00862005">
        <w:t>its</w:t>
      </w:r>
      <w:r w:rsidR="00862005" w:rsidRPr="002C3B0F">
        <w:t xml:space="preserve"> </w:t>
      </w:r>
      <w:r w:rsidRPr="002C3B0F">
        <w:t>respective roles without interference</w:t>
      </w:r>
      <w:r w:rsidR="000B087F">
        <w:t xml:space="preserve"> and therefore meet the aim of the Government’s response.</w:t>
      </w:r>
    </w:p>
    <w:p w:rsidR="00520457" w:rsidRPr="002C3B0F" w:rsidRDefault="00520457" w:rsidP="007F6452">
      <w:pPr>
        <w:pStyle w:val="NumberL1"/>
      </w:pPr>
      <w:r w:rsidRPr="002C3B0F">
        <w:t xml:space="preserve">Statutory timeframes have </w:t>
      </w:r>
      <w:r w:rsidRPr="007F6452">
        <w:t>been introduced for the processing of title applications by NOPTA. The volume of applications received and the expected processing times are regularly monitor</w:t>
      </w:r>
      <w:r w:rsidRPr="002C3B0F">
        <w:t xml:space="preserve">ed, with performance statistics made available to the public monthly through the Dashboard Reports that NOPTA produces. </w:t>
      </w:r>
      <w:r w:rsidR="000B087F">
        <w:t>As included in the Government’s response, t</w:t>
      </w:r>
      <w:r w:rsidRPr="002C3B0F">
        <w:t>here are ‘stop the clock’ provisions that allow NOPTA to ask for additional information if required, ensuring that the integrity of application assessments are not impacted by time pressures</w:t>
      </w:r>
      <w:r w:rsidR="004B5BEC">
        <w:t xml:space="preserve">. </w:t>
      </w:r>
      <w:r w:rsidR="00862005">
        <w:t xml:space="preserve">The </w:t>
      </w:r>
      <w:r w:rsidR="00680244">
        <w:t>extension of binding timeframes to Joint Authority decision determination (as recommended in Recommendation 1)</w:t>
      </w:r>
      <w:r w:rsidR="00862005">
        <w:t xml:space="preserve"> will see </w:t>
      </w:r>
      <w:r w:rsidR="00680244">
        <w:t>the intent of the Government’s response</w:t>
      </w:r>
      <w:r w:rsidR="00862005">
        <w:t xml:space="preserve"> fully </w:t>
      </w:r>
      <w:r w:rsidR="00680244">
        <w:t>realised</w:t>
      </w:r>
      <w:r w:rsidR="00862005">
        <w:t>.</w:t>
      </w:r>
    </w:p>
    <w:p w:rsidR="00520457" w:rsidRPr="002C3B0F" w:rsidRDefault="00520457" w:rsidP="007F6452">
      <w:pPr>
        <w:pStyle w:val="NumberL1"/>
      </w:pPr>
      <w:r w:rsidRPr="002C3B0F">
        <w:t>NOPTA is funded through a cost-recovery model</w:t>
      </w:r>
      <w:r w:rsidR="007E6E4F">
        <w:t xml:space="preserve"> in line with the Government’s response</w:t>
      </w:r>
      <w:r w:rsidRPr="002C3B0F">
        <w:t xml:space="preserve">, with the </w:t>
      </w:r>
      <w:r w:rsidRPr="002C3B0F">
        <w:rPr>
          <w:i/>
        </w:rPr>
        <w:t>Cost Recovery Impact Statement</w:t>
      </w:r>
      <w:r w:rsidRPr="002C3B0F">
        <w:t xml:space="preserve"> outlining the approach to fees and levies</w:t>
      </w:r>
      <w:r w:rsidR="007E6E4F">
        <w:t xml:space="preserve"> and is valid for three years</w:t>
      </w:r>
      <w:r w:rsidRPr="002C3B0F">
        <w:t>.</w:t>
      </w:r>
      <w:r w:rsidRPr="003F2AC2">
        <w:rPr>
          <w:rStyle w:val="FootnoteReference"/>
        </w:rPr>
        <w:footnoteReference w:id="20"/>
      </w:r>
      <w:r w:rsidRPr="003F2AC2">
        <w:t xml:space="preserve"> </w:t>
      </w:r>
      <w:r w:rsidR="007F6452">
        <w:t xml:space="preserve"> </w:t>
      </w:r>
      <w:r w:rsidRPr="003F2AC2">
        <w:t xml:space="preserve">A current </w:t>
      </w:r>
      <w:r w:rsidRPr="003F2AC2">
        <w:rPr>
          <w:i/>
        </w:rPr>
        <w:t>Schedule of Fees</w:t>
      </w:r>
      <w:r w:rsidRPr="002C3B0F">
        <w:t xml:space="preserve"> is published on the NOPTA website, with all fees and levies being developed with regard to the Australian Government Cost Recovery Guidelines. A more substantial discussion on cost recovery can be found in the </w:t>
      </w:r>
      <w:r w:rsidRPr="002C3B0F">
        <w:rPr>
          <w:i/>
        </w:rPr>
        <w:t>Cost Recovery</w:t>
      </w:r>
      <w:r w:rsidRPr="002C3B0F">
        <w:t xml:space="preserve"> section of this report.</w:t>
      </w:r>
    </w:p>
    <w:p w:rsidR="00520457" w:rsidRPr="00826F69" w:rsidRDefault="00520457" w:rsidP="009E719B">
      <w:pPr>
        <w:pStyle w:val="NumberL1"/>
      </w:pPr>
      <w:r w:rsidRPr="00826F69">
        <w:t xml:space="preserve">NOPTA’s approach to regulation and compliance has seen the </w:t>
      </w:r>
      <w:r w:rsidR="00994547" w:rsidRPr="00826F69">
        <w:t>successful application</w:t>
      </w:r>
      <w:r w:rsidRPr="00826F69">
        <w:t xml:space="preserve"> of an objective-based regulatory model.</w:t>
      </w:r>
      <w:r w:rsidR="009E719B" w:rsidRPr="00826F69">
        <w:t xml:space="preserve"> </w:t>
      </w:r>
      <w:r w:rsidR="00994547" w:rsidRPr="00826F69">
        <w:t>This model regulates</w:t>
      </w:r>
      <w:r w:rsidRPr="00826F69">
        <w:t xml:space="preserve"> the </w:t>
      </w:r>
      <w:r w:rsidRPr="00826F69">
        <w:rPr>
          <w:i/>
        </w:rPr>
        <w:t>outcomes</w:t>
      </w:r>
      <w:r w:rsidR="009E719B" w:rsidRPr="00826F69">
        <w:t xml:space="preserve"> of activities</w:t>
      </w:r>
      <w:r w:rsidRPr="00826F69">
        <w:t xml:space="preserve">, </w:t>
      </w:r>
      <w:r w:rsidR="009E719B" w:rsidRPr="00826F69">
        <w:t>allowing industry to determine how outcomes are achieved.</w:t>
      </w:r>
      <w:r w:rsidR="00E47FDA" w:rsidRPr="00826F69">
        <w:t xml:space="preserve"> For example, NOPTA may regulate a title’s work programme by ensuring that an exploration well is drilled, but will not prescribe the exact location of a well and the exact drilling </w:t>
      </w:r>
      <w:r w:rsidR="00E47FDA" w:rsidRPr="00826F69">
        <w:lastRenderedPageBreak/>
        <w:t>technique used (however it should be noted that drilling activities must comply with other regulations outside of NOPTA).</w:t>
      </w:r>
      <w:r w:rsidR="009E719B" w:rsidRPr="00826F69">
        <w:t xml:space="preserve"> The benefits of objective-based regulation over prescriptive-based models (i.e. where specific standards or procedures are enforced) are a </w:t>
      </w:r>
      <w:r w:rsidR="00E47FDA" w:rsidRPr="00826F69">
        <w:t xml:space="preserve">reduction in the administrative burden on regulators, </w:t>
      </w:r>
      <w:r w:rsidR="009E719B" w:rsidRPr="00826F69">
        <w:t xml:space="preserve">as prescriptive methods </w:t>
      </w:r>
      <w:r w:rsidR="00E47FDA" w:rsidRPr="00826F69">
        <w:t>are susceptible to becoming quickly outdated</w:t>
      </w:r>
      <w:r w:rsidR="009E719B" w:rsidRPr="00826F69">
        <w:t>, and a reduction in regulatory burden for industry who have more flexibility to meet objectives. Objective-based regulation allows NOPTA to</w:t>
      </w:r>
      <w:r w:rsidRPr="00826F69">
        <w:t xml:space="preserve"> work with titleholders to assist them in incorporating </w:t>
      </w:r>
      <w:r w:rsidR="00937447" w:rsidRPr="00826F69">
        <w:t xml:space="preserve">good </w:t>
      </w:r>
      <w:r w:rsidRPr="00826F69">
        <w:t>oilfield</w:t>
      </w:r>
      <w:r w:rsidR="00E47FDA" w:rsidRPr="00826F69">
        <w:t xml:space="preserve"> practice in work programmes.</w:t>
      </w:r>
    </w:p>
    <w:p w:rsidR="00520457" w:rsidRPr="007F6452" w:rsidRDefault="00520457" w:rsidP="007F6452">
      <w:pPr>
        <w:pStyle w:val="NumberL1"/>
      </w:pPr>
      <w:r w:rsidRPr="007F6452">
        <w:t xml:space="preserve">NOPTA implemented NEATS to allow for electronic tracking of title applications and to maintain a register of all current and past titles. </w:t>
      </w:r>
      <w:r w:rsidR="00692187">
        <w:t>As outlined in the Government’s response, NEATS increases the transparency and contributes to the reduction in delays in approvals. The challenges outlined in the Government’s response to create an approvals tracking system for multiple jurisdictions still remains, however NEATS provides a good base to expand electronic tracking capabilities</w:t>
      </w:r>
      <w:r w:rsidR="007E6E4F">
        <w:t xml:space="preserve"> and expansion of the system is discussed in the </w:t>
      </w:r>
      <w:r w:rsidR="007E6E4F">
        <w:rPr>
          <w:i/>
        </w:rPr>
        <w:t>Titles Information</w:t>
      </w:r>
      <w:r w:rsidR="007E6E4F">
        <w:t xml:space="preserve"> section of this report.</w:t>
      </w:r>
    </w:p>
    <w:p w:rsidR="00520457" w:rsidRPr="002C3B0F" w:rsidRDefault="00520457">
      <w:pPr>
        <w:pStyle w:val="NumberL1"/>
      </w:pPr>
      <w:r w:rsidRPr="002C3B0F">
        <w:t>All of these functions are consistent with the findings as described in both the Productivity Commission’s findings and the Government’s response to those findings</w:t>
      </w:r>
      <w:r w:rsidR="004B5BEC">
        <w:t xml:space="preserve">. </w:t>
      </w:r>
      <w:r w:rsidR="00937447">
        <w:t>Consequently, the Review believes that NOPTA’s establishment and operations have largely met the objectives of the Australian Government’s response to the Productivity Commission</w:t>
      </w:r>
      <w:r w:rsidR="00826F69">
        <w:t>’</w:t>
      </w:r>
      <w:r w:rsidR="00937447">
        <w:t>s report</w:t>
      </w:r>
      <w:r w:rsidR="004B5BEC">
        <w:t>.</w:t>
      </w:r>
    </w:p>
    <w:p w:rsidR="00520457" w:rsidRPr="005054C7" w:rsidRDefault="00520457" w:rsidP="006045A5">
      <w:pPr>
        <w:pStyle w:val="Noetic-Columnrecommendation"/>
        <w:tabs>
          <w:tab w:val="clear" w:pos="425"/>
          <w:tab w:val="num" w:pos="567"/>
        </w:tabs>
        <w:ind w:left="567" w:hanging="567"/>
      </w:pPr>
      <w:r w:rsidRPr="005054C7">
        <w:t xml:space="preserve">To a significant extent NOPTA’s establishment meets the objectives of the </w:t>
      </w:r>
      <w:r w:rsidR="00937447">
        <w:t xml:space="preserve">Australian </w:t>
      </w:r>
      <w:r w:rsidRPr="005054C7">
        <w:t>Government’s Response to the Productivity Commission report on Regulatory Burden on the Upstream Petroleum (Oil and Gas) Sector. The acceptance of the recommendations of this Review will increase the extent to which these objectives have been met.</w:t>
      </w:r>
    </w:p>
    <w:p w:rsidR="00EF6D1A" w:rsidRPr="00053D06" w:rsidRDefault="004671D1" w:rsidP="00E42D56">
      <w:pPr>
        <w:pStyle w:val="Heading20"/>
      </w:pPr>
      <w:bookmarkStart w:id="115" w:name="_Toc423426794"/>
      <w:bookmarkStart w:id="116" w:name="_Toc430102208"/>
      <w:r w:rsidRPr="003F2AC2">
        <w:t>Greenhouse</w:t>
      </w:r>
      <w:r w:rsidR="008C3B94" w:rsidRPr="003F2AC2">
        <w:t xml:space="preserve"> Gas Storage</w:t>
      </w:r>
      <w:bookmarkEnd w:id="114"/>
      <w:bookmarkEnd w:id="115"/>
      <w:bookmarkEnd w:id="116"/>
    </w:p>
    <w:p w:rsidR="00105300" w:rsidRDefault="00105300" w:rsidP="00105300">
      <w:pPr>
        <w:pStyle w:val="NumberL1"/>
      </w:pPr>
      <w:r w:rsidRPr="002C3B0F">
        <w:t xml:space="preserve">Greenhouse gas storage activities in Australia’s offshore waters is a complex issue that </w:t>
      </w:r>
      <w:r>
        <w:t>may</w:t>
      </w:r>
      <w:r w:rsidRPr="002C3B0F">
        <w:t xml:space="preserve"> increase in importance in the future. Due to the emerging nature of greenhouse gas storage, the regulatory environment it sits within is still in its infancy. </w:t>
      </w:r>
      <w:r>
        <w:t>NOPTA has commenced working with the industry and has issued guidance</w:t>
      </w:r>
      <w:r w:rsidR="004B5BEC">
        <w:t xml:space="preserve">. </w:t>
      </w:r>
      <w:r>
        <w:t xml:space="preserve">While </w:t>
      </w:r>
      <w:r w:rsidR="00633E59">
        <w:t xml:space="preserve">four </w:t>
      </w:r>
      <w:r>
        <w:t>titles have been issued, no storage activities have yet been authorised</w:t>
      </w:r>
      <w:r w:rsidR="004B5BEC">
        <w:t xml:space="preserve">. </w:t>
      </w:r>
      <w:r>
        <w:t>It is likely that storage activity will not occur for some time</w:t>
      </w:r>
      <w:r w:rsidR="004B5BEC">
        <w:t xml:space="preserve">. </w:t>
      </w:r>
      <w:r>
        <w:t>While NOPTA has developed an initial regulatory response, much more will need to be completed before storage activities can commence</w:t>
      </w:r>
      <w:r w:rsidR="004B5BEC">
        <w:t xml:space="preserve">. </w:t>
      </w:r>
      <w:r>
        <w:t>It will require an understanding of the range of complexities that not only surround the storage of greenhouse gases but also the interaction with petroleum titles and petroleum operations</w:t>
      </w:r>
      <w:r w:rsidR="00633E59">
        <w:rPr>
          <w:rStyle w:val="FootnoteReference"/>
        </w:rPr>
        <w:footnoteReference w:id="21"/>
      </w:r>
      <w:r w:rsidR="004B5BEC">
        <w:t xml:space="preserve">. </w:t>
      </w:r>
      <w:r>
        <w:t>Understanding the implications of the potential growth in greenhouse gas storage titles is not an urgent task</w:t>
      </w:r>
      <w:r w:rsidR="004B5BEC">
        <w:t xml:space="preserve">. </w:t>
      </w:r>
      <w:r>
        <w:t>However, NOPTA and other agencies need to be prepared should this growth eventuate</w:t>
      </w:r>
      <w:r w:rsidR="004B5BEC">
        <w:t xml:space="preserve">. </w:t>
      </w:r>
      <w:r>
        <w:t>Consequently, there is a need for the regulatory implications to be understood and suitable responses prepared</w:t>
      </w:r>
      <w:r w:rsidR="004B5BEC">
        <w:t>.</w:t>
      </w:r>
    </w:p>
    <w:p w:rsidR="008066DF" w:rsidRPr="002C3B0F" w:rsidRDefault="00105300" w:rsidP="00A42491">
      <w:pPr>
        <w:pStyle w:val="RecommBody"/>
      </w:pPr>
      <w:r w:rsidRPr="002C3B0F">
        <w:lastRenderedPageBreak/>
        <w:t>That NOPTA investigate the implications of a growth in applications for greenhouse gas storage tit</w:t>
      </w:r>
      <w:r w:rsidRPr="003F2AC2">
        <w:t>les.</w:t>
      </w:r>
      <w:r w:rsidRPr="002C3B0F">
        <w:t xml:space="preserve"> This should be undertaken in conjunction with the Department of Industry and Science, and NOPSEMA</w:t>
      </w:r>
      <w:r w:rsidR="00F84A70" w:rsidRPr="002C3B0F">
        <w:t>.</w:t>
      </w:r>
    </w:p>
    <w:p w:rsidR="005C2EF5" w:rsidRPr="002C3B0F" w:rsidRDefault="00C5003B" w:rsidP="00E42D56">
      <w:pPr>
        <w:pStyle w:val="Heading20"/>
      </w:pPr>
      <w:bookmarkStart w:id="117" w:name="_Toc423426795"/>
      <w:bookmarkStart w:id="118" w:name="_Toc430102209"/>
      <w:bookmarkStart w:id="119" w:name="_Toc422740253"/>
      <w:r w:rsidRPr="00B05FC5">
        <w:t>NOPTA’s Insight</w:t>
      </w:r>
      <w:bookmarkEnd w:id="117"/>
      <w:bookmarkEnd w:id="118"/>
    </w:p>
    <w:p w:rsidR="005C2EF5" w:rsidRPr="002C3B0F" w:rsidRDefault="005C2EF5" w:rsidP="003F2AC2">
      <w:pPr>
        <w:pStyle w:val="NumberL1"/>
      </w:pPr>
      <w:r w:rsidRPr="002C3B0F">
        <w:t>As noted earlier, NOPTA provides J</w:t>
      </w:r>
      <w:r w:rsidR="00A373AB">
        <w:t xml:space="preserve">oint </w:t>
      </w:r>
      <w:r w:rsidRPr="002C3B0F">
        <w:t>A</w:t>
      </w:r>
      <w:r w:rsidR="00A373AB">
        <w:t>uthorities</w:t>
      </w:r>
      <w:r w:rsidRPr="002C3B0F">
        <w:t xml:space="preserve"> with quality advice that supports the administration of the titles system in Australia</w:t>
      </w:r>
      <w:r w:rsidR="004B5BEC">
        <w:t xml:space="preserve">. </w:t>
      </w:r>
      <w:r w:rsidRPr="002C3B0F">
        <w:t>NOPTA has done so with increasing efficiency and effectiveness</w:t>
      </w:r>
      <w:r w:rsidR="004B5BEC">
        <w:t xml:space="preserve">. </w:t>
      </w:r>
      <w:r w:rsidRPr="002C3B0F">
        <w:t xml:space="preserve">Through its operations, NOPTA gathers substantial insight into the exploration, development and </w:t>
      </w:r>
      <w:r w:rsidR="00A100A8" w:rsidRPr="002C3B0F">
        <w:t>production phases</w:t>
      </w:r>
      <w:r w:rsidRPr="002C3B0F">
        <w:t xml:space="preserve"> of Australia’s offshore petroleum industry</w:t>
      </w:r>
      <w:r w:rsidR="004B5BEC">
        <w:t xml:space="preserve">. </w:t>
      </w:r>
      <w:r w:rsidRPr="002C3B0F">
        <w:t xml:space="preserve">It is also gaining </w:t>
      </w:r>
      <w:r w:rsidR="00A100A8" w:rsidRPr="002C3B0F">
        <w:t>an understanding of the development of</w:t>
      </w:r>
      <w:r w:rsidRPr="002C3B0F">
        <w:t xml:space="preserve"> the emerging greenhouse gas storage industry</w:t>
      </w:r>
      <w:r w:rsidR="004B5BEC">
        <w:t xml:space="preserve">. </w:t>
      </w:r>
      <w:r w:rsidR="00A100A8" w:rsidRPr="002C3B0F">
        <w:t>Its national perspective means it has a unique view</w:t>
      </w:r>
      <w:r w:rsidR="002F6575" w:rsidRPr="002C3B0F">
        <w:t xml:space="preserve"> through both its formal and informal activities</w:t>
      </w:r>
      <w:r w:rsidR="004B5BEC">
        <w:t xml:space="preserve">. </w:t>
      </w:r>
      <w:r w:rsidRPr="002C3B0F">
        <w:t xml:space="preserve">This information has potential </w:t>
      </w:r>
      <w:r w:rsidR="002F6575" w:rsidRPr="002C3B0F">
        <w:t>value to those responsible for</w:t>
      </w:r>
      <w:r w:rsidRPr="002C3B0F">
        <w:t xml:space="preserve"> policy development </w:t>
      </w:r>
      <w:r w:rsidR="002F6575" w:rsidRPr="002C3B0F">
        <w:t>in</w:t>
      </w:r>
      <w:r w:rsidR="00A100A8" w:rsidRPr="002C3B0F">
        <w:t xml:space="preserve"> both industries</w:t>
      </w:r>
      <w:r w:rsidR="00D60C2F">
        <w:t>.</w:t>
      </w:r>
    </w:p>
    <w:p w:rsidR="00A100A8" w:rsidRPr="002C3B0F" w:rsidRDefault="00A100A8" w:rsidP="00053D06">
      <w:pPr>
        <w:pStyle w:val="NumberL1"/>
      </w:pPr>
      <w:r w:rsidRPr="002C3B0F">
        <w:t xml:space="preserve">The challenge for NOPTA is to understand what information is of use to government and in policy development, to collect this information from what it gathers and to convert it </w:t>
      </w:r>
      <w:r w:rsidR="00053D06">
        <w:t>in</w:t>
      </w:r>
      <w:r w:rsidRPr="00053D06">
        <w:t>to a useful product</w:t>
      </w:r>
      <w:r w:rsidR="004B5BEC">
        <w:t xml:space="preserve">. </w:t>
      </w:r>
      <w:r w:rsidRPr="00053D06">
        <w:t>This will require ongoing liaison with government and policy makers from each jurisdiction</w:t>
      </w:r>
      <w:r w:rsidR="004B5BEC">
        <w:t xml:space="preserve">. </w:t>
      </w:r>
      <w:r w:rsidRPr="00053D06">
        <w:t xml:space="preserve">It </w:t>
      </w:r>
      <w:r w:rsidR="00C5003B" w:rsidRPr="002C3B0F">
        <w:t>may</w:t>
      </w:r>
      <w:r w:rsidRPr="002C3B0F">
        <w:t xml:space="preserve"> also mean an enhancement to NOPTA’s capability</w:t>
      </w:r>
      <w:r w:rsidR="004B5BEC">
        <w:t xml:space="preserve">. </w:t>
      </w:r>
      <w:r w:rsidR="00C5003B" w:rsidRPr="002C3B0F">
        <w:t>Any</w:t>
      </w:r>
      <w:r w:rsidRPr="002C3B0F">
        <w:t xml:space="preserve"> enhancement would be modest</w:t>
      </w:r>
      <w:r w:rsidR="002F6575" w:rsidRPr="002C3B0F">
        <w:t xml:space="preserve"> and focus on the analysis and dissemination of the </w:t>
      </w:r>
      <w:r w:rsidR="00C5003B" w:rsidRPr="002C3B0F">
        <w:t>information it currently gathers</w:t>
      </w:r>
      <w:r w:rsidR="004B5BEC">
        <w:t xml:space="preserve">. </w:t>
      </w:r>
      <w:r w:rsidR="00C5003B" w:rsidRPr="002C3B0F">
        <w:t>Consequently, NOPTA should develop and implement a plan to assist industry policy development through the analysis and dissemination of the information it gathers.</w:t>
      </w:r>
    </w:p>
    <w:p w:rsidR="00C5003B" w:rsidRPr="002C3B0F" w:rsidRDefault="00C5003B" w:rsidP="00A42491">
      <w:pPr>
        <w:pStyle w:val="RecommBody"/>
      </w:pPr>
      <w:r w:rsidRPr="002C3B0F">
        <w:t xml:space="preserve">That NOPTA provide its insights </w:t>
      </w:r>
      <w:r w:rsidR="00D449D1" w:rsidRPr="003F2AC2">
        <w:t>on</w:t>
      </w:r>
      <w:r w:rsidRPr="003F2AC2">
        <w:t xml:space="preserve"> the offshore petroleum and greenhouse gas storage industries</w:t>
      </w:r>
      <w:r w:rsidR="00D449D1" w:rsidRPr="002C3B0F">
        <w:t xml:space="preserve"> to jurisdictions to assist with policy development.</w:t>
      </w:r>
    </w:p>
    <w:p w:rsidR="00EA3138" w:rsidRPr="002C3B0F" w:rsidRDefault="008066DF" w:rsidP="00E42D56">
      <w:pPr>
        <w:pStyle w:val="Heading20"/>
      </w:pPr>
      <w:bookmarkStart w:id="120" w:name="_Toc423426796"/>
      <w:bookmarkStart w:id="121" w:name="_Toc430102210"/>
      <w:r w:rsidRPr="002C3B0F">
        <w:t>Governme</w:t>
      </w:r>
      <w:r w:rsidRPr="00053D06">
        <w:t>nt’s D</w:t>
      </w:r>
      <w:r w:rsidR="00493F3A" w:rsidRPr="002C3B0F">
        <w:t>e</w:t>
      </w:r>
      <w:r w:rsidR="00A44462">
        <w:t>r</w:t>
      </w:r>
      <w:r w:rsidRPr="002C3B0F">
        <w:t>egulation A</w:t>
      </w:r>
      <w:r w:rsidR="00493F3A" w:rsidRPr="002C3B0F">
        <w:t>genda</w:t>
      </w:r>
      <w:bookmarkEnd w:id="119"/>
      <w:bookmarkEnd w:id="120"/>
      <w:bookmarkEnd w:id="121"/>
    </w:p>
    <w:p w:rsidR="00FC2CC2" w:rsidRPr="002C3B0F" w:rsidRDefault="00EA3138" w:rsidP="00A373AB">
      <w:pPr>
        <w:pStyle w:val="NumberL1"/>
      </w:pPr>
      <w:r w:rsidRPr="002C3B0F">
        <w:t xml:space="preserve">Stakeholders were asked for ideas </w:t>
      </w:r>
      <w:r w:rsidR="006D7B94" w:rsidRPr="002C3B0F">
        <w:t xml:space="preserve">and opportunities to reduce </w:t>
      </w:r>
      <w:r w:rsidRPr="002C3B0F">
        <w:t xml:space="preserve">regulatory burden. </w:t>
      </w:r>
      <w:r w:rsidR="00B86AD5" w:rsidRPr="002C3B0F">
        <w:t>Overall a</w:t>
      </w:r>
      <w:r w:rsidRPr="002C3B0F">
        <w:t xml:space="preserve"> </w:t>
      </w:r>
      <w:r w:rsidR="00B86AD5" w:rsidRPr="002C3B0F">
        <w:t xml:space="preserve">small </w:t>
      </w:r>
      <w:r w:rsidRPr="002C3B0F">
        <w:t xml:space="preserve">number of ideas were </w:t>
      </w:r>
      <w:r w:rsidR="00B86AD5" w:rsidRPr="002C3B0F">
        <w:t xml:space="preserve">provided to the Review and most of these were of an incremental nature or offered </w:t>
      </w:r>
      <w:r w:rsidR="005A5D21" w:rsidRPr="002C3B0F">
        <w:t xml:space="preserve">a </w:t>
      </w:r>
      <w:r w:rsidR="00B86AD5" w:rsidRPr="002C3B0F">
        <w:t>modest reduction in burden</w:t>
      </w:r>
      <w:r w:rsidRPr="002C3B0F">
        <w:t>. No</w:t>
      </w:r>
      <w:r w:rsidRPr="00053D06">
        <w:t xml:space="preserve">tably some of the ideas are </w:t>
      </w:r>
      <w:r w:rsidR="006D7B94" w:rsidRPr="002C3B0F">
        <w:t xml:space="preserve">already </w:t>
      </w:r>
      <w:r w:rsidRPr="002C3B0F">
        <w:t>being progressed by NOPTA</w:t>
      </w:r>
      <w:r w:rsidR="006D7B94" w:rsidRPr="002C3B0F">
        <w:t>,</w:t>
      </w:r>
      <w:r w:rsidR="008A0DEE" w:rsidRPr="002C3B0F">
        <w:t xml:space="preserve"> </w:t>
      </w:r>
      <w:r w:rsidR="00B86AD5" w:rsidRPr="002C3B0F">
        <w:t>while others were not within the scope of the Review, incorporated into the Review findings or deemed not practical. The relatively modest number of suggestions to reduce regulatory burden reflects well on the regime and operation of NOPTA as a whole.</w:t>
      </w:r>
      <w:r w:rsidR="006D7B94" w:rsidRPr="002C3B0F">
        <w:t xml:space="preserve"> However, a significant idea for reform was raised by a range of stakeholders in order to further streamline the administration of titles in Australia.</w:t>
      </w:r>
    </w:p>
    <w:p w:rsidR="00B86AD5" w:rsidRPr="00B05FC5" w:rsidRDefault="006D7B94" w:rsidP="003F2AC2">
      <w:pPr>
        <w:pStyle w:val="NumberL1"/>
      </w:pPr>
      <w:r w:rsidRPr="002C3B0F">
        <w:t xml:space="preserve">The reform suggested is that the administration of </w:t>
      </w:r>
      <w:r w:rsidR="002C6CA5" w:rsidRPr="002C3B0F">
        <w:rPr>
          <w:b/>
        </w:rPr>
        <w:t>all titles</w:t>
      </w:r>
      <w:r w:rsidRPr="002C3B0F">
        <w:t xml:space="preserve"> in both Commonwealth, and </w:t>
      </w:r>
      <w:r w:rsidR="00053D06">
        <w:t>S</w:t>
      </w:r>
      <w:r w:rsidR="00053D06" w:rsidRPr="00053D06">
        <w:t xml:space="preserve">tate </w:t>
      </w:r>
      <w:r w:rsidRPr="00053D06">
        <w:t xml:space="preserve">and </w:t>
      </w:r>
      <w:r w:rsidR="00053D06">
        <w:t>T</w:t>
      </w:r>
      <w:r w:rsidR="00053D06" w:rsidRPr="00053D06">
        <w:t>e</w:t>
      </w:r>
      <w:r w:rsidR="00053D06" w:rsidRPr="002C3B0F">
        <w:t xml:space="preserve">rritory </w:t>
      </w:r>
      <w:r w:rsidRPr="002C3B0F">
        <w:t xml:space="preserve">waters are administered by a single authority. This would </w:t>
      </w:r>
      <w:r w:rsidR="000B1718" w:rsidRPr="002C3B0F">
        <w:t xml:space="preserve">provide </w:t>
      </w:r>
      <w:r w:rsidR="005C2EF5" w:rsidRPr="002C3B0F">
        <w:t>one</w:t>
      </w:r>
      <w:r w:rsidR="000B1718" w:rsidRPr="002C3B0F">
        <w:t xml:space="preserve"> authority with a national</w:t>
      </w:r>
      <w:r w:rsidR="005C2EF5" w:rsidRPr="002C3B0F">
        <w:t>ly</w:t>
      </w:r>
      <w:r w:rsidR="000B1718" w:rsidRPr="002C3B0F">
        <w:t xml:space="preserve"> </w:t>
      </w:r>
      <w:r w:rsidR="000B1718" w:rsidRPr="002C3B0F">
        <w:lastRenderedPageBreak/>
        <w:t xml:space="preserve">consistent approach for all offshore titles. It would remove issues surrounding adjacent titles in Commonwealth and </w:t>
      </w:r>
      <w:r w:rsidR="00B05FC5">
        <w:t>S</w:t>
      </w:r>
      <w:r w:rsidR="00B05FC5" w:rsidRPr="00B05FC5">
        <w:t>tate</w:t>
      </w:r>
      <w:r w:rsidR="000B1718" w:rsidRPr="00B05FC5">
        <w:t>/</w:t>
      </w:r>
      <w:r w:rsidR="00B05FC5">
        <w:t>T</w:t>
      </w:r>
      <w:r w:rsidR="00B05FC5" w:rsidRPr="00B05FC5">
        <w:t xml:space="preserve">erritory </w:t>
      </w:r>
      <w:r w:rsidR="000B1718" w:rsidRPr="00B05FC5">
        <w:t>waters, simplify t</w:t>
      </w:r>
      <w:r w:rsidR="000B1718" w:rsidRPr="002C3B0F">
        <w:t>he J</w:t>
      </w:r>
      <w:r w:rsidR="00A373AB">
        <w:t xml:space="preserve">oint </w:t>
      </w:r>
      <w:r w:rsidR="000B1718" w:rsidRPr="002C3B0F">
        <w:t>A</w:t>
      </w:r>
      <w:r w:rsidR="00A373AB">
        <w:t>uthority</w:t>
      </w:r>
      <w:r w:rsidR="000B1718" w:rsidRPr="002C3B0F">
        <w:t xml:space="preserve"> process, and provide a single point for all </w:t>
      </w:r>
      <w:r w:rsidR="000B1718" w:rsidRPr="003979C8">
        <w:t xml:space="preserve">stakeholders to work with on titles administration. Not all stakeholders agreed that these benefits outweighed the disadvantages of such a reform including the loss of </w:t>
      </w:r>
      <w:r w:rsidR="00B05FC5">
        <w:t>S</w:t>
      </w:r>
      <w:r w:rsidR="00B05FC5" w:rsidRPr="003979C8">
        <w:t xml:space="preserve">tate </w:t>
      </w:r>
      <w:r w:rsidR="000B1718" w:rsidRPr="003979C8">
        <w:t xml:space="preserve">and </w:t>
      </w:r>
      <w:r w:rsidR="00B05FC5">
        <w:t>T</w:t>
      </w:r>
      <w:r w:rsidR="00B05FC5" w:rsidRPr="003979C8">
        <w:t xml:space="preserve">erritory </w:t>
      </w:r>
      <w:r w:rsidR="000B1718" w:rsidRPr="003979C8">
        <w:t>input into the dev</w:t>
      </w:r>
      <w:r w:rsidR="000B1718" w:rsidRPr="002C3B0F">
        <w:t xml:space="preserve">elopment of offshore </w:t>
      </w:r>
      <w:r w:rsidR="007D00AD">
        <w:t>petroleum</w:t>
      </w:r>
      <w:r w:rsidR="000B1718" w:rsidRPr="00B05FC5">
        <w:t xml:space="preserve"> and greenhouse gas storage industries.</w:t>
      </w:r>
    </w:p>
    <w:p w:rsidR="000B1718" w:rsidRPr="009E6B81" w:rsidRDefault="000B1718" w:rsidP="00B05FC5">
      <w:pPr>
        <w:pStyle w:val="NumberL1"/>
      </w:pPr>
      <w:r w:rsidRPr="002C3B0F">
        <w:t xml:space="preserve">In </w:t>
      </w:r>
      <w:r w:rsidR="009E0F3E" w:rsidRPr="002C3B0F">
        <w:t>positioning this reform</w:t>
      </w:r>
      <w:r w:rsidRPr="002C3B0F">
        <w:t xml:space="preserve">, the Review is conscious of the considerable </w:t>
      </w:r>
      <w:r w:rsidR="00BF0957" w:rsidRPr="002C3B0F">
        <w:t>issues tha</w:t>
      </w:r>
      <w:r w:rsidR="00BF0957" w:rsidRPr="00B05FC5">
        <w:t xml:space="preserve">t would attend the conferral of </w:t>
      </w:r>
      <w:r w:rsidR="00B05FC5">
        <w:t>S</w:t>
      </w:r>
      <w:r w:rsidR="00B05FC5" w:rsidRPr="00B05FC5">
        <w:t xml:space="preserve">tate </w:t>
      </w:r>
      <w:r w:rsidR="00BF0957" w:rsidRPr="00B05FC5">
        <w:t xml:space="preserve">and </w:t>
      </w:r>
      <w:r w:rsidR="00B05FC5">
        <w:t>T</w:t>
      </w:r>
      <w:r w:rsidR="00B05FC5" w:rsidRPr="00B05FC5">
        <w:t xml:space="preserve">erritory </w:t>
      </w:r>
      <w:r w:rsidR="00BF0957" w:rsidRPr="00B05FC5">
        <w:t>powers to the Commonwealth.</w:t>
      </w:r>
      <w:r w:rsidR="009E0F3E" w:rsidRPr="002C3B0F">
        <w:t xml:space="preserve"> </w:t>
      </w:r>
      <w:r w:rsidR="009E0F3E" w:rsidRPr="00B05FC5">
        <w:t>Not least of these is</w:t>
      </w:r>
      <w:r w:rsidR="009E0F3E" w:rsidRPr="002C3B0F">
        <w:t xml:space="preserve">sues </w:t>
      </w:r>
      <w:r w:rsidR="009E0F3E" w:rsidRPr="00B05FC5">
        <w:t xml:space="preserve">is that of royalties for </w:t>
      </w:r>
      <w:r w:rsidR="00B05FC5">
        <w:t>S</w:t>
      </w:r>
      <w:r w:rsidR="00B05FC5" w:rsidRPr="00B05FC5">
        <w:t xml:space="preserve">tates </w:t>
      </w:r>
      <w:r w:rsidR="009E0F3E" w:rsidRPr="00B05FC5">
        <w:t xml:space="preserve">and </w:t>
      </w:r>
      <w:r w:rsidR="00B05FC5">
        <w:t>T</w:t>
      </w:r>
      <w:r w:rsidR="00B05FC5" w:rsidRPr="00B05FC5">
        <w:t>erritory</w:t>
      </w:r>
      <w:r w:rsidR="009E0F3E" w:rsidRPr="00B05FC5">
        <w:t>.</w:t>
      </w:r>
      <w:r w:rsidR="0057293E" w:rsidRPr="002C3B0F">
        <w:t xml:space="preserve"> It would also need to allow the input of jurisdictions into the administration of the titles</w:t>
      </w:r>
      <w:r w:rsidR="0057293E" w:rsidRPr="00B05FC5">
        <w:t xml:space="preserve"> system.</w:t>
      </w:r>
      <w:r w:rsidR="00344932" w:rsidRPr="002C3B0F">
        <w:t xml:space="preserve"> Pursuing this reform would require a comprehensive understanding of the potential benefits</w:t>
      </w:r>
      <w:r w:rsidR="009E0F3E" w:rsidRPr="002C3B0F">
        <w:t xml:space="preserve"> </w:t>
      </w:r>
      <w:r w:rsidR="00344932" w:rsidRPr="002C3B0F">
        <w:t>a</w:t>
      </w:r>
      <w:r w:rsidR="00344932" w:rsidRPr="00B05FC5">
        <w:t>nd associat</w:t>
      </w:r>
      <w:r w:rsidR="00344932" w:rsidRPr="002C3B0F">
        <w:t xml:space="preserve">ed </w:t>
      </w:r>
      <w:r w:rsidR="00344932" w:rsidRPr="00B05FC5">
        <w:t xml:space="preserve">costs by the Commonwealth, and </w:t>
      </w:r>
      <w:r w:rsidR="00B05FC5">
        <w:t>S</w:t>
      </w:r>
      <w:r w:rsidR="00B05FC5" w:rsidRPr="00B05FC5">
        <w:t xml:space="preserve">tates </w:t>
      </w:r>
      <w:r w:rsidR="00344932" w:rsidRPr="00B05FC5">
        <w:t xml:space="preserve">and </w:t>
      </w:r>
      <w:r w:rsidR="00B05FC5">
        <w:t>T</w:t>
      </w:r>
      <w:r w:rsidR="00B05FC5" w:rsidRPr="00B05FC5">
        <w:t>erritory</w:t>
      </w:r>
      <w:r w:rsidR="00344932" w:rsidRPr="00B05FC5">
        <w:t xml:space="preserve">. </w:t>
      </w:r>
      <w:r w:rsidR="009E0F3E" w:rsidRPr="00B05FC5">
        <w:t xml:space="preserve">However, it is noted that </w:t>
      </w:r>
      <w:r w:rsidR="00D22739" w:rsidRPr="00B05FC5">
        <w:t>one</w:t>
      </w:r>
      <w:r w:rsidR="009E0F3E" w:rsidRPr="002C3B0F">
        <w:t xml:space="preserve"> </w:t>
      </w:r>
      <w:r w:rsidR="009E0F3E" w:rsidRPr="00B05FC5">
        <w:t>jurisdiction</w:t>
      </w:r>
      <w:r w:rsidR="00D22739" w:rsidRPr="002C3B0F">
        <w:t xml:space="preserve"> </w:t>
      </w:r>
      <w:r w:rsidR="00D22739" w:rsidRPr="00B05FC5">
        <w:t>(Tasmania)</w:t>
      </w:r>
      <w:r w:rsidR="009E0F3E" w:rsidRPr="002C3B0F">
        <w:t xml:space="preserve"> </w:t>
      </w:r>
      <w:r w:rsidR="009E0F3E" w:rsidRPr="00B05FC5">
        <w:t xml:space="preserve">has already conferred </w:t>
      </w:r>
      <w:r w:rsidR="005C2EF5" w:rsidRPr="00B05FC5">
        <w:t xml:space="preserve">some </w:t>
      </w:r>
      <w:r w:rsidR="00D60C2F">
        <w:t>powers to the Commonwealth.</w:t>
      </w:r>
    </w:p>
    <w:p w:rsidR="000B5D4B" w:rsidRPr="002C3B0F" w:rsidRDefault="000B5D4B" w:rsidP="009E6B81">
      <w:pPr>
        <w:pStyle w:val="NumberL1"/>
      </w:pPr>
      <w:r w:rsidRPr="009E6B81">
        <w:t>Consequently, the Review believes that there is scope for the Minister to consider</w:t>
      </w:r>
      <w:r w:rsidR="00344932" w:rsidRPr="002C3B0F">
        <w:t>, in conjun</w:t>
      </w:r>
      <w:r w:rsidR="00344932" w:rsidRPr="009E6B81">
        <w:t xml:space="preserve">ction with the </w:t>
      </w:r>
      <w:r w:rsidR="009E6B81">
        <w:t>S</w:t>
      </w:r>
      <w:r w:rsidR="009E6B81" w:rsidRPr="009E6B81">
        <w:t xml:space="preserve">tates </w:t>
      </w:r>
      <w:r w:rsidR="00344932" w:rsidRPr="009E6B81">
        <w:t xml:space="preserve">and </w:t>
      </w:r>
      <w:r w:rsidR="009E6B81">
        <w:t>T</w:t>
      </w:r>
      <w:r w:rsidR="009E6B81" w:rsidRPr="009E6B81">
        <w:t>erritory</w:t>
      </w:r>
      <w:r w:rsidR="00344932" w:rsidRPr="009E6B81">
        <w:t>,</w:t>
      </w:r>
      <w:r w:rsidRPr="002C3B0F">
        <w:t xml:space="preserve"> the </w:t>
      </w:r>
      <w:r w:rsidR="00344932" w:rsidRPr="002C3B0F">
        <w:t>feasibility of such a reform in order to determine if the benefits ar</w:t>
      </w:r>
      <w:r w:rsidR="00344932" w:rsidRPr="009E6B81">
        <w:t>e sufficient to warrant its implementation.</w:t>
      </w:r>
    </w:p>
    <w:p w:rsidR="00344932" w:rsidRDefault="00344932" w:rsidP="00DD53AF">
      <w:pPr>
        <w:pStyle w:val="RecommBody"/>
      </w:pPr>
      <w:r w:rsidRPr="002C3B0F">
        <w:t xml:space="preserve">That the </w:t>
      </w:r>
      <w:r w:rsidR="00EB386B">
        <w:t xml:space="preserve">Commonwealth </w:t>
      </w:r>
      <w:r w:rsidRPr="002C3B0F">
        <w:t xml:space="preserve">Minister </w:t>
      </w:r>
      <w:r w:rsidR="007E09D6" w:rsidRPr="003F2AC2">
        <w:t>considers</w:t>
      </w:r>
      <w:r w:rsidRPr="003F2AC2">
        <w:t xml:space="preserve"> </w:t>
      </w:r>
      <w:r w:rsidR="007E09D6" w:rsidRPr="002C3B0F">
        <w:t xml:space="preserve">the conduct of </w:t>
      </w:r>
      <w:r w:rsidRPr="002C3B0F">
        <w:t>a feasibility study for the creation of a single offshore titles administrative framework</w:t>
      </w:r>
      <w:r w:rsidR="00595F3C" w:rsidRPr="002C3B0F">
        <w:t xml:space="preserve"> </w:t>
      </w:r>
      <w:r w:rsidR="00EB386B">
        <w:t xml:space="preserve">for both Commonwealth waters and </w:t>
      </w:r>
      <w:r w:rsidR="00826F69">
        <w:t>S</w:t>
      </w:r>
      <w:r w:rsidR="00EB386B">
        <w:t>tate/</w:t>
      </w:r>
      <w:r w:rsidR="00826F69">
        <w:t>Northern T</w:t>
      </w:r>
      <w:r w:rsidR="00EB386B">
        <w:t xml:space="preserve">erritory waters </w:t>
      </w:r>
      <w:r w:rsidR="00595F3C" w:rsidRPr="002C3B0F">
        <w:t>through the conferral of powers</w:t>
      </w:r>
      <w:r w:rsidR="00EB386B">
        <w:t xml:space="preserve"> under </w:t>
      </w:r>
      <w:r w:rsidR="00826F69">
        <w:t>S</w:t>
      </w:r>
      <w:r w:rsidR="00EB386B">
        <w:t xml:space="preserve">tate and </w:t>
      </w:r>
      <w:r w:rsidR="00826F69">
        <w:t>Northern T</w:t>
      </w:r>
      <w:r w:rsidR="00EB386B">
        <w:t>erritory legislation</w:t>
      </w:r>
      <w:r w:rsidRPr="002C3B0F">
        <w:t>.</w:t>
      </w:r>
    </w:p>
    <w:p w:rsidR="00BD5094" w:rsidRPr="00E42D56" w:rsidRDefault="00BD5094" w:rsidP="00E42D56">
      <w:pPr>
        <w:pStyle w:val="Heading10"/>
        <w:rPr>
          <w:caps w:val="0"/>
        </w:rPr>
      </w:pPr>
      <w:bookmarkStart w:id="122" w:name="_Toc423426797"/>
      <w:bookmarkStart w:id="123" w:name="_Toc430102211"/>
      <w:bookmarkEnd w:id="86"/>
      <w:r w:rsidRPr="00E42D56">
        <w:rPr>
          <w:caps w:val="0"/>
        </w:rPr>
        <w:t>Conclusion</w:t>
      </w:r>
      <w:bookmarkEnd w:id="122"/>
      <w:bookmarkEnd w:id="123"/>
    </w:p>
    <w:p w:rsidR="00A757A8" w:rsidRPr="00A373AB" w:rsidRDefault="00BD5094" w:rsidP="00A373AB">
      <w:pPr>
        <w:pStyle w:val="NumberL1"/>
      </w:pPr>
      <w:r w:rsidRPr="00A373AB">
        <w:t>The establishment of NOPTA in 2012 was an important step in reforming the regulation of Australia’s offshore petroleum industry</w:t>
      </w:r>
      <w:r w:rsidR="004B5BEC">
        <w:t xml:space="preserve">. </w:t>
      </w:r>
      <w:r w:rsidRPr="00A373AB">
        <w:t xml:space="preserve">In assessing NOPTA’s performance since this time, the Review found that NOPTA was effective in contributing to the efficiency of the decision making by a Joint Authority for a State or the Northern Territory. NOPTA has done so by developing its internal capability and </w:t>
      </w:r>
      <w:r w:rsidR="00633E59">
        <w:t>capacity</w:t>
      </w:r>
      <w:r w:rsidRPr="00A373AB">
        <w:t xml:space="preserve"> to meet the requirements of its role</w:t>
      </w:r>
      <w:r w:rsidR="004B5BEC">
        <w:t xml:space="preserve">. </w:t>
      </w:r>
      <w:r w:rsidRPr="00A373AB">
        <w:t>It has generally applied this capability to deliver high quality advice to Joint Authorities</w:t>
      </w:r>
      <w:r w:rsidR="004B5BEC">
        <w:t xml:space="preserve">. </w:t>
      </w:r>
      <w:r w:rsidRPr="00A373AB">
        <w:t>NOPTA’s establishment and subsequent o</w:t>
      </w:r>
      <w:r w:rsidR="004A3B13">
        <w:t>perations have to a large extent</w:t>
      </w:r>
      <w:r w:rsidRPr="00A373AB">
        <w:t xml:space="preserve"> met the Australian Government’s response to the Productivity Commission’s report and consequently reduced the regulatory</w:t>
      </w:r>
      <w:r w:rsidR="004A3B13">
        <w:t xml:space="preserve"> burden</w:t>
      </w:r>
      <w:r w:rsidRPr="00A373AB">
        <w:t xml:space="preserve"> on the offshore petroleum industry</w:t>
      </w:r>
      <w:r w:rsidR="004B5BEC">
        <w:t xml:space="preserve">. </w:t>
      </w:r>
      <w:r w:rsidRPr="00A373AB">
        <w:t>This contributes to</w:t>
      </w:r>
      <w:r w:rsidR="00105300">
        <w:t xml:space="preserve"> integrity of the offshore titles system, with the additional benefit of increasing</w:t>
      </w:r>
      <w:r w:rsidRPr="00A373AB">
        <w:t xml:space="preserve"> the attractiveness of Australia for investment in the industry.</w:t>
      </w:r>
    </w:p>
    <w:p w:rsidR="00D85E28" w:rsidRPr="009E6B81" w:rsidRDefault="00BD5094" w:rsidP="00E42D56">
      <w:pPr>
        <w:pStyle w:val="NumberL1"/>
      </w:pPr>
      <w:r w:rsidRPr="00A373AB">
        <w:t>The Review identifies a number of areas where improvements in capability can be made to enhance the quality of future advice and service to industry</w:t>
      </w:r>
      <w:r w:rsidR="004B5BEC">
        <w:t xml:space="preserve">. </w:t>
      </w:r>
      <w:r w:rsidRPr="00A373AB">
        <w:t>These improvements include enhancing its relationships (primarily with other government agencies), building on the existing functionality of NEATS, exploiting its knowledge of industry to help policy makers and more thorough monitoring of the development and production phases of offshore petroleum operations</w:t>
      </w:r>
      <w:r w:rsidR="004B5BEC">
        <w:t xml:space="preserve">. </w:t>
      </w:r>
      <w:r w:rsidRPr="00A373AB">
        <w:t>These improvements</w:t>
      </w:r>
      <w:r w:rsidR="00105300">
        <w:t>,</w:t>
      </w:r>
      <w:r w:rsidRPr="00A373AB">
        <w:t xml:space="preserve"> coupled with the </w:t>
      </w:r>
      <w:r w:rsidRPr="00A373AB">
        <w:lastRenderedPageBreak/>
        <w:t>recommendations for Joint Authorities to adhere to agreed timeframes for the determination of decisions</w:t>
      </w:r>
      <w:r w:rsidR="00105300">
        <w:t>,</w:t>
      </w:r>
      <w:r w:rsidRPr="00A373AB">
        <w:t xml:space="preserve"> will help to</w:t>
      </w:r>
      <w:r w:rsidR="00105300">
        <w:t xml:space="preserve"> further</w:t>
      </w:r>
      <w:r w:rsidRPr="00A373AB">
        <w:t xml:space="preserve"> reduce the regulatory burden on industry.</w:t>
      </w:r>
      <w:bookmarkStart w:id="124" w:name="_Toc422740257"/>
    </w:p>
    <w:p w:rsidR="00A757A8" w:rsidRPr="003979C8" w:rsidRDefault="00A757A8" w:rsidP="00E05F45"/>
    <w:p w:rsidR="00A757A8" w:rsidRPr="003979C8" w:rsidRDefault="00A757A8" w:rsidP="00E05F45">
      <w:pPr>
        <w:sectPr w:rsidR="00A757A8" w:rsidRPr="003979C8" w:rsidSect="00065B08">
          <w:headerReference w:type="even" r:id="rId36"/>
          <w:footerReference w:type="default" r:id="rId37"/>
          <w:headerReference w:type="first" r:id="rId38"/>
          <w:footerReference w:type="first" r:id="rId39"/>
          <w:pgSz w:w="9979" w:h="14175" w:code="9"/>
          <w:pgMar w:top="1412" w:right="476" w:bottom="720" w:left="476" w:header="567" w:footer="567" w:gutter="0"/>
          <w:pgNumType w:start="1"/>
          <w:cols w:space="708"/>
          <w:docGrid w:linePitch="360"/>
        </w:sectPr>
      </w:pPr>
    </w:p>
    <w:p w:rsidR="00F057D2" w:rsidRPr="005C39E7" w:rsidRDefault="005C39E7" w:rsidP="005F2B15">
      <w:pPr>
        <w:pStyle w:val="Heading6"/>
      </w:pPr>
      <w:bookmarkStart w:id="125" w:name="_Toc422740258"/>
      <w:bookmarkEnd w:id="124"/>
      <w:r>
        <w:lastRenderedPageBreak/>
        <w:br/>
      </w:r>
      <w:bookmarkStart w:id="126" w:name="_Toc423426798"/>
      <w:r w:rsidR="004A19DF" w:rsidRPr="005C39E7">
        <w:t>NOPTA Terms of Reference</w:t>
      </w:r>
      <w:bookmarkStart w:id="127" w:name="_Toc165369423"/>
      <w:bookmarkEnd w:id="125"/>
      <w:bookmarkEnd w:id="126"/>
    </w:p>
    <w:p w:rsidR="00A02925" w:rsidRPr="004A19DF" w:rsidRDefault="00A02925" w:rsidP="00A02925">
      <w:pPr>
        <w:pStyle w:val="BodyText"/>
      </w:pPr>
      <w:r w:rsidRPr="002C3B0F">
        <w:t>In accordance with Se</w:t>
      </w:r>
      <w:r w:rsidRPr="003979C8">
        <w:t>ction 695P (2) of the Offshore Petroleum and Greenhouse Gas Storage Act 2006 (OPGGS Act), the 2015 Operational Review of the National Offshore Petroleum Titles Administrator (the Titles Administrator) wil</w:t>
      </w:r>
      <w:r w:rsidR="00D60C2F">
        <w:t>l:</w:t>
      </w:r>
    </w:p>
    <w:p w:rsidR="00A02925" w:rsidRPr="004A19DF" w:rsidRDefault="00A02925" w:rsidP="008E1DC4">
      <w:pPr>
        <w:pStyle w:val="BodyText"/>
        <w:numPr>
          <w:ilvl w:val="0"/>
          <w:numId w:val="12"/>
        </w:numPr>
        <w:ind w:left="567" w:hanging="567"/>
      </w:pPr>
      <w:r w:rsidRPr="002C3B0F">
        <w:t>Make an asses</w:t>
      </w:r>
      <w:r w:rsidRPr="004A19DF">
        <w:t>sment of the effectiveness of the Titles Administrator in contributing to the efficiency of the decision making by a Joint Authority for a State or the Northern Territory.</w:t>
      </w:r>
    </w:p>
    <w:p w:rsidR="00A02925" w:rsidRPr="002C3B0F" w:rsidRDefault="00A02925" w:rsidP="00A02925">
      <w:pPr>
        <w:pStyle w:val="BodyText"/>
      </w:pPr>
      <w:r w:rsidRPr="002C3B0F">
        <w:t>In the context of the OPGGS Act and Regulations including the legislated functions of the Titles Administrator, this assessment will consider, assess and provide recommendations in relation to:</w:t>
      </w:r>
    </w:p>
    <w:p w:rsidR="00A02925" w:rsidRPr="002C3B0F" w:rsidRDefault="00A02925" w:rsidP="008E1DC4">
      <w:pPr>
        <w:pStyle w:val="BodyText"/>
        <w:numPr>
          <w:ilvl w:val="0"/>
          <w:numId w:val="12"/>
        </w:numPr>
        <w:ind w:left="567" w:hanging="567"/>
      </w:pPr>
      <w:r w:rsidRPr="002C3B0F">
        <w:t>The extent to which the establishment of the Titles Administrator has met the objectives of the Australian Government’s response to the Productivity Commission’s report Review of Regulatory Burden on the Upstream Petroleum (Oil and Gas) Sector</w:t>
      </w:r>
    </w:p>
    <w:p w:rsidR="00A02925" w:rsidRPr="002C3B0F" w:rsidRDefault="00A02925" w:rsidP="008E1DC4">
      <w:pPr>
        <w:pStyle w:val="BodyText"/>
        <w:numPr>
          <w:ilvl w:val="0"/>
          <w:numId w:val="12"/>
        </w:numPr>
        <w:ind w:left="567" w:hanging="567"/>
      </w:pPr>
      <w:r w:rsidRPr="002C3B0F">
        <w:t>The current operating arrangements for provision of advice to Joint Authorities and the Responsible Commonwealth Minister on titles and titles related matters</w:t>
      </w:r>
    </w:p>
    <w:p w:rsidR="00A02925" w:rsidRPr="002C3B0F" w:rsidRDefault="00A02925" w:rsidP="008E1DC4">
      <w:pPr>
        <w:pStyle w:val="BodyText"/>
        <w:numPr>
          <w:ilvl w:val="0"/>
          <w:numId w:val="12"/>
        </w:numPr>
        <w:ind w:left="567" w:hanging="567"/>
      </w:pPr>
      <w:r w:rsidRPr="002C3B0F">
        <w:t>The management and performance of the legislated, publicly available, register of petroleum titles with Geographic Information System (GIS) support</w:t>
      </w:r>
    </w:p>
    <w:p w:rsidR="00A02925" w:rsidRPr="002C3B0F" w:rsidRDefault="00A02925" w:rsidP="008E1DC4">
      <w:pPr>
        <w:pStyle w:val="BodyText"/>
        <w:numPr>
          <w:ilvl w:val="0"/>
          <w:numId w:val="12"/>
        </w:numPr>
        <w:ind w:left="567" w:hanging="567"/>
      </w:pPr>
      <w:r w:rsidRPr="002C3B0F">
        <w:t>The compliance, monitoring and enforcement activities of the Titles Administrator</w:t>
      </w:r>
    </w:p>
    <w:p w:rsidR="00A02925" w:rsidRPr="002C3B0F" w:rsidRDefault="00A02925" w:rsidP="008E1DC4">
      <w:pPr>
        <w:pStyle w:val="BodyText"/>
        <w:numPr>
          <w:ilvl w:val="0"/>
          <w:numId w:val="12"/>
        </w:numPr>
        <w:ind w:left="567" w:hanging="567"/>
      </w:pPr>
      <w:r w:rsidRPr="002C3B0F">
        <w:t>The management of arrangements for information and data receipt and storage</w:t>
      </w:r>
    </w:p>
    <w:p w:rsidR="00A02925" w:rsidRPr="002C3B0F" w:rsidRDefault="00A02925" w:rsidP="008E1DC4">
      <w:pPr>
        <w:pStyle w:val="BodyText"/>
        <w:numPr>
          <w:ilvl w:val="0"/>
          <w:numId w:val="12"/>
        </w:numPr>
        <w:ind w:left="567" w:hanging="567"/>
      </w:pPr>
      <w:r w:rsidRPr="002C3B0F">
        <w:t>Engagement with stakeholders, including industry, Geoscience Australia, and state and territory agencies</w:t>
      </w:r>
    </w:p>
    <w:p w:rsidR="00A02925" w:rsidRPr="002C3B0F" w:rsidRDefault="00A02925" w:rsidP="008E1DC4">
      <w:pPr>
        <w:pStyle w:val="BodyText"/>
        <w:numPr>
          <w:ilvl w:val="0"/>
          <w:numId w:val="12"/>
        </w:numPr>
        <w:ind w:left="567" w:hanging="567"/>
      </w:pPr>
      <w:r w:rsidRPr="002C3B0F">
        <w:t>The relationship with NOPSEMA and state and Northern Territory regulators to improve end-to-end service to the industry and reduce costs</w:t>
      </w:r>
    </w:p>
    <w:p w:rsidR="00A02925" w:rsidRPr="002C3B0F" w:rsidRDefault="00A02925" w:rsidP="00A02925">
      <w:pPr>
        <w:pStyle w:val="BodyText"/>
      </w:pPr>
      <w:r w:rsidRPr="002C3B0F">
        <w:t>The review should have regard to opportunities consistent with the Government’s deregulation agenda.</w:t>
      </w:r>
    </w:p>
    <w:p w:rsidR="00A02925" w:rsidRPr="002C3B0F" w:rsidRDefault="00A02925" w:rsidP="00A02925">
      <w:pPr>
        <w:pStyle w:val="BodyText"/>
      </w:pPr>
    </w:p>
    <w:p w:rsidR="00A02925" w:rsidRPr="002C3B0F" w:rsidRDefault="00A02925" w:rsidP="00A02925">
      <w:pPr>
        <w:pStyle w:val="BodyText"/>
        <w:sectPr w:rsidR="00A02925" w:rsidRPr="002C3B0F" w:rsidSect="00065B08">
          <w:headerReference w:type="even" r:id="rId40"/>
          <w:headerReference w:type="default" r:id="rId41"/>
          <w:footerReference w:type="default" r:id="rId42"/>
          <w:headerReference w:type="first" r:id="rId43"/>
          <w:pgSz w:w="9979" w:h="14175" w:code="9"/>
          <w:pgMar w:top="1412" w:right="476" w:bottom="720" w:left="476" w:header="567" w:footer="567" w:gutter="0"/>
          <w:pgNumType w:start="1" w:chapStyle="6"/>
          <w:cols w:space="708"/>
          <w:docGrid w:linePitch="360"/>
        </w:sectPr>
      </w:pPr>
    </w:p>
    <w:bookmarkEnd w:id="127"/>
    <w:p w:rsidR="00A757A8" w:rsidRPr="004A19DF" w:rsidRDefault="004A19DF" w:rsidP="005F2B15">
      <w:pPr>
        <w:pStyle w:val="Heading6"/>
      </w:pPr>
      <w:r>
        <w:lastRenderedPageBreak/>
        <w:br/>
      </w:r>
      <w:bookmarkStart w:id="128" w:name="_Toc423426799"/>
      <w:r>
        <w:t>Stakeholders Interviewed</w:t>
      </w:r>
      <w:bookmarkEnd w:id="128"/>
    </w:p>
    <w:tbl>
      <w:tblPr>
        <w:tblStyle w:val="TableGrid"/>
        <w:tblW w:w="0" w:type="auto"/>
        <w:tblLook w:val="01E0" w:firstRow="1" w:lastRow="1" w:firstColumn="1" w:lastColumn="1" w:noHBand="0" w:noVBand="0"/>
      </w:tblPr>
      <w:tblGrid>
        <w:gridCol w:w="4321"/>
        <w:gridCol w:w="4321"/>
      </w:tblGrid>
      <w:tr w:rsidR="00253CC3" w:rsidRPr="00A36899" w:rsidTr="00253CC3">
        <w:trPr>
          <w:cnfStyle w:val="100000000000" w:firstRow="1" w:lastRow="0" w:firstColumn="0" w:lastColumn="0" w:oddVBand="0" w:evenVBand="0" w:oddHBand="0" w:evenHBand="0" w:firstRowFirstColumn="0" w:firstRowLastColumn="0" w:lastRowFirstColumn="0" w:lastRowLastColumn="0"/>
          <w:tblHeader/>
        </w:trPr>
        <w:tc>
          <w:tcPr>
            <w:tcW w:w="4321" w:type="dxa"/>
          </w:tcPr>
          <w:p w:rsidR="00253CC3" w:rsidRPr="00A36899" w:rsidRDefault="00253CC3" w:rsidP="00F72898">
            <w:pPr>
              <w:pStyle w:val="Noetic-Tabletext"/>
              <w:rPr>
                <w:rStyle w:val="Noetic-Bold"/>
                <w:b/>
                <w:color w:val="FFFFFF"/>
              </w:rPr>
            </w:pPr>
            <w:bookmarkStart w:id="129" w:name="_Toc165369424"/>
            <w:bookmarkStart w:id="130" w:name="_Toc108761795"/>
            <w:r w:rsidRPr="00A36899">
              <w:rPr>
                <w:rStyle w:val="Noetic-Bold"/>
                <w:b/>
                <w:color w:val="FFFFFF"/>
              </w:rPr>
              <w:t>Position Title</w:t>
            </w:r>
          </w:p>
        </w:tc>
        <w:tc>
          <w:tcPr>
            <w:tcW w:w="4321" w:type="dxa"/>
          </w:tcPr>
          <w:p w:rsidR="00253CC3" w:rsidRPr="00A36899" w:rsidRDefault="00253CC3" w:rsidP="00F72898">
            <w:pPr>
              <w:pStyle w:val="Noetic-Tabletext"/>
              <w:rPr>
                <w:rStyle w:val="Noetic-Bold"/>
                <w:b/>
                <w:color w:val="FFFFFF"/>
              </w:rPr>
            </w:pPr>
            <w:r w:rsidRPr="00A36899">
              <w:rPr>
                <w:rStyle w:val="Noetic-Bold"/>
                <w:b/>
                <w:color w:val="FFFFFF"/>
              </w:rPr>
              <w:t>Organisation</w:t>
            </w:r>
          </w:p>
        </w:tc>
      </w:tr>
      <w:tr w:rsidR="00253CC3" w:rsidRPr="002C3B0F" w:rsidTr="00253CC3">
        <w:trPr>
          <w:cnfStyle w:val="000000100000" w:firstRow="0" w:lastRow="0" w:firstColumn="0" w:lastColumn="0" w:oddVBand="0" w:evenVBand="0" w:oddHBand="1" w:evenHBand="0" w:firstRowFirstColumn="0" w:firstRowLastColumn="0" w:lastRowFirstColumn="0" w:lastRowLastColumn="0"/>
        </w:trPr>
        <w:tc>
          <w:tcPr>
            <w:tcW w:w="4321" w:type="dxa"/>
          </w:tcPr>
          <w:p w:rsidR="00253CC3" w:rsidRPr="00A42491" w:rsidRDefault="00253CC3" w:rsidP="00F72898">
            <w:pPr>
              <w:pStyle w:val="Noetic-Tabletext"/>
            </w:pPr>
            <w:r w:rsidRPr="00A42491">
              <w:t>Titles Administrator</w:t>
            </w:r>
          </w:p>
        </w:tc>
        <w:tc>
          <w:tcPr>
            <w:tcW w:w="4321" w:type="dxa"/>
          </w:tcPr>
          <w:p w:rsidR="00253CC3" w:rsidRPr="00A42491" w:rsidRDefault="00253CC3" w:rsidP="00F72898">
            <w:pPr>
              <w:pStyle w:val="Noetic-Tabletext"/>
            </w:pPr>
            <w:r w:rsidRPr="00A42491">
              <w:t>NOPTA</w:t>
            </w:r>
          </w:p>
        </w:tc>
      </w:tr>
      <w:tr w:rsidR="00253CC3" w:rsidRPr="002C3B0F" w:rsidTr="00253CC3">
        <w:trPr>
          <w:cnfStyle w:val="000000010000" w:firstRow="0" w:lastRow="0" w:firstColumn="0" w:lastColumn="0" w:oddVBand="0" w:evenVBand="0" w:oddHBand="0" w:evenHBand="1" w:firstRowFirstColumn="0" w:firstRowLastColumn="0" w:lastRowFirstColumn="0" w:lastRowLastColumn="0"/>
        </w:trPr>
        <w:tc>
          <w:tcPr>
            <w:tcW w:w="4321" w:type="dxa"/>
          </w:tcPr>
          <w:p w:rsidR="00253CC3" w:rsidRPr="00A42491" w:rsidRDefault="00253CC3" w:rsidP="00F72898">
            <w:pPr>
              <w:pStyle w:val="Noetic-Tabletext"/>
            </w:pPr>
            <w:r w:rsidRPr="00A42491">
              <w:t>Deputy General Manager</w:t>
            </w:r>
          </w:p>
        </w:tc>
        <w:tc>
          <w:tcPr>
            <w:tcW w:w="4321" w:type="dxa"/>
          </w:tcPr>
          <w:p w:rsidR="00253CC3" w:rsidRPr="00A42491" w:rsidRDefault="00253CC3" w:rsidP="00F72898">
            <w:pPr>
              <w:pStyle w:val="Noetic-Tabletext"/>
            </w:pPr>
            <w:r w:rsidRPr="00A42491">
              <w:t>NOPTA</w:t>
            </w:r>
          </w:p>
        </w:tc>
      </w:tr>
      <w:tr w:rsidR="00253CC3" w:rsidRPr="002C3B0F" w:rsidTr="00253CC3">
        <w:trPr>
          <w:cnfStyle w:val="000000100000" w:firstRow="0" w:lastRow="0" w:firstColumn="0" w:lastColumn="0" w:oddVBand="0" w:evenVBand="0" w:oddHBand="1" w:evenHBand="0" w:firstRowFirstColumn="0" w:firstRowLastColumn="0" w:lastRowFirstColumn="0" w:lastRowLastColumn="0"/>
        </w:trPr>
        <w:tc>
          <w:tcPr>
            <w:tcW w:w="4321" w:type="dxa"/>
          </w:tcPr>
          <w:p w:rsidR="00253CC3" w:rsidRPr="00A42491" w:rsidRDefault="00253CC3" w:rsidP="00F72898">
            <w:pPr>
              <w:pStyle w:val="Noetic-Tabletext"/>
            </w:pPr>
            <w:r w:rsidRPr="00A42491">
              <w:t>Manager, Titles Team</w:t>
            </w:r>
          </w:p>
        </w:tc>
        <w:tc>
          <w:tcPr>
            <w:tcW w:w="4321" w:type="dxa"/>
          </w:tcPr>
          <w:p w:rsidR="00253CC3" w:rsidRPr="00A42491" w:rsidRDefault="00253CC3" w:rsidP="00F72898">
            <w:pPr>
              <w:pStyle w:val="Noetic-Tabletext"/>
            </w:pPr>
            <w:r w:rsidRPr="00A42491">
              <w:t>NOPTA</w:t>
            </w:r>
          </w:p>
        </w:tc>
      </w:tr>
      <w:tr w:rsidR="00253CC3" w:rsidRPr="002C3B0F" w:rsidTr="00253CC3">
        <w:trPr>
          <w:cnfStyle w:val="000000010000" w:firstRow="0" w:lastRow="0" w:firstColumn="0" w:lastColumn="0" w:oddVBand="0" w:evenVBand="0" w:oddHBand="0" w:evenHBand="1" w:firstRowFirstColumn="0" w:firstRowLastColumn="0" w:lastRowFirstColumn="0" w:lastRowLastColumn="0"/>
        </w:trPr>
        <w:tc>
          <w:tcPr>
            <w:tcW w:w="4321" w:type="dxa"/>
          </w:tcPr>
          <w:p w:rsidR="00253CC3" w:rsidRPr="00A42491" w:rsidRDefault="00253CC3" w:rsidP="00F72898">
            <w:pPr>
              <w:pStyle w:val="Noetic-Tabletext"/>
            </w:pPr>
            <w:r w:rsidRPr="00A42491">
              <w:t>Manager, Strategic Coordination and Support Team</w:t>
            </w:r>
          </w:p>
        </w:tc>
        <w:tc>
          <w:tcPr>
            <w:tcW w:w="4321" w:type="dxa"/>
          </w:tcPr>
          <w:p w:rsidR="00253CC3" w:rsidRPr="00A42491" w:rsidRDefault="00253CC3" w:rsidP="00F72898">
            <w:pPr>
              <w:pStyle w:val="Noetic-Tabletext"/>
            </w:pPr>
            <w:r w:rsidRPr="00A42491">
              <w:t>NOPTA</w:t>
            </w:r>
          </w:p>
        </w:tc>
      </w:tr>
      <w:tr w:rsidR="00253CC3" w:rsidRPr="002C3B0F" w:rsidTr="00253CC3">
        <w:trPr>
          <w:cnfStyle w:val="000000100000" w:firstRow="0" w:lastRow="0" w:firstColumn="0" w:lastColumn="0" w:oddVBand="0" w:evenVBand="0" w:oddHBand="1" w:evenHBand="0" w:firstRowFirstColumn="0" w:firstRowLastColumn="0" w:lastRowFirstColumn="0" w:lastRowLastColumn="0"/>
        </w:trPr>
        <w:tc>
          <w:tcPr>
            <w:tcW w:w="4321" w:type="dxa"/>
          </w:tcPr>
          <w:p w:rsidR="00253CC3" w:rsidRPr="00A42491" w:rsidRDefault="00253CC3" w:rsidP="00F72898">
            <w:pPr>
              <w:pStyle w:val="Noetic-Tabletext"/>
            </w:pPr>
            <w:r w:rsidRPr="00A42491">
              <w:t>Manager, Compliance &amp; Operations Support Team</w:t>
            </w:r>
          </w:p>
        </w:tc>
        <w:tc>
          <w:tcPr>
            <w:tcW w:w="4321" w:type="dxa"/>
          </w:tcPr>
          <w:p w:rsidR="00253CC3" w:rsidRPr="00A42491" w:rsidRDefault="00253CC3" w:rsidP="00F72898">
            <w:pPr>
              <w:pStyle w:val="Noetic-Tabletext"/>
            </w:pPr>
            <w:r w:rsidRPr="00A42491">
              <w:t>NOPTA</w:t>
            </w:r>
          </w:p>
        </w:tc>
      </w:tr>
      <w:tr w:rsidR="00253CC3" w:rsidRPr="002C3B0F" w:rsidTr="00253CC3">
        <w:trPr>
          <w:cnfStyle w:val="000000010000" w:firstRow="0" w:lastRow="0" w:firstColumn="0" w:lastColumn="0" w:oddVBand="0" w:evenVBand="0" w:oddHBand="0" w:evenHBand="1" w:firstRowFirstColumn="0" w:firstRowLastColumn="0" w:lastRowFirstColumn="0" w:lastRowLastColumn="0"/>
        </w:trPr>
        <w:tc>
          <w:tcPr>
            <w:tcW w:w="4321" w:type="dxa"/>
          </w:tcPr>
          <w:p w:rsidR="00253CC3" w:rsidRPr="00A42491" w:rsidRDefault="00253CC3" w:rsidP="00F72898">
            <w:pPr>
              <w:pStyle w:val="Noetic-Tabletext"/>
            </w:pPr>
            <w:r w:rsidRPr="00A42491">
              <w:t>Manager, Data Management</w:t>
            </w:r>
          </w:p>
        </w:tc>
        <w:tc>
          <w:tcPr>
            <w:tcW w:w="4321" w:type="dxa"/>
          </w:tcPr>
          <w:p w:rsidR="00253CC3" w:rsidRPr="00A42491" w:rsidRDefault="00253CC3" w:rsidP="00F72898">
            <w:pPr>
              <w:pStyle w:val="Noetic-Tabletext"/>
            </w:pPr>
            <w:r w:rsidRPr="00A42491">
              <w:t>NOPTA</w:t>
            </w:r>
          </w:p>
        </w:tc>
      </w:tr>
      <w:tr w:rsidR="00253CC3" w:rsidRPr="002C3B0F" w:rsidTr="00253CC3">
        <w:trPr>
          <w:cnfStyle w:val="000000100000" w:firstRow="0" w:lastRow="0" w:firstColumn="0" w:lastColumn="0" w:oddVBand="0" w:evenVBand="0" w:oddHBand="1" w:evenHBand="0" w:firstRowFirstColumn="0" w:firstRowLastColumn="0" w:lastRowFirstColumn="0" w:lastRowLastColumn="0"/>
        </w:trPr>
        <w:tc>
          <w:tcPr>
            <w:tcW w:w="4321" w:type="dxa"/>
          </w:tcPr>
          <w:p w:rsidR="00253CC3" w:rsidRPr="00A42491" w:rsidRDefault="00253CC3" w:rsidP="00F72898">
            <w:pPr>
              <w:pStyle w:val="Noetic-Tabletext"/>
            </w:pPr>
            <w:r w:rsidRPr="00A42491">
              <w:t xml:space="preserve">Chief Geoscientist </w:t>
            </w:r>
          </w:p>
        </w:tc>
        <w:tc>
          <w:tcPr>
            <w:tcW w:w="4321" w:type="dxa"/>
          </w:tcPr>
          <w:p w:rsidR="00253CC3" w:rsidRPr="00A42491" w:rsidRDefault="00253CC3" w:rsidP="00F72898">
            <w:pPr>
              <w:pStyle w:val="Noetic-Tabletext"/>
            </w:pPr>
            <w:r w:rsidRPr="00A42491">
              <w:t>NOPTA</w:t>
            </w:r>
          </w:p>
        </w:tc>
      </w:tr>
      <w:tr w:rsidR="00253CC3" w:rsidRPr="002C3B0F" w:rsidTr="00253CC3">
        <w:trPr>
          <w:cnfStyle w:val="000000010000" w:firstRow="0" w:lastRow="0" w:firstColumn="0" w:lastColumn="0" w:oddVBand="0" w:evenVBand="0" w:oddHBand="0" w:evenHBand="1" w:firstRowFirstColumn="0" w:firstRowLastColumn="0" w:lastRowFirstColumn="0" w:lastRowLastColumn="0"/>
        </w:trPr>
        <w:tc>
          <w:tcPr>
            <w:tcW w:w="4321" w:type="dxa"/>
          </w:tcPr>
          <w:p w:rsidR="00253CC3" w:rsidRPr="00A42491" w:rsidRDefault="00253CC3" w:rsidP="00F72898">
            <w:pPr>
              <w:pStyle w:val="Noetic-Tabletext"/>
            </w:pPr>
            <w:r w:rsidRPr="00A42491">
              <w:t>Manager, Geoscience &amp; Engineering Team</w:t>
            </w:r>
          </w:p>
        </w:tc>
        <w:tc>
          <w:tcPr>
            <w:tcW w:w="4321" w:type="dxa"/>
          </w:tcPr>
          <w:p w:rsidR="00253CC3" w:rsidRPr="00A42491" w:rsidRDefault="00253CC3" w:rsidP="00F72898">
            <w:pPr>
              <w:pStyle w:val="Noetic-Tabletext"/>
            </w:pPr>
            <w:r w:rsidRPr="00A42491">
              <w:t>NOPTA</w:t>
            </w:r>
          </w:p>
        </w:tc>
      </w:tr>
      <w:tr w:rsidR="00253CC3" w:rsidRPr="002C3B0F" w:rsidTr="00253CC3">
        <w:trPr>
          <w:cnfStyle w:val="000000100000" w:firstRow="0" w:lastRow="0" w:firstColumn="0" w:lastColumn="0" w:oddVBand="0" w:evenVBand="0" w:oddHBand="1" w:evenHBand="0" w:firstRowFirstColumn="0" w:firstRowLastColumn="0" w:lastRowFirstColumn="0" w:lastRowLastColumn="0"/>
        </w:trPr>
        <w:tc>
          <w:tcPr>
            <w:tcW w:w="4321" w:type="dxa"/>
          </w:tcPr>
          <w:p w:rsidR="00253CC3" w:rsidRPr="00A42491" w:rsidRDefault="00253CC3" w:rsidP="00F72898">
            <w:pPr>
              <w:pStyle w:val="Noetic-Tabletext"/>
            </w:pPr>
            <w:r w:rsidRPr="00A42491">
              <w:t>Consultant</w:t>
            </w:r>
          </w:p>
        </w:tc>
        <w:tc>
          <w:tcPr>
            <w:tcW w:w="4321" w:type="dxa"/>
          </w:tcPr>
          <w:p w:rsidR="00253CC3" w:rsidRPr="00A42491" w:rsidRDefault="00253CC3" w:rsidP="00F72898">
            <w:pPr>
              <w:pStyle w:val="Noetic-Tabletext"/>
            </w:pPr>
            <w:r w:rsidRPr="00A42491">
              <w:t>NOPTA</w:t>
            </w:r>
          </w:p>
        </w:tc>
      </w:tr>
      <w:tr w:rsidR="00253CC3" w:rsidRPr="002C3B0F" w:rsidTr="00253CC3">
        <w:trPr>
          <w:cnfStyle w:val="000000010000" w:firstRow="0" w:lastRow="0" w:firstColumn="0" w:lastColumn="0" w:oddVBand="0" w:evenVBand="0" w:oddHBand="0" w:evenHBand="1" w:firstRowFirstColumn="0" w:firstRowLastColumn="0" w:lastRowFirstColumn="0" w:lastRowLastColumn="0"/>
        </w:trPr>
        <w:tc>
          <w:tcPr>
            <w:tcW w:w="4321" w:type="dxa"/>
          </w:tcPr>
          <w:p w:rsidR="00253CC3" w:rsidRPr="00A42491" w:rsidRDefault="00253CC3" w:rsidP="00F72898">
            <w:pPr>
              <w:pStyle w:val="Noetic-Tabletext"/>
            </w:pPr>
            <w:r w:rsidRPr="00A42491">
              <w:t>Head of Resources Division</w:t>
            </w:r>
          </w:p>
        </w:tc>
        <w:tc>
          <w:tcPr>
            <w:tcW w:w="4321" w:type="dxa"/>
          </w:tcPr>
          <w:p w:rsidR="00253CC3" w:rsidRPr="00A42491" w:rsidRDefault="00253CC3" w:rsidP="00F72898">
            <w:pPr>
              <w:pStyle w:val="Noetic-Tabletext"/>
            </w:pPr>
            <w:r w:rsidRPr="00A42491">
              <w:t>DoIS</w:t>
            </w:r>
          </w:p>
        </w:tc>
      </w:tr>
      <w:tr w:rsidR="00253CC3" w:rsidRPr="002C3B0F" w:rsidTr="00253CC3">
        <w:trPr>
          <w:cnfStyle w:val="000000100000" w:firstRow="0" w:lastRow="0" w:firstColumn="0" w:lastColumn="0" w:oddVBand="0" w:evenVBand="0" w:oddHBand="1" w:evenHBand="0" w:firstRowFirstColumn="0" w:firstRowLastColumn="0" w:lastRowFirstColumn="0" w:lastRowLastColumn="0"/>
        </w:trPr>
        <w:tc>
          <w:tcPr>
            <w:tcW w:w="4321" w:type="dxa"/>
          </w:tcPr>
          <w:p w:rsidR="00253CC3" w:rsidRPr="00A42491" w:rsidRDefault="00253CC3" w:rsidP="00F72898">
            <w:pPr>
              <w:pStyle w:val="Noetic-Tabletext"/>
            </w:pPr>
            <w:r w:rsidRPr="00A42491">
              <w:t>Head of Offshore Resources Branch</w:t>
            </w:r>
          </w:p>
        </w:tc>
        <w:tc>
          <w:tcPr>
            <w:tcW w:w="4321" w:type="dxa"/>
          </w:tcPr>
          <w:p w:rsidR="00253CC3" w:rsidRPr="00A42491" w:rsidRDefault="00253CC3" w:rsidP="00F72898">
            <w:pPr>
              <w:pStyle w:val="Noetic-Tabletext"/>
            </w:pPr>
            <w:r w:rsidRPr="00A42491">
              <w:t>DoIS</w:t>
            </w:r>
          </w:p>
        </w:tc>
      </w:tr>
      <w:tr w:rsidR="00253CC3" w:rsidRPr="002C3B0F" w:rsidTr="00253CC3">
        <w:trPr>
          <w:cnfStyle w:val="000000010000" w:firstRow="0" w:lastRow="0" w:firstColumn="0" w:lastColumn="0" w:oddVBand="0" w:evenVBand="0" w:oddHBand="0" w:evenHBand="1" w:firstRowFirstColumn="0" w:firstRowLastColumn="0" w:lastRowFirstColumn="0" w:lastRowLastColumn="0"/>
        </w:trPr>
        <w:tc>
          <w:tcPr>
            <w:tcW w:w="4321" w:type="dxa"/>
          </w:tcPr>
          <w:p w:rsidR="00253CC3" w:rsidRPr="00A42491" w:rsidRDefault="00253CC3" w:rsidP="00F72898">
            <w:pPr>
              <w:pStyle w:val="Noetic-Tabletext"/>
            </w:pPr>
            <w:r w:rsidRPr="00A42491">
              <w:t>Manager, Offshore Exploration</w:t>
            </w:r>
          </w:p>
        </w:tc>
        <w:tc>
          <w:tcPr>
            <w:tcW w:w="4321" w:type="dxa"/>
          </w:tcPr>
          <w:p w:rsidR="00253CC3" w:rsidRPr="00A42491" w:rsidRDefault="00253CC3" w:rsidP="00F72898">
            <w:pPr>
              <w:pStyle w:val="Noetic-Tabletext"/>
            </w:pPr>
            <w:r w:rsidRPr="00A42491">
              <w:t>DoIS</w:t>
            </w:r>
          </w:p>
        </w:tc>
      </w:tr>
      <w:tr w:rsidR="00253CC3" w:rsidRPr="002C3B0F" w:rsidTr="00253CC3">
        <w:trPr>
          <w:cnfStyle w:val="000000100000" w:firstRow="0" w:lastRow="0" w:firstColumn="0" w:lastColumn="0" w:oddVBand="0" w:evenVBand="0" w:oddHBand="1" w:evenHBand="0" w:firstRowFirstColumn="0" w:firstRowLastColumn="0" w:lastRowFirstColumn="0" w:lastRowLastColumn="0"/>
        </w:trPr>
        <w:tc>
          <w:tcPr>
            <w:tcW w:w="4321" w:type="dxa"/>
          </w:tcPr>
          <w:p w:rsidR="00253CC3" w:rsidRPr="00A42491" w:rsidRDefault="00253CC3" w:rsidP="00F72898">
            <w:pPr>
              <w:pStyle w:val="Noetic-Tabletext"/>
            </w:pPr>
            <w:r w:rsidRPr="00A42491">
              <w:t>Group Leader, Energy Systems</w:t>
            </w:r>
          </w:p>
        </w:tc>
        <w:tc>
          <w:tcPr>
            <w:tcW w:w="4321" w:type="dxa"/>
          </w:tcPr>
          <w:p w:rsidR="00253CC3" w:rsidRPr="00A42491" w:rsidRDefault="00253CC3" w:rsidP="00F72898">
            <w:pPr>
              <w:pStyle w:val="Noetic-Tabletext"/>
            </w:pPr>
            <w:r w:rsidRPr="00A42491">
              <w:t>Geoscience Australia</w:t>
            </w:r>
          </w:p>
        </w:tc>
      </w:tr>
      <w:tr w:rsidR="00253CC3" w:rsidRPr="002C3B0F" w:rsidTr="00253CC3">
        <w:trPr>
          <w:cnfStyle w:val="000000010000" w:firstRow="0" w:lastRow="0" w:firstColumn="0" w:lastColumn="0" w:oddVBand="0" w:evenVBand="0" w:oddHBand="0" w:evenHBand="1" w:firstRowFirstColumn="0" w:firstRowLastColumn="0" w:lastRowFirstColumn="0" w:lastRowLastColumn="0"/>
        </w:trPr>
        <w:tc>
          <w:tcPr>
            <w:tcW w:w="4321" w:type="dxa"/>
          </w:tcPr>
          <w:p w:rsidR="00253CC3" w:rsidRPr="00A42491" w:rsidRDefault="00253CC3" w:rsidP="00F72898">
            <w:pPr>
              <w:pStyle w:val="Noetic-Tabletext"/>
            </w:pPr>
            <w:r w:rsidRPr="00A42491">
              <w:t>Group Leader, Resources Advice and Promotion Group</w:t>
            </w:r>
          </w:p>
        </w:tc>
        <w:tc>
          <w:tcPr>
            <w:tcW w:w="4321" w:type="dxa"/>
          </w:tcPr>
          <w:p w:rsidR="00253CC3" w:rsidRPr="00A42491" w:rsidRDefault="00253CC3" w:rsidP="00F72898">
            <w:pPr>
              <w:pStyle w:val="Noetic-Tabletext"/>
            </w:pPr>
            <w:r w:rsidRPr="00A42491">
              <w:t>Geoscience Australia</w:t>
            </w:r>
          </w:p>
        </w:tc>
      </w:tr>
      <w:tr w:rsidR="00253CC3" w:rsidRPr="002C3B0F" w:rsidTr="00253CC3">
        <w:trPr>
          <w:cnfStyle w:val="000000100000" w:firstRow="0" w:lastRow="0" w:firstColumn="0" w:lastColumn="0" w:oddVBand="0" w:evenVBand="0" w:oddHBand="1" w:evenHBand="0" w:firstRowFirstColumn="0" w:firstRowLastColumn="0" w:lastRowFirstColumn="0" w:lastRowLastColumn="0"/>
        </w:trPr>
        <w:tc>
          <w:tcPr>
            <w:tcW w:w="4321" w:type="dxa"/>
          </w:tcPr>
          <w:p w:rsidR="00253CC3" w:rsidRPr="00A42491" w:rsidRDefault="00253CC3" w:rsidP="00F72898">
            <w:pPr>
              <w:pStyle w:val="Noetic-Tabletext"/>
            </w:pPr>
            <w:r w:rsidRPr="00A42491">
              <w:t>CEO</w:t>
            </w:r>
          </w:p>
        </w:tc>
        <w:tc>
          <w:tcPr>
            <w:tcW w:w="4321" w:type="dxa"/>
          </w:tcPr>
          <w:p w:rsidR="00253CC3" w:rsidRPr="00A42491" w:rsidRDefault="00253CC3" w:rsidP="00F72898">
            <w:pPr>
              <w:pStyle w:val="Noetic-Tabletext"/>
            </w:pPr>
            <w:r w:rsidRPr="00A42491">
              <w:t>NOPSEMA</w:t>
            </w:r>
          </w:p>
        </w:tc>
      </w:tr>
      <w:tr w:rsidR="00253CC3" w:rsidRPr="002C3B0F" w:rsidTr="00253CC3">
        <w:trPr>
          <w:cnfStyle w:val="000000010000" w:firstRow="0" w:lastRow="0" w:firstColumn="0" w:lastColumn="0" w:oddVBand="0" w:evenVBand="0" w:oddHBand="0" w:evenHBand="1" w:firstRowFirstColumn="0" w:firstRowLastColumn="0" w:lastRowFirstColumn="0" w:lastRowLastColumn="0"/>
        </w:trPr>
        <w:tc>
          <w:tcPr>
            <w:tcW w:w="4321" w:type="dxa"/>
          </w:tcPr>
          <w:p w:rsidR="00253CC3" w:rsidRPr="00A42491" w:rsidRDefault="00253CC3" w:rsidP="00F72898">
            <w:pPr>
              <w:pStyle w:val="Noetic-Tabletext"/>
            </w:pPr>
            <w:r w:rsidRPr="00A42491">
              <w:t>Stakeholder Relations and Legislative Change Manager</w:t>
            </w:r>
          </w:p>
        </w:tc>
        <w:tc>
          <w:tcPr>
            <w:tcW w:w="4321" w:type="dxa"/>
          </w:tcPr>
          <w:p w:rsidR="00253CC3" w:rsidRPr="00A42491" w:rsidRDefault="00253CC3" w:rsidP="00F72898">
            <w:pPr>
              <w:pStyle w:val="Noetic-Tabletext"/>
            </w:pPr>
            <w:r w:rsidRPr="00A42491">
              <w:t>NOPSEMA</w:t>
            </w:r>
          </w:p>
        </w:tc>
      </w:tr>
      <w:tr w:rsidR="00253CC3" w:rsidRPr="002C3B0F" w:rsidTr="00253CC3">
        <w:trPr>
          <w:cnfStyle w:val="000000100000" w:firstRow="0" w:lastRow="0" w:firstColumn="0" w:lastColumn="0" w:oddVBand="0" w:evenVBand="0" w:oddHBand="1" w:evenHBand="0" w:firstRowFirstColumn="0" w:firstRowLastColumn="0" w:lastRowFirstColumn="0" w:lastRowLastColumn="0"/>
        </w:trPr>
        <w:tc>
          <w:tcPr>
            <w:tcW w:w="4321" w:type="dxa"/>
          </w:tcPr>
          <w:p w:rsidR="00253CC3" w:rsidRPr="00A42491" w:rsidRDefault="00253CC3" w:rsidP="00F72898">
            <w:pPr>
              <w:pStyle w:val="Noetic-Tabletext"/>
            </w:pPr>
            <w:r w:rsidRPr="00A42491">
              <w:t>Acting Manager- Nautical and Regulation</w:t>
            </w:r>
          </w:p>
        </w:tc>
        <w:tc>
          <w:tcPr>
            <w:tcW w:w="4321" w:type="dxa"/>
          </w:tcPr>
          <w:p w:rsidR="00253CC3" w:rsidRPr="00A42491" w:rsidRDefault="00253CC3" w:rsidP="00F72898">
            <w:pPr>
              <w:pStyle w:val="Noetic-Tabletext"/>
            </w:pPr>
            <w:r w:rsidRPr="00A42491">
              <w:t>Australian Maritime Safety Authority</w:t>
            </w:r>
          </w:p>
        </w:tc>
      </w:tr>
      <w:tr w:rsidR="00253CC3" w:rsidRPr="002C3B0F" w:rsidTr="00253CC3">
        <w:trPr>
          <w:cnfStyle w:val="000000010000" w:firstRow="0" w:lastRow="0" w:firstColumn="0" w:lastColumn="0" w:oddVBand="0" w:evenVBand="0" w:oddHBand="0" w:evenHBand="1" w:firstRowFirstColumn="0" w:firstRowLastColumn="0" w:lastRowFirstColumn="0" w:lastRowLastColumn="0"/>
        </w:trPr>
        <w:tc>
          <w:tcPr>
            <w:tcW w:w="4321" w:type="dxa"/>
          </w:tcPr>
          <w:p w:rsidR="00253CC3" w:rsidRPr="00A42491" w:rsidRDefault="00253CC3" w:rsidP="00F72898">
            <w:pPr>
              <w:pStyle w:val="Noetic-Tabletext"/>
            </w:pPr>
            <w:r w:rsidRPr="00A42491">
              <w:t>Nautical Research and Analysis Officer</w:t>
            </w:r>
          </w:p>
        </w:tc>
        <w:tc>
          <w:tcPr>
            <w:tcW w:w="4321" w:type="dxa"/>
          </w:tcPr>
          <w:p w:rsidR="00253CC3" w:rsidRPr="00A42491" w:rsidRDefault="00253CC3" w:rsidP="00F72898">
            <w:pPr>
              <w:pStyle w:val="Noetic-Tabletext"/>
            </w:pPr>
            <w:r w:rsidRPr="00A42491">
              <w:t>Australian Maritime Safety Authority</w:t>
            </w:r>
          </w:p>
        </w:tc>
      </w:tr>
      <w:tr w:rsidR="00253CC3" w:rsidRPr="002C3B0F" w:rsidTr="00253CC3">
        <w:trPr>
          <w:cnfStyle w:val="000000100000" w:firstRow="0" w:lastRow="0" w:firstColumn="0" w:lastColumn="0" w:oddVBand="0" w:evenVBand="0" w:oddHBand="1" w:evenHBand="0" w:firstRowFirstColumn="0" w:firstRowLastColumn="0" w:lastRowFirstColumn="0" w:lastRowLastColumn="0"/>
        </w:trPr>
        <w:tc>
          <w:tcPr>
            <w:tcW w:w="4321" w:type="dxa"/>
          </w:tcPr>
          <w:p w:rsidR="00253CC3" w:rsidRPr="00A42491" w:rsidRDefault="00253CC3" w:rsidP="00F72898">
            <w:pPr>
              <w:pStyle w:val="Noetic-Tabletext"/>
            </w:pPr>
            <w:r w:rsidRPr="00A42491">
              <w:t>Executive Director, Energy Resources Division</w:t>
            </w:r>
          </w:p>
        </w:tc>
        <w:tc>
          <w:tcPr>
            <w:tcW w:w="4321" w:type="dxa"/>
          </w:tcPr>
          <w:p w:rsidR="00253CC3" w:rsidRPr="00A42491" w:rsidRDefault="00253CC3" w:rsidP="00F72898">
            <w:pPr>
              <w:pStyle w:val="Noetic-Tabletext"/>
            </w:pPr>
            <w:r w:rsidRPr="00A42491">
              <w:t>Department of State Development, South Australia</w:t>
            </w:r>
          </w:p>
        </w:tc>
      </w:tr>
      <w:tr w:rsidR="00253CC3" w:rsidRPr="002C3B0F" w:rsidTr="00253CC3">
        <w:trPr>
          <w:cnfStyle w:val="000000010000" w:firstRow="0" w:lastRow="0" w:firstColumn="0" w:lastColumn="0" w:oddVBand="0" w:evenVBand="0" w:oddHBand="0" w:evenHBand="1" w:firstRowFirstColumn="0" w:firstRowLastColumn="0" w:lastRowFirstColumn="0" w:lastRowLastColumn="0"/>
        </w:trPr>
        <w:tc>
          <w:tcPr>
            <w:tcW w:w="4321" w:type="dxa"/>
          </w:tcPr>
          <w:p w:rsidR="00253CC3" w:rsidRPr="00A42491" w:rsidRDefault="00253CC3" w:rsidP="00F72898">
            <w:pPr>
              <w:pStyle w:val="Noetic-Tabletext"/>
            </w:pPr>
            <w:r w:rsidRPr="00A42491">
              <w:t>Director, Geology and Exploration</w:t>
            </w:r>
          </w:p>
        </w:tc>
        <w:tc>
          <w:tcPr>
            <w:tcW w:w="4321" w:type="dxa"/>
          </w:tcPr>
          <w:p w:rsidR="00253CC3" w:rsidRPr="00A42491" w:rsidRDefault="00253CC3" w:rsidP="00F72898">
            <w:pPr>
              <w:pStyle w:val="Noetic-Tabletext"/>
            </w:pPr>
            <w:r w:rsidRPr="00A42491">
              <w:t>Department of State Development, South Australia</w:t>
            </w:r>
          </w:p>
        </w:tc>
      </w:tr>
      <w:tr w:rsidR="00253CC3" w:rsidRPr="002C3B0F" w:rsidTr="00253CC3">
        <w:trPr>
          <w:cnfStyle w:val="000000100000" w:firstRow="0" w:lastRow="0" w:firstColumn="0" w:lastColumn="0" w:oddVBand="0" w:evenVBand="0" w:oddHBand="1" w:evenHBand="0" w:firstRowFirstColumn="0" w:firstRowLastColumn="0" w:lastRowFirstColumn="0" w:lastRowLastColumn="0"/>
        </w:trPr>
        <w:tc>
          <w:tcPr>
            <w:tcW w:w="4321" w:type="dxa"/>
          </w:tcPr>
          <w:p w:rsidR="00253CC3" w:rsidRPr="00A42491" w:rsidRDefault="00253CC3" w:rsidP="00F72898">
            <w:pPr>
              <w:pStyle w:val="Noetic-Tabletext"/>
            </w:pPr>
            <w:r w:rsidRPr="00A42491">
              <w:t>Senior Licensing Officer</w:t>
            </w:r>
          </w:p>
        </w:tc>
        <w:tc>
          <w:tcPr>
            <w:tcW w:w="4321" w:type="dxa"/>
          </w:tcPr>
          <w:p w:rsidR="00253CC3" w:rsidRPr="00A42491" w:rsidRDefault="00253CC3" w:rsidP="00F72898">
            <w:pPr>
              <w:pStyle w:val="Noetic-Tabletext"/>
            </w:pPr>
            <w:r w:rsidRPr="00A42491">
              <w:t>Department of State Development, South Australia</w:t>
            </w:r>
          </w:p>
        </w:tc>
      </w:tr>
      <w:tr w:rsidR="00253CC3" w:rsidRPr="002C3B0F" w:rsidTr="00253CC3">
        <w:trPr>
          <w:cnfStyle w:val="000000010000" w:firstRow="0" w:lastRow="0" w:firstColumn="0" w:lastColumn="0" w:oddVBand="0" w:evenVBand="0" w:oddHBand="0" w:evenHBand="1" w:firstRowFirstColumn="0" w:firstRowLastColumn="0" w:lastRowFirstColumn="0" w:lastRowLastColumn="0"/>
        </w:trPr>
        <w:tc>
          <w:tcPr>
            <w:tcW w:w="4321" w:type="dxa"/>
          </w:tcPr>
          <w:p w:rsidR="00253CC3" w:rsidRPr="00A42491" w:rsidRDefault="00253CC3" w:rsidP="00F72898">
            <w:pPr>
              <w:pStyle w:val="Noetic-Tabletext"/>
            </w:pPr>
            <w:r w:rsidRPr="00A42491">
              <w:lastRenderedPageBreak/>
              <w:t>Manager, Licensing and Regulation</w:t>
            </w:r>
          </w:p>
        </w:tc>
        <w:tc>
          <w:tcPr>
            <w:tcW w:w="4321" w:type="dxa"/>
          </w:tcPr>
          <w:p w:rsidR="00253CC3" w:rsidRPr="00A42491" w:rsidRDefault="00253CC3" w:rsidP="00F72898">
            <w:pPr>
              <w:pStyle w:val="Noetic-Tabletext"/>
            </w:pPr>
            <w:r w:rsidRPr="00A42491">
              <w:t>Department of State Development, South Australia</w:t>
            </w:r>
          </w:p>
        </w:tc>
      </w:tr>
      <w:tr w:rsidR="00253CC3" w:rsidRPr="002C3B0F" w:rsidTr="00253CC3">
        <w:trPr>
          <w:cnfStyle w:val="000000100000" w:firstRow="0" w:lastRow="0" w:firstColumn="0" w:lastColumn="0" w:oddVBand="0" w:evenVBand="0" w:oddHBand="1" w:evenHBand="0" w:firstRowFirstColumn="0" w:firstRowLastColumn="0" w:lastRowFirstColumn="0" w:lastRowLastColumn="0"/>
        </w:trPr>
        <w:tc>
          <w:tcPr>
            <w:tcW w:w="4321" w:type="dxa"/>
          </w:tcPr>
          <w:p w:rsidR="00253CC3" w:rsidRPr="00A42491" w:rsidRDefault="00253CC3" w:rsidP="00F72898">
            <w:pPr>
              <w:pStyle w:val="Noetic-Tabletext"/>
            </w:pPr>
            <w:r w:rsidRPr="00A42491">
              <w:t>Executive Director, Energy Directorate</w:t>
            </w:r>
          </w:p>
        </w:tc>
        <w:tc>
          <w:tcPr>
            <w:tcW w:w="4321" w:type="dxa"/>
          </w:tcPr>
          <w:p w:rsidR="00253CC3" w:rsidRPr="00A42491" w:rsidRDefault="00253CC3" w:rsidP="00F72898">
            <w:pPr>
              <w:pStyle w:val="Noetic-Tabletext"/>
            </w:pPr>
            <w:r w:rsidRPr="00A42491">
              <w:t>Department of Mines and Energy, Northern Territory</w:t>
            </w:r>
          </w:p>
        </w:tc>
      </w:tr>
      <w:tr w:rsidR="00253CC3" w:rsidRPr="002C3B0F" w:rsidTr="00253CC3">
        <w:trPr>
          <w:cnfStyle w:val="000000010000" w:firstRow="0" w:lastRow="0" w:firstColumn="0" w:lastColumn="0" w:oddVBand="0" w:evenVBand="0" w:oddHBand="0" w:evenHBand="1" w:firstRowFirstColumn="0" w:firstRowLastColumn="0" w:lastRowFirstColumn="0" w:lastRowLastColumn="0"/>
        </w:trPr>
        <w:tc>
          <w:tcPr>
            <w:tcW w:w="4321" w:type="dxa"/>
          </w:tcPr>
          <w:p w:rsidR="00253CC3" w:rsidRPr="00A42491" w:rsidRDefault="00253CC3" w:rsidP="00F72898">
            <w:pPr>
              <w:pStyle w:val="Noetic-Tabletext"/>
            </w:pPr>
            <w:r w:rsidRPr="00A42491">
              <w:t>Executive Director, Geoscience</w:t>
            </w:r>
          </w:p>
        </w:tc>
        <w:tc>
          <w:tcPr>
            <w:tcW w:w="4321" w:type="dxa"/>
          </w:tcPr>
          <w:p w:rsidR="00253CC3" w:rsidRPr="00A42491" w:rsidRDefault="00253CC3" w:rsidP="00F72898">
            <w:pPr>
              <w:pStyle w:val="Noetic-Tabletext"/>
            </w:pPr>
            <w:r w:rsidRPr="00A42491">
              <w:t>Department of Mines and Energy, Northern Territory</w:t>
            </w:r>
          </w:p>
        </w:tc>
      </w:tr>
      <w:tr w:rsidR="00253CC3" w:rsidRPr="002C3B0F" w:rsidTr="00253CC3">
        <w:trPr>
          <w:cnfStyle w:val="000000100000" w:firstRow="0" w:lastRow="0" w:firstColumn="0" w:lastColumn="0" w:oddVBand="0" w:evenVBand="0" w:oddHBand="1" w:evenHBand="0" w:firstRowFirstColumn="0" w:firstRowLastColumn="0" w:lastRowFirstColumn="0" w:lastRowLastColumn="0"/>
        </w:trPr>
        <w:tc>
          <w:tcPr>
            <w:tcW w:w="4321" w:type="dxa"/>
          </w:tcPr>
          <w:p w:rsidR="00253CC3" w:rsidRPr="00A42491" w:rsidRDefault="00253CC3" w:rsidP="00F72898">
            <w:pPr>
              <w:pStyle w:val="Noetic-Tabletext"/>
            </w:pPr>
            <w:r w:rsidRPr="00A42491">
              <w:t xml:space="preserve">CEO </w:t>
            </w:r>
          </w:p>
        </w:tc>
        <w:tc>
          <w:tcPr>
            <w:tcW w:w="4321" w:type="dxa"/>
          </w:tcPr>
          <w:p w:rsidR="00253CC3" w:rsidRPr="00A42491" w:rsidRDefault="00253CC3" w:rsidP="00F72898">
            <w:pPr>
              <w:pStyle w:val="Noetic-Tabletext"/>
            </w:pPr>
            <w:r w:rsidRPr="00A42491">
              <w:t>CO2CRC</w:t>
            </w:r>
          </w:p>
        </w:tc>
      </w:tr>
      <w:tr w:rsidR="00253CC3" w:rsidRPr="002C3B0F" w:rsidTr="00253CC3">
        <w:trPr>
          <w:cnfStyle w:val="000000010000" w:firstRow="0" w:lastRow="0" w:firstColumn="0" w:lastColumn="0" w:oddVBand="0" w:evenVBand="0" w:oddHBand="0" w:evenHBand="1" w:firstRowFirstColumn="0" w:firstRowLastColumn="0" w:lastRowFirstColumn="0" w:lastRowLastColumn="0"/>
        </w:trPr>
        <w:tc>
          <w:tcPr>
            <w:tcW w:w="4321" w:type="dxa"/>
          </w:tcPr>
          <w:p w:rsidR="00253CC3" w:rsidRPr="00A42491" w:rsidRDefault="00253CC3" w:rsidP="00F72898">
            <w:pPr>
              <w:pStyle w:val="Noetic-Tabletext"/>
            </w:pPr>
            <w:r w:rsidRPr="00A42491">
              <w:t xml:space="preserve">Manager, Earth Resources Tenements </w:t>
            </w:r>
          </w:p>
        </w:tc>
        <w:tc>
          <w:tcPr>
            <w:tcW w:w="4321" w:type="dxa"/>
          </w:tcPr>
          <w:p w:rsidR="00253CC3" w:rsidRPr="00A42491" w:rsidRDefault="00253CC3" w:rsidP="00F72898">
            <w:pPr>
              <w:pStyle w:val="Noetic-Tabletext"/>
            </w:pPr>
            <w:r w:rsidRPr="00A42491">
              <w:t>Department of Economic Development, Jobs, Transport and Resources, Victoria</w:t>
            </w:r>
          </w:p>
        </w:tc>
      </w:tr>
      <w:tr w:rsidR="00253CC3" w:rsidRPr="002C3B0F" w:rsidTr="00253CC3">
        <w:trPr>
          <w:cnfStyle w:val="000000100000" w:firstRow="0" w:lastRow="0" w:firstColumn="0" w:lastColumn="0" w:oddVBand="0" w:evenVBand="0" w:oddHBand="1" w:evenHBand="0" w:firstRowFirstColumn="0" w:firstRowLastColumn="0" w:lastRowFirstColumn="0" w:lastRowLastColumn="0"/>
        </w:trPr>
        <w:tc>
          <w:tcPr>
            <w:tcW w:w="4321" w:type="dxa"/>
          </w:tcPr>
          <w:p w:rsidR="00253CC3" w:rsidRPr="00A42491" w:rsidRDefault="00253CC3" w:rsidP="00F72898">
            <w:pPr>
              <w:pStyle w:val="Noetic-Tabletext"/>
            </w:pPr>
            <w:r w:rsidRPr="00A42491">
              <w:t>General Manager, Technical Services</w:t>
            </w:r>
          </w:p>
        </w:tc>
        <w:tc>
          <w:tcPr>
            <w:tcW w:w="4321" w:type="dxa"/>
          </w:tcPr>
          <w:p w:rsidR="00253CC3" w:rsidRPr="00A42491" w:rsidRDefault="00253CC3" w:rsidP="00F72898">
            <w:pPr>
              <w:pStyle w:val="Noetic-Tabletext"/>
            </w:pPr>
            <w:r w:rsidRPr="00A42491">
              <w:t>Department of Economic Development, Jobs, Transport and Resources, Victoria</w:t>
            </w:r>
          </w:p>
        </w:tc>
      </w:tr>
      <w:tr w:rsidR="00253CC3" w:rsidRPr="002C3B0F" w:rsidTr="00253CC3">
        <w:trPr>
          <w:cnfStyle w:val="000000010000" w:firstRow="0" w:lastRow="0" w:firstColumn="0" w:lastColumn="0" w:oddVBand="0" w:evenVBand="0" w:oddHBand="0" w:evenHBand="1" w:firstRowFirstColumn="0" w:firstRowLastColumn="0" w:lastRowFirstColumn="0" w:lastRowLastColumn="0"/>
        </w:trPr>
        <w:tc>
          <w:tcPr>
            <w:tcW w:w="4321" w:type="dxa"/>
          </w:tcPr>
          <w:p w:rsidR="00253CC3" w:rsidRPr="00A42491" w:rsidRDefault="00253CC3" w:rsidP="00F72898">
            <w:pPr>
              <w:pStyle w:val="Noetic-Tabletext"/>
            </w:pPr>
            <w:r w:rsidRPr="00A42491">
              <w:t>Petroleum Tenements Officer</w:t>
            </w:r>
          </w:p>
        </w:tc>
        <w:tc>
          <w:tcPr>
            <w:tcW w:w="4321" w:type="dxa"/>
          </w:tcPr>
          <w:p w:rsidR="00253CC3" w:rsidRPr="00A42491" w:rsidRDefault="00253CC3" w:rsidP="00F72898">
            <w:pPr>
              <w:pStyle w:val="Noetic-Tabletext"/>
            </w:pPr>
            <w:r w:rsidRPr="00A42491">
              <w:t>Department of Economic Development, Jobs, Transport and Resources, Victoria</w:t>
            </w:r>
          </w:p>
        </w:tc>
      </w:tr>
      <w:tr w:rsidR="00253CC3" w:rsidRPr="002C3B0F" w:rsidTr="00253CC3">
        <w:trPr>
          <w:cnfStyle w:val="000000100000" w:firstRow="0" w:lastRow="0" w:firstColumn="0" w:lastColumn="0" w:oddVBand="0" w:evenVBand="0" w:oddHBand="1" w:evenHBand="0" w:firstRowFirstColumn="0" w:firstRowLastColumn="0" w:lastRowFirstColumn="0" w:lastRowLastColumn="0"/>
        </w:trPr>
        <w:tc>
          <w:tcPr>
            <w:tcW w:w="4321" w:type="dxa"/>
          </w:tcPr>
          <w:p w:rsidR="00253CC3" w:rsidRPr="00A42491" w:rsidRDefault="00253CC3" w:rsidP="00F72898">
            <w:pPr>
              <w:pStyle w:val="Noetic-Tabletext"/>
            </w:pPr>
            <w:r w:rsidRPr="00A42491">
              <w:t>Senior Project Officer</w:t>
            </w:r>
          </w:p>
        </w:tc>
        <w:tc>
          <w:tcPr>
            <w:tcW w:w="4321" w:type="dxa"/>
          </w:tcPr>
          <w:p w:rsidR="00253CC3" w:rsidRPr="00A42491" w:rsidRDefault="00253CC3" w:rsidP="00F72898">
            <w:pPr>
              <w:pStyle w:val="Noetic-Tabletext"/>
            </w:pPr>
            <w:r w:rsidRPr="00A42491">
              <w:t>Department of Economic Development, Jobs, Transport and Resources, Victoria</w:t>
            </w:r>
          </w:p>
        </w:tc>
      </w:tr>
      <w:tr w:rsidR="00253CC3" w:rsidRPr="002C3B0F" w:rsidTr="00253CC3">
        <w:trPr>
          <w:cnfStyle w:val="000000010000" w:firstRow="0" w:lastRow="0" w:firstColumn="0" w:lastColumn="0" w:oddVBand="0" w:evenVBand="0" w:oddHBand="0" w:evenHBand="1" w:firstRowFirstColumn="0" w:firstRowLastColumn="0" w:lastRowFirstColumn="0" w:lastRowLastColumn="0"/>
        </w:trPr>
        <w:tc>
          <w:tcPr>
            <w:tcW w:w="4321" w:type="dxa"/>
          </w:tcPr>
          <w:p w:rsidR="00253CC3" w:rsidRPr="00A42491" w:rsidRDefault="00253CC3" w:rsidP="00F72898">
            <w:pPr>
              <w:pStyle w:val="Noetic-Tabletext"/>
            </w:pPr>
            <w:r w:rsidRPr="00A42491">
              <w:t>Assistant Director, Titles</w:t>
            </w:r>
          </w:p>
        </w:tc>
        <w:tc>
          <w:tcPr>
            <w:tcW w:w="4321" w:type="dxa"/>
          </w:tcPr>
          <w:p w:rsidR="00253CC3" w:rsidRPr="00A42491" w:rsidRDefault="00253CC3" w:rsidP="00F72898">
            <w:pPr>
              <w:pStyle w:val="Noetic-Tabletext"/>
            </w:pPr>
            <w:r w:rsidRPr="00A42491">
              <w:t>Department of Trade and Investment, New South Wales</w:t>
            </w:r>
          </w:p>
        </w:tc>
      </w:tr>
      <w:tr w:rsidR="00253CC3" w:rsidRPr="002C3B0F" w:rsidTr="00253CC3">
        <w:trPr>
          <w:cnfStyle w:val="000000100000" w:firstRow="0" w:lastRow="0" w:firstColumn="0" w:lastColumn="0" w:oddVBand="0" w:evenVBand="0" w:oddHBand="1" w:evenHBand="0" w:firstRowFirstColumn="0" w:firstRowLastColumn="0" w:lastRowFirstColumn="0" w:lastRowLastColumn="0"/>
        </w:trPr>
        <w:tc>
          <w:tcPr>
            <w:tcW w:w="4321" w:type="dxa"/>
          </w:tcPr>
          <w:p w:rsidR="00253CC3" w:rsidRPr="00A42491" w:rsidRDefault="00253CC3" w:rsidP="00BF7B02">
            <w:pPr>
              <w:pStyle w:val="Noetic-Tabletext"/>
            </w:pPr>
            <w:r w:rsidRPr="00A42491">
              <w:t>Executive Director, Petroleum Division</w:t>
            </w:r>
          </w:p>
        </w:tc>
        <w:tc>
          <w:tcPr>
            <w:tcW w:w="4321" w:type="dxa"/>
          </w:tcPr>
          <w:p w:rsidR="00253CC3" w:rsidRPr="00A42491" w:rsidRDefault="00253CC3" w:rsidP="00F72898">
            <w:pPr>
              <w:pStyle w:val="Noetic-Tabletext"/>
            </w:pPr>
            <w:r w:rsidRPr="00A42491">
              <w:t>Department of Mines and Petroleum, Western Australia</w:t>
            </w:r>
          </w:p>
        </w:tc>
      </w:tr>
      <w:tr w:rsidR="00253CC3" w:rsidRPr="002C3B0F" w:rsidTr="00253CC3">
        <w:trPr>
          <w:cnfStyle w:val="000000010000" w:firstRow="0" w:lastRow="0" w:firstColumn="0" w:lastColumn="0" w:oddVBand="0" w:evenVBand="0" w:oddHBand="0" w:evenHBand="1" w:firstRowFirstColumn="0" w:firstRowLastColumn="0" w:lastRowFirstColumn="0" w:lastRowLastColumn="0"/>
        </w:trPr>
        <w:tc>
          <w:tcPr>
            <w:tcW w:w="4321" w:type="dxa"/>
          </w:tcPr>
          <w:p w:rsidR="00253CC3" w:rsidRPr="00A42491" w:rsidRDefault="00253CC3" w:rsidP="00F72898">
            <w:pPr>
              <w:pStyle w:val="Noetic-Tabletext"/>
            </w:pPr>
            <w:r w:rsidRPr="00A42491">
              <w:t xml:space="preserve">Assistant Director Resources </w:t>
            </w:r>
          </w:p>
        </w:tc>
        <w:tc>
          <w:tcPr>
            <w:tcW w:w="4321" w:type="dxa"/>
          </w:tcPr>
          <w:p w:rsidR="00253CC3" w:rsidRPr="00A42491" w:rsidRDefault="00253CC3" w:rsidP="00F72898">
            <w:pPr>
              <w:pStyle w:val="Noetic-Tabletext"/>
            </w:pPr>
            <w:r w:rsidRPr="00A42491">
              <w:t>Department of Mines and Petroleum</w:t>
            </w:r>
            <w:r>
              <w:t xml:space="preserve"> </w:t>
            </w:r>
            <w:r w:rsidRPr="00A42491">
              <w:t>Western Australia</w:t>
            </w:r>
          </w:p>
        </w:tc>
      </w:tr>
      <w:tr w:rsidR="00253CC3" w:rsidRPr="002C3B0F" w:rsidTr="00253CC3">
        <w:trPr>
          <w:cnfStyle w:val="000000100000" w:firstRow="0" w:lastRow="0" w:firstColumn="0" w:lastColumn="0" w:oddVBand="0" w:evenVBand="0" w:oddHBand="1" w:evenHBand="0" w:firstRowFirstColumn="0" w:firstRowLastColumn="0" w:lastRowFirstColumn="0" w:lastRowLastColumn="0"/>
        </w:trPr>
        <w:tc>
          <w:tcPr>
            <w:tcW w:w="4321" w:type="dxa"/>
          </w:tcPr>
          <w:p w:rsidR="00253CC3" w:rsidRPr="00A42491" w:rsidRDefault="00253CC3" w:rsidP="00F72898">
            <w:pPr>
              <w:pStyle w:val="Noetic-Tabletext"/>
            </w:pPr>
            <w:r w:rsidRPr="00A42491">
              <w:t>Executive Director, Geological Survey Western Australia</w:t>
            </w:r>
          </w:p>
        </w:tc>
        <w:tc>
          <w:tcPr>
            <w:tcW w:w="4321" w:type="dxa"/>
          </w:tcPr>
          <w:p w:rsidR="00253CC3" w:rsidRPr="00A42491" w:rsidRDefault="00253CC3" w:rsidP="00F72898">
            <w:pPr>
              <w:pStyle w:val="Noetic-Tabletext"/>
            </w:pPr>
            <w:r w:rsidRPr="00A42491">
              <w:t>Department of Mines and Petroleum, Western Australia</w:t>
            </w:r>
          </w:p>
        </w:tc>
      </w:tr>
      <w:tr w:rsidR="00253CC3" w:rsidRPr="002C3B0F" w:rsidTr="00253CC3">
        <w:trPr>
          <w:cnfStyle w:val="000000010000" w:firstRow="0" w:lastRow="0" w:firstColumn="0" w:lastColumn="0" w:oddVBand="0" w:evenVBand="0" w:oddHBand="0" w:evenHBand="1" w:firstRowFirstColumn="0" w:firstRowLastColumn="0" w:lastRowFirstColumn="0" w:lastRowLastColumn="0"/>
        </w:trPr>
        <w:tc>
          <w:tcPr>
            <w:tcW w:w="4321" w:type="dxa"/>
          </w:tcPr>
          <w:p w:rsidR="00253CC3" w:rsidRPr="00A42491" w:rsidRDefault="00253CC3" w:rsidP="00F72898">
            <w:pPr>
              <w:pStyle w:val="Noetic-Tabletext"/>
            </w:pPr>
            <w:r w:rsidRPr="00A42491">
              <w:t>Tenures Compliance Manager</w:t>
            </w:r>
          </w:p>
        </w:tc>
        <w:tc>
          <w:tcPr>
            <w:tcW w:w="4321" w:type="dxa"/>
          </w:tcPr>
          <w:p w:rsidR="00253CC3" w:rsidRPr="00A42491" w:rsidRDefault="00253CC3" w:rsidP="00F72898">
            <w:pPr>
              <w:pStyle w:val="Noetic-Tabletext"/>
            </w:pPr>
            <w:r w:rsidRPr="00A42491">
              <w:t>Origin Energy</w:t>
            </w:r>
          </w:p>
        </w:tc>
      </w:tr>
      <w:tr w:rsidR="00253CC3" w:rsidRPr="002C3B0F" w:rsidTr="00253CC3">
        <w:trPr>
          <w:cnfStyle w:val="000000100000" w:firstRow="0" w:lastRow="0" w:firstColumn="0" w:lastColumn="0" w:oddVBand="0" w:evenVBand="0" w:oddHBand="1" w:evenHBand="0" w:firstRowFirstColumn="0" w:firstRowLastColumn="0" w:lastRowFirstColumn="0" w:lastRowLastColumn="0"/>
        </w:trPr>
        <w:tc>
          <w:tcPr>
            <w:tcW w:w="4321" w:type="dxa"/>
          </w:tcPr>
          <w:p w:rsidR="00253CC3" w:rsidRPr="00A42491" w:rsidRDefault="00253CC3" w:rsidP="00F72898">
            <w:pPr>
              <w:pStyle w:val="Noetic-Tabletext"/>
            </w:pPr>
            <w:r w:rsidRPr="00A42491">
              <w:t>Group Manager, Conventional Exploration- Integrated Gas</w:t>
            </w:r>
          </w:p>
        </w:tc>
        <w:tc>
          <w:tcPr>
            <w:tcW w:w="4321" w:type="dxa"/>
          </w:tcPr>
          <w:p w:rsidR="00253CC3" w:rsidRPr="00A42491" w:rsidRDefault="00253CC3" w:rsidP="00F72898">
            <w:pPr>
              <w:pStyle w:val="Noetic-Tabletext"/>
            </w:pPr>
            <w:r w:rsidRPr="00A42491">
              <w:t>Origin Energy</w:t>
            </w:r>
          </w:p>
        </w:tc>
      </w:tr>
      <w:tr w:rsidR="00253CC3" w:rsidRPr="002C3B0F" w:rsidTr="00253CC3">
        <w:trPr>
          <w:cnfStyle w:val="000000010000" w:firstRow="0" w:lastRow="0" w:firstColumn="0" w:lastColumn="0" w:oddVBand="0" w:evenVBand="0" w:oddHBand="0" w:evenHBand="1" w:firstRowFirstColumn="0" w:firstRowLastColumn="0" w:lastRowFirstColumn="0" w:lastRowLastColumn="0"/>
        </w:trPr>
        <w:tc>
          <w:tcPr>
            <w:tcW w:w="4321" w:type="dxa"/>
          </w:tcPr>
          <w:p w:rsidR="00253CC3" w:rsidRPr="00A42491" w:rsidRDefault="00253CC3" w:rsidP="00F72898">
            <w:pPr>
              <w:pStyle w:val="Noetic-Tabletext"/>
            </w:pPr>
            <w:r w:rsidRPr="00A42491">
              <w:t>Policy Director- Access</w:t>
            </w:r>
          </w:p>
        </w:tc>
        <w:tc>
          <w:tcPr>
            <w:tcW w:w="4321" w:type="dxa"/>
          </w:tcPr>
          <w:p w:rsidR="00253CC3" w:rsidRPr="00A42491" w:rsidRDefault="00253CC3" w:rsidP="00F72898">
            <w:pPr>
              <w:pStyle w:val="Noetic-Tabletext"/>
            </w:pPr>
            <w:r w:rsidRPr="00A42491">
              <w:t>APPEA</w:t>
            </w:r>
          </w:p>
        </w:tc>
      </w:tr>
      <w:tr w:rsidR="00253CC3" w:rsidRPr="002C3B0F" w:rsidTr="00253CC3">
        <w:trPr>
          <w:cnfStyle w:val="000000100000" w:firstRow="0" w:lastRow="0" w:firstColumn="0" w:lastColumn="0" w:oddVBand="0" w:evenVBand="0" w:oddHBand="1" w:evenHBand="0" w:firstRowFirstColumn="0" w:firstRowLastColumn="0" w:lastRowFirstColumn="0" w:lastRowLastColumn="0"/>
        </w:trPr>
        <w:tc>
          <w:tcPr>
            <w:tcW w:w="4321" w:type="dxa"/>
          </w:tcPr>
          <w:p w:rsidR="00253CC3" w:rsidRPr="00A42491" w:rsidRDefault="00253CC3" w:rsidP="00F72898">
            <w:pPr>
              <w:pStyle w:val="Noetic-Tabletext"/>
            </w:pPr>
            <w:r w:rsidRPr="00A42491">
              <w:t>Deputy Chief Executive</w:t>
            </w:r>
          </w:p>
        </w:tc>
        <w:tc>
          <w:tcPr>
            <w:tcW w:w="4321" w:type="dxa"/>
          </w:tcPr>
          <w:p w:rsidR="00253CC3" w:rsidRPr="00A42491" w:rsidRDefault="00253CC3" w:rsidP="00F72898">
            <w:pPr>
              <w:pStyle w:val="Noetic-Tabletext"/>
            </w:pPr>
            <w:r w:rsidRPr="00A42491">
              <w:t>APPEA</w:t>
            </w:r>
          </w:p>
        </w:tc>
      </w:tr>
      <w:tr w:rsidR="00253CC3" w:rsidRPr="002C3B0F" w:rsidTr="00253CC3">
        <w:trPr>
          <w:cnfStyle w:val="000000010000" w:firstRow="0" w:lastRow="0" w:firstColumn="0" w:lastColumn="0" w:oddVBand="0" w:evenVBand="0" w:oddHBand="0" w:evenHBand="1" w:firstRowFirstColumn="0" w:firstRowLastColumn="0" w:lastRowFirstColumn="0" w:lastRowLastColumn="0"/>
        </w:trPr>
        <w:tc>
          <w:tcPr>
            <w:tcW w:w="4321" w:type="dxa"/>
          </w:tcPr>
          <w:p w:rsidR="00253CC3" w:rsidRPr="00A42491" w:rsidRDefault="00253CC3" w:rsidP="00F72898">
            <w:pPr>
              <w:pStyle w:val="Noetic-Tabletext"/>
            </w:pPr>
            <w:r w:rsidRPr="00A42491">
              <w:t>Coordinator</w:t>
            </w:r>
          </w:p>
        </w:tc>
        <w:tc>
          <w:tcPr>
            <w:tcW w:w="4321" w:type="dxa"/>
          </w:tcPr>
          <w:p w:rsidR="00253CC3" w:rsidRPr="00A42491" w:rsidRDefault="00253CC3" w:rsidP="00F72898">
            <w:pPr>
              <w:pStyle w:val="Noetic-Tabletext"/>
            </w:pPr>
            <w:r w:rsidRPr="00A42491">
              <w:t>CarbonNet</w:t>
            </w:r>
          </w:p>
        </w:tc>
      </w:tr>
      <w:tr w:rsidR="00253CC3" w:rsidRPr="002C3B0F" w:rsidTr="00253CC3">
        <w:trPr>
          <w:cnfStyle w:val="000000100000" w:firstRow="0" w:lastRow="0" w:firstColumn="0" w:lastColumn="0" w:oddVBand="0" w:evenVBand="0" w:oddHBand="1" w:evenHBand="0" w:firstRowFirstColumn="0" w:firstRowLastColumn="0" w:lastRowFirstColumn="0" w:lastRowLastColumn="0"/>
        </w:trPr>
        <w:tc>
          <w:tcPr>
            <w:tcW w:w="4321" w:type="dxa"/>
          </w:tcPr>
          <w:p w:rsidR="00253CC3" w:rsidRPr="00A42491" w:rsidRDefault="00253CC3" w:rsidP="00F72898">
            <w:pPr>
              <w:pStyle w:val="Noetic-Tabletext"/>
            </w:pPr>
            <w:r w:rsidRPr="00A42491">
              <w:t>Australia Exploration Manager</w:t>
            </w:r>
          </w:p>
        </w:tc>
        <w:tc>
          <w:tcPr>
            <w:tcW w:w="4321" w:type="dxa"/>
          </w:tcPr>
          <w:p w:rsidR="00253CC3" w:rsidRPr="00A42491" w:rsidRDefault="00253CC3" w:rsidP="00F72898">
            <w:pPr>
              <w:pStyle w:val="Noetic-Tabletext"/>
            </w:pPr>
            <w:r w:rsidRPr="00A42491">
              <w:t>Karoon Gas</w:t>
            </w:r>
          </w:p>
        </w:tc>
      </w:tr>
      <w:tr w:rsidR="00253CC3" w:rsidRPr="002C3B0F" w:rsidTr="00253CC3">
        <w:trPr>
          <w:cnfStyle w:val="000000010000" w:firstRow="0" w:lastRow="0" w:firstColumn="0" w:lastColumn="0" w:oddVBand="0" w:evenVBand="0" w:oddHBand="0" w:evenHBand="1" w:firstRowFirstColumn="0" w:firstRowLastColumn="0" w:lastRowFirstColumn="0" w:lastRowLastColumn="0"/>
        </w:trPr>
        <w:tc>
          <w:tcPr>
            <w:tcW w:w="4321" w:type="dxa"/>
          </w:tcPr>
          <w:p w:rsidR="00253CC3" w:rsidRPr="00A42491" w:rsidRDefault="00253CC3" w:rsidP="00F72898">
            <w:pPr>
              <w:pStyle w:val="Noetic-Tabletext"/>
            </w:pPr>
            <w:r w:rsidRPr="00A42491">
              <w:lastRenderedPageBreak/>
              <w:t>Vice President, Exploration Australia</w:t>
            </w:r>
          </w:p>
        </w:tc>
        <w:tc>
          <w:tcPr>
            <w:tcW w:w="4321" w:type="dxa"/>
          </w:tcPr>
          <w:p w:rsidR="00253CC3" w:rsidRPr="00A42491" w:rsidRDefault="00253CC3" w:rsidP="00F72898">
            <w:pPr>
              <w:pStyle w:val="Noetic-Tabletext"/>
            </w:pPr>
            <w:r w:rsidRPr="00A42491">
              <w:t>Woodside Energy</w:t>
            </w:r>
          </w:p>
        </w:tc>
      </w:tr>
      <w:tr w:rsidR="00253CC3" w:rsidRPr="002C3B0F" w:rsidTr="00253CC3">
        <w:trPr>
          <w:cnfStyle w:val="000000100000" w:firstRow="0" w:lastRow="0" w:firstColumn="0" w:lastColumn="0" w:oddVBand="0" w:evenVBand="0" w:oddHBand="1" w:evenHBand="0" w:firstRowFirstColumn="0" w:firstRowLastColumn="0" w:lastRowFirstColumn="0" w:lastRowLastColumn="0"/>
        </w:trPr>
        <w:tc>
          <w:tcPr>
            <w:tcW w:w="4321" w:type="dxa"/>
          </w:tcPr>
          <w:p w:rsidR="00253CC3" w:rsidRPr="00A42491" w:rsidRDefault="00253CC3" w:rsidP="00F72898">
            <w:pPr>
              <w:pStyle w:val="Noetic-Tabletext"/>
            </w:pPr>
            <w:r w:rsidRPr="00A42491">
              <w:t>Compliance and Governance Manager</w:t>
            </w:r>
          </w:p>
        </w:tc>
        <w:tc>
          <w:tcPr>
            <w:tcW w:w="4321" w:type="dxa"/>
          </w:tcPr>
          <w:p w:rsidR="00253CC3" w:rsidRPr="00A42491" w:rsidRDefault="00253CC3" w:rsidP="00F72898">
            <w:pPr>
              <w:pStyle w:val="Noetic-Tabletext"/>
            </w:pPr>
            <w:r w:rsidRPr="00A42491">
              <w:t>Woodside Energy</w:t>
            </w:r>
          </w:p>
        </w:tc>
      </w:tr>
      <w:tr w:rsidR="00253CC3" w:rsidRPr="002C3B0F" w:rsidTr="00253CC3">
        <w:trPr>
          <w:cnfStyle w:val="000000010000" w:firstRow="0" w:lastRow="0" w:firstColumn="0" w:lastColumn="0" w:oddVBand="0" w:evenVBand="0" w:oddHBand="0" w:evenHBand="1" w:firstRowFirstColumn="0" w:firstRowLastColumn="0" w:lastRowFirstColumn="0" w:lastRowLastColumn="0"/>
        </w:trPr>
        <w:tc>
          <w:tcPr>
            <w:tcW w:w="4321" w:type="dxa"/>
          </w:tcPr>
          <w:p w:rsidR="00253CC3" w:rsidRPr="00A42491" w:rsidRDefault="00253CC3" w:rsidP="00F72898">
            <w:pPr>
              <w:pStyle w:val="Noetic-Tabletext"/>
            </w:pPr>
            <w:r w:rsidRPr="00A42491">
              <w:t>Manager, Government and Community Relations</w:t>
            </w:r>
          </w:p>
        </w:tc>
        <w:tc>
          <w:tcPr>
            <w:tcW w:w="4321" w:type="dxa"/>
          </w:tcPr>
          <w:p w:rsidR="00253CC3" w:rsidRPr="00A42491" w:rsidRDefault="00253CC3" w:rsidP="00F72898">
            <w:pPr>
              <w:pStyle w:val="Noetic-Tabletext"/>
            </w:pPr>
            <w:r w:rsidRPr="00A42491">
              <w:t>Santos</w:t>
            </w:r>
          </w:p>
        </w:tc>
      </w:tr>
      <w:tr w:rsidR="00253CC3" w:rsidRPr="002C3B0F" w:rsidTr="00253CC3">
        <w:trPr>
          <w:cnfStyle w:val="000000100000" w:firstRow="0" w:lastRow="0" w:firstColumn="0" w:lastColumn="0" w:oddVBand="0" w:evenVBand="0" w:oddHBand="1" w:evenHBand="0" w:firstRowFirstColumn="0" w:firstRowLastColumn="0" w:lastRowFirstColumn="0" w:lastRowLastColumn="0"/>
        </w:trPr>
        <w:tc>
          <w:tcPr>
            <w:tcW w:w="4321" w:type="dxa"/>
          </w:tcPr>
          <w:p w:rsidR="00253CC3" w:rsidRPr="00A42491" w:rsidRDefault="00253CC3" w:rsidP="00F72898">
            <w:pPr>
              <w:pStyle w:val="Noetic-Tabletext"/>
            </w:pPr>
            <w:r w:rsidRPr="00A42491">
              <w:t>Country Manager Australia</w:t>
            </w:r>
          </w:p>
        </w:tc>
        <w:tc>
          <w:tcPr>
            <w:tcW w:w="4321" w:type="dxa"/>
          </w:tcPr>
          <w:p w:rsidR="00253CC3" w:rsidRPr="00A42491" w:rsidRDefault="00253CC3" w:rsidP="00F72898">
            <w:pPr>
              <w:pStyle w:val="Noetic-Tabletext"/>
            </w:pPr>
            <w:r w:rsidRPr="00A42491">
              <w:t>Murphy Oil Australia</w:t>
            </w:r>
          </w:p>
        </w:tc>
      </w:tr>
      <w:tr w:rsidR="00253CC3" w:rsidRPr="002C3B0F" w:rsidTr="00253CC3">
        <w:trPr>
          <w:cnfStyle w:val="000000010000" w:firstRow="0" w:lastRow="0" w:firstColumn="0" w:lastColumn="0" w:oddVBand="0" w:evenVBand="0" w:oddHBand="0" w:evenHBand="1" w:firstRowFirstColumn="0" w:firstRowLastColumn="0" w:lastRowFirstColumn="0" w:lastRowLastColumn="0"/>
        </w:trPr>
        <w:tc>
          <w:tcPr>
            <w:tcW w:w="4321" w:type="dxa"/>
          </w:tcPr>
          <w:p w:rsidR="00253CC3" w:rsidRPr="00A42491" w:rsidRDefault="00253CC3" w:rsidP="00F72898">
            <w:pPr>
              <w:pStyle w:val="Noetic-Tabletext"/>
            </w:pPr>
            <w:r w:rsidRPr="00A42491">
              <w:t>Government Affairs Adviser</w:t>
            </w:r>
          </w:p>
        </w:tc>
        <w:tc>
          <w:tcPr>
            <w:tcW w:w="4321" w:type="dxa"/>
          </w:tcPr>
          <w:p w:rsidR="00253CC3" w:rsidRPr="00A42491" w:rsidRDefault="00253CC3" w:rsidP="00F72898">
            <w:pPr>
              <w:pStyle w:val="Noetic-Tabletext"/>
            </w:pPr>
            <w:r w:rsidRPr="00A42491">
              <w:t>Woodside Energy</w:t>
            </w:r>
          </w:p>
        </w:tc>
      </w:tr>
      <w:tr w:rsidR="00253CC3" w:rsidRPr="002C3B0F" w:rsidTr="00253CC3">
        <w:trPr>
          <w:cnfStyle w:val="000000100000" w:firstRow="0" w:lastRow="0" w:firstColumn="0" w:lastColumn="0" w:oddVBand="0" w:evenVBand="0" w:oddHBand="1" w:evenHBand="0" w:firstRowFirstColumn="0" w:firstRowLastColumn="0" w:lastRowFirstColumn="0" w:lastRowLastColumn="0"/>
        </w:trPr>
        <w:tc>
          <w:tcPr>
            <w:tcW w:w="4321" w:type="dxa"/>
          </w:tcPr>
          <w:p w:rsidR="00253CC3" w:rsidRPr="00A42491" w:rsidRDefault="00253CC3" w:rsidP="00F72898">
            <w:pPr>
              <w:pStyle w:val="Noetic-Tabletext"/>
            </w:pPr>
            <w:r w:rsidRPr="00A42491">
              <w:t>Exploration Manager</w:t>
            </w:r>
          </w:p>
        </w:tc>
        <w:tc>
          <w:tcPr>
            <w:tcW w:w="4321" w:type="dxa"/>
          </w:tcPr>
          <w:p w:rsidR="00253CC3" w:rsidRPr="00A42491" w:rsidRDefault="00253CC3" w:rsidP="00F72898">
            <w:pPr>
              <w:pStyle w:val="Noetic-Tabletext"/>
            </w:pPr>
            <w:r w:rsidRPr="00A42491">
              <w:t>WHL Energy</w:t>
            </w:r>
          </w:p>
        </w:tc>
      </w:tr>
      <w:tr w:rsidR="00253CC3" w:rsidRPr="002C3B0F" w:rsidTr="00253CC3">
        <w:trPr>
          <w:cnfStyle w:val="000000010000" w:firstRow="0" w:lastRow="0" w:firstColumn="0" w:lastColumn="0" w:oddVBand="0" w:evenVBand="0" w:oddHBand="0" w:evenHBand="1" w:firstRowFirstColumn="0" w:firstRowLastColumn="0" w:lastRowFirstColumn="0" w:lastRowLastColumn="0"/>
        </w:trPr>
        <w:tc>
          <w:tcPr>
            <w:tcW w:w="4321" w:type="dxa"/>
          </w:tcPr>
          <w:p w:rsidR="00253CC3" w:rsidRPr="00A42491" w:rsidRDefault="00253CC3" w:rsidP="00F72898">
            <w:pPr>
              <w:pStyle w:val="Noetic-Tabletext"/>
            </w:pPr>
            <w:r w:rsidRPr="00A42491">
              <w:t>Director, Upstream External Affairs</w:t>
            </w:r>
          </w:p>
        </w:tc>
        <w:tc>
          <w:tcPr>
            <w:tcW w:w="4321" w:type="dxa"/>
          </w:tcPr>
          <w:p w:rsidR="00253CC3" w:rsidRPr="00A42491" w:rsidRDefault="00253CC3" w:rsidP="00F72898">
            <w:pPr>
              <w:pStyle w:val="Noetic-Tabletext"/>
            </w:pPr>
            <w:r w:rsidRPr="00A42491">
              <w:t>BP Developments Australia</w:t>
            </w:r>
          </w:p>
        </w:tc>
      </w:tr>
      <w:tr w:rsidR="00253CC3" w:rsidRPr="002C3B0F" w:rsidTr="00253CC3">
        <w:trPr>
          <w:cnfStyle w:val="000000100000" w:firstRow="0" w:lastRow="0" w:firstColumn="0" w:lastColumn="0" w:oddVBand="0" w:evenVBand="0" w:oddHBand="1" w:evenHBand="0" w:firstRowFirstColumn="0" w:firstRowLastColumn="0" w:lastRowFirstColumn="0" w:lastRowLastColumn="0"/>
        </w:trPr>
        <w:tc>
          <w:tcPr>
            <w:tcW w:w="4321" w:type="dxa"/>
          </w:tcPr>
          <w:p w:rsidR="00253CC3" w:rsidRPr="00A42491" w:rsidRDefault="00253CC3" w:rsidP="00F72898">
            <w:pPr>
              <w:pStyle w:val="Noetic-Tabletext"/>
            </w:pPr>
            <w:r w:rsidRPr="00A42491">
              <w:t>General Manager</w:t>
            </w:r>
          </w:p>
        </w:tc>
        <w:tc>
          <w:tcPr>
            <w:tcW w:w="4321" w:type="dxa"/>
          </w:tcPr>
          <w:p w:rsidR="00253CC3" w:rsidRPr="00A42491" w:rsidRDefault="00253CC3" w:rsidP="00F72898">
            <w:pPr>
              <w:pStyle w:val="Noetic-Tabletext"/>
            </w:pPr>
            <w:r w:rsidRPr="00A42491">
              <w:t>Searcher Seismic</w:t>
            </w:r>
          </w:p>
        </w:tc>
      </w:tr>
      <w:tr w:rsidR="00253CC3" w:rsidRPr="002C3B0F" w:rsidTr="00253CC3">
        <w:trPr>
          <w:cnfStyle w:val="000000010000" w:firstRow="0" w:lastRow="0" w:firstColumn="0" w:lastColumn="0" w:oddVBand="0" w:evenVBand="0" w:oddHBand="0" w:evenHBand="1" w:firstRowFirstColumn="0" w:firstRowLastColumn="0" w:lastRowFirstColumn="0" w:lastRowLastColumn="0"/>
        </w:trPr>
        <w:tc>
          <w:tcPr>
            <w:tcW w:w="4321" w:type="dxa"/>
          </w:tcPr>
          <w:p w:rsidR="00253CC3" w:rsidRPr="00A42491" w:rsidRDefault="00253CC3" w:rsidP="00F72898">
            <w:pPr>
              <w:pStyle w:val="Noetic-Tabletext"/>
            </w:pPr>
            <w:r w:rsidRPr="00A42491">
              <w:t>Titles Coordinator</w:t>
            </w:r>
          </w:p>
        </w:tc>
        <w:tc>
          <w:tcPr>
            <w:tcW w:w="4321" w:type="dxa"/>
          </w:tcPr>
          <w:p w:rsidR="00253CC3" w:rsidRPr="00A42491" w:rsidRDefault="00253CC3" w:rsidP="00F72898">
            <w:pPr>
              <w:pStyle w:val="Noetic-Tabletext"/>
            </w:pPr>
            <w:r w:rsidRPr="00A42491">
              <w:t>Chevron</w:t>
            </w:r>
          </w:p>
        </w:tc>
      </w:tr>
      <w:tr w:rsidR="00253CC3" w:rsidRPr="002C3B0F" w:rsidTr="00253CC3">
        <w:trPr>
          <w:cnfStyle w:val="000000100000" w:firstRow="0" w:lastRow="0" w:firstColumn="0" w:lastColumn="0" w:oddVBand="0" w:evenVBand="0" w:oddHBand="1" w:evenHBand="0" w:firstRowFirstColumn="0" w:firstRowLastColumn="0" w:lastRowFirstColumn="0" w:lastRowLastColumn="0"/>
        </w:trPr>
        <w:tc>
          <w:tcPr>
            <w:tcW w:w="4321" w:type="dxa"/>
          </w:tcPr>
          <w:p w:rsidR="00253CC3" w:rsidRPr="00A42491" w:rsidRDefault="00253CC3" w:rsidP="00F72898">
            <w:pPr>
              <w:pStyle w:val="Noetic-Tabletext"/>
            </w:pPr>
            <w:r w:rsidRPr="00A42491">
              <w:t>Business Development &amp; Commercial Manager</w:t>
            </w:r>
          </w:p>
        </w:tc>
        <w:tc>
          <w:tcPr>
            <w:tcW w:w="4321" w:type="dxa"/>
          </w:tcPr>
          <w:p w:rsidR="00253CC3" w:rsidRPr="00A42491" w:rsidRDefault="00253CC3" w:rsidP="00F72898">
            <w:pPr>
              <w:pStyle w:val="Noetic-Tabletext"/>
            </w:pPr>
            <w:r w:rsidRPr="00A42491">
              <w:t>Chevron</w:t>
            </w:r>
          </w:p>
        </w:tc>
      </w:tr>
      <w:tr w:rsidR="00253CC3" w:rsidRPr="002C3B0F" w:rsidTr="00253CC3">
        <w:trPr>
          <w:cnfStyle w:val="000000010000" w:firstRow="0" w:lastRow="0" w:firstColumn="0" w:lastColumn="0" w:oddVBand="0" w:evenVBand="0" w:oddHBand="0" w:evenHBand="1" w:firstRowFirstColumn="0" w:firstRowLastColumn="0" w:lastRowFirstColumn="0" w:lastRowLastColumn="0"/>
        </w:trPr>
        <w:tc>
          <w:tcPr>
            <w:tcW w:w="4321" w:type="dxa"/>
          </w:tcPr>
          <w:p w:rsidR="00253CC3" w:rsidRPr="00A42491" w:rsidRDefault="00253CC3" w:rsidP="00F72898">
            <w:pPr>
              <w:pStyle w:val="Noetic-Tabletext"/>
            </w:pPr>
            <w:r w:rsidRPr="00A42491">
              <w:t>Manager, Business Development</w:t>
            </w:r>
          </w:p>
        </w:tc>
        <w:tc>
          <w:tcPr>
            <w:tcW w:w="4321" w:type="dxa"/>
          </w:tcPr>
          <w:p w:rsidR="00253CC3" w:rsidRPr="00A42491" w:rsidRDefault="00253CC3" w:rsidP="00F72898">
            <w:pPr>
              <w:pStyle w:val="Noetic-Tabletext"/>
            </w:pPr>
            <w:r w:rsidRPr="00A42491">
              <w:t>Finder Exploration</w:t>
            </w:r>
          </w:p>
        </w:tc>
      </w:tr>
      <w:tr w:rsidR="00253CC3" w:rsidRPr="002C3B0F" w:rsidTr="00253CC3">
        <w:trPr>
          <w:cnfStyle w:val="000000100000" w:firstRow="0" w:lastRow="0" w:firstColumn="0" w:lastColumn="0" w:oddVBand="0" w:evenVBand="0" w:oddHBand="1" w:evenHBand="0" w:firstRowFirstColumn="0" w:firstRowLastColumn="0" w:lastRowFirstColumn="0" w:lastRowLastColumn="0"/>
        </w:trPr>
        <w:tc>
          <w:tcPr>
            <w:tcW w:w="4321" w:type="dxa"/>
          </w:tcPr>
          <w:p w:rsidR="00253CC3" w:rsidRPr="00A42491" w:rsidRDefault="00253CC3" w:rsidP="00F72898">
            <w:pPr>
              <w:pStyle w:val="Noetic-Tabletext"/>
            </w:pPr>
            <w:r w:rsidRPr="00A42491">
              <w:t>Director</w:t>
            </w:r>
          </w:p>
        </w:tc>
        <w:tc>
          <w:tcPr>
            <w:tcW w:w="4321" w:type="dxa"/>
          </w:tcPr>
          <w:p w:rsidR="00253CC3" w:rsidRPr="00A42491" w:rsidRDefault="00253CC3" w:rsidP="00F72898">
            <w:pPr>
              <w:pStyle w:val="Noetic-Tabletext"/>
            </w:pPr>
            <w:r w:rsidRPr="00A42491">
              <w:t>Exploration Data Services</w:t>
            </w:r>
          </w:p>
        </w:tc>
      </w:tr>
      <w:tr w:rsidR="00253CC3" w:rsidRPr="002C3B0F" w:rsidTr="00253CC3">
        <w:trPr>
          <w:cnfStyle w:val="000000010000" w:firstRow="0" w:lastRow="0" w:firstColumn="0" w:lastColumn="0" w:oddVBand="0" w:evenVBand="0" w:oddHBand="0" w:evenHBand="1" w:firstRowFirstColumn="0" w:firstRowLastColumn="0" w:lastRowFirstColumn="0" w:lastRowLastColumn="0"/>
        </w:trPr>
        <w:tc>
          <w:tcPr>
            <w:tcW w:w="4321" w:type="dxa"/>
          </w:tcPr>
          <w:p w:rsidR="00253CC3" w:rsidRPr="00A42491" w:rsidRDefault="00253CC3" w:rsidP="00F72898">
            <w:pPr>
              <w:pStyle w:val="Noetic-Tabletext"/>
            </w:pPr>
            <w:r w:rsidRPr="00A42491">
              <w:t>Exploration Manager</w:t>
            </w:r>
          </w:p>
        </w:tc>
        <w:tc>
          <w:tcPr>
            <w:tcW w:w="4321" w:type="dxa"/>
          </w:tcPr>
          <w:p w:rsidR="00253CC3" w:rsidRPr="00A42491" w:rsidRDefault="00253CC3" w:rsidP="00F72898">
            <w:pPr>
              <w:pStyle w:val="Noetic-Tabletext"/>
            </w:pPr>
            <w:r w:rsidRPr="00A42491">
              <w:t>AWE</w:t>
            </w:r>
          </w:p>
        </w:tc>
      </w:tr>
      <w:tr w:rsidR="00253CC3" w:rsidRPr="002C3B0F" w:rsidTr="00253CC3">
        <w:trPr>
          <w:cnfStyle w:val="000000100000" w:firstRow="0" w:lastRow="0" w:firstColumn="0" w:lastColumn="0" w:oddVBand="0" w:evenVBand="0" w:oddHBand="1" w:evenHBand="0" w:firstRowFirstColumn="0" w:firstRowLastColumn="0" w:lastRowFirstColumn="0" w:lastRowLastColumn="0"/>
        </w:trPr>
        <w:tc>
          <w:tcPr>
            <w:tcW w:w="4321" w:type="dxa"/>
          </w:tcPr>
          <w:p w:rsidR="00253CC3" w:rsidRPr="00A42491" w:rsidRDefault="00253CC3" w:rsidP="00F72898">
            <w:pPr>
              <w:pStyle w:val="Noetic-Tabletext"/>
            </w:pPr>
            <w:r w:rsidRPr="00A42491">
              <w:t>Government Relations and Issues Adviser</w:t>
            </w:r>
          </w:p>
        </w:tc>
        <w:tc>
          <w:tcPr>
            <w:tcW w:w="4321" w:type="dxa"/>
          </w:tcPr>
          <w:p w:rsidR="00253CC3" w:rsidRPr="00A42491" w:rsidRDefault="00253CC3" w:rsidP="00F72898">
            <w:pPr>
              <w:pStyle w:val="Noetic-Tabletext"/>
            </w:pPr>
            <w:r w:rsidRPr="00A42491">
              <w:t>ExxonMobil</w:t>
            </w:r>
          </w:p>
        </w:tc>
      </w:tr>
      <w:tr w:rsidR="00253CC3" w:rsidRPr="002C3B0F" w:rsidTr="00253CC3">
        <w:trPr>
          <w:cnfStyle w:val="000000010000" w:firstRow="0" w:lastRow="0" w:firstColumn="0" w:lastColumn="0" w:oddVBand="0" w:evenVBand="0" w:oddHBand="0" w:evenHBand="1" w:firstRowFirstColumn="0" w:firstRowLastColumn="0" w:lastRowFirstColumn="0" w:lastRowLastColumn="0"/>
        </w:trPr>
        <w:tc>
          <w:tcPr>
            <w:tcW w:w="4321" w:type="dxa"/>
          </w:tcPr>
          <w:p w:rsidR="00253CC3" w:rsidRPr="00A42491" w:rsidRDefault="00253CC3" w:rsidP="00F72898">
            <w:pPr>
              <w:pStyle w:val="Noetic-Tabletext"/>
            </w:pPr>
            <w:r w:rsidRPr="00A42491">
              <w:t>Senior Commercial Advisor</w:t>
            </w:r>
          </w:p>
        </w:tc>
        <w:tc>
          <w:tcPr>
            <w:tcW w:w="4321" w:type="dxa"/>
          </w:tcPr>
          <w:p w:rsidR="00253CC3" w:rsidRPr="00A42491" w:rsidRDefault="00253CC3" w:rsidP="00F72898">
            <w:pPr>
              <w:pStyle w:val="Noetic-Tabletext"/>
            </w:pPr>
            <w:r w:rsidRPr="00A42491">
              <w:t>ExxonMobil</w:t>
            </w:r>
          </w:p>
        </w:tc>
      </w:tr>
    </w:tbl>
    <w:p w:rsidR="00A757A8" w:rsidRPr="002C3B0F" w:rsidRDefault="00A757A8" w:rsidP="00A757A8">
      <w:pPr>
        <w:pStyle w:val="Heading1"/>
        <w:sectPr w:rsidR="00A757A8" w:rsidRPr="002C3B0F" w:rsidSect="00065B08">
          <w:headerReference w:type="even" r:id="rId44"/>
          <w:headerReference w:type="default" r:id="rId45"/>
          <w:footerReference w:type="default" r:id="rId46"/>
          <w:headerReference w:type="first" r:id="rId47"/>
          <w:pgSz w:w="9979" w:h="14175" w:code="9"/>
          <w:pgMar w:top="1412" w:right="476" w:bottom="720" w:left="476" w:header="567" w:footer="567" w:gutter="0"/>
          <w:pgNumType w:start="1" w:chapStyle="6"/>
          <w:cols w:space="708"/>
          <w:docGrid w:linePitch="360"/>
        </w:sectPr>
      </w:pPr>
    </w:p>
    <w:bookmarkEnd w:id="129"/>
    <w:p w:rsidR="00A757A8" w:rsidRPr="004A19DF" w:rsidRDefault="003C4B72" w:rsidP="005F2B15">
      <w:pPr>
        <w:pStyle w:val="Heading6"/>
      </w:pPr>
      <w:r>
        <w:lastRenderedPageBreak/>
        <w:t xml:space="preserve"> </w:t>
      </w:r>
      <w:r w:rsidR="004A19DF">
        <w:br/>
      </w:r>
      <w:bookmarkStart w:id="131" w:name="_Toc423426800"/>
      <w:r w:rsidR="004A19DF">
        <w:t>Documents Reviewed</w:t>
      </w:r>
      <w:bookmarkEnd w:id="131"/>
    </w:p>
    <w:tbl>
      <w:tblPr>
        <w:tblStyle w:val="TableGrid"/>
        <w:tblW w:w="0" w:type="auto"/>
        <w:tblLook w:val="04A0" w:firstRow="1" w:lastRow="0" w:firstColumn="1" w:lastColumn="0" w:noHBand="0" w:noVBand="1"/>
      </w:tblPr>
      <w:tblGrid>
        <w:gridCol w:w="8618"/>
      </w:tblGrid>
      <w:tr w:rsidR="008A0DEE" w:rsidRPr="004A19DF" w:rsidTr="00A42491">
        <w:trPr>
          <w:cnfStyle w:val="100000000000" w:firstRow="1" w:lastRow="0" w:firstColumn="0" w:lastColumn="0" w:oddVBand="0" w:evenVBand="0" w:oddHBand="0" w:evenHBand="0" w:firstRowFirstColumn="0" w:firstRowLastColumn="0" w:lastRowFirstColumn="0" w:lastRowLastColumn="0"/>
          <w:tblHeader/>
        </w:trPr>
        <w:tc>
          <w:tcPr>
            <w:tcW w:w="8618" w:type="dxa"/>
          </w:tcPr>
          <w:bookmarkEnd w:id="130"/>
          <w:p w:rsidR="008A0DEE" w:rsidRPr="004A19DF" w:rsidRDefault="008A0DEE" w:rsidP="00EB1A2F">
            <w:pPr>
              <w:pStyle w:val="BodyText"/>
              <w:spacing w:after="120"/>
            </w:pPr>
            <w:r w:rsidRPr="004A19DF">
              <w:t>Document Title</w:t>
            </w:r>
          </w:p>
        </w:tc>
      </w:tr>
      <w:tr w:rsidR="008A0DEE" w:rsidRPr="002C3B0F" w:rsidTr="00482CD9">
        <w:trPr>
          <w:cnfStyle w:val="000000100000" w:firstRow="0" w:lastRow="0" w:firstColumn="0" w:lastColumn="0" w:oddVBand="0" w:evenVBand="0" w:oddHBand="1" w:evenHBand="0" w:firstRowFirstColumn="0" w:firstRowLastColumn="0" w:lastRowFirstColumn="0" w:lastRowLastColumn="0"/>
        </w:trPr>
        <w:tc>
          <w:tcPr>
            <w:tcW w:w="8618" w:type="dxa"/>
          </w:tcPr>
          <w:p w:rsidR="008A0DEE" w:rsidRPr="002C3B0F" w:rsidRDefault="008A0DEE" w:rsidP="00EB1A2F">
            <w:pPr>
              <w:pStyle w:val="BodyText"/>
              <w:spacing w:after="120"/>
            </w:pPr>
            <w:r w:rsidRPr="002C3B0F">
              <w:t>Operating Protocols for Offshore Petroleum Joint Authority</w:t>
            </w:r>
          </w:p>
        </w:tc>
      </w:tr>
      <w:tr w:rsidR="008A0DEE" w:rsidRPr="002C3B0F" w:rsidTr="00482CD9">
        <w:trPr>
          <w:cnfStyle w:val="000000010000" w:firstRow="0" w:lastRow="0" w:firstColumn="0" w:lastColumn="0" w:oddVBand="0" w:evenVBand="0" w:oddHBand="0" w:evenHBand="1" w:firstRowFirstColumn="0" w:firstRowLastColumn="0" w:lastRowFirstColumn="0" w:lastRowLastColumn="0"/>
        </w:trPr>
        <w:tc>
          <w:tcPr>
            <w:tcW w:w="8618" w:type="dxa"/>
          </w:tcPr>
          <w:p w:rsidR="008A0DEE" w:rsidRPr="002C3B0F" w:rsidRDefault="008A0DEE" w:rsidP="00EB1A2F">
            <w:pPr>
              <w:pStyle w:val="BodyText"/>
              <w:spacing w:after="120"/>
            </w:pPr>
            <w:r w:rsidRPr="002C3B0F">
              <w:t>Rejected Application Statistics</w:t>
            </w:r>
          </w:p>
        </w:tc>
      </w:tr>
      <w:tr w:rsidR="008A0DEE" w:rsidRPr="002C3B0F" w:rsidTr="00482CD9">
        <w:trPr>
          <w:cnfStyle w:val="000000100000" w:firstRow="0" w:lastRow="0" w:firstColumn="0" w:lastColumn="0" w:oddVBand="0" w:evenVBand="0" w:oddHBand="1" w:evenHBand="0" w:firstRowFirstColumn="0" w:firstRowLastColumn="0" w:lastRowFirstColumn="0" w:lastRowLastColumn="0"/>
        </w:trPr>
        <w:tc>
          <w:tcPr>
            <w:tcW w:w="8618" w:type="dxa"/>
          </w:tcPr>
          <w:p w:rsidR="008A0DEE" w:rsidRPr="002C3B0F" w:rsidRDefault="008A0DEE" w:rsidP="00EB1A2F">
            <w:pPr>
              <w:pStyle w:val="BodyText"/>
              <w:spacing w:after="120"/>
            </w:pPr>
            <w:r w:rsidRPr="002C3B0F">
              <w:t>Checklist: Suspensions, Suspensions with Extensions, and Variations and Extensions</w:t>
            </w:r>
          </w:p>
        </w:tc>
      </w:tr>
      <w:tr w:rsidR="008A0DEE" w:rsidRPr="002C3B0F" w:rsidTr="00482CD9">
        <w:trPr>
          <w:cnfStyle w:val="000000010000" w:firstRow="0" w:lastRow="0" w:firstColumn="0" w:lastColumn="0" w:oddVBand="0" w:evenVBand="0" w:oddHBand="0" w:evenHBand="1" w:firstRowFirstColumn="0" w:firstRowLastColumn="0" w:lastRowFirstColumn="0" w:lastRowLastColumn="0"/>
        </w:trPr>
        <w:tc>
          <w:tcPr>
            <w:tcW w:w="8618" w:type="dxa"/>
          </w:tcPr>
          <w:p w:rsidR="008A0DEE" w:rsidRPr="002C3B0F" w:rsidRDefault="00D772E3" w:rsidP="00EB1A2F">
            <w:pPr>
              <w:pStyle w:val="BodyText"/>
              <w:spacing w:after="120"/>
            </w:pPr>
            <w:r w:rsidRPr="002C3B0F">
              <w:t>PowerPoint</w:t>
            </w:r>
            <w:r w:rsidR="008A0DEE" w:rsidRPr="002C3B0F">
              <w:t xml:space="preserve"> Presentation- Lessons Learnt, Comparison between USA, Norway and UK Models</w:t>
            </w:r>
          </w:p>
        </w:tc>
      </w:tr>
      <w:tr w:rsidR="008A0DEE" w:rsidRPr="002C3B0F" w:rsidTr="00482CD9">
        <w:trPr>
          <w:cnfStyle w:val="000000100000" w:firstRow="0" w:lastRow="0" w:firstColumn="0" w:lastColumn="0" w:oddVBand="0" w:evenVBand="0" w:oddHBand="1" w:evenHBand="0" w:firstRowFirstColumn="0" w:firstRowLastColumn="0" w:lastRowFirstColumn="0" w:lastRowLastColumn="0"/>
        </w:trPr>
        <w:tc>
          <w:tcPr>
            <w:tcW w:w="8618" w:type="dxa"/>
          </w:tcPr>
          <w:p w:rsidR="008A0DEE" w:rsidRPr="002C3B0F" w:rsidRDefault="008A0DEE" w:rsidP="00EB1A2F">
            <w:pPr>
              <w:pStyle w:val="BodyText"/>
              <w:spacing w:after="120"/>
            </w:pPr>
            <w:r w:rsidRPr="002C3B0F">
              <w:t>Lecture on Risk Control- Nov 2014</w:t>
            </w:r>
          </w:p>
        </w:tc>
      </w:tr>
      <w:tr w:rsidR="008A0DEE" w:rsidRPr="002C3B0F" w:rsidTr="00482CD9">
        <w:trPr>
          <w:cnfStyle w:val="000000010000" w:firstRow="0" w:lastRow="0" w:firstColumn="0" w:lastColumn="0" w:oddVBand="0" w:evenVBand="0" w:oddHBand="0" w:evenHBand="1" w:firstRowFirstColumn="0" w:firstRowLastColumn="0" w:lastRowFirstColumn="0" w:lastRowLastColumn="0"/>
        </w:trPr>
        <w:tc>
          <w:tcPr>
            <w:tcW w:w="8618" w:type="dxa"/>
          </w:tcPr>
          <w:p w:rsidR="008A0DEE" w:rsidRPr="002C3B0F" w:rsidRDefault="008A0DEE" w:rsidP="00EB1A2F">
            <w:pPr>
              <w:pStyle w:val="BodyText"/>
              <w:spacing w:after="120"/>
            </w:pPr>
            <w:r w:rsidRPr="002C3B0F">
              <w:t>Report on the 6</w:t>
            </w:r>
            <w:r w:rsidRPr="002C3B0F">
              <w:rPr>
                <w:vertAlign w:val="superscript"/>
              </w:rPr>
              <w:t>th</w:t>
            </w:r>
            <w:r w:rsidRPr="002C3B0F">
              <w:t xml:space="preserve"> International Upstream Forum</w:t>
            </w:r>
          </w:p>
        </w:tc>
      </w:tr>
      <w:tr w:rsidR="008A0DEE" w:rsidRPr="002C3B0F" w:rsidTr="00482CD9">
        <w:trPr>
          <w:cnfStyle w:val="000000100000" w:firstRow="0" w:lastRow="0" w:firstColumn="0" w:lastColumn="0" w:oddVBand="0" w:evenVBand="0" w:oddHBand="1" w:evenHBand="0" w:firstRowFirstColumn="0" w:firstRowLastColumn="0" w:lastRowFirstColumn="0" w:lastRowLastColumn="0"/>
        </w:trPr>
        <w:tc>
          <w:tcPr>
            <w:tcW w:w="8618" w:type="dxa"/>
          </w:tcPr>
          <w:p w:rsidR="008A0DEE" w:rsidRPr="002C3B0F" w:rsidRDefault="008A0DEE" w:rsidP="00EB1A2F">
            <w:pPr>
              <w:pStyle w:val="BodyText"/>
              <w:spacing w:after="120"/>
            </w:pPr>
            <w:r w:rsidRPr="002C3B0F">
              <w:t>NOPTA Fees and Levies- Total Revenue Collected</w:t>
            </w:r>
          </w:p>
        </w:tc>
      </w:tr>
      <w:tr w:rsidR="008A0DEE" w:rsidRPr="002C3B0F" w:rsidTr="00482CD9">
        <w:trPr>
          <w:cnfStyle w:val="000000010000" w:firstRow="0" w:lastRow="0" w:firstColumn="0" w:lastColumn="0" w:oddVBand="0" w:evenVBand="0" w:oddHBand="0" w:evenHBand="1" w:firstRowFirstColumn="0" w:firstRowLastColumn="0" w:lastRowFirstColumn="0" w:lastRowLastColumn="0"/>
        </w:trPr>
        <w:tc>
          <w:tcPr>
            <w:tcW w:w="8618" w:type="dxa"/>
          </w:tcPr>
          <w:p w:rsidR="008A0DEE" w:rsidRPr="002C3B0F" w:rsidRDefault="008A0DEE" w:rsidP="00EB1A2F">
            <w:pPr>
              <w:pStyle w:val="BodyText"/>
              <w:spacing w:after="120"/>
            </w:pPr>
            <w:r w:rsidRPr="002C3B0F">
              <w:t>File Audit Checklist- Surrender of Titles</w:t>
            </w:r>
          </w:p>
        </w:tc>
      </w:tr>
      <w:tr w:rsidR="008A0DEE" w:rsidRPr="002C3B0F" w:rsidTr="00482CD9">
        <w:trPr>
          <w:cnfStyle w:val="000000100000" w:firstRow="0" w:lastRow="0" w:firstColumn="0" w:lastColumn="0" w:oddVBand="0" w:evenVBand="0" w:oddHBand="1" w:evenHBand="0" w:firstRowFirstColumn="0" w:firstRowLastColumn="0" w:lastRowFirstColumn="0" w:lastRowLastColumn="0"/>
        </w:trPr>
        <w:tc>
          <w:tcPr>
            <w:tcW w:w="8618" w:type="dxa"/>
          </w:tcPr>
          <w:p w:rsidR="008A0DEE" w:rsidRPr="002C3B0F" w:rsidRDefault="008A0DEE" w:rsidP="00EB1A2F">
            <w:pPr>
              <w:pStyle w:val="BodyText"/>
              <w:spacing w:after="120"/>
            </w:pPr>
            <w:r w:rsidRPr="002C3B0F">
              <w:t>File Audit Checklist- Renewals</w:t>
            </w:r>
          </w:p>
        </w:tc>
      </w:tr>
      <w:tr w:rsidR="008A0DEE" w:rsidRPr="002C3B0F" w:rsidTr="00482CD9">
        <w:trPr>
          <w:cnfStyle w:val="000000010000" w:firstRow="0" w:lastRow="0" w:firstColumn="0" w:lastColumn="0" w:oddVBand="0" w:evenVBand="0" w:oddHBand="0" w:evenHBand="1" w:firstRowFirstColumn="0" w:firstRowLastColumn="0" w:lastRowFirstColumn="0" w:lastRowLastColumn="0"/>
        </w:trPr>
        <w:tc>
          <w:tcPr>
            <w:tcW w:w="8618" w:type="dxa"/>
          </w:tcPr>
          <w:p w:rsidR="008A0DEE" w:rsidRPr="002C3B0F" w:rsidRDefault="008A0DEE" w:rsidP="00EB1A2F">
            <w:pPr>
              <w:pStyle w:val="BodyText"/>
              <w:spacing w:after="120"/>
            </w:pPr>
            <w:r w:rsidRPr="002C3B0F">
              <w:t>National Collaboration Framework: Project Agreement</w:t>
            </w:r>
          </w:p>
        </w:tc>
      </w:tr>
      <w:tr w:rsidR="008A0DEE" w:rsidRPr="002C3B0F" w:rsidTr="00482CD9">
        <w:trPr>
          <w:cnfStyle w:val="000000100000" w:firstRow="0" w:lastRow="0" w:firstColumn="0" w:lastColumn="0" w:oddVBand="0" w:evenVBand="0" w:oddHBand="1" w:evenHBand="0" w:firstRowFirstColumn="0" w:firstRowLastColumn="0" w:lastRowFirstColumn="0" w:lastRowLastColumn="0"/>
        </w:trPr>
        <w:tc>
          <w:tcPr>
            <w:tcW w:w="8618" w:type="dxa"/>
          </w:tcPr>
          <w:p w:rsidR="008A0DEE" w:rsidRPr="002C3B0F" w:rsidRDefault="008A0DEE" w:rsidP="00EB1A2F">
            <w:pPr>
              <w:pStyle w:val="BodyText"/>
              <w:spacing w:after="120"/>
            </w:pPr>
            <w:r w:rsidRPr="002C3B0F">
              <w:t>NOPTA Dashboard- April 2015</w:t>
            </w:r>
          </w:p>
        </w:tc>
      </w:tr>
      <w:tr w:rsidR="008A0DEE" w:rsidRPr="002C3B0F" w:rsidTr="00482CD9">
        <w:trPr>
          <w:cnfStyle w:val="000000010000" w:firstRow="0" w:lastRow="0" w:firstColumn="0" w:lastColumn="0" w:oddVBand="0" w:evenVBand="0" w:oddHBand="0" w:evenHBand="1" w:firstRowFirstColumn="0" w:firstRowLastColumn="0" w:lastRowFirstColumn="0" w:lastRowLastColumn="0"/>
        </w:trPr>
        <w:tc>
          <w:tcPr>
            <w:tcW w:w="8618" w:type="dxa"/>
          </w:tcPr>
          <w:p w:rsidR="008A0DEE" w:rsidRPr="002C3B0F" w:rsidRDefault="008A0DEE" w:rsidP="00EB1A2F">
            <w:pPr>
              <w:pStyle w:val="BodyText"/>
              <w:spacing w:after="120"/>
            </w:pPr>
            <w:r w:rsidRPr="002C3B0F">
              <w:t>Checklist: Surrender of Titles</w:t>
            </w:r>
          </w:p>
        </w:tc>
      </w:tr>
      <w:tr w:rsidR="008A0DEE" w:rsidRPr="002C3B0F" w:rsidTr="00482CD9">
        <w:trPr>
          <w:cnfStyle w:val="000000100000" w:firstRow="0" w:lastRow="0" w:firstColumn="0" w:lastColumn="0" w:oddVBand="0" w:evenVBand="0" w:oddHBand="1" w:evenHBand="0" w:firstRowFirstColumn="0" w:firstRowLastColumn="0" w:lastRowFirstColumn="0" w:lastRowLastColumn="0"/>
        </w:trPr>
        <w:tc>
          <w:tcPr>
            <w:tcW w:w="8618" w:type="dxa"/>
          </w:tcPr>
          <w:p w:rsidR="008A0DEE" w:rsidRPr="002C3B0F" w:rsidRDefault="008A0DEE" w:rsidP="00EB1A2F">
            <w:pPr>
              <w:pStyle w:val="BodyText"/>
              <w:spacing w:after="120"/>
            </w:pPr>
            <w:r w:rsidRPr="002C3B0F">
              <w:t>2015 Corporate Plan- Finance Chart</w:t>
            </w:r>
          </w:p>
        </w:tc>
      </w:tr>
      <w:tr w:rsidR="008A0DEE" w:rsidRPr="002C3B0F" w:rsidTr="00482CD9">
        <w:trPr>
          <w:cnfStyle w:val="000000010000" w:firstRow="0" w:lastRow="0" w:firstColumn="0" w:lastColumn="0" w:oddVBand="0" w:evenVBand="0" w:oddHBand="0" w:evenHBand="1" w:firstRowFirstColumn="0" w:firstRowLastColumn="0" w:lastRowFirstColumn="0" w:lastRowLastColumn="0"/>
        </w:trPr>
        <w:tc>
          <w:tcPr>
            <w:tcW w:w="8618" w:type="dxa"/>
          </w:tcPr>
          <w:p w:rsidR="008A0DEE" w:rsidRPr="002C3B0F" w:rsidRDefault="008A0DEE" w:rsidP="00EB1A2F">
            <w:pPr>
              <w:pStyle w:val="BodyText"/>
              <w:spacing w:after="120"/>
            </w:pPr>
            <w:r w:rsidRPr="002C3B0F">
              <w:t>Checklist- Renewal of Petroleum Permits- Administration and Assessment</w:t>
            </w:r>
          </w:p>
        </w:tc>
      </w:tr>
      <w:tr w:rsidR="008A0DEE" w:rsidRPr="002C3B0F" w:rsidTr="00482CD9">
        <w:trPr>
          <w:cnfStyle w:val="000000100000" w:firstRow="0" w:lastRow="0" w:firstColumn="0" w:lastColumn="0" w:oddVBand="0" w:evenVBand="0" w:oddHBand="1" w:evenHBand="0" w:firstRowFirstColumn="0" w:firstRowLastColumn="0" w:lastRowFirstColumn="0" w:lastRowLastColumn="0"/>
        </w:trPr>
        <w:tc>
          <w:tcPr>
            <w:tcW w:w="8618" w:type="dxa"/>
          </w:tcPr>
          <w:p w:rsidR="008A0DEE" w:rsidRPr="002C3B0F" w:rsidRDefault="008A0DEE" w:rsidP="00EB1A2F">
            <w:pPr>
              <w:pStyle w:val="BodyText"/>
              <w:spacing w:after="120"/>
            </w:pPr>
            <w:r w:rsidRPr="002C3B0F">
              <w:t>Checklist- Renewal of Petroleum Exploration Permits- JA Decision</w:t>
            </w:r>
          </w:p>
        </w:tc>
      </w:tr>
      <w:tr w:rsidR="008A0DEE" w:rsidRPr="002C3B0F" w:rsidTr="00482CD9">
        <w:trPr>
          <w:cnfStyle w:val="000000010000" w:firstRow="0" w:lastRow="0" w:firstColumn="0" w:lastColumn="0" w:oddVBand="0" w:evenVBand="0" w:oddHBand="0" w:evenHBand="1" w:firstRowFirstColumn="0" w:firstRowLastColumn="0" w:lastRowFirstColumn="0" w:lastRowLastColumn="0"/>
        </w:trPr>
        <w:tc>
          <w:tcPr>
            <w:tcW w:w="8618" w:type="dxa"/>
          </w:tcPr>
          <w:p w:rsidR="008A0DEE" w:rsidRPr="002C3B0F" w:rsidRDefault="008A0DEE" w:rsidP="00EB1A2F">
            <w:pPr>
              <w:pStyle w:val="BodyText"/>
              <w:spacing w:after="120"/>
            </w:pPr>
            <w:r w:rsidRPr="002C3B0F">
              <w:t>Staffing Levels Table</w:t>
            </w:r>
          </w:p>
        </w:tc>
      </w:tr>
      <w:tr w:rsidR="008A0DEE" w:rsidRPr="002C3B0F" w:rsidTr="00482CD9">
        <w:trPr>
          <w:cnfStyle w:val="000000100000" w:firstRow="0" w:lastRow="0" w:firstColumn="0" w:lastColumn="0" w:oddVBand="0" w:evenVBand="0" w:oddHBand="1" w:evenHBand="0" w:firstRowFirstColumn="0" w:firstRowLastColumn="0" w:lastRowFirstColumn="0" w:lastRowLastColumn="0"/>
        </w:trPr>
        <w:tc>
          <w:tcPr>
            <w:tcW w:w="8618" w:type="dxa"/>
          </w:tcPr>
          <w:p w:rsidR="008A0DEE" w:rsidRPr="002C3B0F" w:rsidRDefault="008A0DEE" w:rsidP="00EB1A2F">
            <w:pPr>
              <w:pStyle w:val="BodyText"/>
              <w:spacing w:after="120"/>
            </w:pPr>
            <w:r w:rsidRPr="002C3B0F">
              <w:t>2015 NOPTA Work Plan Report</w:t>
            </w:r>
          </w:p>
        </w:tc>
      </w:tr>
      <w:tr w:rsidR="008A0DEE" w:rsidRPr="002C3B0F" w:rsidTr="00482CD9">
        <w:trPr>
          <w:cnfStyle w:val="000000010000" w:firstRow="0" w:lastRow="0" w:firstColumn="0" w:lastColumn="0" w:oddVBand="0" w:evenVBand="0" w:oddHBand="0" w:evenHBand="1" w:firstRowFirstColumn="0" w:firstRowLastColumn="0" w:lastRowFirstColumn="0" w:lastRowLastColumn="0"/>
        </w:trPr>
        <w:tc>
          <w:tcPr>
            <w:tcW w:w="8618" w:type="dxa"/>
          </w:tcPr>
          <w:p w:rsidR="008A0DEE" w:rsidRPr="002C3B0F" w:rsidRDefault="008A0DEE" w:rsidP="00EB1A2F">
            <w:pPr>
              <w:pStyle w:val="BodyText"/>
              <w:spacing w:after="120"/>
            </w:pPr>
            <w:r w:rsidRPr="002C3B0F">
              <w:t>NOPTA Dashboard- Mar 2015</w:t>
            </w:r>
          </w:p>
        </w:tc>
      </w:tr>
      <w:tr w:rsidR="008A0DEE" w:rsidRPr="002C3B0F" w:rsidTr="00482CD9">
        <w:trPr>
          <w:cnfStyle w:val="000000100000" w:firstRow="0" w:lastRow="0" w:firstColumn="0" w:lastColumn="0" w:oddVBand="0" w:evenVBand="0" w:oddHBand="1" w:evenHBand="0" w:firstRowFirstColumn="0" w:firstRowLastColumn="0" w:lastRowFirstColumn="0" w:lastRowLastColumn="0"/>
        </w:trPr>
        <w:tc>
          <w:tcPr>
            <w:tcW w:w="8618" w:type="dxa"/>
          </w:tcPr>
          <w:p w:rsidR="008A0DEE" w:rsidRPr="002C3B0F" w:rsidRDefault="008A0DEE" w:rsidP="00EB1A2F">
            <w:pPr>
              <w:pStyle w:val="BodyText"/>
              <w:spacing w:after="120"/>
            </w:pPr>
            <w:r w:rsidRPr="002C3B0F">
              <w:lastRenderedPageBreak/>
              <w:t>Process Map- Data and Report Classification Dispute</w:t>
            </w:r>
          </w:p>
        </w:tc>
      </w:tr>
      <w:tr w:rsidR="008A0DEE" w:rsidRPr="002C3B0F" w:rsidTr="00482CD9">
        <w:trPr>
          <w:cnfStyle w:val="000000010000" w:firstRow="0" w:lastRow="0" w:firstColumn="0" w:lastColumn="0" w:oddVBand="0" w:evenVBand="0" w:oddHBand="0" w:evenHBand="1" w:firstRowFirstColumn="0" w:firstRowLastColumn="0" w:lastRowFirstColumn="0" w:lastRowLastColumn="0"/>
        </w:trPr>
        <w:tc>
          <w:tcPr>
            <w:tcW w:w="8618" w:type="dxa"/>
          </w:tcPr>
          <w:p w:rsidR="008A0DEE" w:rsidRPr="002C3B0F" w:rsidRDefault="008A0DEE" w:rsidP="00EB1A2F">
            <w:pPr>
              <w:pStyle w:val="BodyText"/>
              <w:spacing w:after="120"/>
            </w:pPr>
            <w:r w:rsidRPr="002C3B0F">
              <w:t>Process Map- Data and Report Submission</w:t>
            </w:r>
          </w:p>
        </w:tc>
      </w:tr>
      <w:tr w:rsidR="008A0DEE" w:rsidRPr="002C3B0F" w:rsidTr="00482CD9">
        <w:trPr>
          <w:cnfStyle w:val="000000100000" w:firstRow="0" w:lastRow="0" w:firstColumn="0" w:lastColumn="0" w:oddVBand="0" w:evenVBand="0" w:oddHBand="1" w:evenHBand="0" w:firstRowFirstColumn="0" w:firstRowLastColumn="0" w:lastRowFirstColumn="0" w:lastRowLastColumn="0"/>
        </w:trPr>
        <w:tc>
          <w:tcPr>
            <w:tcW w:w="8618" w:type="dxa"/>
          </w:tcPr>
          <w:p w:rsidR="008A0DEE" w:rsidRPr="002C3B0F" w:rsidRDefault="008A0DEE" w:rsidP="00EB1A2F">
            <w:pPr>
              <w:pStyle w:val="BodyText"/>
              <w:spacing w:after="120"/>
            </w:pPr>
            <w:r w:rsidRPr="002C3B0F">
              <w:t>Process Map- Data and Report Compliance</w:t>
            </w:r>
          </w:p>
        </w:tc>
      </w:tr>
      <w:tr w:rsidR="008A0DEE" w:rsidRPr="002C3B0F" w:rsidTr="00482CD9">
        <w:trPr>
          <w:cnfStyle w:val="000000010000" w:firstRow="0" w:lastRow="0" w:firstColumn="0" w:lastColumn="0" w:oddVBand="0" w:evenVBand="0" w:oddHBand="0" w:evenHBand="1" w:firstRowFirstColumn="0" w:firstRowLastColumn="0" w:lastRowFirstColumn="0" w:lastRowLastColumn="0"/>
        </w:trPr>
        <w:tc>
          <w:tcPr>
            <w:tcW w:w="8618" w:type="dxa"/>
          </w:tcPr>
          <w:p w:rsidR="008A0DEE" w:rsidRPr="002C3B0F" w:rsidRDefault="008A0DEE" w:rsidP="00EB1A2F">
            <w:pPr>
              <w:pStyle w:val="BodyText"/>
              <w:spacing w:after="120"/>
            </w:pPr>
            <w:r w:rsidRPr="002C3B0F">
              <w:t>Process Map- Data Release</w:t>
            </w:r>
          </w:p>
        </w:tc>
      </w:tr>
      <w:tr w:rsidR="008A0DEE" w:rsidRPr="002C3B0F" w:rsidTr="00482CD9">
        <w:trPr>
          <w:cnfStyle w:val="000000100000" w:firstRow="0" w:lastRow="0" w:firstColumn="0" w:lastColumn="0" w:oddVBand="0" w:evenVBand="0" w:oddHBand="1" w:evenHBand="0" w:firstRowFirstColumn="0" w:firstRowLastColumn="0" w:lastRowFirstColumn="0" w:lastRowLastColumn="0"/>
        </w:trPr>
        <w:tc>
          <w:tcPr>
            <w:tcW w:w="8618" w:type="dxa"/>
          </w:tcPr>
          <w:p w:rsidR="008A0DEE" w:rsidRPr="002C3B0F" w:rsidRDefault="008A0DEE" w:rsidP="00EB1A2F">
            <w:pPr>
              <w:pStyle w:val="BodyText"/>
              <w:spacing w:after="120"/>
            </w:pPr>
            <w:r w:rsidRPr="002C3B0F">
              <w:t>Process Map- Data Request Further Information</w:t>
            </w:r>
          </w:p>
        </w:tc>
      </w:tr>
      <w:tr w:rsidR="008A0DEE" w:rsidRPr="002C3B0F" w:rsidTr="00482CD9">
        <w:trPr>
          <w:cnfStyle w:val="000000010000" w:firstRow="0" w:lastRow="0" w:firstColumn="0" w:lastColumn="0" w:oddVBand="0" w:evenVBand="0" w:oddHBand="0" w:evenHBand="1" w:firstRowFirstColumn="0" w:firstRowLastColumn="0" w:lastRowFirstColumn="0" w:lastRowLastColumn="0"/>
        </w:trPr>
        <w:tc>
          <w:tcPr>
            <w:tcW w:w="8618" w:type="dxa"/>
          </w:tcPr>
          <w:p w:rsidR="008A0DEE" w:rsidRPr="002C3B0F" w:rsidRDefault="008A0DEE" w:rsidP="00EB1A2F">
            <w:pPr>
              <w:pStyle w:val="BodyText"/>
              <w:spacing w:after="120"/>
            </w:pPr>
            <w:r w:rsidRPr="002C3B0F">
              <w:t>Process Map- Data and Report Variation and Export Approval</w:t>
            </w:r>
          </w:p>
        </w:tc>
      </w:tr>
      <w:tr w:rsidR="008A0DEE" w:rsidRPr="002C3B0F" w:rsidTr="00482CD9">
        <w:trPr>
          <w:cnfStyle w:val="000000100000" w:firstRow="0" w:lastRow="0" w:firstColumn="0" w:lastColumn="0" w:oddVBand="0" w:evenVBand="0" w:oddHBand="1" w:evenHBand="0" w:firstRowFirstColumn="0" w:firstRowLastColumn="0" w:lastRowFirstColumn="0" w:lastRowLastColumn="0"/>
        </w:trPr>
        <w:tc>
          <w:tcPr>
            <w:tcW w:w="8618" w:type="dxa"/>
          </w:tcPr>
          <w:p w:rsidR="008A0DEE" w:rsidRPr="002C3B0F" w:rsidRDefault="008A0DEE" w:rsidP="00EB1A2F">
            <w:pPr>
              <w:pStyle w:val="BodyText"/>
              <w:spacing w:after="120"/>
            </w:pPr>
            <w:r w:rsidRPr="002C3B0F">
              <w:t>Process Map- Notice of Geophysical Activity</w:t>
            </w:r>
          </w:p>
        </w:tc>
      </w:tr>
      <w:tr w:rsidR="008A0DEE" w:rsidRPr="002C3B0F" w:rsidTr="00482CD9">
        <w:trPr>
          <w:cnfStyle w:val="000000010000" w:firstRow="0" w:lastRow="0" w:firstColumn="0" w:lastColumn="0" w:oddVBand="0" w:evenVBand="0" w:oddHBand="0" w:evenHBand="1" w:firstRowFirstColumn="0" w:firstRowLastColumn="0" w:lastRowFirstColumn="0" w:lastRowLastColumn="0"/>
        </w:trPr>
        <w:tc>
          <w:tcPr>
            <w:tcW w:w="8618" w:type="dxa"/>
          </w:tcPr>
          <w:p w:rsidR="008A0DEE" w:rsidRPr="002C3B0F" w:rsidRDefault="008A0DEE" w:rsidP="00EB1A2F">
            <w:pPr>
              <w:pStyle w:val="BodyText"/>
              <w:spacing w:after="120"/>
            </w:pPr>
            <w:r w:rsidRPr="002C3B0F">
              <w:t>Process Map- Petroleum Mining Samples</w:t>
            </w:r>
          </w:p>
        </w:tc>
      </w:tr>
      <w:tr w:rsidR="008A0DEE" w:rsidRPr="002C3B0F" w:rsidTr="00482CD9">
        <w:trPr>
          <w:cnfStyle w:val="000000100000" w:firstRow="0" w:lastRow="0" w:firstColumn="0" w:lastColumn="0" w:oddVBand="0" w:evenVBand="0" w:oddHBand="1" w:evenHBand="0" w:firstRowFirstColumn="0" w:firstRowLastColumn="0" w:lastRowFirstColumn="0" w:lastRowLastColumn="0"/>
        </w:trPr>
        <w:tc>
          <w:tcPr>
            <w:tcW w:w="8618" w:type="dxa"/>
          </w:tcPr>
          <w:p w:rsidR="008A0DEE" w:rsidRPr="002C3B0F" w:rsidRDefault="008A0DEE" w:rsidP="00EB1A2F">
            <w:pPr>
              <w:pStyle w:val="BodyText"/>
              <w:spacing w:after="120"/>
            </w:pPr>
            <w:r w:rsidRPr="002C3B0F">
              <w:t>Process Map- Report or Data Due Process (applies to all data and report submissions)</w:t>
            </w:r>
          </w:p>
        </w:tc>
      </w:tr>
      <w:tr w:rsidR="008A0DEE" w:rsidRPr="002C3B0F" w:rsidTr="00482CD9">
        <w:trPr>
          <w:cnfStyle w:val="000000010000" w:firstRow="0" w:lastRow="0" w:firstColumn="0" w:lastColumn="0" w:oddVBand="0" w:evenVBand="0" w:oddHBand="0" w:evenHBand="1" w:firstRowFirstColumn="0" w:firstRowLastColumn="0" w:lastRowFirstColumn="0" w:lastRowLastColumn="0"/>
        </w:trPr>
        <w:tc>
          <w:tcPr>
            <w:tcW w:w="8618" w:type="dxa"/>
          </w:tcPr>
          <w:p w:rsidR="008A0DEE" w:rsidRPr="002C3B0F" w:rsidRDefault="008A0DEE" w:rsidP="00EB1A2F">
            <w:pPr>
              <w:pStyle w:val="BodyText"/>
              <w:spacing w:after="120"/>
            </w:pPr>
            <w:r w:rsidRPr="002C3B0F">
              <w:t>Standard Operating Procedure- Data Management and Report Classification Dispute</w:t>
            </w:r>
          </w:p>
        </w:tc>
      </w:tr>
      <w:tr w:rsidR="008A0DEE" w:rsidRPr="002C3B0F" w:rsidTr="00482CD9">
        <w:trPr>
          <w:cnfStyle w:val="000000100000" w:firstRow="0" w:lastRow="0" w:firstColumn="0" w:lastColumn="0" w:oddVBand="0" w:evenVBand="0" w:oddHBand="1" w:evenHBand="0" w:firstRowFirstColumn="0" w:firstRowLastColumn="0" w:lastRowFirstColumn="0" w:lastRowLastColumn="0"/>
        </w:trPr>
        <w:tc>
          <w:tcPr>
            <w:tcW w:w="8618" w:type="dxa"/>
          </w:tcPr>
          <w:p w:rsidR="008A0DEE" w:rsidRPr="002C3B0F" w:rsidRDefault="008A0DEE" w:rsidP="00EB1A2F">
            <w:pPr>
              <w:pStyle w:val="BodyText"/>
              <w:spacing w:after="120"/>
            </w:pPr>
            <w:r w:rsidRPr="002C3B0F">
              <w:t>Standard Operating Procedure- Data Management- Data and Report Submission</w:t>
            </w:r>
          </w:p>
        </w:tc>
      </w:tr>
      <w:tr w:rsidR="008A0DEE" w:rsidRPr="002C3B0F" w:rsidTr="00482CD9">
        <w:trPr>
          <w:cnfStyle w:val="000000010000" w:firstRow="0" w:lastRow="0" w:firstColumn="0" w:lastColumn="0" w:oddVBand="0" w:evenVBand="0" w:oddHBand="0" w:evenHBand="1" w:firstRowFirstColumn="0" w:firstRowLastColumn="0" w:lastRowFirstColumn="0" w:lastRowLastColumn="0"/>
        </w:trPr>
        <w:tc>
          <w:tcPr>
            <w:tcW w:w="8618" w:type="dxa"/>
          </w:tcPr>
          <w:p w:rsidR="008A0DEE" w:rsidRPr="002C3B0F" w:rsidRDefault="008A0DEE" w:rsidP="00EB1A2F">
            <w:pPr>
              <w:pStyle w:val="BodyText"/>
              <w:spacing w:after="120"/>
            </w:pPr>
            <w:r w:rsidRPr="002C3B0F">
              <w:t>Standard Operating Procedure- Data Management- Data and Report Compliance</w:t>
            </w:r>
          </w:p>
        </w:tc>
      </w:tr>
      <w:tr w:rsidR="008A0DEE" w:rsidRPr="002C3B0F" w:rsidTr="00482CD9">
        <w:trPr>
          <w:cnfStyle w:val="000000100000" w:firstRow="0" w:lastRow="0" w:firstColumn="0" w:lastColumn="0" w:oddVBand="0" w:evenVBand="0" w:oddHBand="1" w:evenHBand="0" w:firstRowFirstColumn="0" w:firstRowLastColumn="0" w:lastRowFirstColumn="0" w:lastRowLastColumn="0"/>
        </w:trPr>
        <w:tc>
          <w:tcPr>
            <w:tcW w:w="8618" w:type="dxa"/>
          </w:tcPr>
          <w:p w:rsidR="008A0DEE" w:rsidRPr="002C3B0F" w:rsidRDefault="008A0DEE" w:rsidP="00EB1A2F">
            <w:pPr>
              <w:pStyle w:val="BodyText"/>
              <w:spacing w:after="120"/>
            </w:pPr>
            <w:r w:rsidRPr="002C3B0F">
              <w:t>Standard Operating Procedure- Data Management- Data Release</w:t>
            </w:r>
          </w:p>
        </w:tc>
      </w:tr>
      <w:tr w:rsidR="008A0DEE" w:rsidRPr="002C3B0F" w:rsidTr="00482CD9">
        <w:trPr>
          <w:cnfStyle w:val="000000010000" w:firstRow="0" w:lastRow="0" w:firstColumn="0" w:lastColumn="0" w:oddVBand="0" w:evenVBand="0" w:oddHBand="0" w:evenHBand="1" w:firstRowFirstColumn="0" w:firstRowLastColumn="0" w:lastRowFirstColumn="0" w:lastRowLastColumn="0"/>
        </w:trPr>
        <w:tc>
          <w:tcPr>
            <w:tcW w:w="8618" w:type="dxa"/>
          </w:tcPr>
          <w:p w:rsidR="008A0DEE" w:rsidRPr="002C3B0F" w:rsidRDefault="008A0DEE" w:rsidP="00EB1A2F">
            <w:pPr>
              <w:pStyle w:val="BodyText"/>
              <w:spacing w:after="120"/>
            </w:pPr>
            <w:r w:rsidRPr="002C3B0F">
              <w:t>Standard Operating Procedure- Data Request Further Information</w:t>
            </w:r>
          </w:p>
        </w:tc>
      </w:tr>
      <w:tr w:rsidR="008A0DEE" w:rsidRPr="002C3B0F" w:rsidTr="00482CD9">
        <w:trPr>
          <w:cnfStyle w:val="000000100000" w:firstRow="0" w:lastRow="0" w:firstColumn="0" w:lastColumn="0" w:oddVBand="0" w:evenVBand="0" w:oddHBand="1" w:evenHBand="0" w:firstRowFirstColumn="0" w:firstRowLastColumn="0" w:lastRowFirstColumn="0" w:lastRowLastColumn="0"/>
        </w:trPr>
        <w:tc>
          <w:tcPr>
            <w:tcW w:w="8618" w:type="dxa"/>
          </w:tcPr>
          <w:p w:rsidR="008A0DEE" w:rsidRPr="002C3B0F" w:rsidRDefault="008A0DEE" w:rsidP="00EB1A2F">
            <w:pPr>
              <w:pStyle w:val="BodyText"/>
              <w:spacing w:after="120"/>
            </w:pPr>
            <w:r w:rsidRPr="002C3B0F">
              <w:t>Standard Operating Procedure- Data Management- Data and Report Variation and Export Approval</w:t>
            </w:r>
          </w:p>
        </w:tc>
      </w:tr>
      <w:tr w:rsidR="008A0DEE" w:rsidRPr="002C3B0F" w:rsidTr="00482CD9">
        <w:trPr>
          <w:cnfStyle w:val="000000010000" w:firstRow="0" w:lastRow="0" w:firstColumn="0" w:lastColumn="0" w:oddVBand="0" w:evenVBand="0" w:oddHBand="0" w:evenHBand="1" w:firstRowFirstColumn="0" w:firstRowLastColumn="0" w:lastRowFirstColumn="0" w:lastRowLastColumn="0"/>
        </w:trPr>
        <w:tc>
          <w:tcPr>
            <w:tcW w:w="8618" w:type="dxa"/>
          </w:tcPr>
          <w:p w:rsidR="008A0DEE" w:rsidRPr="002C3B0F" w:rsidRDefault="008A0DEE" w:rsidP="00EB1A2F">
            <w:pPr>
              <w:pStyle w:val="BodyText"/>
              <w:spacing w:after="120"/>
            </w:pPr>
            <w:r w:rsidRPr="002C3B0F">
              <w:t>Standard Operating Procedure- Data Management- Notice of Geophysical Activity</w:t>
            </w:r>
          </w:p>
        </w:tc>
      </w:tr>
      <w:tr w:rsidR="008A0DEE" w:rsidRPr="002C3B0F" w:rsidTr="00482CD9">
        <w:trPr>
          <w:cnfStyle w:val="000000100000" w:firstRow="0" w:lastRow="0" w:firstColumn="0" w:lastColumn="0" w:oddVBand="0" w:evenVBand="0" w:oddHBand="1" w:evenHBand="0" w:firstRowFirstColumn="0" w:firstRowLastColumn="0" w:lastRowFirstColumn="0" w:lastRowLastColumn="0"/>
        </w:trPr>
        <w:tc>
          <w:tcPr>
            <w:tcW w:w="8618" w:type="dxa"/>
          </w:tcPr>
          <w:p w:rsidR="008A0DEE" w:rsidRPr="002C3B0F" w:rsidRDefault="008A0DEE" w:rsidP="00EB1A2F">
            <w:pPr>
              <w:pStyle w:val="BodyText"/>
              <w:spacing w:after="120"/>
            </w:pPr>
            <w:r w:rsidRPr="002C3B0F">
              <w:t>Standard Operating Procedure- Data Management- Petroleum Mining Samples</w:t>
            </w:r>
          </w:p>
        </w:tc>
      </w:tr>
      <w:tr w:rsidR="008A0DEE" w:rsidRPr="002C3B0F" w:rsidTr="00482CD9">
        <w:trPr>
          <w:cnfStyle w:val="000000010000" w:firstRow="0" w:lastRow="0" w:firstColumn="0" w:lastColumn="0" w:oddVBand="0" w:evenVBand="0" w:oddHBand="0" w:evenHBand="1" w:firstRowFirstColumn="0" w:firstRowLastColumn="0" w:lastRowFirstColumn="0" w:lastRowLastColumn="0"/>
        </w:trPr>
        <w:tc>
          <w:tcPr>
            <w:tcW w:w="8618" w:type="dxa"/>
          </w:tcPr>
          <w:p w:rsidR="008A0DEE" w:rsidRPr="002C3B0F" w:rsidRDefault="008A0DEE" w:rsidP="00EB1A2F">
            <w:pPr>
              <w:pStyle w:val="BodyText"/>
              <w:spacing w:after="120"/>
            </w:pPr>
            <w:r w:rsidRPr="002C3B0F">
              <w:t>Standard Operating Procedure- Data Management- Report or Data Due</w:t>
            </w:r>
          </w:p>
        </w:tc>
      </w:tr>
      <w:tr w:rsidR="008A0DEE" w:rsidRPr="002C3B0F" w:rsidTr="00482CD9">
        <w:trPr>
          <w:cnfStyle w:val="000000100000" w:firstRow="0" w:lastRow="0" w:firstColumn="0" w:lastColumn="0" w:oddVBand="0" w:evenVBand="0" w:oddHBand="1" w:evenHBand="0" w:firstRowFirstColumn="0" w:firstRowLastColumn="0" w:lastRowFirstColumn="0" w:lastRowLastColumn="0"/>
        </w:trPr>
        <w:tc>
          <w:tcPr>
            <w:tcW w:w="8618" w:type="dxa"/>
          </w:tcPr>
          <w:p w:rsidR="008A0DEE" w:rsidRPr="002C3B0F" w:rsidRDefault="008A0DEE" w:rsidP="00EB1A2F">
            <w:pPr>
              <w:pStyle w:val="BodyText"/>
              <w:spacing w:after="120"/>
            </w:pPr>
            <w:r w:rsidRPr="002C3B0F">
              <w:t>Request for Information: Application for Consent to Surrender Petroleum Exploration Permit</w:t>
            </w:r>
          </w:p>
        </w:tc>
      </w:tr>
      <w:tr w:rsidR="008A0DEE" w:rsidRPr="002C3B0F" w:rsidTr="00482CD9">
        <w:trPr>
          <w:cnfStyle w:val="000000010000" w:firstRow="0" w:lastRow="0" w:firstColumn="0" w:lastColumn="0" w:oddVBand="0" w:evenVBand="0" w:oddHBand="0" w:evenHBand="1" w:firstRowFirstColumn="0" w:firstRowLastColumn="0" w:lastRowFirstColumn="0" w:lastRowLastColumn="0"/>
        </w:trPr>
        <w:tc>
          <w:tcPr>
            <w:tcW w:w="8618" w:type="dxa"/>
          </w:tcPr>
          <w:p w:rsidR="008A0DEE" w:rsidRPr="002C3B0F" w:rsidRDefault="008A0DEE" w:rsidP="00EB1A2F">
            <w:pPr>
              <w:pStyle w:val="BodyText"/>
              <w:tabs>
                <w:tab w:val="left" w:pos="2625"/>
              </w:tabs>
              <w:spacing w:after="120"/>
            </w:pPr>
            <w:r w:rsidRPr="002C3B0F">
              <w:t xml:space="preserve">Application for Variation and Suspension of Work Program Commitments and Extension of Permit Term- </w:t>
            </w:r>
            <w:r w:rsidRPr="002C3B0F">
              <w:lastRenderedPageBreak/>
              <w:t>Petroleum Exploration Permit</w:t>
            </w:r>
          </w:p>
        </w:tc>
      </w:tr>
      <w:tr w:rsidR="008A0DEE" w:rsidRPr="002C3B0F" w:rsidTr="00482CD9">
        <w:trPr>
          <w:cnfStyle w:val="000000100000" w:firstRow="0" w:lastRow="0" w:firstColumn="0" w:lastColumn="0" w:oddVBand="0" w:evenVBand="0" w:oddHBand="1" w:evenHBand="0" w:firstRowFirstColumn="0" w:firstRowLastColumn="0" w:lastRowFirstColumn="0" w:lastRowLastColumn="0"/>
        </w:trPr>
        <w:tc>
          <w:tcPr>
            <w:tcW w:w="8618" w:type="dxa"/>
          </w:tcPr>
          <w:p w:rsidR="008A0DEE" w:rsidRPr="002C3B0F" w:rsidRDefault="008A0DEE" w:rsidP="00EB1A2F">
            <w:pPr>
              <w:pStyle w:val="BodyText"/>
              <w:tabs>
                <w:tab w:val="left" w:pos="2625"/>
              </w:tabs>
              <w:spacing w:after="120"/>
            </w:pPr>
            <w:r w:rsidRPr="002C3B0F">
              <w:lastRenderedPageBreak/>
              <w:t>Offshore Petroleum Titles Alert Summary- March 2015</w:t>
            </w:r>
          </w:p>
        </w:tc>
      </w:tr>
      <w:tr w:rsidR="008A0DEE" w:rsidRPr="002C3B0F" w:rsidTr="00482CD9">
        <w:trPr>
          <w:cnfStyle w:val="000000010000" w:firstRow="0" w:lastRow="0" w:firstColumn="0" w:lastColumn="0" w:oddVBand="0" w:evenVBand="0" w:oddHBand="0" w:evenHBand="1" w:firstRowFirstColumn="0" w:firstRowLastColumn="0" w:lastRowFirstColumn="0" w:lastRowLastColumn="0"/>
        </w:trPr>
        <w:tc>
          <w:tcPr>
            <w:tcW w:w="8618" w:type="dxa"/>
          </w:tcPr>
          <w:p w:rsidR="008A0DEE" w:rsidRPr="002C3B0F" w:rsidRDefault="008A0DEE" w:rsidP="00EB1A2F">
            <w:pPr>
              <w:pStyle w:val="BodyText"/>
              <w:tabs>
                <w:tab w:val="left" w:pos="2625"/>
              </w:tabs>
              <w:spacing w:after="120"/>
            </w:pPr>
            <w:r w:rsidRPr="002C3B0F">
              <w:t>Exploration Permit Guideline Assessment of Bid and Renewal Applications</w:t>
            </w:r>
          </w:p>
        </w:tc>
      </w:tr>
      <w:tr w:rsidR="008A0DEE" w:rsidRPr="002C3B0F" w:rsidTr="00482CD9">
        <w:trPr>
          <w:cnfStyle w:val="000000100000" w:firstRow="0" w:lastRow="0" w:firstColumn="0" w:lastColumn="0" w:oddVBand="0" w:evenVBand="0" w:oddHBand="1" w:evenHBand="0" w:firstRowFirstColumn="0" w:firstRowLastColumn="0" w:lastRowFirstColumn="0" w:lastRowLastColumn="0"/>
        </w:trPr>
        <w:tc>
          <w:tcPr>
            <w:tcW w:w="8618" w:type="dxa"/>
          </w:tcPr>
          <w:p w:rsidR="008A0DEE" w:rsidRPr="002C3B0F" w:rsidRDefault="008A0DEE" w:rsidP="00EB1A2F">
            <w:pPr>
              <w:pStyle w:val="BodyText"/>
              <w:tabs>
                <w:tab w:val="left" w:pos="2625"/>
              </w:tabs>
              <w:spacing w:after="120"/>
            </w:pPr>
            <w:r w:rsidRPr="002C3B0F">
              <w:t>Requirements of Bid and Renewal Applications</w:t>
            </w:r>
          </w:p>
        </w:tc>
      </w:tr>
      <w:tr w:rsidR="008A0DEE" w:rsidRPr="002C3B0F" w:rsidTr="00482CD9">
        <w:trPr>
          <w:cnfStyle w:val="000000010000" w:firstRow="0" w:lastRow="0" w:firstColumn="0" w:lastColumn="0" w:oddVBand="0" w:evenVBand="0" w:oddHBand="0" w:evenHBand="1" w:firstRowFirstColumn="0" w:firstRowLastColumn="0" w:lastRowFirstColumn="0" w:lastRowLastColumn="0"/>
        </w:trPr>
        <w:tc>
          <w:tcPr>
            <w:tcW w:w="8618" w:type="dxa"/>
          </w:tcPr>
          <w:p w:rsidR="008A0DEE" w:rsidRPr="002C3B0F" w:rsidRDefault="008A0DEE" w:rsidP="00EB1A2F">
            <w:pPr>
              <w:pStyle w:val="BodyText"/>
              <w:tabs>
                <w:tab w:val="left" w:pos="2625"/>
              </w:tabs>
              <w:spacing w:after="120"/>
            </w:pPr>
            <w:r w:rsidRPr="002C3B0F">
              <w:t>Permit Condition and Administration</w:t>
            </w:r>
          </w:p>
        </w:tc>
      </w:tr>
      <w:tr w:rsidR="008A0DEE" w:rsidRPr="002C3B0F" w:rsidTr="00482CD9">
        <w:trPr>
          <w:cnfStyle w:val="000000100000" w:firstRow="0" w:lastRow="0" w:firstColumn="0" w:lastColumn="0" w:oddVBand="0" w:evenVBand="0" w:oddHBand="1" w:evenHBand="0" w:firstRowFirstColumn="0" w:firstRowLastColumn="0" w:lastRowFirstColumn="0" w:lastRowLastColumn="0"/>
        </w:trPr>
        <w:tc>
          <w:tcPr>
            <w:tcW w:w="8618" w:type="dxa"/>
          </w:tcPr>
          <w:p w:rsidR="008A0DEE" w:rsidRPr="002C3B0F" w:rsidRDefault="008A0DEE" w:rsidP="00EB1A2F">
            <w:pPr>
              <w:pStyle w:val="BodyText"/>
              <w:tabs>
                <w:tab w:val="left" w:pos="2625"/>
              </w:tabs>
              <w:spacing w:after="120"/>
            </w:pPr>
            <w:r w:rsidRPr="002C3B0F">
              <w:t>Presentation- Offshore Petroleum in Australia</w:t>
            </w:r>
          </w:p>
        </w:tc>
      </w:tr>
      <w:tr w:rsidR="008A0DEE" w:rsidRPr="002C3B0F" w:rsidTr="00482CD9">
        <w:trPr>
          <w:cnfStyle w:val="000000010000" w:firstRow="0" w:lastRow="0" w:firstColumn="0" w:lastColumn="0" w:oddVBand="0" w:evenVBand="0" w:oddHBand="0" w:evenHBand="1" w:firstRowFirstColumn="0" w:firstRowLastColumn="0" w:lastRowFirstColumn="0" w:lastRowLastColumn="0"/>
        </w:trPr>
        <w:tc>
          <w:tcPr>
            <w:tcW w:w="8618" w:type="dxa"/>
          </w:tcPr>
          <w:p w:rsidR="008A0DEE" w:rsidRPr="002C3B0F" w:rsidRDefault="008A0DEE" w:rsidP="00EB1A2F">
            <w:pPr>
              <w:pStyle w:val="BodyText"/>
              <w:tabs>
                <w:tab w:val="left" w:pos="2625"/>
              </w:tabs>
              <w:spacing w:after="120"/>
            </w:pPr>
            <w:r w:rsidRPr="002C3B0F">
              <w:t>Presentation- Permit Conditions &amp; Administration</w:t>
            </w:r>
          </w:p>
        </w:tc>
      </w:tr>
      <w:tr w:rsidR="008A0DEE" w:rsidRPr="002C3B0F" w:rsidTr="00482CD9">
        <w:trPr>
          <w:cnfStyle w:val="000000100000" w:firstRow="0" w:lastRow="0" w:firstColumn="0" w:lastColumn="0" w:oddVBand="0" w:evenVBand="0" w:oddHBand="1" w:evenHBand="0" w:firstRowFirstColumn="0" w:firstRowLastColumn="0" w:lastRowFirstColumn="0" w:lastRowLastColumn="0"/>
        </w:trPr>
        <w:tc>
          <w:tcPr>
            <w:tcW w:w="8618" w:type="dxa"/>
          </w:tcPr>
          <w:p w:rsidR="008A0DEE" w:rsidRPr="002C3B0F" w:rsidRDefault="008A0DEE" w:rsidP="00EB1A2F">
            <w:pPr>
              <w:pStyle w:val="BodyText"/>
              <w:tabs>
                <w:tab w:val="left" w:pos="2625"/>
              </w:tabs>
              <w:spacing w:after="120"/>
            </w:pPr>
            <w:r w:rsidRPr="002C3B0F">
              <w:t>Presentation- Petroleum Production Licenses under Offshore Petroleum Greenhouse Gas Storage Act 2006</w:t>
            </w:r>
          </w:p>
        </w:tc>
      </w:tr>
      <w:tr w:rsidR="008A0DEE" w:rsidRPr="002C3B0F" w:rsidTr="00482CD9">
        <w:trPr>
          <w:cnfStyle w:val="000000010000" w:firstRow="0" w:lastRow="0" w:firstColumn="0" w:lastColumn="0" w:oddVBand="0" w:evenVBand="0" w:oddHBand="0" w:evenHBand="1" w:firstRowFirstColumn="0" w:firstRowLastColumn="0" w:lastRowFirstColumn="0" w:lastRowLastColumn="0"/>
        </w:trPr>
        <w:tc>
          <w:tcPr>
            <w:tcW w:w="8618" w:type="dxa"/>
          </w:tcPr>
          <w:p w:rsidR="008A0DEE" w:rsidRPr="002C3B0F" w:rsidRDefault="008A0DEE" w:rsidP="00EB1A2F">
            <w:pPr>
              <w:pStyle w:val="BodyText"/>
              <w:tabs>
                <w:tab w:val="left" w:pos="2625"/>
              </w:tabs>
              <w:spacing w:after="120"/>
            </w:pPr>
            <w:r w:rsidRPr="002C3B0F">
              <w:t>Titles Admin Process Guide: Sending Applications, Assessments, and Clarifying Information with the Joint Authority</w:t>
            </w:r>
          </w:p>
        </w:tc>
      </w:tr>
      <w:tr w:rsidR="008A0DEE" w:rsidRPr="002C3B0F" w:rsidTr="00482CD9">
        <w:trPr>
          <w:cnfStyle w:val="000000100000" w:firstRow="0" w:lastRow="0" w:firstColumn="0" w:lastColumn="0" w:oddVBand="0" w:evenVBand="0" w:oddHBand="1" w:evenHBand="0" w:firstRowFirstColumn="0" w:firstRowLastColumn="0" w:lastRowFirstColumn="0" w:lastRowLastColumn="0"/>
        </w:trPr>
        <w:tc>
          <w:tcPr>
            <w:tcW w:w="8618" w:type="dxa"/>
          </w:tcPr>
          <w:p w:rsidR="008A0DEE" w:rsidRPr="002C3B0F" w:rsidRDefault="008A0DEE" w:rsidP="00EB1A2F">
            <w:pPr>
              <w:pStyle w:val="BodyText"/>
              <w:tabs>
                <w:tab w:val="left" w:pos="2625"/>
              </w:tabs>
              <w:spacing w:after="120"/>
            </w:pPr>
            <w:r w:rsidRPr="002C3B0F">
              <w:t>Titles Admin Process Guide: Titles Alert Summary Reports</w:t>
            </w:r>
          </w:p>
        </w:tc>
      </w:tr>
      <w:tr w:rsidR="008A0DEE" w:rsidRPr="002C3B0F" w:rsidTr="00482CD9">
        <w:trPr>
          <w:cnfStyle w:val="000000010000" w:firstRow="0" w:lastRow="0" w:firstColumn="0" w:lastColumn="0" w:oddVBand="0" w:evenVBand="0" w:oddHBand="0" w:evenHBand="1" w:firstRowFirstColumn="0" w:firstRowLastColumn="0" w:lastRowFirstColumn="0" w:lastRowLastColumn="0"/>
        </w:trPr>
        <w:tc>
          <w:tcPr>
            <w:tcW w:w="8618" w:type="dxa"/>
          </w:tcPr>
          <w:p w:rsidR="008A0DEE" w:rsidRPr="002C3B0F" w:rsidRDefault="008A0DEE" w:rsidP="00EB1A2F">
            <w:pPr>
              <w:pStyle w:val="BodyText"/>
              <w:tabs>
                <w:tab w:val="left" w:pos="2625"/>
              </w:tabs>
              <w:spacing w:after="120"/>
            </w:pPr>
            <w:r w:rsidRPr="002C3B0F">
              <w:t xml:space="preserve">Titles Admin Process Guide: Uploading Registered Instruments to NEATS and maintaining Titles Registers </w:t>
            </w:r>
          </w:p>
        </w:tc>
      </w:tr>
    </w:tbl>
    <w:p w:rsidR="00A757A8" w:rsidRPr="002C3B0F" w:rsidRDefault="00A757A8" w:rsidP="00A757A8">
      <w:pPr>
        <w:pStyle w:val="Noetic-BodyText"/>
        <w:spacing w:after="120"/>
        <w:sectPr w:rsidR="00A757A8" w:rsidRPr="002C3B0F" w:rsidSect="00065B08">
          <w:headerReference w:type="even" r:id="rId48"/>
          <w:headerReference w:type="default" r:id="rId49"/>
          <w:footerReference w:type="default" r:id="rId50"/>
          <w:headerReference w:type="first" r:id="rId51"/>
          <w:pgSz w:w="9979" w:h="14175" w:code="9"/>
          <w:pgMar w:top="1412" w:right="476" w:bottom="720" w:left="476" w:header="567" w:footer="567" w:gutter="0"/>
          <w:pgNumType w:start="1" w:chapStyle="6"/>
          <w:cols w:space="708"/>
          <w:docGrid w:linePitch="360"/>
        </w:sectPr>
      </w:pPr>
    </w:p>
    <w:p w:rsidR="00A757A8" w:rsidRPr="004A19DF" w:rsidRDefault="004A19DF" w:rsidP="005F2B15">
      <w:pPr>
        <w:pStyle w:val="Heading6"/>
      </w:pPr>
      <w:r>
        <w:lastRenderedPageBreak/>
        <w:t xml:space="preserve"> </w:t>
      </w:r>
      <w:r>
        <w:br/>
      </w:r>
      <w:bookmarkStart w:id="132" w:name="_Toc423426801"/>
      <w:r>
        <w:t>Comparison of Fees</w:t>
      </w:r>
      <w:bookmarkEnd w:id="132"/>
    </w:p>
    <w:p w:rsidR="00EB1A2F" w:rsidRPr="002C3B0F" w:rsidRDefault="00EB1A2F" w:rsidP="00EB1A2F">
      <w:pPr>
        <w:pStyle w:val="BodyText"/>
      </w:pPr>
      <w:r w:rsidRPr="002C3B0F">
        <w:t xml:space="preserve">It is difficult to compare the regulatory processing fees of different jurisdictions across the world. Each separate jurisdiction takes a different approach for fees and charges. </w:t>
      </w:r>
      <w:r w:rsidR="00EE0D51" w:rsidRPr="002C3B0F">
        <w:t>This comparison looks at three similar jurisdictions – Australia, the United Kingdom, and Norway.</w:t>
      </w:r>
    </w:p>
    <w:p w:rsidR="00EB1A2F" w:rsidRPr="002C3B0F" w:rsidRDefault="00EB1A2F" w:rsidP="00EB1A2F">
      <w:pPr>
        <w:pStyle w:val="BodyText"/>
      </w:pPr>
      <w:r w:rsidRPr="002C3B0F">
        <w:t>The United Kingdom charges an initial application fee based on a formula. This formula calculates the application fee by estimating the amount of labour and time required to process the application. Upon the commencement of the license, an annual fee is paid by the license holder. The fees are determined by a sliding scale with charges becoming more expe</w:t>
      </w:r>
      <w:r w:rsidR="00E42D56">
        <w:t>nsive as the license continues.</w:t>
      </w:r>
    </w:p>
    <w:p w:rsidR="00EB1A2F" w:rsidRPr="002C3B0F" w:rsidRDefault="00EB1A2F" w:rsidP="00EB1A2F">
      <w:pPr>
        <w:pStyle w:val="BodyText"/>
      </w:pPr>
      <w:r w:rsidRPr="002C3B0F">
        <w:t xml:space="preserve"> In Norway fees are charged on a yearly basis. There is an application fee which must be paid when applying for applying for a license. From there license holders pay an annual fee. When license holders want to retain their exclusive rights to the license area, they have to pay an ‘area fee’. This fee is on a upward sliding scale with an increase in charges occurring over the course of time. Upon commencement of production, license holders are to pay a fee per square ki</w:t>
      </w:r>
      <w:r w:rsidR="00E42D56">
        <w:t>lometre of the production area.</w:t>
      </w:r>
    </w:p>
    <w:p w:rsidR="00EB1A2F" w:rsidRPr="002C3B0F" w:rsidRDefault="00EB1A2F" w:rsidP="00EB1A2F">
      <w:pPr>
        <w:pStyle w:val="BodyText"/>
      </w:pPr>
      <w:r w:rsidRPr="002C3B0F">
        <w:t>In Australia a fees are charged for various activities throughout the exploration and production process. Title application fees are charged based on the activity to be performed. An annual titles administration levy is also charged, determined by whi</w:t>
      </w:r>
      <w:r w:rsidR="00E42D56">
        <w:t>ch activity is being conducted.</w:t>
      </w:r>
    </w:p>
    <w:p w:rsidR="00EB1A2F" w:rsidRPr="002C3B0F" w:rsidRDefault="00EB1A2F" w:rsidP="00EB1A2F">
      <w:pPr>
        <w:pStyle w:val="BodyText"/>
      </w:pPr>
      <w:r w:rsidRPr="002C3B0F">
        <w:t>Below is a table of each jurisdiction’s fees and charges:</w:t>
      </w:r>
    </w:p>
    <w:p w:rsidR="00EB1A2F" w:rsidRPr="002C3B0F" w:rsidRDefault="003C4B72" w:rsidP="00E42D56">
      <w:pPr>
        <w:pStyle w:val="Heading30"/>
      </w:pPr>
      <w:bookmarkStart w:id="133" w:name="_Toc423426802"/>
      <w:bookmarkStart w:id="134" w:name="_Toc430102212"/>
      <w:r>
        <w:t>A</w:t>
      </w:r>
      <w:r w:rsidR="00EB1A2F" w:rsidRPr="002C3B0F">
        <w:t>ustralia</w:t>
      </w:r>
      <w:r w:rsidR="00EB1A2F" w:rsidRPr="002C3B0F">
        <w:rPr>
          <w:rStyle w:val="FootnoteReference"/>
        </w:rPr>
        <w:footnoteReference w:id="22"/>
      </w:r>
      <w:bookmarkEnd w:id="133"/>
      <w:bookmarkEnd w:id="134"/>
    </w:p>
    <w:tbl>
      <w:tblPr>
        <w:tblStyle w:val="TableGrid"/>
        <w:tblW w:w="6658" w:type="dxa"/>
        <w:tblLook w:val="04A0" w:firstRow="1" w:lastRow="0" w:firstColumn="1" w:lastColumn="0" w:noHBand="0" w:noVBand="1"/>
      </w:tblPr>
      <w:tblGrid>
        <w:gridCol w:w="4621"/>
        <w:gridCol w:w="2037"/>
      </w:tblGrid>
      <w:tr w:rsidR="00EB1A2F" w:rsidRPr="004A19DF" w:rsidTr="00A42491">
        <w:trPr>
          <w:cnfStyle w:val="100000000000" w:firstRow="1" w:lastRow="0" w:firstColumn="0" w:lastColumn="0" w:oddVBand="0" w:evenVBand="0" w:oddHBand="0" w:evenHBand="0" w:firstRowFirstColumn="0" w:firstRowLastColumn="0" w:lastRowFirstColumn="0" w:lastRowLastColumn="0"/>
          <w:tblHeader/>
        </w:trPr>
        <w:tc>
          <w:tcPr>
            <w:tcW w:w="4621" w:type="dxa"/>
          </w:tcPr>
          <w:p w:rsidR="00EB1A2F" w:rsidRPr="004A19DF" w:rsidRDefault="00EB1A2F" w:rsidP="003F2AC2">
            <w:pPr>
              <w:pStyle w:val="NumberL1"/>
              <w:numPr>
                <w:ilvl w:val="0"/>
                <w:numId w:val="0"/>
              </w:numPr>
            </w:pPr>
            <w:r w:rsidRPr="004A19DF">
              <w:t>Type of Fee/Levy</w:t>
            </w:r>
          </w:p>
        </w:tc>
        <w:tc>
          <w:tcPr>
            <w:tcW w:w="2037" w:type="dxa"/>
          </w:tcPr>
          <w:p w:rsidR="00EB1A2F" w:rsidRPr="004A19DF" w:rsidRDefault="00EB1A2F" w:rsidP="004A19DF">
            <w:pPr>
              <w:pStyle w:val="NumberL1"/>
              <w:numPr>
                <w:ilvl w:val="0"/>
                <w:numId w:val="0"/>
              </w:numPr>
            </w:pPr>
            <w:r w:rsidRPr="004A19DF">
              <w:t xml:space="preserve">Amount </w:t>
            </w:r>
          </w:p>
        </w:tc>
      </w:tr>
      <w:tr w:rsidR="00EB1A2F" w:rsidRPr="002C3B0F" w:rsidTr="00A42491">
        <w:trPr>
          <w:cnfStyle w:val="000000100000" w:firstRow="0" w:lastRow="0" w:firstColumn="0" w:lastColumn="0" w:oddVBand="0" w:evenVBand="0" w:oddHBand="1" w:evenHBand="0" w:firstRowFirstColumn="0" w:firstRowLastColumn="0" w:lastRowFirstColumn="0" w:lastRowLastColumn="0"/>
        </w:trPr>
        <w:tc>
          <w:tcPr>
            <w:tcW w:w="4621" w:type="dxa"/>
          </w:tcPr>
          <w:p w:rsidR="00EB1A2F" w:rsidRPr="002C3B0F" w:rsidRDefault="00EB1A2F" w:rsidP="003F2AC2">
            <w:pPr>
              <w:pStyle w:val="NumberL1"/>
              <w:numPr>
                <w:ilvl w:val="0"/>
                <w:numId w:val="0"/>
              </w:numPr>
            </w:pPr>
            <w:r w:rsidRPr="003F2AC2">
              <w:t>Work-Bid Exploration Permit Application Fee</w:t>
            </w:r>
          </w:p>
        </w:tc>
        <w:tc>
          <w:tcPr>
            <w:tcW w:w="2037" w:type="dxa"/>
          </w:tcPr>
          <w:p w:rsidR="00EB1A2F" w:rsidRPr="002C3B0F" w:rsidRDefault="00EB1A2F">
            <w:pPr>
              <w:pStyle w:val="NumberL1"/>
              <w:numPr>
                <w:ilvl w:val="0"/>
                <w:numId w:val="0"/>
              </w:numPr>
            </w:pPr>
            <w:r w:rsidRPr="002C3B0F">
              <w:t>$A8,183</w:t>
            </w:r>
          </w:p>
        </w:tc>
      </w:tr>
      <w:tr w:rsidR="00EB1A2F" w:rsidRPr="002C3B0F" w:rsidTr="00A42491">
        <w:trPr>
          <w:cnfStyle w:val="000000010000" w:firstRow="0" w:lastRow="0" w:firstColumn="0" w:lastColumn="0" w:oddVBand="0" w:evenVBand="0" w:oddHBand="0" w:evenHBand="1" w:firstRowFirstColumn="0" w:firstRowLastColumn="0" w:lastRowFirstColumn="0" w:lastRowLastColumn="0"/>
        </w:trPr>
        <w:tc>
          <w:tcPr>
            <w:tcW w:w="4621" w:type="dxa"/>
          </w:tcPr>
          <w:p w:rsidR="00EB1A2F" w:rsidRPr="002C3B0F" w:rsidRDefault="00EB1A2F" w:rsidP="003F2AC2">
            <w:pPr>
              <w:pStyle w:val="NumberL1"/>
              <w:numPr>
                <w:ilvl w:val="0"/>
                <w:numId w:val="0"/>
              </w:numPr>
            </w:pPr>
            <w:r w:rsidRPr="003F2AC2">
              <w:t>Cash-Bid Exploration Permit Application Fee</w:t>
            </w:r>
          </w:p>
        </w:tc>
        <w:tc>
          <w:tcPr>
            <w:tcW w:w="2037" w:type="dxa"/>
          </w:tcPr>
          <w:p w:rsidR="00EB1A2F" w:rsidRPr="002C3B0F" w:rsidRDefault="00EB1A2F">
            <w:pPr>
              <w:pStyle w:val="NumberL1"/>
              <w:numPr>
                <w:ilvl w:val="0"/>
                <w:numId w:val="0"/>
              </w:numPr>
            </w:pPr>
            <w:r w:rsidRPr="002C3B0F">
              <w:t>$A2,090</w:t>
            </w:r>
          </w:p>
        </w:tc>
      </w:tr>
      <w:tr w:rsidR="00EB1A2F" w:rsidRPr="002C3B0F" w:rsidTr="00A42491">
        <w:trPr>
          <w:cnfStyle w:val="000000100000" w:firstRow="0" w:lastRow="0" w:firstColumn="0" w:lastColumn="0" w:oddVBand="0" w:evenVBand="0" w:oddHBand="1" w:evenHBand="0" w:firstRowFirstColumn="0" w:firstRowLastColumn="0" w:lastRowFirstColumn="0" w:lastRowLastColumn="0"/>
        </w:trPr>
        <w:tc>
          <w:tcPr>
            <w:tcW w:w="4621" w:type="dxa"/>
          </w:tcPr>
          <w:p w:rsidR="00EB1A2F" w:rsidRPr="002C3B0F" w:rsidRDefault="00EB1A2F" w:rsidP="003F2AC2">
            <w:pPr>
              <w:pStyle w:val="NumberL1"/>
              <w:numPr>
                <w:ilvl w:val="0"/>
                <w:numId w:val="0"/>
              </w:numPr>
            </w:pPr>
            <w:r w:rsidRPr="003F2AC2">
              <w:t>Petroleum Retention Lease Appl</w:t>
            </w:r>
            <w:r w:rsidRPr="002C3B0F">
              <w:t>ication Fee</w:t>
            </w:r>
          </w:p>
        </w:tc>
        <w:tc>
          <w:tcPr>
            <w:tcW w:w="2037" w:type="dxa"/>
          </w:tcPr>
          <w:p w:rsidR="00EB1A2F" w:rsidRPr="002C3B0F" w:rsidRDefault="00EB1A2F">
            <w:pPr>
              <w:pStyle w:val="NumberL1"/>
              <w:numPr>
                <w:ilvl w:val="0"/>
                <w:numId w:val="0"/>
              </w:numPr>
            </w:pPr>
            <w:r w:rsidRPr="002C3B0F">
              <w:t>$A2,090</w:t>
            </w:r>
          </w:p>
        </w:tc>
      </w:tr>
      <w:tr w:rsidR="00EB1A2F" w:rsidRPr="002C3B0F" w:rsidTr="00A42491">
        <w:trPr>
          <w:cnfStyle w:val="000000010000" w:firstRow="0" w:lastRow="0" w:firstColumn="0" w:lastColumn="0" w:oddVBand="0" w:evenVBand="0" w:oddHBand="0" w:evenHBand="1" w:firstRowFirstColumn="0" w:firstRowLastColumn="0" w:lastRowFirstColumn="0" w:lastRowLastColumn="0"/>
        </w:trPr>
        <w:tc>
          <w:tcPr>
            <w:tcW w:w="4621" w:type="dxa"/>
          </w:tcPr>
          <w:p w:rsidR="00EB1A2F" w:rsidRPr="002C3B0F" w:rsidRDefault="00EB1A2F" w:rsidP="003F2AC2">
            <w:pPr>
              <w:pStyle w:val="NumberL1"/>
              <w:numPr>
                <w:ilvl w:val="0"/>
                <w:numId w:val="0"/>
              </w:numPr>
            </w:pPr>
            <w:r w:rsidRPr="003F2AC2">
              <w:lastRenderedPageBreak/>
              <w:t>Petroleum Production License Over a Surrendered Block</w:t>
            </w:r>
          </w:p>
        </w:tc>
        <w:tc>
          <w:tcPr>
            <w:tcW w:w="2037" w:type="dxa"/>
          </w:tcPr>
          <w:p w:rsidR="00EB1A2F" w:rsidRPr="002C3B0F" w:rsidRDefault="00EB1A2F">
            <w:pPr>
              <w:pStyle w:val="NumberL1"/>
              <w:numPr>
                <w:ilvl w:val="0"/>
                <w:numId w:val="0"/>
              </w:numPr>
            </w:pPr>
            <w:r w:rsidRPr="002C3B0F">
              <w:t>$A5,220</w:t>
            </w:r>
          </w:p>
        </w:tc>
      </w:tr>
      <w:tr w:rsidR="00EB1A2F" w:rsidRPr="002C3B0F" w:rsidTr="00A42491">
        <w:trPr>
          <w:cnfStyle w:val="000000100000" w:firstRow="0" w:lastRow="0" w:firstColumn="0" w:lastColumn="0" w:oddVBand="0" w:evenVBand="0" w:oddHBand="1" w:evenHBand="0" w:firstRowFirstColumn="0" w:firstRowLastColumn="0" w:lastRowFirstColumn="0" w:lastRowLastColumn="0"/>
        </w:trPr>
        <w:tc>
          <w:tcPr>
            <w:tcW w:w="4621" w:type="dxa"/>
          </w:tcPr>
          <w:p w:rsidR="00EB1A2F" w:rsidRPr="002C3B0F" w:rsidRDefault="00EB1A2F" w:rsidP="003F2AC2">
            <w:pPr>
              <w:pStyle w:val="NumberL1"/>
              <w:numPr>
                <w:ilvl w:val="0"/>
                <w:numId w:val="0"/>
              </w:numPr>
            </w:pPr>
            <w:r w:rsidRPr="003F2AC2">
              <w:t>Petroleum Production License Over an Individual Block</w:t>
            </w:r>
          </w:p>
        </w:tc>
        <w:tc>
          <w:tcPr>
            <w:tcW w:w="2037" w:type="dxa"/>
          </w:tcPr>
          <w:p w:rsidR="00EB1A2F" w:rsidRPr="002C3B0F" w:rsidRDefault="00EB1A2F">
            <w:pPr>
              <w:pStyle w:val="NumberL1"/>
              <w:numPr>
                <w:ilvl w:val="0"/>
                <w:numId w:val="0"/>
              </w:numPr>
            </w:pPr>
            <w:r w:rsidRPr="002C3B0F">
              <w:t>$A1,050</w:t>
            </w:r>
          </w:p>
        </w:tc>
      </w:tr>
      <w:tr w:rsidR="00EB1A2F" w:rsidRPr="002C3B0F" w:rsidTr="00A42491">
        <w:trPr>
          <w:cnfStyle w:val="000000010000" w:firstRow="0" w:lastRow="0" w:firstColumn="0" w:lastColumn="0" w:oddVBand="0" w:evenVBand="0" w:oddHBand="0" w:evenHBand="1" w:firstRowFirstColumn="0" w:firstRowLastColumn="0" w:lastRowFirstColumn="0" w:lastRowLastColumn="0"/>
        </w:trPr>
        <w:tc>
          <w:tcPr>
            <w:tcW w:w="4621" w:type="dxa"/>
          </w:tcPr>
          <w:p w:rsidR="00EB1A2F" w:rsidRPr="002C3B0F" w:rsidRDefault="00EB1A2F" w:rsidP="003F2AC2">
            <w:pPr>
              <w:pStyle w:val="NumberL1"/>
              <w:numPr>
                <w:ilvl w:val="0"/>
                <w:numId w:val="0"/>
              </w:numPr>
            </w:pPr>
            <w:r w:rsidRPr="003F2AC2">
              <w:t>Other Petroleum Production License</w:t>
            </w:r>
          </w:p>
        </w:tc>
        <w:tc>
          <w:tcPr>
            <w:tcW w:w="2037" w:type="dxa"/>
          </w:tcPr>
          <w:p w:rsidR="00EB1A2F" w:rsidRPr="002C3B0F" w:rsidRDefault="00EB1A2F">
            <w:pPr>
              <w:pStyle w:val="NumberL1"/>
              <w:numPr>
                <w:ilvl w:val="0"/>
                <w:numId w:val="0"/>
              </w:numPr>
            </w:pPr>
            <w:r w:rsidRPr="002C3B0F">
              <w:t>$A2,090</w:t>
            </w:r>
          </w:p>
        </w:tc>
      </w:tr>
      <w:tr w:rsidR="00EB1A2F" w:rsidRPr="002C3B0F" w:rsidTr="00A42491">
        <w:trPr>
          <w:cnfStyle w:val="000000100000" w:firstRow="0" w:lastRow="0" w:firstColumn="0" w:lastColumn="0" w:oddVBand="0" w:evenVBand="0" w:oddHBand="1" w:evenHBand="0" w:firstRowFirstColumn="0" w:firstRowLastColumn="0" w:lastRowFirstColumn="0" w:lastRowLastColumn="0"/>
        </w:trPr>
        <w:tc>
          <w:tcPr>
            <w:tcW w:w="4621" w:type="dxa"/>
          </w:tcPr>
          <w:p w:rsidR="00EB1A2F" w:rsidRPr="002C3B0F" w:rsidRDefault="00EB1A2F" w:rsidP="003F2AC2">
            <w:pPr>
              <w:pStyle w:val="NumberL1"/>
              <w:numPr>
                <w:ilvl w:val="0"/>
                <w:numId w:val="0"/>
              </w:numPr>
            </w:pPr>
            <w:r w:rsidRPr="003F2AC2">
              <w:t>Renewal of Petroleum Production Licenses</w:t>
            </w:r>
          </w:p>
        </w:tc>
        <w:tc>
          <w:tcPr>
            <w:tcW w:w="2037" w:type="dxa"/>
          </w:tcPr>
          <w:p w:rsidR="00EB1A2F" w:rsidRPr="002C3B0F" w:rsidRDefault="00EB1A2F">
            <w:pPr>
              <w:pStyle w:val="NumberL1"/>
              <w:numPr>
                <w:ilvl w:val="0"/>
                <w:numId w:val="0"/>
              </w:numPr>
            </w:pPr>
            <w:r w:rsidRPr="002C3B0F">
              <w:t>$A2,090</w:t>
            </w:r>
          </w:p>
        </w:tc>
      </w:tr>
      <w:tr w:rsidR="00EB1A2F" w:rsidRPr="002C3B0F" w:rsidTr="00A42491">
        <w:trPr>
          <w:cnfStyle w:val="000000010000" w:firstRow="0" w:lastRow="0" w:firstColumn="0" w:lastColumn="0" w:oddVBand="0" w:evenVBand="0" w:oddHBand="0" w:evenHBand="1" w:firstRowFirstColumn="0" w:firstRowLastColumn="0" w:lastRowFirstColumn="0" w:lastRowLastColumn="0"/>
        </w:trPr>
        <w:tc>
          <w:tcPr>
            <w:tcW w:w="4621" w:type="dxa"/>
          </w:tcPr>
          <w:p w:rsidR="00EB1A2F" w:rsidRPr="002C3B0F" w:rsidRDefault="00EB1A2F" w:rsidP="003F2AC2">
            <w:pPr>
              <w:pStyle w:val="NumberL1"/>
              <w:numPr>
                <w:ilvl w:val="0"/>
                <w:numId w:val="0"/>
              </w:numPr>
            </w:pPr>
            <w:r w:rsidRPr="003F2AC2">
              <w:t>Annual Titles A</w:t>
            </w:r>
            <w:r w:rsidRPr="002C3B0F">
              <w:t>dministration Levy- Work Bid Exploration Permit (per title)</w:t>
            </w:r>
          </w:p>
        </w:tc>
        <w:tc>
          <w:tcPr>
            <w:tcW w:w="2037" w:type="dxa"/>
          </w:tcPr>
          <w:p w:rsidR="00EB1A2F" w:rsidRPr="002C3B0F" w:rsidRDefault="00EB1A2F">
            <w:pPr>
              <w:pStyle w:val="NumberL1"/>
              <w:numPr>
                <w:ilvl w:val="0"/>
                <w:numId w:val="0"/>
              </w:numPr>
            </w:pPr>
            <w:r w:rsidRPr="002C3B0F">
              <w:t>$A9,781</w:t>
            </w:r>
          </w:p>
        </w:tc>
      </w:tr>
      <w:tr w:rsidR="00EB1A2F" w:rsidRPr="002C3B0F" w:rsidTr="00A42491">
        <w:trPr>
          <w:cnfStyle w:val="000000100000" w:firstRow="0" w:lastRow="0" w:firstColumn="0" w:lastColumn="0" w:oddVBand="0" w:evenVBand="0" w:oddHBand="1" w:evenHBand="0" w:firstRowFirstColumn="0" w:firstRowLastColumn="0" w:lastRowFirstColumn="0" w:lastRowLastColumn="0"/>
        </w:trPr>
        <w:tc>
          <w:tcPr>
            <w:tcW w:w="4621" w:type="dxa"/>
          </w:tcPr>
          <w:p w:rsidR="00EB1A2F" w:rsidRPr="002C3B0F" w:rsidRDefault="00EB1A2F" w:rsidP="003F2AC2">
            <w:pPr>
              <w:pStyle w:val="NumberL1"/>
              <w:numPr>
                <w:ilvl w:val="0"/>
                <w:numId w:val="0"/>
              </w:numPr>
            </w:pPr>
            <w:r w:rsidRPr="003F2AC2">
              <w:t>Annual Titles Administration Levy- Petroleum Retention Lease (per block)</w:t>
            </w:r>
          </w:p>
        </w:tc>
        <w:tc>
          <w:tcPr>
            <w:tcW w:w="2037" w:type="dxa"/>
          </w:tcPr>
          <w:p w:rsidR="00EB1A2F" w:rsidRPr="002C3B0F" w:rsidRDefault="00EB1A2F">
            <w:pPr>
              <w:pStyle w:val="NumberL1"/>
              <w:numPr>
                <w:ilvl w:val="0"/>
                <w:numId w:val="0"/>
              </w:numPr>
            </w:pPr>
            <w:r w:rsidRPr="002C3B0F">
              <w:t>$A7,755</w:t>
            </w:r>
          </w:p>
        </w:tc>
      </w:tr>
      <w:tr w:rsidR="00EB1A2F" w:rsidRPr="002C3B0F" w:rsidTr="00A42491">
        <w:trPr>
          <w:cnfStyle w:val="000000010000" w:firstRow="0" w:lastRow="0" w:firstColumn="0" w:lastColumn="0" w:oddVBand="0" w:evenVBand="0" w:oddHBand="0" w:evenHBand="1" w:firstRowFirstColumn="0" w:firstRowLastColumn="0" w:lastRowFirstColumn="0" w:lastRowLastColumn="0"/>
        </w:trPr>
        <w:tc>
          <w:tcPr>
            <w:tcW w:w="4621" w:type="dxa"/>
          </w:tcPr>
          <w:p w:rsidR="00EB1A2F" w:rsidRPr="002C3B0F" w:rsidRDefault="00EB1A2F" w:rsidP="003F2AC2">
            <w:pPr>
              <w:pStyle w:val="NumberL1"/>
              <w:numPr>
                <w:ilvl w:val="0"/>
                <w:numId w:val="0"/>
              </w:numPr>
            </w:pPr>
            <w:r w:rsidRPr="003F2AC2">
              <w:t xml:space="preserve">Annual Titles Administration Levy- Petroleum Production License (per block) </w:t>
            </w:r>
          </w:p>
        </w:tc>
        <w:tc>
          <w:tcPr>
            <w:tcW w:w="2037" w:type="dxa"/>
          </w:tcPr>
          <w:p w:rsidR="00EB1A2F" w:rsidRPr="002C3B0F" w:rsidRDefault="00EB1A2F">
            <w:pPr>
              <w:pStyle w:val="NumberL1"/>
              <w:numPr>
                <w:ilvl w:val="0"/>
                <w:numId w:val="0"/>
              </w:numPr>
            </w:pPr>
            <w:r w:rsidRPr="002C3B0F">
              <w:t>$A15,500</w:t>
            </w:r>
          </w:p>
        </w:tc>
      </w:tr>
    </w:tbl>
    <w:p w:rsidR="00EB1A2F" w:rsidRPr="002C3B0F" w:rsidRDefault="00EB1A2F" w:rsidP="00E42D56">
      <w:pPr>
        <w:pStyle w:val="Heading30"/>
      </w:pPr>
      <w:bookmarkStart w:id="135" w:name="_Toc423426803"/>
      <w:bookmarkStart w:id="136" w:name="_Toc430102213"/>
      <w:r w:rsidRPr="003F2AC2">
        <w:t>Norway</w:t>
      </w:r>
      <w:r w:rsidRPr="002C3B0F">
        <w:rPr>
          <w:rStyle w:val="FootnoteReference"/>
        </w:rPr>
        <w:footnoteReference w:id="23"/>
      </w:r>
      <w:bookmarkEnd w:id="135"/>
      <w:bookmarkEnd w:id="136"/>
    </w:p>
    <w:tbl>
      <w:tblPr>
        <w:tblStyle w:val="TableGrid"/>
        <w:tblW w:w="0" w:type="auto"/>
        <w:tblLook w:val="04A0" w:firstRow="1" w:lastRow="0" w:firstColumn="1" w:lastColumn="0" w:noHBand="0" w:noVBand="1"/>
      </w:tblPr>
      <w:tblGrid>
        <w:gridCol w:w="4379"/>
        <w:gridCol w:w="2279"/>
      </w:tblGrid>
      <w:tr w:rsidR="00EB1A2F" w:rsidRPr="002C3B0F" w:rsidTr="00A42491">
        <w:trPr>
          <w:cnfStyle w:val="100000000000" w:firstRow="1" w:lastRow="0" w:firstColumn="0" w:lastColumn="0" w:oddVBand="0" w:evenVBand="0" w:oddHBand="0" w:evenHBand="0" w:firstRowFirstColumn="0" w:firstRowLastColumn="0" w:lastRowFirstColumn="0" w:lastRowLastColumn="0"/>
        </w:trPr>
        <w:tc>
          <w:tcPr>
            <w:tcW w:w="4379" w:type="dxa"/>
          </w:tcPr>
          <w:p w:rsidR="00EB1A2F" w:rsidRPr="002C3B0F" w:rsidRDefault="00EB1A2F" w:rsidP="00EB1A2F">
            <w:pPr>
              <w:pStyle w:val="BodyText"/>
              <w:spacing w:after="120"/>
            </w:pPr>
            <w:r w:rsidRPr="002C3B0F">
              <w:t>Type of Fee/Levy</w:t>
            </w:r>
          </w:p>
        </w:tc>
        <w:tc>
          <w:tcPr>
            <w:tcW w:w="2279" w:type="dxa"/>
          </w:tcPr>
          <w:p w:rsidR="00EB1A2F" w:rsidRPr="002C3B0F" w:rsidRDefault="00EB1A2F" w:rsidP="00EB1A2F">
            <w:pPr>
              <w:pStyle w:val="BodyText"/>
              <w:spacing w:after="120"/>
            </w:pPr>
            <w:r w:rsidRPr="00981420">
              <w:t>Amount</w:t>
            </w:r>
            <w:r w:rsidR="00981420" w:rsidRPr="00981420">
              <w:t xml:space="preserve"> </w:t>
            </w:r>
            <w:r w:rsidR="00981420" w:rsidRPr="00981420">
              <w:rPr>
                <w:vertAlign w:val="superscript"/>
              </w:rPr>
              <w:t>†</w:t>
            </w:r>
          </w:p>
        </w:tc>
      </w:tr>
      <w:tr w:rsidR="00EB1A2F" w:rsidRPr="002C3B0F" w:rsidTr="00A42491">
        <w:trPr>
          <w:cnfStyle w:val="000000100000" w:firstRow="0" w:lastRow="0" w:firstColumn="0" w:lastColumn="0" w:oddVBand="0" w:evenVBand="0" w:oddHBand="1" w:evenHBand="0" w:firstRowFirstColumn="0" w:firstRowLastColumn="0" w:lastRowFirstColumn="0" w:lastRowLastColumn="0"/>
        </w:trPr>
        <w:tc>
          <w:tcPr>
            <w:tcW w:w="4379" w:type="dxa"/>
          </w:tcPr>
          <w:p w:rsidR="00EB1A2F" w:rsidRPr="002C3B0F" w:rsidRDefault="00EB1A2F" w:rsidP="00EB1A2F">
            <w:pPr>
              <w:pStyle w:val="BodyText"/>
              <w:spacing w:after="120"/>
            </w:pPr>
            <w:r w:rsidRPr="002C3B0F">
              <w:t>Annual Payment for License Fee</w:t>
            </w:r>
          </w:p>
        </w:tc>
        <w:tc>
          <w:tcPr>
            <w:tcW w:w="2279" w:type="dxa"/>
          </w:tcPr>
          <w:p w:rsidR="00EB1A2F" w:rsidRPr="002C3B0F" w:rsidRDefault="00EB1A2F" w:rsidP="00EB1A2F">
            <w:pPr>
              <w:pStyle w:val="BodyText"/>
              <w:spacing w:after="120"/>
            </w:pPr>
            <w:r w:rsidRPr="002C3B0F">
              <w:t>65,000 NOK</w:t>
            </w:r>
          </w:p>
          <w:p w:rsidR="00EB1A2F" w:rsidRPr="002C3B0F" w:rsidRDefault="00EB1A2F" w:rsidP="00EB1A2F">
            <w:pPr>
              <w:spacing w:after="120"/>
              <w:rPr>
                <w:vertAlign w:val="superscript"/>
              </w:rPr>
            </w:pPr>
            <w:r w:rsidRPr="002C3B0F">
              <w:t>($A10,762.12)</w:t>
            </w:r>
          </w:p>
        </w:tc>
      </w:tr>
      <w:tr w:rsidR="00EB1A2F" w:rsidRPr="002C3B0F" w:rsidTr="00A42491">
        <w:trPr>
          <w:cnfStyle w:val="000000010000" w:firstRow="0" w:lastRow="0" w:firstColumn="0" w:lastColumn="0" w:oddVBand="0" w:evenVBand="0" w:oddHBand="0" w:evenHBand="1" w:firstRowFirstColumn="0" w:firstRowLastColumn="0" w:lastRowFirstColumn="0" w:lastRowLastColumn="0"/>
        </w:trPr>
        <w:tc>
          <w:tcPr>
            <w:tcW w:w="4379" w:type="dxa"/>
          </w:tcPr>
          <w:p w:rsidR="00EB1A2F" w:rsidRPr="002C3B0F" w:rsidRDefault="00EB1A2F" w:rsidP="00EB1A2F">
            <w:pPr>
              <w:pStyle w:val="BodyText"/>
              <w:spacing w:after="120"/>
            </w:pPr>
            <w:r w:rsidRPr="002C3B0F">
              <w:t>Handling Fee for a Production License</w:t>
            </w:r>
          </w:p>
        </w:tc>
        <w:tc>
          <w:tcPr>
            <w:tcW w:w="2279" w:type="dxa"/>
          </w:tcPr>
          <w:p w:rsidR="00EB1A2F" w:rsidRPr="002C3B0F" w:rsidRDefault="00EB1A2F" w:rsidP="00EB1A2F">
            <w:pPr>
              <w:pStyle w:val="BodyText"/>
              <w:spacing w:after="120"/>
            </w:pPr>
            <w:r w:rsidRPr="002C3B0F">
              <w:t>109,000 NOK</w:t>
            </w:r>
          </w:p>
          <w:p w:rsidR="00EB1A2F" w:rsidRPr="002C3B0F" w:rsidRDefault="00EB1A2F" w:rsidP="00981420">
            <w:pPr>
              <w:spacing w:after="120"/>
            </w:pPr>
            <w:r w:rsidRPr="002C3B0F">
              <w:t>(A$18,047.25)</w:t>
            </w:r>
            <w:r w:rsidRPr="002C3B0F">
              <w:rPr>
                <w:vertAlign w:val="superscript"/>
              </w:rPr>
              <w:t xml:space="preserve"> </w:t>
            </w:r>
          </w:p>
        </w:tc>
      </w:tr>
      <w:tr w:rsidR="00EB1A2F" w:rsidRPr="002C3B0F" w:rsidTr="00A42491">
        <w:trPr>
          <w:cnfStyle w:val="000000100000" w:firstRow="0" w:lastRow="0" w:firstColumn="0" w:lastColumn="0" w:oddVBand="0" w:evenVBand="0" w:oddHBand="1" w:evenHBand="0" w:firstRowFirstColumn="0" w:firstRowLastColumn="0" w:lastRowFirstColumn="0" w:lastRowLastColumn="0"/>
        </w:trPr>
        <w:tc>
          <w:tcPr>
            <w:tcW w:w="4379" w:type="dxa"/>
          </w:tcPr>
          <w:p w:rsidR="00EB1A2F" w:rsidRPr="002C3B0F" w:rsidRDefault="00EB1A2F" w:rsidP="00EB1A2F">
            <w:pPr>
              <w:pStyle w:val="BodyText"/>
              <w:spacing w:after="120"/>
            </w:pPr>
            <w:r w:rsidRPr="002C3B0F">
              <w:t>Seismic Survey Fee</w:t>
            </w:r>
          </w:p>
        </w:tc>
        <w:tc>
          <w:tcPr>
            <w:tcW w:w="2279" w:type="dxa"/>
          </w:tcPr>
          <w:p w:rsidR="00EB1A2F" w:rsidRPr="002C3B0F" w:rsidRDefault="00EB1A2F" w:rsidP="00EB1A2F">
            <w:pPr>
              <w:pStyle w:val="BodyText"/>
              <w:spacing w:after="120"/>
            </w:pPr>
            <w:r w:rsidRPr="002C3B0F">
              <w:t>33,000 NOK</w:t>
            </w:r>
          </w:p>
          <w:p w:rsidR="00EB1A2F" w:rsidRPr="002C3B0F" w:rsidRDefault="00EB1A2F" w:rsidP="00981420">
            <w:pPr>
              <w:spacing w:after="120"/>
            </w:pPr>
            <w:r w:rsidRPr="002C3B0F">
              <w:t>($A5,463.85)</w:t>
            </w:r>
            <w:r w:rsidRPr="002C3B0F">
              <w:rPr>
                <w:vertAlign w:val="superscript"/>
              </w:rPr>
              <w:t xml:space="preserve"> </w:t>
            </w:r>
          </w:p>
        </w:tc>
      </w:tr>
      <w:tr w:rsidR="00EB1A2F" w:rsidRPr="002C3B0F" w:rsidTr="00A42491">
        <w:trPr>
          <w:cnfStyle w:val="000000010000" w:firstRow="0" w:lastRow="0" w:firstColumn="0" w:lastColumn="0" w:oddVBand="0" w:evenVBand="0" w:oddHBand="0" w:evenHBand="1" w:firstRowFirstColumn="0" w:firstRowLastColumn="0" w:lastRowFirstColumn="0" w:lastRowLastColumn="0"/>
        </w:trPr>
        <w:tc>
          <w:tcPr>
            <w:tcW w:w="4379" w:type="dxa"/>
          </w:tcPr>
          <w:p w:rsidR="00EB1A2F" w:rsidRPr="002C3B0F" w:rsidRDefault="00EB1A2F" w:rsidP="00EB1A2F">
            <w:pPr>
              <w:pStyle w:val="BodyText"/>
              <w:spacing w:after="120"/>
              <w:rPr>
                <w:vertAlign w:val="superscript"/>
              </w:rPr>
            </w:pPr>
            <w:r w:rsidRPr="002C3B0F">
              <w:t>Area Fee (Year 1)- per km</w:t>
            </w:r>
            <w:r w:rsidRPr="002C3B0F">
              <w:rPr>
                <w:vertAlign w:val="superscript"/>
              </w:rPr>
              <w:t>2</w:t>
            </w:r>
          </w:p>
        </w:tc>
        <w:tc>
          <w:tcPr>
            <w:tcW w:w="2279" w:type="dxa"/>
          </w:tcPr>
          <w:p w:rsidR="00EB1A2F" w:rsidRPr="002C3B0F" w:rsidRDefault="00EB1A2F" w:rsidP="00EB1A2F">
            <w:pPr>
              <w:pStyle w:val="BodyText"/>
              <w:spacing w:after="120"/>
            </w:pPr>
            <w:r w:rsidRPr="002C3B0F">
              <w:t>30,000 NOK</w:t>
            </w:r>
          </w:p>
          <w:p w:rsidR="00EB1A2F" w:rsidRPr="002C3B0F" w:rsidRDefault="00EB1A2F" w:rsidP="00EB1A2F">
            <w:pPr>
              <w:spacing w:after="120"/>
            </w:pPr>
            <w:r w:rsidRPr="002C3B0F">
              <w:t>($A4,967.13)</w:t>
            </w:r>
            <w:r w:rsidRPr="002C3B0F">
              <w:rPr>
                <w:vertAlign w:val="superscript"/>
              </w:rPr>
              <w:t xml:space="preserve"> </w:t>
            </w:r>
          </w:p>
        </w:tc>
      </w:tr>
      <w:tr w:rsidR="00EB1A2F" w:rsidRPr="002C3B0F" w:rsidTr="00A42491">
        <w:trPr>
          <w:cnfStyle w:val="000000100000" w:firstRow="0" w:lastRow="0" w:firstColumn="0" w:lastColumn="0" w:oddVBand="0" w:evenVBand="0" w:oddHBand="1" w:evenHBand="0" w:firstRowFirstColumn="0" w:firstRowLastColumn="0" w:lastRowFirstColumn="0" w:lastRowLastColumn="0"/>
        </w:trPr>
        <w:tc>
          <w:tcPr>
            <w:tcW w:w="4379" w:type="dxa"/>
          </w:tcPr>
          <w:p w:rsidR="00EB1A2F" w:rsidRPr="002C3B0F" w:rsidRDefault="00EB1A2F" w:rsidP="00EB1A2F">
            <w:pPr>
              <w:pStyle w:val="BodyText"/>
              <w:spacing w:after="120"/>
            </w:pPr>
            <w:r w:rsidRPr="002C3B0F">
              <w:lastRenderedPageBreak/>
              <w:t>Area Fee (Year 2)- per km</w:t>
            </w:r>
            <w:r w:rsidRPr="002C3B0F">
              <w:rPr>
                <w:vertAlign w:val="superscript"/>
              </w:rPr>
              <w:t>2</w:t>
            </w:r>
          </w:p>
        </w:tc>
        <w:tc>
          <w:tcPr>
            <w:tcW w:w="2279" w:type="dxa"/>
          </w:tcPr>
          <w:p w:rsidR="00EB1A2F" w:rsidRPr="002C3B0F" w:rsidRDefault="00EB1A2F" w:rsidP="00EB1A2F">
            <w:pPr>
              <w:pStyle w:val="BodyText"/>
              <w:spacing w:after="120"/>
            </w:pPr>
            <w:r w:rsidRPr="002C3B0F">
              <w:t>60,000 NOK</w:t>
            </w:r>
          </w:p>
          <w:p w:rsidR="00EB1A2F" w:rsidRPr="002C3B0F" w:rsidRDefault="00EB1A2F" w:rsidP="00EB1A2F">
            <w:pPr>
              <w:spacing w:after="120"/>
            </w:pPr>
            <w:r w:rsidRPr="002C3B0F">
              <w:t>($A9,934.27)</w:t>
            </w:r>
            <w:r w:rsidRPr="002C3B0F">
              <w:rPr>
                <w:vertAlign w:val="superscript"/>
              </w:rPr>
              <w:t xml:space="preserve"> </w:t>
            </w:r>
          </w:p>
        </w:tc>
      </w:tr>
      <w:tr w:rsidR="00EB1A2F" w:rsidRPr="002C3B0F" w:rsidTr="00A42491">
        <w:trPr>
          <w:cnfStyle w:val="000000010000" w:firstRow="0" w:lastRow="0" w:firstColumn="0" w:lastColumn="0" w:oddVBand="0" w:evenVBand="0" w:oddHBand="0" w:evenHBand="1" w:firstRowFirstColumn="0" w:firstRowLastColumn="0" w:lastRowFirstColumn="0" w:lastRowLastColumn="0"/>
        </w:trPr>
        <w:tc>
          <w:tcPr>
            <w:tcW w:w="4379" w:type="dxa"/>
          </w:tcPr>
          <w:p w:rsidR="00EB1A2F" w:rsidRPr="002C3B0F" w:rsidRDefault="00EB1A2F" w:rsidP="00EB1A2F">
            <w:pPr>
              <w:pStyle w:val="BodyText"/>
              <w:spacing w:after="120"/>
            </w:pPr>
            <w:r w:rsidRPr="002C3B0F">
              <w:t>Area Fee (Year 3)- per km</w:t>
            </w:r>
            <w:r w:rsidRPr="002C3B0F">
              <w:rPr>
                <w:vertAlign w:val="superscript"/>
              </w:rPr>
              <w:t>2</w:t>
            </w:r>
          </w:p>
        </w:tc>
        <w:tc>
          <w:tcPr>
            <w:tcW w:w="2279" w:type="dxa"/>
          </w:tcPr>
          <w:p w:rsidR="00EB1A2F" w:rsidRPr="002C3B0F" w:rsidRDefault="00EB1A2F" w:rsidP="00EB1A2F">
            <w:pPr>
              <w:pStyle w:val="BodyText"/>
              <w:spacing w:after="120"/>
            </w:pPr>
            <w:r w:rsidRPr="002C3B0F">
              <w:t>120,000 NOK</w:t>
            </w:r>
          </w:p>
          <w:p w:rsidR="00EB1A2F" w:rsidRPr="002C3B0F" w:rsidRDefault="00EB1A2F" w:rsidP="00EB1A2F">
            <w:pPr>
              <w:spacing w:after="120"/>
            </w:pPr>
            <w:r w:rsidRPr="002C3B0F">
              <w:t>($19,968.54)</w:t>
            </w:r>
            <w:r w:rsidRPr="002C3B0F">
              <w:rPr>
                <w:vertAlign w:val="superscript"/>
              </w:rPr>
              <w:t xml:space="preserve"> </w:t>
            </w:r>
          </w:p>
        </w:tc>
      </w:tr>
      <w:tr w:rsidR="00EB1A2F" w:rsidRPr="002C3B0F" w:rsidTr="00A42491">
        <w:trPr>
          <w:cnfStyle w:val="000000100000" w:firstRow="0" w:lastRow="0" w:firstColumn="0" w:lastColumn="0" w:oddVBand="0" w:evenVBand="0" w:oddHBand="1" w:evenHBand="0" w:firstRowFirstColumn="0" w:firstRowLastColumn="0" w:lastRowFirstColumn="0" w:lastRowLastColumn="0"/>
        </w:trPr>
        <w:tc>
          <w:tcPr>
            <w:tcW w:w="4379" w:type="dxa"/>
          </w:tcPr>
          <w:p w:rsidR="00EB1A2F" w:rsidRPr="002C3B0F" w:rsidRDefault="00EB1A2F" w:rsidP="00EB1A2F">
            <w:pPr>
              <w:pStyle w:val="BodyText"/>
              <w:spacing w:after="120"/>
            </w:pPr>
            <w:r w:rsidRPr="002C3B0F">
              <w:t>Annual Exploration and Exploitation of Submarine Petroleum Resources- per km</w:t>
            </w:r>
            <w:r w:rsidRPr="002C3B0F">
              <w:rPr>
                <w:vertAlign w:val="superscript"/>
              </w:rPr>
              <w:t>2</w:t>
            </w:r>
            <w:r w:rsidRPr="002C3B0F">
              <w:t xml:space="preserve"> </w:t>
            </w:r>
          </w:p>
        </w:tc>
        <w:tc>
          <w:tcPr>
            <w:tcW w:w="2279" w:type="dxa"/>
          </w:tcPr>
          <w:p w:rsidR="00EB1A2F" w:rsidRPr="002C3B0F" w:rsidRDefault="00EB1A2F" w:rsidP="00EB1A2F">
            <w:pPr>
              <w:pStyle w:val="BodyText"/>
              <w:spacing w:after="120"/>
            </w:pPr>
            <w:r w:rsidRPr="002C3B0F">
              <w:t>40,000 NOK</w:t>
            </w:r>
          </w:p>
          <w:p w:rsidR="00EB1A2F" w:rsidRPr="002C3B0F" w:rsidRDefault="00EB1A2F" w:rsidP="00EB1A2F">
            <w:pPr>
              <w:spacing w:after="120"/>
            </w:pPr>
            <w:r w:rsidRPr="002C3B0F">
              <w:t>($6,622.85)</w:t>
            </w:r>
            <w:r w:rsidRPr="002C3B0F">
              <w:rPr>
                <w:vertAlign w:val="superscript"/>
              </w:rPr>
              <w:t xml:space="preserve"> </w:t>
            </w:r>
          </w:p>
        </w:tc>
      </w:tr>
    </w:tbl>
    <w:p w:rsidR="00EB1A2F" w:rsidRPr="007B3EEC" w:rsidRDefault="00EB1A2F" w:rsidP="003B2B7E">
      <w:pPr>
        <w:pStyle w:val="Footnotes"/>
      </w:pPr>
      <w:r w:rsidRPr="003F2AC2">
        <w:rPr>
          <w:vertAlign w:val="superscript"/>
        </w:rPr>
        <w:t>†</w:t>
      </w:r>
      <w:r w:rsidRPr="007B3EEC">
        <w:t xml:space="preserve"> Based on Exchange Rate COB 8 Jun 2015 from </w:t>
      </w:r>
      <w:r w:rsidR="00D772E3" w:rsidRPr="007B3EEC">
        <w:t>Norwegian</w:t>
      </w:r>
      <w:r w:rsidRPr="007B3EEC">
        <w:t xml:space="preserve"> Central Bank ($A1 = 6.0397 NOK)</w:t>
      </w:r>
      <w:r w:rsidRPr="007B3EEC">
        <w:rPr>
          <w:rStyle w:val="FootnoteReference"/>
          <w:rFonts w:cs="Arial"/>
        </w:rPr>
        <w:footnoteReference w:id="24"/>
      </w:r>
    </w:p>
    <w:p w:rsidR="00EB1A2F" w:rsidRPr="002C3B0F" w:rsidRDefault="003C4B72" w:rsidP="003C4B72">
      <w:pPr>
        <w:pStyle w:val="Heading3"/>
      </w:pPr>
      <w:bookmarkStart w:id="137" w:name="_Toc423426804"/>
      <w:bookmarkStart w:id="138" w:name="_Toc430102214"/>
      <w:r w:rsidRPr="00E42D56">
        <w:rPr>
          <w:rStyle w:val="Heading3Char0"/>
        </w:rPr>
        <w:t>U</w:t>
      </w:r>
      <w:r w:rsidR="00EB1A2F" w:rsidRPr="00E42D56">
        <w:rPr>
          <w:rStyle w:val="Heading3Char0"/>
        </w:rPr>
        <w:t xml:space="preserve">nited </w:t>
      </w:r>
      <w:r w:rsidRPr="00E42D56">
        <w:rPr>
          <w:rStyle w:val="Heading3Char0"/>
        </w:rPr>
        <w:t>K</w:t>
      </w:r>
      <w:r w:rsidR="00EB1A2F" w:rsidRPr="00E42D56">
        <w:rPr>
          <w:rStyle w:val="Heading3Char0"/>
        </w:rPr>
        <w:t>ingdom</w:t>
      </w:r>
      <w:r w:rsidR="00EB1A2F" w:rsidRPr="002C3B0F">
        <w:rPr>
          <w:rStyle w:val="FootnoteReference"/>
        </w:rPr>
        <w:footnoteReference w:id="25"/>
      </w:r>
      <w:bookmarkEnd w:id="137"/>
      <w:bookmarkEnd w:id="138"/>
    </w:p>
    <w:p w:rsidR="00EB1A2F" w:rsidRPr="002C3B0F" w:rsidRDefault="00EB1A2F" w:rsidP="00EB1A2F">
      <w:pPr>
        <w:pStyle w:val="BodyText"/>
      </w:pPr>
      <w:r w:rsidRPr="002C3B0F">
        <w:t xml:space="preserve">In the United Kingdom, a charge must be paid for the following authorisations and consents: a carbon dioxide storage proposal, a development and production programme; a development plan; </w:t>
      </w:r>
      <w:r w:rsidR="00E42D56">
        <w:t>or a pipeline deposit proposal.</w:t>
      </w:r>
    </w:p>
    <w:p w:rsidR="00EB1A2F" w:rsidRPr="002C3B0F" w:rsidRDefault="00EB1A2F" w:rsidP="00EB1A2F">
      <w:pPr>
        <w:pStyle w:val="BodyText"/>
      </w:pPr>
      <w:r w:rsidRPr="002C3B0F">
        <w:t xml:space="preserve">The charge is determined by a formula. Companies can </w:t>
      </w:r>
      <w:r w:rsidR="00660077" w:rsidRPr="002C3B0F">
        <w:t>submit a</w:t>
      </w:r>
      <w:r w:rsidRPr="002C3B0F">
        <w:t xml:space="preserve"> ‘Charges Request’ to the Secretary of State for Energy. The Secretary of State will estimate the days and officers required to </w:t>
      </w:r>
      <w:r w:rsidR="00E42D56">
        <w:t>consider the title application.</w:t>
      </w:r>
    </w:p>
    <w:p w:rsidR="00EB1A2F" w:rsidRDefault="00E42D56" w:rsidP="004F0F25">
      <w:pPr>
        <w:pStyle w:val="BodyText"/>
        <w:spacing w:after="120"/>
      </w:pPr>
      <w:r>
        <w:t>The formula is:</w:t>
      </w:r>
    </w:p>
    <w:p w:rsidR="00EB1A2F" w:rsidRPr="00E42D56" w:rsidRDefault="002A0EB9" w:rsidP="00E42D56">
      <w:pPr>
        <w:spacing w:after="0"/>
      </w:pPr>
      <w:r>
        <w:rPr>
          <w:rFonts w:cs="Arial"/>
        </w:rPr>
        <w:t>£</w:t>
      </w:r>
      <w:r>
        <w:t>500 x A x B</w:t>
      </w:r>
    </w:p>
    <w:p w:rsidR="002A0EB9" w:rsidRDefault="002A0EB9" w:rsidP="00E42D56">
      <w:pPr>
        <w:pStyle w:val="BodyText"/>
        <w:spacing w:before="240" w:after="120"/>
        <w:rPr>
          <w:lang w:eastAsia="en-AU"/>
        </w:rPr>
      </w:pPr>
      <w:r>
        <w:rPr>
          <w:lang w:eastAsia="en-AU"/>
        </w:rPr>
        <w:t>Where:</w:t>
      </w:r>
    </w:p>
    <w:p w:rsidR="00EB1A2F" w:rsidRPr="002C3B0F" w:rsidRDefault="00EB1A2F" w:rsidP="008E1DC4">
      <w:pPr>
        <w:pStyle w:val="BodyText"/>
        <w:numPr>
          <w:ilvl w:val="0"/>
          <w:numId w:val="17"/>
        </w:numPr>
        <w:spacing w:after="120"/>
        <w:ind w:left="567" w:hanging="567"/>
        <w:rPr>
          <w:lang w:eastAsia="en-AU"/>
        </w:rPr>
      </w:pPr>
      <w:r w:rsidRPr="002C3B0F">
        <w:rPr>
          <w:lang w:eastAsia="en-AU"/>
        </w:rPr>
        <w:t>A is the number of days estimated to consider the application</w:t>
      </w:r>
    </w:p>
    <w:p w:rsidR="00EB1A2F" w:rsidRPr="002C3B0F" w:rsidRDefault="00EB1A2F" w:rsidP="008E1DC4">
      <w:pPr>
        <w:pStyle w:val="BodyText"/>
        <w:numPr>
          <w:ilvl w:val="0"/>
          <w:numId w:val="17"/>
        </w:numPr>
        <w:spacing w:after="120"/>
        <w:ind w:left="567" w:hanging="567"/>
        <w:rPr>
          <w:lang w:eastAsia="en-AU"/>
        </w:rPr>
      </w:pPr>
      <w:r w:rsidRPr="002C3B0F">
        <w:rPr>
          <w:lang w:eastAsia="en-AU"/>
        </w:rPr>
        <w:t>B is the number of officers estimated to consider the application</w:t>
      </w:r>
    </w:p>
    <w:p w:rsidR="00EB1A2F" w:rsidRPr="002C3B0F" w:rsidRDefault="00EB1A2F" w:rsidP="00EB1A2F">
      <w:pPr>
        <w:pStyle w:val="BodyText"/>
        <w:rPr>
          <w:lang w:eastAsia="en-AU"/>
        </w:rPr>
      </w:pPr>
      <w:r w:rsidRPr="002C3B0F">
        <w:rPr>
          <w:lang w:eastAsia="en-AU"/>
        </w:rPr>
        <w:t>There are other charges fo</w:t>
      </w:r>
      <w:r w:rsidR="00E42D56">
        <w:rPr>
          <w:lang w:eastAsia="en-AU"/>
        </w:rPr>
        <w:t>r authorisations these include:</w:t>
      </w:r>
    </w:p>
    <w:tbl>
      <w:tblPr>
        <w:tblStyle w:val="TableGrid"/>
        <w:tblW w:w="0" w:type="auto"/>
        <w:tblLook w:val="04A0" w:firstRow="1" w:lastRow="0" w:firstColumn="1" w:lastColumn="0" w:noHBand="0" w:noVBand="1"/>
      </w:tblPr>
      <w:tblGrid>
        <w:gridCol w:w="5524"/>
        <w:gridCol w:w="2409"/>
      </w:tblGrid>
      <w:tr w:rsidR="00EB1A2F" w:rsidRPr="004A19DF" w:rsidTr="004F0F25">
        <w:trPr>
          <w:cnfStyle w:val="100000000000" w:firstRow="1" w:lastRow="0" w:firstColumn="0" w:lastColumn="0" w:oddVBand="0" w:evenVBand="0" w:oddHBand="0" w:evenHBand="0" w:firstRowFirstColumn="0" w:firstRowLastColumn="0" w:lastRowFirstColumn="0" w:lastRowLastColumn="0"/>
          <w:tblHeader/>
        </w:trPr>
        <w:tc>
          <w:tcPr>
            <w:tcW w:w="5524" w:type="dxa"/>
          </w:tcPr>
          <w:p w:rsidR="00EB1A2F" w:rsidRPr="004A19DF" w:rsidRDefault="00EB1A2F" w:rsidP="00EB1A2F">
            <w:pPr>
              <w:spacing w:after="120"/>
              <w:rPr>
                <w:lang w:eastAsia="en-AU"/>
              </w:rPr>
            </w:pPr>
            <w:r w:rsidRPr="004A19DF">
              <w:rPr>
                <w:lang w:eastAsia="en-AU"/>
              </w:rPr>
              <w:t>Type Fee/Levy</w:t>
            </w:r>
          </w:p>
        </w:tc>
        <w:tc>
          <w:tcPr>
            <w:tcW w:w="2409" w:type="dxa"/>
          </w:tcPr>
          <w:p w:rsidR="00EB1A2F" w:rsidRPr="004A19DF" w:rsidRDefault="00EB1A2F" w:rsidP="00EB1A2F">
            <w:pPr>
              <w:spacing w:after="120"/>
              <w:rPr>
                <w:lang w:eastAsia="en-AU"/>
              </w:rPr>
            </w:pPr>
            <w:r w:rsidRPr="004A19DF">
              <w:rPr>
                <w:lang w:eastAsia="en-AU"/>
              </w:rPr>
              <w:t>Amount</w:t>
            </w:r>
            <w:r w:rsidR="004F0F25" w:rsidRPr="002C3B0F">
              <w:rPr>
                <w:vertAlign w:val="superscript"/>
                <w:lang w:eastAsia="en-AU"/>
              </w:rPr>
              <w:t xml:space="preserve"> α</w:t>
            </w:r>
          </w:p>
        </w:tc>
      </w:tr>
      <w:tr w:rsidR="00EB1A2F" w:rsidRPr="002C3B0F" w:rsidTr="004F0F25">
        <w:trPr>
          <w:cnfStyle w:val="000000100000" w:firstRow="0" w:lastRow="0" w:firstColumn="0" w:lastColumn="0" w:oddVBand="0" w:evenVBand="0" w:oddHBand="1" w:evenHBand="0" w:firstRowFirstColumn="0" w:firstRowLastColumn="0" w:lastRowFirstColumn="0" w:lastRowLastColumn="0"/>
        </w:trPr>
        <w:tc>
          <w:tcPr>
            <w:tcW w:w="5524" w:type="dxa"/>
          </w:tcPr>
          <w:p w:rsidR="00EB1A2F" w:rsidRPr="002C3B0F" w:rsidRDefault="00EB1A2F" w:rsidP="00EB1A2F">
            <w:pPr>
              <w:spacing w:after="120"/>
              <w:rPr>
                <w:lang w:eastAsia="en-AU"/>
              </w:rPr>
            </w:pPr>
            <w:r w:rsidRPr="002C3B0F">
              <w:rPr>
                <w:lang w:eastAsia="en-AU"/>
              </w:rPr>
              <w:t>Methodology proposed for the measurement of petroleum</w:t>
            </w:r>
          </w:p>
        </w:tc>
        <w:tc>
          <w:tcPr>
            <w:tcW w:w="2409" w:type="dxa"/>
          </w:tcPr>
          <w:p w:rsidR="00EB1A2F" w:rsidRPr="002C3B0F" w:rsidRDefault="00EB1A2F" w:rsidP="004F0F25">
            <w:pPr>
              <w:spacing w:after="120"/>
              <w:rPr>
                <w:vertAlign w:val="superscript"/>
                <w:lang w:eastAsia="en-AU"/>
              </w:rPr>
            </w:pPr>
            <w:r w:rsidRPr="002C3B0F">
              <w:rPr>
                <w:lang w:eastAsia="en-AU"/>
              </w:rPr>
              <w:t>£920</w:t>
            </w:r>
            <w:r w:rsidR="004F0F25">
              <w:rPr>
                <w:lang w:eastAsia="en-AU"/>
              </w:rPr>
              <w:t xml:space="preserve">  </w:t>
            </w:r>
            <w:r w:rsidRPr="002C3B0F">
              <w:rPr>
                <w:lang w:eastAsia="en-AU"/>
              </w:rPr>
              <w:t>($A1,838.16)</w:t>
            </w:r>
          </w:p>
        </w:tc>
      </w:tr>
      <w:tr w:rsidR="00EB1A2F" w:rsidRPr="002C3B0F" w:rsidTr="004F0F25">
        <w:trPr>
          <w:cnfStyle w:val="000000010000" w:firstRow="0" w:lastRow="0" w:firstColumn="0" w:lastColumn="0" w:oddVBand="0" w:evenVBand="0" w:oddHBand="0" w:evenHBand="1" w:firstRowFirstColumn="0" w:firstRowLastColumn="0" w:lastRowFirstColumn="0" w:lastRowLastColumn="0"/>
        </w:trPr>
        <w:tc>
          <w:tcPr>
            <w:tcW w:w="5524" w:type="dxa"/>
          </w:tcPr>
          <w:p w:rsidR="00EB1A2F" w:rsidRPr="002C3B0F" w:rsidRDefault="00EB1A2F" w:rsidP="00EB1A2F">
            <w:pPr>
              <w:spacing w:after="120"/>
              <w:rPr>
                <w:lang w:eastAsia="en-AU"/>
              </w:rPr>
            </w:pPr>
            <w:r w:rsidRPr="002C3B0F">
              <w:rPr>
                <w:lang w:eastAsia="en-AU"/>
              </w:rPr>
              <w:t>Drill a primary well</w:t>
            </w:r>
          </w:p>
        </w:tc>
        <w:tc>
          <w:tcPr>
            <w:tcW w:w="2409" w:type="dxa"/>
          </w:tcPr>
          <w:p w:rsidR="00EB1A2F" w:rsidRPr="002C3B0F" w:rsidRDefault="00EB1A2F" w:rsidP="004F0F25">
            <w:pPr>
              <w:spacing w:after="120"/>
              <w:rPr>
                <w:lang w:eastAsia="en-AU"/>
              </w:rPr>
            </w:pPr>
            <w:r w:rsidRPr="002C3B0F">
              <w:rPr>
                <w:lang w:eastAsia="en-AU"/>
              </w:rPr>
              <w:t>£647</w:t>
            </w:r>
            <w:r w:rsidR="004F0F25">
              <w:rPr>
                <w:lang w:eastAsia="en-AU"/>
              </w:rPr>
              <w:t xml:space="preserve">  </w:t>
            </w:r>
            <w:r w:rsidRPr="002C3B0F">
              <w:rPr>
                <w:lang w:eastAsia="en-AU"/>
              </w:rPr>
              <w:t>($A1,292.71)</w:t>
            </w:r>
            <w:r w:rsidRPr="002C3B0F">
              <w:rPr>
                <w:vertAlign w:val="superscript"/>
                <w:lang w:eastAsia="en-AU"/>
              </w:rPr>
              <w:t xml:space="preserve"> </w:t>
            </w:r>
          </w:p>
        </w:tc>
      </w:tr>
      <w:tr w:rsidR="00EB1A2F" w:rsidRPr="002C3B0F" w:rsidTr="004F0F25">
        <w:trPr>
          <w:cnfStyle w:val="000000100000" w:firstRow="0" w:lastRow="0" w:firstColumn="0" w:lastColumn="0" w:oddVBand="0" w:evenVBand="0" w:oddHBand="1" w:evenHBand="0" w:firstRowFirstColumn="0" w:firstRowLastColumn="0" w:lastRowFirstColumn="0" w:lastRowLastColumn="0"/>
        </w:trPr>
        <w:tc>
          <w:tcPr>
            <w:tcW w:w="5524" w:type="dxa"/>
          </w:tcPr>
          <w:p w:rsidR="00EB1A2F" w:rsidRPr="002C3B0F" w:rsidRDefault="00EB1A2F" w:rsidP="00EB1A2F">
            <w:pPr>
              <w:spacing w:after="120"/>
              <w:rPr>
                <w:lang w:eastAsia="en-AU"/>
              </w:rPr>
            </w:pPr>
            <w:r w:rsidRPr="002C3B0F">
              <w:rPr>
                <w:lang w:eastAsia="en-AU"/>
              </w:rPr>
              <w:t>Drill a sidetrack well branching off the principal well to a target location different from that of the principal well</w:t>
            </w:r>
          </w:p>
        </w:tc>
        <w:tc>
          <w:tcPr>
            <w:tcW w:w="2409" w:type="dxa"/>
          </w:tcPr>
          <w:p w:rsidR="00EB1A2F" w:rsidRPr="002C3B0F" w:rsidRDefault="00EB1A2F" w:rsidP="004F0F25">
            <w:pPr>
              <w:spacing w:after="120"/>
              <w:rPr>
                <w:lang w:eastAsia="en-AU"/>
              </w:rPr>
            </w:pPr>
            <w:r w:rsidRPr="002C3B0F">
              <w:rPr>
                <w:lang w:eastAsia="en-AU"/>
              </w:rPr>
              <w:t>£532</w:t>
            </w:r>
            <w:r w:rsidR="004F0F25">
              <w:rPr>
                <w:lang w:eastAsia="en-AU"/>
              </w:rPr>
              <w:t xml:space="preserve">  </w:t>
            </w:r>
            <w:r w:rsidRPr="002C3B0F">
              <w:rPr>
                <w:lang w:eastAsia="en-AU"/>
              </w:rPr>
              <w:t>(A$1,026.94)</w:t>
            </w:r>
            <w:r w:rsidRPr="002C3B0F">
              <w:rPr>
                <w:vertAlign w:val="superscript"/>
                <w:lang w:eastAsia="en-AU"/>
              </w:rPr>
              <w:t xml:space="preserve"> </w:t>
            </w:r>
          </w:p>
        </w:tc>
      </w:tr>
      <w:tr w:rsidR="00EB1A2F" w:rsidRPr="002C3B0F" w:rsidTr="004F0F25">
        <w:trPr>
          <w:cnfStyle w:val="000000010000" w:firstRow="0" w:lastRow="0" w:firstColumn="0" w:lastColumn="0" w:oddVBand="0" w:evenVBand="0" w:oddHBand="0" w:evenHBand="1" w:firstRowFirstColumn="0" w:firstRowLastColumn="0" w:lastRowFirstColumn="0" w:lastRowLastColumn="0"/>
        </w:trPr>
        <w:tc>
          <w:tcPr>
            <w:tcW w:w="5524" w:type="dxa"/>
          </w:tcPr>
          <w:p w:rsidR="00EB1A2F" w:rsidRPr="002C3B0F" w:rsidRDefault="00EB1A2F" w:rsidP="00EB1A2F">
            <w:pPr>
              <w:spacing w:after="120"/>
              <w:rPr>
                <w:lang w:eastAsia="en-AU"/>
              </w:rPr>
            </w:pPr>
            <w:r w:rsidRPr="002C3B0F">
              <w:rPr>
                <w:lang w:eastAsia="en-AU"/>
              </w:rPr>
              <w:lastRenderedPageBreak/>
              <w:t xml:space="preserve">Fit or refit equipment in a well for the purpose </w:t>
            </w:r>
          </w:p>
        </w:tc>
        <w:tc>
          <w:tcPr>
            <w:tcW w:w="2409" w:type="dxa"/>
          </w:tcPr>
          <w:p w:rsidR="00EB1A2F" w:rsidRPr="002C3B0F" w:rsidRDefault="00EB1A2F" w:rsidP="004F0F25">
            <w:pPr>
              <w:spacing w:after="120"/>
              <w:rPr>
                <w:lang w:eastAsia="en-AU"/>
              </w:rPr>
            </w:pPr>
            <w:r w:rsidRPr="002C3B0F">
              <w:rPr>
                <w:lang w:eastAsia="en-AU"/>
              </w:rPr>
              <w:t>£506</w:t>
            </w:r>
            <w:r w:rsidR="004F0F25">
              <w:rPr>
                <w:lang w:eastAsia="en-AU"/>
              </w:rPr>
              <w:t xml:space="preserve">  </w:t>
            </w:r>
            <w:r w:rsidRPr="002C3B0F">
              <w:rPr>
                <w:lang w:eastAsia="en-AU"/>
              </w:rPr>
              <w:t>(A$1,010.99)</w:t>
            </w:r>
            <w:r w:rsidRPr="002C3B0F">
              <w:rPr>
                <w:vertAlign w:val="superscript"/>
                <w:lang w:eastAsia="en-AU"/>
              </w:rPr>
              <w:t xml:space="preserve"> </w:t>
            </w:r>
          </w:p>
        </w:tc>
      </w:tr>
      <w:tr w:rsidR="00EB1A2F" w:rsidRPr="002C3B0F" w:rsidTr="004F0F25">
        <w:trPr>
          <w:cnfStyle w:val="000000100000" w:firstRow="0" w:lastRow="0" w:firstColumn="0" w:lastColumn="0" w:oddVBand="0" w:evenVBand="0" w:oddHBand="1" w:evenHBand="0" w:firstRowFirstColumn="0" w:firstRowLastColumn="0" w:lastRowFirstColumn="0" w:lastRowLastColumn="0"/>
        </w:trPr>
        <w:tc>
          <w:tcPr>
            <w:tcW w:w="5524" w:type="dxa"/>
          </w:tcPr>
          <w:p w:rsidR="00EB1A2F" w:rsidRPr="002C3B0F" w:rsidRDefault="00EB1A2F" w:rsidP="00EB1A2F">
            <w:pPr>
              <w:spacing w:after="120"/>
              <w:rPr>
                <w:lang w:eastAsia="en-AU"/>
              </w:rPr>
            </w:pPr>
            <w:r w:rsidRPr="002C3B0F">
              <w:rPr>
                <w:lang w:eastAsia="en-AU"/>
              </w:rPr>
              <w:t>Get petroleum from a licensed area</w:t>
            </w:r>
          </w:p>
        </w:tc>
        <w:tc>
          <w:tcPr>
            <w:tcW w:w="2409" w:type="dxa"/>
          </w:tcPr>
          <w:p w:rsidR="00EB1A2F" w:rsidRPr="002C3B0F" w:rsidRDefault="00EB1A2F" w:rsidP="004F0F25">
            <w:pPr>
              <w:spacing w:after="120"/>
              <w:rPr>
                <w:lang w:eastAsia="en-AU"/>
              </w:rPr>
            </w:pPr>
            <w:r w:rsidRPr="002C3B0F">
              <w:rPr>
                <w:lang w:eastAsia="en-AU"/>
              </w:rPr>
              <w:t>£994</w:t>
            </w:r>
            <w:r w:rsidR="004F0F25">
              <w:rPr>
                <w:lang w:eastAsia="en-AU"/>
              </w:rPr>
              <w:t xml:space="preserve">  </w:t>
            </w:r>
            <w:r w:rsidRPr="002C3B0F">
              <w:rPr>
                <w:lang w:eastAsia="en-AU"/>
              </w:rPr>
              <w:t>(A$1,986.01)</w:t>
            </w:r>
            <w:r w:rsidRPr="002C3B0F">
              <w:rPr>
                <w:vertAlign w:val="superscript"/>
                <w:lang w:eastAsia="en-AU"/>
              </w:rPr>
              <w:t xml:space="preserve"> </w:t>
            </w:r>
          </w:p>
        </w:tc>
      </w:tr>
      <w:tr w:rsidR="00EB1A2F" w:rsidRPr="002C3B0F" w:rsidTr="004F0F25">
        <w:trPr>
          <w:cnfStyle w:val="000000010000" w:firstRow="0" w:lastRow="0" w:firstColumn="0" w:lastColumn="0" w:oddVBand="0" w:evenVBand="0" w:oddHBand="0" w:evenHBand="1" w:firstRowFirstColumn="0" w:firstRowLastColumn="0" w:lastRowFirstColumn="0" w:lastRowLastColumn="0"/>
        </w:trPr>
        <w:tc>
          <w:tcPr>
            <w:tcW w:w="5524" w:type="dxa"/>
          </w:tcPr>
          <w:p w:rsidR="00EB1A2F" w:rsidRPr="002C3B0F" w:rsidRDefault="00EB1A2F" w:rsidP="00EB1A2F">
            <w:pPr>
              <w:spacing w:after="120"/>
              <w:rPr>
                <w:lang w:eastAsia="en-AU"/>
              </w:rPr>
            </w:pPr>
            <w:r w:rsidRPr="002C3B0F">
              <w:rPr>
                <w:lang w:eastAsia="en-AU"/>
              </w:rPr>
              <w:t>Variation of a consent to get petroleum from a licensed area</w:t>
            </w:r>
          </w:p>
        </w:tc>
        <w:tc>
          <w:tcPr>
            <w:tcW w:w="2409" w:type="dxa"/>
          </w:tcPr>
          <w:p w:rsidR="00EB1A2F" w:rsidRPr="002C3B0F" w:rsidRDefault="00EB1A2F" w:rsidP="004F0F25">
            <w:pPr>
              <w:spacing w:after="120"/>
              <w:rPr>
                <w:lang w:eastAsia="en-AU"/>
              </w:rPr>
            </w:pPr>
            <w:r w:rsidRPr="002C3B0F">
              <w:rPr>
                <w:lang w:eastAsia="en-AU"/>
              </w:rPr>
              <w:t>£994</w:t>
            </w:r>
            <w:r w:rsidR="004F0F25">
              <w:rPr>
                <w:lang w:eastAsia="en-AU"/>
              </w:rPr>
              <w:t xml:space="preserve">  </w:t>
            </w:r>
            <w:r w:rsidRPr="002C3B0F">
              <w:rPr>
                <w:lang w:eastAsia="en-AU"/>
              </w:rPr>
              <w:t>(A$1,986.01)</w:t>
            </w:r>
            <w:r w:rsidRPr="002C3B0F">
              <w:rPr>
                <w:vertAlign w:val="superscript"/>
                <w:lang w:eastAsia="en-AU"/>
              </w:rPr>
              <w:t xml:space="preserve"> </w:t>
            </w:r>
          </w:p>
        </w:tc>
      </w:tr>
      <w:tr w:rsidR="00EB1A2F" w:rsidRPr="002C3B0F" w:rsidTr="004F0F25">
        <w:trPr>
          <w:cnfStyle w:val="000000100000" w:firstRow="0" w:lastRow="0" w:firstColumn="0" w:lastColumn="0" w:oddVBand="0" w:evenVBand="0" w:oddHBand="1" w:evenHBand="0" w:firstRowFirstColumn="0" w:firstRowLastColumn="0" w:lastRowFirstColumn="0" w:lastRowLastColumn="0"/>
        </w:trPr>
        <w:tc>
          <w:tcPr>
            <w:tcW w:w="5524" w:type="dxa"/>
          </w:tcPr>
          <w:p w:rsidR="00EB1A2F" w:rsidRPr="002C3B0F" w:rsidRDefault="00EB1A2F" w:rsidP="00EB1A2F">
            <w:pPr>
              <w:spacing w:after="120"/>
              <w:rPr>
                <w:lang w:eastAsia="en-AU"/>
              </w:rPr>
            </w:pPr>
            <w:r w:rsidRPr="002C3B0F">
              <w:rPr>
                <w:lang w:eastAsia="en-AU"/>
              </w:rPr>
              <w:t>Flare or vent from a well</w:t>
            </w:r>
          </w:p>
        </w:tc>
        <w:tc>
          <w:tcPr>
            <w:tcW w:w="2409" w:type="dxa"/>
          </w:tcPr>
          <w:p w:rsidR="00EB1A2F" w:rsidRPr="002C3B0F" w:rsidRDefault="00EB1A2F" w:rsidP="004F0F25">
            <w:pPr>
              <w:spacing w:after="120"/>
              <w:rPr>
                <w:lang w:eastAsia="en-AU"/>
              </w:rPr>
            </w:pPr>
            <w:r w:rsidRPr="002C3B0F">
              <w:rPr>
                <w:lang w:eastAsia="en-AU"/>
              </w:rPr>
              <w:t>£714</w:t>
            </w:r>
            <w:r w:rsidR="004F0F25">
              <w:rPr>
                <w:lang w:eastAsia="en-AU"/>
              </w:rPr>
              <w:t xml:space="preserve">  </w:t>
            </w:r>
            <w:r w:rsidRPr="002C3B0F">
              <w:rPr>
                <w:lang w:eastAsia="en-AU"/>
              </w:rPr>
              <w:t>(A$1,426.57)</w:t>
            </w:r>
            <w:r w:rsidRPr="002C3B0F">
              <w:rPr>
                <w:vertAlign w:val="superscript"/>
                <w:lang w:eastAsia="en-AU"/>
              </w:rPr>
              <w:t xml:space="preserve"> </w:t>
            </w:r>
          </w:p>
        </w:tc>
      </w:tr>
      <w:tr w:rsidR="00EB1A2F" w:rsidRPr="002C3B0F" w:rsidTr="004F0F25">
        <w:trPr>
          <w:cnfStyle w:val="000000010000" w:firstRow="0" w:lastRow="0" w:firstColumn="0" w:lastColumn="0" w:oddVBand="0" w:evenVBand="0" w:oddHBand="0" w:evenHBand="1" w:firstRowFirstColumn="0" w:firstRowLastColumn="0" w:lastRowFirstColumn="0" w:lastRowLastColumn="0"/>
        </w:trPr>
        <w:tc>
          <w:tcPr>
            <w:tcW w:w="5524" w:type="dxa"/>
          </w:tcPr>
          <w:p w:rsidR="00EB1A2F" w:rsidRPr="002C3B0F" w:rsidRDefault="00EB1A2F" w:rsidP="00EB1A2F">
            <w:pPr>
              <w:spacing w:after="120"/>
              <w:rPr>
                <w:lang w:eastAsia="en-AU"/>
              </w:rPr>
            </w:pPr>
            <w:r w:rsidRPr="002C3B0F">
              <w:rPr>
                <w:lang w:eastAsia="en-AU"/>
              </w:rPr>
              <w:t>Variation of a consent to get petroleum from a well</w:t>
            </w:r>
          </w:p>
        </w:tc>
        <w:tc>
          <w:tcPr>
            <w:tcW w:w="2409" w:type="dxa"/>
          </w:tcPr>
          <w:p w:rsidR="00EB1A2F" w:rsidRPr="002C3B0F" w:rsidRDefault="00EB1A2F" w:rsidP="004F0F25">
            <w:pPr>
              <w:spacing w:after="120"/>
              <w:rPr>
                <w:lang w:eastAsia="en-AU"/>
              </w:rPr>
            </w:pPr>
            <w:r w:rsidRPr="002C3B0F">
              <w:rPr>
                <w:lang w:eastAsia="en-AU"/>
              </w:rPr>
              <w:t>£714</w:t>
            </w:r>
            <w:r w:rsidR="004F0F25">
              <w:rPr>
                <w:lang w:eastAsia="en-AU"/>
              </w:rPr>
              <w:t xml:space="preserve">  </w:t>
            </w:r>
            <w:r w:rsidRPr="002C3B0F">
              <w:rPr>
                <w:lang w:eastAsia="en-AU"/>
              </w:rPr>
              <w:t>(A$1,426.57)</w:t>
            </w:r>
            <w:r w:rsidRPr="002C3B0F">
              <w:rPr>
                <w:vertAlign w:val="superscript"/>
                <w:lang w:eastAsia="en-AU"/>
              </w:rPr>
              <w:t xml:space="preserve"> </w:t>
            </w:r>
          </w:p>
        </w:tc>
      </w:tr>
      <w:tr w:rsidR="00EB1A2F" w:rsidRPr="002C3B0F" w:rsidTr="004F0F25">
        <w:trPr>
          <w:cnfStyle w:val="000000100000" w:firstRow="0" w:lastRow="0" w:firstColumn="0" w:lastColumn="0" w:oddVBand="0" w:evenVBand="0" w:oddHBand="1" w:evenHBand="0" w:firstRowFirstColumn="0" w:firstRowLastColumn="0" w:lastRowFirstColumn="0" w:lastRowLastColumn="0"/>
        </w:trPr>
        <w:tc>
          <w:tcPr>
            <w:tcW w:w="5524" w:type="dxa"/>
          </w:tcPr>
          <w:p w:rsidR="00EB1A2F" w:rsidRPr="002C3B0F" w:rsidRDefault="00EB1A2F" w:rsidP="00EB1A2F">
            <w:pPr>
              <w:spacing w:after="120"/>
              <w:rPr>
                <w:lang w:eastAsia="en-AU"/>
              </w:rPr>
            </w:pPr>
            <w:r w:rsidRPr="002C3B0F">
              <w:rPr>
                <w:lang w:eastAsia="en-AU"/>
              </w:rPr>
              <w:t>Well suspension</w:t>
            </w:r>
          </w:p>
        </w:tc>
        <w:tc>
          <w:tcPr>
            <w:tcW w:w="2409" w:type="dxa"/>
          </w:tcPr>
          <w:p w:rsidR="00EB1A2F" w:rsidRPr="002C3B0F" w:rsidRDefault="00EB1A2F" w:rsidP="004F0F25">
            <w:pPr>
              <w:spacing w:after="120"/>
              <w:rPr>
                <w:lang w:eastAsia="en-AU"/>
              </w:rPr>
            </w:pPr>
            <w:r w:rsidRPr="002C3B0F">
              <w:rPr>
                <w:lang w:eastAsia="en-AU"/>
              </w:rPr>
              <w:t>£532</w:t>
            </w:r>
            <w:r w:rsidR="004F0F25">
              <w:rPr>
                <w:lang w:eastAsia="en-AU"/>
              </w:rPr>
              <w:t xml:space="preserve">  </w:t>
            </w:r>
            <w:r w:rsidRPr="002C3B0F">
              <w:rPr>
                <w:lang w:eastAsia="en-AU"/>
              </w:rPr>
              <w:t>($A1,062.94)</w:t>
            </w:r>
            <w:r w:rsidRPr="002C3B0F">
              <w:rPr>
                <w:vertAlign w:val="superscript"/>
                <w:lang w:eastAsia="en-AU"/>
              </w:rPr>
              <w:t xml:space="preserve"> </w:t>
            </w:r>
          </w:p>
        </w:tc>
      </w:tr>
      <w:tr w:rsidR="00EB1A2F" w:rsidRPr="002C3B0F" w:rsidTr="004F0F25">
        <w:trPr>
          <w:cnfStyle w:val="000000010000" w:firstRow="0" w:lastRow="0" w:firstColumn="0" w:lastColumn="0" w:oddVBand="0" w:evenVBand="0" w:oddHBand="0" w:evenHBand="1" w:firstRowFirstColumn="0" w:firstRowLastColumn="0" w:lastRowFirstColumn="0" w:lastRowLastColumn="0"/>
        </w:trPr>
        <w:tc>
          <w:tcPr>
            <w:tcW w:w="5524" w:type="dxa"/>
          </w:tcPr>
          <w:p w:rsidR="00EB1A2F" w:rsidRPr="002C3B0F" w:rsidRDefault="00EB1A2F" w:rsidP="00EB1A2F">
            <w:pPr>
              <w:spacing w:after="120"/>
              <w:rPr>
                <w:lang w:eastAsia="en-AU"/>
              </w:rPr>
            </w:pPr>
            <w:r w:rsidRPr="002C3B0F">
              <w:rPr>
                <w:lang w:eastAsia="en-AU"/>
              </w:rPr>
              <w:t>Put back into use any well subject to a well suspension</w:t>
            </w:r>
          </w:p>
        </w:tc>
        <w:tc>
          <w:tcPr>
            <w:tcW w:w="2409" w:type="dxa"/>
          </w:tcPr>
          <w:p w:rsidR="00EB1A2F" w:rsidRPr="002C3B0F" w:rsidRDefault="00EB1A2F" w:rsidP="004F0F25">
            <w:pPr>
              <w:spacing w:after="120"/>
              <w:rPr>
                <w:lang w:eastAsia="en-AU"/>
              </w:rPr>
            </w:pPr>
            <w:r w:rsidRPr="002C3B0F">
              <w:rPr>
                <w:lang w:eastAsia="en-AU"/>
              </w:rPr>
              <w:t>£506</w:t>
            </w:r>
            <w:r w:rsidR="004F0F25">
              <w:rPr>
                <w:lang w:eastAsia="en-AU"/>
              </w:rPr>
              <w:t xml:space="preserve">  </w:t>
            </w:r>
            <w:r w:rsidRPr="002C3B0F">
              <w:rPr>
                <w:lang w:eastAsia="en-AU"/>
              </w:rPr>
              <w:t>($A1,010.99)</w:t>
            </w:r>
            <w:r w:rsidRPr="002C3B0F">
              <w:rPr>
                <w:vertAlign w:val="superscript"/>
                <w:lang w:eastAsia="en-AU"/>
              </w:rPr>
              <w:t xml:space="preserve"> </w:t>
            </w:r>
          </w:p>
        </w:tc>
      </w:tr>
      <w:tr w:rsidR="00EB1A2F" w:rsidRPr="002C3B0F" w:rsidTr="004F0F25">
        <w:trPr>
          <w:cnfStyle w:val="000000100000" w:firstRow="0" w:lastRow="0" w:firstColumn="0" w:lastColumn="0" w:oddVBand="0" w:evenVBand="0" w:oddHBand="1" w:evenHBand="0" w:firstRowFirstColumn="0" w:firstRowLastColumn="0" w:lastRowFirstColumn="0" w:lastRowLastColumn="0"/>
        </w:trPr>
        <w:tc>
          <w:tcPr>
            <w:tcW w:w="5524" w:type="dxa"/>
          </w:tcPr>
          <w:p w:rsidR="00EB1A2F" w:rsidRPr="002C3B0F" w:rsidRDefault="00EB1A2F" w:rsidP="00EB1A2F">
            <w:pPr>
              <w:spacing w:after="120"/>
              <w:rPr>
                <w:lang w:eastAsia="en-AU"/>
              </w:rPr>
            </w:pPr>
            <w:r w:rsidRPr="002C3B0F">
              <w:rPr>
                <w:lang w:eastAsia="en-AU"/>
              </w:rPr>
              <w:t xml:space="preserve">Abandon a well permanently </w:t>
            </w:r>
          </w:p>
        </w:tc>
        <w:tc>
          <w:tcPr>
            <w:tcW w:w="2409" w:type="dxa"/>
          </w:tcPr>
          <w:p w:rsidR="00EB1A2F" w:rsidRPr="002C3B0F" w:rsidRDefault="00EB1A2F" w:rsidP="004F0F25">
            <w:pPr>
              <w:spacing w:after="120"/>
              <w:rPr>
                <w:lang w:eastAsia="en-AU"/>
              </w:rPr>
            </w:pPr>
            <w:r w:rsidRPr="002C3B0F">
              <w:rPr>
                <w:lang w:eastAsia="en-AU"/>
              </w:rPr>
              <w:t>£506</w:t>
            </w:r>
            <w:r w:rsidR="004F0F25">
              <w:rPr>
                <w:lang w:eastAsia="en-AU"/>
              </w:rPr>
              <w:t xml:space="preserve">  </w:t>
            </w:r>
            <w:r w:rsidRPr="002C3B0F">
              <w:rPr>
                <w:lang w:eastAsia="en-AU"/>
              </w:rPr>
              <w:t>($A1,010.99)</w:t>
            </w:r>
            <w:r w:rsidRPr="002C3B0F">
              <w:rPr>
                <w:vertAlign w:val="superscript"/>
                <w:lang w:eastAsia="en-AU"/>
              </w:rPr>
              <w:t xml:space="preserve"> </w:t>
            </w:r>
          </w:p>
        </w:tc>
      </w:tr>
      <w:tr w:rsidR="00EB1A2F" w:rsidRPr="002C3B0F" w:rsidTr="004F0F25">
        <w:trPr>
          <w:cnfStyle w:val="000000010000" w:firstRow="0" w:lastRow="0" w:firstColumn="0" w:lastColumn="0" w:oddVBand="0" w:evenVBand="0" w:oddHBand="0" w:evenHBand="1" w:firstRowFirstColumn="0" w:firstRowLastColumn="0" w:lastRowFirstColumn="0" w:lastRowLastColumn="0"/>
        </w:trPr>
        <w:tc>
          <w:tcPr>
            <w:tcW w:w="5524" w:type="dxa"/>
          </w:tcPr>
          <w:p w:rsidR="00EB1A2F" w:rsidRPr="002C3B0F" w:rsidRDefault="00EB1A2F" w:rsidP="00EB1A2F">
            <w:pPr>
              <w:spacing w:after="120"/>
              <w:rPr>
                <w:lang w:eastAsia="en-AU"/>
              </w:rPr>
            </w:pPr>
            <w:r w:rsidRPr="002C3B0F">
              <w:rPr>
                <w:lang w:eastAsia="en-AU"/>
              </w:rPr>
              <w:t>Change of licensee</w:t>
            </w:r>
          </w:p>
        </w:tc>
        <w:tc>
          <w:tcPr>
            <w:tcW w:w="2409" w:type="dxa"/>
          </w:tcPr>
          <w:p w:rsidR="00EB1A2F" w:rsidRPr="002C3B0F" w:rsidRDefault="00EB1A2F" w:rsidP="004F0F25">
            <w:pPr>
              <w:spacing w:after="120"/>
              <w:rPr>
                <w:lang w:eastAsia="en-AU"/>
              </w:rPr>
            </w:pPr>
            <w:r w:rsidRPr="002C3B0F">
              <w:rPr>
                <w:lang w:eastAsia="en-AU"/>
              </w:rPr>
              <w:t>£252</w:t>
            </w:r>
            <w:r w:rsidR="004F0F25">
              <w:rPr>
                <w:lang w:eastAsia="en-AU"/>
              </w:rPr>
              <w:t xml:space="preserve">  </w:t>
            </w:r>
            <w:r w:rsidRPr="002C3B0F">
              <w:rPr>
                <w:lang w:eastAsia="en-AU"/>
              </w:rPr>
              <w:t>(A$503.50)</w:t>
            </w:r>
            <w:r w:rsidRPr="002C3B0F">
              <w:rPr>
                <w:vertAlign w:val="superscript"/>
                <w:lang w:eastAsia="en-AU"/>
              </w:rPr>
              <w:t xml:space="preserve"> </w:t>
            </w:r>
          </w:p>
        </w:tc>
      </w:tr>
      <w:tr w:rsidR="00EB1A2F" w:rsidRPr="002C3B0F" w:rsidTr="004F0F25">
        <w:trPr>
          <w:cnfStyle w:val="000000100000" w:firstRow="0" w:lastRow="0" w:firstColumn="0" w:lastColumn="0" w:oddVBand="0" w:evenVBand="0" w:oddHBand="1" w:evenHBand="0" w:firstRowFirstColumn="0" w:firstRowLastColumn="0" w:lastRowFirstColumn="0" w:lastRowLastColumn="0"/>
        </w:trPr>
        <w:tc>
          <w:tcPr>
            <w:tcW w:w="5524" w:type="dxa"/>
          </w:tcPr>
          <w:p w:rsidR="00EB1A2F" w:rsidRPr="002C3B0F" w:rsidRDefault="00EB1A2F" w:rsidP="00EB1A2F">
            <w:pPr>
              <w:spacing w:after="120"/>
              <w:rPr>
                <w:lang w:eastAsia="en-AU"/>
              </w:rPr>
            </w:pPr>
            <w:r w:rsidRPr="002C3B0F">
              <w:rPr>
                <w:lang w:eastAsia="en-AU"/>
              </w:rPr>
              <w:t>Change of the beneficiary of a petroleum field or subarea</w:t>
            </w:r>
          </w:p>
        </w:tc>
        <w:tc>
          <w:tcPr>
            <w:tcW w:w="2409" w:type="dxa"/>
          </w:tcPr>
          <w:p w:rsidR="00EB1A2F" w:rsidRPr="002C3B0F" w:rsidRDefault="00EB1A2F" w:rsidP="004F0F25">
            <w:pPr>
              <w:spacing w:after="120"/>
              <w:rPr>
                <w:lang w:eastAsia="en-AU"/>
              </w:rPr>
            </w:pPr>
            <w:r w:rsidRPr="002C3B0F">
              <w:rPr>
                <w:lang w:eastAsia="en-AU"/>
              </w:rPr>
              <w:t>£252</w:t>
            </w:r>
            <w:r w:rsidR="004F0F25">
              <w:rPr>
                <w:lang w:eastAsia="en-AU"/>
              </w:rPr>
              <w:t xml:space="preserve">  </w:t>
            </w:r>
            <w:r w:rsidRPr="002C3B0F">
              <w:rPr>
                <w:lang w:eastAsia="en-AU"/>
              </w:rPr>
              <w:t>(A$503.50)</w:t>
            </w:r>
            <w:r w:rsidRPr="002C3B0F">
              <w:rPr>
                <w:vertAlign w:val="superscript"/>
                <w:lang w:eastAsia="en-AU"/>
              </w:rPr>
              <w:t xml:space="preserve"> </w:t>
            </w:r>
          </w:p>
        </w:tc>
      </w:tr>
      <w:tr w:rsidR="00EB1A2F" w:rsidRPr="002C3B0F" w:rsidTr="004F0F25">
        <w:trPr>
          <w:cnfStyle w:val="000000010000" w:firstRow="0" w:lastRow="0" w:firstColumn="0" w:lastColumn="0" w:oddVBand="0" w:evenVBand="0" w:oddHBand="0" w:evenHBand="1" w:firstRowFirstColumn="0" w:firstRowLastColumn="0" w:lastRowFirstColumn="0" w:lastRowLastColumn="0"/>
        </w:trPr>
        <w:tc>
          <w:tcPr>
            <w:tcW w:w="5524" w:type="dxa"/>
          </w:tcPr>
          <w:p w:rsidR="00EB1A2F" w:rsidRPr="002C3B0F" w:rsidRDefault="00EB1A2F" w:rsidP="00EB1A2F">
            <w:pPr>
              <w:spacing w:after="120"/>
              <w:rPr>
                <w:lang w:eastAsia="en-AU"/>
              </w:rPr>
            </w:pPr>
            <w:r w:rsidRPr="002C3B0F">
              <w:rPr>
                <w:lang w:eastAsia="en-AU"/>
              </w:rPr>
              <w:t>Change of the operator of a petroleum field or subarea</w:t>
            </w:r>
          </w:p>
        </w:tc>
        <w:tc>
          <w:tcPr>
            <w:tcW w:w="2409" w:type="dxa"/>
          </w:tcPr>
          <w:p w:rsidR="00EB1A2F" w:rsidRPr="002C3B0F" w:rsidRDefault="00EB1A2F" w:rsidP="004F0F25">
            <w:pPr>
              <w:spacing w:after="120"/>
              <w:rPr>
                <w:lang w:eastAsia="en-AU"/>
              </w:rPr>
            </w:pPr>
            <w:r w:rsidRPr="002C3B0F">
              <w:rPr>
                <w:lang w:eastAsia="en-AU"/>
              </w:rPr>
              <w:t>£900</w:t>
            </w:r>
            <w:r w:rsidR="004F0F25">
              <w:rPr>
                <w:lang w:eastAsia="en-AU"/>
              </w:rPr>
              <w:t xml:space="preserve">  </w:t>
            </w:r>
            <w:r w:rsidRPr="002C3B0F">
              <w:rPr>
                <w:lang w:eastAsia="en-AU"/>
              </w:rPr>
              <w:t>(A$1,798.20)</w:t>
            </w:r>
            <w:r w:rsidRPr="002C3B0F">
              <w:rPr>
                <w:vertAlign w:val="superscript"/>
                <w:lang w:eastAsia="en-AU"/>
              </w:rPr>
              <w:t xml:space="preserve"> </w:t>
            </w:r>
          </w:p>
        </w:tc>
      </w:tr>
    </w:tbl>
    <w:p w:rsidR="00EB1A2F" w:rsidRDefault="00EB1A2F" w:rsidP="004F0F25">
      <w:pPr>
        <w:spacing w:before="120"/>
        <w:rPr>
          <w:lang w:eastAsia="en-AU"/>
        </w:rPr>
      </w:pPr>
      <w:r w:rsidRPr="003F2AC2">
        <w:rPr>
          <w:vertAlign w:val="superscript"/>
          <w:lang w:eastAsia="en-AU"/>
        </w:rPr>
        <w:t>α</w:t>
      </w:r>
      <w:r w:rsidRPr="002C3B0F">
        <w:rPr>
          <w:lang w:eastAsia="en-AU"/>
        </w:rPr>
        <w:t xml:space="preserve"> Ba</w:t>
      </w:r>
      <w:r w:rsidRPr="004A19DF">
        <w:rPr>
          <w:lang w:eastAsia="en-AU"/>
        </w:rPr>
        <w:t>sed o</w:t>
      </w:r>
      <w:r w:rsidRPr="002C3B0F">
        <w:rPr>
          <w:lang w:eastAsia="en-AU"/>
        </w:rPr>
        <w:t>n Exchange Rate COB 09 Jun 2015 from Reserve Bank of Australia</w:t>
      </w:r>
      <w:r w:rsidRPr="003F2AC2">
        <w:rPr>
          <w:rStyle w:val="FootnoteReference"/>
          <w:lang w:eastAsia="en-AU"/>
        </w:rPr>
        <w:footnoteReference w:id="26"/>
      </w:r>
    </w:p>
    <w:p w:rsidR="00EB1A2F" w:rsidRPr="002C3B0F" w:rsidRDefault="00EB1A2F" w:rsidP="00EB1A2F">
      <w:pPr>
        <w:pStyle w:val="BodyText"/>
      </w:pPr>
      <w:r w:rsidRPr="002C3B0F">
        <w:t>The United Kingdom also charges an annual rental fee to license holders. Rentals are charged at an escalating rate on each square kilometre the license covers at that date. This escalating charge is to encourage licensees to surrender any acreage that they don’t want to exploit and to focus on are</w:t>
      </w:r>
      <w:r w:rsidR="00E42D56">
        <w:t>as they have decided to retail.</w:t>
      </w:r>
    </w:p>
    <w:p w:rsidR="00EB1A2F" w:rsidRPr="002C3B0F" w:rsidRDefault="00EB1A2F" w:rsidP="00EB1A2F">
      <w:pPr>
        <w:pStyle w:val="BodyText"/>
      </w:pPr>
      <w:r w:rsidRPr="002C3B0F">
        <w:t>Final rent charges are stipulated in the conditions of the license. Each license has a different rental charge in the United Kingdom. Rental charges are stipulated when each a</w:t>
      </w:r>
      <w:r w:rsidR="00E42D56">
        <w:t>rea is open to a license round.</w:t>
      </w:r>
    </w:p>
    <w:p w:rsidR="00EB1A2F" w:rsidRPr="004A19DF" w:rsidRDefault="003C4B72" w:rsidP="00E42D56">
      <w:pPr>
        <w:pStyle w:val="Heading30"/>
      </w:pPr>
      <w:bookmarkStart w:id="139" w:name="_Toc423426805"/>
      <w:bookmarkStart w:id="140" w:name="_Toc430102215"/>
      <w:r>
        <w:t>I</w:t>
      </w:r>
      <w:r w:rsidR="00EB1A2F" w:rsidRPr="002C3B0F">
        <w:t xml:space="preserve">nternational </w:t>
      </w:r>
      <w:r w:rsidR="004A19DF" w:rsidRPr="002C3B0F">
        <w:t>J</w:t>
      </w:r>
      <w:r>
        <w:t>urisdiction</w:t>
      </w:r>
      <w:r w:rsidR="00EB1A2F" w:rsidRPr="004A19DF">
        <w:t xml:space="preserve"> </w:t>
      </w:r>
      <w:r>
        <w:t>C</w:t>
      </w:r>
      <w:r w:rsidR="00EB1A2F" w:rsidRPr="004A19DF">
        <w:t>omparison</w:t>
      </w:r>
      <w:bookmarkEnd w:id="139"/>
      <w:bookmarkEnd w:id="140"/>
    </w:p>
    <w:p w:rsidR="00EB1A2F" w:rsidRPr="002C3B0F" w:rsidRDefault="00AA23E9" w:rsidP="00EB1A2F">
      <w:pPr>
        <w:pStyle w:val="BodyText"/>
      </w:pPr>
      <w:r w:rsidRPr="002C3B0F">
        <w:t>To enable a comparison of</w:t>
      </w:r>
      <w:r w:rsidR="00EB1A2F" w:rsidRPr="002C3B0F">
        <w:t xml:space="preserve"> fees and charges between jurisdictions, a scenario has had to be mapped out</w:t>
      </w:r>
      <w:r w:rsidRPr="002C3B0F">
        <w:t xml:space="preserve"> as the United Kingdom fees were only accessible within the published title information</w:t>
      </w:r>
      <w:r w:rsidR="00EB1A2F" w:rsidRPr="002C3B0F">
        <w:t>. This scenario comes from the United Kingdom and is based on seaward license P2077</w:t>
      </w:r>
      <w:r w:rsidR="004A19DF">
        <w:t>.</w:t>
      </w:r>
      <w:r w:rsidR="00EB1A2F" w:rsidRPr="004A19DF">
        <w:rPr>
          <w:rStyle w:val="FootnoteReference"/>
        </w:rPr>
        <w:footnoteReference w:id="27"/>
      </w:r>
      <w:r w:rsidR="00EB1A2F" w:rsidRPr="004A19DF">
        <w:t xml:space="preserve"> This license is for block 28/8 and is found in the North Sea off the coast of Scotland</w:t>
      </w:r>
      <w:r w:rsidR="004B5BEC">
        <w:t xml:space="preserve">. </w:t>
      </w:r>
      <w:r w:rsidR="00EB1A2F" w:rsidRPr="004A19DF">
        <w:t xml:space="preserve">The size of the area </w:t>
      </w:r>
      <w:r w:rsidR="00EB1A2F" w:rsidRPr="002C3B0F">
        <w:t>is approximately 26km</w:t>
      </w:r>
      <w:r w:rsidR="00EB1A2F" w:rsidRPr="002C3B0F">
        <w:rPr>
          <w:vertAlign w:val="superscript"/>
        </w:rPr>
        <w:t>2</w:t>
      </w:r>
      <w:r w:rsidR="00EB1A2F" w:rsidRPr="002C3B0F">
        <w:t xml:space="preserve">. The license is held by Premier Oil UK Limited, Nautical Petroleum Limited and </w:t>
      </w:r>
      <w:r w:rsidR="00E42D56">
        <w:t>Agora Oil and Gas (UK) Limited.</w:t>
      </w:r>
    </w:p>
    <w:p w:rsidR="00EB1A2F" w:rsidRPr="002C3B0F" w:rsidRDefault="00EB1A2F" w:rsidP="00EB1A2F">
      <w:pPr>
        <w:pStyle w:val="BodyText"/>
      </w:pPr>
      <w:r w:rsidRPr="002C3B0F">
        <w:lastRenderedPageBreak/>
        <w:t>The license comes with work conditions that need to be performed in the initial term of 4 years. These work conditions are: reprocessing 1000km</w:t>
      </w:r>
      <w:r w:rsidRPr="002C3B0F">
        <w:rPr>
          <w:vertAlign w:val="superscript"/>
        </w:rPr>
        <w:t>2</w:t>
      </w:r>
      <w:r w:rsidRPr="002C3B0F">
        <w:t xml:space="preserve"> of 3D seismic data, carrying out a geochemical survey and drilling a well to 1250m. The license holders must also pay a periodic rental fees. These fees are paid on the commencement of the license and every subsequent anniversary. The license fees are calculated by multiplying an amount by the area factor. On commencement of the contract and the subsequent 1</w:t>
      </w:r>
      <w:r w:rsidRPr="002C3B0F">
        <w:rPr>
          <w:vertAlign w:val="superscript"/>
        </w:rPr>
        <w:t>st</w:t>
      </w:r>
      <w:r w:rsidRPr="002C3B0F">
        <w:t>, 2</w:t>
      </w:r>
      <w:r w:rsidRPr="002C3B0F">
        <w:rPr>
          <w:vertAlign w:val="superscript"/>
        </w:rPr>
        <w:t>nd</w:t>
      </w:r>
      <w:r w:rsidRPr="002C3B0F">
        <w:t xml:space="preserve"> and 3</w:t>
      </w:r>
      <w:r w:rsidRPr="002C3B0F">
        <w:rPr>
          <w:vertAlign w:val="superscript"/>
        </w:rPr>
        <w:t>rd</w:t>
      </w:r>
      <w:r w:rsidRPr="002C3B0F">
        <w:t xml:space="preserve"> year anniversaries of contract commencement the amount paid is £150 multiplied by the area factor. On the 4</w:t>
      </w:r>
      <w:r w:rsidRPr="002C3B0F">
        <w:rPr>
          <w:vertAlign w:val="superscript"/>
        </w:rPr>
        <w:t>th</w:t>
      </w:r>
      <w:r w:rsidRPr="002C3B0F">
        <w:t xml:space="preserve"> anniversary of the contract commencement the rental fee to be paid is £300</w:t>
      </w:r>
      <w:r w:rsidR="00E42D56">
        <w:t xml:space="preserve"> multiplied by the area factor.</w:t>
      </w:r>
    </w:p>
    <w:p w:rsidR="00EB1A2F" w:rsidRPr="002C3B0F" w:rsidRDefault="00EB1A2F" w:rsidP="00EB1A2F">
      <w:pPr>
        <w:pStyle w:val="BodyText"/>
      </w:pPr>
      <w:r w:rsidRPr="002C3B0F">
        <w:t>To compare prices in multiple jurisdictions, the same conditions as required by UK seaward license P2077 will be costed if they were to occur both in Australia and Norway. As discussed above, there is a requirement to perform a seismic study and to drill a well. In Norway there is a charge for performing a seismic study of 33,000NOK. In the United Kingdom there is a £647 charge to drill a well. For the case of comparison, these activities are ass</w:t>
      </w:r>
      <w:r w:rsidR="00E42D56">
        <w:t>umed to be performed in Year 3.</w:t>
      </w:r>
    </w:p>
    <w:p w:rsidR="00EB1A2F" w:rsidRPr="002C3B0F" w:rsidRDefault="00EB1A2F" w:rsidP="00EB1A2F">
      <w:pPr>
        <w:pStyle w:val="BodyText"/>
      </w:pPr>
      <w:r w:rsidRPr="002C3B0F">
        <w:t>The approximate costs in each jurisdiction to perform the activities as required by seaward license P2077 are:</w:t>
      </w:r>
    </w:p>
    <w:tbl>
      <w:tblPr>
        <w:tblStyle w:val="TableGrid"/>
        <w:tblW w:w="0" w:type="auto"/>
        <w:tblLook w:val="04A0" w:firstRow="1" w:lastRow="0" w:firstColumn="1" w:lastColumn="0" w:noHBand="0" w:noVBand="1"/>
      </w:tblPr>
      <w:tblGrid>
        <w:gridCol w:w="1299"/>
        <w:gridCol w:w="1627"/>
        <w:gridCol w:w="1265"/>
        <w:gridCol w:w="1265"/>
        <w:gridCol w:w="1265"/>
        <w:gridCol w:w="1266"/>
        <w:gridCol w:w="1266"/>
      </w:tblGrid>
      <w:tr w:rsidR="00EB1A2F" w:rsidRPr="002C3B0F" w:rsidTr="00F84A70">
        <w:trPr>
          <w:cnfStyle w:val="100000000000" w:firstRow="1" w:lastRow="0" w:firstColumn="0" w:lastColumn="0" w:oddVBand="0" w:evenVBand="0" w:oddHBand="0" w:evenHBand="0" w:firstRowFirstColumn="0" w:firstRowLastColumn="0" w:lastRowFirstColumn="0" w:lastRowLastColumn="0"/>
        </w:trPr>
        <w:tc>
          <w:tcPr>
            <w:tcW w:w="1320" w:type="dxa"/>
          </w:tcPr>
          <w:p w:rsidR="00EB1A2F" w:rsidRPr="004A19DF" w:rsidRDefault="00EB1A2F" w:rsidP="00F84A70">
            <w:bookmarkStart w:id="141" w:name="ColumnTitle" w:colFirst="0" w:colLast="6"/>
            <w:r w:rsidRPr="004A19DF">
              <w:t>Jurisdiction</w:t>
            </w:r>
          </w:p>
        </w:tc>
        <w:tc>
          <w:tcPr>
            <w:tcW w:w="1320" w:type="dxa"/>
          </w:tcPr>
          <w:p w:rsidR="00EB1A2F" w:rsidRPr="002C3B0F" w:rsidRDefault="00EB1A2F" w:rsidP="00F84A70">
            <w:r w:rsidRPr="002C3B0F">
              <w:t>Commencement Costs</w:t>
            </w:r>
          </w:p>
        </w:tc>
        <w:tc>
          <w:tcPr>
            <w:tcW w:w="1320" w:type="dxa"/>
          </w:tcPr>
          <w:p w:rsidR="00EB1A2F" w:rsidRPr="002C3B0F" w:rsidRDefault="00EB1A2F" w:rsidP="00F84A70">
            <w:r w:rsidRPr="002C3B0F">
              <w:t>Year 1</w:t>
            </w:r>
          </w:p>
        </w:tc>
        <w:tc>
          <w:tcPr>
            <w:tcW w:w="1320" w:type="dxa"/>
          </w:tcPr>
          <w:p w:rsidR="00EB1A2F" w:rsidRPr="002C3B0F" w:rsidRDefault="00EB1A2F" w:rsidP="00F84A70">
            <w:r w:rsidRPr="002C3B0F">
              <w:t>Year 2</w:t>
            </w:r>
          </w:p>
        </w:tc>
        <w:tc>
          <w:tcPr>
            <w:tcW w:w="1320" w:type="dxa"/>
          </w:tcPr>
          <w:p w:rsidR="00EB1A2F" w:rsidRPr="002C3B0F" w:rsidRDefault="00EB1A2F" w:rsidP="00F84A70">
            <w:r w:rsidRPr="002C3B0F">
              <w:t>Year 3</w:t>
            </w:r>
          </w:p>
        </w:tc>
        <w:tc>
          <w:tcPr>
            <w:tcW w:w="1321" w:type="dxa"/>
          </w:tcPr>
          <w:p w:rsidR="00EB1A2F" w:rsidRPr="002C3B0F" w:rsidRDefault="00EB1A2F" w:rsidP="00F84A70">
            <w:r w:rsidRPr="002C3B0F">
              <w:t>Year 4</w:t>
            </w:r>
          </w:p>
        </w:tc>
        <w:tc>
          <w:tcPr>
            <w:tcW w:w="1321" w:type="dxa"/>
          </w:tcPr>
          <w:p w:rsidR="00EB1A2F" w:rsidRPr="002C3B0F" w:rsidRDefault="00EB1A2F" w:rsidP="00F84A70">
            <w:r w:rsidRPr="002C3B0F">
              <w:t>Total</w:t>
            </w:r>
          </w:p>
        </w:tc>
      </w:tr>
      <w:bookmarkEnd w:id="141"/>
      <w:tr w:rsidR="00EB1A2F" w:rsidRPr="002C3B0F" w:rsidTr="00F84A70">
        <w:trPr>
          <w:cnfStyle w:val="000000100000" w:firstRow="0" w:lastRow="0" w:firstColumn="0" w:lastColumn="0" w:oddVBand="0" w:evenVBand="0" w:oddHBand="1" w:evenHBand="0" w:firstRowFirstColumn="0" w:firstRowLastColumn="0" w:lastRowFirstColumn="0" w:lastRowLastColumn="0"/>
        </w:trPr>
        <w:tc>
          <w:tcPr>
            <w:tcW w:w="1320" w:type="dxa"/>
          </w:tcPr>
          <w:p w:rsidR="00EB1A2F" w:rsidRPr="002C3B0F" w:rsidRDefault="00EB1A2F" w:rsidP="00F84A70">
            <w:r w:rsidRPr="002C3B0F">
              <w:t>United Kingdom</w:t>
            </w:r>
          </w:p>
        </w:tc>
        <w:tc>
          <w:tcPr>
            <w:tcW w:w="1320" w:type="dxa"/>
          </w:tcPr>
          <w:p w:rsidR="00EB1A2F" w:rsidRPr="002C3B0F" w:rsidRDefault="00EB1A2F" w:rsidP="00F84A70">
            <w:r w:rsidRPr="002C3B0F">
              <w:t>$7,792.21</w:t>
            </w:r>
            <w:r w:rsidRPr="002C3B0F">
              <w:rPr>
                <w:vertAlign w:val="superscript"/>
              </w:rPr>
              <w:t xml:space="preserve"> β</w:t>
            </w:r>
          </w:p>
        </w:tc>
        <w:tc>
          <w:tcPr>
            <w:tcW w:w="1320" w:type="dxa"/>
          </w:tcPr>
          <w:p w:rsidR="00EB1A2F" w:rsidRPr="002C3B0F" w:rsidRDefault="00EB1A2F" w:rsidP="00F84A70">
            <w:r w:rsidRPr="002C3B0F">
              <w:t>$7,792.21</w:t>
            </w:r>
          </w:p>
        </w:tc>
        <w:tc>
          <w:tcPr>
            <w:tcW w:w="1320" w:type="dxa"/>
          </w:tcPr>
          <w:p w:rsidR="00EB1A2F" w:rsidRPr="002C3B0F" w:rsidRDefault="00EB1A2F" w:rsidP="00F84A70">
            <w:r w:rsidRPr="002C3B0F">
              <w:t>$7,792.21</w:t>
            </w:r>
          </w:p>
        </w:tc>
        <w:tc>
          <w:tcPr>
            <w:tcW w:w="1320" w:type="dxa"/>
          </w:tcPr>
          <w:p w:rsidR="00EB1A2F" w:rsidRPr="002C3B0F" w:rsidRDefault="00EB1A2F" w:rsidP="00F84A70">
            <w:r w:rsidRPr="002C3B0F">
              <w:t>$9,084.92</w:t>
            </w:r>
          </w:p>
        </w:tc>
        <w:tc>
          <w:tcPr>
            <w:tcW w:w="1321" w:type="dxa"/>
          </w:tcPr>
          <w:p w:rsidR="00EB1A2F" w:rsidRPr="002C3B0F" w:rsidRDefault="00EB1A2F" w:rsidP="00F84A70">
            <w:r w:rsidRPr="002C3B0F">
              <w:t>$15,584.42</w:t>
            </w:r>
          </w:p>
        </w:tc>
        <w:tc>
          <w:tcPr>
            <w:tcW w:w="1321" w:type="dxa"/>
          </w:tcPr>
          <w:p w:rsidR="00EB1A2F" w:rsidRPr="002C3B0F" w:rsidRDefault="00EB1A2F" w:rsidP="00F84A70">
            <w:r w:rsidRPr="002C3B0F">
              <w:t>$48,045.97</w:t>
            </w:r>
            <w:r w:rsidRPr="002C3B0F">
              <w:rPr>
                <w:vertAlign w:val="superscript"/>
              </w:rPr>
              <w:t xml:space="preserve"> β</w:t>
            </w:r>
          </w:p>
        </w:tc>
      </w:tr>
      <w:tr w:rsidR="00EB1A2F" w:rsidRPr="002C3B0F" w:rsidTr="00F84A70">
        <w:trPr>
          <w:cnfStyle w:val="000000010000" w:firstRow="0" w:lastRow="0" w:firstColumn="0" w:lastColumn="0" w:oddVBand="0" w:evenVBand="0" w:oddHBand="0" w:evenHBand="1" w:firstRowFirstColumn="0" w:firstRowLastColumn="0" w:lastRowFirstColumn="0" w:lastRowLastColumn="0"/>
        </w:trPr>
        <w:tc>
          <w:tcPr>
            <w:tcW w:w="1320" w:type="dxa"/>
          </w:tcPr>
          <w:p w:rsidR="00EB1A2F" w:rsidRPr="002C3B0F" w:rsidRDefault="00EB1A2F" w:rsidP="00F84A70">
            <w:r w:rsidRPr="002C3B0F">
              <w:t>Norway</w:t>
            </w:r>
          </w:p>
        </w:tc>
        <w:tc>
          <w:tcPr>
            <w:tcW w:w="1320" w:type="dxa"/>
          </w:tcPr>
          <w:p w:rsidR="00EB1A2F" w:rsidRPr="002C3B0F" w:rsidRDefault="00EB1A2F" w:rsidP="00F84A70">
            <w:r w:rsidRPr="002C3B0F">
              <w:t>$10,762.12</w:t>
            </w:r>
          </w:p>
        </w:tc>
        <w:tc>
          <w:tcPr>
            <w:tcW w:w="1320" w:type="dxa"/>
          </w:tcPr>
          <w:p w:rsidR="00EB1A2F" w:rsidRPr="002C3B0F" w:rsidRDefault="00EB1A2F" w:rsidP="00F84A70">
            <w:r w:rsidRPr="002C3B0F">
              <w:t>$10,762.12</w:t>
            </w:r>
          </w:p>
        </w:tc>
        <w:tc>
          <w:tcPr>
            <w:tcW w:w="1320" w:type="dxa"/>
          </w:tcPr>
          <w:p w:rsidR="00EB1A2F" w:rsidRPr="002C3B0F" w:rsidRDefault="00EB1A2F" w:rsidP="00F84A70">
            <w:r w:rsidRPr="002C3B0F">
              <w:t>$10,762.12</w:t>
            </w:r>
          </w:p>
        </w:tc>
        <w:tc>
          <w:tcPr>
            <w:tcW w:w="1320" w:type="dxa"/>
          </w:tcPr>
          <w:p w:rsidR="00EB1A2F" w:rsidRPr="002C3B0F" w:rsidRDefault="00EB1A2F" w:rsidP="00F84A70">
            <w:r w:rsidRPr="002C3B0F">
              <w:t>$16,225.97</w:t>
            </w:r>
          </w:p>
        </w:tc>
        <w:tc>
          <w:tcPr>
            <w:tcW w:w="1321" w:type="dxa"/>
          </w:tcPr>
          <w:p w:rsidR="00EB1A2F" w:rsidRPr="002C3B0F" w:rsidRDefault="00EB1A2F" w:rsidP="00F84A70">
            <w:r w:rsidRPr="002C3B0F">
              <w:t>$10,762.12</w:t>
            </w:r>
          </w:p>
        </w:tc>
        <w:tc>
          <w:tcPr>
            <w:tcW w:w="1321" w:type="dxa"/>
          </w:tcPr>
          <w:p w:rsidR="00EB1A2F" w:rsidRPr="002C3B0F" w:rsidRDefault="00EB1A2F" w:rsidP="00F84A70">
            <w:r w:rsidRPr="002C3B0F">
              <w:t>$59,274.45</w:t>
            </w:r>
          </w:p>
        </w:tc>
      </w:tr>
      <w:tr w:rsidR="00EB1A2F" w:rsidRPr="002C3B0F" w:rsidTr="00F84A70">
        <w:trPr>
          <w:cnfStyle w:val="000000100000" w:firstRow="0" w:lastRow="0" w:firstColumn="0" w:lastColumn="0" w:oddVBand="0" w:evenVBand="0" w:oddHBand="1" w:evenHBand="0" w:firstRowFirstColumn="0" w:firstRowLastColumn="0" w:lastRowFirstColumn="0" w:lastRowLastColumn="0"/>
        </w:trPr>
        <w:tc>
          <w:tcPr>
            <w:tcW w:w="1320" w:type="dxa"/>
          </w:tcPr>
          <w:p w:rsidR="00EB1A2F" w:rsidRPr="002C3B0F" w:rsidRDefault="00EB1A2F" w:rsidP="00F84A70">
            <w:r w:rsidRPr="002C3B0F">
              <w:t>Australia</w:t>
            </w:r>
          </w:p>
        </w:tc>
        <w:tc>
          <w:tcPr>
            <w:tcW w:w="1320" w:type="dxa"/>
          </w:tcPr>
          <w:p w:rsidR="00EB1A2F" w:rsidRPr="002C3B0F" w:rsidRDefault="00EB1A2F" w:rsidP="00F84A70">
            <w:r w:rsidRPr="002C3B0F">
              <w:t>$8,783.00</w:t>
            </w:r>
          </w:p>
        </w:tc>
        <w:tc>
          <w:tcPr>
            <w:tcW w:w="1320" w:type="dxa"/>
          </w:tcPr>
          <w:p w:rsidR="00EB1A2F" w:rsidRPr="002C3B0F" w:rsidRDefault="00EB1A2F" w:rsidP="00F84A70">
            <w:r w:rsidRPr="002C3B0F">
              <w:t>$9,781.00</w:t>
            </w:r>
          </w:p>
        </w:tc>
        <w:tc>
          <w:tcPr>
            <w:tcW w:w="1320" w:type="dxa"/>
          </w:tcPr>
          <w:p w:rsidR="00EB1A2F" w:rsidRPr="002C3B0F" w:rsidRDefault="00EB1A2F" w:rsidP="00F84A70">
            <w:r w:rsidRPr="002C3B0F">
              <w:t>$9,781.00</w:t>
            </w:r>
          </w:p>
        </w:tc>
        <w:tc>
          <w:tcPr>
            <w:tcW w:w="1320" w:type="dxa"/>
          </w:tcPr>
          <w:p w:rsidR="00EB1A2F" w:rsidRPr="002C3B0F" w:rsidRDefault="00EB1A2F" w:rsidP="00F84A70">
            <w:r w:rsidRPr="002C3B0F">
              <w:t>$9,781.00</w:t>
            </w:r>
          </w:p>
        </w:tc>
        <w:tc>
          <w:tcPr>
            <w:tcW w:w="1321" w:type="dxa"/>
          </w:tcPr>
          <w:p w:rsidR="00EB1A2F" w:rsidRPr="002C3B0F" w:rsidRDefault="00EB1A2F" w:rsidP="00F84A70">
            <w:r w:rsidRPr="002C3B0F">
              <w:t>$9,781.00</w:t>
            </w:r>
          </w:p>
        </w:tc>
        <w:tc>
          <w:tcPr>
            <w:tcW w:w="1321" w:type="dxa"/>
          </w:tcPr>
          <w:p w:rsidR="00EB1A2F" w:rsidRPr="002C3B0F" w:rsidRDefault="00EB1A2F" w:rsidP="00F84A70">
            <w:r w:rsidRPr="002C3B0F">
              <w:t>$47,907.00</w:t>
            </w:r>
          </w:p>
        </w:tc>
      </w:tr>
    </w:tbl>
    <w:p w:rsidR="00EB1A2F" w:rsidRDefault="00EB1A2F" w:rsidP="003B2B7E">
      <w:pPr>
        <w:pStyle w:val="Footnotes"/>
      </w:pPr>
      <w:r w:rsidRPr="003F2AC2">
        <w:t>β – There is no standard application fee for explora</w:t>
      </w:r>
      <w:r w:rsidRPr="002C3B0F">
        <w:t>tion licenses/permits in the United Kingdom. Applications fees are calculated usin</w:t>
      </w:r>
      <w:r w:rsidR="00E42D56">
        <w:t>g a formula as described above.</w:t>
      </w:r>
    </w:p>
    <w:p w:rsidR="00EB1A2F" w:rsidRPr="002C3B0F" w:rsidRDefault="00EB1A2F" w:rsidP="00D67B63">
      <w:pPr>
        <w:pStyle w:val="BodyText"/>
        <w:spacing w:before="240"/>
      </w:pPr>
      <w:r w:rsidRPr="002C3B0F">
        <w:t>If the field attributes as described in UK seaward license P2077 continued into production, in Australia they would pay an application fee for a production license of $2,090. They would then pay a titles administration levy of $15,500 per year for the duration of the ti</w:t>
      </w:r>
      <w:r w:rsidR="00EE0D51" w:rsidRPr="002C3B0F">
        <w:t>tle. In Norway, they would pay o</w:t>
      </w:r>
      <w:r w:rsidRPr="002C3B0F">
        <w:t>n application for a production license $18,047.25</w:t>
      </w:r>
      <w:r w:rsidR="004B5BEC">
        <w:t xml:space="preserve">. </w:t>
      </w:r>
      <w:r w:rsidRPr="002C3B0F">
        <w:t>A rent fee is also charged at $6,622.85 per km</w:t>
      </w:r>
      <w:r w:rsidRPr="002C3B0F">
        <w:rPr>
          <w:vertAlign w:val="superscript"/>
        </w:rPr>
        <w:t>2</w:t>
      </w:r>
      <w:r w:rsidRPr="002C3B0F">
        <w:t xml:space="preserve"> per year. </w:t>
      </w:r>
      <w:r w:rsidR="00EE0D51" w:rsidRPr="002C3B0F">
        <w:t>In</w:t>
      </w:r>
      <w:r w:rsidRPr="002C3B0F">
        <w:t xml:space="preserve"> the interest of comparison, it is assumed that the production area remains at the current 26km</w:t>
      </w:r>
      <w:r w:rsidRPr="002C3B0F">
        <w:rPr>
          <w:vertAlign w:val="superscript"/>
        </w:rPr>
        <w:t>2</w:t>
      </w:r>
      <w:r w:rsidRPr="002C3B0F">
        <w:t xml:space="preserve"> as described in UK Seaward License P2077, then the annual fee in Norway for production</w:t>
      </w:r>
      <w:r w:rsidR="00E42D56">
        <w:t xml:space="preserve"> would be $172,194.10 per year.</w:t>
      </w:r>
    </w:p>
    <w:p w:rsidR="00EB1A2F" w:rsidRPr="002C3B0F" w:rsidRDefault="00EB1A2F" w:rsidP="00EB1A2F">
      <w:pPr>
        <w:pStyle w:val="BodyText"/>
      </w:pPr>
      <w:r w:rsidRPr="002C3B0F">
        <w:t>In the United Kingdom the scale remains the same whether exploration or production occurs. The rental fee is increased on each subsequent anniversary of the commencement of the license. The scale for UK Seawa</w:t>
      </w:r>
      <w:r w:rsidR="00E42D56">
        <w:t>rd license P2077 is as follows:</w:t>
      </w:r>
    </w:p>
    <w:tbl>
      <w:tblPr>
        <w:tblStyle w:val="TableGrid"/>
        <w:tblW w:w="0" w:type="auto"/>
        <w:tblLook w:val="04A0" w:firstRow="1" w:lastRow="0" w:firstColumn="1" w:lastColumn="0" w:noHBand="0" w:noVBand="1"/>
      </w:tblPr>
      <w:tblGrid>
        <w:gridCol w:w="3681"/>
        <w:gridCol w:w="1843"/>
      </w:tblGrid>
      <w:tr w:rsidR="00EB1A2F" w:rsidRPr="004A19DF" w:rsidTr="004F0F25">
        <w:trPr>
          <w:cnfStyle w:val="100000000000" w:firstRow="1" w:lastRow="0" w:firstColumn="0" w:lastColumn="0" w:oddVBand="0" w:evenVBand="0" w:oddHBand="0" w:evenHBand="0" w:firstRowFirstColumn="0" w:firstRowLastColumn="0" w:lastRowFirstColumn="0" w:lastRowLastColumn="0"/>
          <w:tblHeader/>
        </w:trPr>
        <w:tc>
          <w:tcPr>
            <w:tcW w:w="3681" w:type="dxa"/>
          </w:tcPr>
          <w:p w:rsidR="00EB1A2F" w:rsidRPr="003F2AC2" w:rsidRDefault="00EB1A2F" w:rsidP="00F84A70">
            <w:r w:rsidRPr="003F2AC2">
              <w:lastRenderedPageBreak/>
              <w:t>Anniversary since Commencement</w:t>
            </w:r>
          </w:p>
        </w:tc>
        <w:tc>
          <w:tcPr>
            <w:tcW w:w="1843" w:type="dxa"/>
          </w:tcPr>
          <w:p w:rsidR="00EB1A2F" w:rsidRPr="004A19DF" w:rsidRDefault="00EB1A2F" w:rsidP="00F84A70">
            <w:pPr>
              <w:rPr>
                <w:vertAlign w:val="superscript"/>
              </w:rPr>
            </w:pPr>
            <w:r w:rsidRPr="004A19DF">
              <w:t>Charge per km</w:t>
            </w:r>
            <w:r w:rsidRPr="004A19DF">
              <w:rPr>
                <w:vertAlign w:val="superscript"/>
              </w:rPr>
              <w:t>2</w:t>
            </w:r>
          </w:p>
        </w:tc>
      </w:tr>
      <w:tr w:rsidR="00EB1A2F" w:rsidRPr="002C3B0F" w:rsidTr="004F0F25">
        <w:trPr>
          <w:cnfStyle w:val="000000100000" w:firstRow="0" w:lastRow="0" w:firstColumn="0" w:lastColumn="0" w:oddVBand="0" w:evenVBand="0" w:oddHBand="1" w:evenHBand="0" w:firstRowFirstColumn="0" w:firstRowLastColumn="0" w:lastRowFirstColumn="0" w:lastRowLastColumn="0"/>
        </w:trPr>
        <w:tc>
          <w:tcPr>
            <w:tcW w:w="3681" w:type="dxa"/>
          </w:tcPr>
          <w:p w:rsidR="00EB1A2F" w:rsidRPr="002C3B0F" w:rsidRDefault="00EB1A2F" w:rsidP="00F84A70">
            <w:r w:rsidRPr="002C3B0F">
              <w:t>5</w:t>
            </w:r>
            <w:r w:rsidRPr="002C3B0F">
              <w:rPr>
                <w:vertAlign w:val="superscript"/>
              </w:rPr>
              <w:t>th</w:t>
            </w:r>
            <w:r w:rsidRPr="002C3B0F">
              <w:t xml:space="preserve"> Anniversary </w:t>
            </w:r>
          </w:p>
        </w:tc>
        <w:tc>
          <w:tcPr>
            <w:tcW w:w="1843" w:type="dxa"/>
          </w:tcPr>
          <w:p w:rsidR="00EB1A2F" w:rsidRPr="002C3B0F" w:rsidRDefault="00EB1A2F" w:rsidP="00F84A70">
            <w:r w:rsidRPr="002C3B0F">
              <w:t>£1,200</w:t>
            </w:r>
          </w:p>
        </w:tc>
      </w:tr>
      <w:tr w:rsidR="00EB1A2F" w:rsidRPr="002C3B0F" w:rsidTr="004F0F25">
        <w:trPr>
          <w:cnfStyle w:val="000000010000" w:firstRow="0" w:lastRow="0" w:firstColumn="0" w:lastColumn="0" w:oddVBand="0" w:evenVBand="0" w:oddHBand="0" w:evenHBand="1" w:firstRowFirstColumn="0" w:firstRowLastColumn="0" w:lastRowFirstColumn="0" w:lastRowLastColumn="0"/>
        </w:trPr>
        <w:tc>
          <w:tcPr>
            <w:tcW w:w="3681" w:type="dxa"/>
          </w:tcPr>
          <w:p w:rsidR="00EB1A2F" w:rsidRPr="002C3B0F" w:rsidRDefault="00EB1A2F" w:rsidP="00F84A70">
            <w:r w:rsidRPr="002C3B0F">
              <w:t>6</w:t>
            </w:r>
            <w:r w:rsidRPr="002C3B0F">
              <w:rPr>
                <w:vertAlign w:val="superscript"/>
              </w:rPr>
              <w:t>th</w:t>
            </w:r>
            <w:r w:rsidRPr="002C3B0F">
              <w:t xml:space="preserve"> Anniversary</w:t>
            </w:r>
          </w:p>
        </w:tc>
        <w:tc>
          <w:tcPr>
            <w:tcW w:w="1843" w:type="dxa"/>
          </w:tcPr>
          <w:p w:rsidR="00EB1A2F" w:rsidRPr="002C3B0F" w:rsidRDefault="00EB1A2F" w:rsidP="00F84A70">
            <w:r w:rsidRPr="002C3B0F">
              <w:t>£2,100</w:t>
            </w:r>
          </w:p>
        </w:tc>
      </w:tr>
      <w:tr w:rsidR="00EB1A2F" w:rsidRPr="002C3B0F" w:rsidTr="004F0F25">
        <w:trPr>
          <w:cnfStyle w:val="000000100000" w:firstRow="0" w:lastRow="0" w:firstColumn="0" w:lastColumn="0" w:oddVBand="0" w:evenVBand="0" w:oddHBand="1" w:evenHBand="0" w:firstRowFirstColumn="0" w:firstRowLastColumn="0" w:lastRowFirstColumn="0" w:lastRowLastColumn="0"/>
        </w:trPr>
        <w:tc>
          <w:tcPr>
            <w:tcW w:w="3681" w:type="dxa"/>
          </w:tcPr>
          <w:p w:rsidR="00EB1A2F" w:rsidRPr="002C3B0F" w:rsidRDefault="00EB1A2F" w:rsidP="00F84A70">
            <w:r w:rsidRPr="002C3B0F">
              <w:t>7</w:t>
            </w:r>
            <w:r w:rsidRPr="002C3B0F">
              <w:rPr>
                <w:vertAlign w:val="superscript"/>
              </w:rPr>
              <w:t>th</w:t>
            </w:r>
            <w:r w:rsidRPr="002C3B0F">
              <w:t xml:space="preserve"> Anniversary</w:t>
            </w:r>
          </w:p>
        </w:tc>
        <w:tc>
          <w:tcPr>
            <w:tcW w:w="1843" w:type="dxa"/>
          </w:tcPr>
          <w:p w:rsidR="00EB1A2F" w:rsidRPr="002C3B0F" w:rsidRDefault="00EB1A2F" w:rsidP="00F84A70">
            <w:r w:rsidRPr="002C3B0F">
              <w:t>£3,000</w:t>
            </w:r>
          </w:p>
        </w:tc>
      </w:tr>
      <w:tr w:rsidR="00EB1A2F" w:rsidRPr="002C3B0F" w:rsidTr="004F0F25">
        <w:trPr>
          <w:cnfStyle w:val="000000010000" w:firstRow="0" w:lastRow="0" w:firstColumn="0" w:lastColumn="0" w:oddVBand="0" w:evenVBand="0" w:oddHBand="0" w:evenHBand="1" w:firstRowFirstColumn="0" w:firstRowLastColumn="0" w:lastRowFirstColumn="0" w:lastRowLastColumn="0"/>
        </w:trPr>
        <w:tc>
          <w:tcPr>
            <w:tcW w:w="3681" w:type="dxa"/>
          </w:tcPr>
          <w:p w:rsidR="00EB1A2F" w:rsidRPr="002C3B0F" w:rsidRDefault="00EB1A2F" w:rsidP="00F84A70">
            <w:r w:rsidRPr="002C3B0F">
              <w:t>8</w:t>
            </w:r>
            <w:r w:rsidRPr="002C3B0F">
              <w:rPr>
                <w:vertAlign w:val="superscript"/>
              </w:rPr>
              <w:t>th</w:t>
            </w:r>
            <w:r w:rsidRPr="002C3B0F">
              <w:t xml:space="preserve"> Anniversary</w:t>
            </w:r>
          </w:p>
        </w:tc>
        <w:tc>
          <w:tcPr>
            <w:tcW w:w="1843" w:type="dxa"/>
          </w:tcPr>
          <w:p w:rsidR="00EB1A2F" w:rsidRPr="002C3B0F" w:rsidRDefault="00EB1A2F" w:rsidP="00F84A70">
            <w:r w:rsidRPr="002C3B0F">
              <w:t>£3,900</w:t>
            </w:r>
          </w:p>
        </w:tc>
      </w:tr>
      <w:tr w:rsidR="00EB1A2F" w:rsidRPr="002C3B0F" w:rsidTr="004F0F25">
        <w:trPr>
          <w:cnfStyle w:val="000000100000" w:firstRow="0" w:lastRow="0" w:firstColumn="0" w:lastColumn="0" w:oddVBand="0" w:evenVBand="0" w:oddHBand="1" w:evenHBand="0" w:firstRowFirstColumn="0" w:firstRowLastColumn="0" w:lastRowFirstColumn="0" w:lastRowLastColumn="0"/>
        </w:trPr>
        <w:tc>
          <w:tcPr>
            <w:tcW w:w="3681" w:type="dxa"/>
          </w:tcPr>
          <w:p w:rsidR="00EB1A2F" w:rsidRPr="002C3B0F" w:rsidRDefault="00EB1A2F" w:rsidP="00F84A70">
            <w:r w:rsidRPr="002C3B0F">
              <w:t>9</w:t>
            </w:r>
            <w:r w:rsidRPr="002C3B0F">
              <w:rPr>
                <w:vertAlign w:val="superscript"/>
              </w:rPr>
              <w:t>th</w:t>
            </w:r>
            <w:r w:rsidRPr="002C3B0F">
              <w:t xml:space="preserve"> Anniversary</w:t>
            </w:r>
          </w:p>
        </w:tc>
        <w:tc>
          <w:tcPr>
            <w:tcW w:w="1843" w:type="dxa"/>
          </w:tcPr>
          <w:p w:rsidR="00EB1A2F" w:rsidRPr="002C3B0F" w:rsidRDefault="00EB1A2F" w:rsidP="00F84A70">
            <w:r w:rsidRPr="002C3B0F">
              <w:t>£4,800</w:t>
            </w:r>
          </w:p>
        </w:tc>
      </w:tr>
      <w:tr w:rsidR="00EB1A2F" w:rsidRPr="002C3B0F" w:rsidTr="004F0F25">
        <w:trPr>
          <w:cnfStyle w:val="000000010000" w:firstRow="0" w:lastRow="0" w:firstColumn="0" w:lastColumn="0" w:oddVBand="0" w:evenVBand="0" w:oddHBand="0" w:evenHBand="1" w:firstRowFirstColumn="0" w:firstRowLastColumn="0" w:lastRowFirstColumn="0" w:lastRowLastColumn="0"/>
        </w:trPr>
        <w:tc>
          <w:tcPr>
            <w:tcW w:w="3681" w:type="dxa"/>
          </w:tcPr>
          <w:p w:rsidR="00EB1A2F" w:rsidRPr="002C3B0F" w:rsidRDefault="00EB1A2F" w:rsidP="00F84A70">
            <w:r w:rsidRPr="002C3B0F">
              <w:t>10</w:t>
            </w:r>
            <w:r w:rsidRPr="002C3B0F">
              <w:rPr>
                <w:vertAlign w:val="superscript"/>
              </w:rPr>
              <w:t>th</w:t>
            </w:r>
            <w:r w:rsidRPr="002C3B0F">
              <w:t xml:space="preserve"> Anniversary</w:t>
            </w:r>
          </w:p>
        </w:tc>
        <w:tc>
          <w:tcPr>
            <w:tcW w:w="1843" w:type="dxa"/>
          </w:tcPr>
          <w:p w:rsidR="00EB1A2F" w:rsidRPr="002C3B0F" w:rsidRDefault="00EB1A2F" w:rsidP="00F84A70">
            <w:r w:rsidRPr="002C3B0F">
              <w:t>£5,700</w:t>
            </w:r>
          </w:p>
        </w:tc>
      </w:tr>
      <w:tr w:rsidR="00EB1A2F" w:rsidRPr="002C3B0F" w:rsidTr="004F0F25">
        <w:trPr>
          <w:cnfStyle w:val="000000100000" w:firstRow="0" w:lastRow="0" w:firstColumn="0" w:lastColumn="0" w:oddVBand="0" w:evenVBand="0" w:oddHBand="1" w:evenHBand="0" w:firstRowFirstColumn="0" w:firstRowLastColumn="0" w:lastRowFirstColumn="0" w:lastRowLastColumn="0"/>
        </w:trPr>
        <w:tc>
          <w:tcPr>
            <w:tcW w:w="3681" w:type="dxa"/>
          </w:tcPr>
          <w:p w:rsidR="00EB1A2F" w:rsidRPr="002C3B0F" w:rsidRDefault="00EB1A2F" w:rsidP="00F84A70">
            <w:r w:rsidRPr="002C3B0F">
              <w:t>11</w:t>
            </w:r>
            <w:r w:rsidRPr="002C3B0F">
              <w:rPr>
                <w:vertAlign w:val="superscript"/>
              </w:rPr>
              <w:t>th</w:t>
            </w:r>
            <w:r w:rsidRPr="002C3B0F">
              <w:t xml:space="preserve"> Anniversary</w:t>
            </w:r>
          </w:p>
        </w:tc>
        <w:tc>
          <w:tcPr>
            <w:tcW w:w="1843" w:type="dxa"/>
          </w:tcPr>
          <w:p w:rsidR="00EB1A2F" w:rsidRPr="002C3B0F" w:rsidRDefault="00EB1A2F" w:rsidP="00F84A70">
            <w:r w:rsidRPr="002C3B0F">
              <w:t>£6,600</w:t>
            </w:r>
          </w:p>
        </w:tc>
      </w:tr>
      <w:tr w:rsidR="00EB1A2F" w:rsidRPr="002C3B0F" w:rsidTr="004F0F25">
        <w:trPr>
          <w:cnfStyle w:val="000000010000" w:firstRow="0" w:lastRow="0" w:firstColumn="0" w:lastColumn="0" w:oddVBand="0" w:evenVBand="0" w:oddHBand="0" w:evenHBand="1" w:firstRowFirstColumn="0" w:firstRowLastColumn="0" w:lastRowFirstColumn="0" w:lastRowLastColumn="0"/>
        </w:trPr>
        <w:tc>
          <w:tcPr>
            <w:tcW w:w="3681" w:type="dxa"/>
          </w:tcPr>
          <w:p w:rsidR="00EB1A2F" w:rsidRPr="002C3B0F" w:rsidRDefault="00EB1A2F" w:rsidP="00F84A70">
            <w:r w:rsidRPr="002C3B0F">
              <w:t>12</w:t>
            </w:r>
            <w:r w:rsidRPr="002C3B0F">
              <w:rPr>
                <w:vertAlign w:val="superscript"/>
              </w:rPr>
              <w:t>th</w:t>
            </w:r>
            <w:r w:rsidRPr="002C3B0F">
              <w:t xml:space="preserve"> Anniversary</w:t>
            </w:r>
          </w:p>
        </w:tc>
        <w:tc>
          <w:tcPr>
            <w:tcW w:w="1843" w:type="dxa"/>
          </w:tcPr>
          <w:p w:rsidR="00EB1A2F" w:rsidRPr="002C3B0F" w:rsidRDefault="00EB1A2F" w:rsidP="00F84A70">
            <w:r w:rsidRPr="002C3B0F">
              <w:t>£7,500</w:t>
            </w:r>
          </w:p>
        </w:tc>
      </w:tr>
      <w:tr w:rsidR="00EB1A2F" w:rsidRPr="002C3B0F" w:rsidTr="004F0F25">
        <w:trPr>
          <w:cnfStyle w:val="000000100000" w:firstRow="0" w:lastRow="0" w:firstColumn="0" w:lastColumn="0" w:oddVBand="0" w:evenVBand="0" w:oddHBand="1" w:evenHBand="0" w:firstRowFirstColumn="0" w:firstRowLastColumn="0" w:lastRowFirstColumn="0" w:lastRowLastColumn="0"/>
        </w:trPr>
        <w:tc>
          <w:tcPr>
            <w:tcW w:w="3681" w:type="dxa"/>
          </w:tcPr>
          <w:p w:rsidR="00EB1A2F" w:rsidRPr="002C3B0F" w:rsidRDefault="00EB1A2F" w:rsidP="00F84A70">
            <w:r w:rsidRPr="002C3B0F">
              <w:t>Subsequent Anniversaries</w:t>
            </w:r>
          </w:p>
        </w:tc>
        <w:tc>
          <w:tcPr>
            <w:tcW w:w="1843" w:type="dxa"/>
          </w:tcPr>
          <w:p w:rsidR="00EB1A2F" w:rsidRPr="002C3B0F" w:rsidRDefault="00EB1A2F" w:rsidP="00F84A70">
            <w:r w:rsidRPr="002C3B0F">
              <w:t>£7,500</w:t>
            </w:r>
          </w:p>
        </w:tc>
      </w:tr>
    </w:tbl>
    <w:p w:rsidR="00BD5094" w:rsidRPr="002C3B0F" w:rsidRDefault="00EB1A2F" w:rsidP="00E42D56">
      <w:pPr>
        <w:pStyle w:val="Noetic-BodyText"/>
        <w:spacing w:before="240" w:after="120"/>
        <w:sectPr w:rsidR="00BD5094" w:rsidRPr="002C3B0F" w:rsidSect="00065B08">
          <w:headerReference w:type="even" r:id="rId52"/>
          <w:headerReference w:type="default" r:id="rId53"/>
          <w:footerReference w:type="default" r:id="rId54"/>
          <w:headerReference w:type="first" r:id="rId55"/>
          <w:pgSz w:w="9979" w:h="14175" w:code="9"/>
          <w:pgMar w:top="1412" w:right="476" w:bottom="720" w:left="476" w:header="567" w:footer="567" w:gutter="0"/>
          <w:pgNumType w:start="1" w:chapStyle="6"/>
          <w:cols w:space="708"/>
          <w:docGrid w:linePitch="360"/>
        </w:sectPr>
      </w:pPr>
      <w:r w:rsidRPr="002C3B0F">
        <w:t>If the original size of the block (approximately 26km</w:t>
      </w:r>
      <w:r w:rsidRPr="002C3B0F">
        <w:rPr>
          <w:vertAlign w:val="superscript"/>
        </w:rPr>
        <w:t>2</w:t>
      </w:r>
      <w:r w:rsidRPr="002C3B0F">
        <w:t>) was to be maintained the license holders would be required to pay £31,200 on the 5</w:t>
      </w:r>
      <w:r w:rsidRPr="002C3B0F">
        <w:rPr>
          <w:vertAlign w:val="superscript"/>
        </w:rPr>
        <w:t>th</w:t>
      </w:r>
      <w:r w:rsidRPr="002C3B0F">
        <w:t xml:space="preserve"> Anniversary. This amount would increase every year reaching a maximum of £195,000 on the 12</w:t>
      </w:r>
      <w:r w:rsidRPr="002C3B0F">
        <w:rPr>
          <w:vertAlign w:val="superscript"/>
        </w:rPr>
        <w:t>th</w:t>
      </w:r>
      <w:r w:rsidRPr="002C3B0F">
        <w:t xml:space="preserve"> Anniversary and every subsequent anniversary </w:t>
      </w:r>
      <w:r w:rsidR="003C4B72">
        <w:t>thereafter</w:t>
      </w:r>
      <w:r w:rsidRPr="002C3B0F">
        <w:t xml:space="preserve">. </w:t>
      </w:r>
    </w:p>
    <w:p w:rsidR="00BD5094" w:rsidRPr="004A19DF" w:rsidRDefault="00BD5094" w:rsidP="005F2B15">
      <w:pPr>
        <w:pStyle w:val="Heading6"/>
      </w:pPr>
      <w:r>
        <w:lastRenderedPageBreak/>
        <w:t xml:space="preserve"> </w:t>
      </w:r>
      <w:r>
        <w:br/>
      </w:r>
      <w:bookmarkStart w:id="142" w:name="_Toc423426806"/>
      <w:r>
        <w:t>Stakeholder Survey Results</w:t>
      </w:r>
      <w:bookmarkEnd w:id="142"/>
    </w:p>
    <w:p w:rsidR="001501F3" w:rsidRDefault="001501F3" w:rsidP="00E42D56">
      <w:pPr>
        <w:pStyle w:val="Heading20"/>
      </w:pPr>
      <w:bookmarkStart w:id="143" w:name="_Toc423388199"/>
      <w:bookmarkStart w:id="144" w:name="_Toc423426807"/>
      <w:bookmarkStart w:id="145" w:name="_Toc430102216"/>
      <w:r>
        <w:t>Private Sector Survey Responses</w:t>
      </w:r>
      <w:bookmarkEnd w:id="143"/>
      <w:bookmarkEnd w:id="144"/>
      <w:bookmarkEnd w:id="145"/>
    </w:p>
    <w:p w:rsidR="001501F3" w:rsidRDefault="001501F3" w:rsidP="00E42D56">
      <w:pPr>
        <w:pStyle w:val="Heading30"/>
      </w:pPr>
      <w:bookmarkStart w:id="146" w:name="_Toc423426808"/>
      <w:bookmarkStart w:id="147" w:name="_Toc430102217"/>
      <w:r>
        <w:t>Regulation and the Productivity Commission Review</w:t>
      </w:r>
      <w:bookmarkEnd w:id="146"/>
      <w:bookmarkEnd w:id="147"/>
    </w:p>
    <w:tbl>
      <w:tblPr>
        <w:tblStyle w:val="TableGrid"/>
        <w:tblW w:w="0" w:type="auto"/>
        <w:tblLook w:val="04A0" w:firstRow="1" w:lastRow="0" w:firstColumn="1" w:lastColumn="0" w:noHBand="0" w:noVBand="1"/>
      </w:tblPr>
      <w:tblGrid>
        <w:gridCol w:w="1264"/>
        <w:gridCol w:w="1096"/>
        <w:gridCol w:w="737"/>
        <w:gridCol w:w="1198"/>
        <w:gridCol w:w="987"/>
        <w:gridCol w:w="1153"/>
        <w:gridCol w:w="536"/>
        <w:gridCol w:w="1070"/>
        <w:gridCol w:w="1212"/>
      </w:tblGrid>
      <w:tr w:rsidR="001501F3" w:rsidRPr="001D224E" w:rsidTr="00C57005">
        <w:trPr>
          <w:cnfStyle w:val="100000000000" w:firstRow="1" w:lastRow="0" w:firstColumn="0" w:lastColumn="0" w:oddVBand="0" w:evenVBand="0" w:oddHBand="0" w:evenHBand="0" w:firstRowFirstColumn="0" w:firstRowLastColumn="0" w:lastRowFirstColumn="0" w:lastRowLastColumn="0"/>
          <w:trHeight w:val="499"/>
        </w:trPr>
        <w:tc>
          <w:tcPr>
            <w:tcW w:w="0" w:type="auto"/>
            <w:gridSpan w:val="9"/>
            <w:hideMark/>
          </w:tcPr>
          <w:p w:rsidR="001501F3" w:rsidRPr="001D224E" w:rsidRDefault="001501F3" w:rsidP="000E1074">
            <w:pPr>
              <w:spacing w:after="120"/>
              <w:rPr>
                <w:bCs/>
              </w:rPr>
            </w:pPr>
            <w:r w:rsidRPr="001D224E">
              <w:rPr>
                <w:bCs/>
              </w:rPr>
              <w:t>1. The establishment of NOPTA has led to the streamlining of titles applications.</w:t>
            </w:r>
          </w:p>
        </w:tc>
      </w:tr>
      <w:tr w:rsidR="001501F3" w:rsidRPr="001D224E" w:rsidTr="00C57005">
        <w:trPr>
          <w:cnfStyle w:val="000000100000" w:firstRow="0" w:lastRow="0" w:firstColumn="0" w:lastColumn="0" w:oddVBand="0" w:evenVBand="0" w:oddHBand="1" w:evenHBand="0" w:firstRowFirstColumn="0" w:firstRowLastColumn="0" w:lastRowFirstColumn="0" w:lastRowLastColumn="0"/>
          <w:trHeight w:val="600"/>
        </w:trPr>
        <w:tc>
          <w:tcPr>
            <w:tcW w:w="0" w:type="auto"/>
            <w:hideMark/>
          </w:tcPr>
          <w:p w:rsidR="001501F3" w:rsidRPr="001D224E" w:rsidRDefault="001501F3" w:rsidP="000E1074">
            <w:pPr>
              <w:spacing w:after="120"/>
              <w:rPr>
                <w:b/>
                <w:bCs/>
              </w:rPr>
            </w:pPr>
            <w:r w:rsidRPr="001D224E">
              <w:rPr>
                <w:b/>
                <w:bCs/>
              </w:rPr>
              <w:t>Answer Options</w:t>
            </w:r>
          </w:p>
        </w:tc>
        <w:tc>
          <w:tcPr>
            <w:tcW w:w="0" w:type="auto"/>
            <w:hideMark/>
          </w:tcPr>
          <w:p w:rsidR="001501F3" w:rsidRPr="001D224E" w:rsidRDefault="001501F3" w:rsidP="000E1074">
            <w:pPr>
              <w:spacing w:after="120"/>
              <w:rPr>
                <w:b/>
                <w:bCs/>
              </w:rPr>
            </w:pPr>
            <w:r w:rsidRPr="001D224E">
              <w:rPr>
                <w:b/>
                <w:bCs/>
              </w:rPr>
              <w:t>Strongly Agree</w:t>
            </w:r>
          </w:p>
        </w:tc>
        <w:tc>
          <w:tcPr>
            <w:tcW w:w="0" w:type="auto"/>
            <w:hideMark/>
          </w:tcPr>
          <w:p w:rsidR="001501F3" w:rsidRPr="001D224E" w:rsidRDefault="001501F3" w:rsidP="000E1074">
            <w:pPr>
              <w:spacing w:after="120"/>
              <w:rPr>
                <w:b/>
                <w:bCs/>
              </w:rPr>
            </w:pPr>
            <w:r w:rsidRPr="001D224E">
              <w:rPr>
                <w:b/>
                <w:bCs/>
              </w:rPr>
              <w:t>Agree</w:t>
            </w:r>
          </w:p>
        </w:tc>
        <w:tc>
          <w:tcPr>
            <w:tcW w:w="0" w:type="auto"/>
            <w:hideMark/>
          </w:tcPr>
          <w:p w:rsidR="001501F3" w:rsidRPr="001D224E" w:rsidRDefault="001501F3" w:rsidP="000E1074">
            <w:pPr>
              <w:spacing w:after="120"/>
              <w:rPr>
                <w:b/>
                <w:bCs/>
              </w:rPr>
            </w:pPr>
            <w:r w:rsidRPr="001D224E">
              <w:rPr>
                <w:b/>
                <w:bCs/>
              </w:rPr>
              <w:t>No Difference</w:t>
            </w:r>
          </w:p>
        </w:tc>
        <w:tc>
          <w:tcPr>
            <w:tcW w:w="0" w:type="auto"/>
            <w:hideMark/>
          </w:tcPr>
          <w:p w:rsidR="001501F3" w:rsidRPr="001D224E" w:rsidRDefault="001501F3" w:rsidP="000E1074">
            <w:pPr>
              <w:spacing w:after="120"/>
              <w:rPr>
                <w:b/>
                <w:bCs/>
              </w:rPr>
            </w:pPr>
            <w:r w:rsidRPr="001D224E">
              <w:rPr>
                <w:b/>
                <w:bCs/>
              </w:rPr>
              <w:t>Disagree</w:t>
            </w:r>
          </w:p>
        </w:tc>
        <w:tc>
          <w:tcPr>
            <w:tcW w:w="0" w:type="auto"/>
            <w:hideMark/>
          </w:tcPr>
          <w:p w:rsidR="001501F3" w:rsidRPr="001D224E" w:rsidRDefault="001501F3" w:rsidP="000E1074">
            <w:pPr>
              <w:spacing w:after="120"/>
              <w:rPr>
                <w:b/>
                <w:bCs/>
              </w:rPr>
            </w:pPr>
            <w:r w:rsidRPr="001D224E">
              <w:rPr>
                <w:b/>
                <w:bCs/>
              </w:rPr>
              <w:t>Strongly Disagree</w:t>
            </w:r>
          </w:p>
        </w:tc>
        <w:tc>
          <w:tcPr>
            <w:tcW w:w="0" w:type="auto"/>
            <w:hideMark/>
          </w:tcPr>
          <w:p w:rsidR="001501F3" w:rsidRPr="001D224E" w:rsidRDefault="001501F3" w:rsidP="000E1074">
            <w:pPr>
              <w:spacing w:after="120"/>
              <w:rPr>
                <w:b/>
                <w:bCs/>
              </w:rPr>
            </w:pPr>
            <w:r w:rsidRPr="001D224E">
              <w:rPr>
                <w:b/>
                <w:bCs/>
              </w:rPr>
              <w:t>N/A</w:t>
            </w:r>
          </w:p>
        </w:tc>
        <w:tc>
          <w:tcPr>
            <w:tcW w:w="0" w:type="auto"/>
            <w:hideMark/>
          </w:tcPr>
          <w:p w:rsidR="001501F3" w:rsidRPr="001D224E" w:rsidRDefault="001501F3" w:rsidP="000E1074">
            <w:pPr>
              <w:spacing w:after="120"/>
              <w:rPr>
                <w:b/>
                <w:bCs/>
              </w:rPr>
            </w:pPr>
            <w:r w:rsidRPr="001D224E">
              <w:rPr>
                <w:b/>
                <w:bCs/>
              </w:rPr>
              <w:t>Rating Average</w:t>
            </w:r>
          </w:p>
        </w:tc>
        <w:tc>
          <w:tcPr>
            <w:tcW w:w="0" w:type="auto"/>
            <w:hideMark/>
          </w:tcPr>
          <w:p w:rsidR="001501F3" w:rsidRPr="001D224E" w:rsidRDefault="001501F3" w:rsidP="000E1074">
            <w:pPr>
              <w:spacing w:after="120"/>
              <w:rPr>
                <w:b/>
                <w:bCs/>
              </w:rPr>
            </w:pPr>
            <w:r w:rsidRPr="001D224E">
              <w:rPr>
                <w:b/>
                <w:bCs/>
              </w:rPr>
              <w:t>Response Count</w:t>
            </w:r>
          </w:p>
        </w:tc>
      </w:tr>
      <w:tr w:rsidR="001501F3" w:rsidRPr="001D224E" w:rsidTr="00C57005">
        <w:trPr>
          <w:cnfStyle w:val="000000010000" w:firstRow="0" w:lastRow="0" w:firstColumn="0" w:lastColumn="0" w:oddVBand="0" w:evenVBand="0" w:oddHBand="0" w:evenHBand="1" w:firstRowFirstColumn="0" w:firstRowLastColumn="0" w:lastRowFirstColumn="0" w:lastRowLastColumn="0"/>
          <w:trHeight w:val="255"/>
        </w:trPr>
        <w:tc>
          <w:tcPr>
            <w:tcW w:w="0" w:type="auto"/>
            <w:hideMark/>
          </w:tcPr>
          <w:p w:rsidR="001501F3" w:rsidRPr="001D224E" w:rsidRDefault="001501F3" w:rsidP="000E1074">
            <w:pPr>
              <w:spacing w:after="120"/>
            </w:pPr>
            <w:r w:rsidRPr="001D224E">
              <w:t>Responses</w:t>
            </w:r>
          </w:p>
        </w:tc>
        <w:tc>
          <w:tcPr>
            <w:tcW w:w="0" w:type="auto"/>
            <w:noWrap/>
            <w:hideMark/>
          </w:tcPr>
          <w:p w:rsidR="001501F3" w:rsidRPr="001D224E" w:rsidRDefault="001501F3" w:rsidP="000E1074">
            <w:pPr>
              <w:spacing w:after="120"/>
            </w:pPr>
            <w:r w:rsidRPr="001D224E">
              <w:t>2</w:t>
            </w:r>
          </w:p>
        </w:tc>
        <w:tc>
          <w:tcPr>
            <w:tcW w:w="0" w:type="auto"/>
            <w:noWrap/>
            <w:hideMark/>
          </w:tcPr>
          <w:p w:rsidR="001501F3" w:rsidRPr="001D224E" w:rsidRDefault="001501F3" w:rsidP="000E1074">
            <w:pPr>
              <w:spacing w:after="120"/>
            </w:pPr>
            <w:r w:rsidRPr="001D224E">
              <w:t>7</w:t>
            </w:r>
          </w:p>
        </w:tc>
        <w:tc>
          <w:tcPr>
            <w:tcW w:w="0" w:type="auto"/>
            <w:noWrap/>
            <w:hideMark/>
          </w:tcPr>
          <w:p w:rsidR="001501F3" w:rsidRPr="001D224E" w:rsidRDefault="001501F3" w:rsidP="000E1074">
            <w:pPr>
              <w:spacing w:after="120"/>
            </w:pPr>
            <w:r w:rsidRPr="001D224E">
              <w:t>1</w:t>
            </w:r>
          </w:p>
        </w:tc>
        <w:tc>
          <w:tcPr>
            <w:tcW w:w="0" w:type="auto"/>
            <w:noWrap/>
            <w:hideMark/>
          </w:tcPr>
          <w:p w:rsidR="001501F3" w:rsidRPr="001D224E" w:rsidRDefault="001501F3" w:rsidP="000E1074">
            <w:pPr>
              <w:spacing w:after="120"/>
            </w:pPr>
            <w:r w:rsidRPr="001D224E">
              <w:t>0</w:t>
            </w:r>
          </w:p>
        </w:tc>
        <w:tc>
          <w:tcPr>
            <w:tcW w:w="0" w:type="auto"/>
            <w:noWrap/>
            <w:hideMark/>
          </w:tcPr>
          <w:p w:rsidR="001501F3" w:rsidRPr="001D224E" w:rsidRDefault="001501F3" w:rsidP="000E1074">
            <w:pPr>
              <w:spacing w:after="120"/>
            </w:pPr>
            <w:r w:rsidRPr="001D224E">
              <w:t>0</w:t>
            </w:r>
          </w:p>
        </w:tc>
        <w:tc>
          <w:tcPr>
            <w:tcW w:w="0" w:type="auto"/>
            <w:noWrap/>
            <w:hideMark/>
          </w:tcPr>
          <w:p w:rsidR="001501F3" w:rsidRPr="001D224E" w:rsidRDefault="001501F3" w:rsidP="000E1074">
            <w:pPr>
              <w:spacing w:after="120"/>
            </w:pPr>
            <w:r w:rsidRPr="001D224E">
              <w:t>1</w:t>
            </w:r>
          </w:p>
        </w:tc>
        <w:tc>
          <w:tcPr>
            <w:tcW w:w="0" w:type="auto"/>
            <w:noWrap/>
            <w:hideMark/>
          </w:tcPr>
          <w:p w:rsidR="001501F3" w:rsidRPr="001D224E" w:rsidRDefault="001501F3" w:rsidP="000E1074">
            <w:pPr>
              <w:spacing w:after="120"/>
            </w:pPr>
            <w:r w:rsidRPr="001D224E">
              <w:t>4.10</w:t>
            </w:r>
          </w:p>
        </w:tc>
        <w:tc>
          <w:tcPr>
            <w:tcW w:w="0" w:type="auto"/>
            <w:noWrap/>
            <w:hideMark/>
          </w:tcPr>
          <w:p w:rsidR="001501F3" w:rsidRPr="001D224E" w:rsidRDefault="001501F3" w:rsidP="000E1074">
            <w:pPr>
              <w:spacing w:after="120"/>
            </w:pPr>
            <w:r w:rsidRPr="001D224E">
              <w:t>11</w:t>
            </w:r>
          </w:p>
        </w:tc>
      </w:tr>
      <w:tr w:rsidR="001501F3" w:rsidRPr="001D224E" w:rsidTr="00C57005">
        <w:trPr>
          <w:cnfStyle w:val="000000100000" w:firstRow="0" w:lastRow="0" w:firstColumn="0" w:lastColumn="0" w:oddVBand="0" w:evenVBand="0" w:oddHBand="1" w:evenHBand="0" w:firstRowFirstColumn="0" w:firstRowLastColumn="0" w:lastRowFirstColumn="0" w:lastRowLastColumn="0"/>
          <w:trHeight w:val="255"/>
        </w:trPr>
        <w:tc>
          <w:tcPr>
            <w:tcW w:w="0" w:type="auto"/>
            <w:gridSpan w:val="8"/>
            <w:hideMark/>
          </w:tcPr>
          <w:p w:rsidR="001501F3" w:rsidRPr="001D224E" w:rsidRDefault="001501F3" w:rsidP="000E1074">
            <w:pPr>
              <w:spacing w:after="120"/>
            </w:pPr>
            <w:r w:rsidRPr="001D224E">
              <w:t>Additional Comments</w:t>
            </w:r>
          </w:p>
        </w:tc>
        <w:tc>
          <w:tcPr>
            <w:tcW w:w="0" w:type="auto"/>
            <w:noWrap/>
            <w:hideMark/>
          </w:tcPr>
          <w:p w:rsidR="001501F3" w:rsidRPr="001D224E" w:rsidRDefault="001501F3" w:rsidP="000E1074">
            <w:pPr>
              <w:spacing w:after="120"/>
            </w:pPr>
            <w:r w:rsidRPr="001D224E">
              <w:t>3</w:t>
            </w:r>
          </w:p>
        </w:tc>
      </w:tr>
      <w:tr w:rsidR="001501F3" w:rsidRPr="001D224E" w:rsidTr="00C57005">
        <w:trPr>
          <w:cnfStyle w:val="000000010000" w:firstRow="0" w:lastRow="0" w:firstColumn="0" w:lastColumn="0" w:oddVBand="0" w:evenVBand="0" w:oddHBand="0" w:evenHBand="1" w:firstRowFirstColumn="0" w:firstRowLastColumn="0" w:lastRowFirstColumn="0" w:lastRowLastColumn="0"/>
          <w:trHeight w:val="255"/>
        </w:trPr>
        <w:tc>
          <w:tcPr>
            <w:tcW w:w="0" w:type="auto"/>
            <w:gridSpan w:val="8"/>
            <w:noWrap/>
            <w:hideMark/>
          </w:tcPr>
          <w:p w:rsidR="001501F3" w:rsidRPr="001D224E" w:rsidRDefault="001501F3" w:rsidP="000E1074">
            <w:pPr>
              <w:spacing w:after="120"/>
              <w:rPr>
                <w:b/>
                <w:bCs/>
                <w:i/>
                <w:iCs/>
              </w:rPr>
            </w:pPr>
            <w:r w:rsidRPr="001D224E">
              <w:rPr>
                <w:b/>
                <w:bCs/>
                <w:i/>
                <w:iCs/>
              </w:rPr>
              <w:t>answered question</w:t>
            </w:r>
          </w:p>
        </w:tc>
        <w:tc>
          <w:tcPr>
            <w:tcW w:w="0" w:type="auto"/>
            <w:noWrap/>
            <w:hideMark/>
          </w:tcPr>
          <w:p w:rsidR="001501F3" w:rsidRPr="001D224E" w:rsidRDefault="001501F3" w:rsidP="000E1074">
            <w:pPr>
              <w:spacing w:after="120"/>
              <w:rPr>
                <w:b/>
                <w:bCs/>
              </w:rPr>
            </w:pPr>
            <w:r w:rsidRPr="001D224E">
              <w:rPr>
                <w:b/>
                <w:bCs/>
              </w:rPr>
              <w:t>11</w:t>
            </w:r>
          </w:p>
        </w:tc>
      </w:tr>
      <w:tr w:rsidR="001501F3" w:rsidRPr="001D224E" w:rsidTr="00C57005">
        <w:trPr>
          <w:cnfStyle w:val="000000100000" w:firstRow="0" w:lastRow="0" w:firstColumn="0" w:lastColumn="0" w:oddVBand="0" w:evenVBand="0" w:oddHBand="1" w:evenHBand="0" w:firstRowFirstColumn="0" w:firstRowLastColumn="0" w:lastRowFirstColumn="0" w:lastRowLastColumn="0"/>
          <w:trHeight w:val="255"/>
        </w:trPr>
        <w:tc>
          <w:tcPr>
            <w:tcW w:w="0" w:type="auto"/>
            <w:gridSpan w:val="8"/>
            <w:noWrap/>
            <w:hideMark/>
          </w:tcPr>
          <w:p w:rsidR="001501F3" w:rsidRPr="001D224E" w:rsidRDefault="001501F3" w:rsidP="000E1074">
            <w:pPr>
              <w:spacing w:after="120"/>
              <w:rPr>
                <w:b/>
                <w:bCs/>
                <w:i/>
                <w:iCs/>
              </w:rPr>
            </w:pPr>
            <w:r w:rsidRPr="001D224E">
              <w:rPr>
                <w:b/>
                <w:bCs/>
                <w:i/>
                <w:iCs/>
              </w:rPr>
              <w:t>skipped question</w:t>
            </w:r>
          </w:p>
        </w:tc>
        <w:tc>
          <w:tcPr>
            <w:tcW w:w="0" w:type="auto"/>
            <w:noWrap/>
            <w:hideMark/>
          </w:tcPr>
          <w:p w:rsidR="001501F3" w:rsidRPr="001D224E" w:rsidRDefault="001501F3" w:rsidP="000E1074">
            <w:pPr>
              <w:spacing w:after="120"/>
              <w:rPr>
                <w:b/>
                <w:bCs/>
              </w:rPr>
            </w:pPr>
            <w:r w:rsidRPr="001D224E">
              <w:rPr>
                <w:b/>
                <w:bCs/>
              </w:rPr>
              <w:t>0</w:t>
            </w:r>
          </w:p>
        </w:tc>
      </w:tr>
      <w:tr w:rsidR="00C57005" w:rsidRPr="001D224E" w:rsidTr="00C57005">
        <w:trPr>
          <w:cnfStyle w:val="000000010000" w:firstRow="0" w:lastRow="0" w:firstColumn="0" w:lastColumn="0" w:oddVBand="0" w:evenVBand="0" w:oddHBand="0" w:evenHBand="1" w:firstRowFirstColumn="0" w:firstRowLastColumn="0" w:lastRowFirstColumn="0" w:lastRowLastColumn="0"/>
          <w:trHeight w:val="510"/>
        </w:trPr>
        <w:tc>
          <w:tcPr>
            <w:tcW w:w="8778" w:type="dxa"/>
            <w:gridSpan w:val="9"/>
            <w:shd w:val="clear" w:color="auto" w:fill="595959" w:themeFill="text1" w:themeFillTint="A6"/>
            <w:hideMark/>
          </w:tcPr>
          <w:p w:rsidR="00C57005" w:rsidRPr="00C57005" w:rsidRDefault="00C57005" w:rsidP="000E1074">
            <w:pPr>
              <w:spacing w:after="120"/>
              <w:rPr>
                <w:b/>
                <w:bCs/>
                <w:color w:val="FFFFFF" w:themeColor="background1"/>
              </w:rPr>
            </w:pPr>
            <w:r w:rsidRPr="00C57005">
              <w:rPr>
                <w:b/>
                <w:bCs/>
                <w:color w:val="FFFFFF" w:themeColor="background1"/>
              </w:rPr>
              <w:t>Additional Comments</w:t>
            </w:r>
          </w:p>
        </w:tc>
      </w:tr>
      <w:tr w:rsidR="00C57005" w:rsidRPr="001D224E" w:rsidTr="00C57005">
        <w:trPr>
          <w:cnfStyle w:val="000000100000" w:firstRow="0" w:lastRow="0" w:firstColumn="0" w:lastColumn="0" w:oddVBand="0" w:evenVBand="0" w:oddHBand="1" w:evenHBand="0" w:firstRowFirstColumn="0" w:firstRowLastColumn="0" w:lastRowFirstColumn="0" w:lastRowLastColumn="0"/>
          <w:trHeight w:val="255"/>
        </w:trPr>
        <w:tc>
          <w:tcPr>
            <w:tcW w:w="8778" w:type="dxa"/>
            <w:gridSpan w:val="9"/>
            <w:noWrap/>
            <w:hideMark/>
          </w:tcPr>
          <w:p w:rsidR="00C57005" w:rsidRPr="001D224E" w:rsidRDefault="00C57005" w:rsidP="000E1074">
            <w:pPr>
              <w:spacing w:after="120"/>
            </w:pPr>
            <w:r w:rsidRPr="001D224E">
              <w:t>Always approachable and happy to meet, discuss</w:t>
            </w:r>
          </w:p>
        </w:tc>
      </w:tr>
      <w:tr w:rsidR="00C57005" w:rsidRPr="001D224E" w:rsidTr="00C57005">
        <w:trPr>
          <w:cnfStyle w:val="000000010000" w:firstRow="0" w:lastRow="0" w:firstColumn="0" w:lastColumn="0" w:oddVBand="0" w:evenVBand="0" w:oddHBand="0" w:evenHBand="1" w:firstRowFirstColumn="0" w:firstRowLastColumn="0" w:lastRowFirstColumn="0" w:lastRowLastColumn="0"/>
          <w:trHeight w:val="255"/>
        </w:trPr>
        <w:tc>
          <w:tcPr>
            <w:tcW w:w="8778" w:type="dxa"/>
            <w:gridSpan w:val="9"/>
            <w:noWrap/>
            <w:hideMark/>
          </w:tcPr>
          <w:p w:rsidR="00C57005" w:rsidRPr="001D224E" w:rsidRDefault="00C57005" w:rsidP="000E1074">
            <w:pPr>
              <w:spacing w:after="120"/>
            </w:pPr>
            <w:r w:rsidRPr="001D224E">
              <w:t>NOPTA people are always approachable and helpful</w:t>
            </w:r>
          </w:p>
        </w:tc>
      </w:tr>
      <w:tr w:rsidR="00C57005" w:rsidRPr="001D224E" w:rsidTr="00C57005">
        <w:trPr>
          <w:cnfStyle w:val="000000100000" w:firstRow="0" w:lastRow="0" w:firstColumn="0" w:lastColumn="0" w:oddVBand="0" w:evenVBand="0" w:oddHBand="1" w:evenHBand="0" w:firstRowFirstColumn="0" w:firstRowLastColumn="0" w:lastRowFirstColumn="0" w:lastRowLastColumn="0"/>
          <w:trHeight w:val="255"/>
        </w:trPr>
        <w:tc>
          <w:tcPr>
            <w:tcW w:w="8778" w:type="dxa"/>
            <w:gridSpan w:val="9"/>
            <w:noWrap/>
            <w:hideMark/>
          </w:tcPr>
          <w:p w:rsidR="00C57005" w:rsidRPr="001D224E" w:rsidRDefault="00C57005" w:rsidP="000E1074">
            <w:pPr>
              <w:spacing w:after="120"/>
            </w:pPr>
            <w:r w:rsidRPr="001D224E">
              <w:t>NOPTA's response times are very good. Having the ability to check progress on NEATS is excellent.</w:t>
            </w:r>
          </w:p>
        </w:tc>
      </w:tr>
    </w:tbl>
    <w:p w:rsidR="001501F3" w:rsidRDefault="001501F3" w:rsidP="001501F3"/>
    <w:tbl>
      <w:tblPr>
        <w:tblStyle w:val="TableGrid"/>
        <w:tblW w:w="8784" w:type="dxa"/>
        <w:tblLook w:val="04A0" w:firstRow="1" w:lastRow="0" w:firstColumn="1" w:lastColumn="0" w:noHBand="0" w:noVBand="1"/>
      </w:tblPr>
      <w:tblGrid>
        <w:gridCol w:w="1200"/>
        <w:gridCol w:w="1016"/>
        <w:gridCol w:w="737"/>
        <w:gridCol w:w="1160"/>
        <w:gridCol w:w="987"/>
        <w:gridCol w:w="1037"/>
        <w:gridCol w:w="536"/>
        <w:gridCol w:w="979"/>
        <w:gridCol w:w="1127"/>
        <w:gridCol w:w="6"/>
      </w:tblGrid>
      <w:tr w:rsidR="001501F3" w:rsidRPr="001D224E" w:rsidTr="00C57005">
        <w:trPr>
          <w:gridAfter w:val="1"/>
          <w:cnfStyle w:val="100000000000" w:firstRow="1" w:lastRow="0" w:firstColumn="0" w:lastColumn="0" w:oddVBand="0" w:evenVBand="0" w:oddHBand="0" w:evenHBand="0" w:firstRowFirstColumn="0" w:firstRowLastColumn="0" w:lastRowFirstColumn="0" w:lastRowLastColumn="0"/>
          <w:wAfter w:w="6" w:type="dxa"/>
          <w:trHeight w:val="499"/>
        </w:trPr>
        <w:tc>
          <w:tcPr>
            <w:tcW w:w="0" w:type="auto"/>
            <w:gridSpan w:val="9"/>
            <w:hideMark/>
          </w:tcPr>
          <w:p w:rsidR="001501F3" w:rsidRPr="001D224E" w:rsidRDefault="001501F3" w:rsidP="000E1074">
            <w:pPr>
              <w:spacing w:after="120"/>
              <w:rPr>
                <w:bCs/>
              </w:rPr>
            </w:pPr>
            <w:r w:rsidRPr="001D224E">
              <w:rPr>
                <w:bCs/>
              </w:rPr>
              <w:t>2. The current fee structure is better than the pre 1 January 2012 structure.</w:t>
            </w:r>
          </w:p>
        </w:tc>
      </w:tr>
      <w:tr w:rsidR="001501F3" w:rsidRPr="001D224E" w:rsidTr="00C57005">
        <w:trPr>
          <w:gridAfter w:val="1"/>
          <w:cnfStyle w:val="000000100000" w:firstRow="0" w:lastRow="0" w:firstColumn="0" w:lastColumn="0" w:oddVBand="0" w:evenVBand="0" w:oddHBand="1" w:evenHBand="0" w:firstRowFirstColumn="0" w:firstRowLastColumn="0" w:lastRowFirstColumn="0" w:lastRowLastColumn="0"/>
          <w:wAfter w:w="6" w:type="dxa"/>
          <w:trHeight w:val="600"/>
        </w:trPr>
        <w:tc>
          <w:tcPr>
            <w:tcW w:w="0" w:type="auto"/>
            <w:hideMark/>
          </w:tcPr>
          <w:p w:rsidR="001501F3" w:rsidRPr="001D224E" w:rsidRDefault="001501F3" w:rsidP="000E1074">
            <w:pPr>
              <w:spacing w:after="120"/>
              <w:rPr>
                <w:b/>
                <w:bCs/>
              </w:rPr>
            </w:pPr>
            <w:r w:rsidRPr="001D224E">
              <w:rPr>
                <w:b/>
                <w:bCs/>
              </w:rPr>
              <w:t>Answer Options</w:t>
            </w:r>
          </w:p>
        </w:tc>
        <w:tc>
          <w:tcPr>
            <w:tcW w:w="0" w:type="auto"/>
            <w:hideMark/>
          </w:tcPr>
          <w:p w:rsidR="001501F3" w:rsidRPr="001D224E" w:rsidRDefault="001501F3" w:rsidP="000E1074">
            <w:pPr>
              <w:spacing w:after="120"/>
              <w:rPr>
                <w:b/>
                <w:bCs/>
              </w:rPr>
            </w:pPr>
            <w:r w:rsidRPr="001D224E">
              <w:rPr>
                <w:b/>
                <w:bCs/>
              </w:rPr>
              <w:t>Strongly Agree</w:t>
            </w:r>
          </w:p>
        </w:tc>
        <w:tc>
          <w:tcPr>
            <w:tcW w:w="0" w:type="auto"/>
            <w:hideMark/>
          </w:tcPr>
          <w:p w:rsidR="001501F3" w:rsidRPr="001D224E" w:rsidRDefault="001501F3" w:rsidP="000E1074">
            <w:pPr>
              <w:spacing w:after="120"/>
              <w:rPr>
                <w:b/>
                <w:bCs/>
              </w:rPr>
            </w:pPr>
            <w:r w:rsidRPr="001D224E">
              <w:rPr>
                <w:b/>
                <w:bCs/>
              </w:rPr>
              <w:t>Agree</w:t>
            </w:r>
          </w:p>
        </w:tc>
        <w:tc>
          <w:tcPr>
            <w:tcW w:w="0" w:type="auto"/>
            <w:hideMark/>
          </w:tcPr>
          <w:p w:rsidR="001501F3" w:rsidRPr="001D224E" w:rsidRDefault="001501F3" w:rsidP="000E1074">
            <w:pPr>
              <w:spacing w:after="120"/>
              <w:rPr>
                <w:b/>
                <w:bCs/>
              </w:rPr>
            </w:pPr>
            <w:r w:rsidRPr="001D224E">
              <w:rPr>
                <w:b/>
                <w:bCs/>
              </w:rPr>
              <w:t>No Difference</w:t>
            </w:r>
          </w:p>
        </w:tc>
        <w:tc>
          <w:tcPr>
            <w:tcW w:w="0" w:type="auto"/>
            <w:hideMark/>
          </w:tcPr>
          <w:p w:rsidR="001501F3" w:rsidRPr="001D224E" w:rsidRDefault="001501F3" w:rsidP="000E1074">
            <w:pPr>
              <w:spacing w:after="120"/>
              <w:rPr>
                <w:b/>
                <w:bCs/>
              </w:rPr>
            </w:pPr>
            <w:r w:rsidRPr="001D224E">
              <w:rPr>
                <w:b/>
                <w:bCs/>
              </w:rPr>
              <w:t>Disagree</w:t>
            </w:r>
          </w:p>
        </w:tc>
        <w:tc>
          <w:tcPr>
            <w:tcW w:w="0" w:type="auto"/>
            <w:hideMark/>
          </w:tcPr>
          <w:p w:rsidR="001501F3" w:rsidRPr="001D224E" w:rsidRDefault="001501F3" w:rsidP="000E1074">
            <w:pPr>
              <w:spacing w:after="120"/>
              <w:rPr>
                <w:b/>
                <w:bCs/>
              </w:rPr>
            </w:pPr>
            <w:r w:rsidRPr="001D224E">
              <w:rPr>
                <w:b/>
                <w:bCs/>
              </w:rPr>
              <w:t>Strongly Disagree</w:t>
            </w:r>
          </w:p>
        </w:tc>
        <w:tc>
          <w:tcPr>
            <w:tcW w:w="0" w:type="auto"/>
            <w:hideMark/>
          </w:tcPr>
          <w:p w:rsidR="001501F3" w:rsidRPr="001D224E" w:rsidRDefault="001501F3" w:rsidP="000E1074">
            <w:pPr>
              <w:spacing w:after="120"/>
              <w:rPr>
                <w:b/>
                <w:bCs/>
              </w:rPr>
            </w:pPr>
            <w:r w:rsidRPr="001D224E">
              <w:rPr>
                <w:b/>
                <w:bCs/>
              </w:rPr>
              <w:t>N/A</w:t>
            </w:r>
          </w:p>
        </w:tc>
        <w:tc>
          <w:tcPr>
            <w:tcW w:w="0" w:type="auto"/>
            <w:hideMark/>
          </w:tcPr>
          <w:p w:rsidR="001501F3" w:rsidRPr="001D224E" w:rsidRDefault="001501F3" w:rsidP="000E1074">
            <w:pPr>
              <w:spacing w:after="120"/>
              <w:rPr>
                <w:b/>
                <w:bCs/>
              </w:rPr>
            </w:pPr>
            <w:r w:rsidRPr="001D224E">
              <w:rPr>
                <w:b/>
                <w:bCs/>
              </w:rPr>
              <w:t>Rating Average</w:t>
            </w:r>
          </w:p>
        </w:tc>
        <w:tc>
          <w:tcPr>
            <w:tcW w:w="0" w:type="auto"/>
            <w:hideMark/>
          </w:tcPr>
          <w:p w:rsidR="001501F3" w:rsidRPr="001D224E" w:rsidRDefault="001501F3" w:rsidP="000E1074">
            <w:pPr>
              <w:spacing w:after="120"/>
              <w:rPr>
                <w:b/>
                <w:bCs/>
              </w:rPr>
            </w:pPr>
            <w:r w:rsidRPr="001D224E">
              <w:rPr>
                <w:b/>
                <w:bCs/>
              </w:rPr>
              <w:t>Response Count</w:t>
            </w:r>
          </w:p>
        </w:tc>
      </w:tr>
      <w:tr w:rsidR="001501F3" w:rsidRPr="001D224E" w:rsidTr="00C57005">
        <w:trPr>
          <w:gridAfter w:val="1"/>
          <w:cnfStyle w:val="000000010000" w:firstRow="0" w:lastRow="0" w:firstColumn="0" w:lastColumn="0" w:oddVBand="0" w:evenVBand="0" w:oddHBand="0" w:evenHBand="1" w:firstRowFirstColumn="0" w:firstRowLastColumn="0" w:lastRowFirstColumn="0" w:lastRowLastColumn="0"/>
          <w:wAfter w:w="6" w:type="dxa"/>
          <w:trHeight w:val="255"/>
        </w:trPr>
        <w:tc>
          <w:tcPr>
            <w:tcW w:w="0" w:type="auto"/>
            <w:hideMark/>
          </w:tcPr>
          <w:p w:rsidR="001501F3" w:rsidRPr="001D224E" w:rsidRDefault="001501F3" w:rsidP="000E1074">
            <w:pPr>
              <w:spacing w:after="120"/>
            </w:pPr>
            <w:r w:rsidRPr="001D224E">
              <w:t>Responses</w:t>
            </w:r>
          </w:p>
        </w:tc>
        <w:tc>
          <w:tcPr>
            <w:tcW w:w="0" w:type="auto"/>
            <w:noWrap/>
            <w:hideMark/>
          </w:tcPr>
          <w:p w:rsidR="001501F3" w:rsidRPr="001D224E" w:rsidRDefault="001501F3" w:rsidP="000E1074">
            <w:pPr>
              <w:spacing w:after="120"/>
            </w:pPr>
            <w:r w:rsidRPr="001D224E">
              <w:t>0</w:t>
            </w:r>
          </w:p>
        </w:tc>
        <w:tc>
          <w:tcPr>
            <w:tcW w:w="0" w:type="auto"/>
            <w:noWrap/>
            <w:hideMark/>
          </w:tcPr>
          <w:p w:rsidR="001501F3" w:rsidRPr="001D224E" w:rsidRDefault="001501F3" w:rsidP="000E1074">
            <w:pPr>
              <w:spacing w:after="120"/>
            </w:pPr>
            <w:r w:rsidRPr="001D224E">
              <w:t>1</w:t>
            </w:r>
          </w:p>
        </w:tc>
        <w:tc>
          <w:tcPr>
            <w:tcW w:w="0" w:type="auto"/>
            <w:noWrap/>
            <w:hideMark/>
          </w:tcPr>
          <w:p w:rsidR="001501F3" w:rsidRPr="001D224E" w:rsidRDefault="001501F3" w:rsidP="000E1074">
            <w:pPr>
              <w:spacing w:after="120"/>
            </w:pPr>
            <w:r w:rsidRPr="001D224E">
              <w:t>2</w:t>
            </w:r>
          </w:p>
        </w:tc>
        <w:tc>
          <w:tcPr>
            <w:tcW w:w="0" w:type="auto"/>
            <w:noWrap/>
            <w:hideMark/>
          </w:tcPr>
          <w:p w:rsidR="001501F3" w:rsidRPr="001D224E" w:rsidRDefault="001501F3" w:rsidP="000E1074">
            <w:pPr>
              <w:spacing w:after="120"/>
            </w:pPr>
            <w:r w:rsidRPr="001D224E">
              <w:t>3</w:t>
            </w:r>
          </w:p>
        </w:tc>
        <w:tc>
          <w:tcPr>
            <w:tcW w:w="0" w:type="auto"/>
            <w:noWrap/>
            <w:hideMark/>
          </w:tcPr>
          <w:p w:rsidR="001501F3" w:rsidRPr="001D224E" w:rsidRDefault="001501F3" w:rsidP="000E1074">
            <w:pPr>
              <w:spacing w:after="120"/>
            </w:pPr>
            <w:r w:rsidRPr="001D224E">
              <w:t>1</w:t>
            </w:r>
          </w:p>
        </w:tc>
        <w:tc>
          <w:tcPr>
            <w:tcW w:w="0" w:type="auto"/>
            <w:noWrap/>
            <w:hideMark/>
          </w:tcPr>
          <w:p w:rsidR="001501F3" w:rsidRPr="001D224E" w:rsidRDefault="001501F3" w:rsidP="000E1074">
            <w:pPr>
              <w:spacing w:after="120"/>
            </w:pPr>
            <w:r w:rsidRPr="001D224E">
              <w:t>4</w:t>
            </w:r>
          </w:p>
        </w:tc>
        <w:tc>
          <w:tcPr>
            <w:tcW w:w="0" w:type="auto"/>
            <w:noWrap/>
            <w:hideMark/>
          </w:tcPr>
          <w:p w:rsidR="001501F3" w:rsidRPr="001D224E" w:rsidRDefault="001501F3" w:rsidP="000E1074">
            <w:pPr>
              <w:spacing w:after="120"/>
            </w:pPr>
            <w:r w:rsidRPr="001D224E">
              <w:t>2.43</w:t>
            </w:r>
          </w:p>
        </w:tc>
        <w:tc>
          <w:tcPr>
            <w:tcW w:w="0" w:type="auto"/>
            <w:noWrap/>
            <w:hideMark/>
          </w:tcPr>
          <w:p w:rsidR="001501F3" w:rsidRPr="001D224E" w:rsidRDefault="001501F3" w:rsidP="000E1074">
            <w:pPr>
              <w:spacing w:after="120"/>
            </w:pPr>
            <w:r w:rsidRPr="001D224E">
              <w:t>11</w:t>
            </w:r>
          </w:p>
        </w:tc>
      </w:tr>
      <w:tr w:rsidR="001501F3" w:rsidRPr="001D224E" w:rsidTr="00C57005">
        <w:trPr>
          <w:gridAfter w:val="1"/>
          <w:cnfStyle w:val="000000100000" w:firstRow="0" w:lastRow="0" w:firstColumn="0" w:lastColumn="0" w:oddVBand="0" w:evenVBand="0" w:oddHBand="1" w:evenHBand="0" w:firstRowFirstColumn="0" w:firstRowLastColumn="0" w:lastRowFirstColumn="0" w:lastRowLastColumn="0"/>
          <w:wAfter w:w="6" w:type="dxa"/>
          <w:trHeight w:val="255"/>
        </w:trPr>
        <w:tc>
          <w:tcPr>
            <w:tcW w:w="0" w:type="auto"/>
            <w:gridSpan w:val="8"/>
            <w:hideMark/>
          </w:tcPr>
          <w:p w:rsidR="001501F3" w:rsidRPr="001D224E" w:rsidRDefault="001501F3" w:rsidP="000E1074">
            <w:pPr>
              <w:spacing w:after="120"/>
            </w:pPr>
            <w:r w:rsidRPr="001D224E">
              <w:t>Additional Comments</w:t>
            </w:r>
          </w:p>
        </w:tc>
        <w:tc>
          <w:tcPr>
            <w:tcW w:w="0" w:type="auto"/>
            <w:noWrap/>
            <w:hideMark/>
          </w:tcPr>
          <w:p w:rsidR="001501F3" w:rsidRPr="001D224E" w:rsidRDefault="001501F3" w:rsidP="000E1074">
            <w:pPr>
              <w:spacing w:after="120"/>
            </w:pPr>
            <w:r w:rsidRPr="001D224E">
              <w:t>1</w:t>
            </w:r>
          </w:p>
        </w:tc>
      </w:tr>
      <w:tr w:rsidR="001501F3" w:rsidRPr="001D224E" w:rsidTr="00C57005">
        <w:trPr>
          <w:gridAfter w:val="1"/>
          <w:cnfStyle w:val="000000010000" w:firstRow="0" w:lastRow="0" w:firstColumn="0" w:lastColumn="0" w:oddVBand="0" w:evenVBand="0" w:oddHBand="0" w:evenHBand="1" w:firstRowFirstColumn="0" w:firstRowLastColumn="0" w:lastRowFirstColumn="0" w:lastRowLastColumn="0"/>
          <w:wAfter w:w="6" w:type="dxa"/>
          <w:trHeight w:val="255"/>
        </w:trPr>
        <w:tc>
          <w:tcPr>
            <w:tcW w:w="0" w:type="auto"/>
            <w:gridSpan w:val="8"/>
            <w:noWrap/>
            <w:hideMark/>
          </w:tcPr>
          <w:p w:rsidR="001501F3" w:rsidRPr="001D224E" w:rsidRDefault="001501F3" w:rsidP="000E1074">
            <w:pPr>
              <w:spacing w:after="120"/>
              <w:rPr>
                <w:b/>
                <w:bCs/>
                <w:i/>
                <w:iCs/>
              </w:rPr>
            </w:pPr>
            <w:r w:rsidRPr="001D224E">
              <w:rPr>
                <w:b/>
                <w:bCs/>
                <w:i/>
                <w:iCs/>
              </w:rPr>
              <w:t>answered question</w:t>
            </w:r>
          </w:p>
        </w:tc>
        <w:tc>
          <w:tcPr>
            <w:tcW w:w="0" w:type="auto"/>
            <w:noWrap/>
            <w:hideMark/>
          </w:tcPr>
          <w:p w:rsidR="001501F3" w:rsidRPr="001D224E" w:rsidRDefault="001501F3" w:rsidP="000E1074">
            <w:pPr>
              <w:spacing w:after="120"/>
              <w:rPr>
                <w:b/>
                <w:bCs/>
              </w:rPr>
            </w:pPr>
            <w:r w:rsidRPr="001D224E">
              <w:rPr>
                <w:b/>
                <w:bCs/>
              </w:rPr>
              <w:t>11</w:t>
            </w:r>
          </w:p>
        </w:tc>
      </w:tr>
      <w:tr w:rsidR="001501F3" w:rsidRPr="001D224E" w:rsidTr="00C57005">
        <w:trPr>
          <w:gridAfter w:val="1"/>
          <w:cnfStyle w:val="000000100000" w:firstRow="0" w:lastRow="0" w:firstColumn="0" w:lastColumn="0" w:oddVBand="0" w:evenVBand="0" w:oddHBand="1" w:evenHBand="0" w:firstRowFirstColumn="0" w:firstRowLastColumn="0" w:lastRowFirstColumn="0" w:lastRowLastColumn="0"/>
          <w:wAfter w:w="6" w:type="dxa"/>
          <w:trHeight w:val="255"/>
        </w:trPr>
        <w:tc>
          <w:tcPr>
            <w:tcW w:w="0" w:type="auto"/>
            <w:gridSpan w:val="8"/>
            <w:noWrap/>
            <w:hideMark/>
          </w:tcPr>
          <w:p w:rsidR="001501F3" w:rsidRPr="001D224E" w:rsidRDefault="001501F3" w:rsidP="000E1074">
            <w:pPr>
              <w:spacing w:after="120"/>
              <w:rPr>
                <w:b/>
                <w:bCs/>
                <w:i/>
                <w:iCs/>
              </w:rPr>
            </w:pPr>
            <w:r w:rsidRPr="001D224E">
              <w:rPr>
                <w:b/>
                <w:bCs/>
                <w:i/>
                <w:iCs/>
              </w:rPr>
              <w:t>skipped question</w:t>
            </w:r>
          </w:p>
        </w:tc>
        <w:tc>
          <w:tcPr>
            <w:tcW w:w="0" w:type="auto"/>
            <w:noWrap/>
            <w:hideMark/>
          </w:tcPr>
          <w:p w:rsidR="001501F3" w:rsidRPr="001D224E" w:rsidRDefault="001501F3" w:rsidP="000E1074">
            <w:pPr>
              <w:spacing w:after="120"/>
              <w:rPr>
                <w:b/>
                <w:bCs/>
              </w:rPr>
            </w:pPr>
            <w:r w:rsidRPr="001D224E">
              <w:rPr>
                <w:b/>
                <w:bCs/>
              </w:rPr>
              <w:t>0</w:t>
            </w:r>
          </w:p>
        </w:tc>
      </w:tr>
      <w:tr w:rsidR="00C57005" w:rsidRPr="001D224E" w:rsidTr="00C57005">
        <w:trPr>
          <w:cnfStyle w:val="000000010000" w:firstRow="0" w:lastRow="0" w:firstColumn="0" w:lastColumn="0" w:oddVBand="0" w:evenVBand="0" w:oddHBand="0" w:evenHBand="1" w:firstRowFirstColumn="0" w:firstRowLastColumn="0" w:lastRowFirstColumn="0" w:lastRowLastColumn="0"/>
          <w:trHeight w:val="510"/>
        </w:trPr>
        <w:tc>
          <w:tcPr>
            <w:tcW w:w="8784" w:type="dxa"/>
            <w:gridSpan w:val="10"/>
            <w:shd w:val="clear" w:color="auto" w:fill="595959" w:themeFill="text1" w:themeFillTint="A6"/>
            <w:hideMark/>
          </w:tcPr>
          <w:p w:rsidR="00C57005" w:rsidRPr="001D224E" w:rsidRDefault="00C57005" w:rsidP="000E1074">
            <w:pPr>
              <w:spacing w:after="120"/>
              <w:rPr>
                <w:bCs/>
              </w:rPr>
            </w:pPr>
            <w:r w:rsidRPr="00C57005">
              <w:rPr>
                <w:b/>
                <w:bCs/>
                <w:color w:val="FFFFFF" w:themeColor="background1"/>
              </w:rPr>
              <w:lastRenderedPageBreak/>
              <w:t>Additional Comments</w:t>
            </w:r>
          </w:p>
        </w:tc>
      </w:tr>
      <w:tr w:rsidR="00C57005" w:rsidRPr="001D224E" w:rsidTr="00C57005">
        <w:trPr>
          <w:cnfStyle w:val="000000100000" w:firstRow="0" w:lastRow="0" w:firstColumn="0" w:lastColumn="0" w:oddVBand="0" w:evenVBand="0" w:oddHBand="1" w:evenHBand="0" w:firstRowFirstColumn="0" w:firstRowLastColumn="0" w:lastRowFirstColumn="0" w:lastRowLastColumn="0"/>
          <w:trHeight w:val="255"/>
        </w:trPr>
        <w:tc>
          <w:tcPr>
            <w:tcW w:w="8784" w:type="dxa"/>
            <w:gridSpan w:val="10"/>
            <w:noWrap/>
            <w:hideMark/>
          </w:tcPr>
          <w:p w:rsidR="00C57005" w:rsidRPr="001D224E" w:rsidRDefault="00C57005" w:rsidP="000E1074">
            <w:pPr>
              <w:spacing w:after="120"/>
            </w:pPr>
            <w:r w:rsidRPr="001D224E">
              <w:t>Permit fees by area make more sense to me than a fixed fee irrespective of size.</w:t>
            </w:r>
            <w:r w:rsidRPr="001D224E">
              <w:br/>
            </w:r>
            <w:r w:rsidRPr="001D224E">
              <w:br/>
              <w:t>it is good that we no longer pay transfer fees, but now everyone pays for everything, and perhaps payment on transfer - i.e. at the conclusion of s deal, was a better thing</w:t>
            </w:r>
          </w:p>
        </w:tc>
      </w:tr>
    </w:tbl>
    <w:p w:rsidR="001501F3" w:rsidRDefault="001501F3" w:rsidP="001501F3"/>
    <w:tbl>
      <w:tblPr>
        <w:tblStyle w:val="TableGrid"/>
        <w:tblW w:w="8784" w:type="dxa"/>
        <w:tblLook w:val="04A0" w:firstRow="1" w:lastRow="0" w:firstColumn="1" w:lastColumn="0" w:noHBand="0" w:noVBand="1"/>
      </w:tblPr>
      <w:tblGrid>
        <w:gridCol w:w="1412"/>
        <w:gridCol w:w="1192"/>
        <w:gridCol w:w="866"/>
        <w:gridCol w:w="1157"/>
        <w:gridCol w:w="1185"/>
        <w:gridCol w:w="630"/>
        <w:gridCol w:w="1097"/>
        <w:gridCol w:w="1242"/>
        <w:gridCol w:w="6"/>
      </w:tblGrid>
      <w:tr w:rsidR="001501F3" w:rsidRPr="001D224E" w:rsidTr="00C57005">
        <w:trPr>
          <w:gridAfter w:val="1"/>
          <w:cnfStyle w:val="100000000000" w:firstRow="1" w:lastRow="0" w:firstColumn="0" w:lastColumn="0" w:oddVBand="0" w:evenVBand="0" w:oddHBand="0" w:evenHBand="0" w:firstRowFirstColumn="0" w:firstRowLastColumn="0" w:lastRowFirstColumn="0" w:lastRowLastColumn="0"/>
          <w:wAfter w:w="6" w:type="dxa"/>
          <w:trHeight w:val="499"/>
        </w:trPr>
        <w:tc>
          <w:tcPr>
            <w:tcW w:w="0" w:type="auto"/>
            <w:gridSpan w:val="8"/>
            <w:hideMark/>
          </w:tcPr>
          <w:p w:rsidR="001501F3" w:rsidRPr="001D224E" w:rsidRDefault="001501F3" w:rsidP="000E1074">
            <w:pPr>
              <w:spacing w:after="120"/>
              <w:rPr>
                <w:bCs/>
              </w:rPr>
            </w:pPr>
            <w:r w:rsidRPr="001D224E">
              <w:rPr>
                <w:bCs/>
              </w:rPr>
              <w:t>3. NOPTA provides clear feedback to my organisation about the assessment criteria used during each stage of the title application process.</w:t>
            </w:r>
          </w:p>
        </w:tc>
      </w:tr>
      <w:tr w:rsidR="001501F3" w:rsidRPr="001D224E" w:rsidTr="00C57005">
        <w:trPr>
          <w:gridAfter w:val="1"/>
          <w:cnfStyle w:val="000000100000" w:firstRow="0" w:lastRow="0" w:firstColumn="0" w:lastColumn="0" w:oddVBand="0" w:evenVBand="0" w:oddHBand="1" w:evenHBand="0" w:firstRowFirstColumn="0" w:firstRowLastColumn="0" w:lastRowFirstColumn="0" w:lastRowLastColumn="0"/>
          <w:wAfter w:w="6" w:type="dxa"/>
          <w:trHeight w:val="600"/>
        </w:trPr>
        <w:tc>
          <w:tcPr>
            <w:tcW w:w="0" w:type="auto"/>
            <w:hideMark/>
          </w:tcPr>
          <w:p w:rsidR="001501F3" w:rsidRPr="001D224E" w:rsidRDefault="001501F3" w:rsidP="000E1074">
            <w:pPr>
              <w:spacing w:after="120"/>
              <w:rPr>
                <w:b/>
                <w:bCs/>
              </w:rPr>
            </w:pPr>
            <w:r w:rsidRPr="001D224E">
              <w:rPr>
                <w:b/>
                <w:bCs/>
              </w:rPr>
              <w:t>Answer Options</w:t>
            </w:r>
          </w:p>
        </w:tc>
        <w:tc>
          <w:tcPr>
            <w:tcW w:w="0" w:type="auto"/>
            <w:hideMark/>
          </w:tcPr>
          <w:p w:rsidR="001501F3" w:rsidRPr="001D224E" w:rsidRDefault="001501F3" w:rsidP="000E1074">
            <w:pPr>
              <w:spacing w:after="120"/>
              <w:rPr>
                <w:b/>
                <w:bCs/>
              </w:rPr>
            </w:pPr>
            <w:r w:rsidRPr="001D224E">
              <w:rPr>
                <w:b/>
                <w:bCs/>
              </w:rPr>
              <w:t>Strongly Agree</w:t>
            </w:r>
          </w:p>
        </w:tc>
        <w:tc>
          <w:tcPr>
            <w:tcW w:w="0" w:type="auto"/>
            <w:hideMark/>
          </w:tcPr>
          <w:p w:rsidR="001501F3" w:rsidRPr="001D224E" w:rsidRDefault="001501F3" w:rsidP="000E1074">
            <w:pPr>
              <w:spacing w:after="120"/>
              <w:rPr>
                <w:b/>
                <w:bCs/>
              </w:rPr>
            </w:pPr>
            <w:r w:rsidRPr="001D224E">
              <w:rPr>
                <w:b/>
                <w:bCs/>
              </w:rPr>
              <w:t>Agree</w:t>
            </w:r>
          </w:p>
        </w:tc>
        <w:tc>
          <w:tcPr>
            <w:tcW w:w="0" w:type="auto"/>
            <w:hideMark/>
          </w:tcPr>
          <w:p w:rsidR="001501F3" w:rsidRPr="001D224E" w:rsidRDefault="001501F3" w:rsidP="000E1074">
            <w:pPr>
              <w:spacing w:after="120"/>
              <w:rPr>
                <w:b/>
                <w:bCs/>
              </w:rPr>
            </w:pPr>
            <w:r w:rsidRPr="001D224E">
              <w:rPr>
                <w:b/>
                <w:bCs/>
              </w:rPr>
              <w:t>Disagree</w:t>
            </w:r>
          </w:p>
        </w:tc>
        <w:tc>
          <w:tcPr>
            <w:tcW w:w="0" w:type="auto"/>
            <w:hideMark/>
          </w:tcPr>
          <w:p w:rsidR="001501F3" w:rsidRPr="001D224E" w:rsidRDefault="001501F3" w:rsidP="000E1074">
            <w:pPr>
              <w:spacing w:after="120"/>
              <w:rPr>
                <w:b/>
                <w:bCs/>
              </w:rPr>
            </w:pPr>
            <w:r w:rsidRPr="001D224E">
              <w:rPr>
                <w:b/>
                <w:bCs/>
              </w:rPr>
              <w:t>Strongly Disagree</w:t>
            </w:r>
          </w:p>
        </w:tc>
        <w:tc>
          <w:tcPr>
            <w:tcW w:w="0" w:type="auto"/>
            <w:hideMark/>
          </w:tcPr>
          <w:p w:rsidR="001501F3" w:rsidRPr="001D224E" w:rsidRDefault="001501F3" w:rsidP="000E1074">
            <w:pPr>
              <w:spacing w:after="120"/>
              <w:rPr>
                <w:b/>
                <w:bCs/>
              </w:rPr>
            </w:pPr>
            <w:r w:rsidRPr="001D224E">
              <w:rPr>
                <w:b/>
                <w:bCs/>
              </w:rPr>
              <w:t>N/A</w:t>
            </w:r>
          </w:p>
        </w:tc>
        <w:tc>
          <w:tcPr>
            <w:tcW w:w="0" w:type="auto"/>
            <w:hideMark/>
          </w:tcPr>
          <w:p w:rsidR="001501F3" w:rsidRPr="001D224E" w:rsidRDefault="001501F3" w:rsidP="000E1074">
            <w:pPr>
              <w:spacing w:after="120"/>
              <w:rPr>
                <w:b/>
                <w:bCs/>
              </w:rPr>
            </w:pPr>
            <w:r w:rsidRPr="001D224E">
              <w:rPr>
                <w:b/>
                <w:bCs/>
              </w:rPr>
              <w:t>Rating Average</w:t>
            </w:r>
          </w:p>
        </w:tc>
        <w:tc>
          <w:tcPr>
            <w:tcW w:w="0" w:type="auto"/>
            <w:hideMark/>
          </w:tcPr>
          <w:p w:rsidR="001501F3" w:rsidRPr="001D224E" w:rsidRDefault="001501F3" w:rsidP="000E1074">
            <w:pPr>
              <w:spacing w:after="120"/>
              <w:rPr>
                <w:b/>
                <w:bCs/>
              </w:rPr>
            </w:pPr>
            <w:r w:rsidRPr="001D224E">
              <w:rPr>
                <w:b/>
                <w:bCs/>
              </w:rPr>
              <w:t>Response Count</w:t>
            </w:r>
          </w:p>
        </w:tc>
      </w:tr>
      <w:tr w:rsidR="001501F3" w:rsidRPr="001D224E" w:rsidTr="00C57005">
        <w:trPr>
          <w:gridAfter w:val="1"/>
          <w:cnfStyle w:val="000000010000" w:firstRow="0" w:lastRow="0" w:firstColumn="0" w:lastColumn="0" w:oddVBand="0" w:evenVBand="0" w:oddHBand="0" w:evenHBand="1" w:firstRowFirstColumn="0" w:firstRowLastColumn="0" w:lastRowFirstColumn="0" w:lastRowLastColumn="0"/>
          <w:wAfter w:w="6" w:type="dxa"/>
          <w:trHeight w:val="255"/>
        </w:trPr>
        <w:tc>
          <w:tcPr>
            <w:tcW w:w="0" w:type="auto"/>
            <w:hideMark/>
          </w:tcPr>
          <w:p w:rsidR="001501F3" w:rsidRPr="001D224E" w:rsidRDefault="001501F3" w:rsidP="000E1074">
            <w:pPr>
              <w:spacing w:after="120"/>
            </w:pPr>
            <w:r w:rsidRPr="001D224E">
              <w:t>Responses</w:t>
            </w:r>
          </w:p>
        </w:tc>
        <w:tc>
          <w:tcPr>
            <w:tcW w:w="0" w:type="auto"/>
            <w:noWrap/>
            <w:hideMark/>
          </w:tcPr>
          <w:p w:rsidR="001501F3" w:rsidRPr="001D224E" w:rsidRDefault="001501F3" w:rsidP="000E1074">
            <w:pPr>
              <w:spacing w:after="120"/>
            </w:pPr>
            <w:r w:rsidRPr="001D224E">
              <w:t>3</w:t>
            </w:r>
          </w:p>
        </w:tc>
        <w:tc>
          <w:tcPr>
            <w:tcW w:w="0" w:type="auto"/>
            <w:noWrap/>
            <w:hideMark/>
          </w:tcPr>
          <w:p w:rsidR="001501F3" w:rsidRPr="001D224E" w:rsidRDefault="001501F3" w:rsidP="000E1074">
            <w:pPr>
              <w:spacing w:after="120"/>
            </w:pPr>
            <w:r w:rsidRPr="001D224E">
              <w:t>6</w:t>
            </w:r>
          </w:p>
        </w:tc>
        <w:tc>
          <w:tcPr>
            <w:tcW w:w="0" w:type="auto"/>
            <w:noWrap/>
            <w:hideMark/>
          </w:tcPr>
          <w:p w:rsidR="001501F3" w:rsidRPr="001D224E" w:rsidRDefault="001501F3" w:rsidP="000E1074">
            <w:pPr>
              <w:spacing w:after="120"/>
            </w:pPr>
            <w:r w:rsidRPr="001D224E">
              <w:t>1</w:t>
            </w:r>
          </w:p>
        </w:tc>
        <w:tc>
          <w:tcPr>
            <w:tcW w:w="0" w:type="auto"/>
            <w:noWrap/>
            <w:hideMark/>
          </w:tcPr>
          <w:p w:rsidR="001501F3" w:rsidRPr="001D224E" w:rsidRDefault="001501F3" w:rsidP="000E1074">
            <w:pPr>
              <w:spacing w:after="120"/>
            </w:pPr>
            <w:r w:rsidRPr="001D224E">
              <w:t>0</w:t>
            </w:r>
          </w:p>
        </w:tc>
        <w:tc>
          <w:tcPr>
            <w:tcW w:w="0" w:type="auto"/>
            <w:noWrap/>
            <w:hideMark/>
          </w:tcPr>
          <w:p w:rsidR="001501F3" w:rsidRPr="001D224E" w:rsidRDefault="001501F3" w:rsidP="000E1074">
            <w:pPr>
              <w:spacing w:after="120"/>
            </w:pPr>
            <w:r w:rsidRPr="001D224E">
              <w:t>1</w:t>
            </w:r>
          </w:p>
        </w:tc>
        <w:tc>
          <w:tcPr>
            <w:tcW w:w="0" w:type="auto"/>
            <w:noWrap/>
            <w:hideMark/>
          </w:tcPr>
          <w:p w:rsidR="001501F3" w:rsidRPr="001D224E" w:rsidRDefault="001501F3" w:rsidP="000E1074">
            <w:pPr>
              <w:spacing w:after="120"/>
            </w:pPr>
            <w:r w:rsidRPr="001D224E">
              <w:t>3.20</w:t>
            </w:r>
          </w:p>
        </w:tc>
        <w:tc>
          <w:tcPr>
            <w:tcW w:w="0" w:type="auto"/>
            <w:noWrap/>
            <w:hideMark/>
          </w:tcPr>
          <w:p w:rsidR="001501F3" w:rsidRPr="001D224E" w:rsidRDefault="001501F3" w:rsidP="000E1074">
            <w:pPr>
              <w:spacing w:after="120"/>
            </w:pPr>
            <w:r w:rsidRPr="001D224E">
              <w:t>11</w:t>
            </w:r>
          </w:p>
        </w:tc>
      </w:tr>
      <w:tr w:rsidR="001501F3" w:rsidRPr="001D224E" w:rsidTr="00C57005">
        <w:trPr>
          <w:gridAfter w:val="1"/>
          <w:cnfStyle w:val="000000100000" w:firstRow="0" w:lastRow="0" w:firstColumn="0" w:lastColumn="0" w:oddVBand="0" w:evenVBand="0" w:oddHBand="1" w:evenHBand="0" w:firstRowFirstColumn="0" w:firstRowLastColumn="0" w:lastRowFirstColumn="0" w:lastRowLastColumn="0"/>
          <w:wAfter w:w="6" w:type="dxa"/>
          <w:trHeight w:val="255"/>
        </w:trPr>
        <w:tc>
          <w:tcPr>
            <w:tcW w:w="0" w:type="auto"/>
            <w:gridSpan w:val="7"/>
            <w:hideMark/>
          </w:tcPr>
          <w:p w:rsidR="001501F3" w:rsidRPr="001D224E" w:rsidRDefault="001501F3" w:rsidP="000E1074">
            <w:pPr>
              <w:spacing w:after="120"/>
            </w:pPr>
            <w:r w:rsidRPr="001D224E">
              <w:t>Additional Comments</w:t>
            </w:r>
          </w:p>
        </w:tc>
        <w:tc>
          <w:tcPr>
            <w:tcW w:w="0" w:type="auto"/>
            <w:noWrap/>
            <w:hideMark/>
          </w:tcPr>
          <w:p w:rsidR="001501F3" w:rsidRPr="001D224E" w:rsidRDefault="001501F3" w:rsidP="000E1074">
            <w:pPr>
              <w:spacing w:after="120"/>
            </w:pPr>
            <w:r w:rsidRPr="001D224E">
              <w:t>3</w:t>
            </w:r>
          </w:p>
        </w:tc>
      </w:tr>
      <w:tr w:rsidR="001501F3" w:rsidRPr="001D224E" w:rsidTr="00C57005">
        <w:trPr>
          <w:gridAfter w:val="1"/>
          <w:cnfStyle w:val="000000010000" w:firstRow="0" w:lastRow="0" w:firstColumn="0" w:lastColumn="0" w:oddVBand="0" w:evenVBand="0" w:oddHBand="0" w:evenHBand="1" w:firstRowFirstColumn="0" w:firstRowLastColumn="0" w:lastRowFirstColumn="0" w:lastRowLastColumn="0"/>
          <w:wAfter w:w="6" w:type="dxa"/>
          <w:trHeight w:val="255"/>
        </w:trPr>
        <w:tc>
          <w:tcPr>
            <w:tcW w:w="0" w:type="auto"/>
            <w:gridSpan w:val="7"/>
            <w:noWrap/>
            <w:hideMark/>
          </w:tcPr>
          <w:p w:rsidR="001501F3" w:rsidRPr="001D224E" w:rsidRDefault="001501F3" w:rsidP="000E1074">
            <w:pPr>
              <w:spacing w:after="120"/>
              <w:rPr>
                <w:b/>
                <w:bCs/>
                <w:i/>
                <w:iCs/>
              </w:rPr>
            </w:pPr>
            <w:r w:rsidRPr="001D224E">
              <w:rPr>
                <w:b/>
                <w:bCs/>
                <w:i/>
                <w:iCs/>
              </w:rPr>
              <w:t>answered question</w:t>
            </w:r>
          </w:p>
        </w:tc>
        <w:tc>
          <w:tcPr>
            <w:tcW w:w="0" w:type="auto"/>
            <w:noWrap/>
            <w:hideMark/>
          </w:tcPr>
          <w:p w:rsidR="001501F3" w:rsidRPr="001D224E" w:rsidRDefault="001501F3" w:rsidP="000E1074">
            <w:pPr>
              <w:spacing w:after="120"/>
              <w:rPr>
                <w:b/>
                <w:bCs/>
              </w:rPr>
            </w:pPr>
            <w:r w:rsidRPr="001D224E">
              <w:rPr>
                <w:b/>
                <w:bCs/>
              </w:rPr>
              <w:t>11</w:t>
            </w:r>
          </w:p>
        </w:tc>
      </w:tr>
      <w:tr w:rsidR="001501F3" w:rsidRPr="001D224E" w:rsidTr="00C57005">
        <w:trPr>
          <w:gridAfter w:val="1"/>
          <w:cnfStyle w:val="000000100000" w:firstRow="0" w:lastRow="0" w:firstColumn="0" w:lastColumn="0" w:oddVBand="0" w:evenVBand="0" w:oddHBand="1" w:evenHBand="0" w:firstRowFirstColumn="0" w:firstRowLastColumn="0" w:lastRowFirstColumn="0" w:lastRowLastColumn="0"/>
          <w:wAfter w:w="6" w:type="dxa"/>
          <w:trHeight w:val="255"/>
        </w:trPr>
        <w:tc>
          <w:tcPr>
            <w:tcW w:w="0" w:type="auto"/>
            <w:gridSpan w:val="7"/>
            <w:noWrap/>
            <w:hideMark/>
          </w:tcPr>
          <w:p w:rsidR="001501F3" w:rsidRPr="001D224E" w:rsidRDefault="001501F3" w:rsidP="000E1074">
            <w:pPr>
              <w:spacing w:after="120"/>
              <w:rPr>
                <w:b/>
                <w:bCs/>
                <w:i/>
                <w:iCs/>
              </w:rPr>
            </w:pPr>
            <w:r w:rsidRPr="001D224E">
              <w:rPr>
                <w:b/>
                <w:bCs/>
                <w:i/>
                <w:iCs/>
              </w:rPr>
              <w:t>skipped question</w:t>
            </w:r>
          </w:p>
        </w:tc>
        <w:tc>
          <w:tcPr>
            <w:tcW w:w="0" w:type="auto"/>
            <w:noWrap/>
            <w:hideMark/>
          </w:tcPr>
          <w:p w:rsidR="001501F3" w:rsidRPr="001D224E" w:rsidRDefault="001501F3" w:rsidP="000E1074">
            <w:pPr>
              <w:spacing w:after="120"/>
              <w:rPr>
                <w:b/>
                <w:bCs/>
              </w:rPr>
            </w:pPr>
            <w:r w:rsidRPr="001D224E">
              <w:rPr>
                <w:b/>
                <w:bCs/>
              </w:rPr>
              <w:t>0</w:t>
            </w:r>
          </w:p>
        </w:tc>
      </w:tr>
      <w:tr w:rsidR="00C57005" w:rsidRPr="00AF7572" w:rsidTr="00C57005">
        <w:trPr>
          <w:cnfStyle w:val="000000010000" w:firstRow="0" w:lastRow="0" w:firstColumn="0" w:lastColumn="0" w:oddVBand="0" w:evenVBand="0" w:oddHBand="0" w:evenHBand="1" w:firstRowFirstColumn="0" w:firstRowLastColumn="0" w:lastRowFirstColumn="0" w:lastRowLastColumn="0"/>
          <w:trHeight w:val="510"/>
        </w:trPr>
        <w:tc>
          <w:tcPr>
            <w:tcW w:w="8784" w:type="dxa"/>
            <w:gridSpan w:val="9"/>
            <w:shd w:val="clear" w:color="auto" w:fill="595959" w:themeFill="text1" w:themeFillTint="A6"/>
            <w:hideMark/>
          </w:tcPr>
          <w:p w:rsidR="00C57005" w:rsidRPr="00AF7572" w:rsidRDefault="00C57005" w:rsidP="000E1074">
            <w:pPr>
              <w:spacing w:after="120"/>
              <w:rPr>
                <w:bCs/>
              </w:rPr>
            </w:pPr>
            <w:r w:rsidRPr="00C57005">
              <w:rPr>
                <w:b/>
                <w:bCs/>
                <w:color w:val="FFFFFF" w:themeColor="background1"/>
              </w:rPr>
              <w:t>Additional Comments</w:t>
            </w:r>
          </w:p>
        </w:tc>
      </w:tr>
      <w:tr w:rsidR="00C57005" w:rsidRPr="00AF7572" w:rsidTr="00C57005">
        <w:trPr>
          <w:cnfStyle w:val="000000100000" w:firstRow="0" w:lastRow="0" w:firstColumn="0" w:lastColumn="0" w:oddVBand="0" w:evenVBand="0" w:oddHBand="1" w:evenHBand="0" w:firstRowFirstColumn="0" w:firstRowLastColumn="0" w:lastRowFirstColumn="0" w:lastRowLastColumn="0"/>
          <w:trHeight w:val="255"/>
        </w:trPr>
        <w:tc>
          <w:tcPr>
            <w:tcW w:w="8784" w:type="dxa"/>
            <w:gridSpan w:val="9"/>
            <w:noWrap/>
            <w:hideMark/>
          </w:tcPr>
          <w:p w:rsidR="00C57005" w:rsidRPr="00AF7572" w:rsidRDefault="00C57005" w:rsidP="000E1074">
            <w:pPr>
              <w:spacing w:after="120"/>
            </w:pPr>
            <w:r w:rsidRPr="00AF7572">
              <w:t>Always approachable and happy to meet, discuss</w:t>
            </w:r>
          </w:p>
        </w:tc>
      </w:tr>
      <w:tr w:rsidR="00C57005" w:rsidRPr="00AF7572" w:rsidTr="00C57005">
        <w:trPr>
          <w:cnfStyle w:val="000000010000" w:firstRow="0" w:lastRow="0" w:firstColumn="0" w:lastColumn="0" w:oddVBand="0" w:evenVBand="0" w:oddHBand="0" w:evenHBand="1" w:firstRowFirstColumn="0" w:firstRowLastColumn="0" w:lastRowFirstColumn="0" w:lastRowLastColumn="0"/>
          <w:trHeight w:val="255"/>
        </w:trPr>
        <w:tc>
          <w:tcPr>
            <w:tcW w:w="8784" w:type="dxa"/>
            <w:gridSpan w:val="9"/>
            <w:noWrap/>
            <w:hideMark/>
          </w:tcPr>
          <w:p w:rsidR="00C57005" w:rsidRPr="00AF7572" w:rsidRDefault="00C57005" w:rsidP="000E1074">
            <w:pPr>
              <w:spacing w:after="120"/>
            </w:pPr>
            <w:r w:rsidRPr="00AF7572">
              <w:t>NOPTA people are always approachable and helpful</w:t>
            </w:r>
          </w:p>
        </w:tc>
      </w:tr>
      <w:tr w:rsidR="00C57005" w:rsidRPr="00AF7572" w:rsidTr="00C57005">
        <w:trPr>
          <w:cnfStyle w:val="000000100000" w:firstRow="0" w:lastRow="0" w:firstColumn="0" w:lastColumn="0" w:oddVBand="0" w:evenVBand="0" w:oddHBand="1" w:evenHBand="0" w:firstRowFirstColumn="0" w:firstRowLastColumn="0" w:lastRowFirstColumn="0" w:lastRowLastColumn="0"/>
          <w:trHeight w:val="255"/>
        </w:trPr>
        <w:tc>
          <w:tcPr>
            <w:tcW w:w="8784" w:type="dxa"/>
            <w:gridSpan w:val="9"/>
            <w:noWrap/>
            <w:hideMark/>
          </w:tcPr>
          <w:p w:rsidR="00C57005" w:rsidRPr="00AF7572" w:rsidRDefault="00C57005" w:rsidP="000E1074">
            <w:pPr>
              <w:spacing w:after="120"/>
            </w:pPr>
            <w:r w:rsidRPr="00AF7572">
              <w:t>NOPTA's response times are very good. Having the ability to check progress on NEATS is excellent.</w:t>
            </w:r>
          </w:p>
        </w:tc>
      </w:tr>
    </w:tbl>
    <w:p w:rsidR="001501F3" w:rsidRDefault="001501F3" w:rsidP="001501F3"/>
    <w:tbl>
      <w:tblPr>
        <w:tblStyle w:val="TableGrid"/>
        <w:tblW w:w="8784" w:type="dxa"/>
        <w:tblLook w:val="04A0" w:firstRow="1" w:lastRow="0" w:firstColumn="1" w:lastColumn="0" w:noHBand="0" w:noVBand="1"/>
      </w:tblPr>
      <w:tblGrid>
        <w:gridCol w:w="1182"/>
        <w:gridCol w:w="1003"/>
        <w:gridCol w:w="767"/>
        <w:gridCol w:w="1147"/>
        <w:gridCol w:w="1019"/>
        <w:gridCol w:w="1024"/>
        <w:gridCol w:w="557"/>
        <w:gridCol w:w="968"/>
        <w:gridCol w:w="1117"/>
        <w:gridCol w:w="6"/>
      </w:tblGrid>
      <w:tr w:rsidR="001501F3" w:rsidRPr="00AF7572" w:rsidTr="00C57005">
        <w:trPr>
          <w:gridAfter w:val="1"/>
          <w:cnfStyle w:val="100000000000" w:firstRow="1" w:lastRow="0" w:firstColumn="0" w:lastColumn="0" w:oddVBand="0" w:evenVBand="0" w:oddHBand="0" w:evenHBand="0" w:firstRowFirstColumn="0" w:firstRowLastColumn="0" w:lastRowFirstColumn="0" w:lastRowLastColumn="0"/>
          <w:wAfter w:w="6" w:type="dxa"/>
          <w:trHeight w:val="499"/>
        </w:trPr>
        <w:tc>
          <w:tcPr>
            <w:tcW w:w="0" w:type="auto"/>
            <w:gridSpan w:val="9"/>
            <w:hideMark/>
          </w:tcPr>
          <w:p w:rsidR="001501F3" w:rsidRPr="00AF7572" w:rsidRDefault="001501F3" w:rsidP="000E1074">
            <w:pPr>
              <w:spacing w:after="120"/>
              <w:rPr>
                <w:bCs/>
              </w:rPr>
            </w:pPr>
            <w:r w:rsidRPr="00AF7572">
              <w:rPr>
                <w:bCs/>
              </w:rPr>
              <w:t>4. The introduction of the National Electronic Approval Tracking System (NEATS) has led to timelier approvals of title applications submitted by my organisation.</w:t>
            </w:r>
          </w:p>
        </w:tc>
      </w:tr>
      <w:tr w:rsidR="001501F3" w:rsidRPr="00AF7572" w:rsidTr="00C57005">
        <w:trPr>
          <w:gridAfter w:val="1"/>
          <w:cnfStyle w:val="000000100000" w:firstRow="0" w:lastRow="0" w:firstColumn="0" w:lastColumn="0" w:oddVBand="0" w:evenVBand="0" w:oddHBand="1" w:evenHBand="0" w:firstRowFirstColumn="0" w:firstRowLastColumn="0" w:lastRowFirstColumn="0" w:lastRowLastColumn="0"/>
          <w:wAfter w:w="6" w:type="dxa"/>
          <w:trHeight w:val="600"/>
        </w:trPr>
        <w:tc>
          <w:tcPr>
            <w:tcW w:w="0" w:type="auto"/>
            <w:hideMark/>
          </w:tcPr>
          <w:p w:rsidR="001501F3" w:rsidRPr="00AF7572" w:rsidRDefault="001501F3" w:rsidP="000E1074">
            <w:pPr>
              <w:spacing w:after="120"/>
              <w:rPr>
                <w:b/>
                <w:bCs/>
              </w:rPr>
            </w:pPr>
            <w:r w:rsidRPr="00AF7572">
              <w:rPr>
                <w:b/>
                <w:bCs/>
              </w:rPr>
              <w:t>Answer Options</w:t>
            </w:r>
          </w:p>
        </w:tc>
        <w:tc>
          <w:tcPr>
            <w:tcW w:w="0" w:type="auto"/>
            <w:hideMark/>
          </w:tcPr>
          <w:p w:rsidR="001501F3" w:rsidRPr="00AF7572" w:rsidRDefault="001501F3" w:rsidP="000E1074">
            <w:pPr>
              <w:spacing w:after="120"/>
              <w:rPr>
                <w:b/>
                <w:bCs/>
              </w:rPr>
            </w:pPr>
            <w:r w:rsidRPr="00AF7572">
              <w:rPr>
                <w:b/>
                <w:bCs/>
              </w:rPr>
              <w:t>Strongly Agree</w:t>
            </w:r>
          </w:p>
        </w:tc>
        <w:tc>
          <w:tcPr>
            <w:tcW w:w="0" w:type="auto"/>
            <w:hideMark/>
          </w:tcPr>
          <w:p w:rsidR="001501F3" w:rsidRPr="00AF7572" w:rsidRDefault="001501F3" w:rsidP="000E1074">
            <w:pPr>
              <w:spacing w:after="120"/>
              <w:rPr>
                <w:b/>
                <w:bCs/>
              </w:rPr>
            </w:pPr>
            <w:r w:rsidRPr="00AF7572">
              <w:rPr>
                <w:b/>
                <w:bCs/>
              </w:rPr>
              <w:t>Agree</w:t>
            </w:r>
          </w:p>
        </w:tc>
        <w:tc>
          <w:tcPr>
            <w:tcW w:w="0" w:type="auto"/>
            <w:hideMark/>
          </w:tcPr>
          <w:p w:rsidR="001501F3" w:rsidRPr="00AF7572" w:rsidRDefault="001501F3" w:rsidP="000E1074">
            <w:pPr>
              <w:spacing w:after="120"/>
              <w:rPr>
                <w:b/>
                <w:bCs/>
              </w:rPr>
            </w:pPr>
            <w:r w:rsidRPr="00AF7572">
              <w:rPr>
                <w:b/>
                <w:bCs/>
              </w:rPr>
              <w:t>No Difference</w:t>
            </w:r>
          </w:p>
        </w:tc>
        <w:tc>
          <w:tcPr>
            <w:tcW w:w="0" w:type="auto"/>
            <w:hideMark/>
          </w:tcPr>
          <w:p w:rsidR="001501F3" w:rsidRPr="00AF7572" w:rsidRDefault="001501F3" w:rsidP="000E1074">
            <w:pPr>
              <w:spacing w:after="120"/>
              <w:rPr>
                <w:b/>
                <w:bCs/>
              </w:rPr>
            </w:pPr>
            <w:r w:rsidRPr="00AF7572">
              <w:rPr>
                <w:b/>
                <w:bCs/>
              </w:rPr>
              <w:t>Disagree</w:t>
            </w:r>
          </w:p>
        </w:tc>
        <w:tc>
          <w:tcPr>
            <w:tcW w:w="0" w:type="auto"/>
            <w:hideMark/>
          </w:tcPr>
          <w:p w:rsidR="001501F3" w:rsidRPr="00AF7572" w:rsidRDefault="001501F3" w:rsidP="000E1074">
            <w:pPr>
              <w:spacing w:after="120"/>
              <w:rPr>
                <w:b/>
                <w:bCs/>
              </w:rPr>
            </w:pPr>
            <w:r w:rsidRPr="00AF7572">
              <w:rPr>
                <w:b/>
                <w:bCs/>
              </w:rPr>
              <w:t>Strongly Disagree</w:t>
            </w:r>
          </w:p>
        </w:tc>
        <w:tc>
          <w:tcPr>
            <w:tcW w:w="0" w:type="auto"/>
            <w:hideMark/>
          </w:tcPr>
          <w:p w:rsidR="001501F3" w:rsidRPr="00AF7572" w:rsidRDefault="001501F3" w:rsidP="000E1074">
            <w:pPr>
              <w:spacing w:after="120"/>
              <w:rPr>
                <w:b/>
                <w:bCs/>
              </w:rPr>
            </w:pPr>
            <w:r w:rsidRPr="00AF7572">
              <w:rPr>
                <w:b/>
                <w:bCs/>
              </w:rPr>
              <w:t>N/A</w:t>
            </w:r>
          </w:p>
        </w:tc>
        <w:tc>
          <w:tcPr>
            <w:tcW w:w="0" w:type="auto"/>
            <w:hideMark/>
          </w:tcPr>
          <w:p w:rsidR="001501F3" w:rsidRPr="00AF7572" w:rsidRDefault="001501F3" w:rsidP="000E1074">
            <w:pPr>
              <w:spacing w:after="120"/>
              <w:rPr>
                <w:b/>
                <w:bCs/>
              </w:rPr>
            </w:pPr>
            <w:r w:rsidRPr="00AF7572">
              <w:rPr>
                <w:b/>
                <w:bCs/>
              </w:rPr>
              <w:t>Rating Average</w:t>
            </w:r>
          </w:p>
        </w:tc>
        <w:tc>
          <w:tcPr>
            <w:tcW w:w="0" w:type="auto"/>
            <w:hideMark/>
          </w:tcPr>
          <w:p w:rsidR="001501F3" w:rsidRPr="00AF7572" w:rsidRDefault="001501F3" w:rsidP="000E1074">
            <w:pPr>
              <w:spacing w:after="120"/>
              <w:rPr>
                <w:b/>
                <w:bCs/>
              </w:rPr>
            </w:pPr>
            <w:r w:rsidRPr="00AF7572">
              <w:rPr>
                <w:b/>
                <w:bCs/>
              </w:rPr>
              <w:t>Response Count</w:t>
            </w:r>
          </w:p>
        </w:tc>
      </w:tr>
      <w:tr w:rsidR="001501F3" w:rsidRPr="00AF7572" w:rsidTr="00C57005">
        <w:trPr>
          <w:gridAfter w:val="1"/>
          <w:cnfStyle w:val="000000010000" w:firstRow="0" w:lastRow="0" w:firstColumn="0" w:lastColumn="0" w:oddVBand="0" w:evenVBand="0" w:oddHBand="0" w:evenHBand="1" w:firstRowFirstColumn="0" w:firstRowLastColumn="0" w:lastRowFirstColumn="0" w:lastRowLastColumn="0"/>
          <w:wAfter w:w="6" w:type="dxa"/>
          <w:trHeight w:val="255"/>
        </w:trPr>
        <w:tc>
          <w:tcPr>
            <w:tcW w:w="0" w:type="auto"/>
            <w:hideMark/>
          </w:tcPr>
          <w:p w:rsidR="001501F3" w:rsidRPr="00AF7572" w:rsidRDefault="001501F3" w:rsidP="000E1074">
            <w:pPr>
              <w:spacing w:after="120"/>
            </w:pPr>
            <w:r w:rsidRPr="00AF7572">
              <w:t>Responses</w:t>
            </w:r>
          </w:p>
        </w:tc>
        <w:tc>
          <w:tcPr>
            <w:tcW w:w="0" w:type="auto"/>
            <w:noWrap/>
            <w:hideMark/>
          </w:tcPr>
          <w:p w:rsidR="001501F3" w:rsidRPr="00AF7572" w:rsidRDefault="001501F3" w:rsidP="000E1074">
            <w:pPr>
              <w:spacing w:after="120"/>
            </w:pPr>
            <w:r w:rsidRPr="00AF7572">
              <w:t>3</w:t>
            </w:r>
          </w:p>
        </w:tc>
        <w:tc>
          <w:tcPr>
            <w:tcW w:w="0" w:type="auto"/>
            <w:noWrap/>
            <w:hideMark/>
          </w:tcPr>
          <w:p w:rsidR="001501F3" w:rsidRPr="00AF7572" w:rsidRDefault="001501F3" w:rsidP="000E1074">
            <w:pPr>
              <w:spacing w:after="120"/>
            </w:pPr>
            <w:r w:rsidRPr="00AF7572">
              <w:t>2</w:t>
            </w:r>
          </w:p>
        </w:tc>
        <w:tc>
          <w:tcPr>
            <w:tcW w:w="0" w:type="auto"/>
            <w:noWrap/>
            <w:hideMark/>
          </w:tcPr>
          <w:p w:rsidR="001501F3" w:rsidRPr="00AF7572" w:rsidRDefault="001501F3" w:rsidP="000E1074">
            <w:pPr>
              <w:spacing w:after="120"/>
            </w:pPr>
            <w:r w:rsidRPr="00AF7572">
              <w:t>4</w:t>
            </w:r>
          </w:p>
        </w:tc>
        <w:tc>
          <w:tcPr>
            <w:tcW w:w="0" w:type="auto"/>
            <w:noWrap/>
            <w:hideMark/>
          </w:tcPr>
          <w:p w:rsidR="001501F3" w:rsidRPr="00AF7572" w:rsidRDefault="001501F3" w:rsidP="000E1074">
            <w:pPr>
              <w:spacing w:after="120"/>
            </w:pPr>
            <w:r w:rsidRPr="00AF7572">
              <w:t>0</w:t>
            </w:r>
          </w:p>
        </w:tc>
        <w:tc>
          <w:tcPr>
            <w:tcW w:w="0" w:type="auto"/>
            <w:noWrap/>
            <w:hideMark/>
          </w:tcPr>
          <w:p w:rsidR="001501F3" w:rsidRPr="00AF7572" w:rsidRDefault="001501F3" w:rsidP="000E1074">
            <w:pPr>
              <w:spacing w:after="120"/>
            </w:pPr>
            <w:r w:rsidRPr="00AF7572">
              <w:t>0</w:t>
            </w:r>
          </w:p>
        </w:tc>
        <w:tc>
          <w:tcPr>
            <w:tcW w:w="0" w:type="auto"/>
            <w:noWrap/>
            <w:hideMark/>
          </w:tcPr>
          <w:p w:rsidR="001501F3" w:rsidRPr="00AF7572" w:rsidRDefault="001501F3" w:rsidP="000E1074">
            <w:pPr>
              <w:spacing w:after="120"/>
            </w:pPr>
            <w:r w:rsidRPr="00AF7572">
              <w:t>2</w:t>
            </w:r>
          </w:p>
        </w:tc>
        <w:tc>
          <w:tcPr>
            <w:tcW w:w="0" w:type="auto"/>
            <w:noWrap/>
            <w:hideMark/>
          </w:tcPr>
          <w:p w:rsidR="001501F3" w:rsidRPr="00AF7572" w:rsidRDefault="001501F3" w:rsidP="000E1074">
            <w:pPr>
              <w:spacing w:after="120"/>
            </w:pPr>
            <w:r w:rsidRPr="00AF7572">
              <w:t>3.89</w:t>
            </w:r>
          </w:p>
        </w:tc>
        <w:tc>
          <w:tcPr>
            <w:tcW w:w="0" w:type="auto"/>
            <w:noWrap/>
            <w:hideMark/>
          </w:tcPr>
          <w:p w:rsidR="001501F3" w:rsidRPr="00AF7572" w:rsidRDefault="001501F3" w:rsidP="000E1074">
            <w:pPr>
              <w:spacing w:after="120"/>
            </w:pPr>
            <w:r w:rsidRPr="00AF7572">
              <w:t>11</w:t>
            </w:r>
          </w:p>
        </w:tc>
      </w:tr>
      <w:tr w:rsidR="001501F3" w:rsidRPr="00AF7572" w:rsidTr="00C57005">
        <w:trPr>
          <w:gridAfter w:val="1"/>
          <w:cnfStyle w:val="000000100000" w:firstRow="0" w:lastRow="0" w:firstColumn="0" w:lastColumn="0" w:oddVBand="0" w:evenVBand="0" w:oddHBand="1" w:evenHBand="0" w:firstRowFirstColumn="0" w:firstRowLastColumn="0" w:lastRowFirstColumn="0" w:lastRowLastColumn="0"/>
          <w:wAfter w:w="6" w:type="dxa"/>
          <w:trHeight w:val="255"/>
        </w:trPr>
        <w:tc>
          <w:tcPr>
            <w:tcW w:w="0" w:type="auto"/>
            <w:gridSpan w:val="8"/>
            <w:hideMark/>
          </w:tcPr>
          <w:p w:rsidR="001501F3" w:rsidRPr="00AF7572" w:rsidRDefault="001501F3" w:rsidP="000E1074">
            <w:pPr>
              <w:spacing w:after="120"/>
            </w:pPr>
            <w:r w:rsidRPr="00AF7572">
              <w:t>Additional Comments</w:t>
            </w:r>
          </w:p>
        </w:tc>
        <w:tc>
          <w:tcPr>
            <w:tcW w:w="0" w:type="auto"/>
            <w:noWrap/>
            <w:hideMark/>
          </w:tcPr>
          <w:p w:rsidR="001501F3" w:rsidRPr="00AF7572" w:rsidRDefault="001501F3" w:rsidP="000E1074">
            <w:pPr>
              <w:spacing w:after="120"/>
            </w:pPr>
            <w:r w:rsidRPr="00AF7572">
              <w:t>4</w:t>
            </w:r>
          </w:p>
        </w:tc>
      </w:tr>
      <w:tr w:rsidR="001501F3" w:rsidRPr="00AF7572" w:rsidTr="00C57005">
        <w:trPr>
          <w:gridAfter w:val="1"/>
          <w:cnfStyle w:val="000000010000" w:firstRow="0" w:lastRow="0" w:firstColumn="0" w:lastColumn="0" w:oddVBand="0" w:evenVBand="0" w:oddHBand="0" w:evenHBand="1" w:firstRowFirstColumn="0" w:firstRowLastColumn="0" w:lastRowFirstColumn="0" w:lastRowLastColumn="0"/>
          <w:wAfter w:w="6" w:type="dxa"/>
          <w:trHeight w:val="255"/>
        </w:trPr>
        <w:tc>
          <w:tcPr>
            <w:tcW w:w="0" w:type="auto"/>
            <w:gridSpan w:val="8"/>
            <w:noWrap/>
            <w:hideMark/>
          </w:tcPr>
          <w:p w:rsidR="001501F3" w:rsidRPr="00AF7572" w:rsidRDefault="001501F3" w:rsidP="000E1074">
            <w:pPr>
              <w:spacing w:after="120"/>
              <w:rPr>
                <w:b/>
                <w:bCs/>
                <w:i/>
                <w:iCs/>
              </w:rPr>
            </w:pPr>
            <w:r w:rsidRPr="00AF7572">
              <w:rPr>
                <w:b/>
                <w:bCs/>
                <w:i/>
                <w:iCs/>
              </w:rPr>
              <w:t>answered question</w:t>
            </w:r>
          </w:p>
        </w:tc>
        <w:tc>
          <w:tcPr>
            <w:tcW w:w="0" w:type="auto"/>
            <w:noWrap/>
            <w:hideMark/>
          </w:tcPr>
          <w:p w:rsidR="001501F3" w:rsidRPr="00AF7572" w:rsidRDefault="001501F3" w:rsidP="000E1074">
            <w:pPr>
              <w:spacing w:after="120"/>
              <w:rPr>
                <w:b/>
                <w:bCs/>
              </w:rPr>
            </w:pPr>
            <w:r w:rsidRPr="00AF7572">
              <w:rPr>
                <w:b/>
                <w:bCs/>
              </w:rPr>
              <w:t>11</w:t>
            </w:r>
          </w:p>
        </w:tc>
      </w:tr>
      <w:tr w:rsidR="001501F3" w:rsidRPr="00AF7572" w:rsidTr="00C57005">
        <w:trPr>
          <w:gridAfter w:val="1"/>
          <w:cnfStyle w:val="000000100000" w:firstRow="0" w:lastRow="0" w:firstColumn="0" w:lastColumn="0" w:oddVBand="0" w:evenVBand="0" w:oddHBand="1" w:evenHBand="0" w:firstRowFirstColumn="0" w:firstRowLastColumn="0" w:lastRowFirstColumn="0" w:lastRowLastColumn="0"/>
          <w:wAfter w:w="6" w:type="dxa"/>
          <w:trHeight w:val="255"/>
        </w:trPr>
        <w:tc>
          <w:tcPr>
            <w:tcW w:w="0" w:type="auto"/>
            <w:gridSpan w:val="8"/>
            <w:noWrap/>
            <w:hideMark/>
          </w:tcPr>
          <w:p w:rsidR="001501F3" w:rsidRPr="00AF7572" w:rsidRDefault="001501F3" w:rsidP="000E1074">
            <w:pPr>
              <w:spacing w:after="120"/>
              <w:rPr>
                <w:b/>
                <w:bCs/>
                <w:i/>
                <w:iCs/>
              </w:rPr>
            </w:pPr>
            <w:r w:rsidRPr="00AF7572">
              <w:rPr>
                <w:b/>
                <w:bCs/>
                <w:i/>
                <w:iCs/>
              </w:rPr>
              <w:t>skipped question</w:t>
            </w:r>
          </w:p>
        </w:tc>
        <w:tc>
          <w:tcPr>
            <w:tcW w:w="0" w:type="auto"/>
            <w:noWrap/>
            <w:hideMark/>
          </w:tcPr>
          <w:p w:rsidR="001501F3" w:rsidRPr="00AF7572" w:rsidRDefault="001501F3" w:rsidP="000E1074">
            <w:pPr>
              <w:spacing w:after="120"/>
              <w:rPr>
                <w:b/>
                <w:bCs/>
              </w:rPr>
            </w:pPr>
            <w:r w:rsidRPr="00AF7572">
              <w:rPr>
                <w:b/>
                <w:bCs/>
              </w:rPr>
              <w:t>0</w:t>
            </w:r>
          </w:p>
        </w:tc>
      </w:tr>
      <w:tr w:rsidR="00C57005" w:rsidRPr="00AF7572" w:rsidTr="00C57005">
        <w:trPr>
          <w:cnfStyle w:val="000000010000" w:firstRow="0" w:lastRow="0" w:firstColumn="0" w:lastColumn="0" w:oddVBand="0" w:evenVBand="0" w:oddHBand="0" w:evenHBand="1" w:firstRowFirstColumn="0" w:firstRowLastColumn="0" w:lastRowFirstColumn="0" w:lastRowLastColumn="0"/>
          <w:trHeight w:val="510"/>
        </w:trPr>
        <w:tc>
          <w:tcPr>
            <w:tcW w:w="8784" w:type="dxa"/>
            <w:gridSpan w:val="10"/>
            <w:shd w:val="clear" w:color="auto" w:fill="595959" w:themeFill="text1" w:themeFillTint="A6"/>
            <w:hideMark/>
          </w:tcPr>
          <w:p w:rsidR="00C57005" w:rsidRPr="00AF7572" w:rsidRDefault="00C57005" w:rsidP="000E1074">
            <w:pPr>
              <w:spacing w:after="120"/>
              <w:rPr>
                <w:bCs/>
              </w:rPr>
            </w:pPr>
            <w:r w:rsidRPr="00C57005">
              <w:rPr>
                <w:b/>
                <w:bCs/>
                <w:color w:val="FFFFFF" w:themeColor="background1"/>
              </w:rPr>
              <w:t>Additional Comments</w:t>
            </w:r>
          </w:p>
        </w:tc>
      </w:tr>
      <w:tr w:rsidR="00C57005" w:rsidRPr="00AF7572" w:rsidTr="00C57005">
        <w:trPr>
          <w:cnfStyle w:val="000000100000" w:firstRow="0" w:lastRow="0" w:firstColumn="0" w:lastColumn="0" w:oddVBand="0" w:evenVBand="0" w:oddHBand="1" w:evenHBand="0" w:firstRowFirstColumn="0" w:firstRowLastColumn="0" w:lastRowFirstColumn="0" w:lastRowLastColumn="0"/>
          <w:trHeight w:val="255"/>
        </w:trPr>
        <w:tc>
          <w:tcPr>
            <w:tcW w:w="8784" w:type="dxa"/>
            <w:gridSpan w:val="10"/>
            <w:noWrap/>
            <w:hideMark/>
          </w:tcPr>
          <w:p w:rsidR="00C57005" w:rsidRPr="00AF7572" w:rsidRDefault="00C57005" w:rsidP="000E1074">
            <w:pPr>
              <w:spacing w:after="120"/>
            </w:pPr>
            <w:r w:rsidRPr="00AF7572">
              <w:lastRenderedPageBreak/>
              <w:t>I'm not actively involved in tracking timing, but NEATS appears to be a very good information source</w:t>
            </w:r>
          </w:p>
        </w:tc>
      </w:tr>
      <w:tr w:rsidR="00C57005" w:rsidRPr="00AF7572" w:rsidTr="00C57005">
        <w:trPr>
          <w:cnfStyle w:val="000000010000" w:firstRow="0" w:lastRow="0" w:firstColumn="0" w:lastColumn="0" w:oddVBand="0" w:evenVBand="0" w:oddHBand="0" w:evenHBand="1" w:firstRowFirstColumn="0" w:firstRowLastColumn="0" w:lastRowFirstColumn="0" w:lastRowLastColumn="0"/>
          <w:trHeight w:val="255"/>
        </w:trPr>
        <w:tc>
          <w:tcPr>
            <w:tcW w:w="8784" w:type="dxa"/>
            <w:gridSpan w:val="10"/>
            <w:noWrap/>
            <w:hideMark/>
          </w:tcPr>
          <w:p w:rsidR="00C57005" w:rsidRPr="00AF7572" w:rsidRDefault="00C57005" w:rsidP="000E1074">
            <w:pPr>
              <w:spacing w:after="120"/>
            </w:pPr>
            <w:r w:rsidRPr="00AF7572">
              <w:t>An extremely useful tool for industry.</w:t>
            </w:r>
          </w:p>
        </w:tc>
      </w:tr>
      <w:tr w:rsidR="00C57005" w:rsidRPr="00AF7572" w:rsidTr="00C57005">
        <w:trPr>
          <w:cnfStyle w:val="000000100000" w:firstRow="0" w:lastRow="0" w:firstColumn="0" w:lastColumn="0" w:oddVBand="0" w:evenVBand="0" w:oddHBand="1" w:evenHBand="0" w:firstRowFirstColumn="0" w:firstRowLastColumn="0" w:lastRowFirstColumn="0" w:lastRowLastColumn="0"/>
          <w:trHeight w:val="255"/>
        </w:trPr>
        <w:tc>
          <w:tcPr>
            <w:tcW w:w="8784" w:type="dxa"/>
            <w:gridSpan w:val="10"/>
            <w:noWrap/>
            <w:hideMark/>
          </w:tcPr>
          <w:p w:rsidR="00C57005" w:rsidRPr="00AF7572" w:rsidRDefault="00C57005" w:rsidP="000E1074">
            <w:pPr>
              <w:spacing w:after="120"/>
            </w:pPr>
            <w:r w:rsidRPr="00AF7572">
              <w:t>Excellent system. Needs to be expanded to allow reminders and submission of annual reports etc.</w:t>
            </w:r>
          </w:p>
        </w:tc>
      </w:tr>
      <w:tr w:rsidR="00C57005" w:rsidRPr="00AF7572" w:rsidTr="00C57005">
        <w:trPr>
          <w:cnfStyle w:val="000000010000" w:firstRow="0" w:lastRow="0" w:firstColumn="0" w:lastColumn="0" w:oddVBand="0" w:evenVBand="0" w:oddHBand="0" w:evenHBand="1" w:firstRowFirstColumn="0" w:firstRowLastColumn="0" w:lastRowFirstColumn="0" w:lastRowLastColumn="0"/>
          <w:trHeight w:val="255"/>
        </w:trPr>
        <w:tc>
          <w:tcPr>
            <w:tcW w:w="8784" w:type="dxa"/>
            <w:gridSpan w:val="10"/>
            <w:noWrap/>
            <w:hideMark/>
          </w:tcPr>
          <w:p w:rsidR="00C57005" w:rsidRPr="00AF7572" w:rsidRDefault="00C57005" w:rsidP="004F0F25">
            <w:pPr>
              <w:spacing w:after="120"/>
            </w:pPr>
            <w:r w:rsidRPr="00AF7572">
              <w:t>I don't think the approvals are faster, but NEAT</w:t>
            </w:r>
            <w:r w:rsidR="004F0F25">
              <w:t>S</w:t>
            </w:r>
            <w:r w:rsidRPr="00AF7572">
              <w:t xml:space="preserve"> is great</w:t>
            </w:r>
          </w:p>
        </w:tc>
      </w:tr>
    </w:tbl>
    <w:p w:rsidR="001501F3" w:rsidRPr="00C57005" w:rsidRDefault="001501F3" w:rsidP="00C57005"/>
    <w:tbl>
      <w:tblPr>
        <w:tblStyle w:val="TableGrid"/>
        <w:tblW w:w="8784" w:type="dxa"/>
        <w:tblLook w:val="04A0" w:firstRow="1" w:lastRow="0" w:firstColumn="1" w:lastColumn="0" w:noHBand="0" w:noVBand="1"/>
      </w:tblPr>
      <w:tblGrid>
        <w:gridCol w:w="1182"/>
        <w:gridCol w:w="1003"/>
        <w:gridCol w:w="767"/>
        <w:gridCol w:w="1147"/>
        <w:gridCol w:w="1019"/>
        <w:gridCol w:w="1024"/>
        <w:gridCol w:w="557"/>
        <w:gridCol w:w="968"/>
        <w:gridCol w:w="1117"/>
        <w:gridCol w:w="6"/>
      </w:tblGrid>
      <w:tr w:rsidR="001501F3" w:rsidRPr="00AF7572" w:rsidTr="00C57005">
        <w:trPr>
          <w:gridAfter w:val="1"/>
          <w:cnfStyle w:val="100000000000" w:firstRow="1" w:lastRow="0" w:firstColumn="0" w:lastColumn="0" w:oddVBand="0" w:evenVBand="0" w:oddHBand="0" w:evenHBand="0" w:firstRowFirstColumn="0" w:firstRowLastColumn="0" w:lastRowFirstColumn="0" w:lastRowLastColumn="0"/>
          <w:wAfter w:w="6" w:type="dxa"/>
          <w:trHeight w:val="499"/>
        </w:trPr>
        <w:tc>
          <w:tcPr>
            <w:tcW w:w="0" w:type="auto"/>
            <w:gridSpan w:val="9"/>
            <w:hideMark/>
          </w:tcPr>
          <w:p w:rsidR="001501F3" w:rsidRPr="00AF7572" w:rsidRDefault="001501F3" w:rsidP="000E1074">
            <w:pPr>
              <w:spacing w:after="120"/>
              <w:rPr>
                <w:bCs/>
              </w:rPr>
            </w:pPr>
            <w:r w:rsidRPr="00AF7572">
              <w:rPr>
                <w:bCs/>
              </w:rPr>
              <w:t>5. The approvals process used by NOPTA provides greater transparency and accountability than the approval system used prior to 1 January 2012.</w:t>
            </w:r>
          </w:p>
        </w:tc>
      </w:tr>
      <w:tr w:rsidR="001501F3" w:rsidRPr="00AF7572" w:rsidTr="00C57005">
        <w:trPr>
          <w:gridAfter w:val="1"/>
          <w:cnfStyle w:val="000000100000" w:firstRow="0" w:lastRow="0" w:firstColumn="0" w:lastColumn="0" w:oddVBand="0" w:evenVBand="0" w:oddHBand="1" w:evenHBand="0" w:firstRowFirstColumn="0" w:firstRowLastColumn="0" w:lastRowFirstColumn="0" w:lastRowLastColumn="0"/>
          <w:wAfter w:w="6" w:type="dxa"/>
          <w:trHeight w:val="600"/>
        </w:trPr>
        <w:tc>
          <w:tcPr>
            <w:tcW w:w="0" w:type="auto"/>
            <w:hideMark/>
          </w:tcPr>
          <w:p w:rsidR="001501F3" w:rsidRPr="00AF7572" w:rsidRDefault="001501F3" w:rsidP="000E1074">
            <w:pPr>
              <w:spacing w:after="120"/>
              <w:rPr>
                <w:b/>
                <w:bCs/>
              </w:rPr>
            </w:pPr>
            <w:r w:rsidRPr="00AF7572">
              <w:rPr>
                <w:b/>
                <w:bCs/>
              </w:rPr>
              <w:t>Answer Options</w:t>
            </w:r>
          </w:p>
        </w:tc>
        <w:tc>
          <w:tcPr>
            <w:tcW w:w="0" w:type="auto"/>
            <w:hideMark/>
          </w:tcPr>
          <w:p w:rsidR="001501F3" w:rsidRPr="00AF7572" w:rsidRDefault="001501F3" w:rsidP="000E1074">
            <w:pPr>
              <w:spacing w:after="120"/>
              <w:rPr>
                <w:b/>
                <w:bCs/>
              </w:rPr>
            </w:pPr>
            <w:r w:rsidRPr="00AF7572">
              <w:rPr>
                <w:b/>
                <w:bCs/>
              </w:rPr>
              <w:t>Strongly Agree</w:t>
            </w:r>
          </w:p>
        </w:tc>
        <w:tc>
          <w:tcPr>
            <w:tcW w:w="0" w:type="auto"/>
            <w:hideMark/>
          </w:tcPr>
          <w:p w:rsidR="001501F3" w:rsidRPr="00AF7572" w:rsidRDefault="001501F3" w:rsidP="000E1074">
            <w:pPr>
              <w:spacing w:after="120"/>
              <w:rPr>
                <w:b/>
                <w:bCs/>
              </w:rPr>
            </w:pPr>
            <w:r w:rsidRPr="00AF7572">
              <w:rPr>
                <w:b/>
                <w:bCs/>
              </w:rPr>
              <w:t>Agree</w:t>
            </w:r>
          </w:p>
        </w:tc>
        <w:tc>
          <w:tcPr>
            <w:tcW w:w="0" w:type="auto"/>
            <w:hideMark/>
          </w:tcPr>
          <w:p w:rsidR="001501F3" w:rsidRPr="00AF7572" w:rsidRDefault="001501F3" w:rsidP="000E1074">
            <w:pPr>
              <w:spacing w:after="120"/>
              <w:rPr>
                <w:b/>
                <w:bCs/>
              </w:rPr>
            </w:pPr>
            <w:r w:rsidRPr="00AF7572">
              <w:rPr>
                <w:b/>
                <w:bCs/>
              </w:rPr>
              <w:t>No Difference</w:t>
            </w:r>
          </w:p>
        </w:tc>
        <w:tc>
          <w:tcPr>
            <w:tcW w:w="0" w:type="auto"/>
            <w:hideMark/>
          </w:tcPr>
          <w:p w:rsidR="001501F3" w:rsidRPr="00AF7572" w:rsidRDefault="001501F3" w:rsidP="000E1074">
            <w:pPr>
              <w:spacing w:after="120"/>
              <w:rPr>
                <w:b/>
                <w:bCs/>
              </w:rPr>
            </w:pPr>
            <w:r w:rsidRPr="00AF7572">
              <w:rPr>
                <w:b/>
                <w:bCs/>
              </w:rPr>
              <w:t>Disagree</w:t>
            </w:r>
          </w:p>
        </w:tc>
        <w:tc>
          <w:tcPr>
            <w:tcW w:w="0" w:type="auto"/>
            <w:hideMark/>
          </w:tcPr>
          <w:p w:rsidR="001501F3" w:rsidRPr="00AF7572" w:rsidRDefault="001501F3" w:rsidP="000E1074">
            <w:pPr>
              <w:spacing w:after="120"/>
              <w:rPr>
                <w:b/>
                <w:bCs/>
              </w:rPr>
            </w:pPr>
            <w:r w:rsidRPr="00AF7572">
              <w:rPr>
                <w:b/>
                <w:bCs/>
              </w:rPr>
              <w:t>Strongly Disagree</w:t>
            </w:r>
          </w:p>
        </w:tc>
        <w:tc>
          <w:tcPr>
            <w:tcW w:w="0" w:type="auto"/>
            <w:hideMark/>
          </w:tcPr>
          <w:p w:rsidR="001501F3" w:rsidRPr="00AF7572" w:rsidRDefault="001501F3" w:rsidP="000E1074">
            <w:pPr>
              <w:spacing w:after="120"/>
              <w:rPr>
                <w:b/>
                <w:bCs/>
              </w:rPr>
            </w:pPr>
            <w:r w:rsidRPr="00AF7572">
              <w:rPr>
                <w:b/>
                <w:bCs/>
              </w:rPr>
              <w:t>N/A</w:t>
            </w:r>
          </w:p>
        </w:tc>
        <w:tc>
          <w:tcPr>
            <w:tcW w:w="0" w:type="auto"/>
            <w:hideMark/>
          </w:tcPr>
          <w:p w:rsidR="001501F3" w:rsidRPr="00AF7572" w:rsidRDefault="001501F3" w:rsidP="000E1074">
            <w:pPr>
              <w:spacing w:after="120"/>
              <w:rPr>
                <w:b/>
                <w:bCs/>
              </w:rPr>
            </w:pPr>
            <w:r w:rsidRPr="00AF7572">
              <w:rPr>
                <w:b/>
                <w:bCs/>
              </w:rPr>
              <w:t>Rating Average</w:t>
            </w:r>
          </w:p>
        </w:tc>
        <w:tc>
          <w:tcPr>
            <w:tcW w:w="0" w:type="auto"/>
            <w:hideMark/>
          </w:tcPr>
          <w:p w:rsidR="001501F3" w:rsidRPr="00AF7572" w:rsidRDefault="001501F3" w:rsidP="000E1074">
            <w:pPr>
              <w:spacing w:after="120"/>
              <w:rPr>
                <w:b/>
                <w:bCs/>
              </w:rPr>
            </w:pPr>
            <w:r w:rsidRPr="00AF7572">
              <w:rPr>
                <w:b/>
                <w:bCs/>
              </w:rPr>
              <w:t>Response Count</w:t>
            </w:r>
          </w:p>
        </w:tc>
      </w:tr>
      <w:tr w:rsidR="001501F3" w:rsidRPr="00AF7572" w:rsidTr="00C57005">
        <w:trPr>
          <w:gridAfter w:val="1"/>
          <w:cnfStyle w:val="000000010000" w:firstRow="0" w:lastRow="0" w:firstColumn="0" w:lastColumn="0" w:oddVBand="0" w:evenVBand="0" w:oddHBand="0" w:evenHBand="1" w:firstRowFirstColumn="0" w:firstRowLastColumn="0" w:lastRowFirstColumn="0" w:lastRowLastColumn="0"/>
          <w:wAfter w:w="6" w:type="dxa"/>
          <w:trHeight w:val="255"/>
        </w:trPr>
        <w:tc>
          <w:tcPr>
            <w:tcW w:w="0" w:type="auto"/>
            <w:hideMark/>
          </w:tcPr>
          <w:p w:rsidR="001501F3" w:rsidRPr="00AF7572" w:rsidRDefault="001501F3" w:rsidP="000E1074">
            <w:pPr>
              <w:spacing w:after="120"/>
            </w:pPr>
            <w:r w:rsidRPr="00AF7572">
              <w:t>Responses</w:t>
            </w:r>
          </w:p>
        </w:tc>
        <w:tc>
          <w:tcPr>
            <w:tcW w:w="0" w:type="auto"/>
            <w:noWrap/>
            <w:hideMark/>
          </w:tcPr>
          <w:p w:rsidR="001501F3" w:rsidRPr="00AF7572" w:rsidRDefault="001501F3" w:rsidP="000E1074">
            <w:pPr>
              <w:spacing w:after="120"/>
            </w:pPr>
            <w:r w:rsidRPr="00AF7572">
              <w:t>1</w:t>
            </w:r>
          </w:p>
        </w:tc>
        <w:tc>
          <w:tcPr>
            <w:tcW w:w="0" w:type="auto"/>
            <w:noWrap/>
            <w:hideMark/>
          </w:tcPr>
          <w:p w:rsidR="001501F3" w:rsidRPr="00AF7572" w:rsidRDefault="001501F3" w:rsidP="000E1074">
            <w:pPr>
              <w:spacing w:after="120"/>
            </w:pPr>
            <w:r w:rsidRPr="00AF7572">
              <w:t>3</w:t>
            </w:r>
          </w:p>
        </w:tc>
        <w:tc>
          <w:tcPr>
            <w:tcW w:w="0" w:type="auto"/>
            <w:noWrap/>
            <w:hideMark/>
          </w:tcPr>
          <w:p w:rsidR="001501F3" w:rsidRPr="00AF7572" w:rsidRDefault="001501F3" w:rsidP="000E1074">
            <w:pPr>
              <w:spacing w:after="120"/>
            </w:pPr>
            <w:r w:rsidRPr="00AF7572">
              <w:t>4</w:t>
            </w:r>
          </w:p>
        </w:tc>
        <w:tc>
          <w:tcPr>
            <w:tcW w:w="0" w:type="auto"/>
            <w:noWrap/>
            <w:hideMark/>
          </w:tcPr>
          <w:p w:rsidR="001501F3" w:rsidRPr="00AF7572" w:rsidRDefault="001501F3" w:rsidP="000E1074">
            <w:pPr>
              <w:spacing w:after="120"/>
            </w:pPr>
            <w:r w:rsidRPr="00AF7572">
              <w:t>0</w:t>
            </w:r>
          </w:p>
        </w:tc>
        <w:tc>
          <w:tcPr>
            <w:tcW w:w="0" w:type="auto"/>
            <w:noWrap/>
            <w:hideMark/>
          </w:tcPr>
          <w:p w:rsidR="001501F3" w:rsidRPr="00AF7572" w:rsidRDefault="001501F3" w:rsidP="000E1074">
            <w:pPr>
              <w:spacing w:after="120"/>
            </w:pPr>
            <w:r w:rsidRPr="00AF7572">
              <w:t>0</w:t>
            </w:r>
          </w:p>
        </w:tc>
        <w:tc>
          <w:tcPr>
            <w:tcW w:w="0" w:type="auto"/>
            <w:noWrap/>
            <w:hideMark/>
          </w:tcPr>
          <w:p w:rsidR="001501F3" w:rsidRPr="00AF7572" w:rsidRDefault="001501F3" w:rsidP="000E1074">
            <w:pPr>
              <w:spacing w:after="120"/>
            </w:pPr>
            <w:r w:rsidRPr="00AF7572">
              <w:t>3</w:t>
            </w:r>
          </w:p>
        </w:tc>
        <w:tc>
          <w:tcPr>
            <w:tcW w:w="0" w:type="auto"/>
            <w:noWrap/>
            <w:hideMark/>
          </w:tcPr>
          <w:p w:rsidR="001501F3" w:rsidRPr="00AF7572" w:rsidRDefault="001501F3" w:rsidP="000E1074">
            <w:pPr>
              <w:spacing w:after="120"/>
            </w:pPr>
            <w:r w:rsidRPr="00AF7572">
              <w:t>3.63</w:t>
            </w:r>
          </w:p>
        </w:tc>
        <w:tc>
          <w:tcPr>
            <w:tcW w:w="0" w:type="auto"/>
            <w:noWrap/>
            <w:hideMark/>
          </w:tcPr>
          <w:p w:rsidR="001501F3" w:rsidRPr="00AF7572" w:rsidRDefault="001501F3" w:rsidP="000E1074">
            <w:pPr>
              <w:spacing w:after="120"/>
            </w:pPr>
            <w:r w:rsidRPr="00AF7572">
              <w:t>11</w:t>
            </w:r>
          </w:p>
        </w:tc>
      </w:tr>
      <w:tr w:rsidR="001501F3" w:rsidRPr="00AF7572" w:rsidTr="00C57005">
        <w:trPr>
          <w:gridAfter w:val="1"/>
          <w:cnfStyle w:val="000000100000" w:firstRow="0" w:lastRow="0" w:firstColumn="0" w:lastColumn="0" w:oddVBand="0" w:evenVBand="0" w:oddHBand="1" w:evenHBand="0" w:firstRowFirstColumn="0" w:firstRowLastColumn="0" w:lastRowFirstColumn="0" w:lastRowLastColumn="0"/>
          <w:wAfter w:w="6" w:type="dxa"/>
          <w:trHeight w:val="255"/>
        </w:trPr>
        <w:tc>
          <w:tcPr>
            <w:tcW w:w="0" w:type="auto"/>
            <w:gridSpan w:val="8"/>
            <w:hideMark/>
          </w:tcPr>
          <w:p w:rsidR="001501F3" w:rsidRPr="00AF7572" w:rsidRDefault="001501F3" w:rsidP="000E1074">
            <w:pPr>
              <w:spacing w:after="120"/>
            </w:pPr>
            <w:r w:rsidRPr="00AF7572">
              <w:t>Additional Comments</w:t>
            </w:r>
          </w:p>
        </w:tc>
        <w:tc>
          <w:tcPr>
            <w:tcW w:w="0" w:type="auto"/>
            <w:noWrap/>
            <w:hideMark/>
          </w:tcPr>
          <w:p w:rsidR="001501F3" w:rsidRPr="00AF7572" w:rsidRDefault="001501F3" w:rsidP="000E1074">
            <w:pPr>
              <w:spacing w:after="120"/>
            </w:pPr>
            <w:r w:rsidRPr="00AF7572">
              <w:t>2</w:t>
            </w:r>
          </w:p>
        </w:tc>
      </w:tr>
      <w:tr w:rsidR="001501F3" w:rsidRPr="00AF7572" w:rsidTr="00C57005">
        <w:trPr>
          <w:gridAfter w:val="1"/>
          <w:cnfStyle w:val="000000010000" w:firstRow="0" w:lastRow="0" w:firstColumn="0" w:lastColumn="0" w:oddVBand="0" w:evenVBand="0" w:oddHBand="0" w:evenHBand="1" w:firstRowFirstColumn="0" w:firstRowLastColumn="0" w:lastRowFirstColumn="0" w:lastRowLastColumn="0"/>
          <w:wAfter w:w="6" w:type="dxa"/>
          <w:trHeight w:val="255"/>
        </w:trPr>
        <w:tc>
          <w:tcPr>
            <w:tcW w:w="0" w:type="auto"/>
            <w:gridSpan w:val="8"/>
            <w:noWrap/>
            <w:hideMark/>
          </w:tcPr>
          <w:p w:rsidR="001501F3" w:rsidRPr="00AF7572" w:rsidRDefault="001501F3" w:rsidP="000E1074">
            <w:pPr>
              <w:spacing w:after="120"/>
              <w:rPr>
                <w:b/>
                <w:bCs/>
                <w:i/>
                <w:iCs/>
              </w:rPr>
            </w:pPr>
            <w:r w:rsidRPr="00AF7572">
              <w:rPr>
                <w:b/>
                <w:bCs/>
                <w:i/>
                <w:iCs/>
              </w:rPr>
              <w:t>answered question</w:t>
            </w:r>
          </w:p>
        </w:tc>
        <w:tc>
          <w:tcPr>
            <w:tcW w:w="0" w:type="auto"/>
            <w:noWrap/>
            <w:hideMark/>
          </w:tcPr>
          <w:p w:rsidR="001501F3" w:rsidRPr="00AF7572" w:rsidRDefault="001501F3" w:rsidP="000E1074">
            <w:pPr>
              <w:spacing w:after="120"/>
              <w:rPr>
                <w:b/>
                <w:bCs/>
              </w:rPr>
            </w:pPr>
            <w:r w:rsidRPr="00AF7572">
              <w:rPr>
                <w:b/>
                <w:bCs/>
              </w:rPr>
              <w:t>11</w:t>
            </w:r>
          </w:p>
        </w:tc>
      </w:tr>
      <w:tr w:rsidR="001501F3" w:rsidRPr="00AF7572" w:rsidTr="00C57005">
        <w:trPr>
          <w:gridAfter w:val="1"/>
          <w:cnfStyle w:val="000000100000" w:firstRow="0" w:lastRow="0" w:firstColumn="0" w:lastColumn="0" w:oddVBand="0" w:evenVBand="0" w:oddHBand="1" w:evenHBand="0" w:firstRowFirstColumn="0" w:firstRowLastColumn="0" w:lastRowFirstColumn="0" w:lastRowLastColumn="0"/>
          <w:wAfter w:w="6" w:type="dxa"/>
          <w:trHeight w:val="255"/>
        </w:trPr>
        <w:tc>
          <w:tcPr>
            <w:tcW w:w="0" w:type="auto"/>
            <w:gridSpan w:val="8"/>
            <w:noWrap/>
            <w:hideMark/>
          </w:tcPr>
          <w:p w:rsidR="001501F3" w:rsidRPr="00AF7572" w:rsidRDefault="001501F3" w:rsidP="000E1074">
            <w:pPr>
              <w:spacing w:after="120"/>
              <w:rPr>
                <w:b/>
                <w:bCs/>
                <w:i/>
                <w:iCs/>
              </w:rPr>
            </w:pPr>
            <w:r w:rsidRPr="00AF7572">
              <w:rPr>
                <w:b/>
                <w:bCs/>
                <w:i/>
                <w:iCs/>
              </w:rPr>
              <w:t>skipped question</w:t>
            </w:r>
          </w:p>
        </w:tc>
        <w:tc>
          <w:tcPr>
            <w:tcW w:w="0" w:type="auto"/>
            <w:noWrap/>
            <w:hideMark/>
          </w:tcPr>
          <w:p w:rsidR="001501F3" w:rsidRPr="00AF7572" w:rsidRDefault="001501F3" w:rsidP="000E1074">
            <w:pPr>
              <w:spacing w:after="120"/>
              <w:rPr>
                <w:b/>
                <w:bCs/>
              </w:rPr>
            </w:pPr>
            <w:r w:rsidRPr="00AF7572">
              <w:rPr>
                <w:b/>
                <w:bCs/>
              </w:rPr>
              <w:t>0</w:t>
            </w:r>
          </w:p>
        </w:tc>
      </w:tr>
      <w:tr w:rsidR="00C57005" w:rsidRPr="00AF7572" w:rsidTr="00C57005">
        <w:trPr>
          <w:cnfStyle w:val="000000010000" w:firstRow="0" w:lastRow="0" w:firstColumn="0" w:lastColumn="0" w:oddVBand="0" w:evenVBand="0" w:oddHBand="0" w:evenHBand="1" w:firstRowFirstColumn="0" w:firstRowLastColumn="0" w:lastRowFirstColumn="0" w:lastRowLastColumn="0"/>
          <w:trHeight w:val="510"/>
        </w:trPr>
        <w:tc>
          <w:tcPr>
            <w:tcW w:w="8784" w:type="dxa"/>
            <w:gridSpan w:val="10"/>
            <w:shd w:val="clear" w:color="auto" w:fill="595959" w:themeFill="text1" w:themeFillTint="A6"/>
            <w:hideMark/>
          </w:tcPr>
          <w:p w:rsidR="00C57005" w:rsidRPr="00AF7572" w:rsidRDefault="00C57005" w:rsidP="000E1074">
            <w:pPr>
              <w:spacing w:after="120"/>
              <w:rPr>
                <w:bCs/>
              </w:rPr>
            </w:pPr>
            <w:r w:rsidRPr="00C57005">
              <w:rPr>
                <w:b/>
                <w:bCs/>
                <w:color w:val="FFFFFF" w:themeColor="background1"/>
              </w:rPr>
              <w:t>Additional Comments</w:t>
            </w:r>
          </w:p>
        </w:tc>
      </w:tr>
      <w:tr w:rsidR="00C57005" w:rsidRPr="00AF7572" w:rsidTr="00C57005">
        <w:trPr>
          <w:cnfStyle w:val="000000100000" w:firstRow="0" w:lastRow="0" w:firstColumn="0" w:lastColumn="0" w:oddVBand="0" w:evenVBand="0" w:oddHBand="1" w:evenHBand="0" w:firstRowFirstColumn="0" w:firstRowLastColumn="0" w:lastRowFirstColumn="0" w:lastRowLastColumn="0"/>
          <w:trHeight w:val="255"/>
        </w:trPr>
        <w:tc>
          <w:tcPr>
            <w:tcW w:w="8784" w:type="dxa"/>
            <w:gridSpan w:val="10"/>
            <w:noWrap/>
            <w:hideMark/>
          </w:tcPr>
          <w:p w:rsidR="00C57005" w:rsidRPr="00AF7572" w:rsidRDefault="00C57005" w:rsidP="000E1074">
            <w:pPr>
              <w:spacing w:after="120"/>
            </w:pPr>
            <w:r w:rsidRPr="00AF7572">
              <w:t>Not my area to comment upon</w:t>
            </w:r>
          </w:p>
        </w:tc>
      </w:tr>
      <w:tr w:rsidR="00C57005" w:rsidRPr="00AF7572" w:rsidTr="00C57005">
        <w:trPr>
          <w:cnfStyle w:val="000000010000" w:firstRow="0" w:lastRow="0" w:firstColumn="0" w:lastColumn="0" w:oddVBand="0" w:evenVBand="0" w:oddHBand="0" w:evenHBand="1" w:firstRowFirstColumn="0" w:firstRowLastColumn="0" w:lastRowFirstColumn="0" w:lastRowLastColumn="0"/>
          <w:trHeight w:val="255"/>
        </w:trPr>
        <w:tc>
          <w:tcPr>
            <w:tcW w:w="8784" w:type="dxa"/>
            <w:gridSpan w:val="10"/>
            <w:noWrap/>
            <w:hideMark/>
          </w:tcPr>
          <w:p w:rsidR="00C57005" w:rsidRPr="00AF7572" w:rsidRDefault="00C57005" w:rsidP="000E1074">
            <w:pPr>
              <w:spacing w:after="120"/>
            </w:pPr>
            <w:r w:rsidRPr="00AF7572">
              <w:t>Assessment criteria of Block Awards still needs work mainly in the area of financial capability. Too many blocks are awarded to companies who cannot afford the work programme and end up entering into a GSA.</w:t>
            </w:r>
          </w:p>
        </w:tc>
      </w:tr>
    </w:tbl>
    <w:p w:rsidR="001501F3" w:rsidRDefault="001501F3" w:rsidP="00E42D56">
      <w:pPr>
        <w:pStyle w:val="Heading30"/>
      </w:pPr>
      <w:bookmarkStart w:id="148" w:name="_Toc423426809"/>
      <w:bookmarkStart w:id="149" w:name="_Toc430102218"/>
      <w:r>
        <w:t>Management of Titles</w:t>
      </w:r>
      <w:bookmarkEnd w:id="148"/>
      <w:bookmarkEnd w:id="149"/>
    </w:p>
    <w:tbl>
      <w:tblPr>
        <w:tblStyle w:val="TableGrid"/>
        <w:tblW w:w="0" w:type="auto"/>
        <w:tblLook w:val="04A0" w:firstRow="1" w:lastRow="0" w:firstColumn="1" w:lastColumn="0" w:noHBand="0" w:noVBand="1"/>
      </w:tblPr>
      <w:tblGrid>
        <w:gridCol w:w="1378"/>
        <w:gridCol w:w="1251"/>
        <w:gridCol w:w="737"/>
        <w:gridCol w:w="987"/>
        <w:gridCol w:w="1396"/>
        <w:gridCol w:w="861"/>
        <w:gridCol w:w="1257"/>
        <w:gridCol w:w="1386"/>
      </w:tblGrid>
      <w:tr w:rsidR="001501F3" w:rsidRPr="00AF7572" w:rsidTr="001501F3">
        <w:trPr>
          <w:cnfStyle w:val="100000000000" w:firstRow="1" w:lastRow="0" w:firstColumn="0" w:lastColumn="0" w:oddVBand="0" w:evenVBand="0" w:oddHBand="0" w:evenHBand="0" w:firstRowFirstColumn="0" w:firstRowLastColumn="0" w:lastRowFirstColumn="0" w:lastRowLastColumn="0"/>
          <w:trHeight w:val="499"/>
        </w:trPr>
        <w:tc>
          <w:tcPr>
            <w:tcW w:w="0" w:type="auto"/>
            <w:gridSpan w:val="8"/>
            <w:hideMark/>
          </w:tcPr>
          <w:p w:rsidR="001501F3" w:rsidRPr="00AF7572" w:rsidRDefault="001501F3" w:rsidP="000E1074">
            <w:pPr>
              <w:spacing w:after="120"/>
              <w:rPr>
                <w:bCs/>
              </w:rPr>
            </w:pPr>
            <w:r w:rsidRPr="00AF7572">
              <w:rPr>
                <w:bCs/>
              </w:rPr>
              <w:t>6. The interactive map that NOPTA provides on NEATS is accurate and reliable.</w:t>
            </w:r>
          </w:p>
        </w:tc>
      </w:tr>
      <w:tr w:rsidR="001501F3" w:rsidRPr="00AF7572" w:rsidTr="001501F3">
        <w:trPr>
          <w:cnfStyle w:val="000000100000" w:firstRow="0" w:lastRow="0" w:firstColumn="0" w:lastColumn="0" w:oddVBand="0" w:evenVBand="0" w:oddHBand="1" w:evenHBand="0" w:firstRowFirstColumn="0" w:firstRowLastColumn="0" w:lastRowFirstColumn="0" w:lastRowLastColumn="0"/>
          <w:trHeight w:val="600"/>
        </w:trPr>
        <w:tc>
          <w:tcPr>
            <w:tcW w:w="0" w:type="auto"/>
            <w:hideMark/>
          </w:tcPr>
          <w:p w:rsidR="001501F3" w:rsidRPr="00AF7572" w:rsidRDefault="001501F3" w:rsidP="000E1074">
            <w:pPr>
              <w:spacing w:after="120"/>
              <w:rPr>
                <w:b/>
                <w:bCs/>
              </w:rPr>
            </w:pPr>
            <w:r w:rsidRPr="00AF7572">
              <w:rPr>
                <w:b/>
                <w:bCs/>
              </w:rPr>
              <w:t>Answer Options</w:t>
            </w:r>
          </w:p>
        </w:tc>
        <w:tc>
          <w:tcPr>
            <w:tcW w:w="0" w:type="auto"/>
            <w:hideMark/>
          </w:tcPr>
          <w:p w:rsidR="001501F3" w:rsidRPr="00AF7572" w:rsidRDefault="001501F3" w:rsidP="000E1074">
            <w:pPr>
              <w:spacing w:after="120"/>
              <w:rPr>
                <w:b/>
                <w:bCs/>
              </w:rPr>
            </w:pPr>
            <w:r w:rsidRPr="00AF7572">
              <w:rPr>
                <w:b/>
                <w:bCs/>
              </w:rPr>
              <w:t>Strongly Agree</w:t>
            </w:r>
          </w:p>
        </w:tc>
        <w:tc>
          <w:tcPr>
            <w:tcW w:w="0" w:type="auto"/>
            <w:hideMark/>
          </w:tcPr>
          <w:p w:rsidR="001501F3" w:rsidRPr="00AF7572" w:rsidRDefault="001501F3" w:rsidP="000E1074">
            <w:pPr>
              <w:spacing w:after="120"/>
              <w:rPr>
                <w:b/>
                <w:bCs/>
              </w:rPr>
            </w:pPr>
            <w:r w:rsidRPr="00AF7572">
              <w:rPr>
                <w:b/>
                <w:bCs/>
              </w:rPr>
              <w:t>Agree</w:t>
            </w:r>
          </w:p>
        </w:tc>
        <w:tc>
          <w:tcPr>
            <w:tcW w:w="0" w:type="auto"/>
            <w:hideMark/>
          </w:tcPr>
          <w:p w:rsidR="001501F3" w:rsidRPr="00AF7572" w:rsidRDefault="001501F3" w:rsidP="000E1074">
            <w:pPr>
              <w:spacing w:after="120"/>
              <w:rPr>
                <w:b/>
                <w:bCs/>
              </w:rPr>
            </w:pPr>
            <w:r w:rsidRPr="00AF7572">
              <w:rPr>
                <w:b/>
                <w:bCs/>
              </w:rPr>
              <w:t>Disagree</w:t>
            </w:r>
          </w:p>
        </w:tc>
        <w:tc>
          <w:tcPr>
            <w:tcW w:w="0" w:type="auto"/>
            <w:hideMark/>
          </w:tcPr>
          <w:p w:rsidR="001501F3" w:rsidRPr="00AF7572" w:rsidRDefault="001501F3" w:rsidP="000E1074">
            <w:pPr>
              <w:spacing w:after="120"/>
              <w:rPr>
                <w:b/>
                <w:bCs/>
              </w:rPr>
            </w:pPr>
            <w:r w:rsidRPr="00AF7572">
              <w:rPr>
                <w:b/>
                <w:bCs/>
              </w:rPr>
              <w:t>Strongly Disagree</w:t>
            </w:r>
          </w:p>
        </w:tc>
        <w:tc>
          <w:tcPr>
            <w:tcW w:w="0" w:type="auto"/>
            <w:hideMark/>
          </w:tcPr>
          <w:p w:rsidR="001501F3" w:rsidRPr="00AF7572" w:rsidRDefault="001501F3" w:rsidP="000E1074">
            <w:pPr>
              <w:spacing w:after="120"/>
              <w:rPr>
                <w:b/>
                <w:bCs/>
              </w:rPr>
            </w:pPr>
            <w:r w:rsidRPr="00AF7572">
              <w:rPr>
                <w:b/>
                <w:bCs/>
              </w:rPr>
              <w:t>Do not use</w:t>
            </w:r>
          </w:p>
        </w:tc>
        <w:tc>
          <w:tcPr>
            <w:tcW w:w="0" w:type="auto"/>
            <w:hideMark/>
          </w:tcPr>
          <w:p w:rsidR="001501F3" w:rsidRPr="00AF7572" w:rsidRDefault="001501F3" w:rsidP="000E1074">
            <w:pPr>
              <w:spacing w:after="120"/>
              <w:rPr>
                <w:b/>
                <w:bCs/>
              </w:rPr>
            </w:pPr>
            <w:r w:rsidRPr="00AF7572">
              <w:rPr>
                <w:b/>
                <w:bCs/>
              </w:rPr>
              <w:t>Rating Average</w:t>
            </w:r>
          </w:p>
        </w:tc>
        <w:tc>
          <w:tcPr>
            <w:tcW w:w="0" w:type="auto"/>
            <w:hideMark/>
          </w:tcPr>
          <w:p w:rsidR="001501F3" w:rsidRPr="00AF7572" w:rsidRDefault="001501F3" w:rsidP="000E1074">
            <w:pPr>
              <w:spacing w:after="120"/>
              <w:rPr>
                <w:b/>
                <w:bCs/>
              </w:rPr>
            </w:pPr>
            <w:r w:rsidRPr="00AF7572">
              <w:rPr>
                <w:b/>
                <w:bCs/>
              </w:rPr>
              <w:t>Response Count</w:t>
            </w:r>
          </w:p>
        </w:tc>
      </w:tr>
      <w:tr w:rsidR="001501F3" w:rsidRPr="00AF7572" w:rsidTr="001501F3">
        <w:trPr>
          <w:cnfStyle w:val="000000010000" w:firstRow="0" w:lastRow="0" w:firstColumn="0" w:lastColumn="0" w:oddVBand="0" w:evenVBand="0" w:oddHBand="0" w:evenHBand="1" w:firstRowFirstColumn="0" w:firstRowLastColumn="0" w:lastRowFirstColumn="0" w:lastRowLastColumn="0"/>
          <w:trHeight w:val="255"/>
        </w:trPr>
        <w:tc>
          <w:tcPr>
            <w:tcW w:w="0" w:type="auto"/>
            <w:hideMark/>
          </w:tcPr>
          <w:p w:rsidR="001501F3" w:rsidRPr="00AF7572" w:rsidRDefault="001501F3" w:rsidP="000E1074">
            <w:pPr>
              <w:spacing w:after="120"/>
            </w:pPr>
            <w:r w:rsidRPr="00AF7572">
              <w:t>Responses</w:t>
            </w:r>
          </w:p>
        </w:tc>
        <w:tc>
          <w:tcPr>
            <w:tcW w:w="0" w:type="auto"/>
            <w:noWrap/>
            <w:hideMark/>
          </w:tcPr>
          <w:p w:rsidR="001501F3" w:rsidRPr="00AF7572" w:rsidRDefault="001501F3" w:rsidP="000E1074">
            <w:pPr>
              <w:spacing w:after="120"/>
            </w:pPr>
            <w:r w:rsidRPr="00AF7572">
              <w:t>2</w:t>
            </w:r>
          </w:p>
        </w:tc>
        <w:tc>
          <w:tcPr>
            <w:tcW w:w="0" w:type="auto"/>
            <w:noWrap/>
            <w:hideMark/>
          </w:tcPr>
          <w:p w:rsidR="001501F3" w:rsidRPr="00AF7572" w:rsidRDefault="001501F3" w:rsidP="000E1074">
            <w:pPr>
              <w:spacing w:after="120"/>
            </w:pPr>
            <w:r w:rsidRPr="00AF7572">
              <w:t>4</w:t>
            </w:r>
          </w:p>
        </w:tc>
        <w:tc>
          <w:tcPr>
            <w:tcW w:w="0" w:type="auto"/>
            <w:noWrap/>
            <w:hideMark/>
          </w:tcPr>
          <w:p w:rsidR="001501F3" w:rsidRPr="00AF7572" w:rsidRDefault="001501F3" w:rsidP="000E1074">
            <w:pPr>
              <w:spacing w:after="120"/>
            </w:pPr>
            <w:r w:rsidRPr="00AF7572">
              <w:t>0</w:t>
            </w:r>
          </w:p>
        </w:tc>
        <w:tc>
          <w:tcPr>
            <w:tcW w:w="0" w:type="auto"/>
            <w:noWrap/>
            <w:hideMark/>
          </w:tcPr>
          <w:p w:rsidR="001501F3" w:rsidRPr="00AF7572" w:rsidRDefault="001501F3" w:rsidP="000E1074">
            <w:pPr>
              <w:spacing w:after="120"/>
            </w:pPr>
            <w:r w:rsidRPr="00AF7572">
              <w:t>0</w:t>
            </w:r>
          </w:p>
        </w:tc>
        <w:tc>
          <w:tcPr>
            <w:tcW w:w="0" w:type="auto"/>
            <w:noWrap/>
            <w:hideMark/>
          </w:tcPr>
          <w:p w:rsidR="001501F3" w:rsidRPr="00AF7572" w:rsidRDefault="001501F3" w:rsidP="000E1074">
            <w:pPr>
              <w:spacing w:after="120"/>
            </w:pPr>
            <w:r w:rsidRPr="00AF7572">
              <w:t>4</w:t>
            </w:r>
          </w:p>
        </w:tc>
        <w:tc>
          <w:tcPr>
            <w:tcW w:w="0" w:type="auto"/>
            <w:noWrap/>
            <w:hideMark/>
          </w:tcPr>
          <w:p w:rsidR="001501F3" w:rsidRPr="00AF7572" w:rsidRDefault="001501F3" w:rsidP="000E1074">
            <w:pPr>
              <w:spacing w:after="120"/>
            </w:pPr>
            <w:r w:rsidRPr="00AF7572">
              <w:t>3.33</w:t>
            </w:r>
          </w:p>
        </w:tc>
        <w:tc>
          <w:tcPr>
            <w:tcW w:w="0" w:type="auto"/>
            <w:noWrap/>
            <w:hideMark/>
          </w:tcPr>
          <w:p w:rsidR="001501F3" w:rsidRPr="00AF7572" w:rsidRDefault="001501F3" w:rsidP="000E1074">
            <w:pPr>
              <w:spacing w:after="120"/>
            </w:pPr>
            <w:r w:rsidRPr="00AF7572">
              <w:t>10</w:t>
            </w:r>
          </w:p>
        </w:tc>
      </w:tr>
      <w:tr w:rsidR="001501F3" w:rsidRPr="00AF7572" w:rsidTr="001501F3">
        <w:trPr>
          <w:cnfStyle w:val="000000100000" w:firstRow="0" w:lastRow="0" w:firstColumn="0" w:lastColumn="0" w:oddVBand="0" w:evenVBand="0" w:oddHBand="1" w:evenHBand="0" w:firstRowFirstColumn="0" w:firstRowLastColumn="0" w:lastRowFirstColumn="0" w:lastRowLastColumn="0"/>
          <w:trHeight w:val="255"/>
        </w:trPr>
        <w:tc>
          <w:tcPr>
            <w:tcW w:w="0" w:type="auto"/>
            <w:gridSpan w:val="7"/>
            <w:hideMark/>
          </w:tcPr>
          <w:p w:rsidR="001501F3" w:rsidRPr="00AF7572" w:rsidRDefault="001501F3" w:rsidP="000E1074">
            <w:pPr>
              <w:spacing w:after="120"/>
            </w:pPr>
            <w:r w:rsidRPr="00AF7572">
              <w:t>Additional Comments</w:t>
            </w:r>
          </w:p>
        </w:tc>
        <w:tc>
          <w:tcPr>
            <w:tcW w:w="0" w:type="auto"/>
            <w:noWrap/>
            <w:hideMark/>
          </w:tcPr>
          <w:p w:rsidR="001501F3" w:rsidRPr="00AF7572" w:rsidRDefault="001501F3" w:rsidP="000E1074">
            <w:pPr>
              <w:spacing w:after="120"/>
            </w:pPr>
            <w:r w:rsidRPr="00AF7572">
              <w:t>0</w:t>
            </w:r>
          </w:p>
        </w:tc>
      </w:tr>
      <w:tr w:rsidR="001501F3" w:rsidRPr="00AF7572" w:rsidTr="001501F3">
        <w:trPr>
          <w:cnfStyle w:val="000000010000" w:firstRow="0" w:lastRow="0" w:firstColumn="0" w:lastColumn="0" w:oddVBand="0" w:evenVBand="0" w:oddHBand="0" w:evenHBand="1" w:firstRowFirstColumn="0" w:firstRowLastColumn="0" w:lastRowFirstColumn="0" w:lastRowLastColumn="0"/>
          <w:trHeight w:val="255"/>
        </w:trPr>
        <w:tc>
          <w:tcPr>
            <w:tcW w:w="0" w:type="auto"/>
            <w:gridSpan w:val="7"/>
            <w:noWrap/>
            <w:hideMark/>
          </w:tcPr>
          <w:p w:rsidR="001501F3" w:rsidRPr="00AF7572" w:rsidRDefault="001501F3" w:rsidP="000E1074">
            <w:pPr>
              <w:spacing w:after="120"/>
              <w:rPr>
                <w:b/>
                <w:bCs/>
                <w:i/>
                <w:iCs/>
              </w:rPr>
            </w:pPr>
            <w:r w:rsidRPr="00AF7572">
              <w:rPr>
                <w:b/>
                <w:bCs/>
                <w:i/>
                <w:iCs/>
              </w:rPr>
              <w:t>answered question</w:t>
            </w:r>
          </w:p>
        </w:tc>
        <w:tc>
          <w:tcPr>
            <w:tcW w:w="0" w:type="auto"/>
            <w:noWrap/>
            <w:hideMark/>
          </w:tcPr>
          <w:p w:rsidR="001501F3" w:rsidRPr="00AF7572" w:rsidRDefault="001501F3" w:rsidP="000E1074">
            <w:pPr>
              <w:spacing w:after="120"/>
              <w:rPr>
                <w:b/>
                <w:bCs/>
              </w:rPr>
            </w:pPr>
            <w:r w:rsidRPr="00AF7572">
              <w:rPr>
                <w:b/>
                <w:bCs/>
              </w:rPr>
              <w:t>10</w:t>
            </w:r>
          </w:p>
        </w:tc>
      </w:tr>
      <w:tr w:rsidR="001501F3" w:rsidRPr="00AF7572" w:rsidTr="001501F3">
        <w:trPr>
          <w:cnfStyle w:val="000000100000" w:firstRow="0" w:lastRow="0" w:firstColumn="0" w:lastColumn="0" w:oddVBand="0" w:evenVBand="0" w:oddHBand="1" w:evenHBand="0" w:firstRowFirstColumn="0" w:firstRowLastColumn="0" w:lastRowFirstColumn="0" w:lastRowLastColumn="0"/>
          <w:trHeight w:val="255"/>
        </w:trPr>
        <w:tc>
          <w:tcPr>
            <w:tcW w:w="0" w:type="auto"/>
            <w:gridSpan w:val="7"/>
            <w:noWrap/>
            <w:hideMark/>
          </w:tcPr>
          <w:p w:rsidR="001501F3" w:rsidRPr="00AF7572" w:rsidRDefault="001501F3" w:rsidP="000E1074">
            <w:pPr>
              <w:spacing w:after="120"/>
              <w:rPr>
                <w:b/>
                <w:bCs/>
                <w:i/>
                <w:iCs/>
              </w:rPr>
            </w:pPr>
            <w:r w:rsidRPr="00AF7572">
              <w:rPr>
                <w:b/>
                <w:bCs/>
                <w:i/>
                <w:iCs/>
              </w:rPr>
              <w:t>skipped question</w:t>
            </w:r>
          </w:p>
        </w:tc>
        <w:tc>
          <w:tcPr>
            <w:tcW w:w="0" w:type="auto"/>
            <w:noWrap/>
            <w:hideMark/>
          </w:tcPr>
          <w:p w:rsidR="001501F3" w:rsidRPr="00AF7572" w:rsidRDefault="001501F3" w:rsidP="000E1074">
            <w:pPr>
              <w:spacing w:after="120"/>
              <w:rPr>
                <w:b/>
                <w:bCs/>
              </w:rPr>
            </w:pPr>
            <w:r w:rsidRPr="00AF7572">
              <w:rPr>
                <w:b/>
                <w:bCs/>
              </w:rPr>
              <w:t>1</w:t>
            </w:r>
          </w:p>
        </w:tc>
      </w:tr>
    </w:tbl>
    <w:p w:rsidR="001501F3" w:rsidRDefault="001501F3" w:rsidP="001501F3"/>
    <w:tbl>
      <w:tblPr>
        <w:tblStyle w:val="TableGrid"/>
        <w:tblW w:w="0" w:type="auto"/>
        <w:tblLook w:val="04A0" w:firstRow="1" w:lastRow="0" w:firstColumn="1" w:lastColumn="0" w:noHBand="0" w:noVBand="1"/>
      </w:tblPr>
      <w:tblGrid>
        <w:gridCol w:w="1431"/>
        <w:gridCol w:w="1311"/>
        <w:gridCol w:w="737"/>
        <w:gridCol w:w="987"/>
        <w:gridCol w:w="1480"/>
        <w:gridCol w:w="536"/>
        <w:gridCol w:w="1323"/>
        <w:gridCol w:w="1448"/>
      </w:tblGrid>
      <w:tr w:rsidR="001501F3" w:rsidRPr="00AF7572" w:rsidTr="001501F3">
        <w:trPr>
          <w:cnfStyle w:val="100000000000" w:firstRow="1" w:lastRow="0" w:firstColumn="0" w:lastColumn="0" w:oddVBand="0" w:evenVBand="0" w:oddHBand="0" w:evenHBand="0" w:firstRowFirstColumn="0" w:firstRowLastColumn="0" w:lastRowFirstColumn="0" w:lastRowLastColumn="0"/>
          <w:trHeight w:val="499"/>
        </w:trPr>
        <w:tc>
          <w:tcPr>
            <w:tcW w:w="0" w:type="auto"/>
            <w:gridSpan w:val="8"/>
            <w:hideMark/>
          </w:tcPr>
          <w:p w:rsidR="001501F3" w:rsidRPr="00AF7572" w:rsidRDefault="001501F3" w:rsidP="000E1074">
            <w:pPr>
              <w:spacing w:after="120"/>
              <w:rPr>
                <w:bCs/>
              </w:rPr>
            </w:pPr>
            <w:r w:rsidRPr="00AF7572">
              <w:rPr>
                <w:bCs/>
              </w:rPr>
              <w:lastRenderedPageBreak/>
              <w:t>7. NEATS is easy to use.</w:t>
            </w:r>
          </w:p>
        </w:tc>
      </w:tr>
      <w:tr w:rsidR="001501F3" w:rsidRPr="00AF7572" w:rsidTr="001501F3">
        <w:trPr>
          <w:cnfStyle w:val="000000100000" w:firstRow="0" w:lastRow="0" w:firstColumn="0" w:lastColumn="0" w:oddVBand="0" w:evenVBand="0" w:oddHBand="1" w:evenHBand="0" w:firstRowFirstColumn="0" w:firstRowLastColumn="0" w:lastRowFirstColumn="0" w:lastRowLastColumn="0"/>
          <w:trHeight w:val="600"/>
        </w:trPr>
        <w:tc>
          <w:tcPr>
            <w:tcW w:w="0" w:type="auto"/>
            <w:hideMark/>
          </w:tcPr>
          <w:p w:rsidR="001501F3" w:rsidRPr="00AF7572" w:rsidRDefault="001501F3" w:rsidP="000E1074">
            <w:pPr>
              <w:spacing w:after="120"/>
              <w:rPr>
                <w:b/>
                <w:bCs/>
              </w:rPr>
            </w:pPr>
            <w:r w:rsidRPr="00AF7572">
              <w:rPr>
                <w:b/>
                <w:bCs/>
              </w:rPr>
              <w:t>Answer Options</w:t>
            </w:r>
          </w:p>
        </w:tc>
        <w:tc>
          <w:tcPr>
            <w:tcW w:w="0" w:type="auto"/>
            <w:hideMark/>
          </w:tcPr>
          <w:p w:rsidR="001501F3" w:rsidRPr="00AF7572" w:rsidRDefault="001501F3" w:rsidP="000E1074">
            <w:pPr>
              <w:spacing w:after="120"/>
              <w:rPr>
                <w:b/>
                <w:bCs/>
              </w:rPr>
            </w:pPr>
            <w:r w:rsidRPr="00AF7572">
              <w:rPr>
                <w:b/>
                <w:bCs/>
              </w:rPr>
              <w:t>Strongly Agree</w:t>
            </w:r>
          </w:p>
        </w:tc>
        <w:tc>
          <w:tcPr>
            <w:tcW w:w="0" w:type="auto"/>
            <w:hideMark/>
          </w:tcPr>
          <w:p w:rsidR="001501F3" w:rsidRPr="00AF7572" w:rsidRDefault="001501F3" w:rsidP="000E1074">
            <w:pPr>
              <w:spacing w:after="120"/>
              <w:rPr>
                <w:b/>
                <w:bCs/>
              </w:rPr>
            </w:pPr>
            <w:r w:rsidRPr="00AF7572">
              <w:rPr>
                <w:b/>
                <w:bCs/>
              </w:rPr>
              <w:t>Agree</w:t>
            </w:r>
          </w:p>
        </w:tc>
        <w:tc>
          <w:tcPr>
            <w:tcW w:w="0" w:type="auto"/>
            <w:hideMark/>
          </w:tcPr>
          <w:p w:rsidR="001501F3" w:rsidRPr="00AF7572" w:rsidRDefault="001501F3" w:rsidP="000E1074">
            <w:pPr>
              <w:spacing w:after="120"/>
              <w:rPr>
                <w:b/>
                <w:bCs/>
              </w:rPr>
            </w:pPr>
            <w:r w:rsidRPr="00AF7572">
              <w:rPr>
                <w:b/>
                <w:bCs/>
              </w:rPr>
              <w:t>Disagree</w:t>
            </w:r>
          </w:p>
        </w:tc>
        <w:tc>
          <w:tcPr>
            <w:tcW w:w="0" w:type="auto"/>
            <w:hideMark/>
          </w:tcPr>
          <w:p w:rsidR="001501F3" w:rsidRPr="00AF7572" w:rsidRDefault="001501F3" w:rsidP="000E1074">
            <w:pPr>
              <w:spacing w:after="120"/>
              <w:rPr>
                <w:b/>
                <w:bCs/>
              </w:rPr>
            </w:pPr>
            <w:r w:rsidRPr="00AF7572">
              <w:rPr>
                <w:b/>
                <w:bCs/>
              </w:rPr>
              <w:t>Strongly Disagree</w:t>
            </w:r>
          </w:p>
        </w:tc>
        <w:tc>
          <w:tcPr>
            <w:tcW w:w="0" w:type="auto"/>
            <w:hideMark/>
          </w:tcPr>
          <w:p w:rsidR="001501F3" w:rsidRPr="00AF7572" w:rsidRDefault="001501F3" w:rsidP="000E1074">
            <w:pPr>
              <w:spacing w:after="120"/>
              <w:rPr>
                <w:b/>
                <w:bCs/>
              </w:rPr>
            </w:pPr>
            <w:r w:rsidRPr="00AF7572">
              <w:rPr>
                <w:b/>
                <w:bCs/>
              </w:rPr>
              <w:t>N/A</w:t>
            </w:r>
          </w:p>
        </w:tc>
        <w:tc>
          <w:tcPr>
            <w:tcW w:w="0" w:type="auto"/>
            <w:hideMark/>
          </w:tcPr>
          <w:p w:rsidR="001501F3" w:rsidRPr="00AF7572" w:rsidRDefault="001501F3" w:rsidP="000E1074">
            <w:pPr>
              <w:spacing w:after="120"/>
              <w:rPr>
                <w:b/>
                <w:bCs/>
              </w:rPr>
            </w:pPr>
            <w:r w:rsidRPr="00AF7572">
              <w:rPr>
                <w:b/>
                <w:bCs/>
              </w:rPr>
              <w:t>Rating Average</w:t>
            </w:r>
          </w:p>
        </w:tc>
        <w:tc>
          <w:tcPr>
            <w:tcW w:w="0" w:type="auto"/>
            <w:hideMark/>
          </w:tcPr>
          <w:p w:rsidR="001501F3" w:rsidRPr="00AF7572" w:rsidRDefault="001501F3" w:rsidP="000E1074">
            <w:pPr>
              <w:spacing w:after="120"/>
              <w:rPr>
                <w:b/>
                <w:bCs/>
              </w:rPr>
            </w:pPr>
            <w:r w:rsidRPr="00AF7572">
              <w:rPr>
                <w:b/>
                <w:bCs/>
              </w:rPr>
              <w:t>Response Count</w:t>
            </w:r>
          </w:p>
        </w:tc>
      </w:tr>
      <w:tr w:rsidR="001501F3" w:rsidRPr="00AF7572" w:rsidTr="001501F3">
        <w:trPr>
          <w:cnfStyle w:val="000000010000" w:firstRow="0" w:lastRow="0" w:firstColumn="0" w:lastColumn="0" w:oddVBand="0" w:evenVBand="0" w:oddHBand="0" w:evenHBand="1" w:firstRowFirstColumn="0" w:firstRowLastColumn="0" w:lastRowFirstColumn="0" w:lastRowLastColumn="0"/>
          <w:trHeight w:val="255"/>
        </w:trPr>
        <w:tc>
          <w:tcPr>
            <w:tcW w:w="0" w:type="auto"/>
            <w:hideMark/>
          </w:tcPr>
          <w:p w:rsidR="001501F3" w:rsidRPr="00AF7572" w:rsidRDefault="001501F3" w:rsidP="000E1074">
            <w:pPr>
              <w:spacing w:after="120"/>
            </w:pPr>
            <w:r w:rsidRPr="00AF7572">
              <w:t>Responses</w:t>
            </w:r>
          </w:p>
        </w:tc>
        <w:tc>
          <w:tcPr>
            <w:tcW w:w="0" w:type="auto"/>
            <w:noWrap/>
            <w:hideMark/>
          </w:tcPr>
          <w:p w:rsidR="001501F3" w:rsidRPr="00AF7572" w:rsidRDefault="001501F3" w:rsidP="000E1074">
            <w:pPr>
              <w:spacing w:after="120"/>
            </w:pPr>
            <w:r w:rsidRPr="00AF7572">
              <w:t>5</w:t>
            </w:r>
          </w:p>
        </w:tc>
        <w:tc>
          <w:tcPr>
            <w:tcW w:w="0" w:type="auto"/>
            <w:noWrap/>
            <w:hideMark/>
          </w:tcPr>
          <w:p w:rsidR="001501F3" w:rsidRPr="00AF7572" w:rsidRDefault="001501F3" w:rsidP="000E1074">
            <w:pPr>
              <w:spacing w:after="120"/>
            </w:pPr>
            <w:r w:rsidRPr="00AF7572">
              <w:t>4</w:t>
            </w:r>
          </w:p>
        </w:tc>
        <w:tc>
          <w:tcPr>
            <w:tcW w:w="0" w:type="auto"/>
            <w:noWrap/>
            <w:hideMark/>
          </w:tcPr>
          <w:p w:rsidR="001501F3" w:rsidRPr="00AF7572" w:rsidRDefault="001501F3" w:rsidP="000E1074">
            <w:pPr>
              <w:spacing w:after="120"/>
            </w:pPr>
            <w:r w:rsidRPr="00AF7572">
              <w:t>0</w:t>
            </w:r>
          </w:p>
        </w:tc>
        <w:tc>
          <w:tcPr>
            <w:tcW w:w="0" w:type="auto"/>
            <w:noWrap/>
            <w:hideMark/>
          </w:tcPr>
          <w:p w:rsidR="001501F3" w:rsidRPr="00AF7572" w:rsidRDefault="001501F3" w:rsidP="000E1074">
            <w:pPr>
              <w:spacing w:after="120"/>
            </w:pPr>
            <w:r w:rsidRPr="00AF7572">
              <w:t>0</w:t>
            </w:r>
          </w:p>
        </w:tc>
        <w:tc>
          <w:tcPr>
            <w:tcW w:w="0" w:type="auto"/>
            <w:noWrap/>
            <w:hideMark/>
          </w:tcPr>
          <w:p w:rsidR="001501F3" w:rsidRPr="00AF7572" w:rsidRDefault="001501F3" w:rsidP="000E1074">
            <w:pPr>
              <w:spacing w:after="120"/>
            </w:pPr>
            <w:r w:rsidRPr="00AF7572">
              <w:t>1</w:t>
            </w:r>
          </w:p>
        </w:tc>
        <w:tc>
          <w:tcPr>
            <w:tcW w:w="0" w:type="auto"/>
            <w:noWrap/>
            <w:hideMark/>
          </w:tcPr>
          <w:p w:rsidR="001501F3" w:rsidRPr="00AF7572" w:rsidRDefault="001501F3" w:rsidP="000E1074">
            <w:pPr>
              <w:spacing w:after="120"/>
            </w:pPr>
            <w:r w:rsidRPr="00AF7572">
              <w:t>3.56</w:t>
            </w:r>
          </w:p>
        </w:tc>
        <w:tc>
          <w:tcPr>
            <w:tcW w:w="0" w:type="auto"/>
            <w:noWrap/>
            <w:hideMark/>
          </w:tcPr>
          <w:p w:rsidR="001501F3" w:rsidRPr="00AF7572" w:rsidRDefault="001501F3" w:rsidP="000E1074">
            <w:pPr>
              <w:spacing w:after="120"/>
            </w:pPr>
            <w:r w:rsidRPr="00AF7572">
              <w:t>10</w:t>
            </w:r>
          </w:p>
        </w:tc>
      </w:tr>
      <w:tr w:rsidR="001501F3" w:rsidRPr="00AF7572" w:rsidTr="001501F3">
        <w:trPr>
          <w:cnfStyle w:val="000000100000" w:firstRow="0" w:lastRow="0" w:firstColumn="0" w:lastColumn="0" w:oddVBand="0" w:evenVBand="0" w:oddHBand="1" w:evenHBand="0" w:firstRowFirstColumn="0" w:firstRowLastColumn="0" w:lastRowFirstColumn="0" w:lastRowLastColumn="0"/>
          <w:trHeight w:val="255"/>
        </w:trPr>
        <w:tc>
          <w:tcPr>
            <w:tcW w:w="0" w:type="auto"/>
            <w:gridSpan w:val="7"/>
            <w:hideMark/>
          </w:tcPr>
          <w:p w:rsidR="001501F3" w:rsidRPr="00AF7572" w:rsidRDefault="001501F3" w:rsidP="000E1074">
            <w:pPr>
              <w:spacing w:after="120"/>
            </w:pPr>
            <w:r w:rsidRPr="00AF7572">
              <w:t>Additional Comments</w:t>
            </w:r>
          </w:p>
        </w:tc>
        <w:tc>
          <w:tcPr>
            <w:tcW w:w="0" w:type="auto"/>
            <w:noWrap/>
            <w:hideMark/>
          </w:tcPr>
          <w:p w:rsidR="001501F3" w:rsidRPr="00AF7572" w:rsidRDefault="001501F3" w:rsidP="000E1074">
            <w:pPr>
              <w:spacing w:after="120"/>
            </w:pPr>
            <w:r w:rsidRPr="00AF7572">
              <w:t>0</w:t>
            </w:r>
          </w:p>
        </w:tc>
      </w:tr>
      <w:tr w:rsidR="001501F3" w:rsidRPr="00AF7572" w:rsidTr="001501F3">
        <w:trPr>
          <w:cnfStyle w:val="000000010000" w:firstRow="0" w:lastRow="0" w:firstColumn="0" w:lastColumn="0" w:oddVBand="0" w:evenVBand="0" w:oddHBand="0" w:evenHBand="1" w:firstRowFirstColumn="0" w:firstRowLastColumn="0" w:lastRowFirstColumn="0" w:lastRowLastColumn="0"/>
          <w:trHeight w:val="255"/>
        </w:trPr>
        <w:tc>
          <w:tcPr>
            <w:tcW w:w="0" w:type="auto"/>
            <w:gridSpan w:val="7"/>
            <w:noWrap/>
            <w:hideMark/>
          </w:tcPr>
          <w:p w:rsidR="001501F3" w:rsidRPr="00AF7572" w:rsidRDefault="001501F3" w:rsidP="000E1074">
            <w:pPr>
              <w:spacing w:after="120"/>
              <w:rPr>
                <w:b/>
                <w:bCs/>
                <w:i/>
                <w:iCs/>
              </w:rPr>
            </w:pPr>
            <w:r w:rsidRPr="00AF7572">
              <w:rPr>
                <w:b/>
                <w:bCs/>
                <w:i/>
                <w:iCs/>
              </w:rPr>
              <w:t>answered question</w:t>
            </w:r>
          </w:p>
        </w:tc>
        <w:tc>
          <w:tcPr>
            <w:tcW w:w="0" w:type="auto"/>
            <w:noWrap/>
            <w:hideMark/>
          </w:tcPr>
          <w:p w:rsidR="001501F3" w:rsidRPr="00AF7572" w:rsidRDefault="001501F3" w:rsidP="000E1074">
            <w:pPr>
              <w:spacing w:after="120"/>
              <w:rPr>
                <w:b/>
                <w:bCs/>
              </w:rPr>
            </w:pPr>
            <w:r w:rsidRPr="00AF7572">
              <w:rPr>
                <w:b/>
                <w:bCs/>
              </w:rPr>
              <w:t>10</w:t>
            </w:r>
          </w:p>
        </w:tc>
      </w:tr>
      <w:tr w:rsidR="001501F3" w:rsidRPr="00AF7572" w:rsidTr="001501F3">
        <w:trPr>
          <w:cnfStyle w:val="000000100000" w:firstRow="0" w:lastRow="0" w:firstColumn="0" w:lastColumn="0" w:oddVBand="0" w:evenVBand="0" w:oddHBand="1" w:evenHBand="0" w:firstRowFirstColumn="0" w:firstRowLastColumn="0" w:lastRowFirstColumn="0" w:lastRowLastColumn="0"/>
          <w:trHeight w:val="255"/>
        </w:trPr>
        <w:tc>
          <w:tcPr>
            <w:tcW w:w="0" w:type="auto"/>
            <w:gridSpan w:val="7"/>
            <w:noWrap/>
            <w:hideMark/>
          </w:tcPr>
          <w:p w:rsidR="001501F3" w:rsidRPr="00AF7572" w:rsidRDefault="001501F3" w:rsidP="000E1074">
            <w:pPr>
              <w:spacing w:after="120"/>
              <w:rPr>
                <w:b/>
                <w:bCs/>
                <w:i/>
                <w:iCs/>
              </w:rPr>
            </w:pPr>
            <w:r w:rsidRPr="00AF7572">
              <w:rPr>
                <w:b/>
                <w:bCs/>
                <w:i/>
                <w:iCs/>
              </w:rPr>
              <w:t>skipped question</w:t>
            </w:r>
          </w:p>
        </w:tc>
        <w:tc>
          <w:tcPr>
            <w:tcW w:w="0" w:type="auto"/>
            <w:noWrap/>
            <w:hideMark/>
          </w:tcPr>
          <w:p w:rsidR="001501F3" w:rsidRPr="00AF7572" w:rsidRDefault="001501F3" w:rsidP="000E1074">
            <w:pPr>
              <w:spacing w:after="120"/>
              <w:rPr>
                <w:b/>
                <w:bCs/>
              </w:rPr>
            </w:pPr>
            <w:r w:rsidRPr="00AF7572">
              <w:rPr>
                <w:b/>
                <w:bCs/>
              </w:rPr>
              <w:t>1</w:t>
            </w:r>
          </w:p>
        </w:tc>
      </w:tr>
    </w:tbl>
    <w:p w:rsidR="001501F3" w:rsidRDefault="001501F3" w:rsidP="001501F3"/>
    <w:tbl>
      <w:tblPr>
        <w:tblStyle w:val="TableGrid"/>
        <w:tblW w:w="0" w:type="auto"/>
        <w:tblLayout w:type="fixed"/>
        <w:tblLook w:val="04A0" w:firstRow="1" w:lastRow="0" w:firstColumn="1" w:lastColumn="0" w:noHBand="0" w:noVBand="1"/>
      </w:tblPr>
      <w:tblGrid>
        <w:gridCol w:w="1341"/>
        <w:gridCol w:w="1062"/>
        <w:gridCol w:w="1062"/>
        <w:gridCol w:w="1063"/>
        <w:gridCol w:w="1062"/>
        <w:gridCol w:w="642"/>
        <w:gridCol w:w="1134"/>
        <w:gridCol w:w="1412"/>
      </w:tblGrid>
      <w:tr w:rsidR="001501F3" w:rsidRPr="00AF7572" w:rsidTr="000E1074">
        <w:trPr>
          <w:cnfStyle w:val="100000000000" w:firstRow="1" w:lastRow="0" w:firstColumn="0" w:lastColumn="0" w:oddVBand="0" w:evenVBand="0" w:oddHBand="0" w:evenHBand="0" w:firstRowFirstColumn="0" w:firstRowLastColumn="0" w:lastRowFirstColumn="0" w:lastRowLastColumn="0"/>
          <w:trHeight w:val="499"/>
        </w:trPr>
        <w:tc>
          <w:tcPr>
            <w:tcW w:w="8778" w:type="dxa"/>
            <w:gridSpan w:val="8"/>
            <w:hideMark/>
          </w:tcPr>
          <w:p w:rsidR="001501F3" w:rsidRPr="00AF7572" w:rsidRDefault="001501F3" w:rsidP="000E1074">
            <w:pPr>
              <w:spacing w:after="120"/>
              <w:rPr>
                <w:bCs/>
              </w:rPr>
            </w:pPr>
            <w:r w:rsidRPr="00AF7572">
              <w:rPr>
                <w:bCs/>
              </w:rPr>
              <w:t>8. NEATS is readily accessible.</w:t>
            </w:r>
          </w:p>
        </w:tc>
      </w:tr>
      <w:tr w:rsidR="001501F3" w:rsidRPr="00AF7572" w:rsidTr="000E1074">
        <w:trPr>
          <w:cnfStyle w:val="000000100000" w:firstRow="0" w:lastRow="0" w:firstColumn="0" w:lastColumn="0" w:oddVBand="0" w:evenVBand="0" w:oddHBand="1" w:evenHBand="0" w:firstRowFirstColumn="0" w:firstRowLastColumn="0" w:lastRowFirstColumn="0" w:lastRowLastColumn="0"/>
          <w:trHeight w:val="600"/>
        </w:trPr>
        <w:tc>
          <w:tcPr>
            <w:tcW w:w="1341" w:type="dxa"/>
            <w:hideMark/>
          </w:tcPr>
          <w:p w:rsidR="001501F3" w:rsidRPr="00AF7572" w:rsidRDefault="001501F3" w:rsidP="000E1074">
            <w:pPr>
              <w:spacing w:after="120"/>
              <w:rPr>
                <w:b/>
                <w:bCs/>
              </w:rPr>
            </w:pPr>
            <w:r w:rsidRPr="00AF7572">
              <w:rPr>
                <w:b/>
                <w:bCs/>
              </w:rPr>
              <w:t>Answer Options</w:t>
            </w:r>
          </w:p>
        </w:tc>
        <w:tc>
          <w:tcPr>
            <w:tcW w:w="1062" w:type="dxa"/>
            <w:hideMark/>
          </w:tcPr>
          <w:p w:rsidR="001501F3" w:rsidRPr="00AF7572" w:rsidRDefault="001501F3" w:rsidP="000E1074">
            <w:pPr>
              <w:spacing w:after="120"/>
              <w:rPr>
                <w:b/>
                <w:bCs/>
              </w:rPr>
            </w:pPr>
            <w:r w:rsidRPr="00AF7572">
              <w:rPr>
                <w:b/>
                <w:bCs/>
              </w:rPr>
              <w:t>Strongly Agree</w:t>
            </w:r>
          </w:p>
        </w:tc>
        <w:tc>
          <w:tcPr>
            <w:tcW w:w="1062" w:type="dxa"/>
            <w:hideMark/>
          </w:tcPr>
          <w:p w:rsidR="001501F3" w:rsidRPr="00AF7572" w:rsidRDefault="001501F3" w:rsidP="000E1074">
            <w:pPr>
              <w:spacing w:after="120"/>
              <w:rPr>
                <w:b/>
                <w:bCs/>
              </w:rPr>
            </w:pPr>
            <w:r w:rsidRPr="00AF7572">
              <w:rPr>
                <w:b/>
                <w:bCs/>
              </w:rPr>
              <w:t>Agree</w:t>
            </w:r>
          </w:p>
        </w:tc>
        <w:tc>
          <w:tcPr>
            <w:tcW w:w="1063" w:type="dxa"/>
            <w:hideMark/>
          </w:tcPr>
          <w:p w:rsidR="001501F3" w:rsidRPr="00AF7572" w:rsidRDefault="001501F3" w:rsidP="000E1074">
            <w:pPr>
              <w:spacing w:after="120"/>
              <w:rPr>
                <w:b/>
                <w:bCs/>
              </w:rPr>
            </w:pPr>
            <w:r w:rsidRPr="00AF7572">
              <w:rPr>
                <w:b/>
                <w:bCs/>
              </w:rPr>
              <w:t>Disagree</w:t>
            </w:r>
          </w:p>
        </w:tc>
        <w:tc>
          <w:tcPr>
            <w:tcW w:w="1062" w:type="dxa"/>
            <w:hideMark/>
          </w:tcPr>
          <w:p w:rsidR="001501F3" w:rsidRPr="00AF7572" w:rsidRDefault="001501F3" w:rsidP="000E1074">
            <w:pPr>
              <w:spacing w:after="120"/>
              <w:rPr>
                <w:b/>
                <w:bCs/>
              </w:rPr>
            </w:pPr>
            <w:r w:rsidRPr="00AF7572">
              <w:rPr>
                <w:b/>
                <w:bCs/>
              </w:rPr>
              <w:t>Strongly Disagree</w:t>
            </w:r>
          </w:p>
        </w:tc>
        <w:tc>
          <w:tcPr>
            <w:tcW w:w="642" w:type="dxa"/>
            <w:hideMark/>
          </w:tcPr>
          <w:p w:rsidR="001501F3" w:rsidRPr="00AF7572" w:rsidRDefault="001501F3" w:rsidP="000E1074">
            <w:pPr>
              <w:spacing w:after="120"/>
              <w:rPr>
                <w:b/>
                <w:bCs/>
              </w:rPr>
            </w:pPr>
            <w:r w:rsidRPr="00AF7572">
              <w:rPr>
                <w:b/>
                <w:bCs/>
              </w:rPr>
              <w:t>N/A</w:t>
            </w:r>
          </w:p>
        </w:tc>
        <w:tc>
          <w:tcPr>
            <w:tcW w:w="1134" w:type="dxa"/>
            <w:hideMark/>
          </w:tcPr>
          <w:p w:rsidR="001501F3" w:rsidRPr="00AF7572" w:rsidRDefault="001501F3" w:rsidP="000E1074">
            <w:pPr>
              <w:spacing w:after="120"/>
              <w:rPr>
                <w:b/>
                <w:bCs/>
              </w:rPr>
            </w:pPr>
            <w:r w:rsidRPr="00AF7572">
              <w:rPr>
                <w:b/>
                <w:bCs/>
              </w:rPr>
              <w:t>Rating Average</w:t>
            </w:r>
          </w:p>
        </w:tc>
        <w:tc>
          <w:tcPr>
            <w:tcW w:w="1412" w:type="dxa"/>
            <w:hideMark/>
          </w:tcPr>
          <w:p w:rsidR="001501F3" w:rsidRPr="00AF7572" w:rsidRDefault="001501F3" w:rsidP="000E1074">
            <w:pPr>
              <w:spacing w:after="120"/>
              <w:rPr>
                <w:b/>
                <w:bCs/>
              </w:rPr>
            </w:pPr>
            <w:r w:rsidRPr="00AF7572">
              <w:rPr>
                <w:b/>
                <w:bCs/>
              </w:rPr>
              <w:t>Response Count</w:t>
            </w:r>
          </w:p>
        </w:tc>
      </w:tr>
      <w:tr w:rsidR="001501F3" w:rsidRPr="00AF7572" w:rsidTr="000E1074">
        <w:trPr>
          <w:cnfStyle w:val="000000010000" w:firstRow="0" w:lastRow="0" w:firstColumn="0" w:lastColumn="0" w:oddVBand="0" w:evenVBand="0" w:oddHBand="0" w:evenHBand="1" w:firstRowFirstColumn="0" w:firstRowLastColumn="0" w:lastRowFirstColumn="0" w:lastRowLastColumn="0"/>
          <w:trHeight w:val="255"/>
        </w:trPr>
        <w:tc>
          <w:tcPr>
            <w:tcW w:w="1341" w:type="dxa"/>
            <w:hideMark/>
          </w:tcPr>
          <w:p w:rsidR="001501F3" w:rsidRPr="00AF7572" w:rsidRDefault="001501F3" w:rsidP="000E1074">
            <w:pPr>
              <w:spacing w:after="120"/>
            </w:pPr>
            <w:r w:rsidRPr="00AF7572">
              <w:t>Responses</w:t>
            </w:r>
          </w:p>
        </w:tc>
        <w:tc>
          <w:tcPr>
            <w:tcW w:w="1062" w:type="dxa"/>
            <w:noWrap/>
            <w:hideMark/>
          </w:tcPr>
          <w:p w:rsidR="001501F3" w:rsidRPr="00AF7572" w:rsidRDefault="001501F3" w:rsidP="000E1074">
            <w:pPr>
              <w:spacing w:after="120"/>
            </w:pPr>
            <w:r w:rsidRPr="00AF7572">
              <w:t>5</w:t>
            </w:r>
          </w:p>
        </w:tc>
        <w:tc>
          <w:tcPr>
            <w:tcW w:w="1062" w:type="dxa"/>
            <w:noWrap/>
            <w:hideMark/>
          </w:tcPr>
          <w:p w:rsidR="001501F3" w:rsidRPr="00AF7572" w:rsidRDefault="001501F3" w:rsidP="000E1074">
            <w:pPr>
              <w:spacing w:after="120"/>
            </w:pPr>
            <w:r w:rsidRPr="00AF7572">
              <w:t>4</w:t>
            </w:r>
          </w:p>
        </w:tc>
        <w:tc>
          <w:tcPr>
            <w:tcW w:w="1063" w:type="dxa"/>
            <w:noWrap/>
            <w:hideMark/>
          </w:tcPr>
          <w:p w:rsidR="001501F3" w:rsidRPr="00AF7572" w:rsidRDefault="001501F3" w:rsidP="000E1074">
            <w:pPr>
              <w:spacing w:after="120"/>
            </w:pPr>
            <w:r w:rsidRPr="00AF7572">
              <w:t>0</w:t>
            </w:r>
          </w:p>
        </w:tc>
        <w:tc>
          <w:tcPr>
            <w:tcW w:w="1062" w:type="dxa"/>
            <w:noWrap/>
            <w:hideMark/>
          </w:tcPr>
          <w:p w:rsidR="001501F3" w:rsidRPr="00AF7572" w:rsidRDefault="001501F3" w:rsidP="000E1074">
            <w:pPr>
              <w:spacing w:after="120"/>
            </w:pPr>
            <w:r w:rsidRPr="00AF7572">
              <w:t>0</w:t>
            </w:r>
          </w:p>
        </w:tc>
        <w:tc>
          <w:tcPr>
            <w:tcW w:w="642" w:type="dxa"/>
            <w:noWrap/>
            <w:hideMark/>
          </w:tcPr>
          <w:p w:rsidR="001501F3" w:rsidRPr="00AF7572" w:rsidRDefault="001501F3" w:rsidP="000E1074">
            <w:pPr>
              <w:spacing w:after="120"/>
            </w:pPr>
            <w:r w:rsidRPr="00AF7572">
              <w:t>1</w:t>
            </w:r>
          </w:p>
        </w:tc>
        <w:tc>
          <w:tcPr>
            <w:tcW w:w="1134" w:type="dxa"/>
            <w:noWrap/>
            <w:hideMark/>
          </w:tcPr>
          <w:p w:rsidR="001501F3" w:rsidRPr="00AF7572" w:rsidRDefault="001501F3" w:rsidP="000E1074">
            <w:pPr>
              <w:spacing w:after="120"/>
            </w:pPr>
            <w:r w:rsidRPr="00AF7572">
              <w:t>3.56</w:t>
            </w:r>
          </w:p>
        </w:tc>
        <w:tc>
          <w:tcPr>
            <w:tcW w:w="1412" w:type="dxa"/>
            <w:noWrap/>
            <w:hideMark/>
          </w:tcPr>
          <w:p w:rsidR="001501F3" w:rsidRPr="00AF7572" w:rsidRDefault="001501F3" w:rsidP="000E1074">
            <w:pPr>
              <w:spacing w:after="120"/>
            </w:pPr>
            <w:r w:rsidRPr="00AF7572">
              <w:t>10</w:t>
            </w:r>
          </w:p>
        </w:tc>
      </w:tr>
      <w:tr w:rsidR="001501F3" w:rsidRPr="00AF7572" w:rsidTr="000E1074">
        <w:trPr>
          <w:cnfStyle w:val="000000100000" w:firstRow="0" w:lastRow="0" w:firstColumn="0" w:lastColumn="0" w:oddVBand="0" w:evenVBand="0" w:oddHBand="1" w:evenHBand="0" w:firstRowFirstColumn="0" w:firstRowLastColumn="0" w:lastRowFirstColumn="0" w:lastRowLastColumn="0"/>
          <w:trHeight w:val="255"/>
        </w:trPr>
        <w:tc>
          <w:tcPr>
            <w:tcW w:w="7366" w:type="dxa"/>
            <w:gridSpan w:val="7"/>
            <w:hideMark/>
          </w:tcPr>
          <w:p w:rsidR="001501F3" w:rsidRPr="00AF7572" w:rsidRDefault="001501F3" w:rsidP="000E1074">
            <w:pPr>
              <w:spacing w:after="120"/>
            </w:pPr>
            <w:r w:rsidRPr="00AF7572">
              <w:t>Additional Comments</w:t>
            </w:r>
          </w:p>
        </w:tc>
        <w:tc>
          <w:tcPr>
            <w:tcW w:w="1412" w:type="dxa"/>
            <w:noWrap/>
            <w:hideMark/>
          </w:tcPr>
          <w:p w:rsidR="001501F3" w:rsidRPr="00AF7572" w:rsidRDefault="001501F3" w:rsidP="000E1074">
            <w:pPr>
              <w:spacing w:after="120"/>
            </w:pPr>
            <w:r w:rsidRPr="00AF7572">
              <w:t>0</w:t>
            </w:r>
          </w:p>
        </w:tc>
      </w:tr>
      <w:tr w:rsidR="001501F3" w:rsidRPr="00AF7572" w:rsidTr="000E1074">
        <w:trPr>
          <w:cnfStyle w:val="000000010000" w:firstRow="0" w:lastRow="0" w:firstColumn="0" w:lastColumn="0" w:oddVBand="0" w:evenVBand="0" w:oddHBand="0" w:evenHBand="1" w:firstRowFirstColumn="0" w:firstRowLastColumn="0" w:lastRowFirstColumn="0" w:lastRowLastColumn="0"/>
          <w:trHeight w:val="255"/>
        </w:trPr>
        <w:tc>
          <w:tcPr>
            <w:tcW w:w="7366" w:type="dxa"/>
            <w:gridSpan w:val="7"/>
            <w:noWrap/>
            <w:hideMark/>
          </w:tcPr>
          <w:p w:rsidR="001501F3" w:rsidRPr="00AF7572" w:rsidRDefault="001501F3" w:rsidP="000E1074">
            <w:pPr>
              <w:spacing w:after="120"/>
              <w:rPr>
                <w:b/>
                <w:bCs/>
                <w:i/>
                <w:iCs/>
              </w:rPr>
            </w:pPr>
            <w:r w:rsidRPr="00AF7572">
              <w:rPr>
                <w:b/>
                <w:bCs/>
                <w:i/>
                <w:iCs/>
              </w:rPr>
              <w:t>answered question</w:t>
            </w:r>
          </w:p>
        </w:tc>
        <w:tc>
          <w:tcPr>
            <w:tcW w:w="1412" w:type="dxa"/>
            <w:noWrap/>
            <w:hideMark/>
          </w:tcPr>
          <w:p w:rsidR="001501F3" w:rsidRPr="00AF7572" w:rsidRDefault="001501F3" w:rsidP="000E1074">
            <w:pPr>
              <w:spacing w:after="120"/>
              <w:rPr>
                <w:b/>
                <w:bCs/>
              </w:rPr>
            </w:pPr>
            <w:r w:rsidRPr="00AF7572">
              <w:rPr>
                <w:b/>
                <w:bCs/>
              </w:rPr>
              <w:t>10</w:t>
            </w:r>
          </w:p>
        </w:tc>
      </w:tr>
      <w:tr w:rsidR="001501F3" w:rsidRPr="00AF7572" w:rsidTr="000E1074">
        <w:trPr>
          <w:cnfStyle w:val="000000100000" w:firstRow="0" w:lastRow="0" w:firstColumn="0" w:lastColumn="0" w:oddVBand="0" w:evenVBand="0" w:oddHBand="1" w:evenHBand="0" w:firstRowFirstColumn="0" w:firstRowLastColumn="0" w:lastRowFirstColumn="0" w:lastRowLastColumn="0"/>
          <w:trHeight w:val="255"/>
        </w:trPr>
        <w:tc>
          <w:tcPr>
            <w:tcW w:w="7366" w:type="dxa"/>
            <w:gridSpan w:val="7"/>
            <w:noWrap/>
            <w:hideMark/>
          </w:tcPr>
          <w:p w:rsidR="001501F3" w:rsidRPr="00AF7572" w:rsidRDefault="001501F3" w:rsidP="000E1074">
            <w:pPr>
              <w:spacing w:after="120"/>
              <w:rPr>
                <w:b/>
                <w:bCs/>
                <w:i/>
                <w:iCs/>
              </w:rPr>
            </w:pPr>
            <w:r w:rsidRPr="00AF7572">
              <w:rPr>
                <w:b/>
                <w:bCs/>
                <w:i/>
                <w:iCs/>
              </w:rPr>
              <w:t>skipped question</w:t>
            </w:r>
          </w:p>
        </w:tc>
        <w:tc>
          <w:tcPr>
            <w:tcW w:w="1412" w:type="dxa"/>
            <w:noWrap/>
            <w:hideMark/>
          </w:tcPr>
          <w:p w:rsidR="001501F3" w:rsidRPr="00AF7572" w:rsidRDefault="001501F3" w:rsidP="000E1074">
            <w:pPr>
              <w:spacing w:after="120"/>
              <w:rPr>
                <w:b/>
                <w:bCs/>
              </w:rPr>
            </w:pPr>
            <w:r w:rsidRPr="00AF7572">
              <w:rPr>
                <w:b/>
                <w:bCs/>
              </w:rPr>
              <w:t>1</w:t>
            </w:r>
          </w:p>
        </w:tc>
      </w:tr>
    </w:tbl>
    <w:p w:rsidR="001501F3" w:rsidRDefault="001501F3" w:rsidP="00E42D56">
      <w:pPr>
        <w:pStyle w:val="Heading30"/>
      </w:pPr>
      <w:bookmarkStart w:id="150" w:name="_Toc423426810"/>
      <w:bookmarkStart w:id="151" w:name="_Toc430102219"/>
      <w:r>
        <w:t>Data Management</w:t>
      </w:r>
      <w:bookmarkEnd w:id="150"/>
      <w:bookmarkEnd w:id="151"/>
    </w:p>
    <w:tbl>
      <w:tblPr>
        <w:tblStyle w:val="TableGrid"/>
        <w:tblW w:w="8784" w:type="dxa"/>
        <w:tblLook w:val="04A0" w:firstRow="1" w:lastRow="0" w:firstColumn="1" w:lastColumn="0" w:noHBand="0" w:noVBand="1"/>
      </w:tblPr>
      <w:tblGrid>
        <w:gridCol w:w="1200"/>
        <w:gridCol w:w="1016"/>
        <w:gridCol w:w="737"/>
        <w:gridCol w:w="1160"/>
        <w:gridCol w:w="987"/>
        <w:gridCol w:w="1037"/>
        <w:gridCol w:w="536"/>
        <w:gridCol w:w="979"/>
        <w:gridCol w:w="1127"/>
        <w:gridCol w:w="6"/>
      </w:tblGrid>
      <w:tr w:rsidR="001501F3" w:rsidRPr="00AF7572" w:rsidTr="00C57005">
        <w:trPr>
          <w:gridAfter w:val="1"/>
          <w:cnfStyle w:val="100000000000" w:firstRow="1" w:lastRow="0" w:firstColumn="0" w:lastColumn="0" w:oddVBand="0" w:evenVBand="0" w:oddHBand="0" w:evenHBand="0" w:firstRowFirstColumn="0" w:firstRowLastColumn="0" w:lastRowFirstColumn="0" w:lastRowLastColumn="0"/>
          <w:wAfter w:w="6" w:type="dxa"/>
          <w:trHeight w:val="499"/>
        </w:trPr>
        <w:tc>
          <w:tcPr>
            <w:tcW w:w="0" w:type="auto"/>
            <w:gridSpan w:val="9"/>
            <w:hideMark/>
          </w:tcPr>
          <w:p w:rsidR="001501F3" w:rsidRPr="00AF7572" w:rsidRDefault="001501F3" w:rsidP="000E1074">
            <w:pPr>
              <w:spacing w:after="120"/>
              <w:rPr>
                <w:bCs/>
              </w:rPr>
            </w:pPr>
            <w:r w:rsidRPr="00AF7572">
              <w:rPr>
                <w:bCs/>
              </w:rPr>
              <w:t>9. NOPTA facilitates data access for my organisation.</w:t>
            </w:r>
          </w:p>
        </w:tc>
      </w:tr>
      <w:tr w:rsidR="001501F3" w:rsidRPr="00AF7572" w:rsidTr="00C57005">
        <w:trPr>
          <w:gridAfter w:val="1"/>
          <w:cnfStyle w:val="000000100000" w:firstRow="0" w:lastRow="0" w:firstColumn="0" w:lastColumn="0" w:oddVBand="0" w:evenVBand="0" w:oddHBand="1" w:evenHBand="0" w:firstRowFirstColumn="0" w:firstRowLastColumn="0" w:lastRowFirstColumn="0" w:lastRowLastColumn="0"/>
          <w:wAfter w:w="6" w:type="dxa"/>
          <w:trHeight w:val="600"/>
        </w:trPr>
        <w:tc>
          <w:tcPr>
            <w:tcW w:w="0" w:type="auto"/>
            <w:hideMark/>
          </w:tcPr>
          <w:p w:rsidR="001501F3" w:rsidRPr="00AF7572" w:rsidRDefault="001501F3" w:rsidP="000E1074">
            <w:pPr>
              <w:spacing w:after="120"/>
              <w:rPr>
                <w:b/>
                <w:bCs/>
              </w:rPr>
            </w:pPr>
            <w:r w:rsidRPr="00AF7572">
              <w:rPr>
                <w:b/>
                <w:bCs/>
              </w:rPr>
              <w:t>Answer Options</w:t>
            </w:r>
          </w:p>
        </w:tc>
        <w:tc>
          <w:tcPr>
            <w:tcW w:w="0" w:type="auto"/>
            <w:hideMark/>
          </w:tcPr>
          <w:p w:rsidR="001501F3" w:rsidRPr="00AF7572" w:rsidRDefault="001501F3" w:rsidP="000E1074">
            <w:pPr>
              <w:spacing w:after="120"/>
              <w:rPr>
                <w:b/>
                <w:bCs/>
              </w:rPr>
            </w:pPr>
            <w:r w:rsidRPr="00AF7572">
              <w:rPr>
                <w:b/>
                <w:bCs/>
              </w:rPr>
              <w:t>Strongly Agree</w:t>
            </w:r>
          </w:p>
        </w:tc>
        <w:tc>
          <w:tcPr>
            <w:tcW w:w="0" w:type="auto"/>
            <w:hideMark/>
          </w:tcPr>
          <w:p w:rsidR="001501F3" w:rsidRPr="00AF7572" w:rsidRDefault="001501F3" w:rsidP="000E1074">
            <w:pPr>
              <w:spacing w:after="120"/>
              <w:rPr>
                <w:b/>
                <w:bCs/>
              </w:rPr>
            </w:pPr>
            <w:r w:rsidRPr="00AF7572">
              <w:rPr>
                <w:b/>
                <w:bCs/>
              </w:rPr>
              <w:t>Agree</w:t>
            </w:r>
          </w:p>
        </w:tc>
        <w:tc>
          <w:tcPr>
            <w:tcW w:w="0" w:type="auto"/>
            <w:hideMark/>
          </w:tcPr>
          <w:p w:rsidR="001501F3" w:rsidRPr="00AF7572" w:rsidRDefault="001501F3" w:rsidP="000E1074">
            <w:pPr>
              <w:spacing w:after="120"/>
              <w:rPr>
                <w:b/>
                <w:bCs/>
              </w:rPr>
            </w:pPr>
            <w:r w:rsidRPr="00AF7572">
              <w:rPr>
                <w:b/>
                <w:bCs/>
              </w:rPr>
              <w:t>No Difference</w:t>
            </w:r>
          </w:p>
        </w:tc>
        <w:tc>
          <w:tcPr>
            <w:tcW w:w="0" w:type="auto"/>
            <w:hideMark/>
          </w:tcPr>
          <w:p w:rsidR="001501F3" w:rsidRPr="00AF7572" w:rsidRDefault="001501F3" w:rsidP="000E1074">
            <w:pPr>
              <w:spacing w:after="120"/>
              <w:rPr>
                <w:b/>
                <w:bCs/>
              </w:rPr>
            </w:pPr>
            <w:r w:rsidRPr="00AF7572">
              <w:rPr>
                <w:b/>
                <w:bCs/>
              </w:rPr>
              <w:t>Disagree</w:t>
            </w:r>
          </w:p>
        </w:tc>
        <w:tc>
          <w:tcPr>
            <w:tcW w:w="0" w:type="auto"/>
            <w:hideMark/>
          </w:tcPr>
          <w:p w:rsidR="001501F3" w:rsidRPr="00AF7572" w:rsidRDefault="001501F3" w:rsidP="000E1074">
            <w:pPr>
              <w:spacing w:after="120"/>
              <w:rPr>
                <w:b/>
                <w:bCs/>
              </w:rPr>
            </w:pPr>
            <w:r w:rsidRPr="00AF7572">
              <w:rPr>
                <w:b/>
                <w:bCs/>
              </w:rPr>
              <w:t>Strongly Disagree</w:t>
            </w:r>
          </w:p>
        </w:tc>
        <w:tc>
          <w:tcPr>
            <w:tcW w:w="0" w:type="auto"/>
            <w:hideMark/>
          </w:tcPr>
          <w:p w:rsidR="001501F3" w:rsidRPr="00AF7572" w:rsidRDefault="001501F3" w:rsidP="000E1074">
            <w:pPr>
              <w:spacing w:after="120"/>
              <w:rPr>
                <w:b/>
                <w:bCs/>
              </w:rPr>
            </w:pPr>
            <w:r w:rsidRPr="00AF7572">
              <w:rPr>
                <w:b/>
                <w:bCs/>
              </w:rPr>
              <w:t>N/A</w:t>
            </w:r>
          </w:p>
        </w:tc>
        <w:tc>
          <w:tcPr>
            <w:tcW w:w="0" w:type="auto"/>
            <w:hideMark/>
          </w:tcPr>
          <w:p w:rsidR="001501F3" w:rsidRPr="00AF7572" w:rsidRDefault="001501F3" w:rsidP="000E1074">
            <w:pPr>
              <w:spacing w:after="120"/>
              <w:rPr>
                <w:b/>
                <w:bCs/>
              </w:rPr>
            </w:pPr>
            <w:r w:rsidRPr="00AF7572">
              <w:rPr>
                <w:b/>
                <w:bCs/>
              </w:rPr>
              <w:t>Rating Average</w:t>
            </w:r>
          </w:p>
        </w:tc>
        <w:tc>
          <w:tcPr>
            <w:tcW w:w="0" w:type="auto"/>
            <w:hideMark/>
          </w:tcPr>
          <w:p w:rsidR="001501F3" w:rsidRPr="00AF7572" w:rsidRDefault="001501F3" w:rsidP="000E1074">
            <w:pPr>
              <w:spacing w:after="120"/>
              <w:rPr>
                <w:b/>
                <w:bCs/>
              </w:rPr>
            </w:pPr>
            <w:r w:rsidRPr="00AF7572">
              <w:rPr>
                <w:b/>
                <w:bCs/>
              </w:rPr>
              <w:t>Response Count</w:t>
            </w:r>
          </w:p>
        </w:tc>
      </w:tr>
      <w:tr w:rsidR="001501F3" w:rsidRPr="00AF7572" w:rsidTr="00C57005">
        <w:trPr>
          <w:gridAfter w:val="1"/>
          <w:cnfStyle w:val="000000010000" w:firstRow="0" w:lastRow="0" w:firstColumn="0" w:lastColumn="0" w:oddVBand="0" w:evenVBand="0" w:oddHBand="0" w:evenHBand="1" w:firstRowFirstColumn="0" w:firstRowLastColumn="0" w:lastRowFirstColumn="0" w:lastRowLastColumn="0"/>
          <w:wAfter w:w="6" w:type="dxa"/>
          <w:trHeight w:val="255"/>
        </w:trPr>
        <w:tc>
          <w:tcPr>
            <w:tcW w:w="0" w:type="auto"/>
            <w:hideMark/>
          </w:tcPr>
          <w:p w:rsidR="001501F3" w:rsidRPr="00AF7572" w:rsidRDefault="001501F3" w:rsidP="000E1074">
            <w:pPr>
              <w:spacing w:after="120"/>
            </w:pPr>
            <w:r w:rsidRPr="00AF7572">
              <w:t>Responses</w:t>
            </w:r>
          </w:p>
        </w:tc>
        <w:tc>
          <w:tcPr>
            <w:tcW w:w="0" w:type="auto"/>
            <w:noWrap/>
            <w:hideMark/>
          </w:tcPr>
          <w:p w:rsidR="001501F3" w:rsidRPr="00AF7572" w:rsidRDefault="001501F3" w:rsidP="000E1074">
            <w:pPr>
              <w:spacing w:after="120"/>
            </w:pPr>
            <w:r w:rsidRPr="00AF7572">
              <w:t>1</w:t>
            </w:r>
          </w:p>
        </w:tc>
        <w:tc>
          <w:tcPr>
            <w:tcW w:w="0" w:type="auto"/>
            <w:noWrap/>
            <w:hideMark/>
          </w:tcPr>
          <w:p w:rsidR="001501F3" w:rsidRPr="00AF7572" w:rsidRDefault="001501F3" w:rsidP="000E1074">
            <w:pPr>
              <w:spacing w:after="120"/>
            </w:pPr>
            <w:r w:rsidRPr="00AF7572">
              <w:t>4</w:t>
            </w:r>
          </w:p>
        </w:tc>
        <w:tc>
          <w:tcPr>
            <w:tcW w:w="0" w:type="auto"/>
            <w:noWrap/>
            <w:hideMark/>
          </w:tcPr>
          <w:p w:rsidR="001501F3" w:rsidRPr="00AF7572" w:rsidRDefault="001501F3" w:rsidP="000E1074">
            <w:pPr>
              <w:spacing w:after="120"/>
            </w:pPr>
            <w:r w:rsidRPr="00AF7572">
              <w:t>3</w:t>
            </w:r>
          </w:p>
        </w:tc>
        <w:tc>
          <w:tcPr>
            <w:tcW w:w="0" w:type="auto"/>
            <w:noWrap/>
            <w:hideMark/>
          </w:tcPr>
          <w:p w:rsidR="001501F3" w:rsidRPr="00AF7572" w:rsidRDefault="001501F3" w:rsidP="000E1074">
            <w:pPr>
              <w:spacing w:after="120"/>
            </w:pPr>
            <w:r w:rsidRPr="00AF7572">
              <w:t>1</w:t>
            </w:r>
          </w:p>
        </w:tc>
        <w:tc>
          <w:tcPr>
            <w:tcW w:w="0" w:type="auto"/>
            <w:noWrap/>
            <w:hideMark/>
          </w:tcPr>
          <w:p w:rsidR="001501F3" w:rsidRPr="00AF7572" w:rsidRDefault="001501F3" w:rsidP="000E1074">
            <w:pPr>
              <w:spacing w:after="120"/>
            </w:pPr>
            <w:r w:rsidRPr="00AF7572">
              <w:t>0</w:t>
            </w:r>
          </w:p>
        </w:tc>
        <w:tc>
          <w:tcPr>
            <w:tcW w:w="0" w:type="auto"/>
            <w:noWrap/>
            <w:hideMark/>
          </w:tcPr>
          <w:p w:rsidR="001501F3" w:rsidRPr="00AF7572" w:rsidRDefault="001501F3" w:rsidP="000E1074">
            <w:pPr>
              <w:spacing w:after="120"/>
            </w:pPr>
            <w:r w:rsidRPr="00AF7572">
              <w:t>1</w:t>
            </w:r>
          </w:p>
        </w:tc>
        <w:tc>
          <w:tcPr>
            <w:tcW w:w="0" w:type="auto"/>
            <w:noWrap/>
            <w:hideMark/>
          </w:tcPr>
          <w:p w:rsidR="001501F3" w:rsidRPr="00AF7572" w:rsidRDefault="001501F3" w:rsidP="000E1074">
            <w:pPr>
              <w:spacing w:after="120"/>
            </w:pPr>
            <w:r w:rsidRPr="00AF7572">
              <w:t>3.56</w:t>
            </w:r>
          </w:p>
        </w:tc>
        <w:tc>
          <w:tcPr>
            <w:tcW w:w="0" w:type="auto"/>
            <w:noWrap/>
            <w:hideMark/>
          </w:tcPr>
          <w:p w:rsidR="001501F3" w:rsidRPr="00AF7572" w:rsidRDefault="001501F3" w:rsidP="000E1074">
            <w:pPr>
              <w:spacing w:after="120"/>
            </w:pPr>
            <w:r w:rsidRPr="00AF7572">
              <w:t>10</w:t>
            </w:r>
          </w:p>
        </w:tc>
      </w:tr>
      <w:tr w:rsidR="001501F3" w:rsidRPr="00AF7572" w:rsidTr="00C57005">
        <w:trPr>
          <w:gridAfter w:val="1"/>
          <w:cnfStyle w:val="000000100000" w:firstRow="0" w:lastRow="0" w:firstColumn="0" w:lastColumn="0" w:oddVBand="0" w:evenVBand="0" w:oddHBand="1" w:evenHBand="0" w:firstRowFirstColumn="0" w:firstRowLastColumn="0" w:lastRowFirstColumn="0" w:lastRowLastColumn="0"/>
          <w:wAfter w:w="6" w:type="dxa"/>
          <w:trHeight w:val="255"/>
        </w:trPr>
        <w:tc>
          <w:tcPr>
            <w:tcW w:w="0" w:type="auto"/>
            <w:gridSpan w:val="8"/>
            <w:hideMark/>
          </w:tcPr>
          <w:p w:rsidR="001501F3" w:rsidRPr="00AF7572" w:rsidRDefault="001501F3" w:rsidP="000E1074">
            <w:pPr>
              <w:spacing w:after="120"/>
            </w:pPr>
            <w:r w:rsidRPr="00AF7572">
              <w:t>Additional Comments</w:t>
            </w:r>
          </w:p>
        </w:tc>
        <w:tc>
          <w:tcPr>
            <w:tcW w:w="0" w:type="auto"/>
            <w:noWrap/>
            <w:hideMark/>
          </w:tcPr>
          <w:p w:rsidR="001501F3" w:rsidRPr="00AF7572" w:rsidRDefault="001501F3" w:rsidP="000E1074">
            <w:pPr>
              <w:spacing w:after="120"/>
            </w:pPr>
            <w:r w:rsidRPr="00AF7572">
              <w:t>2</w:t>
            </w:r>
          </w:p>
        </w:tc>
      </w:tr>
      <w:tr w:rsidR="001501F3" w:rsidRPr="00AF7572" w:rsidTr="00C57005">
        <w:trPr>
          <w:gridAfter w:val="1"/>
          <w:cnfStyle w:val="000000010000" w:firstRow="0" w:lastRow="0" w:firstColumn="0" w:lastColumn="0" w:oddVBand="0" w:evenVBand="0" w:oddHBand="0" w:evenHBand="1" w:firstRowFirstColumn="0" w:firstRowLastColumn="0" w:lastRowFirstColumn="0" w:lastRowLastColumn="0"/>
          <w:wAfter w:w="6" w:type="dxa"/>
          <w:trHeight w:val="255"/>
        </w:trPr>
        <w:tc>
          <w:tcPr>
            <w:tcW w:w="0" w:type="auto"/>
            <w:gridSpan w:val="8"/>
            <w:noWrap/>
            <w:hideMark/>
          </w:tcPr>
          <w:p w:rsidR="001501F3" w:rsidRPr="00AF7572" w:rsidRDefault="001501F3" w:rsidP="000E1074">
            <w:pPr>
              <w:spacing w:after="120"/>
              <w:rPr>
                <w:b/>
                <w:bCs/>
                <w:i/>
                <w:iCs/>
              </w:rPr>
            </w:pPr>
            <w:r w:rsidRPr="00AF7572">
              <w:rPr>
                <w:b/>
                <w:bCs/>
                <w:i/>
                <w:iCs/>
              </w:rPr>
              <w:t>answered question</w:t>
            </w:r>
          </w:p>
        </w:tc>
        <w:tc>
          <w:tcPr>
            <w:tcW w:w="0" w:type="auto"/>
            <w:noWrap/>
            <w:hideMark/>
          </w:tcPr>
          <w:p w:rsidR="001501F3" w:rsidRPr="00AF7572" w:rsidRDefault="001501F3" w:rsidP="000E1074">
            <w:pPr>
              <w:spacing w:after="120"/>
              <w:rPr>
                <w:b/>
                <w:bCs/>
              </w:rPr>
            </w:pPr>
            <w:r w:rsidRPr="00AF7572">
              <w:rPr>
                <w:b/>
                <w:bCs/>
              </w:rPr>
              <w:t>10</w:t>
            </w:r>
          </w:p>
        </w:tc>
      </w:tr>
      <w:tr w:rsidR="001501F3" w:rsidRPr="00AF7572" w:rsidTr="00C57005">
        <w:trPr>
          <w:gridAfter w:val="1"/>
          <w:cnfStyle w:val="000000100000" w:firstRow="0" w:lastRow="0" w:firstColumn="0" w:lastColumn="0" w:oddVBand="0" w:evenVBand="0" w:oddHBand="1" w:evenHBand="0" w:firstRowFirstColumn="0" w:firstRowLastColumn="0" w:lastRowFirstColumn="0" w:lastRowLastColumn="0"/>
          <w:wAfter w:w="6" w:type="dxa"/>
          <w:trHeight w:val="255"/>
        </w:trPr>
        <w:tc>
          <w:tcPr>
            <w:tcW w:w="0" w:type="auto"/>
            <w:gridSpan w:val="8"/>
            <w:noWrap/>
            <w:hideMark/>
          </w:tcPr>
          <w:p w:rsidR="001501F3" w:rsidRPr="00AF7572" w:rsidRDefault="001501F3" w:rsidP="000E1074">
            <w:pPr>
              <w:spacing w:after="120"/>
              <w:rPr>
                <w:b/>
                <w:bCs/>
                <w:i/>
                <w:iCs/>
              </w:rPr>
            </w:pPr>
            <w:r w:rsidRPr="00AF7572">
              <w:rPr>
                <w:b/>
                <w:bCs/>
                <w:i/>
                <w:iCs/>
              </w:rPr>
              <w:t>skipped question</w:t>
            </w:r>
          </w:p>
        </w:tc>
        <w:tc>
          <w:tcPr>
            <w:tcW w:w="0" w:type="auto"/>
            <w:noWrap/>
            <w:hideMark/>
          </w:tcPr>
          <w:p w:rsidR="001501F3" w:rsidRPr="00AF7572" w:rsidRDefault="001501F3" w:rsidP="000E1074">
            <w:pPr>
              <w:spacing w:after="120"/>
              <w:rPr>
                <w:b/>
                <w:bCs/>
              </w:rPr>
            </w:pPr>
            <w:r w:rsidRPr="00AF7572">
              <w:rPr>
                <w:b/>
                <w:bCs/>
              </w:rPr>
              <w:t>1</w:t>
            </w:r>
          </w:p>
        </w:tc>
      </w:tr>
      <w:tr w:rsidR="00C57005" w:rsidRPr="00AF7572" w:rsidTr="00C57005">
        <w:trPr>
          <w:cnfStyle w:val="000000010000" w:firstRow="0" w:lastRow="0" w:firstColumn="0" w:lastColumn="0" w:oddVBand="0" w:evenVBand="0" w:oddHBand="0" w:evenHBand="1" w:firstRowFirstColumn="0" w:firstRowLastColumn="0" w:lastRowFirstColumn="0" w:lastRowLastColumn="0"/>
          <w:trHeight w:val="510"/>
        </w:trPr>
        <w:tc>
          <w:tcPr>
            <w:tcW w:w="8784" w:type="dxa"/>
            <w:gridSpan w:val="10"/>
            <w:shd w:val="clear" w:color="auto" w:fill="595959" w:themeFill="text1" w:themeFillTint="A6"/>
            <w:hideMark/>
          </w:tcPr>
          <w:p w:rsidR="00C57005" w:rsidRPr="00AF7572" w:rsidRDefault="00C57005" w:rsidP="000E1074">
            <w:pPr>
              <w:spacing w:after="120"/>
              <w:rPr>
                <w:bCs/>
              </w:rPr>
            </w:pPr>
            <w:r w:rsidRPr="00C57005">
              <w:rPr>
                <w:b/>
                <w:bCs/>
                <w:color w:val="FFFFFF" w:themeColor="background1"/>
              </w:rPr>
              <w:t>Additional Comments</w:t>
            </w:r>
          </w:p>
        </w:tc>
      </w:tr>
      <w:tr w:rsidR="00C57005" w:rsidRPr="00AF7572" w:rsidTr="00C57005">
        <w:trPr>
          <w:cnfStyle w:val="000000100000" w:firstRow="0" w:lastRow="0" w:firstColumn="0" w:lastColumn="0" w:oddVBand="0" w:evenVBand="0" w:oddHBand="1" w:evenHBand="0" w:firstRowFirstColumn="0" w:firstRowLastColumn="0" w:lastRowFirstColumn="0" w:lastRowLastColumn="0"/>
          <w:trHeight w:val="255"/>
        </w:trPr>
        <w:tc>
          <w:tcPr>
            <w:tcW w:w="8784" w:type="dxa"/>
            <w:gridSpan w:val="10"/>
            <w:noWrap/>
            <w:hideMark/>
          </w:tcPr>
          <w:p w:rsidR="00C57005" w:rsidRPr="00AF7572" w:rsidRDefault="00C57005" w:rsidP="000E1074">
            <w:pPr>
              <w:spacing w:after="120"/>
            </w:pPr>
            <w:r w:rsidRPr="00AF7572">
              <w:t>I use NEATS on a daily basis.</w:t>
            </w:r>
          </w:p>
        </w:tc>
      </w:tr>
      <w:tr w:rsidR="00C57005" w:rsidRPr="00AF7572" w:rsidTr="00C57005">
        <w:trPr>
          <w:cnfStyle w:val="000000010000" w:firstRow="0" w:lastRow="0" w:firstColumn="0" w:lastColumn="0" w:oddVBand="0" w:evenVBand="0" w:oddHBand="0" w:evenHBand="1" w:firstRowFirstColumn="0" w:firstRowLastColumn="0" w:lastRowFirstColumn="0" w:lastRowLastColumn="0"/>
          <w:trHeight w:val="255"/>
        </w:trPr>
        <w:tc>
          <w:tcPr>
            <w:tcW w:w="8784" w:type="dxa"/>
            <w:gridSpan w:val="10"/>
            <w:noWrap/>
            <w:hideMark/>
          </w:tcPr>
          <w:p w:rsidR="00C57005" w:rsidRPr="00AF7572" w:rsidRDefault="00C57005" w:rsidP="000E1074">
            <w:pPr>
              <w:spacing w:after="120"/>
            </w:pPr>
            <w:r>
              <w:lastRenderedPageBreak/>
              <w:t>NOPTA</w:t>
            </w:r>
            <w:r w:rsidRPr="00AF7572">
              <w:t xml:space="preserve"> doesn't facilitate data access - that role is mainly done by GA and DMP</w:t>
            </w:r>
          </w:p>
        </w:tc>
      </w:tr>
    </w:tbl>
    <w:p w:rsidR="001501F3" w:rsidRDefault="001501F3" w:rsidP="001501F3"/>
    <w:tbl>
      <w:tblPr>
        <w:tblStyle w:val="TableGrid"/>
        <w:tblW w:w="8784" w:type="dxa"/>
        <w:tblLook w:val="04A0" w:firstRow="1" w:lastRow="0" w:firstColumn="1" w:lastColumn="0" w:noHBand="0" w:noVBand="1"/>
      </w:tblPr>
      <w:tblGrid>
        <w:gridCol w:w="1515"/>
        <w:gridCol w:w="1262"/>
        <w:gridCol w:w="737"/>
        <w:gridCol w:w="987"/>
        <w:gridCol w:w="1272"/>
        <w:gridCol w:w="536"/>
        <w:gridCol w:w="1167"/>
        <w:gridCol w:w="1304"/>
        <w:gridCol w:w="6"/>
      </w:tblGrid>
      <w:tr w:rsidR="001501F3" w:rsidRPr="00AF7572" w:rsidTr="00C57005">
        <w:trPr>
          <w:gridAfter w:val="1"/>
          <w:cnfStyle w:val="100000000000" w:firstRow="1" w:lastRow="0" w:firstColumn="0" w:lastColumn="0" w:oddVBand="0" w:evenVBand="0" w:oddHBand="0" w:evenHBand="0" w:firstRowFirstColumn="0" w:firstRowLastColumn="0" w:lastRowFirstColumn="0" w:lastRowLastColumn="0"/>
          <w:wAfter w:w="6" w:type="dxa"/>
          <w:trHeight w:val="499"/>
        </w:trPr>
        <w:tc>
          <w:tcPr>
            <w:tcW w:w="0" w:type="auto"/>
            <w:gridSpan w:val="8"/>
            <w:hideMark/>
          </w:tcPr>
          <w:p w:rsidR="001501F3" w:rsidRPr="00AF7572" w:rsidRDefault="001501F3" w:rsidP="000E1074">
            <w:pPr>
              <w:spacing w:after="120"/>
              <w:rPr>
                <w:bCs/>
              </w:rPr>
            </w:pPr>
            <w:r w:rsidRPr="00AF7572">
              <w:rPr>
                <w:bCs/>
              </w:rPr>
              <w:t>10. NOPTA's release of open file data is both timely and accurate.</w:t>
            </w:r>
          </w:p>
        </w:tc>
      </w:tr>
      <w:tr w:rsidR="001501F3" w:rsidRPr="00AF7572" w:rsidTr="00C57005">
        <w:trPr>
          <w:gridAfter w:val="1"/>
          <w:cnfStyle w:val="000000100000" w:firstRow="0" w:lastRow="0" w:firstColumn="0" w:lastColumn="0" w:oddVBand="0" w:evenVBand="0" w:oddHBand="1" w:evenHBand="0" w:firstRowFirstColumn="0" w:firstRowLastColumn="0" w:lastRowFirstColumn="0" w:lastRowLastColumn="0"/>
          <w:wAfter w:w="6" w:type="dxa"/>
          <w:trHeight w:val="600"/>
        </w:trPr>
        <w:tc>
          <w:tcPr>
            <w:tcW w:w="0" w:type="auto"/>
            <w:hideMark/>
          </w:tcPr>
          <w:p w:rsidR="001501F3" w:rsidRPr="00AF7572" w:rsidRDefault="001501F3" w:rsidP="000E1074">
            <w:pPr>
              <w:spacing w:after="120"/>
              <w:rPr>
                <w:b/>
                <w:bCs/>
              </w:rPr>
            </w:pPr>
            <w:r w:rsidRPr="00AF7572">
              <w:rPr>
                <w:b/>
                <w:bCs/>
              </w:rPr>
              <w:t>Answer Options</w:t>
            </w:r>
          </w:p>
        </w:tc>
        <w:tc>
          <w:tcPr>
            <w:tcW w:w="0" w:type="auto"/>
            <w:hideMark/>
          </w:tcPr>
          <w:p w:rsidR="001501F3" w:rsidRPr="00AF7572" w:rsidRDefault="001501F3" w:rsidP="000E1074">
            <w:pPr>
              <w:spacing w:after="120"/>
              <w:rPr>
                <w:b/>
                <w:bCs/>
              </w:rPr>
            </w:pPr>
            <w:r w:rsidRPr="00AF7572">
              <w:rPr>
                <w:b/>
                <w:bCs/>
              </w:rPr>
              <w:t>Strongly Agree</w:t>
            </w:r>
          </w:p>
        </w:tc>
        <w:tc>
          <w:tcPr>
            <w:tcW w:w="0" w:type="auto"/>
            <w:hideMark/>
          </w:tcPr>
          <w:p w:rsidR="001501F3" w:rsidRPr="00AF7572" w:rsidRDefault="001501F3" w:rsidP="000E1074">
            <w:pPr>
              <w:spacing w:after="120"/>
              <w:rPr>
                <w:b/>
                <w:bCs/>
              </w:rPr>
            </w:pPr>
            <w:r w:rsidRPr="00AF7572">
              <w:rPr>
                <w:b/>
                <w:bCs/>
              </w:rPr>
              <w:t>Agree</w:t>
            </w:r>
          </w:p>
        </w:tc>
        <w:tc>
          <w:tcPr>
            <w:tcW w:w="0" w:type="auto"/>
            <w:hideMark/>
          </w:tcPr>
          <w:p w:rsidR="001501F3" w:rsidRPr="00AF7572" w:rsidRDefault="001501F3" w:rsidP="000E1074">
            <w:pPr>
              <w:spacing w:after="120"/>
              <w:rPr>
                <w:b/>
                <w:bCs/>
              </w:rPr>
            </w:pPr>
            <w:r w:rsidRPr="00AF7572">
              <w:rPr>
                <w:b/>
                <w:bCs/>
              </w:rPr>
              <w:t>Disagree</w:t>
            </w:r>
          </w:p>
        </w:tc>
        <w:tc>
          <w:tcPr>
            <w:tcW w:w="0" w:type="auto"/>
            <w:hideMark/>
          </w:tcPr>
          <w:p w:rsidR="001501F3" w:rsidRPr="00AF7572" w:rsidRDefault="001501F3" w:rsidP="000E1074">
            <w:pPr>
              <w:spacing w:after="120"/>
              <w:rPr>
                <w:b/>
                <w:bCs/>
              </w:rPr>
            </w:pPr>
            <w:r w:rsidRPr="00AF7572">
              <w:rPr>
                <w:b/>
                <w:bCs/>
              </w:rPr>
              <w:t>Strongly Disagree</w:t>
            </w:r>
          </w:p>
        </w:tc>
        <w:tc>
          <w:tcPr>
            <w:tcW w:w="0" w:type="auto"/>
            <w:hideMark/>
          </w:tcPr>
          <w:p w:rsidR="001501F3" w:rsidRPr="00AF7572" w:rsidRDefault="001501F3" w:rsidP="000E1074">
            <w:pPr>
              <w:spacing w:after="120"/>
              <w:rPr>
                <w:b/>
                <w:bCs/>
              </w:rPr>
            </w:pPr>
            <w:r w:rsidRPr="00AF7572">
              <w:rPr>
                <w:b/>
                <w:bCs/>
              </w:rPr>
              <w:t>N/A</w:t>
            </w:r>
          </w:p>
        </w:tc>
        <w:tc>
          <w:tcPr>
            <w:tcW w:w="0" w:type="auto"/>
            <w:hideMark/>
          </w:tcPr>
          <w:p w:rsidR="001501F3" w:rsidRPr="00AF7572" w:rsidRDefault="001501F3" w:rsidP="000E1074">
            <w:pPr>
              <w:spacing w:after="120"/>
              <w:rPr>
                <w:b/>
                <w:bCs/>
              </w:rPr>
            </w:pPr>
            <w:r w:rsidRPr="00AF7572">
              <w:rPr>
                <w:b/>
                <w:bCs/>
              </w:rPr>
              <w:t>Rating Average</w:t>
            </w:r>
          </w:p>
        </w:tc>
        <w:tc>
          <w:tcPr>
            <w:tcW w:w="0" w:type="auto"/>
            <w:hideMark/>
          </w:tcPr>
          <w:p w:rsidR="001501F3" w:rsidRPr="00AF7572" w:rsidRDefault="001501F3" w:rsidP="000E1074">
            <w:pPr>
              <w:spacing w:after="120"/>
              <w:rPr>
                <w:b/>
                <w:bCs/>
              </w:rPr>
            </w:pPr>
            <w:r w:rsidRPr="00AF7572">
              <w:rPr>
                <w:b/>
                <w:bCs/>
              </w:rPr>
              <w:t>Response Count</w:t>
            </w:r>
          </w:p>
        </w:tc>
      </w:tr>
      <w:tr w:rsidR="001501F3" w:rsidRPr="00AF7572" w:rsidTr="00C57005">
        <w:trPr>
          <w:gridAfter w:val="1"/>
          <w:cnfStyle w:val="000000010000" w:firstRow="0" w:lastRow="0" w:firstColumn="0" w:lastColumn="0" w:oddVBand="0" w:evenVBand="0" w:oddHBand="0" w:evenHBand="1" w:firstRowFirstColumn="0" w:firstRowLastColumn="0" w:lastRowFirstColumn="0" w:lastRowLastColumn="0"/>
          <w:wAfter w:w="6" w:type="dxa"/>
          <w:trHeight w:val="255"/>
        </w:trPr>
        <w:tc>
          <w:tcPr>
            <w:tcW w:w="0" w:type="auto"/>
            <w:hideMark/>
          </w:tcPr>
          <w:p w:rsidR="001501F3" w:rsidRPr="00AF7572" w:rsidRDefault="001501F3" w:rsidP="000E1074">
            <w:pPr>
              <w:spacing w:after="120"/>
            </w:pPr>
            <w:r w:rsidRPr="00AF7572">
              <w:t>Responses</w:t>
            </w:r>
          </w:p>
        </w:tc>
        <w:tc>
          <w:tcPr>
            <w:tcW w:w="0" w:type="auto"/>
            <w:noWrap/>
            <w:hideMark/>
          </w:tcPr>
          <w:p w:rsidR="001501F3" w:rsidRPr="00AF7572" w:rsidRDefault="001501F3" w:rsidP="000E1074">
            <w:pPr>
              <w:spacing w:after="120"/>
            </w:pPr>
            <w:r w:rsidRPr="00AF7572">
              <w:t>0</w:t>
            </w:r>
          </w:p>
        </w:tc>
        <w:tc>
          <w:tcPr>
            <w:tcW w:w="0" w:type="auto"/>
            <w:noWrap/>
            <w:hideMark/>
          </w:tcPr>
          <w:p w:rsidR="001501F3" w:rsidRPr="00AF7572" w:rsidRDefault="001501F3" w:rsidP="000E1074">
            <w:pPr>
              <w:spacing w:after="120"/>
            </w:pPr>
            <w:r w:rsidRPr="00AF7572">
              <w:t>4</w:t>
            </w:r>
          </w:p>
        </w:tc>
        <w:tc>
          <w:tcPr>
            <w:tcW w:w="0" w:type="auto"/>
            <w:noWrap/>
            <w:hideMark/>
          </w:tcPr>
          <w:p w:rsidR="001501F3" w:rsidRPr="00AF7572" w:rsidRDefault="001501F3" w:rsidP="000E1074">
            <w:pPr>
              <w:spacing w:after="120"/>
            </w:pPr>
            <w:r w:rsidRPr="00AF7572">
              <w:t>3</w:t>
            </w:r>
          </w:p>
        </w:tc>
        <w:tc>
          <w:tcPr>
            <w:tcW w:w="0" w:type="auto"/>
            <w:noWrap/>
            <w:hideMark/>
          </w:tcPr>
          <w:p w:rsidR="001501F3" w:rsidRPr="00AF7572" w:rsidRDefault="001501F3" w:rsidP="000E1074">
            <w:pPr>
              <w:spacing w:after="120"/>
            </w:pPr>
            <w:r w:rsidRPr="00AF7572">
              <w:t>0</w:t>
            </w:r>
          </w:p>
        </w:tc>
        <w:tc>
          <w:tcPr>
            <w:tcW w:w="0" w:type="auto"/>
            <w:noWrap/>
            <w:hideMark/>
          </w:tcPr>
          <w:p w:rsidR="001501F3" w:rsidRPr="00AF7572" w:rsidRDefault="001501F3" w:rsidP="000E1074">
            <w:pPr>
              <w:spacing w:after="120"/>
            </w:pPr>
            <w:r w:rsidRPr="00AF7572">
              <w:t>3</w:t>
            </w:r>
          </w:p>
        </w:tc>
        <w:tc>
          <w:tcPr>
            <w:tcW w:w="0" w:type="auto"/>
            <w:noWrap/>
            <w:hideMark/>
          </w:tcPr>
          <w:p w:rsidR="001501F3" w:rsidRPr="00AF7572" w:rsidRDefault="001501F3" w:rsidP="000E1074">
            <w:pPr>
              <w:spacing w:after="120"/>
            </w:pPr>
            <w:r w:rsidRPr="00AF7572">
              <w:t>2.57</w:t>
            </w:r>
          </w:p>
        </w:tc>
        <w:tc>
          <w:tcPr>
            <w:tcW w:w="0" w:type="auto"/>
            <w:noWrap/>
            <w:hideMark/>
          </w:tcPr>
          <w:p w:rsidR="001501F3" w:rsidRPr="00AF7572" w:rsidRDefault="001501F3" w:rsidP="000E1074">
            <w:pPr>
              <w:spacing w:after="120"/>
            </w:pPr>
            <w:r w:rsidRPr="00AF7572">
              <w:t>10</w:t>
            </w:r>
          </w:p>
        </w:tc>
      </w:tr>
      <w:tr w:rsidR="001501F3" w:rsidRPr="00AF7572" w:rsidTr="00C57005">
        <w:trPr>
          <w:gridAfter w:val="1"/>
          <w:cnfStyle w:val="000000100000" w:firstRow="0" w:lastRow="0" w:firstColumn="0" w:lastColumn="0" w:oddVBand="0" w:evenVBand="0" w:oddHBand="1" w:evenHBand="0" w:firstRowFirstColumn="0" w:firstRowLastColumn="0" w:lastRowFirstColumn="0" w:lastRowLastColumn="0"/>
          <w:wAfter w:w="6" w:type="dxa"/>
          <w:trHeight w:val="255"/>
        </w:trPr>
        <w:tc>
          <w:tcPr>
            <w:tcW w:w="0" w:type="auto"/>
            <w:gridSpan w:val="7"/>
            <w:hideMark/>
          </w:tcPr>
          <w:p w:rsidR="001501F3" w:rsidRPr="00AF7572" w:rsidRDefault="001501F3" w:rsidP="000E1074">
            <w:pPr>
              <w:spacing w:after="120"/>
            </w:pPr>
            <w:r w:rsidRPr="00AF7572">
              <w:t>Additional Comments</w:t>
            </w:r>
          </w:p>
        </w:tc>
        <w:tc>
          <w:tcPr>
            <w:tcW w:w="0" w:type="auto"/>
            <w:noWrap/>
            <w:hideMark/>
          </w:tcPr>
          <w:p w:rsidR="001501F3" w:rsidRPr="00AF7572" w:rsidRDefault="001501F3" w:rsidP="000E1074">
            <w:pPr>
              <w:spacing w:after="120"/>
            </w:pPr>
            <w:r w:rsidRPr="00AF7572">
              <w:t>3</w:t>
            </w:r>
          </w:p>
        </w:tc>
      </w:tr>
      <w:tr w:rsidR="001501F3" w:rsidRPr="00AF7572" w:rsidTr="00C57005">
        <w:trPr>
          <w:gridAfter w:val="1"/>
          <w:cnfStyle w:val="000000010000" w:firstRow="0" w:lastRow="0" w:firstColumn="0" w:lastColumn="0" w:oddVBand="0" w:evenVBand="0" w:oddHBand="0" w:evenHBand="1" w:firstRowFirstColumn="0" w:firstRowLastColumn="0" w:lastRowFirstColumn="0" w:lastRowLastColumn="0"/>
          <w:wAfter w:w="6" w:type="dxa"/>
          <w:trHeight w:val="255"/>
        </w:trPr>
        <w:tc>
          <w:tcPr>
            <w:tcW w:w="0" w:type="auto"/>
            <w:gridSpan w:val="7"/>
            <w:noWrap/>
            <w:hideMark/>
          </w:tcPr>
          <w:p w:rsidR="001501F3" w:rsidRPr="00AF7572" w:rsidRDefault="001501F3" w:rsidP="000E1074">
            <w:pPr>
              <w:spacing w:after="120"/>
              <w:rPr>
                <w:b/>
                <w:bCs/>
                <w:i/>
                <w:iCs/>
              </w:rPr>
            </w:pPr>
            <w:r w:rsidRPr="00AF7572">
              <w:rPr>
                <w:b/>
                <w:bCs/>
                <w:i/>
                <w:iCs/>
              </w:rPr>
              <w:t>answered question</w:t>
            </w:r>
          </w:p>
        </w:tc>
        <w:tc>
          <w:tcPr>
            <w:tcW w:w="0" w:type="auto"/>
            <w:noWrap/>
            <w:hideMark/>
          </w:tcPr>
          <w:p w:rsidR="001501F3" w:rsidRPr="00AF7572" w:rsidRDefault="001501F3" w:rsidP="000E1074">
            <w:pPr>
              <w:spacing w:after="120"/>
              <w:rPr>
                <w:b/>
                <w:bCs/>
              </w:rPr>
            </w:pPr>
            <w:r w:rsidRPr="00AF7572">
              <w:rPr>
                <w:b/>
                <w:bCs/>
              </w:rPr>
              <w:t>10</w:t>
            </w:r>
          </w:p>
        </w:tc>
      </w:tr>
      <w:tr w:rsidR="001501F3" w:rsidRPr="00AF7572" w:rsidTr="00C57005">
        <w:trPr>
          <w:gridAfter w:val="1"/>
          <w:cnfStyle w:val="000000100000" w:firstRow="0" w:lastRow="0" w:firstColumn="0" w:lastColumn="0" w:oddVBand="0" w:evenVBand="0" w:oddHBand="1" w:evenHBand="0" w:firstRowFirstColumn="0" w:firstRowLastColumn="0" w:lastRowFirstColumn="0" w:lastRowLastColumn="0"/>
          <w:wAfter w:w="6" w:type="dxa"/>
          <w:trHeight w:val="255"/>
        </w:trPr>
        <w:tc>
          <w:tcPr>
            <w:tcW w:w="0" w:type="auto"/>
            <w:gridSpan w:val="7"/>
            <w:noWrap/>
            <w:hideMark/>
          </w:tcPr>
          <w:p w:rsidR="001501F3" w:rsidRPr="00AF7572" w:rsidRDefault="001501F3" w:rsidP="000E1074">
            <w:pPr>
              <w:spacing w:after="120"/>
              <w:rPr>
                <w:b/>
                <w:bCs/>
                <w:i/>
                <w:iCs/>
              </w:rPr>
            </w:pPr>
            <w:r w:rsidRPr="00AF7572">
              <w:rPr>
                <w:b/>
                <w:bCs/>
                <w:i/>
                <w:iCs/>
              </w:rPr>
              <w:t>skipped question</w:t>
            </w:r>
          </w:p>
        </w:tc>
        <w:tc>
          <w:tcPr>
            <w:tcW w:w="0" w:type="auto"/>
            <w:noWrap/>
            <w:hideMark/>
          </w:tcPr>
          <w:p w:rsidR="001501F3" w:rsidRPr="00AF7572" w:rsidRDefault="001501F3" w:rsidP="000E1074">
            <w:pPr>
              <w:spacing w:after="120"/>
              <w:rPr>
                <w:b/>
                <w:bCs/>
              </w:rPr>
            </w:pPr>
            <w:r w:rsidRPr="00AF7572">
              <w:rPr>
                <w:b/>
                <w:bCs/>
              </w:rPr>
              <w:t>1</w:t>
            </w:r>
          </w:p>
        </w:tc>
      </w:tr>
      <w:tr w:rsidR="00C57005" w:rsidRPr="00EE052E" w:rsidTr="00C57005">
        <w:trPr>
          <w:cnfStyle w:val="000000010000" w:firstRow="0" w:lastRow="0" w:firstColumn="0" w:lastColumn="0" w:oddVBand="0" w:evenVBand="0" w:oddHBand="0" w:evenHBand="1" w:firstRowFirstColumn="0" w:firstRowLastColumn="0" w:lastRowFirstColumn="0" w:lastRowLastColumn="0"/>
          <w:trHeight w:val="510"/>
        </w:trPr>
        <w:tc>
          <w:tcPr>
            <w:tcW w:w="8784" w:type="dxa"/>
            <w:gridSpan w:val="9"/>
            <w:shd w:val="clear" w:color="auto" w:fill="595959" w:themeFill="text1" w:themeFillTint="A6"/>
            <w:hideMark/>
          </w:tcPr>
          <w:p w:rsidR="00C57005" w:rsidRPr="00C57005" w:rsidRDefault="00C57005" w:rsidP="000E1074">
            <w:pPr>
              <w:spacing w:after="120"/>
              <w:rPr>
                <w:b/>
                <w:bCs/>
                <w:color w:val="FFFFFF" w:themeColor="background1"/>
              </w:rPr>
            </w:pPr>
            <w:r w:rsidRPr="00C57005">
              <w:rPr>
                <w:b/>
                <w:bCs/>
                <w:color w:val="FFFFFF" w:themeColor="background1"/>
              </w:rPr>
              <w:t>Additional Comments</w:t>
            </w:r>
          </w:p>
        </w:tc>
      </w:tr>
      <w:tr w:rsidR="00C57005" w:rsidRPr="00EE052E" w:rsidTr="00C57005">
        <w:trPr>
          <w:cnfStyle w:val="000000100000" w:firstRow="0" w:lastRow="0" w:firstColumn="0" w:lastColumn="0" w:oddVBand="0" w:evenVBand="0" w:oddHBand="1" w:evenHBand="0" w:firstRowFirstColumn="0" w:firstRowLastColumn="0" w:lastRowFirstColumn="0" w:lastRowLastColumn="0"/>
          <w:trHeight w:val="255"/>
        </w:trPr>
        <w:tc>
          <w:tcPr>
            <w:tcW w:w="8784" w:type="dxa"/>
            <w:gridSpan w:val="9"/>
            <w:noWrap/>
            <w:hideMark/>
          </w:tcPr>
          <w:p w:rsidR="00C57005" w:rsidRPr="00EE052E" w:rsidRDefault="00C57005" w:rsidP="000E1074">
            <w:pPr>
              <w:spacing w:after="120"/>
            </w:pPr>
            <w:r w:rsidRPr="00EE052E">
              <w:t>Usually incomplete data</w:t>
            </w:r>
          </w:p>
        </w:tc>
      </w:tr>
      <w:tr w:rsidR="00C57005" w:rsidRPr="00EE052E" w:rsidTr="00C57005">
        <w:trPr>
          <w:cnfStyle w:val="000000010000" w:firstRow="0" w:lastRow="0" w:firstColumn="0" w:lastColumn="0" w:oddVBand="0" w:evenVBand="0" w:oddHBand="0" w:evenHBand="1" w:firstRowFirstColumn="0" w:firstRowLastColumn="0" w:lastRowFirstColumn="0" w:lastRowLastColumn="0"/>
          <w:trHeight w:val="255"/>
        </w:trPr>
        <w:tc>
          <w:tcPr>
            <w:tcW w:w="8784" w:type="dxa"/>
            <w:gridSpan w:val="9"/>
            <w:noWrap/>
            <w:hideMark/>
          </w:tcPr>
          <w:p w:rsidR="00C57005" w:rsidRPr="00EE052E" w:rsidRDefault="00C57005" w:rsidP="000E1074">
            <w:pPr>
              <w:spacing w:after="120"/>
            </w:pPr>
            <w:r w:rsidRPr="00EE052E">
              <w:t>NOPTA say data is released once a week (on a Monday), but this time frame seems to slip</w:t>
            </w:r>
          </w:p>
        </w:tc>
      </w:tr>
      <w:tr w:rsidR="00C57005" w:rsidRPr="00EE052E" w:rsidTr="00C57005">
        <w:trPr>
          <w:cnfStyle w:val="000000100000" w:firstRow="0" w:lastRow="0" w:firstColumn="0" w:lastColumn="0" w:oddVBand="0" w:evenVBand="0" w:oddHBand="1" w:evenHBand="0" w:firstRowFirstColumn="0" w:firstRowLastColumn="0" w:lastRowFirstColumn="0" w:lastRowLastColumn="0"/>
          <w:trHeight w:val="255"/>
        </w:trPr>
        <w:tc>
          <w:tcPr>
            <w:tcW w:w="8784" w:type="dxa"/>
            <w:gridSpan w:val="9"/>
            <w:noWrap/>
            <w:hideMark/>
          </w:tcPr>
          <w:p w:rsidR="00C57005" w:rsidRPr="00EE052E" w:rsidRDefault="00C57005" w:rsidP="000E1074">
            <w:pPr>
              <w:spacing w:after="120"/>
            </w:pPr>
            <w:r w:rsidRPr="00EE052E">
              <w:t>some of the data is released a little late, and understanding what data is available when can be difficult</w:t>
            </w:r>
          </w:p>
        </w:tc>
      </w:tr>
    </w:tbl>
    <w:p w:rsidR="000E1074" w:rsidRDefault="000E1074" w:rsidP="001501F3"/>
    <w:tbl>
      <w:tblPr>
        <w:tblStyle w:val="TableGrid"/>
        <w:tblW w:w="8784" w:type="dxa"/>
        <w:tblLook w:val="04A0" w:firstRow="1" w:lastRow="0" w:firstColumn="1" w:lastColumn="0" w:noHBand="0" w:noVBand="1"/>
      </w:tblPr>
      <w:tblGrid>
        <w:gridCol w:w="1515"/>
        <w:gridCol w:w="1262"/>
        <w:gridCol w:w="737"/>
        <w:gridCol w:w="987"/>
        <w:gridCol w:w="1272"/>
        <w:gridCol w:w="536"/>
        <w:gridCol w:w="1167"/>
        <w:gridCol w:w="1304"/>
        <w:gridCol w:w="6"/>
      </w:tblGrid>
      <w:tr w:rsidR="001501F3" w:rsidRPr="00EE052E" w:rsidTr="00C57005">
        <w:trPr>
          <w:gridAfter w:val="1"/>
          <w:cnfStyle w:val="100000000000" w:firstRow="1" w:lastRow="0" w:firstColumn="0" w:lastColumn="0" w:oddVBand="0" w:evenVBand="0" w:oddHBand="0" w:evenHBand="0" w:firstRowFirstColumn="0" w:firstRowLastColumn="0" w:lastRowFirstColumn="0" w:lastRowLastColumn="0"/>
          <w:wAfter w:w="6" w:type="dxa"/>
          <w:trHeight w:val="499"/>
        </w:trPr>
        <w:tc>
          <w:tcPr>
            <w:tcW w:w="0" w:type="auto"/>
            <w:gridSpan w:val="8"/>
            <w:hideMark/>
          </w:tcPr>
          <w:p w:rsidR="001501F3" w:rsidRPr="00EE052E" w:rsidRDefault="001501F3" w:rsidP="000E1074">
            <w:pPr>
              <w:spacing w:after="120"/>
              <w:rPr>
                <w:bCs/>
              </w:rPr>
            </w:pPr>
            <w:r w:rsidRPr="00EE052E">
              <w:rPr>
                <w:bCs/>
              </w:rPr>
              <w:t>11. I am confident that NOPTA ensures the confidentiality of my organisation's protected commercial information.</w:t>
            </w:r>
          </w:p>
        </w:tc>
      </w:tr>
      <w:tr w:rsidR="001501F3" w:rsidRPr="00EE052E" w:rsidTr="00C57005">
        <w:trPr>
          <w:gridAfter w:val="1"/>
          <w:cnfStyle w:val="000000100000" w:firstRow="0" w:lastRow="0" w:firstColumn="0" w:lastColumn="0" w:oddVBand="0" w:evenVBand="0" w:oddHBand="1" w:evenHBand="0" w:firstRowFirstColumn="0" w:firstRowLastColumn="0" w:lastRowFirstColumn="0" w:lastRowLastColumn="0"/>
          <w:wAfter w:w="6" w:type="dxa"/>
          <w:trHeight w:val="600"/>
        </w:trPr>
        <w:tc>
          <w:tcPr>
            <w:tcW w:w="0" w:type="auto"/>
            <w:hideMark/>
          </w:tcPr>
          <w:p w:rsidR="001501F3" w:rsidRPr="00EE052E" w:rsidRDefault="001501F3" w:rsidP="000E1074">
            <w:pPr>
              <w:spacing w:after="120"/>
              <w:rPr>
                <w:b/>
                <w:bCs/>
              </w:rPr>
            </w:pPr>
            <w:r w:rsidRPr="00EE052E">
              <w:rPr>
                <w:b/>
                <w:bCs/>
              </w:rPr>
              <w:t>Answer Options</w:t>
            </w:r>
          </w:p>
        </w:tc>
        <w:tc>
          <w:tcPr>
            <w:tcW w:w="0" w:type="auto"/>
            <w:hideMark/>
          </w:tcPr>
          <w:p w:rsidR="001501F3" w:rsidRPr="00EE052E" w:rsidRDefault="001501F3" w:rsidP="000E1074">
            <w:pPr>
              <w:spacing w:after="120"/>
              <w:rPr>
                <w:b/>
                <w:bCs/>
              </w:rPr>
            </w:pPr>
            <w:r w:rsidRPr="00EE052E">
              <w:rPr>
                <w:b/>
                <w:bCs/>
              </w:rPr>
              <w:t>Strongly Agree</w:t>
            </w:r>
          </w:p>
        </w:tc>
        <w:tc>
          <w:tcPr>
            <w:tcW w:w="0" w:type="auto"/>
            <w:hideMark/>
          </w:tcPr>
          <w:p w:rsidR="001501F3" w:rsidRPr="00EE052E" w:rsidRDefault="001501F3" w:rsidP="000E1074">
            <w:pPr>
              <w:spacing w:after="120"/>
              <w:rPr>
                <w:b/>
                <w:bCs/>
              </w:rPr>
            </w:pPr>
            <w:r w:rsidRPr="00EE052E">
              <w:rPr>
                <w:b/>
                <w:bCs/>
              </w:rPr>
              <w:t>Agree</w:t>
            </w:r>
          </w:p>
        </w:tc>
        <w:tc>
          <w:tcPr>
            <w:tcW w:w="0" w:type="auto"/>
            <w:hideMark/>
          </w:tcPr>
          <w:p w:rsidR="001501F3" w:rsidRPr="00EE052E" w:rsidRDefault="001501F3" w:rsidP="000E1074">
            <w:pPr>
              <w:spacing w:after="120"/>
              <w:rPr>
                <w:b/>
                <w:bCs/>
              </w:rPr>
            </w:pPr>
            <w:r w:rsidRPr="00EE052E">
              <w:rPr>
                <w:b/>
                <w:bCs/>
              </w:rPr>
              <w:t>Disagree</w:t>
            </w:r>
          </w:p>
        </w:tc>
        <w:tc>
          <w:tcPr>
            <w:tcW w:w="0" w:type="auto"/>
            <w:hideMark/>
          </w:tcPr>
          <w:p w:rsidR="001501F3" w:rsidRPr="00EE052E" w:rsidRDefault="001501F3" w:rsidP="000E1074">
            <w:pPr>
              <w:spacing w:after="120"/>
              <w:rPr>
                <w:b/>
                <w:bCs/>
              </w:rPr>
            </w:pPr>
            <w:r w:rsidRPr="00EE052E">
              <w:rPr>
                <w:b/>
                <w:bCs/>
              </w:rPr>
              <w:t>Strongly Disagree</w:t>
            </w:r>
          </w:p>
        </w:tc>
        <w:tc>
          <w:tcPr>
            <w:tcW w:w="0" w:type="auto"/>
            <w:hideMark/>
          </w:tcPr>
          <w:p w:rsidR="001501F3" w:rsidRPr="00EE052E" w:rsidRDefault="001501F3" w:rsidP="000E1074">
            <w:pPr>
              <w:spacing w:after="120"/>
              <w:rPr>
                <w:b/>
                <w:bCs/>
              </w:rPr>
            </w:pPr>
            <w:r w:rsidRPr="00EE052E">
              <w:rPr>
                <w:b/>
                <w:bCs/>
              </w:rPr>
              <w:t>N/A</w:t>
            </w:r>
          </w:p>
        </w:tc>
        <w:tc>
          <w:tcPr>
            <w:tcW w:w="0" w:type="auto"/>
            <w:hideMark/>
          </w:tcPr>
          <w:p w:rsidR="001501F3" w:rsidRPr="00EE052E" w:rsidRDefault="001501F3" w:rsidP="000E1074">
            <w:pPr>
              <w:spacing w:after="120"/>
              <w:rPr>
                <w:b/>
                <w:bCs/>
              </w:rPr>
            </w:pPr>
            <w:r w:rsidRPr="00EE052E">
              <w:rPr>
                <w:b/>
                <w:bCs/>
              </w:rPr>
              <w:t>Rating Average</w:t>
            </w:r>
          </w:p>
        </w:tc>
        <w:tc>
          <w:tcPr>
            <w:tcW w:w="0" w:type="auto"/>
            <w:hideMark/>
          </w:tcPr>
          <w:p w:rsidR="001501F3" w:rsidRPr="00EE052E" w:rsidRDefault="001501F3" w:rsidP="000E1074">
            <w:pPr>
              <w:spacing w:after="120"/>
              <w:rPr>
                <w:b/>
                <w:bCs/>
              </w:rPr>
            </w:pPr>
            <w:r w:rsidRPr="00EE052E">
              <w:rPr>
                <w:b/>
                <w:bCs/>
              </w:rPr>
              <w:t>Response Count</w:t>
            </w:r>
          </w:p>
        </w:tc>
      </w:tr>
      <w:tr w:rsidR="001501F3" w:rsidRPr="00EE052E" w:rsidTr="00C57005">
        <w:trPr>
          <w:gridAfter w:val="1"/>
          <w:cnfStyle w:val="000000010000" w:firstRow="0" w:lastRow="0" w:firstColumn="0" w:lastColumn="0" w:oddVBand="0" w:evenVBand="0" w:oddHBand="0" w:evenHBand="1" w:firstRowFirstColumn="0" w:firstRowLastColumn="0" w:lastRowFirstColumn="0" w:lastRowLastColumn="0"/>
          <w:wAfter w:w="6" w:type="dxa"/>
          <w:trHeight w:val="255"/>
        </w:trPr>
        <w:tc>
          <w:tcPr>
            <w:tcW w:w="0" w:type="auto"/>
            <w:hideMark/>
          </w:tcPr>
          <w:p w:rsidR="001501F3" w:rsidRPr="00EE052E" w:rsidRDefault="001501F3" w:rsidP="000E1074">
            <w:pPr>
              <w:spacing w:after="120"/>
            </w:pPr>
            <w:r w:rsidRPr="00EE052E">
              <w:t>Responses</w:t>
            </w:r>
          </w:p>
        </w:tc>
        <w:tc>
          <w:tcPr>
            <w:tcW w:w="0" w:type="auto"/>
            <w:noWrap/>
            <w:hideMark/>
          </w:tcPr>
          <w:p w:rsidR="001501F3" w:rsidRPr="00EE052E" w:rsidRDefault="001501F3" w:rsidP="000E1074">
            <w:pPr>
              <w:spacing w:after="120"/>
            </w:pPr>
            <w:r w:rsidRPr="00EE052E">
              <w:t>4</w:t>
            </w:r>
          </w:p>
        </w:tc>
        <w:tc>
          <w:tcPr>
            <w:tcW w:w="0" w:type="auto"/>
            <w:noWrap/>
            <w:hideMark/>
          </w:tcPr>
          <w:p w:rsidR="001501F3" w:rsidRPr="00EE052E" w:rsidRDefault="001501F3" w:rsidP="000E1074">
            <w:pPr>
              <w:spacing w:after="120"/>
            </w:pPr>
            <w:r w:rsidRPr="00EE052E">
              <w:t>4</w:t>
            </w:r>
          </w:p>
        </w:tc>
        <w:tc>
          <w:tcPr>
            <w:tcW w:w="0" w:type="auto"/>
            <w:noWrap/>
            <w:hideMark/>
          </w:tcPr>
          <w:p w:rsidR="001501F3" w:rsidRPr="00EE052E" w:rsidRDefault="001501F3" w:rsidP="000E1074">
            <w:pPr>
              <w:spacing w:after="120"/>
            </w:pPr>
            <w:r w:rsidRPr="00EE052E">
              <w:t>0</w:t>
            </w:r>
          </w:p>
        </w:tc>
        <w:tc>
          <w:tcPr>
            <w:tcW w:w="0" w:type="auto"/>
            <w:noWrap/>
            <w:hideMark/>
          </w:tcPr>
          <w:p w:rsidR="001501F3" w:rsidRPr="00EE052E" w:rsidRDefault="001501F3" w:rsidP="000E1074">
            <w:pPr>
              <w:spacing w:after="120"/>
            </w:pPr>
            <w:r w:rsidRPr="00EE052E">
              <w:t>0</w:t>
            </w:r>
          </w:p>
        </w:tc>
        <w:tc>
          <w:tcPr>
            <w:tcW w:w="0" w:type="auto"/>
            <w:noWrap/>
            <w:hideMark/>
          </w:tcPr>
          <w:p w:rsidR="001501F3" w:rsidRPr="00EE052E" w:rsidRDefault="001501F3" w:rsidP="000E1074">
            <w:pPr>
              <w:spacing w:after="120"/>
            </w:pPr>
            <w:r w:rsidRPr="00EE052E">
              <w:t>1</w:t>
            </w:r>
          </w:p>
        </w:tc>
        <w:tc>
          <w:tcPr>
            <w:tcW w:w="0" w:type="auto"/>
            <w:noWrap/>
            <w:hideMark/>
          </w:tcPr>
          <w:p w:rsidR="001501F3" w:rsidRPr="00EE052E" w:rsidRDefault="001501F3" w:rsidP="000E1074">
            <w:pPr>
              <w:spacing w:after="120"/>
            </w:pPr>
            <w:r w:rsidRPr="00EE052E">
              <w:t>3.50</w:t>
            </w:r>
          </w:p>
        </w:tc>
        <w:tc>
          <w:tcPr>
            <w:tcW w:w="0" w:type="auto"/>
            <w:noWrap/>
            <w:hideMark/>
          </w:tcPr>
          <w:p w:rsidR="001501F3" w:rsidRPr="00EE052E" w:rsidRDefault="001501F3" w:rsidP="000E1074">
            <w:pPr>
              <w:spacing w:after="120"/>
            </w:pPr>
            <w:r w:rsidRPr="00EE052E">
              <w:t>9</w:t>
            </w:r>
          </w:p>
        </w:tc>
      </w:tr>
      <w:tr w:rsidR="001501F3" w:rsidRPr="00EE052E" w:rsidTr="00C57005">
        <w:trPr>
          <w:gridAfter w:val="1"/>
          <w:cnfStyle w:val="000000100000" w:firstRow="0" w:lastRow="0" w:firstColumn="0" w:lastColumn="0" w:oddVBand="0" w:evenVBand="0" w:oddHBand="1" w:evenHBand="0" w:firstRowFirstColumn="0" w:firstRowLastColumn="0" w:lastRowFirstColumn="0" w:lastRowLastColumn="0"/>
          <w:wAfter w:w="6" w:type="dxa"/>
          <w:trHeight w:val="255"/>
        </w:trPr>
        <w:tc>
          <w:tcPr>
            <w:tcW w:w="0" w:type="auto"/>
            <w:gridSpan w:val="7"/>
            <w:hideMark/>
          </w:tcPr>
          <w:p w:rsidR="001501F3" w:rsidRPr="00EE052E" w:rsidRDefault="001501F3" w:rsidP="000E1074">
            <w:pPr>
              <w:spacing w:after="120"/>
            </w:pPr>
            <w:r w:rsidRPr="00EE052E">
              <w:t>Additional Comments</w:t>
            </w:r>
          </w:p>
        </w:tc>
        <w:tc>
          <w:tcPr>
            <w:tcW w:w="0" w:type="auto"/>
            <w:noWrap/>
            <w:hideMark/>
          </w:tcPr>
          <w:p w:rsidR="001501F3" w:rsidRPr="00EE052E" w:rsidRDefault="001501F3" w:rsidP="000E1074">
            <w:pPr>
              <w:spacing w:after="120"/>
            </w:pPr>
            <w:r w:rsidRPr="00EE052E">
              <w:t>2</w:t>
            </w:r>
          </w:p>
        </w:tc>
      </w:tr>
      <w:tr w:rsidR="001501F3" w:rsidRPr="00EE052E" w:rsidTr="00C57005">
        <w:trPr>
          <w:gridAfter w:val="1"/>
          <w:cnfStyle w:val="000000010000" w:firstRow="0" w:lastRow="0" w:firstColumn="0" w:lastColumn="0" w:oddVBand="0" w:evenVBand="0" w:oddHBand="0" w:evenHBand="1" w:firstRowFirstColumn="0" w:firstRowLastColumn="0" w:lastRowFirstColumn="0" w:lastRowLastColumn="0"/>
          <w:wAfter w:w="6" w:type="dxa"/>
          <w:trHeight w:val="255"/>
        </w:trPr>
        <w:tc>
          <w:tcPr>
            <w:tcW w:w="0" w:type="auto"/>
            <w:gridSpan w:val="7"/>
            <w:noWrap/>
            <w:hideMark/>
          </w:tcPr>
          <w:p w:rsidR="001501F3" w:rsidRPr="00EE052E" w:rsidRDefault="001501F3" w:rsidP="000E1074">
            <w:pPr>
              <w:spacing w:after="120"/>
              <w:rPr>
                <w:b/>
                <w:bCs/>
                <w:i/>
                <w:iCs/>
              </w:rPr>
            </w:pPr>
            <w:r w:rsidRPr="00EE052E">
              <w:rPr>
                <w:b/>
                <w:bCs/>
                <w:i/>
                <w:iCs/>
              </w:rPr>
              <w:t>answered question</w:t>
            </w:r>
          </w:p>
        </w:tc>
        <w:tc>
          <w:tcPr>
            <w:tcW w:w="0" w:type="auto"/>
            <w:noWrap/>
            <w:hideMark/>
          </w:tcPr>
          <w:p w:rsidR="001501F3" w:rsidRPr="00EE052E" w:rsidRDefault="001501F3" w:rsidP="000E1074">
            <w:pPr>
              <w:spacing w:after="120"/>
              <w:rPr>
                <w:b/>
                <w:bCs/>
              </w:rPr>
            </w:pPr>
            <w:r w:rsidRPr="00EE052E">
              <w:rPr>
                <w:b/>
                <w:bCs/>
              </w:rPr>
              <w:t>9</w:t>
            </w:r>
          </w:p>
        </w:tc>
      </w:tr>
      <w:tr w:rsidR="001501F3" w:rsidRPr="00EE052E" w:rsidTr="00C57005">
        <w:trPr>
          <w:gridAfter w:val="1"/>
          <w:cnfStyle w:val="000000100000" w:firstRow="0" w:lastRow="0" w:firstColumn="0" w:lastColumn="0" w:oddVBand="0" w:evenVBand="0" w:oddHBand="1" w:evenHBand="0" w:firstRowFirstColumn="0" w:firstRowLastColumn="0" w:lastRowFirstColumn="0" w:lastRowLastColumn="0"/>
          <w:wAfter w:w="6" w:type="dxa"/>
          <w:trHeight w:val="255"/>
        </w:trPr>
        <w:tc>
          <w:tcPr>
            <w:tcW w:w="0" w:type="auto"/>
            <w:gridSpan w:val="7"/>
            <w:noWrap/>
            <w:hideMark/>
          </w:tcPr>
          <w:p w:rsidR="001501F3" w:rsidRPr="00EE052E" w:rsidRDefault="001501F3" w:rsidP="000E1074">
            <w:pPr>
              <w:spacing w:after="120"/>
              <w:rPr>
                <w:b/>
                <w:bCs/>
                <w:i/>
                <w:iCs/>
              </w:rPr>
            </w:pPr>
            <w:r w:rsidRPr="00EE052E">
              <w:rPr>
                <w:b/>
                <w:bCs/>
                <w:i/>
                <w:iCs/>
              </w:rPr>
              <w:t>skipped question</w:t>
            </w:r>
          </w:p>
        </w:tc>
        <w:tc>
          <w:tcPr>
            <w:tcW w:w="0" w:type="auto"/>
            <w:noWrap/>
            <w:hideMark/>
          </w:tcPr>
          <w:p w:rsidR="001501F3" w:rsidRPr="00EE052E" w:rsidRDefault="001501F3" w:rsidP="000E1074">
            <w:pPr>
              <w:spacing w:after="120"/>
              <w:rPr>
                <w:b/>
                <w:bCs/>
              </w:rPr>
            </w:pPr>
            <w:r w:rsidRPr="00EE052E">
              <w:rPr>
                <w:b/>
                <w:bCs/>
              </w:rPr>
              <w:t>2</w:t>
            </w:r>
          </w:p>
        </w:tc>
      </w:tr>
      <w:tr w:rsidR="00C57005" w:rsidRPr="00EE052E" w:rsidTr="000E1074">
        <w:trPr>
          <w:cnfStyle w:val="000000010000" w:firstRow="0" w:lastRow="0" w:firstColumn="0" w:lastColumn="0" w:oddVBand="0" w:evenVBand="0" w:oddHBand="0" w:evenHBand="1" w:firstRowFirstColumn="0" w:firstRowLastColumn="0" w:lastRowFirstColumn="0" w:lastRowLastColumn="0"/>
          <w:trHeight w:val="228"/>
        </w:trPr>
        <w:tc>
          <w:tcPr>
            <w:tcW w:w="8784" w:type="dxa"/>
            <w:gridSpan w:val="9"/>
            <w:shd w:val="clear" w:color="auto" w:fill="595959" w:themeFill="text1" w:themeFillTint="A6"/>
            <w:hideMark/>
          </w:tcPr>
          <w:p w:rsidR="00C57005" w:rsidRPr="00EE052E" w:rsidRDefault="00C57005" w:rsidP="000E1074">
            <w:pPr>
              <w:spacing w:after="120"/>
              <w:rPr>
                <w:bCs/>
              </w:rPr>
            </w:pPr>
            <w:r w:rsidRPr="00C57005">
              <w:rPr>
                <w:b/>
                <w:bCs/>
                <w:color w:val="FFFFFF" w:themeColor="background1"/>
              </w:rPr>
              <w:t>Additional Comments</w:t>
            </w:r>
          </w:p>
        </w:tc>
      </w:tr>
      <w:tr w:rsidR="00C57005" w:rsidRPr="00EE052E" w:rsidTr="00C57005">
        <w:trPr>
          <w:cnfStyle w:val="000000100000" w:firstRow="0" w:lastRow="0" w:firstColumn="0" w:lastColumn="0" w:oddVBand="0" w:evenVBand="0" w:oddHBand="1" w:evenHBand="0" w:firstRowFirstColumn="0" w:firstRowLastColumn="0" w:lastRowFirstColumn="0" w:lastRowLastColumn="0"/>
          <w:trHeight w:val="255"/>
        </w:trPr>
        <w:tc>
          <w:tcPr>
            <w:tcW w:w="8784" w:type="dxa"/>
            <w:gridSpan w:val="9"/>
            <w:noWrap/>
            <w:hideMark/>
          </w:tcPr>
          <w:p w:rsidR="00C57005" w:rsidRPr="00EE052E" w:rsidRDefault="00C57005" w:rsidP="000E1074">
            <w:pPr>
              <w:spacing w:after="120"/>
            </w:pPr>
            <w:r w:rsidRPr="00EE052E">
              <w:t>Not sure that NOPTA does or doesn't.</w:t>
            </w:r>
            <w:r w:rsidRPr="00EE052E">
              <w:br/>
            </w:r>
            <w:r w:rsidRPr="00EE052E">
              <w:br/>
              <w:t>How am I to know? Only if I find out about it. What if confidentiality is not maintained but I don't find out about it?</w:t>
            </w:r>
          </w:p>
        </w:tc>
      </w:tr>
      <w:tr w:rsidR="00C57005" w:rsidRPr="00EE052E" w:rsidTr="00C57005">
        <w:trPr>
          <w:cnfStyle w:val="000000010000" w:firstRow="0" w:lastRow="0" w:firstColumn="0" w:lastColumn="0" w:oddVBand="0" w:evenVBand="0" w:oddHBand="0" w:evenHBand="1" w:firstRowFirstColumn="0" w:firstRowLastColumn="0" w:lastRowFirstColumn="0" w:lastRowLastColumn="0"/>
          <w:trHeight w:val="255"/>
        </w:trPr>
        <w:tc>
          <w:tcPr>
            <w:tcW w:w="8784" w:type="dxa"/>
            <w:gridSpan w:val="9"/>
            <w:noWrap/>
            <w:hideMark/>
          </w:tcPr>
          <w:p w:rsidR="00C57005" w:rsidRPr="00EE052E" w:rsidRDefault="00C57005" w:rsidP="000E1074">
            <w:pPr>
              <w:spacing w:after="120"/>
            </w:pPr>
            <w:r w:rsidRPr="00EE052E">
              <w:t>We do not submit data to NOPTA</w:t>
            </w:r>
          </w:p>
        </w:tc>
      </w:tr>
    </w:tbl>
    <w:p w:rsidR="001501F3" w:rsidRDefault="001501F3" w:rsidP="00E42D56">
      <w:pPr>
        <w:pStyle w:val="Heading30"/>
      </w:pPr>
      <w:bookmarkStart w:id="152" w:name="_Toc423426811"/>
      <w:bookmarkStart w:id="153" w:name="_Toc430102220"/>
      <w:r>
        <w:lastRenderedPageBreak/>
        <w:t>Your Relationship with NOPTA</w:t>
      </w:r>
      <w:bookmarkEnd w:id="152"/>
      <w:bookmarkEnd w:id="153"/>
    </w:p>
    <w:tbl>
      <w:tblPr>
        <w:tblStyle w:val="TableGrid"/>
        <w:tblW w:w="8784" w:type="dxa"/>
        <w:tblLook w:val="04A0" w:firstRow="1" w:lastRow="0" w:firstColumn="1" w:lastColumn="0" w:noHBand="0" w:noVBand="1"/>
      </w:tblPr>
      <w:tblGrid>
        <w:gridCol w:w="1148"/>
        <w:gridCol w:w="847"/>
        <w:gridCol w:w="797"/>
        <w:gridCol w:w="1187"/>
        <w:gridCol w:w="1337"/>
        <w:gridCol w:w="877"/>
        <w:gridCol w:w="536"/>
        <w:gridCol w:w="951"/>
        <w:gridCol w:w="1099"/>
        <w:gridCol w:w="6"/>
      </w:tblGrid>
      <w:tr w:rsidR="001501F3" w:rsidRPr="00EE052E" w:rsidTr="000E1074">
        <w:trPr>
          <w:gridAfter w:val="1"/>
          <w:cnfStyle w:val="100000000000" w:firstRow="1" w:lastRow="0" w:firstColumn="0" w:lastColumn="0" w:oddVBand="0" w:evenVBand="0" w:oddHBand="0" w:evenHBand="0" w:firstRowFirstColumn="0" w:firstRowLastColumn="0" w:lastRowFirstColumn="0" w:lastRowLastColumn="0"/>
          <w:wAfter w:w="6" w:type="dxa"/>
          <w:trHeight w:val="56"/>
        </w:trPr>
        <w:tc>
          <w:tcPr>
            <w:tcW w:w="0" w:type="auto"/>
            <w:gridSpan w:val="9"/>
            <w:hideMark/>
          </w:tcPr>
          <w:p w:rsidR="001501F3" w:rsidRPr="00EE052E" w:rsidRDefault="001501F3" w:rsidP="000E1074">
            <w:pPr>
              <w:spacing w:after="120"/>
              <w:rPr>
                <w:bCs/>
              </w:rPr>
            </w:pPr>
            <w:r w:rsidRPr="00EE052E">
              <w:rPr>
                <w:bCs/>
              </w:rPr>
              <w:t>12. NOPTA is always available to assist with any enquiries I have.</w:t>
            </w:r>
          </w:p>
        </w:tc>
      </w:tr>
      <w:tr w:rsidR="001501F3" w:rsidRPr="00EE052E" w:rsidTr="00C57005">
        <w:trPr>
          <w:gridAfter w:val="1"/>
          <w:cnfStyle w:val="000000100000" w:firstRow="0" w:lastRow="0" w:firstColumn="0" w:lastColumn="0" w:oddVBand="0" w:evenVBand="0" w:oddHBand="1" w:evenHBand="0" w:firstRowFirstColumn="0" w:firstRowLastColumn="0" w:lastRowFirstColumn="0" w:lastRowLastColumn="0"/>
          <w:wAfter w:w="6" w:type="dxa"/>
          <w:trHeight w:val="600"/>
        </w:trPr>
        <w:tc>
          <w:tcPr>
            <w:tcW w:w="0" w:type="auto"/>
            <w:hideMark/>
          </w:tcPr>
          <w:p w:rsidR="001501F3" w:rsidRPr="00EE052E" w:rsidRDefault="001501F3" w:rsidP="000E1074">
            <w:pPr>
              <w:spacing w:after="120"/>
              <w:rPr>
                <w:b/>
                <w:bCs/>
              </w:rPr>
            </w:pPr>
            <w:r w:rsidRPr="00EE052E">
              <w:rPr>
                <w:b/>
                <w:bCs/>
              </w:rPr>
              <w:t>Answer Options</w:t>
            </w:r>
          </w:p>
        </w:tc>
        <w:tc>
          <w:tcPr>
            <w:tcW w:w="0" w:type="auto"/>
            <w:hideMark/>
          </w:tcPr>
          <w:p w:rsidR="001501F3" w:rsidRPr="00EE052E" w:rsidRDefault="001501F3" w:rsidP="000E1074">
            <w:pPr>
              <w:spacing w:after="120"/>
              <w:rPr>
                <w:b/>
                <w:bCs/>
              </w:rPr>
            </w:pPr>
            <w:r w:rsidRPr="00EE052E">
              <w:rPr>
                <w:b/>
                <w:bCs/>
              </w:rPr>
              <w:t>Always</w:t>
            </w:r>
          </w:p>
        </w:tc>
        <w:tc>
          <w:tcPr>
            <w:tcW w:w="0" w:type="auto"/>
            <w:hideMark/>
          </w:tcPr>
          <w:p w:rsidR="001501F3" w:rsidRPr="00EE052E" w:rsidRDefault="001501F3" w:rsidP="000E1074">
            <w:pPr>
              <w:spacing w:after="120"/>
              <w:rPr>
                <w:b/>
                <w:bCs/>
              </w:rPr>
            </w:pPr>
            <w:r w:rsidRPr="00EE052E">
              <w:rPr>
                <w:b/>
                <w:bCs/>
              </w:rPr>
              <w:t>Mostly</w:t>
            </w:r>
          </w:p>
        </w:tc>
        <w:tc>
          <w:tcPr>
            <w:tcW w:w="0" w:type="auto"/>
            <w:hideMark/>
          </w:tcPr>
          <w:p w:rsidR="001501F3" w:rsidRPr="00EE052E" w:rsidRDefault="001501F3" w:rsidP="000E1074">
            <w:pPr>
              <w:spacing w:after="120"/>
              <w:rPr>
                <w:b/>
                <w:bCs/>
              </w:rPr>
            </w:pPr>
            <w:r w:rsidRPr="00EE052E">
              <w:rPr>
                <w:b/>
                <w:bCs/>
              </w:rPr>
              <w:t>Sometimes</w:t>
            </w:r>
          </w:p>
        </w:tc>
        <w:tc>
          <w:tcPr>
            <w:tcW w:w="0" w:type="auto"/>
            <w:hideMark/>
          </w:tcPr>
          <w:p w:rsidR="001501F3" w:rsidRPr="00EE052E" w:rsidRDefault="001501F3" w:rsidP="000E1074">
            <w:pPr>
              <w:spacing w:after="120"/>
              <w:rPr>
                <w:b/>
                <w:bCs/>
              </w:rPr>
            </w:pPr>
            <w:r w:rsidRPr="00EE052E">
              <w:rPr>
                <w:b/>
                <w:bCs/>
              </w:rPr>
              <w:t>Occasionally</w:t>
            </w:r>
          </w:p>
        </w:tc>
        <w:tc>
          <w:tcPr>
            <w:tcW w:w="0" w:type="auto"/>
            <w:hideMark/>
          </w:tcPr>
          <w:p w:rsidR="001501F3" w:rsidRPr="00EE052E" w:rsidRDefault="001501F3" w:rsidP="000E1074">
            <w:pPr>
              <w:spacing w:after="120"/>
              <w:rPr>
                <w:b/>
                <w:bCs/>
              </w:rPr>
            </w:pPr>
            <w:r w:rsidRPr="00EE052E">
              <w:rPr>
                <w:b/>
                <w:bCs/>
              </w:rPr>
              <w:t>Seldom</w:t>
            </w:r>
          </w:p>
        </w:tc>
        <w:tc>
          <w:tcPr>
            <w:tcW w:w="0" w:type="auto"/>
            <w:hideMark/>
          </w:tcPr>
          <w:p w:rsidR="001501F3" w:rsidRPr="00EE052E" w:rsidRDefault="001501F3" w:rsidP="000E1074">
            <w:pPr>
              <w:spacing w:after="120"/>
              <w:rPr>
                <w:b/>
                <w:bCs/>
              </w:rPr>
            </w:pPr>
            <w:r w:rsidRPr="00EE052E">
              <w:rPr>
                <w:b/>
                <w:bCs/>
              </w:rPr>
              <w:t>N/A</w:t>
            </w:r>
          </w:p>
        </w:tc>
        <w:tc>
          <w:tcPr>
            <w:tcW w:w="0" w:type="auto"/>
            <w:hideMark/>
          </w:tcPr>
          <w:p w:rsidR="001501F3" w:rsidRPr="00EE052E" w:rsidRDefault="001501F3" w:rsidP="000E1074">
            <w:pPr>
              <w:spacing w:after="120"/>
              <w:rPr>
                <w:b/>
                <w:bCs/>
              </w:rPr>
            </w:pPr>
            <w:r w:rsidRPr="00EE052E">
              <w:rPr>
                <w:b/>
                <w:bCs/>
              </w:rPr>
              <w:t>Rating Average</w:t>
            </w:r>
          </w:p>
        </w:tc>
        <w:tc>
          <w:tcPr>
            <w:tcW w:w="0" w:type="auto"/>
            <w:hideMark/>
          </w:tcPr>
          <w:p w:rsidR="001501F3" w:rsidRPr="00EE052E" w:rsidRDefault="001501F3" w:rsidP="000E1074">
            <w:pPr>
              <w:spacing w:after="120"/>
              <w:rPr>
                <w:b/>
                <w:bCs/>
              </w:rPr>
            </w:pPr>
            <w:r w:rsidRPr="00EE052E">
              <w:rPr>
                <w:b/>
                <w:bCs/>
              </w:rPr>
              <w:t>Response Count</w:t>
            </w:r>
          </w:p>
        </w:tc>
      </w:tr>
      <w:tr w:rsidR="001501F3" w:rsidRPr="00EE052E" w:rsidTr="00C57005">
        <w:trPr>
          <w:gridAfter w:val="1"/>
          <w:cnfStyle w:val="000000010000" w:firstRow="0" w:lastRow="0" w:firstColumn="0" w:lastColumn="0" w:oddVBand="0" w:evenVBand="0" w:oddHBand="0" w:evenHBand="1" w:firstRowFirstColumn="0" w:firstRowLastColumn="0" w:lastRowFirstColumn="0" w:lastRowLastColumn="0"/>
          <w:wAfter w:w="6" w:type="dxa"/>
          <w:trHeight w:val="255"/>
        </w:trPr>
        <w:tc>
          <w:tcPr>
            <w:tcW w:w="0" w:type="auto"/>
            <w:hideMark/>
          </w:tcPr>
          <w:p w:rsidR="001501F3" w:rsidRPr="00EE052E" w:rsidRDefault="001501F3" w:rsidP="000E1074">
            <w:pPr>
              <w:spacing w:after="120"/>
            </w:pPr>
            <w:r w:rsidRPr="00EE052E">
              <w:t>Responses</w:t>
            </w:r>
          </w:p>
        </w:tc>
        <w:tc>
          <w:tcPr>
            <w:tcW w:w="0" w:type="auto"/>
            <w:noWrap/>
            <w:hideMark/>
          </w:tcPr>
          <w:p w:rsidR="001501F3" w:rsidRPr="00EE052E" w:rsidRDefault="001501F3" w:rsidP="000E1074">
            <w:pPr>
              <w:spacing w:after="120"/>
            </w:pPr>
            <w:r w:rsidRPr="00EE052E">
              <w:t>6</w:t>
            </w:r>
          </w:p>
        </w:tc>
        <w:tc>
          <w:tcPr>
            <w:tcW w:w="0" w:type="auto"/>
            <w:noWrap/>
            <w:hideMark/>
          </w:tcPr>
          <w:p w:rsidR="001501F3" w:rsidRPr="00EE052E" w:rsidRDefault="001501F3" w:rsidP="000E1074">
            <w:pPr>
              <w:spacing w:after="120"/>
            </w:pPr>
            <w:r w:rsidRPr="00EE052E">
              <w:t>4</w:t>
            </w:r>
          </w:p>
        </w:tc>
        <w:tc>
          <w:tcPr>
            <w:tcW w:w="0" w:type="auto"/>
            <w:noWrap/>
            <w:hideMark/>
          </w:tcPr>
          <w:p w:rsidR="001501F3" w:rsidRPr="00EE052E" w:rsidRDefault="001501F3" w:rsidP="000E1074">
            <w:pPr>
              <w:spacing w:after="120"/>
            </w:pPr>
            <w:r w:rsidRPr="00EE052E">
              <w:t>0</w:t>
            </w:r>
          </w:p>
        </w:tc>
        <w:tc>
          <w:tcPr>
            <w:tcW w:w="0" w:type="auto"/>
            <w:noWrap/>
            <w:hideMark/>
          </w:tcPr>
          <w:p w:rsidR="001501F3" w:rsidRPr="00EE052E" w:rsidRDefault="001501F3" w:rsidP="000E1074">
            <w:pPr>
              <w:spacing w:after="120"/>
            </w:pPr>
            <w:r w:rsidRPr="00EE052E">
              <w:t>0</w:t>
            </w:r>
          </w:p>
        </w:tc>
        <w:tc>
          <w:tcPr>
            <w:tcW w:w="0" w:type="auto"/>
            <w:noWrap/>
            <w:hideMark/>
          </w:tcPr>
          <w:p w:rsidR="001501F3" w:rsidRPr="00EE052E" w:rsidRDefault="001501F3" w:rsidP="000E1074">
            <w:pPr>
              <w:spacing w:after="120"/>
            </w:pPr>
            <w:r w:rsidRPr="00EE052E">
              <w:t>0</w:t>
            </w:r>
          </w:p>
        </w:tc>
        <w:tc>
          <w:tcPr>
            <w:tcW w:w="0" w:type="auto"/>
            <w:noWrap/>
            <w:hideMark/>
          </w:tcPr>
          <w:p w:rsidR="001501F3" w:rsidRPr="00EE052E" w:rsidRDefault="001501F3" w:rsidP="000E1074">
            <w:pPr>
              <w:spacing w:after="120"/>
            </w:pPr>
            <w:r w:rsidRPr="00EE052E">
              <w:t>0</w:t>
            </w:r>
          </w:p>
        </w:tc>
        <w:tc>
          <w:tcPr>
            <w:tcW w:w="0" w:type="auto"/>
            <w:noWrap/>
            <w:hideMark/>
          </w:tcPr>
          <w:p w:rsidR="001501F3" w:rsidRPr="00EE052E" w:rsidRDefault="001501F3" w:rsidP="000E1074">
            <w:pPr>
              <w:spacing w:after="120"/>
            </w:pPr>
            <w:r w:rsidRPr="00EE052E">
              <w:t>4.60</w:t>
            </w:r>
          </w:p>
        </w:tc>
        <w:tc>
          <w:tcPr>
            <w:tcW w:w="0" w:type="auto"/>
            <w:noWrap/>
            <w:hideMark/>
          </w:tcPr>
          <w:p w:rsidR="001501F3" w:rsidRPr="00EE052E" w:rsidRDefault="001501F3" w:rsidP="000E1074">
            <w:pPr>
              <w:spacing w:after="120"/>
            </w:pPr>
            <w:r w:rsidRPr="00EE052E">
              <w:t>10</w:t>
            </w:r>
          </w:p>
        </w:tc>
      </w:tr>
      <w:tr w:rsidR="001501F3" w:rsidRPr="00EE052E" w:rsidTr="00C57005">
        <w:trPr>
          <w:gridAfter w:val="1"/>
          <w:cnfStyle w:val="000000100000" w:firstRow="0" w:lastRow="0" w:firstColumn="0" w:lastColumn="0" w:oddVBand="0" w:evenVBand="0" w:oddHBand="1" w:evenHBand="0" w:firstRowFirstColumn="0" w:firstRowLastColumn="0" w:lastRowFirstColumn="0" w:lastRowLastColumn="0"/>
          <w:wAfter w:w="6" w:type="dxa"/>
          <w:trHeight w:val="255"/>
        </w:trPr>
        <w:tc>
          <w:tcPr>
            <w:tcW w:w="0" w:type="auto"/>
            <w:gridSpan w:val="8"/>
            <w:hideMark/>
          </w:tcPr>
          <w:p w:rsidR="001501F3" w:rsidRPr="00EE052E" w:rsidRDefault="001501F3" w:rsidP="000E1074">
            <w:pPr>
              <w:spacing w:after="120"/>
            </w:pPr>
            <w:r w:rsidRPr="00EE052E">
              <w:t>Additional Comments</w:t>
            </w:r>
          </w:p>
        </w:tc>
        <w:tc>
          <w:tcPr>
            <w:tcW w:w="0" w:type="auto"/>
            <w:noWrap/>
            <w:hideMark/>
          </w:tcPr>
          <w:p w:rsidR="001501F3" w:rsidRPr="00EE052E" w:rsidRDefault="001501F3" w:rsidP="000E1074">
            <w:pPr>
              <w:spacing w:after="120"/>
            </w:pPr>
            <w:r w:rsidRPr="00EE052E">
              <w:t>1</w:t>
            </w:r>
          </w:p>
        </w:tc>
      </w:tr>
      <w:tr w:rsidR="001501F3" w:rsidRPr="00EE052E" w:rsidTr="00C57005">
        <w:trPr>
          <w:gridAfter w:val="1"/>
          <w:cnfStyle w:val="000000010000" w:firstRow="0" w:lastRow="0" w:firstColumn="0" w:lastColumn="0" w:oddVBand="0" w:evenVBand="0" w:oddHBand="0" w:evenHBand="1" w:firstRowFirstColumn="0" w:firstRowLastColumn="0" w:lastRowFirstColumn="0" w:lastRowLastColumn="0"/>
          <w:wAfter w:w="6" w:type="dxa"/>
          <w:trHeight w:val="255"/>
        </w:trPr>
        <w:tc>
          <w:tcPr>
            <w:tcW w:w="0" w:type="auto"/>
            <w:gridSpan w:val="8"/>
            <w:noWrap/>
            <w:hideMark/>
          </w:tcPr>
          <w:p w:rsidR="001501F3" w:rsidRPr="00EE052E" w:rsidRDefault="001501F3" w:rsidP="000E1074">
            <w:pPr>
              <w:spacing w:after="120"/>
              <w:rPr>
                <w:b/>
                <w:bCs/>
                <w:i/>
                <w:iCs/>
              </w:rPr>
            </w:pPr>
            <w:r w:rsidRPr="00EE052E">
              <w:rPr>
                <w:b/>
                <w:bCs/>
                <w:i/>
                <w:iCs/>
              </w:rPr>
              <w:t>answered question</w:t>
            </w:r>
          </w:p>
        </w:tc>
        <w:tc>
          <w:tcPr>
            <w:tcW w:w="0" w:type="auto"/>
            <w:noWrap/>
            <w:hideMark/>
          </w:tcPr>
          <w:p w:rsidR="001501F3" w:rsidRPr="00EE052E" w:rsidRDefault="001501F3" w:rsidP="000E1074">
            <w:pPr>
              <w:spacing w:after="120"/>
              <w:rPr>
                <w:b/>
                <w:bCs/>
              </w:rPr>
            </w:pPr>
            <w:r w:rsidRPr="00EE052E">
              <w:rPr>
                <w:b/>
                <w:bCs/>
              </w:rPr>
              <w:t>10</w:t>
            </w:r>
          </w:p>
        </w:tc>
      </w:tr>
      <w:tr w:rsidR="001501F3" w:rsidRPr="00EE052E" w:rsidTr="00C57005">
        <w:trPr>
          <w:gridAfter w:val="1"/>
          <w:cnfStyle w:val="000000100000" w:firstRow="0" w:lastRow="0" w:firstColumn="0" w:lastColumn="0" w:oddVBand="0" w:evenVBand="0" w:oddHBand="1" w:evenHBand="0" w:firstRowFirstColumn="0" w:firstRowLastColumn="0" w:lastRowFirstColumn="0" w:lastRowLastColumn="0"/>
          <w:wAfter w:w="6" w:type="dxa"/>
          <w:trHeight w:val="255"/>
        </w:trPr>
        <w:tc>
          <w:tcPr>
            <w:tcW w:w="0" w:type="auto"/>
            <w:gridSpan w:val="8"/>
            <w:noWrap/>
            <w:hideMark/>
          </w:tcPr>
          <w:p w:rsidR="001501F3" w:rsidRPr="00EE052E" w:rsidRDefault="001501F3" w:rsidP="000E1074">
            <w:pPr>
              <w:spacing w:after="120"/>
              <w:rPr>
                <w:b/>
                <w:bCs/>
                <w:i/>
                <w:iCs/>
              </w:rPr>
            </w:pPr>
            <w:r w:rsidRPr="00EE052E">
              <w:rPr>
                <w:b/>
                <w:bCs/>
                <w:i/>
                <w:iCs/>
              </w:rPr>
              <w:t>skipped question</w:t>
            </w:r>
          </w:p>
        </w:tc>
        <w:tc>
          <w:tcPr>
            <w:tcW w:w="0" w:type="auto"/>
            <w:noWrap/>
            <w:hideMark/>
          </w:tcPr>
          <w:p w:rsidR="001501F3" w:rsidRPr="00EE052E" w:rsidRDefault="001501F3" w:rsidP="000E1074">
            <w:pPr>
              <w:spacing w:after="120"/>
              <w:rPr>
                <w:b/>
                <w:bCs/>
              </w:rPr>
            </w:pPr>
            <w:r w:rsidRPr="00EE052E">
              <w:rPr>
                <w:b/>
                <w:bCs/>
              </w:rPr>
              <w:t>1</w:t>
            </w:r>
          </w:p>
        </w:tc>
      </w:tr>
      <w:tr w:rsidR="00C57005" w:rsidRPr="00EE052E" w:rsidTr="000E1074">
        <w:trPr>
          <w:cnfStyle w:val="000000010000" w:firstRow="0" w:lastRow="0" w:firstColumn="0" w:lastColumn="0" w:oddVBand="0" w:evenVBand="0" w:oddHBand="0" w:evenHBand="1" w:firstRowFirstColumn="0" w:firstRowLastColumn="0" w:lastRowFirstColumn="0" w:lastRowLastColumn="0"/>
          <w:trHeight w:val="354"/>
        </w:trPr>
        <w:tc>
          <w:tcPr>
            <w:tcW w:w="8784" w:type="dxa"/>
            <w:gridSpan w:val="10"/>
            <w:shd w:val="clear" w:color="auto" w:fill="595959" w:themeFill="text1" w:themeFillTint="A6"/>
            <w:hideMark/>
          </w:tcPr>
          <w:p w:rsidR="00C57005" w:rsidRPr="00EE052E" w:rsidRDefault="00C57005" w:rsidP="000E1074">
            <w:pPr>
              <w:spacing w:after="120"/>
              <w:rPr>
                <w:bCs/>
              </w:rPr>
            </w:pPr>
            <w:r w:rsidRPr="00C57005">
              <w:rPr>
                <w:b/>
                <w:bCs/>
                <w:color w:val="FFFFFF" w:themeColor="background1"/>
              </w:rPr>
              <w:t>Additional Comments</w:t>
            </w:r>
          </w:p>
        </w:tc>
      </w:tr>
      <w:tr w:rsidR="00C57005" w:rsidRPr="00EE052E" w:rsidTr="00C57005">
        <w:trPr>
          <w:cnfStyle w:val="000000100000" w:firstRow="0" w:lastRow="0" w:firstColumn="0" w:lastColumn="0" w:oddVBand="0" w:evenVBand="0" w:oddHBand="1" w:evenHBand="0" w:firstRowFirstColumn="0" w:firstRowLastColumn="0" w:lastRowFirstColumn="0" w:lastRowLastColumn="0"/>
          <w:trHeight w:val="255"/>
        </w:trPr>
        <w:tc>
          <w:tcPr>
            <w:tcW w:w="8784" w:type="dxa"/>
            <w:gridSpan w:val="10"/>
            <w:noWrap/>
            <w:hideMark/>
          </w:tcPr>
          <w:p w:rsidR="00C57005" w:rsidRPr="00EE052E" w:rsidRDefault="00C57005" w:rsidP="000E1074">
            <w:pPr>
              <w:spacing w:after="120"/>
            </w:pPr>
            <w:r w:rsidRPr="00EE052E">
              <w:t>Still a grey area when things get referred to the Joint Authority. Things under NOPTA's control are very good but the JA is a black box.</w:t>
            </w:r>
          </w:p>
        </w:tc>
      </w:tr>
    </w:tbl>
    <w:p w:rsidR="001501F3" w:rsidRDefault="001501F3" w:rsidP="001501F3"/>
    <w:tbl>
      <w:tblPr>
        <w:tblStyle w:val="TableGrid"/>
        <w:tblW w:w="0" w:type="auto"/>
        <w:tblLook w:val="04A0" w:firstRow="1" w:lastRow="0" w:firstColumn="1" w:lastColumn="0" w:noHBand="0" w:noVBand="1"/>
      </w:tblPr>
      <w:tblGrid>
        <w:gridCol w:w="1431"/>
        <w:gridCol w:w="1311"/>
        <w:gridCol w:w="737"/>
        <w:gridCol w:w="987"/>
        <w:gridCol w:w="1480"/>
        <w:gridCol w:w="536"/>
        <w:gridCol w:w="1323"/>
        <w:gridCol w:w="1448"/>
      </w:tblGrid>
      <w:tr w:rsidR="001501F3" w:rsidRPr="00EE052E" w:rsidTr="000E1074">
        <w:trPr>
          <w:cnfStyle w:val="100000000000" w:firstRow="1" w:lastRow="0" w:firstColumn="0" w:lastColumn="0" w:oddVBand="0" w:evenVBand="0" w:oddHBand="0" w:evenHBand="0" w:firstRowFirstColumn="0" w:firstRowLastColumn="0" w:lastRowFirstColumn="0" w:lastRowLastColumn="0"/>
          <w:trHeight w:val="308"/>
        </w:trPr>
        <w:tc>
          <w:tcPr>
            <w:tcW w:w="0" w:type="auto"/>
            <w:gridSpan w:val="8"/>
            <w:hideMark/>
          </w:tcPr>
          <w:p w:rsidR="001501F3" w:rsidRPr="00EE052E" w:rsidRDefault="001501F3" w:rsidP="000E1074">
            <w:pPr>
              <w:spacing w:after="120"/>
              <w:rPr>
                <w:bCs/>
              </w:rPr>
            </w:pPr>
            <w:r w:rsidRPr="00EE052E">
              <w:rPr>
                <w:bCs/>
              </w:rPr>
              <w:t>13. NOPTA provides information in a timely manner.</w:t>
            </w:r>
          </w:p>
        </w:tc>
      </w:tr>
      <w:tr w:rsidR="001501F3" w:rsidRPr="00EE052E" w:rsidTr="000E1074">
        <w:trPr>
          <w:cnfStyle w:val="000000100000" w:firstRow="0" w:lastRow="0" w:firstColumn="0" w:lastColumn="0" w:oddVBand="0" w:evenVBand="0" w:oddHBand="1" w:evenHBand="0" w:firstRowFirstColumn="0" w:firstRowLastColumn="0" w:lastRowFirstColumn="0" w:lastRowLastColumn="0"/>
          <w:trHeight w:val="428"/>
        </w:trPr>
        <w:tc>
          <w:tcPr>
            <w:tcW w:w="0" w:type="auto"/>
            <w:hideMark/>
          </w:tcPr>
          <w:p w:rsidR="001501F3" w:rsidRPr="00EE052E" w:rsidRDefault="001501F3" w:rsidP="000E1074">
            <w:pPr>
              <w:spacing w:after="120"/>
              <w:rPr>
                <w:b/>
                <w:bCs/>
              </w:rPr>
            </w:pPr>
            <w:r w:rsidRPr="00EE052E">
              <w:rPr>
                <w:b/>
                <w:bCs/>
              </w:rPr>
              <w:t>Answer Options</w:t>
            </w:r>
          </w:p>
        </w:tc>
        <w:tc>
          <w:tcPr>
            <w:tcW w:w="0" w:type="auto"/>
            <w:hideMark/>
          </w:tcPr>
          <w:p w:rsidR="001501F3" w:rsidRPr="00EE052E" w:rsidRDefault="001501F3" w:rsidP="000E1074">
            <w:pPr>
              <w:spacing w:after="120"/>
              <w:rPr>
                <w:b/>
                <w:bCs/>
              </w:rPr>
            </w:pPr>
            <w:r w:rsidRPr="00EE052E">
              <w:rPr>
                <w:b/>
                <w:bCs/>
              </w:rPr>
              <w:t>Strongly Agree</w:t>
            </w:r>
          </w:p>
        </w:tc>
        <w:tc>
          <w:tcPr>
            <w:tcW w:w="0" w:type="auto"/>
            <w:hideMark/>
          </w:tcPr>
          <w:p w:rsidR="001501F3" w:rsidRPr="00EE052E" w:rsidRDefault="001501F3" w:rsidP="000E1074">
            <w:pPr>
              <w:spacing w:after="120"/>
              <w:rPr>
                <w:b/>
                <w:bCs/>
              </w:rPr>
            </w:pPr>
            <w:r w:rsidRPr="00EE052E">
              <w:rPr>
                <w:b/>
                <w:bCs/>
              </w:rPr>
              <w:t>Agree</w:t>
            </w:r>
          </w:p>
        </w:tc>
        <w:tc>
          <w:tcPr>
            <w:tcW w:w="0" w:type="auto"/>
            <w:hideMark/>
          </w:tcPr>
          <w:p w:rsidR="001501F3" w:rsidRPr="00EE052E" w:rsidRDefault="001501F3" w:rsidP="000E1074">
            <w:pPr>
              <w:spacing w:after="120"/>
              <w:rPr>
                <w:b/>
                <w:bCs/>
              </w:rPr>
            </w:pPr>
            <w:r w:rsidRPr="00EE052E">
              <w:rPr>
                <w:b/>
                <w:bCs/>
              </w:rPr>
              <w:t>Disagree</w:t>
            </w:r>
          </w:p>
        </w:tc>
        <w:tc>
          <w:tcPr>
            <w:tcW w:w="0" w:type="auto"/>
            <w:hideMark/>
          </w:tcPr>
          <w:p w:rsidR="001501F3" w:rsidRPr="00EE052E" w:rsidRDefault="001501F3" w:rsidP="000E1074">
            <w:pPr>
              <w:spacing w:after="120"/>
              <w:rPr>
                <w:b/>
                <w:bCs/>
              </w:rPr>
            </w:pPr>
            <w:r w:rsidRPr="00EE052E">
              <w:rPr>
                <w:b/>
                <w:bCs/>
              </w:rPr>
              <w:t>Strongly Disagree</w:t>
            </w:r>
          </w:p>
        </w:tc>
        <w:tc>
          <w:tcPr>
            <w:tcW w:w="0" w:type="auto"/>
            <w:hideMark/>
          </w:tcPr>
          <w:p w:rsidR="001501F3" w:rsidRPr="00EE052E" w:rsidRDefault="001501F3" w:rsidP="000E1074">
            <w:pPr>
              <w:spacing w:after="120"/>
              <w:rPr>
                <w:b/>
                <w:bCs/>
              </w:rPr>
            </w:pPr>
            <w:r w:rsidRPr="00EE052E">
              <w:rPr>
                <w:b/>
                <w:bCs/>
              </w:rPr>
              <w:t>N/A</w:t>
            </w:r>
          </w:p>
        </w:tc>
        <w:tc>
          <w:tcPr>
            <w:tcW w:w="0" w:type="auto"/>
            <w:hideMark/>
          </w:tcPr>
          <w:p w:rsidR="001501F3" w:rsidRPr="00EE052E" w:rsidRDefault="001501F3" w:rsidP="000E1074">
            <w:pPr>
              <w:spacing w:after="120"/>
              <w:rPr>
                <w:b/>
                <w:bCs/>
              </w:rPr>
            </w:pPr>
            <w:r w:rsidRPr="00EE052E">
              <w:rPr>
                <w:b/>
                <w:bCs/>
              </w:rPr>
              <w:t>Rating Average</w:t>
            </w:r>
          </w:p>
        </w:tc>
        <w:tc>
          <w:tcPr>
            <w:tcW w:w="0" w:type="auto"/>
            <w:hideMark/>
          </w:tcPr>
          <w:p w:rsidR="001501F3" w:rsidRPr="00EE052E" w:rsidRDefault="001501F3" w:rsidP="000E1074">
            <w:pPr>
              <w:spacing w:after="120"/>
              <w:rPr>
                <w:b/>
                <w:bCs/>
              </w:rPr>
            </w:pPr>
            <w:r w:rsidRPr="00EE052E">
              <w:rPr>
                <w:b/>
                <w:bCs/>
              </w:rPr>
              <w:t>Response Count</w:t>
            </w:r>
          </w:p>
        </w:tc>
      </w:tr>
      <w:tr w:rsidR="001501F3" w:rsidRPr="00EE052E" w:rsidTr="001501F3">
        <w:trPr>
          <w:cnfStyle w:val="000000010000" w:firstRow="0" w:lastRow="0" w:firstColumn="0" w:lastColumn="0" w:oddVBand="0" w:evenVBand="0" w:oddHBand="0" w:evenHBand="1" w:firstRowFirstColumn="0" w:firstRowLastColumn="0" w:lastRowFirstColumn="0" w:lastRowLastColumn="0"/>
          <w:trHeight w:val="255"/>
        </w:trPr>
        <w:tc>
          <w:tcPr>
            <w:tcW w:w="0" w:type="auto"/>
            <w:hideMark/>
          </w:tcPr>
          <w:p w:rsidR="001501F3" w:rsidRPr="00EE052E" w:rsidRDefault="001501F3" w:rsidP="000E1074">
            <w:pPr>
              <w:spacing w:after="120"/>
            </w:pPr>
            <w:r w:rsidRPr="00EE052E">
              <w:t>Responses</w:t>
            </w:r>
          </w:p>
        </w:tc>
        <w:tc>
          <w:tcPr>
            <w:tcW w:w="0" w:type="auto"/>
            <w:noWrap/>
            <w:hideMark/>
          </w:tcPr>
          <w:p w:rsidR="001501F3" w:rsidRPr="00EE052E" w:rsidRDefault="001501F3" w:rsidP="000E1074">
            <w:pPr>
              <w:spacing w:after="120"/>
            </w:pPr>
            <w:r w:rsidRPr="00EE052E">
              <w:t>2</w:t>
            </w:r>
          </w:p>
        </w:tc>
        <w:tc>
          <w:tcPr>
            <w:tcW w:w="0" w:type="auto"/>
            <w:noWrap/>
            <w:hideMark/>
          </w:tcPr>
          <w:p w:rsidR="001501F3" w:rsidRPr="00EE052E" w:rsidRDefault="001501F3" w:rsidP="000E1074">
            <w:pPr>
              <w:spacing w:after="120"/>
            </w:pPr>
            <w:r w:rsidRPr="00EE052E">
              <w:t>8</w:t>
            </w:r>
          </w:p>
        </w:tc>
        <w:tc>
          <w:tcPr>
            <w:tcW w:w="0" w:type="auto"/>
            <w:noWrap/>
            <w:hideMark/>
          </w:tcPr>
          <w:p w:rsidR="001501F3" w:rsidRPr="00EE052E" w:rsidRDefault="001501F3" w:rsidP="000E1074">
            <w:pPr>
              <w:spacing w:after="120"/>
            </w:pPr>
            <w:r w:rsidRPr="00EE052E">
              <w:t>0</w:t>
            </w:r>
          </w:p>
        </w:tc>
        <w:tc>
          <w:tcPr>
            <w:tcW w:w="0" w:type="auto"/>
            <w:noWrap/>
            <w:hideMark/>
          </w:tcPr>
          <w:p w:rsidR="001501F3" w:rsidRPr="00EE052E" w:rsidRDefault="001501F3" w:rsidP="000E1074">
            <w:pPr>
              <w:spacing w:after="120"/>
            </w:pPr>
            <w:r w:rsidRPr="00EE052E">
              <w:t>0</w:t>
            </w:r>
          </w:p>
        </w:tc>
        <w:tc>
          <w:tcPr>
            <w:tcW w:w="0" w:type="auto"/>
            <w:noWrap/>
            <w:hideMark/>
          </w:tcPr>
          <w:p w:rsidR="001501F3" w:rsidRPr="00EE052E" w:rsidRDefault="001501F3" w:rsidP="000E1074">
            <w:pPr>
              <w:spacing w:after="120"/>
            </w:pPr>
            <w:r w:rsidRPr="00EE052E">
              <w:t>0</w:t>
            </w:r>
          </w:p>
        </w:tc>
        <w:tc>
          <w:tcPr>
            <w:tcW w:w="0" w:type="auto"/>
            <w:noWrap/>
            <w:hideMark/>
          </w:tcPr>
          <w:p w:rsidR="001501F3" w:rsidRPr="00EE052E" w:rsidRDefault="001501F3" w:rsidP="000E1074">
            <w:pPr>
              <w:spacing w:after="120"/>
            </w:pPr>
            <w:r w:rsidRPr="00EE052E">
              <w:t>3.20</w:t>
            </w:r>
          </w:p>
        </w:tc>
        <w:tc>
          <w:tcPr>
            <w:tcW w:w="0" w:type="auto"/>
            <w:noWrap/>
            <w:hideMark/>
          </w:tcPr>
          <w:p w:rsidR="001501F3" w:rsidRPr="00EE052E" w:rsidRDefault="001501F3" w:rsidP="000E1074">
            <w:pPr>
              <w:spacing w:after="120"/>
            </w:pPr>
            <w:r w:rsidRPr="00EE052E">
              <w:t>10</w:t>
            </w:r>
          </w:p>
        </w:tc>
      </w:tr>
      <w:tr w:rsidR="001501F3" w:rsidRPr="00EE052E" w:rsidTr="001501F3">
        <w:trPr>
          <w:cnfStyle w:val="000000100000" w:firstRow="0" w:lastRow="0" w:firstColumn="0" w:lastColumn="0" w:oddVBand="0" w:evenVBand="0" w:oddHBand="1" w:evenHBand="0" w:firstRowFirstColumn="0" w:firstRowLastColumn="0" w:lastRowFirstColumn="0" w:lastRowLastColumn="0"/>
          <w:trHeight w:val="255"/>
        </w:trPr>
        <w:tc>
          <w:tcPr>
            <w:tcW w:w="0" w:type="auto"/>
            <w:gridSpan w:val="7"/>
            <w:hideMark/>
          </w:tcPr>
          <w:p w:rsidR="001501F3" w:rsidRPr="00EE052E" w:rsidRDefault="001501F3" w:rsidP="000E1074">
            <w:pPr>
              <w:spacing w:after="120"/>
            </w:pPr>
            <w:r w:rsidRPr="00EE052E">
              <w:t>Additional Comments</w:t>
            </w:r>
          </w:p>
        </w:tc>
        <w:tc>
          <w:tcPr>
            <w:tcW w:w="0" w:type="auto"/>
            <w:noWrap/>
            <w:hideMark/>
          </w:tcPr>
          <w:p w:rsidR="001501F3" w:rsidRPr="00EE052E" w:rsidRDefault="001501F3" w:rsidP="000E1074">
            <w:pPr>
              <w:spacing w:after="120"/>
            </w:pPr>
            <w:r w:rsidRPr="00EE052E">
              <w:t>0</w:t>
            </w:r>
          </w:p>
        </w:tc>
      </w:tr>
      <w:tr w:rsidR="001501F3" w:rsidRPr="00EE052E" w:rsidTr="001501F3">
        <w:trPr>
          <w:cnfStyle w:val="000000010000" w:firstRow="0" w:lastRow="0" w:firstColumn="0" w:lastColumn="0" w:oddVBand="0" w:evenVBand="0" w:oddHBand="0" w:evenHBand="1" w:firstRowFirstColumn="0" w:firstRowLastColumn="0" w:lastRowFirstColumn="0" w:lastRowLastColumn="0"/>
          <w:trHeight w:val="255"/>
        </w:trPr>
        <w:tc>
          <w:tcPr>
            <w:tcW w:w="0" w:type="auto"/>
            <w:gridSpan w:val="7"/>
            <w:noWrap/>
            <w:hideMark/>
          </w:tcPr>
          <w:p w:rsidR="001501F3" w:rsidRPr="00EE052E" w:rsidRDefault="001501F3" w:rsidP="000E1074">
            <w:pPr>
              <w:spacing w:after="120"/>
              <w:rPr>
                <w:b/>
                <w:bCs/>
                <w:i/>
                <w:iCs/>
              </w:rPr>
            </w:pPr>
            <w:r w:rsidRPr="00EE052E">
              <w:rPr>
                <w:b/>
                <w:bCs/>
                <w:i/>
                <w:iCs/>
              </w:rPr>
              <w:t>answered question</w:t>
            </w:r>
          </w:p>
        </w:tc>
        <w:tc>
          <w:tcPr>
            <w:tcW w:w="0" w:type="auto"/>
            <w:noWrap/>
            <w:hideMark/>
          </w:tcPr>
          <w:p w:rsidR="001501F3" w:rsidRPr="00EE052E" w:rsidRDefault="001501F3" w:rsidP="000E1074">
            <w:pPr>
              <w:spacing w:after="120"/>
              <w:rPr>
                <w:b/>
                <w:bCs/>
              </w:rPr>
            </w:pPr>
            <w:r w:rsidRPr="00EE052E">
              <w:rPr>
                <w:b/>
                <w:bCs/>
              </w:rPr>
              <w:t>10</w:t>
            </w:r>
          </w:p>
        </w:tc>
      </w:tr>
      <w:tr w:rsidR="001501F3" w:rsidRPr="00EE052E" w:rsidTr="001501F3">
        <w:trPr>
          <w:cnfStyle w:val="000000100000" w:firstRow="0" w:lastRow="0" w:firstColumn="0" w:lastColumn="0" w:oddVBand="0" w:evenVBand="0" w:oddHBand="1" w:evenHBand="0" w:firstRowFirstColumn="0" w:firstRowLastColumn="0" w:lastRowFirstColumn="0" w:lastRowLastColumn="0"/>
          <w:trHeight w:val="255"/>
        </w:trPr>
        <w:tc>
          <w:tcPr>
            <w:tcW w:w="0" w:type="auto"/>
            <w:gridSpan w:val="7"/>
            <w:noWrap/>
            <w:hideMark/>
          </w:tcPr>
          <w:p w:rsidR="001501F3" w:rsidRPr="00EE052E" w:rsidRDefault="001501F3" w:rsidP="000E1074">
            <w:pPr>
              <w:spacing w:after="120"/>
              <w:rPr>
                <w:b/>
                <w:bCs/>
                <w:i/>
                <w:iCs/>
              </w:rPr>
            </w:pPr>
            <w:r w:rsidRPr="00EE052E">
              <w:rPr>
                <w:b/>
                <w:bCs/>
                <w:i/>
                <w:iCs/>
              </w:rPr>
              <w:t>skipped question</w:t>
            </w:r>
          </w:p>
        </w:tc>
        <w:tc>
          <w:tcPr>
            <w:tcW w:w="0" w:type="auto"/>
            <w:noWrap/>
            <w:hideMark/>
          </w:tcPr>
          <w:p w:rsidR="001501F3" w:rsidRPr="00EE052E" w:rsidRDefault="001501F3" w:rsidP="000E1074">
            <w:pPr>
              <w:spacing w:after="120"/>
              <w:rPr>
                <w:b/>
                <w:bCs/>
              </w:rPr>
            </w:pPr>
            <w:r w:rsidRPr="00EE052E">
              <w:rPr>
                <w:b/>
                <w:bCs/>
              </w:rPr>
              <w:t>1</w:t>
            </w:r>
          </w:p>
        </w:tc>
      </w:tr>
    </w:tbl>
    <w:p w:rsidR="001501F3" w:rsidRDefault="001501F3" w:rsidP="001501F3"/>
    <w:tbl>
      <w:tblPr>
        <w:tblStyle w:val="TableGrid"/>
        <w:tblW w:w="0" w:type="auto"/>
        <w:tblLook w:val="04A0" w:firstRow="1" w:lastRow="0" w:firstColumn="1" w:lastColumn="0" w:noHBand="0" w:noVBand="1"/>
      </w:tblPr>
      <w:tblGrid>
        <w:gridCol w:w="1431"/>
        <w:gridCol w:w="1311"/>
        <w:gridCol w:w="737"/>
        <w:gridCol w:w="987"/>
        <w:gridCol w:w="1480"/>
        <w:gridCol w:w="536"/>
        <w:gridCol w:w="1323"/>
        <w:gridCol w:w="1448"/>
      </w:tblGrid>
      <w:tr w:rsidR="001501F3" w:rsidRPr="00EE052E" w:rsidTr="001501F3">
        <w:trPr>
          <w:cnfStyle w:val="100000000000" w:firstRow="1" w:lastRow="0" w:firstColumn="0" w:lastColumn="0" w:oddVBand="0" w:evenVBand="0" w:oddHBand="0" w:evenHBand="0" w:firstRowFirstColumn="0" w:firstRowLastColumn="0" w:lastRowFirstColumn="0" w:lastRowLastColumn="0"/>
          <w:trHeight w:val="499"/>
        </w:trPr>
        <w:tc>
          <w:tcPr>
            <w:tcW w:w="0" w:type="auto"/>
            <w:gridSpan w:val="8"/>
            <w:hideMark/>
          </w:tcPr>
          <w:p w:rsidR="001501F3" w:rsidRPr="00EE052E" w:rsidRDefault="001501F3" w:rsidP="000E1074">
            <w:pPr>
              <w:spacing w:after="120"/>
              <w:rPr>
                <w:bCs/>
              </w:rPr>
            </w:pPr>
            <w:r w:rsidRPr="00EE052E">
              <w:rPr>
                <w:bCs/>
              </w:rPr>
              <w:t>14. The information that NOPTA provides is accurate.</w:t>
            </w:r>
          </w:p>
        </w:tc>
      </w:tr>
      <w:tr w:rsidR="001501F3" w:rsidRPr="00EE052E" w:rsidTr="001501F3">
        <w:trPr>
          <w:cnfStyle w:val="000000100000" w:firstRow="0" w:lastRow="0" w:firstColumn="0" w:lastColumn="0" w:oddVBand="0" w:evenVBand="0" w:oddHBand="1" w:evenHBand="0" w:firstRowFirstColumn="0" w:firstRowLastColumn="0" w:lastRowFirstColumn="0" w:lastRowLastColumn="0"/>
          <w:trHeight w:val="600"/>
        </w:trPr>
        <w:tc>
          <w:tcPr>
            <w:tcW w:w="0" w:type="auto"/>
            <w:hideMark/>
          </w:tcPr>
          <w:p w:rsidR="001501F3" w:rsidRPr="00EE052E" w:rsidRDefault="001501F3" w:rsidP="000E1074">
            <w:pPr>
              <w:spacing w:after="120"/>
              <w:rPr>
                <w:b/>
                <w:bCs/>
              </w:rPr>
            </w:pPr>
            <w:r w:rsidRPr="00EE052E">
              <w:rPr>
                <w:b/>
                <w:bCs/>
              </w:rPr>
              <w:t>Answer Options</w:t>
            </w:r>
          </w:p>
        </w:tc>
        <w:tc>
          <w:tcPr>
            <w:tcW w:w="0" w:type="auto"/>
            <w:hideMark/>
          </w:tcPr>
          <w:p w:rsidR="001501F3" w:rsidRPr="00EE052E" w:rsidRDefault="001501F3" w:rsidP="000E1074">
            <w:pPr>
              <w:spacing w:after="120"/>
              <w:rPr>
                <w:b/>
                <w:bCs/>
              </w:rPr>
            </w:pPr>
            <w:r w:rsidRPr="00EE052E">
              <w:rPr>
                <w:b/>
                <w:bCs/>
              </w:rPr>
              <w:t>Strongly Agree</w:t>
            </w:r>
          </w:p>
        </w:tc>
        <w:tc>
          <w:tcPr>
            <w:tcW w:w="0" w:type="auto"/>
            <w:hideMark/>
          </w:tcPr>
          <w:p w:rsidR="001501F3" w:rsidRPr="00EE052E" w:rsidRDefault="001501F3" w:rsidP="000E1074">
            <w:pPr>
              <w:spacing w:after="120"/>
              <w:rPr>
                <w:b/>
                <w:bCs/>
              </w:rPr>
            </w:pPr>
            <w:r w:rsidRPr="00EE052E">
              <w:rPr>
                <w:b/>
                <w:bCs/>
              </w:rPr>
              <w:t>Agree</w:t>
            </w:r>
          </w:p>
        </w:tc>
        <w:tc>
          <w:tcPr>
            <w:tcW w:w="0" w:type="auto"/>
            <w:hideMark/>
          </w:tcPr>
          <w:p w:rsidR="001501F3" w:rsidRPr="00EE052E" w:rsidRDefault="001501F3" w:rsidP="000E1074">
            <w:pPr>
              <w:spacing w:after="120"/>
              <w:rPr>
                <w:b/>
                <w:bCs/>
              </w:rPr>
            </w:pPr>
            <w:r w:rsidRPr="00EE052E">
              <w:rPr>
                <w:b/>
                <w:bCs/>
              </w:rPr>
              <w:t>Disagree</w:t>
            </w:r>
          </w:p>
        </w:tc>
        <w:tc>
          <w:tcPr>
            <w:tcW w:w="0" w:type="auto"/>
            <w:hideMark/>
          </w:tcPr>
          <w:p w:rsidR="001501F3" w:rsidRPr="00EE052E" w:rsidRDefault="001501F3" w:rsidP="000E1074">
            <w:pPr>
              <w:spacing w:after="120"/>
              <w:rPr>
                <w:b/>
                <w:bCs/>
              </w:rPr>
            </w:pPr>
            <w:r w:rsidRPr="00EE052E">
              <w:rPr>
                <w:b/>
                <w:bCs/>
              </w:rPr>
              <w:t>Strongly Disagree</w:t>
            </w:r>
          </w:p>
        </w:tc>
        <w:tc>
          <w:tcPr>
            <w:tcW w:w="0" w:type="auto"/>
            <w:hideMark/>
          </w:tcPr>
          <w:p w:rsidR="001501F3" w:rsidRPr="00EE052E" w:rsidRDefault="001501F3" w:rsidP="000E1074">
            <w:pPr>
              <w:spacing w:after="120"/>
              <w:rPr>
                <w:b/>
                <w:bCs/>
              </w:rPr>
            </w:pPr>
            <w:r w:rsidRPr="00EE052E">
              <w:rPr>
                <w:b/>
                <w:bCs/>
              </w:rPr>
              <w:t>N/A</w:t>
            </w:r>
          </w:p>
        </w:tc>
        <w:tc>
          <w:tcPr>
            <w:tcW w:w="0" w:type="auto"/>
            <w:hideMark/>
          </w:tcPr>
          <w:p w:rsidR="001501F3" w:rsidRPr="00EE052E" w:rsidRDefault="001501F3" w:rsidP="000E1074">
            <w:pPr>
              <w:spacing w:after="120"/>
              <w:rPr>
                <w:b/>
                <w:bCs/>
              </w:rPr>
            </w:pPr>
            <w:r w:rsidRPr="00EE052E">
              <w:rPr>
                <w:b/>
                <w:bCs/>
              </w:rPr>
              <w:t>Rating Average</w:t>
            </w:r>
          </w:p>
        </w:tc>
        <w:tc>
          <w:tcPr>
            <w:tcW w:w="0" w:type="auto"/>
            <w:hideMark/>
          </w:tcPr>
          <w:p w:rsidR="001501F3" w:rsidRPr="00EE052E" w:rsidRDefault="001501F3" w:rsidP="000E1074">
            <w:pPr>
              <w:spacing w:after="120"/>
              <w:rPr>
                <w:b/>
                <w:bCs/>
              </w:rPr>
            </w:pPr>
            <w:r w:rsidRPr="00EE052E">
              <w:rPr>
                <w:b/>
                <w:bCs/>
              </w:rPr>
              <w:t>Response Count</w:t>
            </w:r>
          </w:p>
        </w:tc>
      </w:tr>
      <w:tr w:rsidR="001501F3" w:rsidRPr="00EE052E" w:rsidTr="001501F3">
        <w:trPr>
          <w:cnfStyle w:val="000000010000" w:firstRow="0" w:lastRow="0" w:firstColumn="0" w:lastColumn="0" w:oddVBand="0" w:evenVBand="0" w:oddHBand="0" w:evenHBand="1" w:firstRowFirstColumn="0" w:firstRowLastColumn="0" w:lastRowFirstColumn="0" w:lastRowLastColumn="0"/>
          <w:trHeight w:val="255"/>
        </w:trPr>
        <w:tc>
          <w:tcPr>
            <w:tcW w:w="0" w:type="auto"/>
            <w:hideMark/>
          </w:tcPr>
          <w:p w:rsidR="001501F3" w:rsidRPr="00EE052E" w:rsidRDefault="001501F3" w:rsidP="000E1074">
            <w:pPr>
              <w:spacing w:after="120"/>
            </w:pPr>
            <w:r w:rsidRPr="00EE052E">
              <w:t>Responses</w:t>
            </w:r>
          </w:p>
        </w:tc>
        <w:tc>
          <w:tcPr>
            <w:tcW w:w="0" w:type="auto"/>
            <w:noWrap/>
            <w:hideMark/>
          </w:tcPr>
          <w:p w:rsidR="001501F3" w:rsidRPr="00EE052E" w:rsidRDefault="001501F3" w:rsidP="000E1074">
            <w:pPr>
              <w:spacing w:after="120"/>
            </w:pPr>
            <w:r w:rsidRPr="00EE052E">
              <w:t>5</w:t>
            </w:r>
          </w:p>
        </w:tc>
        <w:tc>
          <w:tcPr>
            <w:tcW w:w="0" w:type="auto"/>
            <w:noWrap/>
            <w:hideMark/>
          </w:tcPr>
          <w:p w:rsidR="001501F3" w:rsidRPr="00EE052E" w:rsidRDefault="001501F3" w:rsidP="000E1074">
            <w:pPr>
              <w:spacing w:after="120"/>
            </w:pPr>
            <w:r w:rsidRPr="00EE052E">
              <w:t>5</w:t>
            </w:r>
          </w:p>
        </w:tc>
        <w:tc>
          <w:tcPr>
            <w:tcW w:w="0" w:type="auto"/>
            <w:noWrap/>
            <w:hideMark/>
          </w:tcPr>
          <w:p w:rsidR="001501F3" w:rsidRPr="00EE052E" w:rsidRDefault="001501F3" w:rsidP="000E1074">
            <w:pPr>
              <w:spacing w:after="120"/>
            </w:pPr>
            <w:r w:rsidRPr="00EE052E">
              <w:t>0</w:t>
            </w:r>
          </w:p>
        </w:tc>
        <w:tc>
          <w:tcPr>
            <w:tcW w:w="0" w:type="auto"/>
            <w:noWrap/>
            <w:hideMark/>
          </w:tcPr>
          <w:p w:rsidR="001501F3" w:rsidRPr="00EE052E" w:rsidRDefault="001501F3" w:rsidP="000E1074">
            <w:pPr>
              <w:spacing w:after="120"/>
            </w:pPr>
            <w:r w:rsidRPr="00EE052E">
              <w:t>0</w:t>
            </w:r>
          </w:p>
        </w:tc>
        <w:tc>
          <w:tcPr>
            <w:tcW w:w="0" w:type="auto"/>
            <w:noWrap/>
            <w:hideMark/>
          </w:tcPr>
          <w:p w:rsidR="001501F3" w:rsidRPr="00EE052E" w:rsidRDefault="001501F3" w:rsidP="000E1074">
            <w:pPr>
              <w:spacing w:after="120"/>
            </w:pPr>
            <w:r w:rsidRPr="00EE052E">
              <w:t>0</w:t>
            </w:r>
          </w:p>
        </w:tc>
        <w:tc>
          <w:tcPr>
            <w:tcW w:w="0" w:type="auto"/>
            <w:noWrap/>
            <w:hideMark/>
          </w:tcPr>
          <w:p w:rsidR="001501F3" w:rsidRPr="00EE052E" w:rsidRDefault="001501F3" w:rsidP="000E1074">
            <w:pPr>
              <w:spacing w:after="120"/>
            </w:pPr>
            <w:r w:rsidRPr="00EE052E">
              <w:t>3.50</w:t>
            </w:r>
          </w:p>
        </w:tc>
        <w:tc>
          <w:tcPr>
            <w:tcW w:w="0" w:type="auto"/>
            <w:noWrap/>
            <w:hideMark/>
          </w:tcPr>
          <w:p w:rsidR="001501F3" w:rsidRPr="00EE052E" w:rsidRDefault="001501F3" w:rsidP="000E1074">
            <w:pPr>
              <w:spacing w:after="120"/>
            </w:pPr>
            <w:r w:rsidRPr="00EE052E">
              <w:t>10</w:t>
            </w:r>
          </w:p>
        </w:tc>
      </w:tr>
      <w:tr w:rsidR="001501F3" w:rsidRPr="00EE052E" w:rsidTr="001501F3">
        <w:trPr>
          <w:cnfStyle w:val="000000100000" w:firstRow="0" w:lastRow="0" w:firstColumn="0" w:lastColumn="0" w:oddVBand="0" w:evenVBand="0" w:oddHBand="1" w:evenHBand="0" w:firstRowFirstColumn="0" w:firstRowLastColumn="0" w:lastRowFirstColumn="0" w:lastRowLastColumn="0"/>
          <w:trHeight w:val="255"/>
        </w:trPr>
        <w:tc>
          <w:tcPr>
            <w:tcW w:w="0" w:type="auto"/>
            <w:gridSpan w:val="7"/>
            <w:hideMark/>
          </w:tcPr>
          <w:p w:rsidR="001501F3" w:rsidRPr="00EE052E" w:rsidRDefault="001501F3" w:rsidP="000E1074">
            <w:pPr>
              <w:spacing w:after="120"/>
            </w:pPr>
            <w:r w:rsidRPr="00EE052E">
              <w:t>Additional Comments</w:t>
            </w:r>
          </w:p>
        </w:tc>
        <w:tc>
          <w:tcPr>
            <w:tcW w:w="0" w:type="auto"/>
            <w:noWrap/>
            <w:hideMark/>
          </w:tcPr>
          <w:p w:rsidR="001501F3" w:rsidRPr="00EE052E" w:rsidRDefault="001501F3" w:rsidP="000E1074">
            <w:pPr>
              <w:spacing w:after="120"/>
            </w:pPr>
            <w:r w:rsidRPr="00EE052E">
              <w:t>0</w:t>
            </w:r>
          </w:p>
        </w:tc>
      </w:tr>
      <w:tr w:rsidR="001501F3" w:rsidRPr="00EE052E" w:rsidTr="001501F3">
        <w:trPr>
          <w:cnfStyle w:val="000000010000" w:firstRow="0" w:lastRow="0" w:firstColumn="0" w:lastColumn="0" w:oddVBand="0" w:evenVBand="0" w:oddHBand="0" w:evenHBand="1" w:firstRowFirstColumn="0" w:firstRowLastColumn="0" w:lastRowFirstColumn="0" w:lastRowLastColumn="0"/>
          <w:trHeight w:val="255"/>
        </w:trPr>
        <w:tc>
          <w:tcPr>
            <w:tcW w:w="0" w:type="auto"/>
            <w:gridSpan w:val="7"/>
            <w:noWrap/>
            <w:hideMark/>
          </w:tcPr>
          <w:p w:rsidR="001501F3" w:rsidRPr="00EE052E" w:rsidRDefault="001501F3" w:rsidP="000E1074">
            <w:pPr>
              <w:spacing w:after="120"/>
              <w:rPr>
                <w:b/>
                <w:bCs/>
                <w:i/>
                <w:iCs/>
              </w:rPr>
            </w:pPr>
            <w:r w:rsidRPr="00EE052E">
              <w:rPr>
                <w:b/>
                <w:bCs/>
                <w:i/>
                <w:iCs/>
              </w:rPr>
              <w:t>answered question</w:t>
            </w:r>
          </w:p>
        </w:tc>
        <w:tc>
          <w:tcPr>
            <w:tcW w:w="0" w:type="auto"/>
            <w:noWrap/>
            <w:hideMark/>
          </w:tcPr>
          <w:p w:rsidR="001501F3" w:rsidRPr="00EE052E" w:rsidRDefault="001501F3" w:rsidP="000E1074">
            <w:pPr>
              <w:spacing w:after="120"/>
              <w:rPr>
                <w:b/>
                <w:bCs/>
              </w:rPr>
            </w:pPr>
            <w:r w:rsidRPr="00EE052E">
              <w:rPr>
                <w:b/>
                <w:bCs/>
              </w:rPr>
              <w:t>10</w:t>
            </w:r>
          </w:p>
        </w:tc>
      </w:tr>
      <w:tr w:rsidR="001501F3" w:rsidRPr="00EE052E" w:rsidTr="001501F3">
        <w:trPr>
          <w:cnfStyle w:val="000000100000" w:firstRow="0" w:lastRow="0" w:firstColumn="0" w:lastColumn="0" w:oddVBand="0" w:evenVBand="0" w:oddHBand="1" w:evenHBand="0" w:firstRowFirstColumn="0" w:firstRowLastColumn="0" w:lastRowFirstColumn="0" w:lastRowLastColumn="0"/>
          <w:trHeight w:val="255"/>
        </w:trPr>
        <w:tc>
          <w:tcPr>
            <w:tcW w:w="0" w:type="auto"/>
            <w:gridSpan w:val="7"/>
            <w:noWrap/>
            <w:hideMark/>
          </w:tcPr>
          <w:p w:rsidR="001501F3" w:rsidRPr="00EE052E" w:rsidRDefault="001501F3" w:rsidP="000E1074">
            <w:pPr>
              <w:spacing w:after="120"/>
              <w:rPr>
                <w:b/>
                <w:bCs/>
                <w:i/>
                <w:iCs/>
              </w:rPr>
            </w:pPr>
            <w:r w:rsidRPr="00EE052E">
              <w:rPr>
                <w:b/>
                <w:bCs/>
                <w:i/>
                <w:iCs/>
              </w:rPr>
              <w:t>skipped question</w:t>
            </w:r>
          </w:p>
        </w:tc>
        <w:tc>
          <w:tcPr>
            <w:tcW w:w="0" w:type="auto"/>
            <w:noWrap/>
            <w:hideMark/>
          </w:tcPr>
          <w:p w:rsidR="001501F3" w:rsidRPr="00EE052E" w:rsidRDefault="001501F3" w:rsidP="000E1074">
            <w:pPr>
              <w:spacing w:after="120"/>
              <w:rPr>
                <w:b/>
                <w:bCs/>
              </w:rPr>
            </w:pPr>
            <w:r w:rsidRPr="00EE052E">
              <w:rPr>
                <w:b/>
                <w:bCs/>
              </w:rPr>
              <w:t>1</w:t>
            </w:r>
          </w:p>
        </w:tc>
      </w:tr>
    </w:tbl>
    <w:p w:rsidR="001501F3" w:rsidRDefault="001501F3" w:rsidP="00E42D56">
      <w:pPr>
        <w:pStyle w:val="Heading30"/>
      </w:pPr>
      <w:bookmarkStart w:id="154" w:name="_Toc423426812"/>
      <w:bookmarkStart w:id="155" w:name="_Toc430102221"/>
      <w:r>
        <w:lastRenderedPageBreak/>
        <w:t>Regulatory Improvement</w:t>
      </w:r>
      <w:bookmarkEnd w:id="154"/>
      <w:bookmarkEnd w:id="155"/>
    </w:p>
    <w:tbl>
      <w:tblPr>
        <w:tblStyle w:val="TableGrid"/>
        <w:tblW w:w="8784" w:type="dxa"/>
        <w:tblLook w:val="04A0" w:firstRow="1" w:lastRow="0" w:firstColumn="1" w:lastColumn="0" w:noHBand="0" w:noVBand="1"/>
      </w:tblPr>
      <w:tblGrid>
        <w:gridCol w:w="1515"/>
        <w:gridCol w:w="1262"/>
        <w:gridCol w:w="737"/>
        <w:gridCol w:w="987"/>
        <w:gridCol w:w="1272"/>
        <w:gridCol w:w="536"/>
        <w:gridCol w:w="1167"/>
        <w:gridCol w:w="1304"/>
        <w:gridCol w:w="6"/>
      </w:tblGrid>
      <w:tr w:rsidR="001501F3" w:rsidRPr="00EE052E" w:rsidTr="00C57005">
        <w:trPr>
          <w:gridAfter w:val="1"/>
          <w:cnfStyle w:val="100000000000" w:firstRow="1" w:lastRow="0" w:firstColumn="0" w:lastColumn="0" w:oddVBand="0" w:evenVBand="0" w:oddHBand="0" w:evenHBand="0" w:firstRowFirstColumn="0" w:firstRowLastColumn="0" w:lastRowFirstColumn="0" w:lastRowLastColumn="0"/>
          <w:wAfter w:w="6" w:type="dxa"/>
          <w:trHeight w:val="499"/>
        </w:trPr>
        <w:tc>
          <w:tcPr>
            <w:tcW w:w="0" w:type="auto"/>
            <w:gridSpan w:val="8"/>
            <w:hideMark/>
          </w:tcPr>
          <w:p w:rsidR="001501F3" w:rsidRPr="00EE052E" w:rsidRDefault="001501F3" w:rsidP="000E1074">
            <w:pPr>
              <w:spacing w:after="120"/>
              <w:rPr>
                <w:bCs/>
              </w:rPr>
            </w:pPr>
            <w:r w:rsidRPr="00EE052E">
              <w:rPr>
                <w:bCs/>
              </w:rPr>
              <w:t>15. NOPTA provides a single point of entry for titles-related government services.</w:t>
            </w:r>
          </w:p>
        </w:tc>
      </w:tr>
      <w:tr w:rsidR="001501F3" w:rsidRPr="00EE052E" w:rsidTr="00C57005">
        <w:trPr>
          <w:gridAfter w:val="1"/>
          <w:cnfStyle w:val="000000100000" w:firstRow="0" w:lastRow="0" w:firstColumn="0" w:lastColumn="0" w:oddVBand="0" w:evenVBand="0" w:oddHBand="1" w:evenHBand="0" w:firstRowFirstColumn="0" w:firstRowLastColumn="0" w:lastRowFirstColumn="0" w:lastRowLastColumn="0"/>
          <w:wAfter w:w="6" w:type="dxa"/>
          <w:trHeight w:val="600"/>
        </w:trPr>
        <w:tc>
          <w:tcPr>
            <w:tcW w:w="0" w:type="auto"/>
            <w:hideMark/>
          </w:tcPr>
          <w:p w:rsidR="001501F3" w:rsidRPr="00EE052E" w:rsidRDefault="001501F3" w:rsidP="000E1074">
            <w:pPr>
              <w:spacing w:after="120"/>
              <w:rPr>
                <w:b/>
                <w:bCs/>
              </w:rPr>
            </w:pPr>
            <w:r w:rsidRPr="00EE052E">
              <w:rPr>
                <w:b/>
                <w:bCs/>
              </w:rPr>
              <w:t>Answer Options</w:t>
            </w:r>
          </w:p>
        </w:tc>
        <w:tc>
          <w:tcPr>
            <w:tcW w:w="0" w:type="auto"/>
            <w:hideMark/>
          </w:tcPr>
          <w:p w:rsidR="001501F3" w:rsidRPr="00EE052E" w:rsidRDefault="001501F3" w:rsidP="000E1074">
            <w:pPr>
              <w:spacing w:after="120"/>
              <w:rPr>
                <w:b/>
                <w:bCs/>
              </w:rPr>
            </w:pPr>
            <w:r w:rsidRPr="00EE052E">
              <w:rPr>
                <w:b/>
                <w:bCs/>
              </w:rPr>
              <w:t>Strongly Agree</w:t>
            </w:r>
          </w:p>
        </w:tc>
        <w:tc>
          <w:tcPr>
            <w:tcW w:w="0" w:type="auto"/>
            <w:hideMark/>
          </w:tcPr>
          <w:p w:rsidR="001501F3" w:rsidRPr="00EE052E" w:rsidRDefault="001501F3" w:rsidP="000E1074">
            <w:pPr>
              <w:spacing w:after="120"/>
              <w:rPr>
                <w:b/>
                <w:bCs/>
              </w:rPr>
            </w:pPr>
            <w:r w:rsidRPr="00EE052E">
              <w:rPr>
                <w:b/>
                <w:bCs/>
              </w:rPr>
              <w:t>Agree</w:t>
            </w:r>
          </w:p>
        </w:tc>
        <w:tc>
          <w:tcPr>
            <w:tcW w:w="0" w:type="auto"/>
            <w:hideMark/>
          </w:tcPr>
          <w:p w:rsidR="001501F3" w:rsidRPr="00EE052E" w:rsidRDefault="001501F3" w:rsidP="000E1074">
            <w:pPr>
              <w:spacing w:after="120"/>
              <w:rPr>
                <w:b/>
                <w:bCs/>
              </w:rPr>
            </w:pPr>
            <w:r w:rsidRPr="00EE052E">
              <w:rPr>
                <w:b/>
                <w:bCs/>
              </w:rPr>
              <w:t>Disagree</w:t>
            </w:r>
          </w:p>
        </w:tc>
        <w:tc>
          <w:tcPr>
            <w:tcW w:w="0" w:type="auto"/>
            <w:hideMark/>
          </w:tcPr>
          <w:p w:rsidR="001501F3" w:rsidRPr="00EE052E" w:rsidRDefault="001501F3" w:rsidP="000E1074">
            <w:pPr>
              <w:spacing w:after="120"/>
              <w:rPr>
                <w:b/>
                <w:bCs/>
              </w:rPr>
            </w:pPr>
            <w:r w:rsidRPr="00EE052E">
              <w:rPr>
                <w:b/>
                <w:bCs/>
              </w:rPr>
              <w:t>Strongly Disagree</w:t>
            </w:r>
          </w:p>
        </w:tc>
        <w:tc>
          <w:tcPr>
            <w:tcW w:w="0" w:type="auto"/>
            <w:hideMark/>
          </w:tcPr>
          <w:p w:rsidR="001501F3" w:rsidRPr="00EE052E" w:rsidRDefault="001501F3" w:rsidP="000E1074">
            <w:pPr>
              <w:spacing w:after="120"/>
              <w:rPr>
                <w:b/>
                <w:bCs/>
              </w:rPr>
            </w:pPr>
            <w:r w:rsidRPr="00EE052E">
              <w:rPr>
                <w:b/>
                <w:bCs/>
              </w:rPr>
              <w:t>N/A</w:t>
            </w:r>
          </w:p>
        </w:tc>
        <w:tc>
          <w:tcPr>
            <w:tcW w:w="0" w:type="auto"/>
            <w:hideMark/>
          </w:tcPr>
          <w:p w:rsidR="001501F3" w:rsidRPr="00EE052E" w:rsidRDefault="001501F3" w:rsidP="000E1074">
            <w:pPr>
              <w:spacing w:after="120"/>
              <w:rPr>
                <w:b/>
                <w:bCs/>
              </w:rPr>
            </w:pPr>
            <w:r w:rsidRPr="00EE052E">
              <w:rPr>
                <w:b/>
                <w:bCs/>
              </w:rPr>
              <w:t>Rating Average</w:t>
            </w:r>
          </w:p>
        </w:tc>
        <w:tc>
          <w:tcPr>
            <w:tcW w:w="0" w:type="auto"/>
            <w:hideMark/>
          </w:tcPr>
          <w:p w:rsidR="001501F3" w:rsidRPr="00EE052E" w:rsidRDefault="001501F3" w:rsidP="000E1074">
            <w:pPr>
              <w:spacing w:after="120"/>
              <w:rPr>
                <w:b/>
                <w:bCs/>
              </w:rPr>
            </w:pPr>
            <w:r w:rsidRPr="00EE052E">
              <w:rPr>
                <w:b/>
                <w:bCs/>
              </w:rPr>
              <w:t>Response Count</w:t>
            </w:r>
          </w:p>
        </w:tc>
      </w:tr>
      <w:tr w:rsidR="001501F3" w:rsidRPr="00EE052E" w:rsidTr="00C57005">
        <w:trPr>
          <w:gridAfter w:val="1"/>
          <w:cnfStyle w:val="000000010000" w:firstRow="0" w:lastRow="0" w:firstColumn="0" w:lastColumn="0" w:oddVBand="0" w:evenVBand="0" w:oddHBand="0" w:evenHBand="1" w:firstRowFirstColumn="0" w:firstRowLastColumn="0" w:lastRowFirstColumn="0" w:lastRowLastColumn="0"/>
          <w:wAfter w:w="6" w:type="dxa"/>
          <w:trHeight w:val="255"/>
        </w:trPr>
        <w:tc>
          <w:tcPr>
            <w:tcW w:w="0" w:type="auto"/>
            <w:hideMark/>
          </w:tcPr>
          <w:p w:rsidR="001501F3" w:rsidRPr="00EE052E" w:rsidRDefault="001501F3" w:rsidP="000E1074">
            <w:pPr>
              <w:spacing w:after="120"/>
            </w:pPr>
            <w:r w:rsidRPr="00EE052E">
              <w:t>Responses</w:t>
            </w:r>
          </w:p>
        </w:tc>
        <w:tc>
          <w:tcPr>
            <w:tcW w:w="0" w:type="auto"/>
            <w:noWrap/>
            <w:hideMark/>
          </w:tcPr>
          <w:p w:rsidR="001501F3" w:rsidRPr="00EE052E" w:rsidRDefault="001501F3" w:rsidP="000E1074">
            <w:pPr>
              <w:spacing w:after="120"/>
            </w:pPr>
            <w:r w:rsidRPr="00EE052E">
              <w:t>4</w:t>
            </w:r>
          </w:p>
        </w:tc>
        <w:tc>
          <w:tcPr>
            <w:tcW w:w="0" w:type="auto"/>
            <w:noWrap/>
            <w:hideMark/>
          </w:tcPr>
          <w:p w:rsidR="001501F3" w:rsidRPr="00EE052E" w:rsidRDefault="001501F3" w:rsidP="000E1074">
            <w:pPr>
              <w:spacing w:after="120"/>
            </w:pPr>
            <w:r w:rsidRPr="00EE052E">
              <w:t>6</w:t>
            </w:r>
          </w:p>
        </w:tc>
        <w:tc>
          <w:tcPr>
            <w:tcW w:w="0" w:type="auto"/>
            <w:noWrap/>
            <w:hideMark/>
          </w:tcPr>
          <w:p w:rsidR="001501F3" w:rsidRPr="00EE052E" w:rsidRDefault="001501F3" w:rsidP="000E1074">
            <w:pPr>
              <w:spacing w:after="120"/>
            </w:pPr>
            <w:r w:rsidRPr="00EE052E">
              <w:t>0</w:t>
            </w:r>
          </w:p>
        </w:tc>
        <w:tc>
          <w:tcPr>
            <w:tcW w:w="0" w:type="auto"/>
            <w:noWrap/>
            <w:hideMark/>
          </w:tcPr>
          <w:p w:rsidR="001501F3" w:rsidRPr="00EE052E" w:rsidRDefault="001501F3" w:rsidP="000E1074">
            <w:pPr>
              <w:spacing w:after="120"/>
            </w:pPr>
            <w:r w:rsidRPr="00EE052E">
              <w:t>0</w:t>
            </w:r>
          </w:p>
        </w:tc>
        <w:tc>
          <w:tcPr>
            <w:tcW w:w="0" w:type="auto"/>
            <w:noWrap/>
            <w:hideMark/>
          </w:tcPr>
          <w:p w:rsidR="001501F3" w:rsidRPr="00EE052E" w:rsidRDefault="001501F3" w:rsidP="000E1074">
            <w:pPr>
              <w:spacing w:after="120"/>
            </w:pPr>
            <w:r w:rsidRPr="00EE052E">
              <w:t>0</w:t>
            </w:r>
          </w:p>
        </w:tc>
        <w:tc>
          <w:tcPr>
            <w:tcW w:w="0" w:type="auto"/>
            <w:noWrap/>
            <w:hideMark/>
          </w:tcPr>
          <w:p w:rsidR="001501F3" w:rsidRPr="00EE052E" w:rsidRDefault="001501F3" w:rsidP="000E1074">
            <w:pPr>
              <w:spacing w:after="120"/>
            </w:pPr>
            <w:r w:rsidRPr="00EE052E">
              <w:t>3.40</w:t>
            </w:r>
          </w:p>
        </w:tc>
        <w:tc>
          <w:tcPr>
            <w:tcW w:w="0" w:type="auto"/>
            <w:noWrap/>
            <w:hideMark/>
          </w:tcPr>
          <w:p w:rsidR="001501F3" w:rsidRPr="00EE052E" w:rsidRDefault="001501F3" w:rsidP="000E1074">
            <w:pPr>
              <w:spacing w:after="120"/>
            </w:pPr>
            <w:r w:rsidRPr="00EE052E">
              <w:t>10</w:t>
            </w:r>
          </w:p>
        </w:tc>
      </w:tr>
      <w:tr w:rsidR="001501F3" w:rsidRPr="00EE052E" w:rsidTr="00C57005">
        <w:trPr>
          <w:gridAfter w:val="1"/>
          <w:cnfStyle w:val="000000100000" w:firstRow="0" w:lastRow="0" w:firstColumn="0" w:lastColumn="0" w:oddVBand="0" w:evenVBand="0" w:oddHBand="1" w:evenHBand="0" w:firstRowFirstColumn="0" w:firstRowLastColumn="0" w:lastRowFirstColumn="0" w:lastRowLastColumn="0"/>
          <w:wAfter w:w="6" w:type="dxa"/>
          <w:trHeight w:val="255"/>
        </w:trPr>
        <w:tc>
          <w:tcPr>
            <w:tcW w:w="0" w:type="auto"/>
            <w:gridSpan w:val="7"/>
            <w:hideMark/>
          </w:tcPr>
          <w:p w:rsidR="001501F3" w:rsidRPr="00EE052E" w:rsidRDefault="001501F3" w:rsidP="000E1074">
            <w:pPr>
              <w:spacing w:after="120"/>
            </w:pPr>
            <w:r w:rsidRPr="00EE052E">
              <w:t>Additional Comments</w:t>
            </w:r>
          </w:p>
        </w:tc>
        <w:tc>
          <w:tcPr>
            <w:tcW w:w="0" w:type="auto"/>
            <w:noWrap/>
            <w:hideMark/>
          </w:tcPr>
          <w:p w:rsidR="001501F3" w:rsidRPr="00EE052E" w:rsidRDefault="001501F3" w:rsidP="000E1074">
            <w:pPr>
              <w:spacing w:after="120"/>
            </w:pPr>
            <w:r w:rsidRPr="00EE052E">
              <w:t>3</w:t>
            </w:r>
          </w:p>
        </w:tc>
      </w:tr>
      <w:tr w:rsidR="001501F3" w:rsidRPr="00EE052E" w:rsidTr="00C57005">
        <w:trPr>
          <w:gridAfter w:val="1"/>
          <w:cnfStyle w:val="000000010000" w:firstRow="0" w:lastRow="0" w:firstColumn="0" w:lastColumn="0" w:oddVBand="0" w:evenVBand="0" w:oddHBand="0" w:evenHBand="1" w:firstRowFirstColumn="0" w:firstRowLastColumn="0" w:lastRowFirstColumn="0" w:lastRowLastColumn="0"/>
          <w:wAfter w:w="6" w:type="dxa"/>
          <w:trHeight w:val="255"/>
        </w:trPr>
        <w:tc>
          <w:tcPr>
            <w:tcW w:w="0" w:type="auto"/>
            <w:gridSpan w:val="7"/>
            <w:noWrap/>
            <w:hideMark/>
          </w:tcPr>
          <w:p w:rsidR="001501F3" w:rsidRPr="00EE052E" w:rsidRDefault="001501F3" w:rsidP="000E1074">
            <w:pPr>
              <w:spacing w:after="120"/>
              <w:rPr>
                <w:b/>
                <w:bCs/>
                <w:i/>
                <w:iCs/>
              </w:rPr>
            </w:pPr>
            <w:r w:rsidRPr="00EE052E">
              <w:rPr>
                <w:b/>
                <w:bCs/>
                <w:i/>
                <w:iCs/>
              </w:rPr>
              <w:t>answered question</w:t>
            </w:r>
          </w:p>
        </w:tc>
        <w:tc>
          <w:tcPr>
            <w:tcW w:w="0" w:type="auto"/>
            <w:noWrap/>
            <w:hideMark/>
          </w:tcPr>
          <w:p w:rsidR="001501F3" w:rsidRPr="00EE052E" w:rsidRDefault="001501F3" w:rsidP="000E1074">
            <w:pPr>
              <w:spacing w:after="120"/>
              <w:rPr>
                <w:b/>
                <w:bCs/>
              </w:rPr>
            </w:pPr>
            <w:r w:rsidRPr="00EE052E">
              <w:rPr>
                <w:b/>
                <w:bCs/>
              </w:rPr>
              <w:t>10</w:t>
            </w:r>
          </w:p>
        </w:tc>
      </w:tr>
      <w:tr w:rsidR="001501F3" w:rsidRPr="00EE052E" w:rsidTr="00C57005">
        <w:trPr>
          <w:gridAfter w:val="1"/>
          <w:cnfStyle w:val="000000100000" w:firstRow="0" w:lastRow="0" w:firstColumn="0" w:lastColumn="0" w:oddVBand="0" w:evenVBand="0" w:oddHBand="1" w:evenHBand="0" w:firstRowFirstColumn="0" w:firstRowLastColumn="0" w:lastRowFirstColumn="0" w:lastRowLastColumn="0"/>
          <w:wAfter w:w="6" w:type="dxa"/>
          <w:trHeight w:val="255"/>
        </w:trPr>
        <w:tc>
          <w:tcPr>
            <w:tcW w:w="0" w:type="auto"/>
            <w:gridSpan w:val="7"/>
            <w:noWrap/>
            <w:hideMark/>
          </w:tcPr>
          <w:p w:rsidR="001501F3" w:rsidRPr="00EE052E" w:rsidRDefault="001501F3" w:rsidP="000E1074">
            <w:pPr>
              <w:spacing w:after="120"/>
              <w:rPr>
                <w:b/>
                <w:bCs/>
                <w:i/>
                <w:iCs/>
              </w:rPr>
            </w:pPr>
            <w:r w:rsidRPr="00EE052E">
              <w:rPr>
                <w:b/>
                <w:bCs/>
                <w:i/>
                <w:iCs/>
              </w:rPr>
              <w:t>skipped question</w:t>
            </w:r>
          </w:p>
        </w:tc>
        <w:tc>
          <w:tcPr>
            <w:tcW w:w="0" w:type="auto"/>
            <w:noWrap/>
            <w:hideMark/>
          </w:tcPr>
          <w:p w:rsidR="001501F3" w:rsidRPr="00EE052E" w:rsidRDefault="001501F3" w:rsidP="000E1074">
            <w:pPr>
              <w:spacing w:after="120"/>
              <w:rPr>
                <w:b/>
                <w:bCs/>
              </w:rPr>
            </w:pPr>
            <w:r w:rsidRPr="00EE052E">
              <w:rPr>
                <w:b/>
                <w:bCs/>
              </w:rPr>
              <w:t>1</w:t>
            </w:r>
          </w:p>
        </w:tc>
      </w:tr>
      <w:tr w:rsidR="00C57005" w:rsidRPr="00EE052E" w:rsidTr="00C57005">
        <w:trPr>
          <w:cnfStyle w:val="000000010000" w:firstRow="0" w:lastRow="0" w:firstColumn="0" w:lastColumn="0" w:oddVBand="0" w:evenVBand="0" w:oddHBand="0" w:evenHBand="1" w:firstRowFirstColumn="0" w:firstRowLastColumn="0" w:lastRowFirstColumn="0" w:lastRowLastColumn="0"/>
          <w:trHeight w:val="510"/>
        </w:trPr>
        <w:tc>
          <w:tcPr>
            <w:tcW w:w="8784" w:type="dxa"/>
            <w:gridSpan w:val="9"/>
            <w:shd w:val="clear" w:color="auto" w:fill="595959" w:themeFill="text1" w:themeFillTint="A6"/>
            <w:hideMark/>
          </w:tcPr>
          <w:p w:rsidR="00C57005" w:rsidRPr="00EE052E" w:rsidRDefault="00C57005" w:rsidP="000E1074">
            <w:pPr>
              <w:spacing w:after="120"/>
              <w:rPr>
                <w:bCs/>
              </w:rPr>
            </w:pPr>
            <w:r w:rsidRPr="00C57005">
              <w:rPr>
                <w:b/>
                <w:bCs/>
                <w:color w:val="FFFFFF" w:themeColor="background1"/>
              </w:rPr>
              <w:t>Additional Comments</w:t>
            </w:r>
          </w:p>
        </w:tc>
      </w:tr>
      <w:tr w:rsidR="00C57005" w:rsidRPr="00EE052E" w:rsidTr="00C57005">
        <w:trPr>
          <w:cnfStyle w:val="000000100000" w:firstRow="0" w:lastRow="0" w:firstColumn="0" w:lastColumn="0" w:oddVBand="0" w:evenVBand="0" w:oddHBand="1" w:evenHBand="0" w:firstRowFirstColumn="0" w:firstRowLastColumn="0" w:lastRowFirstColumn="0" w:lastRowLastColumn="0"/>
          <w:trHeight w:val="255"/>
        </w:trPr>
        <w:tc>
          <w:tcPr>
            <w:tcW w:w="8784" w:type="dxa"/>
            <w:gridSpan w:val="9"/>
            <w:noWrap/>
            <w:hideMark/>
          </w:tcPr>
          <w:p w:rsidR="00C57005" w:rsidRPr="00EE052E" w:rsidRDefault="00C57005" w:rsidP="000E1074">
            <w:pPr>
              <w:spacing w:after="120"/>
            </w:pPr>
            <w:r w:rsidRPr="00EE052E">
              <w:t>There can be some issues in communications between NOPTA and WA DMP</w:t>
            </w:r>
          </w:p>
        </w:tc>
      </w:tr>
      <w:tr w:rsidR="00C57005" w:rsidRPr="00EE052E" w:rsidTr="00C57005">
        <w:trPr>
          <w:cnfStyle w:val="000000010000" w:firstRow="0" w:lastRow="0" w:firstColumn="0" w:lastColumn="0" w:oddVBand="0" w:evenVBand="0" w:oddHBand="0" w:evenHBand="1" w:firstRowFirstColumn="0" w:firstRowLastColumn="0" w:lastRowFirstColumn="0" w:lastRowLastColumn="0"/>
          <w:trHeight w:val="255"/>
        </w:trPr>
        <w:tc>
          <w:tcPr>
            <w:tcW w:w="8784" w:type="dxa"/>
            <w:gridSpan w:val="9"/>
            <w:noWrap/>
            <w:hideMark/>
          </w:tcPr>
          <w:p w:rsidR="00C57005" w:rsidRPr="00EE052E" w:rsidRDefault="00C57005" w:rsidP="000E1074">
            <w:pPr>
              <w:spacing w:after="120"/>
            </w:pPr>
            <w:r w:rsidRPr="00EE052E">
              <w:t>It would be very beneficial for NOPTA to assign an "account manager" to companies so that there is a single first point of contact when dealing with NOPTA. It is often unclear which department (titles, compliance, reports etc.) should be contacted with a query - a single contact would help.</w:t>
            </w:r>
          </w:p>
        </w:tc>
      </w:tr>
      <w:tr w:rsidR="00C57005" w:rsidRPr="00EE052E" w:rsidTr="00C57005">
        <w:trPr>
          <w:cnfStyle w:val="000000100000" w:firstRow="0" w:lastRow="0" w:firstColumn="0" w:lastColumn="0" w:oddVBand="0" w:evenVBand="0" w:oddHBand="1" w:evenHBand="0" w:firstRowFirstColumn="0" w:firstRowLastColumn="0" w:lastRowFirstColumn="0" w:lastRowLastColumn="0"/>
          <w:trHeight w:val="255"/>
        </w:trPr>
        <w:tc>
          <w:tcPr>
            <w:tcW w:w="8784" w:type="dxa"/>
            <w:gridSpan w:val="9"/>
            <w:noWrap/>
            <w:hideMark/>
          </w:tcPr>
          <w:p w:rsidR="00C57005" w:rsidRPr="00EE052E" w:rsidRDefault="00C57005" w:rsidP="000E1074">
            <w:pPr>
              <w:spacing w:after="120"/>
            </w:pPr>
            <w:r w:rsidRPr="00EE052E">
              <w:t>we also take the opportunity to interact with DoIS as well</w:t>
            </w:r>
          </w:p>
        </w:tc>
      </w:tr>
    </w:tbl>
    <w:p w:rsidR="001501F3" w:rsidRDefault="001501F3" w:rsidP="001501F3"/>
    <w:tbl>
      <w:tblPr>
        <w:tblStyle w:val="TableGrid"/>
        <w:tblW w:w="0" w:type="auto"/>
        <w:tblLook w:val="04A0" w:firstRow="1" w:lastRow="0" w:firstColumn="1" w:lastColumn="0" w:noHBand="0" w:noVBand="1"/>
      </w:tblPr>
      <w:tblGrid>
        <w:gridCol w:w="1241"/>
        <w:gridCol w:w="1092"/>
        <w:gridCol w:w="737"/>
        <w:gridCol w:w="1177"/>
        <w:gridCol w:w="987"/>
        <w:gridCol w:w="1175"/>
        <w:gridCol w:w="536"/>
        <w:gridCol w:w="1084"/>
        <w:gridCol w:w="1224"/>
      </w:tblGrid>
      <w:tr w:rsidR="001501F3" w:rsidRPr="00EE052E" w:rsidTr="001501F3">
        <w:trPr>
          <w:cnfStyle w:val="100000000000" w:firstRow="1" w:lastRow="0" w:firstColumn="0" w:lastColumn="0" w:oddVBand="0" w:evenVBand="0" w:oddHBand="0" w:evenHBand="0" w:firstRowFirstColumn="0" w:firstRowLastColumn="0" w:lastRowFirstColumn="0" w:lastRowLastColumn="0"/>
          <w:trHeight w:val="499"/>
        </w:trPr>
        <w:tc>
          <w:tcPr>
            <w:tcW w:w="0" w:type="auto"/>
            <w:gridSpan w:val="9"/>
            <w:hideMark/>
          </w:tcPr>
          <w:p w:rsidR="001501F3" w:rsidRPr="00EE052E" w:rsidRDefault="001501F3" w:rsidP="000E1074">
            <w:pPr>
              <w:spacing w:after="120"/>
              <w:rPr>
                <w:bCs/>
              </w:rPr>
            </w:pPr>
            <w:r w:rsidRPr="00EE052E">
              <w:rPr>
                <w:bCs/>
              </w:rPr>
              <w:t>16. The creation of NOPTA has helped reduce the cost of submitting title applications.</w:t>
            </w:r>
          </w:p>
        </w:tc>
      </w:tr>
      <w:tr w:rsidR="001501F3" w:rsidRPr="00EE052E" w:rsidTr="001501F3">
        <w:trPr>
          <w:cnfStyle w:val="000000100000" w:firstRow="0" w:lastRow="0" w:firstColumn="0" w:lastColumn="0" w:oddVBand="0" w:evenVBand="0" w:oddHBand="1" w:evenHBand="0" w:firstRowFirstColumn="0" w:firstRowLastColumn="0" w:lastRowFirstColumn="0" w:lastRowLastColumn="0"/>
          <w:trHeight w:val="600"/>
        </w:trPr>
        <w:tc>
          <w:tcPr>
            <w:tcW w:w="0" w:type="auto"/>
            <w:hideMark/>
          </w:tcPr>
          <w:p w:rsidR="001501F3" w:rsidRPr="00EE052E" w:rsidRDefault="001501F3" w:rsidP="000E1074">
            <w:pPr>
              <w:spacing w:after="120"/>
              <w:rPr>
                <w:b/>
                <w:bCs/>
              </w:rPr>
            </w:pPr>
            <w:r w:rsidRPr="00EE052E">
              <w:rPr>
                <w:b/>
                <w:bCs/>
              </w:rPr>
              <w:t>Answer Options</w:t>
            </w:r>
          </w:p>
        </w:tc>
        <w:tc>
          <w:tcPr>
            <w:tcW w:w="0" w:type="auto"/>
            <w:hideMark/>
          </w:tcPr>
          <w:p w:rsidR="001501F3" w:rsidRPr="00EE052E" w:rsidRDefault="001501F3" w:rsidP="000E1074">
            <w:pPr>
              <w:spacing w:after="120"/>
              <w:rPr>
                <w:b/>
                <w:bCs/>
              </w:rPr>
            </w:pPr>
            <w:r w:rsidRPr="00EE052E">
              <w:rPr>
                <w:b/>
                <w:bCs/>
              </w:rPr>
              <w:t>Strongly Agree</w:t>
            </w:r>
          </w:p>
        </w:tc>
        <w:tc>
          <w:tcPr>
            <w:tcW w:w="0" w:type="auto"/>
            <w:hideMark/>
          </w:tcPr>
          <w:p w:rsidR="001501F3" w:rsidRPr="00EE052E" w:rsidRDefault="001501F3" w:rsidP="000E1074">
            <w:pPr>
              <w:spacing w:after="120"/>
              <w:rPr>
                <w:b/>
                <w:bCs/>
              </w:rPr>
            </w:pPr>
            <w:r w:rsidRPr="00EE052E">
              <w:rPr>
                <w:b/>
                <w:bCs/>
              </w:rPr>
              <w:t>Agree</w:t>
            </w:r>
          </w:p>
        </w:tc>
        <w:tc>
          <w:tcPr>
            <w:tcW w:w="0" w:type="auto"/>
            <w:hideMark/>
          </w:tcPr>
          <w:p w:rsidR="001501F3" w:rsidRPr="00EE052E" w:rsidRDefault="001501F3" w:rsidP="000E1074">
            <w:pPr>
              <w:spacing w:after="120"/>
              <w:rPr>
                <w:b/>
                <w:bCs/>
              </w:rPr>
            </w:pPr>
            <w:r w:rsidRPr="00EE052E">
              <w:rPr>
                <w:b/>
                <w:bCs/>
              </w:rPr>
              <w:t>No Difference</w:t>
            </w:r>
          </w:p>
        </w:tc>
        <w:tc>
          <w:tcPr>
            <w:tcW w:w="0" w:type="auto"/>
            <w:hideMark/>
          </w:tcPr>
          <w:p w:rsidR="001501F3" w:rsidRPr="00EE052E" w:rsidRDefault="001501F3" w:rsidP="000E1074">
            <w:pPr>
              <w:spacing w:after="120"/>
              <w:rPr>
                <w:b/>
                <w:bCs/>
              </w:rPr>
            </w:pPr>
            <w:r w:rsidRPr="00EE052E">
              <w:rPr>
                <w:b/>
                <w:bCs/>
              </w:rPr>
              <w:t>Disagree</w:t>
            </w:r>
          </w:p>
        </w:tc>
        <w:tc>
          <w:tcPr>
            <w:tcW w:w="0" w:type="auto"/>
            <w:hideMark/>
          </w:tcPr>
          <w:p w:rsidR="001501F3" w:rsidRPr="00EE052E" w:rsidRDefault="001501F3" w:rsidP="000E1074">
            <w:pPr>
              <w:spacing w:after="120"/>
              <w:rPr>
                <w:b/>
                <w:bCs/>
              </w:rPr>
            </w:pPr>
            <w:r w:rsidRPr="00EE052E">
              <w:rPr>
                <w:b/>
                <w:bCs/>
              </w:rPr>
              <w:t>Strongly Disagree</w:t>
            </w:r>
          </w:p>
        </w:tc>
        <w:tc>
          <w:tcPr>
            <w:tcW w:w="0" w:type="auto"/>
            <w:hideMark/>
          </w:tcPr>
          <w:p w:rsidR="001501F3" w:rsidRPr="00EE052E" w:rsidRDefault="001501F3" w:rsidP="000E1074">
            <w:pPr>
              <w:spacing w:after="120"/>
              <w:rPr>
                <w:b/>
                <w:bCs/>
              </w:rPr>
            </w:pPr>
            <w:r w:rsidRPr="00EE052E">
              <w:rPr>
                <w:b/>
                <w:bCs/>
              </w:rPr>
              <w:t>N/A</w:t>
            </w:r>
          </w:p>
        </w:tc>
        <w:tc>
          <w:tcPr>
            <w:tcW w:w="0" w:type="auto"/>
            <w:hideMark/>
          </w:tcPr>
          <w:p w:rsidR="001501F3" w:rsidRPr="00EE052E" w:rsidRDefault="001501F3" w:rsidP="000E1074">
            <w:pPr>
              <w:spacing w:after="120"/>
              <w:rPr>
                <w:b/>
                <w:bCs/>
              </w:rPr>
            </w:pPr>
            <w:r w:rsidRPr="00EE052E">
              <w:rPr>
                <w:b/>
                <w:bCs/>
              </w:rPr>
              <w:t>Rating Average</w:t>
            </w:r>
          </w:p>
        </w:tc>
        <w:tc>
          <w:tcPr>
            <w:tcW w:w="0" w:type="auto"/>
            <w:hideMark/>
          </w:tcPr>
          <w:p w:rsidR="001501F3" w:rsidRPr="00EE052E" w:rsidRDefault="001501F3" w:rsidP="000E1074">
            <w:pPr>
              <w:spacing w:after="120"/>
              <w:rPr>
                <w:b/>
                <w:bCs/>
              </w:rPr>
            </w:pPr>
            <w:r w:rsidRPr="00EE052E">
              <w:rPr>
                <w:b/>
                <w:bCs/>
              </w:rPr>
              <w:t>Response Count</w:t>
            </w:r>
          </w:p>
        </w:tc>
      </w:tr>
      <w:tr w:rsidR="001501F3" w:rsidRPr="00EE052E" w:rsidTr="001501F3">
        <w:trPr>
          <w:cnfStyle w:val="000000010000" w:firstRow="0" w:lastRow="0" w:firstColumn="0" w:lastColumn="0" w:oddVBand="0" w:evenVBand="0" w:oddHBand="0" w:evenHBand="1" w:firstRowFirstColumn="0" w:firstRowLastColumn="0" w:lastRowFirstColumn="0" w:lastRowLastColumn="0"/>
          <w:trHeight w:val="255"/>
        </w:trPr>
        <w:tc>
          <w:tcPr>
            <w:tcW w:w="0" w:type="auto"/>
            <w:hideMark/>
          </w:tcPr>
          <w:p w:rsidR="001501F3" w:rsidRPr="00EE052E" w:rsidRDefault="001501F3" w:rsidP="000E1074">
            <w:pPr>
              <w:spacing w:after="120"/>
            </w:pPr>
            <w:r w:rsidRPr="00EE052E">
              <w:t>Responses</w:t>
            </w:r>
          </w:p>
        </w:tc>
        <w:tc>
          <w:tcPr>
            <w:tcW w:w="0" w:type="auto"/>
            <w:noWrap/>
            <w:hideMark/>
          </w:tcPr>
          <w:p w:rsidR="001501F3" w:rsidRPr="00EE052E" w:rsidRDefault="001501F3" w:rsidP="000E1074">
            <w:pPr>
              <w:spacing w:after="120"/>
            </w:pPr>
            <w:r w:rsidRPr="00EE052E">
              <w:t>1</w:t>
            </w:r>
          </w:p>
        </w:tc>
        <w:tc>
          <w:tcPr>
            <w:tcW w:w="0" w:type="auto"/>
            <w:noWrap/>
            <w:hideMark/>
          </w:tcPr>
          <w:p w:rsidR="001501F3" w:rsidRPr="00EE052E" w:rsidRDefault="001501F3" w:rsidP="000E1074">
            <w:pPr>
              <w:spacing w:after="120"/>
            </w:pPr>
            <w:r w:rsidRPr="00EE052E">
              <w:t>2</w:t>
            </w:r>
          </w:p>
        </w:tc>
        <w:tc>
          <w:tcPr>
            <w:tcW w:w="0" w:type="auto"/>
            <w:noWrap/>
            <w:hideMark/>
          </w:tcPr>
          <w:p w:rsidR="001501F3" w:rsidRPr="00EE052E" w:rsidRDefault="001501F3" w:rsidP="000E1074">
            <w:pPr>
              <w:spacing w:after="120"/>
            </w:pPr>
            <w:r w:rsidRPr="00EE052E">
              <w:t>4</w:t>
            </w:r>
          </w:p>
        </w:tc>
        <w:tc>
          <w:tcPr>
            <w:tcW w:w="0" w:type="auto"/>
            <w:noWrap/>
            <w:hideMark/>
          </w:tcPr>
          <w:p w:rsidR="001501F3" w:rsidRPr="00EE052E" w:rsidRDefault="001501F3" w:rsidP="000E1074">
            <w:pPr>
              <w:spacing w:after="120"/>
            </w:pPr>
            <w:r w:rsidRPr="00EE052E">
              <w:t>1</w:t>
            </w:r>
          </w:p>
        </w:tc>
        <w:tc>
          <w:tcPr>
            <w:tcW w:w="0" w:type="auto"/>
            <w:noWrap/>
            <w:hideMark/>
          </w:tcPr>
          <w:p w:rsidR="001501F3" w:rsidRPr="00EE052E" w:rsidRDefault="001501F3" w:rsidP="000E1074">
            <w:pPr>
              <w:spacing w:after="120"/>
            </w:pPr>
            <w:r w:rsidRPr="00EE052E">
              <w:t>0</w:t>
            </w:r>
          </w:p>
        </w:tc>
        <w:tc>
          <w:tcPr>
            <w:tcW w:w="0" w:type="auto"/>
            <w:noWrap/>
            <w:hideMark/>
          </w:tcPr>
          <w:p w:rsidR="001501F3" w:rsidRPr="00EE052E" w:rsidRDefault="001501F3" w:rsidP="000E1074">
            <w:pPr>
              <w:spacing w:after="120"/>
            </w:pPr>
            <w:r w:rsidRPr="00EE052E">
              <w:t>2</w:t>
            </w:r>
          </w:p>
        </w:tc>
        <w:tc>
          <w:tcPr>
            <w:tcW w:w="0" w:type="auto"/>
            <w:noWrap/>
            <w:hideMark/>
          </w:tcPr>
          <w:p w:rsidR="001501F3" w:rsidRPr="00EE052E" w:rsidRDefault="001501F3" w:rsidP="000E1074">
            <w:pPr>
              <w:spacing w:after="120"/>
            </w:pPr>
            <w:r w:rsidRPr="00EE052E">
              <w:t>3.38</w:t>
            </w:r>
          </w:p>
        </w:tc>
        <w:tc>
          <w:tcPr>
            <w:tcW w:w="0" w:type="auto"/>
            <w:noWrap/>
            <w:hideMark/>
          </w:tcPr>
          <w:p w:rsidR="001501F3" w:rsidRPr="00EE052E" w:rsidRDefault="001501F3" w:rsidP="000E1074">
            <w:pPr>
              <w:spacing w:after="120"/>
            </w:pPr>
            <w:r w:rsidRPr="00EE052E">
              <w:t>10</w:t>
            </w:r>
          </w:p>
        </w:tc>
      </w:tr>
      <w:tr w:rsidR="001501F3" w:rsidRPr="00EE052E" w:rsidTr="001501F3">
        <w:trPr>
          <w:cnfStyle w:val="000000100000" w:firstRow="0" w:lastRow="0" w:firstColumn="0" w:lastColumn="0" w:oddVBand="0" w:evenVBand="0" w:oddHBand="1" w:evenHBand="0" w:firstRowFirstColumn="0" w:firstRowLastColumn="0" w:lastRowFirstColumn="0" w:lastRowLastColumn="0"/>
          <w:trHeight w:val="255"/>
        </w:trPr>
        <w:tc>
          <w:tcPr>
            <w:tcW w:w="0" w:type="auto"/>
            <w:gridSpan w:val="8"/>
            <w:hideMark/>
          </w:tcPr>
          <w:p w:rsidR="001501F3" w:rsidRPr="00EE052E" w:rsidRDefault="001501F3" w:rsidP="000E1074">
            <w:pPr>
              <w:spacing w:after="120"/>
            </w:pPr>
            <w:r w:rsidRPr="00EE052E">
              <w:t>Additional Comments</w:t>
            </w:r>
          </w:p>
        </w:tc>
        <w:tc>
          <w:tcPr>
            <w:tcW w:w="0" w:type="auto"/>
            <w:noWrap/>
            <w:hideMark/>
          </w:tcPr>
          <w:p w:rsidR="001501F3" w:rsidRPr="00EE052E" w:rsidRDefault="001501F3" w:rsidP="000E1074">
            <w:pPr>
              <w:spacing w:after="120"/>
            </w:pPr>
            <w:r w:rsidRPr="00EE052E">
              <w:t>0</w:t>
            </w:r>
          </w:p>
        </w:tc>
      </w:tr>
      <w:tr w:rsidR="001501F3" w:rsidRPr="00EE052E" w:rsidTr="001501F3">
        <w:trPr>
          <w:cnfStyle w:val="000000010000" w:firstRow="0" w:lastRow="0" w:firstColumn="0" w:lastColumn="0" w:oddVBand="0" w:evenVBand="0" w:oddHBand="0" w:evenHBand="1" w:firstRowFirstColumn="0" w:firstRowLastColumn="0" w:lastRowFirstColumn="0" w:lastRowLastColumn="0"/>
          <w:trHeight w:val="255"/>
        </w:trPr>
        <w:tc>
          <w:tcPr>
            <w:tcW w:w="0" w:type="auto"/>
            <w:gridSpan w:val="8"/>
            <w:noWrap/>
            <w:hideMark/>
          </w:tcPr>
          <w:p w:rsidR="001501F3" w:rsidRPr="00EE052E" w:rsidRDefault="001501F3" w:rsidP="000E1074">
            <w:pPr>
              <w:spacing w:after="120"/>
              <w:rPr>
                <w:b/>
                <w:bCs/>
                <w:i/>
                <w:iCs/>
              </w:rPr>
            </w:pPr>
            <w:r w:rsidRPr="00EE052E">
              <w:rPr>
                <w:b/>
                <w:bCs/>
                <w:i/>
                <w:iCs/>
              </w:rPr>
              <w:t>answered question</w:t>
            </w:r>
          </w:p>
        </w:tc>
        <w:tc>
          <w:tcPr>
            <w:tcW w:w="0" w:type="auto"/>
            <w:noWrap/>
            <w:hideMark/>
          </w:tcPr>
          <w:p w:rsidR="001501F3" w:rsidRPr="00EE052E" w:rsidRDefault="001501F3" w:rsidP="000E1074">
            <w:pPr>
              <w:spacing w:after="120"/>
              <w:rPr>
                <w:b/>
                <w:bCs/>
              </w:rPr>
            </w:pPr>
            <w:r w:rsidRPr="00EE052E">
              <w:rPr>
                <w:b/>
                <w:bCs/>
              </w:rPr>
              <w:t>10</w:t>
            </w:r>
          </w:p>
        </w:tc>
      </w:tr>
      <w:tr w:rsidR="001501F3" w:rsidRPr="00EE052E" w:rsidTr="001501F3">
        <w:trPr>
          <w:cnfStyle w:val="000000100000" w:firstRow="0" w:lastRow="0" w:firstColumn="0" w:lastColumn="0" w:oddVBand="0" w:evenVBand="0" w:oddHBand="1" w:evenHBand="0" w:firstRowFirstColumn="0" w:firstRowLastColumn="0" w:lastRowFirstColumn="0" w:lastRowLastColumn="0"/>
          <w:trHeight w:val="255"/>
        </w:trPr>
        <w:tc>
          <w:tcPr>
            <w:tcW w:w="0" w:type="auto"/>
            <w:gridSpan w:val="8"/>
            <w:noWrap/>
            <w:hideMark/>
          </w:tcPr>
          <w:p w:rsidR="001501F3" w:rsidRPr="00EE052E" w:rsidRDefault="001501F3" w:rsidP="000E1074">
            <w:pPr>
              <w:spacing w:after="120"/>
              <w:rPr>
                <w:b/>
                <w:bCs/>
                <w:i/>
                <w:iCs/>
              </w:rPr>
            </w:pPr>
            <w:r w:rsidRPr="00EE052E">
              <w:rPr>
                <w:b/>
                <w:bCs/>
                <w:i/>
                <w:iCs/>
              </w:rPr>
              <w:t>skipped question</w:t>
            </w:r>
          </w:p>
        </w:tc>
        <w:tc>
          <w:tcPr>
            <w:tcW w:w="0" w:type="auto"/>
            <w:noWrap/>
            <w:hideMark/>
          </w:tcPr>
          <w:p w:rsidR="001501F3" w:rsidRPr="00EE052E" w:rsidRDefault="001501F3" w:rsidP="000E1074">
            <w:pPr>
              <w:spacing w:after="120"/>
              <w:rPr>
                <w:b/>
                <w:bCs/>
              </w:rPr>
            </w:pPr>
            <w:r w:rsidRPr="00EE052E">
              <w:rPr>
                <w:b/>
                <w:bCs/>
              </w:rPr>
              <w:t>1</w:t>
            </w:r>
          </w:p>
        </w:tc>
      </w:tr>
    </w:tbl>
    <w:p w:rsidR="001501F3" w:rsidRDefault="001501F3" w:rsidP="001501F3"/>
    <w:tbl>
      <w:tblPr>
        <w:tblStyle w:val="TableGrid"/>
        <w:tblW w:w="8784" w:type="dxa"/>
        <w:tblLook w:val="04A0" w:firstRow="1" w:lastRow="0" w:firstColumn="1" w:lastColumn="0" w:noHBand="0" w:noVBand="1"/>
      </w:tblPr>
      <w:tblGrid>
        <w:gridCol w:w="1515"/>
        <w:gridCol w:w="1262"/>
        <w:gridCol w:w="737"/>
        <w:gridCol w:w="987"/>
        <w:gridCol w:w="1272"/>
        <w:gridCol w:w="536"/>
        <w:gridCol w:w="1167"/>
        <w:gridCol w:w="1304"/>
        <w:gridCol w:w="6"/>
      </w:tblGrid>
      <w:tr w:rsidR="001501F3" w:rsidRPr="00EE052E" w:rsidTr="00C57005">
        <w:trPr>
          <w:gridAfter w:val="1"/>
          <w:cnfStyle w:val="100000000000" w:firstRow="1" w:lastRow="0" w:firstColumn="0" w:lastColumn="0" w:oddVBand="0" w:evenVBand="0" w:oddHBand="0" w:evenHBand="0" w:firstRowFirstColumn="0" w:firstRowLastColumn="0" w:lastRowFirstColumn="0" w:lastRowLastColumn="0"/>
          <w:wAfter w:w="6" w:type="dxa"/>
          <w:trHeight w:val="499"/>
        </w:trPr>
        <w:tc>
          <w:tcPr>
            <w:tcW w:w="0" w:type="auto"/>
            <w:gridSpan w:val="8"/>
            <w:hideMark/>
          </w:tcPr>
          <w:p w:rsidR="001501F3" w:rsidRPr="00EE052E" w:rsidRDefault="001501F3" w:rsidP="000E1074">
            <w:pPr>
              <w:spacing w:after="120"/>
              <w:rPr>
                <w:bCs/>
              </w:rPr>
            </w:pPr>
            <w:r w:rsidRPr="00EE052E">
              <w:rPr>
                <w:bCs/>
              </w:rPr>
              <w:t>17. There is scope to reduce NOPTA's regulatory burden on industry.</w:t>
            </w:r>
          </w:p>
        </w:tc>
      </w:tr>
      <w:tr w:rsidR="001501F3" w:rsidRPr="00EE052E" w:rsidTr="00C57005">
        <w:trPr>
          <w:gridAfter w:val="1"/>
          <w:cnfStyle w:val="000000100000" w:firstRow="0" w:lastRow="0" w:firstColumn="0" w:lastColumn="0" w:oddVBand="0" w:evenVBand="0" w:oddHBand="1" w:evenHBand="0" w:firstRowFirstColumn="0" w:firstRowLastColumn="0" w:lastRowFirstColumn="0" w:lastRowLastColumn="0"/>
          <w:wAfter w:w="6" w:type="dxa"/>
          <w:trHeight w:val="600"/>
        </w:trPr>
        <w:tc>
          <w:tcPr>
            <w:tcW w:w="0" w:type="auto"/>
            <w:hideMark/>
          </w:tcPr>
          <w:p w:rsidR="001501F3" w:rsidRPr="00EE052E" w:rsidRDefault="001501F3" w:rsidP="000E1074">
            <w:pPr>
              <w:spacing w:after="120"/>
              <w:rPr>
                <w:b/>
                <w:bCs/>
              </w:rPr>
            </w:pPr>
            <w:r w:rsidRPr="00EE052E">
              <w:rPr>
                <w:b/>
                <w:bCs/>
              </w:rPr>
              <w:t>Answer Options</w:t>
            </w:r>
          </w:p>
        </w:tc>
        <w:tc>
          <w:tcPr>
            <w:tcW w:w="0" w:type="auto"/>
            <w:hideMark/>
          </w:tcPr>
          <w:p w:rsidR="001501F3" w:rsidRPr="00EE052E" w:rsidRDefault="001501F3" w:rsidP="000E1074">
            <w:pPr>
              <w:spacing w:after="120"/>
              <w:rPr>
                <w:b/>
                <w:bCs/>
              </w:rPr>
            </w:pPr>
            <w:r w:rsidRPr="00EE052E">
              <w:rPr>
                <w:b/>
                <w:bCs/>
              </w:rPr>
              <w:t>Strongly Agree</w:t>
            </w:r>
          </w:p>
        </w:tc>
        <w:tc>
          <w:tcPr>
            <w:tcW w:w="0" w:type="auto"/>
            <w:hideMark/>
          </w:tcPr>
          <w:p w:rsidR="001501F3" w:rsidRPr="00EE052E" w:rsidRDefault="001501F3" w:rsidP="000E1074">
            <w:pPr>
              <w:spacing w:after="120"/>
              <w:rPr>
                <w:b/>
                <w:bCs/>
              </w:rPr>
            </w:pPr>
            <w:r w:rsidRPr="00EE052E">
              <w:rPr>
                <w:b/>
                <w:bCs/>
              </w:rPr>
              <w:t>Agree</w:t>
            </w:r>
          </w:p>
        </w:tc>
        <w:tc>
          <w:tcPr>
            <w:tcW w:w="0" w:type="auto"/>
            <w:hideMark/>
          </w:tcPr>
          <w:p w:rsidR="001501F3" w:rsidRPr="00EE052E" w:rsidRDefault="001501F3" w:rsidP="000E1074">
            <w:pPr>
              <w:spacing w:after="120"/>
              <w:rPr>
                <w:b/>
                <w:bCs/>
              </w:rPr>
            </w:pPr>
            <w:r w:rsidRPr="00EE052E">
              <w:rPr>
                <w:b/>
                <w:bCs/>
              </w:rPr>
              <w:t>Disagree</w:t>
            </w:r>
          </w:p>
        </w:tc>
        <w:tc>
          <w:tcPr>
            <w:tcW w:w="0" w:type="auto"/>
            <w:hideMark/>
          </w:tcPr>
          <w:p w:rsidR="001501F3" w:rsidRPr="00EE052E" w:rsidRDefault="001501F3" w:rsidP="000E1074">
            <w:pPr>
              <w:spacing w:after="120"/>
              <w:rPr>
                <w:b/>
                <w:bCs/>
              </w:rPr>
            </w:pPr>
            <w:r w:rsidRPr="00EE052E">
              <w:rPr>
                <w:b/>
                <w:bCs/>
              </w:rPr>
              <w:t>Strongly Disagree</w:t>
            </w:r>
          </w:p>
        </w:tc>
        <w:tc>
          <w:tcPr>
            <w:tcW w:w="0" w:type="auto"/>
            <w:hideMark/>
          </w:tcPr>
          <w:p w:rsidR="001501F3" w:rsidRPr="00EE052E" w:rsidRDefault="001501F3" w:rsidP="000E1074">
            <w:pPr>
              <w:spacing w:after="120"/>
              <w:rPr>
                <w:b/>
                <w:bCs/>
              </w:rPr>
            </w:pPr>
            <w:r w:rsidRPr="00EE052E">
              <w:rPr>
                <w:b/>
                <w:bCs/>
              </w:rPr>
              <w:t>N/A</w:t>
            </w:r>
          </w:p>
        </w:tc>
        <w:tc>
          <w:tcPr>
            <w:tcW w:w="0" w:type="auto"/>
            <w:hideMark/>
          </w:tcPr>
          <w:p w:rsidR="001501F3" w:rsidRPr="00EE052E" w:rsidRDefault="001501F3" w:rsidP="000E1074">
            <w:pPr>
              <w:spacing w:after="120"/>
              <w:rPr>
                <w:b/>
                <w:bCs/>
              </w:rPr>
            </w:pPr>
            <w:r w:rsidRPr="00EE052E">
              <w:rPr>
                <w:b/>
                <w:bCs/>
              </w:rPr>
              <w:t>Rating Average</w:t>
            </w:r>
          </w:p>
        </w:tc>
        <w:tc>
          <w:tcPr>
            <w:tcW w:w="0" w:type="auto"/>
            <w:hideMark/>
          </w:tcPr>
          <w:p w:rsidR="001501F3" w:rsidRPr="00EE052E" w:rsidRDefault="001501F3" w:rsidP="000E1074">
            <w:pPr>
              <w:spacing w:after="120"/>
              <w:rPr>
                <w:b/>
                <w:bCs/>
              </w:rPr>
            </w:pPr>
            <w:r w:rsidRPr="00EE052E">
              <w:rPr>
                <w:b/>
                <w:bCs/>
              </w:rPr>
              <w:t>Response Count</w:t>
            </w:r>
          </w:p>
        </w:tc>
      </w:tr>
      <w:tr w:rsidR="001501F3" w:rsidRPr="00EE052E" w:rsidTr="00C57005">
        <w:trPr>
          <w:gridAfter w:val="1"/>
          <w:cnfStyle w:val="000000010000" w:firstRow="0" w:lastRow="0" w:firstColumn="0" w:lastColumn="0" w:oddVBand="0" w:evenVBand="0" w:oddHBand="0" w:evenHBand="1" w:firstRowFirstColumn="0" w:firstRowLastColumn="0" w:lastRowFirstColumn="0" w:lastRowLastColumn="0"/>
          <w:wAfter w:w="6" w:type="dxa"/>
          <w:trHeight w:val="255"/>
        </w:trPr>
        <w:tc>
          <w:tcPr>
            <w:tcW w:w="0" w:type="auto"/>
            <w:hideMark/>
          </w:tcPr>
          <w:p w:rsidR="001501F3" w:rsidRPr="00EE052E" w:rsidRDefault="001501F3" w:rsidP="000E1074">
            <w:pPr>
              <w:spacing w:after="120"/>
            </w:pPr>
            <w:r w:rsidRPr="00EE052E">
              <w:lastRenderedPageBreak/>
              <w:t>Responses</w:t>
            </w:r>
          </w:p>
        </w:tc>
        <w:tc>
          <w:tcPr>
            <w:tcW w:w="0" w:type="auto"/>
            <w:noWrap/>
            <w:hideMark/>
          </w:tcPr>
          <w:p w:rsidR="001501F3" w:rsidRPr="00EE052E" w:rsidRDefault="001501F3" w:rsidP="000E1074">
            <w:pPr>
              <w:spacing w:after="120"/>
            </w:pPr>
            <w:r w:rsidRPr="00EE052E">
              <w:t>1</w:t>
            </w:r>
          </w:p>
        </w:tc>
        <w:tc>
          <w:tcPr>
            <w:tcW w:w="0" w:type="auto"/>
            <w:noWrap/>
            <w:hideMark/>
          </w:tcPr>
          <w:p w:rsidR="001501F3" w:rsidRPr="00EE052E" w:rsidRDefault="001501F3" w:rsidP="000E1074">
            <w:pPr>
              <w:spacing w:after="120"/>
            </w:pPr>
            <w:r w:rsidRPr="00EE052E">
              <w:t>7</w:t>
            </w:r>
          </w:p>
        </w:tc>
        <w:tc>
          <w:tcPr>
            <w:tcW w:w="0" w:type="auto"/>
            <w:noWrap/>
            <w:hideMark/>
          </w:tcPr>
          <w:p w:rsidR="001501F3" w:rsidRPr="00EE052E" w:rsidRDefault="001501F3" w:rsidP="000E1074">
            <w:pPr>
              <w:spacing w:after="120"/>
            </w:pPr>
            <w:r w:rsidRPr="00EE052E">
              <w:t>0</w:t>
            </w:r>
          </w:p>
        </w:tc>
        <w:tc>
          <w:tcPr>
            <w:tcW w:w="0" w:type="auto"/>
            <w:noWrap/>
            <w:hideMark/>
          </w:tcPr>
          <w:p w:rsidR="001501F3" w:rsidRPr="00EE052E" w:rsidRDefault="001501F3" w:rsidP="000E1074">
            <w:pPr>
              <w:spacing w:after="120"/>
            </w:pPr>
            <w:r w:rsidRPr="00EE052E">
              <w:t>0</w:t>
            </w:r>
          </w:p>
        </w:tc>
        <w:tc>
          <w:tcPr>
            <w:tcW w:w="0" w:type="auto"/>
            <w:noWrap/>
            <w:hideMark/>
          </w:tcPr>
          <w:p w:rsidR="001501F3" w:rsidRPr="00EE052E" w:rsidRDefault="001501F3" w:rsidP="000E1074">
            <w:pPr>
              <w:spacing w:after="120"/>
            </w:pPr>
            <w:r w:rsidRPr="00EE052E">
              <w:t>2</w:t>
            </w:r>
          </w:p>
        </w:tc>
        <w:tc>
          <w:tcPr>
            <w:tcW w:w="0" w:type="auto"/>
            <w:noWrap/>
            <w:hideMark/>
          </w:tcPr>
          <w:p w:rsidR="001501F3" w:rsidRPr="00EE052E" w:rsidRDefault="001501F3" w:rsidP="000E1074">
            <w:pPr>
              <w:spacing w:after="120"/>
            </w:pPr>
            <w:r w:rsidRPr="00EE052E">
              <w:t>3.13</w:t>
            </w:r>
          </w:p>
        </w:tc>
        <w:tc>
          <w:tcPr>
            <w:tcW w:w="0" w:type="auto"/>
            <w:noWrap/>
            <w:hideMark/>
          </w:tcPr>
          <w:p w:rsidR="001501F3" w:rsidRPr="00EE052E" w:rsidRDefault="001501F3" w:rsidP="000E1074">
            <w:pPr>
              <w:spacing w:after="120"/>
            </w:pPr>
            <w:r w:rsidRPr="00EE052E">
              <w:t>10</w:t>
            </w:r>
          </w:p>
        </w:tc>
      </w:tr>
      <w:tr w:rsidR="001501F3" w:rsidRPr="00EE052E" w:rsidTr="00C57005">
        <w:trPr>
          <w:gridAfter w:val="1"/>
          <w:cnfStyle w:val="000000100000" w:firstRow="0" w:lastRow="0" w:firstColumn="0" w:lastColumn="0" w:oddVBand="0" w:evenVBand="0" w:oddHBand="1" w:evenHBand="0" w:firstRowFirstColumn="0" w:firstRowLastColumn="0" w:lastRowFirstColumn="0" w:lastRowLastColumn="0"/>
          <w:wAfter w:w="6" w:type="dxa"/>
          <w:trHeight w:val="255"/>
        </w:trPr>
        <w:tc>
          <w:tcPr>
            <w:tcW w:w="0" w:type="auto"/>
            <w:gridSpan w:val="7"/>
            <w:hideMark/>
          </w:tcPr>
          <w:p w:rsidR="001501F3" w:rsidRPr="00EE052E" w:rsidRDefault="001501F3" w:rsidP="000E1074">
            <w:pPr>
              <w:spacing w:after="120"/>
            </w:pPr>
            <w:r w:rsidRPr="00EE052E">
              <w:t>How can this burden be reduced?</w:t>
            </w:r>
          </w:p>
        </w:tc>
        <w:tc>
          <w:tcPr>
            <w:tcW w:w="0" w:type="auto"/>
            <w:noWrap/>
            <w:hideMark/>
          </w:tcPr>
          <w:p w:rsidR="001501F3" w:rsidRPr="00EE052E" w:rsidRDefault="001501F3" w:rsidP="000E1074">
            <w:pPr>
              <w:spacing w:after="120"/>
            </w:pPr>
            <w:r w:rsidRPr="00EE052E">
              <w:t>5</w:t>
            </w:r>
          </w:p>
        </w:tc>
      </w:tr>
      <w:tr w:rsidR="001501F3" w:rsidRPr="00EE052E" w:rsidTr="00C57005">
        <w:trPr>
          <w:gridAfter w:val="1"/>
          <w:cnfStyle w:val="000000010000" w:firstRow="0" w:lastRow="0" w:firstColumn="0" w:lastColumn="0" w:oddVBand="0" w:evenVBand="0" w:oddHBand="0" w:evenHBand="1" w:firstRowFirstColumn="0" w:firstRowLastColumn="0" w:lastRowFirstColumn="0" w:lastRowLastColumn="0"/>
          <w:wAfter w:w="6" w:type="dxa"/>
          <w:trHeight w:val="255"/>
        </w:trPr>
        <w:tc>
          <w:tcPr>
            <w:tcW w:w="0" w:type="auto"/>
            <w:gridSpan w:val="7"/>
            <w:noWrap/>
            <w:hideMark/>
          </w:tcPr>
          <w:p w:rsidR="001501F3" w:rsidRPr="00EE052E" w:rsidRDefault="001501F3" w:rsidP="000E1074">
            <w:pPr>
              <w:spacing w:after="120"/>
              <w:rPr>
                <w:b/>
                <w:bCs/>
                <w:i/>
                <w:iCs/>
              </w:rPr>
            </w:pPr>
            <w:r w:rsidRPr="00EE052E">
              <w:rPr>
                <w:b/>
                <w:bCs/>
                <w:i/>
                <w:iCs/>
              </w:rPr>
              <w:t>answered question</w:t>
            </w:r>
          </w:p>
        </w:tc>
        <w:tc>
          <w:tcPr>
            <w:tcW w:w="0" w:type="auto"/>
            <w:noWrap/>
            <w:hideMark/>
          </w:tcPr>
          <w:p w:rsidR="001501F3" w:rsidRPr="00EE052E" w:rsidRDefault="001501F3" w:rsidP="000E1074">
            <w:pPr>
              <w:spacing w:after="120"/>
              <w:rPr>
                <w:b/>
                <w:bCs/>
              </w:rPr>
            </w:pPr>
            <w:r w:rsidRPr="00EE052E">
              <w:rPr>
                <w:b/>
                <w:bCs/>
              </w:rPr>
              <w:t>10</w:t>
            </w:r>
          </w:p>
        </w:tc>
      </w:tr>
      <w:tr w:rsidR="001501F3" w:rsidRPr="00EE052E" w:rsidTr="00C57005">
        <w:trPr>
          <w:gridAfter w:val="1"/>
          <w:cnfStyle w:val="000000100000" w:firstRow="0" w:lastRow="0" w:firstColumn="0" w:lastColumn="0" w:oddVBand="0" w:evenVBand="0" w:oddHBand="1" w:evenHBand="0" w:firstRowFirstColumn="0" w:firstRowLastColumn="0" w:lastRowFirstColumn="0" w:lastRowLastColumn="0"/>
          <w:wAfter w:w="6" w:type="dxa"/>
          <w:trHeight w:val="255"/>
        </w:trPr>
        <w:tc>
          <w:tcPr>
            <w:tcW w:w="0" w:type="auto"/>
            <w:gridSpan w:val="7"/>
            <w:noWrap/>
            <w:hideMark/>
          </w:tcPr>
          <w:p w:rsidR="001501F3" w:rsidRPr="00EE052E" w:rsidRDefault="001501F3" w:rsidP="000E1074">
            <w:pPr>
              <w:spacing w:after="120"/>
              <w:rPr>
                <w:b/>
                <w:bCs/>
                <w:i/>
                <w:iCs/>
              </w:rPr>
            </w:pPr>
            <w:r w:rsidRPr="00EE052E">
              <w:rPr>
                <w:b/>
                <w:bCs/>
                <w:i/>
                <w:iCs/>
              </w:rPr>
              <w:t>skipped question</w:t>
            </w:r>
          </w:p>
        </w:tc>
        <w:tc>
          <w:tcPr>
            <w:tcW w:w="0" w:type="auto"/>
            <w:noWrap/>
            <w:hideMark/>
          </w:tcPr>
          <w:p w:rsidR="001501F3" w:rsidRPr="00EE052E" w:rsidRDefault="001501F3" w:rsidP="000E1074">
            <w:pPr>
              <w:spacing w:after="120"/>
              <w:rPr>
                <w:b/>
                <w:bCs/>
              </w:rPr>
            </w:pPr>
            <w:r w:rsidRPr="00EE052E">
              <w:rPr>
                <w:b/>
                <w:bCs/>
              </w:rPr>
              <w:t>1</w:t>
            </w:r>
          </w:p>
        </w:tc>
      </w:tr>
      <w:tr w:rsidR="00C57005" w:rsidRPr="00EE052E" w:rsidTr="00C57005">
        <w:trPr>
          <w:cnfStyle w:val="000000010000" w:firstRow="0" w:lastRow="0" w:firstColumn="0" w:lastColumn="0" w:oddVBand="0" w:evenVBand="0" w:oddHBand="0" w:evenHBand="1" w:firstRowFirstColumn="0" w:firstRowLastColumn="0" w:lastRowFirstColumn="0" w:lastRowLastColumn="0"/>
          <w:trHeight w:val="48"/>
        </w:trPr>
        <w:tc>
          <w:tcPr>
            <w:tcW w:w="8784" w:type="dxa"/>
            <w:gridSpan w:val="9"/>
            <w:shd w:val="clear" w:color="auto" w:fill="595959" w:themeFill="text1" w:themeFillTint="A6"/>
            <w:hideMark/>
          </w:tcPr>
          <w:p w:rsidR="00C57005" w:rsidRPr="00EE052E" w:rsidRDefault="00C57005" w:rsidP="000E1074">
            <w:pPr>
              <w:spacing w:after="120"/>
              <w:rPr>
                <w:bCs/>
              </w:rPr>
            </w:pPr>
            <w:r w:rsidRPr="00C57005">
              <w:rPr>
                <w:b/>
                <w:bCs/>
                <w:color w:val="FFFFFF" w:themeColor="background1"/>
              </w:rPr>
              <w:t>How can this burden be reduced?</w:t>
            </w:r>
          </w:p>
        </w:tc>
      </w:tr>
      <w:tr w:rsidR="00C57005" w:rsidRPr="00EE052E" w:rsidTr="00C57005">
        <w:trPr>
          <w:cnfStyle w:val="000000100000" w:firstRow="0" w:lastRow="0" w:firstColumn="0" w:lastColumn="0" w:oddVBand="0" w:evenVBand="0" w:oddHBand="1" w:evenHBand="0" w:firstRowFirstColumn="0" w:firstRowLastColumn="0" w:lastRowFirstColumn="0" w:lastRowLastColumn="0"/>
          <w:trHeight w:val="255"/>
        </w:trPr>
        <w:tc>
          <w:tcPr>
            <w:tcW w:w="8784" w:type="dxa"/>
            <w:gridSpan w:val="9"/>
            <w:noWrap/>
            <w:hideMark/>
          </w:tcPr>
          <w:p w:rsidR="00C57005" w:rsidRPr="00EE052E" w:rsidRDefault="00C57005" w:rsidP="000E1074">
            <w:pPr>
              <w:spacing w:after="120"/>
            </w:pPr>
            <w:r w:rsidRPr="00EE052E">
              <w:t>Conferral of State waters responsibilities</w:t>
            </w:r>
            <w:r w:rsidRPr="00EE052E">
              <w:br/>
            </w:r>
            <w:r w:rsidRPr="00EE052E">
              <w:br/>
              <w:t>Capacity to make low-level JA decisions on behalf of the JA</w:t>
            </w:r>
          </w:p>
        </w:tc>
      </w:tr>
      <w:tr w:rsidR="00C57005" w:rsidRPr="00EE052E" w:rsidTr="00C57005">
        <w:trPr>
          <w:cnfStyle w:val="000000010000" w:firstRow="0" w:lastRow="0" w:firstColumn="0" w:lastColumn="0" w:oddVBand="0" w:evenVBand="0" w:oddHBand="0" w:evenHBand="1" w:firstRowFirstColumn="0" w:firstRowLastColumn="0" w:lastRowFirstColumn="0" w:lastRowLastColumn="0"/>
          <w:trHeight w:val="255"/>
        </w:trPr>
        <w:tc>
          <w:tcPr>
            <w:tcW w:w="8784" w:type="dxa"/>
            <w:gridSpan w:val="9"/>
            <w:noWrap/>
            <w:hideMark/>
          </w:tcPr>
          <w:p w:rsidR="00C57005" w:rsidRPr="00EE052E" w:rsidRDefault="00C57005" w:rsidP="000E1074">
            <w:pPr>
              <w:spacing w:after="120"/>
            </w:pPr>
            <w:r w:rsidRPr="00EE052E">
              <w:t>as discussed in interview</w:t>
            </w:r>
          </w:p>
        </w:tc>
      </w:tr>
      <w:tr w:rsidR="00C57005" w:rsidRPr="00EE052E" w:rsidTr="00C57005">
        <w:trPr>
          <w:cnfStyle w:val="000000100000" w:firstRow="0" w:lastRow="0" w:firstColumn="0" w:lastColumn="0" w:oddVBand="0" w:evenVBand="0" w:oddHBand="1" w:evenHBand="0" w:firstRowFirstColumn="0" w:firstRowLastColumn="0" w:lastRowFirstColumn="0" w:lastRowLastColumn="0"/>
          <w:trHeight w:val="255"/>
        </w:trPr>
        <w:tc>
          <w:tcPr>
            <w:tcW w:w="8784" w:type="dxa"/>
            <w:gridSpan w:val="9"/>
            <w:noWrap/>
            <w:hideMark/>
          </w:tcPr>
          <w:p w:rsidR="00C57005" w:rsidRPr="00EE052E" w:rsidRDefault="00C57005" w:rsidP="000E1074">
            <w:pPr>
              <w:spacing w:after="120"/>
            </w:pPr>
            <w:r w:rsidRPr="00EE052E">
              <w:t>There is quite a bit more that NOPTA could do rather than largely being just a bureaucratic style administrator and regulator (policeman).</w:t>
            </w:r>
            <w:r w:rsidRPr="00EE052E">
              <w:br/>
            </w:r>
            <w:r w:rsidRPr="00EE052E">
              <w:br/>
              <w:t>NOPTA is much better than NOPSEMA.</w:t>
            </w:r>
            <w:r w:rsidRPr="00EE052E">
              <w:br/>
            </w:r>
            <w:r w:rsidRPr="00EE052E">
              <w:br/>
              <w:t>NOPTA Is (slowly) getting better than it was, but still has room for improvement.</w:t>
            </w:r>
          </w:p>
        </w:tc>
      </w:tr>
      <w:tr w:rsidR="00C57005" w:rsidRPr="00EE052E" w:rsidTr="00C57005">
        <w:trPr>
          <w:cnfStyle w:val="000000010000" w:firstRow="0" w:lastRow="0" w:firstColumn="0" w:lastColumn="0" w:oddVBand="0" w:evenVBand="0" w:oddHBand="0" w:evenHBand="1" w:firstRowFirstColumn="0" w:firstRowLastColumn="0" w:lastRowFirstColumn="0" w:lastRowLastColumn="0"/>
          <w:trHeight w:val="255"/>
        </w:trPr>
        <w:tc>
          <w:tcPr>
            <w:tcW w:w="8784" w:type="dxa"/>
            <w:gridSpan w:val="9"/>
            <w:noWrap/>
            <w:hideMark/>
          </w:tcPr>
          <w:p w:rsidR="00C57005" w:rsidRPr="00EE052E" w:rsidRDefault="00C57005" w:rsidP="000E1074">
            <w:pPr>
              <w:spacing w:after="120"/>
            </w:pPr>
            <w:r w:rsidRPr="00EE052E">
              <w:t>Reduce the number of instances when a suspension/extension is required for minor work deferrals or delays,</w:t>
            </w:r>
          </w:p>
        </w:tc>
      </w:tr>
      <w:tr w:rsidR="00C57005" w:rsidRPr="00EE052E" w:rsidTr="00C57005">
        <w:trPr>
          <w:cnfStyle w:val="000000100000" w:firstRow="0" w:lastRow="0" w:firstColumn="0" w:lastColumn="0" w:oddVBand="0" w:evenVBand="0" w:oddHBand="1" w:evenHBand="0" w:firstRowFirstColumn="0" w:firstRowLastColumn="0" w:lastRowFirstColumn="0" w:lastRowLastColumn="0"/>
          <w:trHeight w:val="255"/>
        </w:trPr>
        <w:tc>
          <w:tcPr>
            <w:tcW w:w="8784" w:type="dxa"/>
            <w:gridSpan w:val="9"/>
            <w:noWrap/>
            <w:hideMark/>
          </w:tcPr>
          <w:p w:rsidR="00C57005" w:rsidRPr="00EE052E" w:rsidRDefault="00C57005" w:rsidP="000E1074">
            <w:pPr>
              <w:spacing w:after="120"/>
            </w:pPr>
            <w:r w:rsidRPr="00EE052E">
              <w:t>and I believe the new guidelines to be released at APPEA will contribute to this streamlining</w:t>
            </w:r>
          </w:p>
        </w:tc>
      </w:tr>
    </w:tbl>
    <w:p w:rsidR="001501F3" w:rsidRDefault="000E1074" w:rsidP="00E42D56">
      <w:pPr>
        <w:pStyle w:val="Heading20"/>
      </w:pPr>
      <w:bookmarkStart w:id="156" w:name="_Toc423388200"/>
      <w:bookmarkStart w:id="157" w:name="_Toc423426813"/>
      <w:bookmarkStart w:id="158" w:name="_Toc430102222"/>
      <w:r>
        <w:t>Public Sector Survey Responses</w:t>
      </w:r>
      <w:bookmarkEnd w:id="156"/>
      <w:bookmarkEnd w:id="157"/>
      <w:bookmarkEnd w:id="158"/>
    </w:p>
    <w:p w:rsidR="001501F3" w:rsidRDefault="001501F3" w:rsidP="00E42D56">
      <w:pPr>
        <w:pStyle w:val="Heading30"/>
      </w:pPr>
      <w:bookmarkStart w:id="159" w:name="_Toc423426814"/>
      <w:bookmarkStart w:id="160" w:name="_Toc430102223"/>
      <w:r>
        <w:t>Regulation and the Productivity Commission Review</w:t>
      </w:r>
      <w:bookmarkEnd w:id="159"/>
      <w:bookmarkEnd w:id="160"/>
    </w:p>
    <w:tbl>
      <w:tblPr>
        <w:tblStyle w:val="TableGrid"/>
        <w:tblW w:w="8784" w:type="dxa"/>
        <w:tblLook w:val="04A0" w:firstRow="1" w:lastRow="0" w:firstColumn="1" w:lastColumn="0" w:noHBand="0" w:noVBand="1"/>
      </w:tblPr>
      <w:tblGrid>
        <w:gridCol w:w="1200"/>
        <w:gridCol w:w="1016"/>
        <w:gridCol w:w="737"/>
        <w:gridCol w:w="1160"/>
        <w:gridCol w:w="987"/>
        <w:gridCol w:w="1037"/>
        <w:gridCol w:w="536"/>
        <w:gridCol w:w="979"/>
        <w:gridCol w:w="1127"/>
        <w:gridCol w:w="6"/>
      </w:tblGrid>
      <w:tr w:rsidR="001501F3" w:rsidRPr="007053BC" w:rsidTr="000E1074">
        <w:trPr>
          <w:gridAfter w:val="1"/>
          <w:cnfStyle w:val="100000000000" w:firstRow="1" w:lastRow="0" w:firstColumn="0" w:lastColumn="0" w:oddVBand="0" w:evenVBand="0" w:oddHBand="0" w:evenHBand="0" w:firstRowFirstColumn="0" w:firstRowLastColumn="0" w:lastRowFirstColumn="0" w:lastRowLastColumn="0"/>
          <w:wAfter w:w="6" w:type="dxa"/>
          <w:trHeight w:val="499"/>
        </w:trPr>
        <w:tc>
          <w:tcPr>
            <w:tcW w:w="0" w:type="auto"/>
            <w:gridSpan w:val="9"/>
            <w:hideMark/>
          </w:tcPr>
          <w:p w:rsidR="001501F3" w:rsidRPr="007053BC" w:rsidRDefault="001501F3" w:rsidP="000E1074">
            <w:pPr>
              <w:pStyle w:val="BodyText"/>
              <w:spacing w:after="120"/>
              <w:rPr>
                <w:bCs/>
              </w:rPr>
            </w:pPr>
            <w:r w:rsidRPr="007053BC">
              <w:rPr>
                <w:bCs/>
              </w:rPr>
              <w:t>1. The establishment of NOPTA has led to the streamlining of titles applications.</w:t>
            </w:r>
          </w:p>
        </w:tc>
      </w:tr>
      <w:tr w:rsidR="001501F3" w:rsidRPr="007053BC" w:rsidTr="000E1074">
        <w:trPr>
          <w:gridAfter w:val="1"/>
          <w:cnfStyle w:val="000000100000" w:firstRow="0" w:lastRow="0" w:firstColumn="0" w:lastColumn="0" w:oddVBand="0" w:evenVBand="0" w:oddHBand="1" w:evenHBand="0" w:firstRowFirstColumn="0" w:firstRowLastColumn="0" w:lastRowFirstColumn="0" w:lastRowLastColumn="0"/>
          <w:wAfter w:w="6" w:type="dxa"/>
          <w:trHeight w:val="600"/>
        </w:trPr>
        <w:tc>
          <w:tcPr>
            <w:tcW w:w="0" w:type="auto"/>
            <w:hideMark/>
          </w:tcPr>
          <w:p w:rsidR="001501F3" w:rsidRPr="007053BC" w:rsidRDefault="001501F3" w:rsidP="000E1074">
            <w:pPr>
              <w:pStyle w:val="BodyText"/>
              <w:spacing w:after="120"/>
              <w:rPr>
                <w:b/>
                <w:bCs/>
              </w:rPr>
            </w:pPr>
            <w:r w:rsidRPr="007053BC">
              <w:rPr>
                <w:b/>
                <w:bCs/>
              </w:rPr>
              <w:t>Answer Options</w:t>
            </w:r>
          </w:p>
        </w:tc>
        <w:tc>
          <w:tcPr>
            <w:tcW w:w="0" w:type="auto"/>
            <w:hideMark/>
          </w:tcPr>
          <w:p w:rsidR="001501F3" w:rsidRPr="007053BC" w:rsidRDefault="001501F3" w:rsidP="000E1074">
            <w:pPr>
              <w:pStyle w:val="BodyText"/>
              <w:spacing w:after="120"/>
              <w:rPr>
                <w:b/>
                <w:bCs/>
              </w:rPr>
            </w:pPr>
            <w:r w:rsidRPr="007053BC">
              <w:rPr>
                <w:b/>
                <w:bCs/>
              </w:rPr>
              <w:t>Strongly Agree</w:t>
            </w:r>
          </w:p>
        </w:tc>
        <w:tc>
          <w:tcPr>
            <w:tcW w:w="0" w:type="auto"/>
            <w:hideMark/>
          </w:tcPr>
          <w:p w:rsidR="001501F3" w:rsidRPr="007053BC" w:rsidRDefault="001501F3" w:rsidP="000E1074">
            <w:pPr>
              <w:pStyle w:val="BodyText"/>
              <w:spacing w:after="120"/>
              <w:rPr>
                <w:b/>
                <w:bCs/>
              </w:rPr>
            </w:pPr>
            <w:r w:rsidRPr="007053BC">
              <w:rPr>
                <w:b/>
                <w:bCs/>
              </w:rPr>
              <w:t>Agree</w:t>
            </w:r>
          </w:p>
        </w:tc>
        <w:tc>
          <w:tcPr>
            <w:tcW w:w="0" w:type="auto"/>
            <w:hideMark/>
          </w:tcPr>
          <w:p w:rsidR="001501F3" w:rsidRPr="007053BC" w:rsidRDefault="001501F3" w:rsidP="000E1074">
            <w:pPr>
              <w:pStyle w:val="BodyText"/>
              <w:spacing w:after="120"/>
              <w:rPr>
                <w:b/>
                <w:bCs/>
              </w:rPr>
            </w:pPr>
            <w:r w:rsidRPr="007053BC">
              <w:rPr>
                <w:b/>
                <w:bCs/>
              </w:rPr>
              <w:t>No Difference</w:t>
            </w:r>
          </w:p>
        </w:tc>
        <w:tc>
          <w:tcPr>
            <w:tcW w:w="0" w:type="auto"/>
            <w:hideMark/>
          </w:tcPr>
          <w:p w:rsidR="001501F3" w:rsidRPr="007053BC" w:rsidRDefault="001501F3" w:rsidP="000E1074">
            <w:pPr>
              <w:pStyle w:val="BodyText"/>
              <w:spacing w:after="120"/>
              <w:rPr>
                <w:b/>
                <w:bCs/>
              </w:rPr>
            </w:pPr>
            <w:r w:rsidRPr="007053BC">
              <w:rPr>
                <w:b/>
                <w:bCs/>
              </w:rPr>
              <w:t>Disagree</w:t>
            </w:r>
          </w:p>
        </w:tc>
        <w:tc>
          <w:tcPr>
            <w:tcW w:w="0" w:type="auto"/>
            <w:hideMark/>
          </w:tcPr>
          <w:p w:rsidR="001501F3" w:rsidRPr="007053BC" w:rsidRDefault="001501F3" w:rsidP="000E1074">
            <w:pPr>
              <w:pStyle w:val="BodyText"/>
              <w:spacing w:after="120"/>
              <w:rPr>
                <w:b/>
                <w:bCs/>
              </w:rPr>
            </w:pPr>
            <w:r w:rsidRPr="007053BC">
              <w:rPr>
                <w:b/>
                <w:bCs/>
              </w:rPr>
              <w:t>Strongly Disagree</w:t>
            </w:r>
          </w:p>
        </w:tc>
        <w:tc>
          <w:tcPr>
            <w:tcW w:w="0" w:type="auto"/>
            <w:hideMark/>
          </w:tcPr>
          <w:p w:rsidR="001501F3" w:rsidRPr="007053BC" w:rsidRDefault="001501F3" w:rsidP="000E1074">
            <w:pPr>
              <w:pStyle w:val="BodyText"/>
              <w:spacing w:after="120"/>
              <w:rPr>
                <w:b/>
                <w:bCs/>
              </w:rPr>
            </w:pPr>
            <w:r w:rsidRPr="007053BC">
              <w:rPr>
                <w:b/>
                <w:bCs/>
              </w:rPr>
              <w:t>N/A</w:t>
            </w:r>
          </w:p>
        </w:tc>
        <w:tc>
          <w:tcPr>
            <w:tcW w:w="0" w:type="auto"/>
            <w:hideMark/>
          </w:tcPr>
          <w:p w:rsidR="001501F3" w:rsidRPr="007053BC" w:rsidRDefault="001501F3" w:rsidP="000E1074">
            <w:pPr>
              <w:pStyle w:val="BodyText"/>
              <w:spacing w:after="120"/>
              <w:rPr>
                <w:b/>
                <w:bCs/>
              </w:rPr>
            </w:pPr>
            <w:r w:rsidRPr="007053BC">
              <w:rPr>
                <w:b/>
                <w:bCs/>
              </w:rPr>
              <w:t>Rating Average</w:t>
            </w:r>
          </w:p>
        </w:tc>
        <w:tc>
          <w:tcPr>
            <w:tcW w:w="0" w:type="auto"/>
            <w:hideMark/>
          </w:tcPr>
          <w:p w:rsidR="001501F3" w:rsidRPr="007053BC" w:rsidRDefault="001501F3" w:rsidP="000E1074">
            <w:pPr>
              <w:pStyle w:val="BodyText"/>
              <w:spacing w:after="120"/>
              <w:rPr>
                <w:b/>
                <w:bCs/>
              </w:rPr>
            </w:pPr>
            <w:r w:rsidRPr="007053BC">
              <w:rPr>
                <w:b/>
                <w:bCs/>
              </w:rPr>
              <w:t>Response Count</w:t>
            </w:r>
          </w:p>
        </w:tc>
      </w:tr>
      <w:tr w:rsidR="001501F3" w:rsidRPr="007053BC" w:rsidTr="000E1074">
        <w:trPr>
          <w:gridAfter w:val="1"/>
          <w:cnfStyle w:val="000000010000" w:firstRow="0" w:lastRow="0" w:firstColumn="0" w:lastColumn="0" w:oddVBand="0" w:evenVBand="0" w:oddHBand="0" w:evenHBand="1" w:firstRowFirstColumn="0" w:firstRowLastColumn="0" w:lastRowFirstColumn="0" w:lastRowLastColumn="0"/>
          <w:wAfter w:w="6" w:type="dxa"/>
          <w:trHeight w:val="255"/>
        </w:trPr>
        <w:tc>
          <w:tcPr>
            <w:tcW w:w="0" w:type="auto"/>
            <w:hideMark/>
          </w:tcPr>
          <w:p w:rsidR="001501F3" w:rsidRPr="007053BC" w:rsidRDefault="001501F3" w:rsidP="000E1074">
            <w:pPr>
              <w:pStyle w:val="BodyText"/>
              <w:spacing w:after="120"/>
            </w:pPr>
            <w:r w:rsidRPr="007053BC">
              <w:t>Responses</w:t>
            </w:r>
          </w:p>
        </w:tc>
        <w:tc>
          <w:tcPr>
            <w:tcW w:w="0" w:type="auto"/>
            <w:noWrap/>
            <w:hideMark/>
          </w:tcPr>
          <w:p w:rsidR="001501F3" w:rsidRPr="007053BC" w:rsidRDefault="001501F3" w:rsidP="000E1074">
            <w:pPr>
              <w:pStyle w:val="BodyText"/>
              <w:spacing w:after="120"/>
            </w:pPr>
            <w:r w:rsidRPr="007053BC">
              <w:t>3</w:t>
            </w:r>
          </w:p>
        </w:tc>
        <w:tc>
          <w:tcPr>
            <w:tcW w:w="0" w:type="auto"/>
            <w:noWrap/>
            <w:hideMark/>
          </w:tcPr>
          <w:p w:rsidR="001501F3" w:rsidRPr="007053BC" w:rsidRDefault="001501F3" w:rsidP="000E1074">
            <w:pPr>
              <w:pStyle w:val="BodyText"/>
              <w:spacing w:after="120"/>
            </w:pPr>
            <w:r w:rsidRPr="007053BC">
              <w:t>4</w:t>
            </w:r>
          </w:p>
        </w:tc>
        <w:tc>
          <w:tcPr>
            <w:tcW w:w="0" w:type="auto"/>
            <w:noWrap/>
            <w:hideMark/>
          </w:tcPr>
          <w:p w:rsidR="001501F3" w:rsidRPr="007053BC" w:rsidRDefault="001501F3" w:rsidP="000E1074">
            <w:pPr>
              <w:pStyle w:val="BodyText"/>
              <w:spacing w:after="120"/>
            </w:pPr>
            <w:r w:rsidRPr="007053BC">
              <w:t>0</w:t>
            </w:r>
          </w:p>
        </w:tc>
        <w:tc>
          <w:tcPr>
            <w:tcW w:w="0" w:type="auto"/>
            <w:noWrap/>
            <w:hideMark/>
          </w:tcPr>
          <w:p w:rsidR="001501F3" w:rsidRPr="007053BC" w:rsidRDefault="001501F3" w:rsidP="000E1074">
            <w:pPr>
              <w:pStyle w:val="BodyText"/>
              <w:spacing w:after="120"/>
            </w:pPr>
            <w:r w:rsidRPr="007053BC">
              <w:t>1</w:t>
            </w:r>
          </w:p>
        </w:tc>
        <w:tc>
          <w:tcPr>
            <w:tcW w:w="0" w:type="auto"/>
            <w:noWrap/>
            <w:hideMark/>
          </w:tcPr>
          <w:p w:rsidR="001501F3" w:rsidRPr="007053BC" w:rsidRDefault="001501F3" w:rsidP="000E1074">
            <w:pPr>
              <w:pStyle w:val="BodyText"/>
              <w:spacing w:after="120"/>
            </w:pPr>
            <w:r w:rsidRPr="007053BC">
              <w:t>0</w:t>
            </w:r>
          </w:p>
        </w:tc>
        <w:tc>
          <w:tcPr>
            <w:tcW w:w="0" w:type="auto"/>
            <w:noWrap/>
            <w:hideMark/>
          </w:tcPr>
          <w:p w:rsidR="001501F3" w:rsidRPr="007053BC" w:rsidRDefault="001501F3" w:rsidP="000E1074">
            <w:pPr>
              <w:pStyle w:val="BodyText"/>
              <w:spacing w:after="120"/>
            </w:pPr>
            <w:r w:rsidRPr="007053BC">
              <w:t>1</w:t>
            </w:r>
          </w:p>
        </w:tc>
        <w:tc>
          <w:tcPr>
            <w:tcW w:w="0" w:type="auto"/>
            <w:noWrap/>
            <w:hideMark/>
          </w:tcPr>
          <w:p w:rsidR="001501F3" w:rsidRPr="007053BC" w:rsidRDefault="001501F3" w:rsidP="000E1074">
            <w:pPr>
              <w:pStyle w:val="BodyText"/>
              <w:spacing w:after="120"/>
            </w:pPr>
            <w:r w:rsidRPr="007053BC">
              <w:t>4.13</w:t>
            </w:r>
          </w:p>
        </w:tc>
        <w:tc>
          <w:tcPr>
            <w:tcW w:w="0" w:type="auto"/>
            <w:noWrap/>
            <w:hideMark/>
          </w:tcPr>
          <w:p w:rsidR="001501F3" w:rsidRPr="007053BC" w:rsidRDefault="001501F3" w:rsidP="000E1074">
            <w:pPr>
              <w:pStyle w:val="BodyText"/>
              <w:spacing w:after="120"/>
            </w:pPr>
            <w:r w:rsidRPr="007053BC">
              <w:t>9</w:t>
            </w:r>
          </w:p>
        </w:tc>
      </w:tr>
      <w:tr w:rsidR="001501F3" w:rsidRPr="007053BC" w:rsidTr="000E1074">
        <w:trPr>
          <w:gridAfter w:val="1"/>
          <w:cnfStyle w:val="000000100000" w:firstRow="0" w:lastRow="0" w:firstColumn="0" w:lastColumn="0" w:oddVBand="0" w:evenVBand="0" w:oddHBand="1" w:evenHBand="0" w:firstRowFirstColumn="0" w:firstRowLastColumn="0" w:lastRowFirstColumn="0" w:lastRowLastColumn="0"/>
          <w:wAfter w:w="6" w:type="dxa"/>
          <w:trHeight w:val="255"/>
        </w:trPr>
        <w:tc>
          <w:tcPr>
            <w:tcW w:w="0" w:type="auto"/>
            <w:gridSpan w:val="8"/>
            <w:hideMark/>
          </w:tcPr>
          <w:p w:rsidR="001501F3" w:rsidRPr="007053BC" w:rsidRDefault="001501F3" w:rsidP="000E1074">
            <w:pPr>
              <w:pStyle w:val="BodyText"/>
              <w:spacing w:after="120"/>
            </w:pPr>
            <w:r w:rsidRPr="007053BC">
              <w:t>Additional Comments</w:t>
            </w:r>
          </w:p>
        </w:tc>
        <w:tc>
          <w:tcPr>
            <w:tcW w:w="0" w:type="auto"/>
            <w:noWrap/>
            <w:hideMark/>
          </w:tcPr>
          <w:p w:rsidR="001501F3" w:rsidRPr="007053BC" w:rsidRDefault="001501F3" w:rsidP="000E1074">
            <w:pPr>
              <w:pStyle w:val="BodyText"/>
              <w:spacing w:after="120"/>
            </w:pPr>
            <w:r w:rsidRPr="007053BC">
              <w:t>4</w:t>
            </w:r>
          </w:p>
        </w:tc>
      </w:tr>
      <w:tr w:rsidR="001501F3" w:rsidRPr="007053BC" w:rsidTr="000E1074">
        <w:trPr>
          <w:gridAfter w:val="1"/>
          <w:cnfStyle w:val="000000010000" w:firstRow="0" w:lastRow="0" w:firstColumn="0" w:lastColumn="0" w:oddVBand="0" w:evenVBand="0" w:oddHBand="0" w:evenHBand="1" w:firstRowFirstColumn="0" w:firstRowLastColumn="0" w:lastRowFirstColumn="0" w:lastRowLastColumn="0"/>
          <w:wAfter w:w="6" w:type="dxa"/>
          <w:trHeight w:val="255"/>
        </w:trPr>
        <w:tc>
          <w:tcPr>
            <w:tcW w:w="0" w:type="auto"/>
            <w:gridSpan w:val="8"/>
            <w:noWrap/>
            <w:hideMark/>
          </w:tcPr>
          <w:p w:rsidR="001501F3" w:rsidRPr="007053BC" w:rsidRDefault="001501F3" w:rsidP="000E1074">
            <w:pPr>
              <w:pStyle w:val="BodyText"/>
              <w:spacing w:after="120"/>
              <w:rPr>
                <w:b/>
                <w:bCs/>
                <w:i/>
                <w:iCs/>
              </w:rPr>
            </w:pPr>
            <w:r w:rsidRPr="007053BC">
              <w:rPr>
                <w:b/>
                <w:bCs/>
                <w:i/>
                <w:iCs/>
              </w:rPr>
              <w:t>answered question</w:t>
            </w:r>
          </w:p>
        </w:tc>
        <w:tc>
          <w:tcPr>
            <w:tcW w:w="0" w:type="auto"/>
            <w:noWrap/>
            <w:hideMark/>
          </w:tcPr>
          <w:p w:rsidR="001501F3" w:rsidRPr="007053BC" w:rsidRDefault="001501F3" w:rsidP="000E1074">
            <w:pPr>
              <w:pStyle w:val="BodyText"/>
              <w:spacing w:after="120"/>
              <w:rPr>
                <w:b/>
                <w:bCs/>
              </w:rPr>
            </w:pPr>
            <w:r w:rsidRPr="007053BC">
              <w:rPr>
                <w:b/>
                <w:bCs/>
              </w:rPr>
              <w:t>9</w:t>
            </w:r>
          </w:p>
        </w:tc>
      </w:tr>
      <w:tr w:rsidR="001501F3" w:rsidRPr="007053BC" w:rsidTr="000E1074">
        <w:trPr>
          <w:gridAfter w:val="1"/>
          <w:cnfStyle w:val="000000100000" w:firstRow="0" w:lastRow="0" w:firstColumn="0" w:lastColumn="0" w:oddVBand="0" w:evenVBand="0" w:oddHBand="1" w:evenHBand="0" w:firstRowFirstColumn="0" w:firstRowLastColumn="0" w:lastRowFirstColumn="0" w:lastRowLastColumn="0"/>
          <w:wAfter w:w="6" w:type="dxa"/>
          <w:trHeight w:val="255"/>
        </w:trPr>
        <w:tc>
          <w:tcPr>
            <w:tcW w:w="0" w:type="auto"/>
            <w:gridSpan w:val="8"/>
            <w:noWrap/>
            <w:hideMark/>
          </w:tcPr>
          <w:p w:rsidR="001501F3" w:rsidRPr="007053BC" w:rsidRDefault="001501F3" w:rsidP="000E1074">
            <w:pPr>
              <w:pStyle w:val="BodyText"/>
              <w:spacing w:after="120"/>
              <w:rPr>
                <w:b/>
                <w:bCs/>
                <w:i/>
                <w:iCs/>
              </w:rPr>
            </w:pPr>
            <w:r w:rsidRPr="007053BC">
              <w:rPr>
                <w:b/>
                <w:bCs/>
                <w:i/>
                <w:iCs/>
              </w:rPr>
              <w:t>skipped question</w:t>
            </w:r>
          </w:p>
        </w:tc>
        <w:tc>
          <w:tcPr>
            <w:tcW w:w="0" w:type="auto"/>
            <w:noWrap/>
            <w:hideMark/>
          </w:tcPr>
          <w:p w:rsidR="001501F3" w:rsidRPr="007053BC" w:rsidRDefault="001501F3" w:rsidP="000E1074">
            <w:pPr>
              <w:pStyle w:val="BodyText"/>
              <w:spacing w:after="120"/>
              <w:rPr>
                <w:b/>
                <w:bCs/>
              </w:rPr>
            </w:pPr>
            <w:r w:rsidRPr="007053BC">
              <w:rPr>
                <w:b/>
                <w:bCs/>
              </w:rPr>
              <w:t>0</w:t>
            </w:r>
          </w:p>
        </w:tc>
      </w:tr>
      <w:tr w:rsidR="000E1074" w:rsidRPr="007053BC" w:rsidTr="000E1074">
        <w:trPr>
          <w:cnfStyle w:val="000000010000" w:firstRow="0" w:lastRow="0" w:firstColumn="0" w:lastColumn="0" w:oddVBand="0" w:evenVBand="0" w:oddHBand="0" w:evenHBand="1" w:firstRowFirstColumn="0" w:firstRowLastColumn="0" w:lastRowFirstColumn="0" w:lastRowLastColumn="0"/>
          <w:trHeight w:val="510"/>
        </w:trPr>
        <w:tc>
          <w:tcPr>
            <w:tcW w:w="8784" w:type="dxa"/>
            <w:gridSpan w:val="10"/>
            <w:shd w:val="clear" w:color="auto" w:fill="595959" w:themeFill="text1" w:themeFillTint="A6"/>
            <w:hideMark/>
          </w:tcPr>
          <w:p w:rsidR="000E1074" w:rsidRPr="007053BC" w:rsidRDefault="000E1074" w:rsidP="000E1074">
            <w:pPr>
              <w:pStyle w:val="BodyText"/>
              <w:spacing w:after="120"/>
              <w:rPr>
                <w:bCs/>
              </w:rPr>
            </w:pPr>
            <w:r w:rsidRPr="000E1074">
              <w:rPr>
                <w:b/>
                <w:bCs/>
                <w:color w:val="FFFFFF" w:themeColor="background1"/>
              </w:rPr>
              <w:lastRenderedPageBreak/>
              <w:t>Additional Comments</w:t>
            </w:r>
          </w:p>
        </w:tc>
      </w:tr>
      <w:tr w:rsidR="000E1074" w:rsidRPr="007053BC" w:rsidTr="000E1074">
        <w:trPr>
          <w:cnfStyle w:val="000000100000" w:firstRow="0" w:lastRow="0" w:firstColumn="0" w:lastColumn="0" w:oddVBand="0" w:evenVBand="0" w:oddHBand="1" w:evenHBand="0" w:firstRowFirstColumn="0" w:firstRowLastColumn="0" w:lastRowFirstColumn="0" w:lastRowLastColumn="0"/>
          <w:trHeight w:val="255"/>
        </w:trPr>
        <w:tc>
          <w:tcPr>
            <w:tcW w:w="8784" w:type="dxa"/>
            <w:gridSpan w:val="10"/>
            <w:noWrap/>
            <w:hideMark/>
          </w:tcPr>
          <w:p w:rsidR="000E1074" w:rsidRPr="007053BC" w:rsidRDefault="000E1074" w:rsidP="000E1074">
            <w:pPr>
              <w:spacing w:after="120"/>
            </w:pPr>
            <w:r w:rsidRPr="007053BC">
              <w:t>Although involvement of Joint Authority still makes for an extended process</w:t>
            </w:r>
          </w:p>
        </w:tc>
      </w:tr>
      <w:tr w:rsidR="000E1074" w:rsidRPr="007053BC" w:rsidTr="000E1074">
        <w:trPr>
          <w:cnfStyle w:val="000000010000" w:firstRow="0" w:lastRow="0" w:firstColumn="0" w:lastColumn="0" w:oddVBand="0" w:evenVBand="0" w:oddHBand="0" w:evenHBand="1" w:firstRowFirstColumn="0" w:firstRowLastColumn="0" w:lastRowFirstColumn="0" w:lastRowLastColumn="0"/>
          <w:trHeight w:val="255"/>
        </w:trPr>
        <w:tc>
          <w:tcPr>
            <w:tcW w:w="8784" w:type="dxa"/>
            <w:gridSpan w:val="10"/>
            <w:noWrap/>
            <w:hideMark/>
          </w:tcPr>
          <w:p w:rsidR="000E1074" w:rsidRPr="007053BC" w:rsidRDefault="000E1074" w:rsidP="000E1074">
            <w:pPr>
              <w:spacing w:after="120"/>
            </w:pPr>
            <w:r w:rsidRPr="007053BC">
              <w:t>Prior to NOPTA being formed the approval process was coordinated by the State and the Commonwealth</w:t>
            </w:r>
            <w:r w:rsidR="004B5BEC">
              <w:t xml:space="preserve">. </w:t>
            </w:r>
            <w:r w:rsidRPr="007053BC">
              <w:t>Now the approval process consists of the State, the Commonwealth and NOPTA</w:t>
            </w:r>
            <w:r w:rsidR="004B5BEC">
              <w:t xml:space="preserve">. </w:t>
            </w:r>
            <w:r w:rsidRPr="007053BC">
              <w:t>It is my opinion that NOPTA has created an extra tier in the approval process.</w:t>
            </w:r>
          </w:p>
        </w:tc>
      </w:tr>
      <w:tr w:rsidR="000E1074" w:rsidRPr="007053BC" w:rsidTr="000E1074">
        <w:trPr>
          <w:cnfStyle w:val="000000100000" w:firstRow="0" w:lastRow="0" w:firstColumn="0" w:lastColumn="0" w:oddVBand="0" w:evenVBand="0" w:oddHBand="1" w:evenHBand="0" w:firstRowFirstColumn="0" w:firstRowLastColumn="0" w:lastRowFirstColumn="0" w:lastRowLastColumn="0"/>
          <w:trHeight w:val="255"/>
        </w:trPr>
        <w:tc>
          <w:tcPr>
            <w:tcW w:w="8784" w:type="dxa"/>
            <w:gridSpan w:val="10"/>
            <w:noWrap/>
            <w:hideMark/>
          </w:tcPr>
          <w:p w:rsidR="000E1074" w:rsidRPr="007053BC" w:rsidRDefault="000E1074" w:rsidP="000E1074">
            <w:pPr>
              <w:spacing w:after="120"/>
            </w:pPr>
            <w:r w:rsidRPr="007053BC">
              <w:t>I was not involved in titles administration prior to NOPTA's establishment so am unable to comment</w:t>
            </w:r>
          </w:p>
        </w:tc>
      </w:tr>
      <w:tr w:rsidR="000E1074" w:rsidRPr="007053BC" w:rsidTr="000E1074">
        <w:trPr>
          <w:cnfStyle w:val="000000010000" w:firstRow="0" w:lastRow="0" w:firstColumn="0" w:lastColumn="0" w:oddVBand="0" w:evenVBand="0" w:oddHBand="0" w:evenHBand="1" w:firstRowFirstColumn="0" w:firstRowLastColumn="0" w:lastRowFirstColumn="0" w:lastRowLastColumn="0"/>
          <w:trHeight w:val="255"/>
        </w:trPr>
        <w:tc>
          <w:tcPr>
            <w:tcW w:w="8784" w:type="dxa"/>
            <w:gridSpan w:val="10"/>
            <w:noWrap/>
            <w:hideMark/>
          </w:tcPr>
          <w:p w:rsidR="000E1074" w:rsidRPr="007053BC" w:rsidRDefault="000E1074" w:rsidP="000E1074">
            <w:pPr>
              <w:spacing w:after="120"/>
            </w:pPr>
            <w:r w:rsidRPr="007053BC">
              <w:t>We never fully recovered costs of dealing with offshore permits full cycle.</w:t>
            </w:r>
          </w:p>
        </w:tc>
      </w:tr>
    </w:tbl>
    <w:p w:rsidR="001501F3" w:rsidRDefault="001501F3" w:rsidP="00E42D56">
      <w:pPr>
        <w:pStyle w:val="Heading30"/>
      </w:pPr>
      <w:bookmarkStart w:id="161" w:name="_Toc423426815"/>
      <w:bookmarkStart w:id="162" w:name="_Toc430102224"/>
      <w:r>
        <w:t>Management of Titles</w:t>
      </w:r>
      <w:bookmarkEnd w:id="161"/>
      <w:bookmarkEnd w:id="162"/>
    </w:p>
    <w:tbl>
      <w:tblPr>
        <w:tblStyle w:val="TableGrid"/>
        <w:tblW w:w="8784" w:type="dxa"/>
        <w:tblLook w:val="04A0" w:firstRow="1" w:lastRow="0" w:firstColumn="1" w:lastColumn="0" w:noHBand="0" w:noVBand="1"/>
      </w:tblPr>
      <w:tblGrid>
        <w:gridCol w:w="1445"/>
        <w:gridCol w:w="1216"/>
        <w:gridCol w:w="821"/>
        <w:gridCol w:w="1100"/>
        <w:gridCol w:w="1214"/>
        <w:gridCol w:w="597"/>
        <w:gridCol w:w="1121"/>
        <w:gridCol w:w="1264"/>
        <w:gridCol w:w="6"/>
      </w:tblGrid>
      <w:tr w:rsidR="001501F3" w:rsidRPr="007053BC" w:rsidTr="000E1074">
        <w:trPr>
          <w:gridAfter w:val="1"/>
          <w:cnfStyle w:val="100000000000" w:firstRow="1" w:lastRow="0" w:firstColumn="0" w:lastColumn="0" w:oddVBand="0" w:evenVBand="0" w:oddHBand="0" w:evenHBand="0" w:firstRowFirstColumn="0" w:firstRowLastColumn="0" w:lastRowFirstColumn="0" w:lastRowLastColumn="0"/>
          <w:wAfter w:w="6" w:type="dxa"/>
          <w:trHeight w:val="493"/>
        </w:trPr>
        <w:tc>
          <w:tcPr>
            <w:tcW w:w="0" w:type="auto"/>
            <w:gridSpan w:val="8"/>
            <w:hideMark/>
          </w:tcPr>
          <w:p w:rsidR="001501F3" w:rsidRPr="007053BC" w:rsidRDefault="001501F3" w:rsidP="000E1074">
            <w:pPr>
              <w:pStyle w:val="BodyText"/>
              <w:spacing w:after="120"/>
              <w:rPr>
                <w:bCs/>
              </w:rPr>
            </w:pPr>
            <w:r w:rsidRPr="007053BC">
              <w:rPr>
                <w:bCs/>
              </w:rPr>
              <w:t>2. The interactive map that NOPTA provides on the National Electronic Approvals Tracking System (NEATS) is accurate and reliable.</w:t>
            </w:r>
          </w:p>
        </w:tc>
      </w:tr>
      <w:tr w:rsidR="001501F3" w:rsidRPr="007053BC" w:rsidTr="000E1074">
        <w:trPr>
          <w:gridAfter w:val="1"/>
          <w:cnfStyle w:val="000000100000" w:firstRow="0" w:lastRow="0" w:firstColumn="0" w:lastColumn="0" w:oddVBand="0" w:evenVBand="0" w:oddHBand="1" w:evenHBand="0" w:firstRowFirstColumn="0" w:firstRowLastColumn="0" w:lastRowFirstColumn="0" w:lastRowLastColumn="0"/>
          <w:wAfter w:w="6" w:type="dxa"/>
          <w:trHeight w:val="600"/>
        </w:trPr>
        <w:tc>
          <w:tcPr>
            <w:tcW w:w="0" w:type="auto"/>
            <w:hideMark/>
          </w:tcPr>
          <w:p w:rsidR="001501F3" w:rsidRPr="007053BC" w:rsidRDefault="001501F3" w:rsidP="000E1074">
            <w:pPr>
              <w:pStyle w:val="BodyText"/>
              <w:spacing w:after="120"/>
              <w:rPr>
                <w:b/>
                <w:bCs/>
              </w:rPr>
            </w:pPr>
            <w:r w:rsidRPr="007053BC">
              <w:rPr>
                <w:b/>
                <w:bCs/>
              </w:rPr>
              <w:t>Answer Options</w:t>
            </w:r>
          </w:p>
        </w:tc>
        <w:tc>
          <w:tcPr>
            <w:tcW w:w="0" w:type="auto"/>
            <w:hideMark/>
          </w:tcPr>
          <w:p w:rsidR="001501F3" w:rsidRPr="007053BC" w:rsidRDefault="001501F3" w:rsidP="000E1074">
            <w:pPr>
              <w:pStyle w:val="BodyText"/>
              <w:spacing w:after="120"/>
              <w:rPr>
                <w:b/>
                <w:bCs/>
              </w:rPr>
            </w:pPr>
            <w:r w:rsidRPr="007053BC">
              <w:rPr>
                <w:b/>
                <w:bCs/>
              </w:rPr>
              <w:t>Strongly Agree</w:t>
            </w:r>
          </w:p>
        </w:tc>
        <w:tc>
          <w:tcPr>
            <w:tcW w:w="0" w:type="auto"/>
            <w:hideMark/>
          </w:tcPr>
          <w:p w:rsidR="001501F3" w:rsidRPr="007053BC" w:rsidRDefault="001501F3" w:rsidP="000E1074">
            <w:pPr>
              <w:pStyle w:val="BodyText"/>
              <w:spacing w:after="120"/>
              <w:rPr>
                <w:b/>
                <w:bCs/>
              </w:rPr>
            </w:pPr>
            <w:r w:rsidRPr="007053BC">
              <w:rPr>
                <w:b/>
                <w:bCs/>
              </w:rPr>
              <w:t>Agree</w:t>
            </w:r>
          </w:p>
        </w:tc>
        <w:tc>
          <w:tcPr>
            <w:tcW w:w="0" w:type="auto"/>
            <w:hideMark/>
          </w:tcPr>
          <w:p w:rsidR="001501F3" w:rsidRPr="007053BC" w:rsidRDefault="001501F3" w:rsidP="000E1074">
            <w:pPr>
              <w:pStyle w:val="BodyText"/>
              <w:spacing w:after="120"/>
              <w:rPr>
                <w:b/>
                <w:bCs/>
              </w:rPr>
            </w:pPr>
            <w:r w:rsidRPr="007053BC">
              <w:rPr>
                <w:b/>
                <w:bCs/>
              </w:rPr>
              <w:t>Disagree</w:t>
            </w:r>
          </w:p>
        </w:tc>
        <w:tc>
          <w:tcPr>
            <w:tcW w:w="0" w:type="auto"/>
            <w:hideMark/>
          </w:tcPr>
          <w:p w:rsidR="001501F3" w:rsidRPr="007053BC" w:rsidRDefault="001501F3" w:rsidP="000E1074">
            <w:pPr>
              <w:pStyle w:val="BodyText"/>
              <w:spacing w:after="120"/>
              <w:rPr>
                <w:b/>
                <w:bCs/>
              </w:rPr>
            </w:pPr>
            <w:r w:rsidRPr="007053BC">
              <w:rPr>
                <w:b/>
                <w:bCs/>
              </w:rPr>
              <w:t>Strongly Disagree</w:t>
            </w:r>
          </w:p>
        </w:tc>
        <w:tc>
          <w:tcPr>
            <w:tcW w:w="0" w:type="auto"/>
            <w:hideMark/>
          </w:tcPr>
          <w:p w:rsidR="001501F3" w:rsidRPr="007053BC" w:rsidRDefault="001501F3" w:rsidP="000E1074">
            <w:pPr>
              <w:pStyle w:val="BodyText"/>
              <w:spacing w:after="120"/>
              <w:rPr>
                <w:b/>
                <w:bCs/>
              </w:rPr>
            </w:pPr>
            <w:r w:rsidRPr="007053BC">
              <w:rPr>
                <w:b/>
                <w:bCs/>
              </w:rPr>
              <w:t>N/A</w:t>
            </w:r>
          </w:p>
        </w:tc>
        <w:tc>
          <w:tcPr>
            <w:tcW w:w="0" w:type="auto"/>
            <w:hideMark/>
          </w:tcPr>
          <w:p w:rsidR="001501F3" w:rsidRPr="007053BC" w:rsidRDefault="001501F3" w:rsidP="000E1074">
            <w:pPr>
              <w:pStyle w:val="BodyText"/>
              <w:spacing w:after="120"/>
              <w:rPr>
                <w:b/>
                <w:bCs/>
              </w:rPr>
            </w:pPr>
            <w:r w:rsidRPr="007053BC">
              <w:rPr>
                <w:b/>
                <w:bCs/>
              </w:rPr>
              <w:t>Rating Average</w:t>
            </w:r>
          </w:p>
        </w:tc>
        <w:tc>
          <w:tcPr>
            <w:tcW w:w="0" w:type="auto"/>
            <w:hideMark/>
          </w:tcPr>
          <w:p w:rsidR="001501F3" w:rsidRPr="007053BC" w:rsidRDefault="001501F3" w:rsidP="000E1074">
            <w:pPr>
              <w:pStyle w:val="BodyText"/>
              <w:spacing w:after="120"/>
              <w:rPr>
                <w:b/>
                <w:bCs/>
              </w:rPr>
            </w:pPr>
            <w:r w:rsidRPr="007053BC">
              <w:rPr>
                <w:b/>
                <w:bCs/>
              </w:rPr>
              <w:t>Response Count</w:t>
            </w:r>
          </w:p>
        </w:tc>
      </w:tr>
      <w:tr w:rsidR="001501F3" w:rsidRPr="007053BC" w:rsidTr="000E1074">
        <w:trPr>
          <w:gridAfter w:val="1"/>
          <w:cnfStyle w:val="000000010000" w:firstRow="0" w:lastRow="0" w:firstColumn="0" w:lastColumn="0" w:oddVBand="0" w:evenVBand="0" w:oddHBand="0" w:evenHBand="1" w:firstRowFirstColumn="0" w:firstRowLastColumn="0" w:lastRowFirstColumn="0" w:lastRowLastColumn="0"/>
          <w:wAfter w:w="6" w:type="dxa"/>
          <w:trHeight w:val="255"/>
        </w:trPr>
        <w:tc>
          <w:tcPr>
            <w:tcW w:w="0" w:type="auto"/>
            <w:hideMark/>
          </w:tcPr>
          <w:p w:rsidR="001501F3" w:rsidRPr="007053BC" w:rsidRDefault="001501F3" w:rsidP="000E1074">
            <w:pPr>
              <w:pStyle w:val="BodyText"/>
              <w:spacing w:after="120"/>
            </w:pPr>
            <w:r w:rsidRPr="007053BC">
              <w:t>Responses</w:t>
            </w:r>
          </w:p>
        </w:tc>
        <w:tc>
          <w:tcPr>
            <w:tcW w:w="0" w:type="auto"/>
            <w:noWrap/>
            <w:hideMark/>
          </w:tcPr>
          <w:p w:rsidR="001501F3" w:rsidRPr="007053BC" w:rsidRDefault="001501F3" w:rsidP="000E1074">
            <w:pPr>
              <w:pStyle w:val="BodyText"/>
              <w:spacing w:after="120"/>
            </w:pPr>
            <w:r w:rsidRPr="007053BC">
              <w:t>0</w:t>
            </w:r>
          </w:p>
        </w:tc>
        <w:tc>
          <w:tcPr>
            <w:tcW w:w="0" w:type="auto"/>
            <w:noWrap/>
            <w:hideMark/>
          </w:tcPr>
          <w:p w:rsidR="001501F3" w:rsidRPr="007053BC" w:rsidRDefault="001501F3" w:rsidP="000E1074">
            <w:pPr>
              <w:pStyle w:val="BodyText"/>
              <w:spacing w:after="120"/>
            </w:pPr>
            <w:r w:rsidRPr="007053BC">
              <w:t>6</w:t>
            </w:r>
          </w:p>
        </w:tc>
        <w:tc>
          <w:tcPr>
            <w:tcW w:w="0" w:type="auto"/>
            <w:noWrap/>
            <w:hideMark/>
          </w:tcPr>
          <w:p w:rsidR="001501F3" w:rsidRPr="007053BC" w:rsidRDefault="001501F3" w:rsidP="000E1074">
            <w:pPr>
              <w:pStyle w:val="BodyText"/>
              <w:spacing w:after="120"/>
            </w:pPr>
            <w:r w:rsidRPr="007053BC">
              <w:t>0</w:t>
            </w:r>
          </w:p>
        </w:tc>
        <w:tc>
          <w:tcPr>
            <w:tcW w:w="0" w:type="auto"/>
            <w:noWrap/>
            <w:hideMark/>
          </w:tcPr>
          <w:p w:rsidR="001501F3" w:rsidRPr="007053BC" w:rsidRDefault="001501F3" w:rsidP="000E1074">
            <w:pPr>
              <w:pStyle w:val="BodyText"/>
              <w:spacing w:after="120"/>
            </w:pPr>
            <w:r w:rsidRPr="007053BC">
              <w:t>0</w:t>
            </w:r>
          </w:p>
        </w:tc>
        <w:tc>
          <w:tcPr>
            <w:tcW w:w="0" w:type="auto"/>
            <w:noWrap/>
            <w:hideMark/>
          </w:tcPr>
          <w:p w:rsidR="001501F3" w:rsidRPr="007053BC" w:rsidRDefault="001501F3" w:rsidP="000E1074">
            <w:pPr>
              <w:pStyle w:val="BodyText"/>
              <w:spacing w:after="120"/>
            </w:pPr>
            <w:r w:rsidRPr="007053BC">
              <w:t>2</w:t>
            </w:r>
          </w:p>
        </w:tc>
        <w:tc>
          <w:tcPr>
            <w:tcW w:w="0" w:type="auto"/>
            <w:noWrap/>
            <w:hideMark/>
          </w:tcPr>
          <w:p w:rsidR="001501F3" w:rsidRPr="007053BC" w:rsidRDefault="001501F3" w:rsidP="000E1074">
            <w:pPr>
              <w:pStyle w:val="BodyText"/>
              <w:spacing w:after="120"/>
            </w:pPr>
            <w:r w:rsidRPr="007053BC">
              <w:t>3.00</w:t>
            </w:r>
          </w:p>
        </w:tc>
        <w:tc>
          <w:tcPr>
            <w:tcW w:w="0" w:type="auto"/>
            <w:noWrap/>
            <w:hideMark/>
          </w:tcPr>
          <w:p w:rsidR="001501F3" w:rsidRPr="007053BC" w:rsidRDefault="001501F3" w:rsidP="000E1074">
            <w:pPr>
              <w:pStyle w:val="BodyText"/>
              <w:spacing w:after="120"/>
            </w:pPr>
            <w:r w:rsidRPr="007053BC">
              <w:t>8</w:t>
            </w:r>
          </w:p>
        </w:tc>
      </w:tr>
      <w:tr w:rsidR="001501F3" w:rsidRPr="007053BC" w:rsidTr="000E1074">
        <w:trPr>
          <w:gridAfter w:val="1"/>
          <w:cnfStyle w:val="000000100000" w:firstRow="0" w:lastRow="0" w:firstColumn="0" w:lastColumn="0" w:oddVBand="0" w:evenVBand="0" w:oddHBand="1" w:evenHBand="0" w:firstRowFirstColumn="0" w:firstRowLastColumn="0" w:lastRowFirstColumn="0" w:lastRowLastColumn="0"/>
          <w:wAfter w:w="6" w:type="dxa"/>
          <w:trHeight w:val="255"/>
        </w:trPr>
        <w:tc>
          <w:tcPr>
            <w:tcW w:w="0" w:type="auto"/>
            <w:gridSpan w:val="7"/>
            <w:hideMark/>
          </w:tcPr>
          <w:p w:rsidR="001501F3" w:rsidRPr="007053BC" w:rsidRDefault="001501F3" w:rsidP="000E1074">
            <w:pPr>
              <w:pStyle w:val="BodyText"/>
              <w:spacing w:after="120"/>
            </w:pPr>
            <w:r w:rsidRPr="007053BC">
              <w:t>Additional Comments</w:t>
            </w:r>
          </w:p>
        </w:tc>
        <w:tc>
          <w:tcPr>
            <w:tcW w:w="0" w:type="auto"/>
            <w:noWrap/>
            <w:hideMark/>
          </w:tcPr>
          <w:p w:rsidR="001501F3" w:rsidRPr="007053BC" w:rsidRDefault="001501F3" w:rsidP="000E1074">
            <w:pPr>
              <w:pStyle w:val="BodyText"/>
              <w:spacing w:after="120"/>
            </w:pPr>
            <w:r w:rsidRPr="007053BC">
              <w:t>3</w:t>
            </w:r>
          </w:p>
        </w:tc>
      </w:tr>
      <w:tr w:rsidR="001501F3" w:rsidRPr="007053BC" w:rsidTr="000E1074">
        <w:trPr>
          <w:gridAfter w:val="1"/>
          <w:cnfStyle w:val="000000010000" w:firstRow="0" w:lastRow="0" w:firstColumn="0" w:lastColumn="0" w:oddVBand="0" w:evenVBand="0" w:oddHBand="0" w:evenHBand="1" w:firstRowFirstColumn="0" w:firstRowLastColumn="0" w:lastRowFirstColumn="0" w:lastRowLastColumn="0"/>
          <w:wAfter w:w="6" w:type="dxa"/>
          <w:trHeight w:val="255"/>
        </w:trPr>
        <w:tc>
          <w:tcPr>
            <w:tcW w:w="0" w:type="auto"/>
            <w:gridSpan w:val="7"/>
            <w:noWrap/>
            <w:hideMark/>
          </w:tcPr>
          <w:p w:rsidR="001501F3" w:rsidRPr="007053BC" w:rsidRDefault="001501F3" w:rsidP="000E1074">
            <w:pPr>
              <w:pStyle w:val="BodyText"/>
              <w:spacing w:after="120"/>
              <w:rPr>
                <w:b/>
                <w:bCs/>
                <w:i/>
                <w:iCs/>
              </w:rPr>
            </w:pPr>
            <w:r w:rsidRPr="007053BC">
              <w:rPr>
                <w:b/>
                <w:bCs/>
                <w:i/>
                <w:iCs/>
              </w:rPr>
              <w:t>answered question</w:t>
            </w:r>
          </w:p>
        </w:tc>
        <w:tc>
          <w:tcPr>
            <w:tcW w:w="0" w:type="auto"/>
            <w:noWrap/>
            <w:hideMark/>
          </w:tcPr>
          <w:p w:rsidR="001501F3" w:rsidRPr="007053BC" w:rsidRDefault="001501F3" w:rsidP="000E1074">
            <w:pPr>
              <w:pStyle w:val="BodyText"/>
              <w:spacing w:after="120"/>
              <w:rPr>
                <w:b/>
                <w:bCs/>
              </w:rPr>
            </w:pPr>
            <w:r w:rsidRPr="007053BC">
              <w:rPr>
                <w:b/>
                <w:bCs/>
              </w:rPr>
              <w:t>8</w:t>
            </w:r>
          </w:p>
        </w:tc>
      </w:tr>
      <w:tr w:rsidR="001501F3" w:rsidRPr="007053BC" w:rsidTr="000E1074">
        <w:trPr>
          <w:gridAfter w:val="1"/>
          <w:cnfStyle w:val="000000100000" w:firstRow="0" w:lastRow="0" w:firstColumn="0" w:lastColumn="0" w:oddVBand="0" w:evenVBand="0" w:oddHBand="1" w:evenHBand="0" w:firstRowFirstColumn="0" w:firstRowLastColumn="0" w:lastRowFirstColumn="0" w:lastRowLastColumn="0"/>
          <w:wAfter w:w="6" w:type="dxa"/>
          <w:trHeight w:val="255"/>
        </w:trPr>
        <w:tc>
          <w:tcPr>
            <w:tcW w:w="0" w:type="auto"/>
            <w:gridSpan w:val="7"/>
            <w:noWrap/>
            <w:hideMark/>
          </w:tcPr>
          <w:p w:rsidR="001501F3" w:rsidRPr="007053BC" w:rsidRDefault="001501F3" w:rsidP="000E1074">
            <w:pPr>
              <w:pStyle w:val="BodyText"/>
              <w:spacing w:after="120"/>
              <w:rPr>
                <w:b/>
                <w:bCs/>
                <w:i/>
                <w:iCs/>
              </w:rPr>
            </w:pPr>
            <w:r w:rsidRPr="007053BC">
              <w:rPr>
                <w:b/>
                <w:bCs/>
                <w:i/>
                <w:iCs/>
              </w:rPr>
              <w:t>skipped question</w:t>
            </w:r>
          </w:p>
        </w:tc>
        <w:tc>
          <w:tcPr>
            <w:tcW w:w="0" w:type="auto"/>
            <w:noWrap/>
            <w:hideMark/>
          </w:tcPr>
          <w:p w:rsidR="001501F3" w:rsidRPr="007053BC" w:rsidRDefault="001501F3" w:rsidP="000E1074">
            <w:pPr>
              <w:pStyle w:val="BodyText"/>
              <w:spacing w:after="120"/>
              <w:rPr>
                <w:b/>
                <w:bCs/>
              </w:rPr>
            </w:pPr>
            <w:r w:rsidRPr="007053BC">
              <w:rPr>
                <w:b/>
                <w:bCs/>
              </w:rPr>
              <w:t>1</w:t>
            </w:r>
          </w:p>
        </w:tc>
      </w:tr>
      <w:tr w:rsidR="000E1074" w:rsidRPr="007053BC" w:rsidTr="000E1074">
        <w:trPr>
          <w:cnfStyle w:val="000000010000" w:firstRow="0" w:lastRow="0" w:firstColumn="0" w:lastColumn="0" w:oddVBand="0" w:evenVBand="0" w:oddHBand="0" w:evenHBand="1" w:firstRowFirstColumn="0" w:firstRowLastColumn="0" w:lastRowFirstColumn="0" w:lastRowLastColumn="0"/>
          <w:trHeight w:val="224"/>
        </w:trPr>
        <w:tc>
          <w:tcPr>
            <w:tcW w:w="8784" w:type="dxa"/>
            <w:gridSpan w:val="9"/>
            <w:shd w:val="clear" w:color="auto" w:fill="595959" w:themeFill="text1" w:themeFillTint="A6"/>
            <w:hideMark/>
          </w:tcPr>
          <w:p w:rsidR="000E1074" w:rsidRPr="007053BC" w:rsidRDefault="000E1074" w:rsidP="000E1074">
            <w:pPr>
              <w:spacing w:after="120"/>
              <w:rPr>
                <w:bCs/>
              </w:rPr>
            </w:pPr>
            <w:r w:rsidRPr="000E1074">
              <w:rPr>
                <w:b/>
                <w:bCs/>
                <w:color w:val="FFFFFF" w:themeColor="background1"/>
              </w:rPr>
              <w:t>Additional Comments</w:t>
            </w:r>
          </w:p>
        </w:tc>
      </w:tr>
      <w:tr w:rsidR="000E1074" w:rsidRPr="007053BC" w:rsidTr="000E1074">
        <w:trPr>
          <w:cnfStyle w:val="000000100000" w:firstRow="0" w:lastRow="0" w:firstColumn="0" w:lastColumn="0" w:oddVBand="0" w:evenVBand="0" w:oddHBand="1" w:evenHBand="0" w:firstRowFirstColumn="0" w:firstRowLastColumn="0" w:lastRowFirstColumn="0" w:lastRowLastColumn="0"/>
          <w:trHeight w:val="255"/>
        </w:trPr>
        <w:tc>
          <w:tcPr>
            <w:tcW w:w="8784" w:type="dxa"/>
            <w:gridSpan w:val="9"/>
            <w:noWrap/>
            <w:hideMark/>
          </w:tcPr>
          <w:p w:rsidR="000E1074" w:rsidRPr="007053BC" w:rsidRDefault="000E1074" w:rsidP="000E1074">
            <w:pPr>
              <w:spacing w:after="120"/>
            </w:pPr>
            <w:r w:rsidRPr="007053BC">
              <w:t>Agree, but the utility of the map is limited by the inability to add overlays</w:t>
            </w:r>
          </w:p>
        </w:tc>
      </w:tr>
      <w:tr w:rsidR="000E1074" w:rsidRPr="007053BC" w:rsidTr="000E1074">
        <w:trPr>
          <w:cnfStyle w:val="000000010000" w:firstRow="0" w:lastRow="0" w:firstColumn="0" w:lastColumn="0" w:oddVBand="0" w:evenVBand="0" w:oddHBand="0" w:evenHBand="1" w:firstRowFirstColumn="0" w:firstRowLastColumn="0" w:lastRowFirstColumn="0" w:lastRowLastColumn="0"/>
          <w:trHeight w:val="255"/>
        </w:trPr>
        <w:tc>
          <w:tcPr>
            <w:tcW w:w="8784" w:type="dxa"/>
            <w:gridSpan w:val="9"/>
            <w:noWrap/>
            <w:hideMark/>
          </w:tcPr>
          <w:p w:rsidR="000E1074" w:rsidRPr="007053BC" w:rsidRDefault="000E1074" w:rsidP="000E1074">
            <w:pPr>
              <w:spacing w:after="120"/>
            </w:pPr>
            <w:r w:rsidRPr="007053BC">
              <w:t>I would like to s</w:t>
            </w:r>
            <w:r>
              <w:t>ee an expansion of capability.</w:t>
            </w:r>
            <w:r w:rsidRPr="007053BC">
              <w:br/>
            </w:r>
            <w:r w:rsidRPr="007053BC">
              <w:br/>
              <w:t>I note that right at the moment the 2015 Acreage Release layers are shown on the list but are not visible on the map.</w:t>
            </w:r>
          </w:p>
        </w:tc>
      </w:tr>
      <w:tr w:rsidR="000E1074" w:rsidRPr="007053BC" w:rsidTr="000E1074">
        <w:trPr>
          <w:cnfStyle w:val="000000100000" w:firstRow="0" w:lastRow="0" w:firstColumn="0" w:lastColumn="0" w:oddVBand="0" w:evenVBand="0" w:oddHBand="1" w:evenHBand="0" w:firstRowFirstColumn="0" w:firstRowLastColumn="0" w:lastRowFirstColumn="0" w:lastRowLastColumn="0"/>
          <w:trHeight w:val="255"/>
        </w:trPr>
        <w:tc>
          <w:tcPr>
            <w:tcW w:w="8784" w:type="dxa"/>
            <w:gridSpan w:val="9"/>
            <w:noWrap/>
            <w:hideMark/>
          </w:tcPr>
          <w:p w:rsidR="000E1074" w:rsidRPr="007053BC" w:rsidRDefault="000E1074" w:rsidP="000E1074">
            <w:pPr>
              <w:spacing w:after="120"/>
            </w:pPr>
            <w:r w:rsidRPr="007053BC">
              <w:t>Haven't used</w:t>
            </w:r>
          </w:p>
        </w:tc>
      </w:tr>
    </w:tbl>
    <w:p w:rsidR="001501F3" w:rsidRPr="007053BC" w:rsidRDefault="001501F3" w:rsidP="001501F3">
      <w:pPr>
        <w:rPr>
          <w:b/>
        </w:rPr>
      </w:pPr>
    </w:p>
    <w:tbl>
      <w:tblPr>
        <w:tblStyle w:val="TableGrid"/>
        <w:tblW w:w="8784" w:type="dxa"/>
        <w:tblLook w:val="04A0" w:firstRow="1" w:lastRow="0" w:firstColumn="1" w:lastColumn="0" w:noHBand="0" w:noVBand="1"/>
      </w:tblPr>
      <w:tblGrid>
        <w:gridCol w:w="1515"/>
        <w:gridCol w:w="1262"/>
        <w:gridCol w:w="737"/>
        <w:gridCol w:w="987"/>
        <w:gridCol w:w="1272"/>
        <w:gridCol w:w="536"/>
        <w:gridCol w:w="1167"/>
        <w:gridCol w:w="1304"/>
        <w:gridCol w:w="6"/>
      </w:tblGrid>
      <w:tr w:rsidR="001501F3" w:rsidRPr="007053BC" w:rsidTr="000E1074">
        <w:trPr>
          <w:gridAfter w:val="1"/>
          <w:cnfStyle w:val="100000000000" w:firstRow="1" w:lastRow="0" w:firstColumn="0" w:lastColumn="0" w:oddVBand="0" w:evenVBand="0" w:oddHBand="0" w:evenHBand="0" w:firstRowFirstColumn="0" w:firstRowLastColumn="0" w:lastRowFirstColumn="0" w:lastRowLastColumn="0"/>
          <w:wAfter w:w="6" w:type="dxa"/>
          <w:trHeight w:val="140"/>
        </w:trPr>
        <w:tc>
          <w:tcPr>
            <w:tcW w:w="0" w:type="auto"/>
            <w:gridSpan w:val="8"/>
            <w:hideMark/>
          </w:tcPr>
          <w:p w:rsidR="001501F3" w:rsidRPr="007053BC" w:rsidRDefault="001501F3" w:rsidP="000E1074">
            <w:pPr>
              <w:spacing w:after="120"/>
              <w:rPr>
                <w:bCs/>
              </w:rPr>
            </w:pPr>
            <w:r w:rsidRPr="007053BC">
              <w:rPr>
                <w:bCs/>
              </w:rPr>
              <w:t>3. NEATS is easy to use.</w:t>
            </w:r>
          </w:p>
        </w:tc>
      </w:tr>
      <w:tr w:rsidR="001501F3" w:rsidRPr="007053BC" w:rsidTr="000E1074">
        <w:trPr>
          <w:gridAfter w:val="1"/>
          <w:cnfStyle w:val="000000100000" w:firstRow="0" w:lastRow="0" w:firstColumn="0" w:lastColumn="0" w:oddVBand="0" w:evenVBand="0" w:oddHBand="1" w:evenHBand="0" w:firstRowFirstColumn="0" w:firstRowLastColumn="0" w:lastRowFirstColumn="0" w:lastRowLastColumn="0"/>
          <w:wAfter w:w="6" w:type="dxa"/>
          <w:trHeight w:val="600"/>
        </w:trPr>
        <w:tc>
          <w:tcPr>
            <w:tcW w:w="0" w:type="auto"/>
            <w:hideMark/>
          </w:tcPr>
          <w:p w:rsidR="001501F3" w:rsidRPr="007053BC" w:rsidRDefault="001501F3" w:rsidP="000E1074">
            <w:pPr>
              <w:spacing w:after="120"/>
              <w:rPr>
                <w:b/>
                <w:bCs/>
              </w:rPr>
            </w:pPr>
            <w:r w:rsidRPr="007053BC">
              <w:rPr>
                <w:b/>
                <w:bCs/>
              </w:rPr>
              <w:t>Answer Options</w:t>
            </w:r>
          </w:p>
        </w:tc>
        <w:tc>
          <w:tcPr>
            <w:tcW w:w="0" w:type="auto"/>
            <w:hideMark/>
          </w:tcPr>
          <w:p w:rsidR="001501F3" w:rsidRPr="007053BC" w:rsidRDefault="001501F3" w:rsidP="000E1074">
            <w:pPr>
              <w:spacing w:after="120"/>
              <w:rPr>
                <w:b/>
                <w:bCs/>
              </w:rPr>
            </w:pPr>
            <w:r w:rsidRPr="007053BC">
              <w:rPr>
                <w:b/>
                <w:bCs/>
              </w:rPr>
              <w:t>Strongly Agree</w:t>
            </w:r>
          </w:p>
        </w:tc>
        <w:tc>
          <w:tcPr>
            <w:tcW w:w="0" w:type="auto"/>
            <w:hideMark/>
          </w:tcPr>
          <w:p w:rsidR="001501F3" w:rsidRPr="007053BC" w:rsidRDefault="001501F3" w:rsidP="000E1074">
            <w:pPr>
              <w:spacing w:after="120"/>
              <w:rPr>
                <w:b/>
                <w:bCs/>
              </w:rPr>
            </w:pPr>
            <w:r w:rsidRPr="007053BC">
              <w:rPr>
                <w:b/>
                <w:bCs/>
              </w:rPr>
              <w:t>Agree</w:t>
            </w:r>
          </w:p>
        </w:tc>
        <w:tc>
          <w:tcPr>
            <w:tcW w:w="0" w:type="auto"/>
            <w:hideMark/>
          </w:tcPr>
          <w:p w:rsidR="001501F3" w:rsidRPr="007053BC" w:rsidRDefault="001501F3" w:rsidP="000E1074">
            <w:pPr>
              <w:spacing w:after="120"/>
              <w:rPr>
                <w:b/>
                <w:bCs/>
              </w:rPr>
            </w:pPr>
            <w:r w:rsidRPr="007053BC">
              <w:rPr>
                <w:b/>
                <w:bCs/>
              </w:rPr>
              <w:t>Disagree</w:t>
            </w:r>
          </w:p>
        </w:tc>
        <w:tc>
          <w:tcPr>
            <w:tcW w:w="0" w:type="auto"/>
            <w:hideMark/>
          </w:tcPr>
          <w:p w:rsidR="001501F3" w:rsidRPr="007053BC" w:rsidRDefault="001501F3" w:rsidP="000E1074">
            <w:pPr>
              <w:spacing w:after="120"/>
              <w:rPr>
                <w:b/>
                <w:bCs/>
              </w:rPr>
            </w:pPr>
            <w:r w:rsidRPr="007053BC">
              <w:rPr>
                <w:b/>
                <w:bCs/>
              </w:rPr>
              <w:t>Strongly Disagree</w:t>
            </w:r>
          </w:p>
        </w:tc>
        <w:tc>
          <w:tcPr>
            <w:tcW w:w="0" w:type="auto"/>
            <w:hideMark/>
          </w:tcPr>
          <w:p w:rsidR="001501F3" w:rsidRPr="007053BC" w:rsidRDefault="001501F3" w:rsidP="000E1074">
            <w:pPr>
              <w:spacing w:after="120"/>
              <w:rPr>
                <w:b/>
                <w:bCs/>
              </w:rPr>
            </w:pPr>
            <w:r w:rsidRPr="007053BC">
              <w:rPr>
                <w:b/>
                <w:bCs/>
              </w:rPr>
              <w:t>N/A</w:t>
            </w:r>
          </w:p>
        </w:tc>
        <w:tc>
          <w:tcPr>
            <w:tcW w:w="0" w:type="auto"/>
            <w:hideMark/>
          </w:tcPr>
          <w:p w:rsidR="001501F3" w:rsidRPr="007053BC" w:rsidRDefault="001501F3" w:rsidP="000E1074">
            <w:pPr>
              <w:spacing w:after="120"/>
              <w:rPr>
                <w:b/>
                <w:bCs/>
              </w:rPr>
            </w:pPr>
            <w:r w:rsidRPr="007053BC">
              <w:rPr>
                <w:b/>
                <w:bCs/>
              </w:rPr>
              <w:t>Rating Average</w:t>
            </w:r>
          </w:p>
        </w:tc>
        <w:tc>
          <w:tcPr>
            <w:tcW w:w="0" w:type="auto"/>
            <w:hideMark/>
          </w:tcPr>
          <w:p w:rsidR="001501F3" w:rsidRPr="007053BC" w:rsidRDefault="001501F3" w:rsidP="000E1074">
            <w:pPr>
              <w:spacing w:after="120"/>
              <w:rPr>
                <w:b/>
                <w:bCs/>
              </w:rPr>
            </w:pPr>
            <w:r w:rsidRPr="007053BC">
              <w:rPr>
                <w:b/>
                <w:bCs/>
              </w:rPr>
              <w:t>Response Count</w:t>
            </w:r>
          </w:p>
        </w:tc>
      </w:tr>
      <w:tr w:rsidR="001501F3" w:rsidRPr="007053BC" w:rsidTr="000E1074">
        <w:trPr>
          <w:gridAfter w:val="1"/>
          <w:cnfStyle w:val="000000010000" w:firstRow="0" w:lastRow="0" w:firstColumn="0" w:lastColumn="0" w:oddVBand="0" w:evenVBand="0" w:oddHBand="0" w:evenHBand="1" w:firstRowFirstColumn="0" w:firstRowLastColumn="0" w:lastRowFirstColumn="0" w:lastRowLastColumn="0"/>
          <w:wAfter w:w="6" w:type="dxa"/>
          <w:trHeight w:val="255"/>
        </w:trPr>
        <w:tc>
          <w:tcPr>
            <w:tcW w:w="0" w:type="auto"/>
            <w:hideMark/>
          </w:tcPr>
          <w:p w:rsidR="001501F3" w:rsidRPr="007053BC" w:rsidRDefault="001501F3" w:rsidP="000E1074">
            <w:pPr>
              <w:spacing w:after="120"/>
            </w:pPr>
            <w:r w:rsidRPr="007053BC">
              <w:lastRenderedPageBreak/>
              <w:t>Responses</w:t>
            </w:r>
          </w:p>
        </w:tc>
        <w:tc>
          <w:tcPr>
            <w:tcW w:w="0" w:type="auto"/>
            <w:noWrap/>
            <w:hideMark/>
          </w:tcPr>
          <w:p w:rsidR="001501F3" w:rsidRPr="007053BC" w:rsidRDefault="001501F3" w:rsidP="000E1074">
            <w:pPr>
              <w:spacing w:after="120"/>
            </w:pPr>
            <w:r w:rsidRPr="007053BC">
              <w:t>1</w:t>
            </w:r>
          </w:p>
        </w:tc>
        <w:tc>
          <w:tcPr>
            <w:tcW w:w="0" w:type="auto"/>
            <w:noWrap/>
            <w:hideMark/>
          </w:tcPr>
          <w:p w:rsidR="001501F3" w:rsidRPr="007053BC" w:rsidRDefault="001501F3" w:rsidP="000E1074">
            <w:pPr>
              <w:spacing w:after="120"/>
            </w:pPr>
            <w:r w:rsidRPr="007053BC">
              <w:t>5</w:t>
            </w:r>
          </w:p>
        </w:tc>
        <w:tc>
          <w:tcPr>
            <w:tcW w:w="0" w:type="auto"/>
            <w:noWrap/>
            <w:hideMark/>
          </w:tcPr>
          <w:p w:rsidR="001501F3" w:rsidRPr="007053BC" w:rsidRDefault="001501F3" w:rsidP="000E1074">
            <w:pPr>
              <w:spacing w:after="120"/>
            </w:pPr>
            <w:r w:rsidRPr="007053BC">
              <w:t>0</w:t>
            </w:r>
          </w:p>
        </w:tc>
        <w:tc>
          <w:tcPr>
            <w:tcW w:w="0" w:type="auto"/>
            <w:noWrap/>
            <w:hideMark/>
          </w:tcPr>
          <w:p w:rsidR="001501F3" w:rsidRPr="007053BC" w:rsidRDefault="001501F3" w:rsidP="000E1074">
            <w:pPr>
              <w:spacing w:after="120"/>
            </w:pPr>
            <w:r w:rsidRPr="007053BC">
              <w:t>0</w:t>
            </w:r>
          </w:p>
        </w:tc>
        <w:tc>
          <w:tcPr>
            <w:tcW w:w="0" w:type="auto"/>
            <w:noWrap/>
            <w:hideMark/>
          </w:tcPr>
          <w:p w:rsidR="001501F3" w:rsidRPr="007053BC" w:rsidRDefault="001501F3" w:rsidP="000E1074">
            <w:pPr>
              <w:spacing w:after="120"/>
            </w:pPr>
            <w:r w:rsidRPr="007053BC">
              <w:t>2</w:t>
            </w:r>
          </w:p>
        </w:tc>
        <w:tc>
          <w:tcPr>
            <w:tcW w:w="0" w:type="auto"/>
            <w:noWrap/>
            <w:hideMark/>
          </w:tcPr>
          <w:p w:rsidR="001501F3" w:rsidRPr="007053BC" w:rsidRDefault="001501F3" w:rsidP="000E1074">
            <w:pPr>
              <w:spacing w:after="120"/>
            </w:pPr>
            <w:r w:rsidRPr="007053BC">
              <w:t>3.17</w:t>
            </w:r>
          </w:p>
        </w:tc>
        <w:tc>
          <w:tcPr>
            <w:tcW w:w="0" w:type="auto"/>
            <w:noWrap/>
            <w:hideMark/>
          </w:tcPr>
          <w:p w:rsidR="001501F3" w:rsidRPr="007053BC" w:rsidRDefault="001501F3" w:rsidP="000E1074">
            <w:pPr>
              <w:spacing w:after="120"/>
            </w:pPr>
            <w:r w:rsidRPr="007053BC">
              <w:t>8</w:t>
            </w:r>
          </w:p>
        </w:tc>
      </w:tr>
      <w:tr w:rsidR="001501F3" w:rsidRPr="007053BC" w:rsidTr="000E1074">
        <w:trPr>
          <w:gridAfter w:val="1"/>
          <w:cnfStyle w:val="000000100000" w:firstRow="0" w:lastRow="0" w:firstColumn="0" w:lastColumn="0" w:oddVBand="0" w:evenVBand="0" w:oddHBand="1" w:evenHBand="0" w:firstRowFirstColumn="0" w:firstRowLastColumn="0" w:lastRowFirstColumn="0" w:lastRowLastColumn="0"/>
          <w:wAfter w:w="6" w:type="dxa"/>
          <w:trHeight w:val="255"/>
        </w:trPr>
        <w:tc>
          <w:tcPr>
            <w:tcW w:w="0" w:type="auto"/>
            <w:gridSpan w:val="7"/>
            <w:hideMark/>
          </w:tcPr>
          <w:p w:rsidR="001501F3" w:rsidRPr="007053BC" w:rsidRDefault="001501F3" w:rsidP="000E1074">
            <w:pPr>
              <w:spacing w:after="120"/>
            </w:pPr>
            <w:r w:rsidRPr="007053BC">
              <w:t>Additional Comments</w:t>
            </w:r>
          </w:p>
        </w:tc>
        <w:tc>
          <w:tcPr>
            <w:tcW w:w="0" w:type="auto"/>
            <w:noWrap/>
            <w:hideMark/>
          </w:tcPr>
          <w:p w:rsidR="001501F3" w:rsidRPr="007053BC" w:rsidRDefault="001501F3" w:rsidP="000E1074">
            <w:pPr>
              <w:spacing w:after="120"/>
            </w:pPr>
            <w:r w:rsidRPr="007053BC">
              <w:t>2</w:t>
            </w:r>
          </w:p>
        </w:tc>
      </w:tr>
      <w:tr w:rsidR="001501F3" w:rsidRPr="007053BC" w:rsidTr="000E1074">
        <w:trPr>
          <w:gridAfter w:val="1"/>
          <w:cnfStyle w:val="000000010000" w:firstRow="0" w:lastRow="0" w:firstColumn="0" w:lastColumn="0" w:oddVBand="0" w:evenVBand="0" w:oddHBand="0" w:evenHBand="1" w:firstRowFirstColumn="0" w:firstRowLastColumn="0" w:lastRowFirstColumn="0" w:lastRowLastColumn="0"/>
          <w:wAfter w:w="6" w:type="dxa"/>
          <w:trHeight w:val="255"/>
        </w:trPr>
        <w:tc>
          <w:tcPr>
            <w:tcW w:w="0" w:type="auto"/>
            <w:gridSpan w:val="7"/>
            <w:noWrap/>
            <w:hideMark/>
          </w:tcPr>
          <w:p w:rsidR="001501F3" w:rsidRPr="007053BC" w:rsidRDefault="001501F3" w:rsidP="000E1074">
            <w:pPr>
              <w:spacing w:after="120"/>
              <w:rPr>
                <w:b/>
                <w:bCs/>
                <w:i/>
                <w:iCs/>
              </w:rPr>
            </w:pPr>
            <w:r w:rsidRPr="007053BC">
              <w:rPr>
                <w:b/>
                <w:bCs/>
                <w:i/>
                <w:iCs/>
              </w:rPr>
              <w:t>answered question</w:t>
            </w:r>
          </w:p>
        </w:tc>
        <w:tc>
          <w:tcPr>
            <w:tcW w:w="0" w:type="auto"/>
            <w:noWrap/>
            <w:hideMark/>
          </w:tcPr>
          <w:p w:rsidR="001501F3" w:rsidRPr="007053BC" w:rsidRDefault="001501F3" w:rsidP="000E1074">
            <w:pPr>
              <w:spacing w:after="120"/>
              <w:rPr>
                <w:b/>
                <w:bCs/>
              </w:rPr>
            </w:pPr>
            <w:r w:rsidRPr="007053BC">
              <w:rPr>
                <w:b/>
                <w:bCs/>
              </w:rPr>
              <w:t>8</w:t>
            </w:r>
          </w:p>
        </w:tc>
      </w:tr>
      <w:tr w:rsidR="001501F3" w:rsidRPr="007053BC" w:rsidTr="000E1074">
        <w:trPr>
          <w:gridAfter w:val="1"/>
          <w:cnfStyle w:val="000000100000" w:firstRow="0" w:lastRow="0" w:firstColumn="0" w:lastColumn="0" w:oddVBand="0" w:evenVBand="0" w:oddHBand="1" w:evenHBand="0" w:firstRowFirstColumn="0" w:firstRowLastColumn="0" w:lastRowFirstColumn="0" w:lastRowLastColumn="0"/>
          <w:wAfter w:w="6" w:type="dxa"/>
          <w:trHeight w:val="255"/>
        </w:trPr>
        <w:tc>
          <w:tcPr>
            <w:tcW w:w="0" w:type="auto"/>
            <w:gridSpan w:val="7"/>
            <w:noWrap/>
            <w:hideMark/>
          </w:tcPr>
          <w:p w:rsidR="001501F3" w:rsidRPr="007053BC" w:rsidRDefault="001501F3" w:rsidP="000E1074">
            <w:pPr>
              <w:spacing w:after="120"/>
              <w:rPr>
                <w:b/>
                <w:bCs/>
                <w:i/>
                <w:iCs/>
              </w:rPr>
            </w:pPr>
            <w:r w:rsidRPr="007053BC">
              <w:rPr>
                <w:b/>
                <w:bCs/>
                <w:i/>
                <w:iCs/>
              </w:rPr>
              <w:t>skipped question</w:t>
            </w:r>
          </w:p>
        </w:tc>
        <w:tc>
          <w:tcPr>
            <w:tcW w:w="0" w:type="auto"/>
            <w:noWrap/>
            <w:hideMark/>
          </w:tcPr>
          <w:p w:rsidR="001501F3" w:rsidRPr="007053BC" w:rsidRDefault="001501F3" w:rsidP="000E1074">
            <w:pPr>
              <w:spacing w:after="120"/>
              <w:rPr>
                <w:b/>
                <w:bCs/>
              </w:rPr>
            </w:pPr>
            <w:r w:rsidRPr="007053BC">
              <w:rPr>
                <w:b/>
                <w:bCs/>
              </w:rPr>
              <w:t>1</w:t>
            </w:r>
          </w:p>
        </w:tc>
      </w:tr>
      <w:tr w:rsidR="000E1074" w:rsidRPr="007053BC" w:rsidTr="000E1074">
        <w:trPr>
          <w:cnfStyle w:val="000000010000" w:firstRow="0" w:lastRow="0" w:firstColumn="0" w:lastColumn="0" w:oddVBand="0" w:evenVBand="0" w:oddHBand="0" w:evenHBand="1" w:firstRowFirstColumn="0" w:firstRowLastColumn="0" w:lastRowFirstColumn="0" w:lastRowLastColumn="0"/>
          <w:trHeight w:val="154"/>
        </w:trPr>
        <w:tc>
          <w:tcPr>
            <w:tcW w:w="8784" w:type="dxa"/>
            <w:gridSpan w:val="9"/>
            <w:shd w:val="clear" w:color="auto" w:fill="595959" w:themeFill="text1" w:themeFillTint="A6"/>
            <w:hideMark/>
          </w:tcPr>
          <w:p w:rsidR="000E1074" w:rsidRPr="007053BC" w:rsidRDefault="000E1074" w:rsidP="000E1074">
            <w:pPr>
              <w:spacing w:after="120"/>
              <w:rPr>
                <w:bCs/>
              </w:rPr>
            </w:pPr>
            <w:r w:rsidRPr="000E1074">
              <w:rPr>
                <w:b/>
                <w:bCs/>
                <w:color w:val="FFFFFF" w:themeColor="background1"/>
              </w:rPr>
              <w:t>Additional Comments</w:t>
            </w:r>
          </w:p>
        </w:tc>
      </w:tr>
      <w:tr w:rsidR="000E1074" w:rsidRPr="007053BC" w:rsidTr="000E1074">
        <w:trPr>
          <w:cnfStyle w:val="000000100000" w:firstRow="0" w:lastRow="0" w:firstColumn="0" w:lastColumn="0" w:oddVBand="0" w:evenVBand="0" w:oddHBand="1" w:evenHBand="0" w:firstRowFirstColumn="0" w:firstRowLastColumn="0" w:lastRowFirstColumn="0" w:lastRowLastColumn="0"/>
          <w:trHeight w:val="255"/>
        </w:trPr>
        <w:tc>
          <w:tcPr>
            <w:tcW w:w="8784" w:type="dxa"/>
            <w:gridSpan w:val="9"/>
            <w:noWrap/>
            <w:hideMark/>
          </w:tcPr>
          <w:p w:rsidR="000E1074" w:rsidRPr="007053BC" w:rsidRDefault="000E1074" w:rsidP="000E1074">
            <w:pPr>
              <w:spacing w:after="120"/>
            </w:pPr>
            <w:r w:rsidRPr="007053BC">
              <w:t>I have accessed NEATS on a few occasions and found it to be very easy to use, particularly when searching the electronic register.</w:t>
            </w:r>
          </w:p>
        </w:tc>
      </w:tr>
      <w:tr w:rsidR="000E1074" w:rsidRPr="007053BC" w:rsidTr="000E1074">
        <w:trPr>
          <w:cnfStyle w:val="000000010000" w:firstRow="0" w:lastRow="0" w:firstColumn="0" w:lastColumn="0" w:oddVBand="0" w:evenVBand="0" w:oddHBand="0" w:evenHBand="1" w:firstRowFirstColumn="0" w:firstRowLastColumn="0" w:lastRowFirstColumn="0" w:lastRowLastColumn="0"/>
          <w:trHeight w:val="255"/>
        </w:trPr>
        <w:tc>
          <w:tcPr>
            <w:tcW w:w="8784" w:type="dxa"/>
            <w:gridSpan w:val="9"/>
            <w:noWrap/>
            <w:hideMark/>
          </w:tcPr>
          <w:p w:rsidR="000E1074" w:rsidRPr="007053BC" w:rsidRDefault="000E1074" w:rsidP="000E1074">
            <w:pPr>
              <w:spacing w:after="120"/>
            </w:pPr>
            <w:r w:rsidRPr="007053BC">
              <w:t>Haven't used</w:t>
            </w:r>
          </w:p>
        </w:tc>
      </w:tr>
    </w:tbl>
    <w:p w:rsidR="001501F3" w:rsidRDefault="001501F3" w:rsidP="001501F3"/>
    <w:tbl>
      <w:tblPr>
        <w:tblStyle w:val="TableGrid"/>
        <w:tblW w:w="8784" w:type="dxa"/>
        <w:tblLook w:val="04A0" w:firstRow="1" w:lastRow="0" w:firstColumn="1" w:lastColumn="0" w:noHBand="0" w:noVBand="1"/>
      </w:tblPr>
      <w:tblGrid>
        <w:gridCol w:w="1515"/>
        <w:gridCol w:w="1262"/>
        <w:gridCol w:w="737"/>
        <w:gridCol w:w="987"/>
        <w:gridCol w:w="1272"/>
        <w:gridCol w:w="536"/>
        <w:gridCol w:w="1167"/>
        <w:gridCol w:w="1304"/>
        <w:gridCol w:w="6"/>
      </w:tblGrid>
      <w:tr w:rsidR="001501F3" w:rsidRPr="007053BC" w:rsidTr="000E1074">
        <w:trPr>
          <w:gridAfter w:val="1"/>
          <w:cnfStyle w:val="100000000000" w:firstRow="1" w:lastRow="0" w:firstColumn="0" w:lastColumn="0" w:oddVBand="0" w:evenVBand="0" w:oddHBand="0" w:evenHBand="0" w:firstRowFirstColumn="0" w:firstRowLastColumn="0" w:lastRowFirstColumn="0" w:lastRowLastColumn="0"/>
          <w:wAfter w:w="6" w:type="dxa"/>
          <w:trHeight w:val="499"/>
        </w:trPr>
        <w:tc>
          <w:tcPr>
            <w:tcW w:w="0" w:type="auto"/>
            <w:gridSpan w:val="8"/>
            <w:hideMark/>
          </w:tcPr>
          <w:p w:rsidR="001501F3" w:rsidRPr="007053BC" w:rsidRDefault="001501F3" w:rsidP="000E1074">
            <w:pPr>
              <w:spacing w:after="120"/>
              <w:rPr>
                <w:bCs/>
              </w:rPr>
            </w:pPr>
            <w:r w:rsidRPr="007053BC">
              <w:rPr>
                <w:bCs/>
              </w:rPr>
              <w:t>4. NEATS is readily accessible.</w:t>
            </w:r>
          </w:p>
        </w:tc>
      </w:tr>
      <w:tr w:rsidR="001501F3" w:rsidRPr="007053BC" w:rsidTr="000E1074">
        <w:trPr>
          <w:gridAfter w:val="1"/>
          <w:cnfStyle w:val="000000100000" w:firstRow="0" w:lastRow="0" w:firstColumn="0" w:lastColumn="0" w:oddVBand="0" w:evenVBand="0" w:oddHBand="1" w:evenHBand="0" w:firstRowFirstColumn="0" w:firstRowLastColumn="0" w:lastRowFirstColumn="0" w:lastRowLastColumn="0"/>
          <w:wAfter w:w="6" w:type="dxa"/>
          <w:trHeight w:val="600"/>
        </w:trPr>
        <w:tc>
          <w:tcPr>
            <w:tcW w:w="0" w:type="auto"/>
            <w:hideMark/>
          </w:tcPr>
          <w:p w:rsidR="001501F3" w:rsidRPr="007053BC" w:rsidRDefault="001501F3" w:rsidP="000E1074">
            <w:pPr>
              <w:spacing w:after="120"/>
              <w:rPr>
                <w:b/>
                <w:bCs/>
              </w:rPr>
            </w:pPr>
            <w:r w:rsidRPr="007053BC">
              <w:rPr>
                <w:b/>
                <w:bCs/>
              </w:rPr>
              <w:t>Answer Options</w:t>
            </w:r>
          </w:p>
        </w:tc>
        <w:tc>
          <w:tcPr>
            <w:tcW w:w="0" w:type="auto"/>
            <w:hideMark/>
          </w:tcPr>
          <w:p w:rsidR="001501F3" w:rsidRPr="007053BC" w:rsidRDefault="001501F3" w:rsidP="000E1074">
            <w:pPr>
              <w:spacing w:after="120"/>
              <w:rPr>
                <w:b/>
                <w:bCs/>
              </w:rPr>
            </w:pPr>
            <w:r w:rsidRPr="007053BC">
              <w:rPr>
                <w:b/>
                <w:bCs/>
              </w:rPr>
              <w:t>Strongly Agree</w:t>
            </w:r>
          </w:p>
        </w:tc>
        <w:tc>
          <w:tcPr>
            <w:tcW w:w="0" w:type="auto"/>
            <w:hideMark/>
          </w:tcPr>
          <w:p w:rsidR="001501F3" w:rsidRPr="007053BC" w:rsidRDefault="001501F3" w:rsidP="000E1074">
            <w:pPr>
              <w:spacing w:after="120"/>
              <w:rPr>
                <w:b/>
                <w:bCs/>
              </w:rPr>
            </w:pPr>
            <w:r w:rsidRPr="007053BC">
              <w:rPr>
                <w:b/>
                <w:bCs/>
              </w:rPr>
              <w:t>Agree</w:t>
            </w:r>
          </w:p>
        </w:tc>
        <w:tc>
          <w:tcPr>
            <w:tcW w:w="0" w:type="auto"/>
            <w:hideMark/>
          </w:tcPr>
          <w:p w:rsidR="001501F3" w:rsidRPr="007053BC" w:rsidRDefault="001501F3" w:rsidP="000E1074">
            <w:pPr>
              <w:spacing w:after="120"/>
              <w:rPr>
                <w:b/>
                <w:bCs/>
              </w:rPr>
            </w:pPr>
            <w:r w:rsidRPr="007053BC">
              <w:rPr>
                <w:b/>
                <w:bCs/>
              </w:rPr>
              <w:t>Disagree</w:t>
            </w:r>
          </w:p>
        </w:tc>
        <w:tc>
          <w:tcPr>
            <w:tcW w:w="0" w:type="auto"/>
            <w:hideMark/>
          </w:tcPr>
          <w:p w:rsidR="001501F3" w:rsidRPr="007053BC" w:rsidRDefault="001501F3" w:rsidP="000E1074">
            <w:pPr>
              <w:spacing w:after="120"/>
              <w:rPr>
                <w:b/>
                <w:bCs/>
              </w:rPr>
            </w:pPr>
            <w:r w:rsidRPr="007053BC">
              <w:rPr>
                <w:b/>
                <w:bCs/>
              </w:rPr>
              <w:t>Strongly Disagree</w:t>
            </w:r>
          </w:p>
        </w:tc>
        <w:tc>
          <w:tcPr>
            <w:tcW w:w="0" w:type="auto"/>
            <w:hideMark/>
          </w:tcPr>
          <w:p w:rsidR="001501F3" w:rsidRPr="007053BC" w:rsidRDefault="001501F3" w:rsidP="000E1074">
            <w:pPr>
              <w:spacing w:after="120"/>
              <w:rPr>
                <w:b/>
                <w:bCs/>
              </w:rPr>
            </w:pPr>
            <w:r w:rsidRPr="007053BC">
              <w:rPr>
                <w:b/>
                <w:bCs/>
              </w:rPr>
              <w:t>N/A</w:t>
            </w:r>
          </w:p>
        </w:tc>
        <w:tc>
          <w:tcPr>
            <w:tcW w:w="0" w:type="auto"/>
            <w:hideMark/>
          </w:tcPr>
          <w:p w:rsidR="001501F3" w:rsidRPr="007053BC" w:rsidRDefault="001501F3" w:rsidP="000E1074">
            <w:pPr>
              <w:spacing w:after="120"/>
              <w:rPr>
                <w:b/>
                <w:bCs/>
              </w:rPr>
            </w:pPr>
            <w:r w:rsidRPr="007053BC">
              <w:rPr>
                <w:b/>
                <w:bCs/>
              </w:rPr>
              <w:t>Rating Average</w:t>
            </w:r>
          </w:p>
        </w:tc>
        <w:tc>
          <w:tcPr>
            <w:tcW w:w="0" w:type="auto"/>
            <w:hideMark/>
          </w:tcPr>
          <w:p w:rsidR="001501F3" w:rsidRPr="007053BC" w:rsidRDefault="001501F3" w:rsidP="000E1074">
            <w:pPr>
              <w:spacing w:after="120"/>
              <w:rPr>
                <w:b/>
                <w:bCs/>
              </w:rPr>
            </w:pPr>
            <w:r w:rsidRPr="007053BC">
              <w:rPr>
                <w:b/>
                <w:bCs/>
              </w:rPr>
              <w:t>Response Count</w:t>
            </w:r>
          </w:p>
        </w:tc>
      </w:tr>
      <w:tr w:rsidR="001501F3" w:rsidRPr="007053BC" w:rsidTr="000E1074">
        <w:trPr>
          <w:gridAfter w:val="1"/>
          <w:cnfStyle w:val="000000010000" w:firstRow="0" w:lastRow="0" w:firstColumn="0" w:lastColumn="0" w:oddVBand="0" w:evenVBand="0" w:oddHBand="0" w:evenHBand="1" w:firstRowFirstColumn="0" w:firstRowLastColumn="0" w:lastRowFirstColumn="0" w:lastRowLastColumn="0"/>
          <w:wAfter w:w="6" w:type="dxa"/>
          <w:trHeight w:val="255"/>
        </w:trPr>
        <w:tc>
          <w:tcPr>
            <w:tcW w:w="0" w:type="auto"/>
            <w:hideMark/>
          </w:tcPr>
          <w:p w:rsidR="001501F3" w:rsidRPr="007053BC" w:rsidRDefault="001501F3" w:rsidP="000E1074">
            <w:pPr>
              <w:spacing w:after="120"/>
            </w:pPr>
            <w:r w:rsidRPr="007053BC">
              <w:t>Responses</w:t>
            </w:r>
          </w:p>
        </w:tc>
        <w:tc>
          <w:tcPr>
            <w:tcW w:w="0" w:type="auto"/>
            <w:noWrap/>
            <w:hideMark/>
          </w:tcPr>
          <w:p w:rsidR="001501F3" w:rsidRPr="007053BC" w:rsidRDefault="001501F3" w:rsidP="000E1074">
            <w:pPr>
              <w:spacing w:after="120"/>
            </w:pPr>
            <w:r w:rsidRPr="007053BC">
              <w:t>1</w:t>
            </w:r>
          </w:p>
        </w:tc>
        <w:tc>
          <w:tcPr>
            <w:tcW w:w="0" w:type="auto"/>
            <w:noWrap/>
            <w:hideMark/>
          </w:tcPr>
          <w:p w:rsidR="001501F3" w:rsidRPr="007053BC" w:rsidRDefault="001501F3" w:rsidP="000E1074">
            <w:pPr>
              <w:spacing w:after="120"/>
            </w:pPr>
            <w:r w:rsidRPr="007053BC">
              <w:t>5</w:t>
            </w:r>
          </w:p>
        </w:tc>
        <w:tc>
          <w:tcPr>
            <w:tcW w:w="0" w:type="auto"/>
            <w:noWrap/>
            <w:hideMark/>
          </w:tcPr>
          <w:p w:rsidR="001501F3" w:rsidRPr="007053BC" w:rsidRDefault="001501F3" w:rsidP="000E1074">
            <w:pPr>
              <w:spacing w:after="120"/>
            </w:pPr>
            <w:r w:rsidRPr="007053BC">
              <w:t>0</w:t>
            </w:r>
          </w:p>
        </w:tc>
        <w:tc>
          <w:tcPr>
            <w:tcW w:w="0" w:type="auto"/>
            <w:noWrap/>
            <w:hideMark/>
          </w:tcPr>
          <w:p w:rsidR="001501F3" w:rsidRPr="007053BC" w:rsidRDefault="001501F3" w:rsidP="000E1074">
            <w:pPr>
              <w:spacing w:after="120"/>
            </w:pPr>
            <w:r w:rsidRPr="007053BC">
              <w:t>0</w:t>
            </w:r>
          </w:p>
        </w:tc>
        <w:tc>
          <w:tcPr>
            <w:tcW w:w="0" w:type="auto"/>
            <w:noWrap/>
            <w:hideMark/>
          </w:tcPr>
          <w:p w:rsidR="001501F3" w:rsidRPr="007053BC" w:rsidRDefault="001501F3" w:rsidP="000E1074">
            <w:pPr>
              <w:spacing w:after="120"/>
            </w:pPr>
            <w:r w:rsidRPr="007053BC">
              <w:t>2</w:t>
            </w:r>
          </w:p>
        </w:tc>
        <w:tc>
          <w:tcPr>
            <w:tcW w:w="0" w:type="auto"/>
            <w:noWrap/>
            <w:hideMark/>
          </w:tcPr>
          <w:p w:rsidR="001501F3" w:rsidRPr="007053BC" w:rsidRDefault="001501F3" w:rsidP="000E1074">
            <w:pPr>
              <w:spacing w:after="120"/>
            </w:pPr>
            <w:r w:rsidRPr="007053BC">
              <w:t>3.17</w:t>
            </w:r>
          </w:p>
        </w:tc>
        <w:tc>
          <w:tcPr>
            <w:tcW w:w="0" w:type="auto"/>
            <w:noWrap/>
            <w:hideMark/>
          </w:tcPr>
          <w:p w:rsidR="001501F3" w:rsidRPr="007053BC" w:rsidRDefault="001501F3" w:rsidP="000E1074">
            <w:pPr>
              <w:spacing w:after="120"/>
            </w:pPr>
            <w:r w:rsidRPr="007053BC">
              <w:t>8</w:t>
            </w:r>
          </w:p>
        </w:tc>
      </w:tr>
      <w:tr w:rsidR="001501F3" w:rsidRPr="007053BC" w:rsidTr="000E1074">
        <w:trPr>
          <w:gridAfter w:val="1"/>
          <w:cnfStyle w:val="000000100000" w:firstRow="0" w:lastRow="0" w:firstColumn="0" w:lastColumn="0" w:oddVBand="0" w:evenVBand="0" w:oddHBand="1" w:evenHBand="0" w:firstRowFirstColumn="0" w:firstRowLastColumn="0" w:lastRowFirstColumn="0" w:lastRowLastColumn="0"/>
          <w:wAfter w:w="6" w:type="dxa"/>
          <w:trHeight w:val="255"/>
        </w:trPr>
        <w:tc>
          <w:tcPr>
            <w:tcW w:w="0" w:type="auto"/>
            <w:gridSpan w:val="7"/>
            <w:hideMark/>
          </w:tcPr>
          <w:p w:rsidR="001501F3" w:rsidRPr="007053BC" w:rsidRDefault="001501F3" w:rsidP="000E1074">
            <w:pPr>
              <w:spacing w:after="120"/>
            </w:pPr>
            <w:r w:rsidRPr="007053BC">
              <w:t>Additional Comments</w:t>
            </w:r>
          </w:p>
        </w:tc>
        <w:tc>
          <w:tcPr>
            <w:tcW w:w="0" w:type="auto"/>
            <w:noWrap/>
            <w:hideMark/>
          </w:tcPr>
          <w:p w:rsidR="001501F3" w:rsidRPr="007053BC" w:rsidRDefault="001501F3" w:rsidP="000E1074">
            <w:pPr>
              <w:spacing w:after="120"/>
            </w:pPr>
            <w:r w:rsidRPr="007053BC">
              <w:t>1</w:t>
            </w:r>
          </w:p>
        </w:tc>
      </w:tr>
      <w:tr w:rsidR="001501F3" w:rsidRPr="007053BC" w:rsidTr="000E1074">
        <w:trPr>
          <w:gridAfter w:val="1"/>
          <w:cnfStyle w:val="000000010000" w:firstRow="0" w:lastRow="0" w:firstColumn="0" w:lastColumn="0" w:oddVBand="0" w:evenVBand="0" w:oddHBand="0" w:evenHBand="1" w:firstRowFirstColumn="0" w:firstRowLastColumn="0" w:lastRowFirstColumn="0" w:lastRowLastColumn="0"/>
          <w:wAfter w:w="6" w:type="dxa"/>
          <w:trHeight w:val="255"/>
        </w:trPr>
        <w:tc>
          <w:tcPr>
            <w:tcW w:w="0" w:type="auto"/>
            <w:gridSpan w:val="7"/>
            <w:noWrap/>
            <w:hideMark/>
          </w:tcPr>
          <w:p w:rsidR="001501F3" w:rsidRPr="007053BC" w:rsidRDefault="001501F3" w:rsidP="000E1074">
            <w:pPr>
              <w:spacing w:after="120"/>
              <w:rPr>
                <w:b/>
                <w:bCs/>
                <w:i/>
                <w:iCs/>
              </w:rPr>
            </w:pPr>
            <w:r w:rsidRPr="007053BC">
              <w:rPr>
                <w:b/>
                <w:bCs/>
                <w:i/>
                <w:iCs/>
              </w:rPr>
              <w:t>answered question</w:t>
            </w:r>
          </w:p>
        </w:tc>
        <w:tc>
          <w:tcPr>
            <w:tcW w:w="0" w:type="auto"/>
            <w:noWrap/>
            <w:hideMark/>
          </w:tcPr>
          <w:p w:rsidR="001501F3" w:rsidRPr="007053BC" w:rsidRDefault="001501F3" w:rsidP="000E1074">
            <w:pPr>
              <w:spacing w:after="120"/>
              <w:rPr>
                <w:b/>
                <w:bCs/>
              </w:rPr>
            </w:pPr>
            <w:r w:rsidRPr="007053BC">
              <w:rPr>
                <w:b/>
                <w:bCs/>
              </w:rPr>
              <w:t>8</w:t>
            </w:r>
          </w:p>
        </w:tc>
      </w:tr>
      <w:tr w:rsidR="001501F3" w:rsidRPr="007053BC" w:rsidTr="000E1074">
        <w:trPr>
          <w:gridAfter w:val="1"/>
          <w:cnfStyle w:val="000000100000" w:firstRow="0" w:lastRow="0" w:firstColumn="0" w:lastColumn="0" w:oddVBand="0" w:evenVBand="0" w:oddHBand="1" w:evenHBand="0" w:firstRowFirstColumn="0" w:firstRowLastColumn="0" w:lastRowFirstColumn="0" w:lastRowLastColumn="0"/>
          <w:wAfter w:w="6" w:type="dxa"/>
          <w:trHeight w:val="255"/>
        </w:trPr>
        <w:tc>
          <w:tcPr>
            <w:tcW w:w="0" w:type="auto"/>
            <w:gridSpan w:val="7"/>
            <w:noWrap/>
            <w:hideMark/>
          </w:tcPr>
          <w:p w:rsidR="001501F3" w:rsidRPr="007053BC" w:rsidRDefault="001501F3" w:rsidP="000E1074">
            <w:pPr>
              <w:spacing w:after="120"/>
              <w:rPr>
                <w:b/>
                <w:bCs/>
                <w:i/>
                <w:iCs/>
              </w:rPr>
            </w:pPr>
            <w:r w:rsidRPr="007053BC">
              <w:rPr>
                <w:b/>
                <w:bCs/>
                <w:i/>
                <w:iCs/>
              </w:rPr>
              <w:t>skipped question</w:t>
            </w:r>
          </w:p>
        </w:tc>
        <w:tc>
          <w:tcPr>
            <w:tcW w:w="0" w:type="auto"/>
            <w:noWrap/>
            <w:hideMark/>
          </w:tcPr>
          <w:p w:rsidR="001501F3" w:rsidRPr="007053BC" w:rsidRDefault="001501F3" w:rsidP="000E1074">
            <w:pPr>
              <w:spacing w:after="120"/>
              <w:rPr>
                <w:b/>
                <w:bCs/>
              </w:rPr>
            </w:pPr>
            <w:r w:rsidRPr="007053BC">
              <w:rPr>
                <w:b/>
                <w:bCs/>
              </w:rPr>
              <w:t>1</w:t>
            </w:r>
          </w:p>
        </w:tc>
      </w:tr>
      <w:tr w:rsidR="000E1074" w:rsidRPr="007053BC" w:rsidTr="000E1074">
        <w:trPr>
          <w:cnfStyle w:val="000000010000" w:firstRow="0" w:lastRow="0" w:firstColumn="0" w:lastColumn="0" w:oddVBand="0" w:evenVBand="0" w:oddHBand="0" w:evenHBand="1" w:firstRowFirstColumn="0" w:firstRowLastColumn="0" w:lastRowFirstColumn="0" w:lastRowLastColumn="0"/>
          <w:trHeight w:val="510"/>
        </w:trPr>
        <w:tc>
          <w:tcPr>
            <w:tcW w:w="8784" w:type="dxa"/>
            <w:gridSpan w:val="9"/>
            <w:shd w:val="clear" w:color="auto" w:fill="595959" w:themeFill="text1" w:themeFillTint="A6"/>
            <w:hideMark/>
          </w:tcPr>
          <w:p w:rsidR="000E1074" w:rsidRPr="007053BC" w:rsidRDefault="000E1074" w:rsidP="000E1074">
            <w:pPr>
              <w:pStyle w:val="BodyText"/>
              <w:spacing w:after="120"/>
              <w:rPr>
                <w:bCs/>
              </w:rPr>
            </w:pPr>
            <w:r w:rsidRPr="000E1074">
              <w:rPr>
                <w:b/>
                <w:bCs/>
                <w:color w:val="FFFFFF" w:themeColor="background1"/>
              </w:rPr>
              <w:t>Additional Comments</w:t>
            </w:r>
          </w:p>
        </w:tc>
      </w:tr>
      <w:tr w:rsidR="000E1074" w:rsidRPr="007053BC" w:rsidTr="000E1074">
        <w:trPr>
          <w:cnfStyle w:val="000000100000" w:firstRow="0" w:lastRow="0" w:firstColumn="0" w:lastColumn="0" w:oddVBand="0" w:evenVBand="0" w:oddHBand="1" w:evenHBand="0" w:firstRowFirstColumn="0" w:firstRowLastColumn="0" w:lastRowFirstColumn="0" w:lastRowLastColumn="0"/>
          <w:trHeight w:val="255"/>
        </w:trPr>
        <w:tc>
          <w:tcPr>
            <w:tcW w:w="8784" w:type="dxa"/>
            <w:gridSpan w:val="9"/>
            <w:noWrap/>
            <w:hideMark/>
          </w:tcPr>
          <w:p w:rsidR="000E1074" w:rsidRPr="007053BC" w:rsidRDefault="000E1074" w:rsidP="000E1074">
            <w:pPr>
              <w:spacing w:after="120"/>
            </w:pPr>
            <w:r w:rsidRPr="007053BC">
              <w:t>Haven't used</w:t>
            </w:r>
          </w:p>
        </w:tc>
      </w:tr>
    </w:tbl>
    <w:p w:rsidR="001501F3" w:rsidRDefault="001501F3" w:rsidP="00E42D56">
      <w:pPr>
        <w:pStyle w:val="Heading30"/>
      </w:pPr>
      <w:bookmarkStart w:id="163" w:name="_Toc423426816"/>
      <w:bookmarkStart w:id="164" w:name="_Toc430102225"/>
      <w:r>
        <w:t>Data Management</w:t>
      </w:r>
      <w:bookmarkEnd w:id="163"/>
      <w:bookmarkEnd w:id="164"/>
    </w:p>
    <w:tbl>
      <w:tblPr>
        <w:tblStyle w:val="TableGrid"/>
        <w:tblW w:w="0" w:type="auto"/>
        <w:tblLook w:val="04A0" w:firstRow="1" w:lastRow="0" w:firstColumn="1" w:lastColumn="0" w:noHBand="0" w:noVBand="1"/>
      </w:tblPr>
      <w:tblGrid>
        <w:gridCol w:w="1241"/>
        <w:gridCol w:w="1092"/>
        <w:gridCol w:w="737"/>
        <w:gridCol w:w="1177"/>
        <w:gridCol w:w="987"/>
        <w:gridCol w:w="1175"/>
        <w:gridCol w:w="536"/>
        <w:gridCol w:w="1084"/>
        <w:gridCol w:w="1224"/>
      </w:tblGrid>
      <w:tr w:rsidR="001501F3" w:rsidRPr="007053BC" w:rsidTr="001501F3">
        <w:trPr>
          <w:cnfStyle w:val="100000000000" w:firstRow="1" w:lastRow="0" w:firstColumn="0" w:lastColumn="0" w:oddVBand="0" w:evenVBand="0" w:oddHBand="0" w:evenHBand="0" w:firstRowFirstColumn="0" w:firstRowLastColumn="0" w:lastRowFirstColumn="0" w:lastRowLastColumn="0"/>
          <w:trHeight w:val="499"/>
        </w:trPr>
        <w:tc>
          <w:tcPr>
            <w:tcW w:w="0" w:type="auto"/>
            <w:gridSpan w:val="9"/>
            <w:hideMark/>
          </w:tcPr>
          <w:p w:rsidR="001501F3" w:rsidRPr="007053BC" w:rsidRDefault="001501F3" w:rsidP="000E1074">
            <w:pPr>
              <w:pStyle w:val="BodyText"/>
              <w:spacing w:after="120"/>
              <w:rPr>
                <w:bCs/>
              </w:rPr>
            </w:pPr>
            <w:r w:rsidRPr="007053BC">
              <w:rPr>
                <w:bCs/>
              </w:rPr>
              <w:t>5. NOPTA facilitates data access for my organisation.</w:t>
            </w:r>
          </w:p>
        </w:tc>
      </w:tr>
      <w:tr w:rsidR="001501F3" w:rsidRPr="007053BC" w:rsidTr="001501F3">
        <w:trPr>
          <w:cnfStyle w:val="000000100000" w:firstRow="0" w:lastRow="0" w:firstColumn="0" w:lastColumn="0" w:oddVBand="0" w:evenVBand="0" w:oddHBand="1" w:evenHBand="0" w:firstRowFirstColumn="0" w:firstRowLastColumn="0" w:lastRowFirstColumn="0" w:lastRowLastColumn="0"/>
          <w:trHeight w:val="600"/>
        </w:trPr>
        <w:tc>
          <w:tcPr>
            <w:tcW w:w="0" w:type="auto"/>
            <w:hideMark/>
          </w:tcPr>
          <w:p w:rsidR="001501F3" w:rsidRPr="007053BC" w:rsidRDefault="001501F3" w:rsidP="000E1074">
            <w:pPr>
              <w:pStyle w:val="BodyText"/>
              <w:spacing w:after="120"/>
              <w:rPr>
                <w:b/>
                <w:bCs/>
              </w:rPr>
            </w:pPr>
            <w:r w:rsidRPr="007053BC">
              <w:rPr>
                <w:b/>
                <w:bCs/>
              </w:rPr>
              <w:t>Answer Options</w:t>
            </w:r>
          </w:p>
        </w:tc>
        <w:tc>
          <w:tcPr>
            <w:tcW w:w="0" w:type="auto"/>
            <w:hideMark/>
          </w:tcPr>
          <w:p w:rsidR="001501F3" w:rsidRPr="007053BC" w:rsidRDefault="001501F3" w:rsidP="000E1074">
            <w:pPr>
              <w:pStyle w:val="BodyText"/>
              <w:spacing w:after="120"/>
              <w:rPr>
                <w:b/>
                <w:bCs/>
              </w:rPr>
            </w:pPr>
            <w:r w:rsidRPr="007053BC">
              <w:rPr>
                <w:b/>
                <w:bCs/>
              </w:rPr>
              <w:t>Strongly Agree</w:t>
            </w:r>
          </w:p>
        </w:tc>
        <w:tc>
          <w:tcPr>
            <w:tcW w:w="0" w:type="auto"/>
            <w:hideMark/>
          </w:tcPr>
          <w:p w:rsidR="001501F3" w:rsidRPr="007053BC" w:rsidRDefault="001501F3" w:rsidP="000E1074">
            <w:pPr>
              <w:pStyle w:val="BodyText"/>
              <w:spacing w:after="120"/>
              <w:rPr>
                <w:b/>
                <w:bCs/>
              </w:rPr>
            </w:pPr>
            <w:r w:rsidRPr="007053BC">
              <w:rPr>
                <w:b/>
                <w:bCs/>
              </w:rPr>
              <w:t>Agree</w:t>
            </w:r>
          </w:p>
        </w:tc>
        <w:tc>
          <w:tcPr>
            <w:tcW w:w="0" w:type="auto"/>
            <w:hideMark/>
          </w:tcPr>
          <w:p w:rsidR="001501F3" w:rsidRPr="007053BC" w:rsidRDefault="001501F3" w:rsidP="000E1074">
            <w:pPr>
              <w:pStyle w:val="BodyText"/>
              <w:spacing w:after="120"/>
              <w:rPr>
                <w:b/>
                <w:bCs/>
              </w:rPr>
            </w:pPr>
            <w:r w:rsidRPr="007053BC">
              <w:rPr>
                <w:b/>
                <w:bCs/>
              </w:rPr>
              <w:t>No Difference</w:t>
            </w:r>
          </w:p>
        </w:tc>
        <w:tc>
          <w:tcPr>
            <w:tcW w:w="0" w:type="auto"/>
            <w:hideMark/>
          </w:tcPr>
          <w:p w:rsidR="001501F3" w:rsidRPr="007053BC" w:rsidRDefault="001501F3" w:rsidP="000E1074">
            <w:pPr>
              <w:pStyle w:val="BodyText"/>
              <w:spacing w:after="120"/>
              <w:rPr>
                <w:b/>
                <w:bCs/>
              </w:rPr>
            </w:pPr>
            <w:r w:rsidRPr="007053BC">
              <w:rPr>
                <w:b/>
                <w:bCs/>
              </w:rPr>
              <w:t>Disagree</w:t>
            </w:r>
          </w:p>
        </w:tc>
        <w:tc>
          <w:tcPr>
            <w:tcW w:w="0" w:type="auto"/>
            <w:hideMark/>
          </w:tcPr>
          <w:p w:rsidR="001501F3" w:rsidRPr="007053BC" w:rsidRDefault="001501F3" w:rsidP="000E1074">
            <w:pPr>
              <w:pStyle w:val="BodyText"/>
              <w:spacing w:after="120"/>
              <w:rPr>
                <w:b/>
                <w:bCs/>
              </w:rPr>
            </w:pPr>
            <w:r w:rsidRPr="007053BC">
              <w:rPr>
                <w:b/>
                <w:bCs/>
              </w:rPr>
              <w:t>Strongly Disagree</w:t>
            </w:r>
          </w:p>
        </w:tc>
        <w:tc>
          <w:tcPr>
            <w:tcW w:w="0" w:type="auto"/>
            <w:hideMark/>
          </w:tcPr>
          <w:p w:rsidR="001501F3" w:rsidRPr="007053BC" w:rsidRDefault="001501F3" w:rsidP="000E1074">
            <w:pPr>
              <w:pStyle w:val="BodyText"/>
              <w:spacing w:after="120"/>
              <w:rPr>
                <w:b/>
                <w:bCs/>
              </w:rPr>
            </w:pPr>
            <w:r w:rsidRPr="007053BC">
              <w:rPr>
                <w:b/>
                <w:bCs/>
              </w:rPr>
              <w:t>N/A</w:t>
            </w:r>
          </w:p>
        </w:tc>
        <w:tc>
          <w:tcPr>
            <w:tcW w:w="0" w:type="auto"/>
            <w:hideMark/>
          </w:tcPr>
          <w:p w:rsidR="001501F3" w:rsidRPr="007053BC" w:rsidRDefault="001501F3" w:rsidP="000E1074">
            <w:pPr>
              <w:pStyle w:val="BodyText"/>
              <w:spacing w:after="120"/>
              <w:rPr>
                <w:b/>
                <w:bCs/>
              </w:rPr>
            </w:pPr>
            <w:r w:rsidRPr="007053BC">
              <w:rPr>
                <w:b/>
                <w:bCs/>
              </w:rPr>
              <w:t>Rating Average</w:t>
            </w:r>
          </w:p>
        </w:tc>
        <w:tc>
          <w:tcPr>
            <w:tcW w:w="0" w:type="auto"/>
            <w:hideMark/>
          </w:tcPr>
          <w:p w:rsidR="001501F3" w:rsidRPr="007053BC" w:rsidRDefault="001501F3" w:rsidP="000E1074">
            <w:pPr>
              <w:pStyle w:val="BodyText"/>
              <w:spacing w:after="120"/>
              <w:rPr>
                <w:b/>
                <w:bCs/>
              </w:rPr>
            </w:pPr>
            <w:r w:rsidRPr="007053BC">
              <w:rPr>
                <w:b/>
                <w:bCs/>
              </w:rPr>
              <w:t>Response Count</w:t>
            </w:r>
          </w:p>
        </w:tc>
      </w:tr>
      <w:tr w:rsidR="001501F3" w:rsidRPr="007053BC" w:rsidTr="001501F3">
        <w:trPr>
          <w:cnfStyle w:val="000000010000" w:firstRow="0" w:lastRow="0" w:firstColumn="0" w:lastColumn="0" w:oddVBand="0" w:evenVBand="0" w:oddHBand="0" w:evenHBand="1" w:firstRowFirstColumn="0" w:firstRowLastColumn="0" w:lastRowFirstColumn="0" w:lastRowLastColumn="0"/>
          <w:trHeight w:val="255"/>
        </w:trPr>
        <w:tc>
          <w:tcPr>
            <w:tcW w:w="0" w:type="auto"/>
            <w:hideMark/>
          </w:tcPr>
          <w:p w:rsidR="001501F3" w:rsidRPr="007053BC" w:rsidRDefault="001501F3" w:rsidP="000E1074">
            <w:pPr>
              <w:pStyle w:val="BodyText"/>
              <w:spacing w:after="120"/>
            </w:pPr>
            <w:r w:rsidRPr="007053BC">
              <w:t>Responses</w:t>
            </w:r>
          </w:p>
        </w:tc>
        <w:tc>
          <w:tcPr>
            <w:tcW w:w="0" w:type="auto"/>
            <w:noWrap/>
            <w:hideMark/>
          </w:tcPr>
          <w:p w:rsidR="001501F3" w:rsidRPr="007053BC" w:rsidRDefault="001501F3" w:rsidP="000E1074">
            <w:pPr>
              <w:pStyle w:val="BodyText"/>
              <w:spacing w:after="120"/>
            </w:pPr>
            <w:r w:rsidRPr="007053BC">
              <w:t>0</w:t>
            </w:r>
          </w:p>
        </w:tc>
        <w:tc>
          <w:tcPr>
            <w:tcW w:w="0" w:type="auto"/>
            <w:noWrap/>
            <w:hideMark/>
          </w:tcPr>
          <w:p w:rsidR="001501F3" w:rsidRPr="007053BC" w:rsidRDefault="001501F3" w:rsidP="000E1074">
            <w:pPr>
              <w:pStyle w:val="BodyText"/>
              <w:spacing w:after="120"/>
            </w:pPr>
            <w:r w:rsidRPr="007053BC">
              <w:t>4</w:t>
            </w:r>
          </w:p>
        </w:tc>
        <w:tc>
          <w:tcPr>
            <w:tcW w:w="0" w:type="auto"/>
            <w:noWrap/>
            <w:hideMark/>
          </w:tcPr>
          <w:p w:rsidR="001501F3" w:rsidRPr="007053BC" w:rsidRDefault="001501F3" w:rsidP="000E1074">
            <w:pPr>
              <w:pStyle w:val="BodyText"/>
              <w:spacing w:after="120"/>
            </w:pPr>
            <w:r w:rsidRPr="007053BC">
              <w:t>2</w:t>
            </w:r>
          </w:p>
        </w:tc>
        <w:tc>
          <w:tcPr>
            <w:tcW w:w="0" w:type="auto"/>
            <w:noWrap/>
            <w:hideMark/>
          </w:tcPr>
          <w:p w:rsidR="001501F3" w:rsidRPr="007053BC" w:rsidRDefault="001501F3" w:rsidP="000E1074">
            <w:pPr>
              <w:pStyle w:val="BodyText"/>
              <w:spacing w:after="120"/>
            </w:pPr>
            <w:r w:rsidRPr="007053BC">
              <w:t>0</w:t>
            </w:r>
          </w:p>
        </w:tc>
        <w:tc>
          <w:tcPr>
            <w:tcW w:w="0" w:type="auto"/>
            <w:noWrap/>
            <w:hideMark/>
          </w:tcPr>
          <w:p w:rsidR="001501F3" w:rsidRPr="007053BC" w:rsidRDefault="001501F3" w:rsidP="000E1074">
            <w:pPr>
              <w:pStyle w:val="BodyText"/>
              <w:spacing w:after="120"/>
            </w:pPr>
            <w:r w:rsidRPr="007053BC">
              <w:t>0</w:t>
            </w:r>
          </w:p>
        </w:tc>
        <w:tc>
          <w:tcPr>
            <w:tcW w:w="0" w:type="auto"/>
            <w:noWrap/>
            <w:hideMark/>
          </w:tcPr>
          <w:p w:rsidR="001501F3" w:rsidRPr="007053BC" w:rsidRDefault="001501F3" w:rsidP="000E1074">
            <w:pPr>
              <w:pStyle w:val="BodyText"/>
              <w:spacing w:after="120"/>
            </w:pPr>
            <w:r w:rsidRPr="007053BC">
              <w:t>1</w:t>
            </w:r>
          </w:p>
        </w:tc>
        <w:tc>
          <w:tcPr>
            <w:tcW w:w="0" w:type="auto"/>
            <w:noWrap/>
            <w:hideMark/>
          </w:tcPr>
          <w:p w:rsidR="001501F3" w:rsidRPr="007053BC" w:rsidRDefault="001501F3" w:rsidP="000E1074">
            <w:pPr>
              <w:pStyle w:val="BodyText"/>
              <w:spacing w:after="120"/>
            </w:pPr>
            <w:r w:rsidRPr="007053BC">
              <w:t>3.67</w:t>
            </w:r>
          </w:p>
        </w:tc>
        <w:tc>
          <w:tcPr>
            <w:tcW w:w="0" w:type="auto"/>
            <w:noWrap/>
            <w:hideMark/>
          </w:tcPr>
          <w:p w:rsidR="001501F3" w:rsidRPr="007053BC" w:rsidRDefault="001501F3" w:rsidP="000E1074">
            <w:pPr>
              <w:pStyle w:val="BodyText"/>
              <w:spacing w:after="120"/>
            </w:pPr>
            <w:r w:rsidRPr="007053BC">
              <w:t>7</w:t>
            </w:r>
          </w:p>
        </w:tc>
      </w:tr>
      <w:tr w:rsidR="001501F3" w:rsidRPr="007053BC" w:rsidTr="001501F3">
        <w:trPr>
          <w:cnfStyle w:val="000000100000" w:firstRow="0" w:lastRow="0" w:firstColumn="0" w:lastColumn="0" w:oddVBand="0" w:evenVBand="0" w:oddHBand="1" w:evenHBand="0" w:firstRowFirstColumn="0" w:firstRowLastColumn="0" w:lastRowFirstColumn="0" w:lastRowLastColumn="0"/>
          <w:trHeight w:val="255"/>
        </w:trPr>
        <w:tc>
          <w:tcPr>
            <w:tcW w:w="0" w:type="auto"/>
            <w:gridSpan w:val="8"/>
            <w:hideMark/>
          </w:tcPr>
          <w:p w:rsidR="001501F3" w:rsidRPr="007053BC" w:rsidRDefault="001501F3" w:rsidP="000E1074">
            <w:pPr>
              <w:pStyle w:val="BodyText"/>
              <w:spacing w:after="120"/>
            </w:pPr>
            <w:r w:rsidRPr="007053BC">
              <w:t>Additional Comments</w:t>
            </w:r>
          </w:p>
        </w:tc>
        <w:tc>
          <w:tcPr>
            <w:tcW w:w="0" w:type="auto"/>
            <w:noWrap/>
            <w:hideMark/>
          </w:tcPr>
          <w:p w:rsidR="001501F3" w:rsidRPr="007053BC" w:rsidRDefault="001501F3" w:rsidP="000E1074">
            <w:pPr>
              <w:pStyle w:val="BodyText"/>
              <w:spacing w:after="120"/>
            </w:pPr>
            <w:r w:rsidRPr="007053BC">
              <w:t>0</w:t>
            </w:r>
          </w:p>
        </w:tc>
      </w:tr>
      <w:tr w:rsidR="001501F3" w:rsidRPr="007053BC" w:rsidTr="001501F3">
        <w:trPr>
          <w:cnfStyle w:val="000000010000" w:firstRow="0" w:lastRow="0" w:firstColumn="0" w:lastColumn="0" w:oddVBand="0" w:evenVBand="0" w:oddHBand="0" w:evenHBand="1" w:firstRowFirstColumn="0" w:firstRowLastColumn="0" w:lastRowFirstColumn="0" w:lastRowLastColumn="0"/>
          <w:trHeight w:val="255"/>
        </w:trPr>
        <w:tc>
          <w:tcPr>
            <w:tcW w:w="0" w:type="auto"/>
            <w:gridSpan w:val="8"/>
            <w:noWrap/>
            <w:hideMark/>
          </w:tcPr>
          <w:p w:rsidR="001501F3" w:rsidRPr="007053BC" w:rsidRDefault="001501F3" w:rsidP="000E1074">
            <w:pPr>
              <w:pStyle w:val="BodyText"/>
              <w:spacing w:after="120"/>
              <w:rPr>
                <w:b/>
                <w:bCs/>
                <w:i/>
                <w:iCs/>
              </w:rPr>
            </w:pPr>
            <w:r w:rsidRPr="007053BC">
              <w:rPr>
                <w:b/>
                <w:bCs/>
                <w:i/>
                <w:iCs/>
              </w:rPr>
              <w:lastRenderedPageBreak/>
              <w:t>answered question</w:t>
            </w:r>
          </w:p>
        </w:tc>
        <w:tc>
          <w:tcPr>
            <w:tcW w:w="0" w:type="auto"/>
            <w:noWrap/>
            <w:hideMark/>
          </w:tcPr>
          <w:p w:rsidR="001501F3" w:rsidRPr="007053BC" w:rsidRDefault="001501F3" w:rsidP="000E1074">
            <w:pPr>
              <w:pStyle w:val="BodyText"/>
              <w:spacing w:after="120"/>
              <w:rPr>
                <w:b/>
                <w:bCs/>
              </w:rPr>
            </w:pPr>
            <w:r w:rsidRPr="007053BC">
              <w:rPr>
                <w:b/>
                <w:bCs/>
              </w:rPr>
              <w:t>7</w:t>
            </w:r>
          </w:p>
        </w:tc>
      </w:tr>
      <w:tr w:rsidR="001501F3" w:rsidRPr="007053BC" w:rsidTr="001501F3">
        <w:trPr>
          <w:cnfStyle w:val="000000100000" w:firstRow="0" w:lastRow="0" w:firstColumn="0" w:lastColumn="0" w:oddVBand="0" w:evenVBand="0" w:oddHBand="1" w:evenHBand="0" w:firstRowFirstColumn="0" w:firstRowLastColumn="0" w:lastRowFirstColumn="0" w:lastRowLastColumn="0"/>
          <w:trHeight w:val="255"/>
        </w:trPr>
        <w:tc>
          <w:tcPr>
            <w:tcW w:w="0" w:type="auto"/>
            <w:gridSpan w:val="8"/>
            <w:noWrap/>
            <w:hideMark/>
          </w:tcPr>
          <w:p w:rsidR="001501F3" w:rsidRPr="007053BC" w:rsidRDefault="001501F3" w:rsidP="000E1074">
            <w:pPr>
              <w:pStyle w:val="BodyText"/>
              <w:spacing w:after="120"/>
              <w:rPr>
                <w:b/>
                <w:bCs/>
                <w:i/>
                <w:iCs/>
              </w:rPr>
            </w:pPr>
            <w:r w:rsidRPr="007053BC">
              <w:rPr>
                <w:b/>
                <w:bCs/>
                <w:i/>
                <w:iCs/>
              </w:rPr>
              <w:t>skipped question</w:t>
            </w:r>
          </w:p>
        </w:tc>
        <w:tc>
          <w:tcPr>
            <w:tcW w:w="0" w:type="auto"/>
            <w:noWrap/>
            <w:hideMark/>
          </w:tcPr>
          <w:p w:rsidR="001501F3" w:rsidRPr="007053BC" w:rsidRDefault="001501F3" w:rsidP="000E1074">
            <w:pPr>
              <w:pStyle w:val="BodyText"/>
              <w:spacing w:after="120"/>
              <w:rPr>
                <w:b/>
                <w:bCs/>
              </w:rPr>
            </w:pPr>
            <w:r w:rsidRPr="007053BC">
              <w:rPr>
                <w:b/>
                <w:bCs/>
              </w:rPr>
              <w:t>2</w:t>
            </w:r>
          </w:p>
        </w:tc>
      </w:tr>
    </w:tbl>
    <w:p w:rsidR="001501F3" w:rsidRDefault="001501F3" w:rsidP="001501F3">
      <w:pPr>
        <w:rPr>
          <w:szCs w:val="18"/>
        </w:rPr>
      </w:pPr>
    </w:p>
    <w:tbl>
      <w:tblPr>
        <w:tblStyle w:val="TableGrid"/>
        <w:tblW w:w="8784" w:type="dxa"/>
        <w:tblLook w:val="04A0" w:firstRow="1" w:lastRow="0" w:firstColumn="1" w:lastColumn="0" w:noHBand="0" w:noVBand="1"/>
      </w:tblPr>
      <w:tblGrid>
        <w:gridCol w:w="1607"/>
        <w:gridCol w:w="1391"/>
        <w:gridCol w:w="737"/>
        <w:gridCol w:w="987"/>
        <w:gridCol w:w="1393"/>
        <w:gridCol w:w="1268"/>
        <w:gridCol w:w="1398"/>
        <w:gridCol w:w="6"/>
      </w:tblGrid>
      <w:tr w:rsidR="001501F3" w:rsidRPr="007053BC" w:rsidTr="000E1074">
        <w:trPr>
          <w:gridAfter w:val="1"/>
          <w:cnfStyle w:val="100000000000" w:firstRow="1" w:lastRow="0" w:firstColumn="0" w:lastColumn="0" w:oddVBand="0" w:evenVBand="0" w:oddHBand="0" w:evenHBand="0" w:firstRowFirstColumn="0" w:firstRowLastColumn="0" w:lastRowFirstColumn="0" w:lastRowLastColumn="0"/>
          <w:wAfter w:w="6" w:type="dxa"/>
          <w:trHeight w:val="499"/>
        </w:trPr>
        <w:tc>
          <w:tcPr>
            <w:tcW w:w="0" w:type="auto"/>
            <w:gridSpan w:val="7"/>
            <w:hideMark/>
          </w:tcPr>
          <w:p w:rsidR="001501F3" w:rsidRPr="007053BC" w:rsidRDefault="001501F3" w:rsidP="000E1074">
            <w:pPr>
              <w:spacing w:after="120"/>
              <w:rPr>
                <w:bCs/>
              </w:rPr>
            </w:pPr>
            <w:r w:rsidRPr="007053BC">
              <w:rPr>
                <w:bCs/>
              </w:rPr>
              <w:t>6. NOPTA's release of open file data is both timely and accurate.</w:t>
            </w:r>
          </w:p>
        </w:tc>
      </w:tr>
      <w:tr w:rsidR="001501F3" w:rsidRPr="007053BC" w:rsidTr="000E1074">
        <w:trPr>
          <w:gridAfter w:val="1"/>
          <w:cnfStyle w:val="000000100000" w:firstRow="0" w:lastRow="0" w:firstColumn="0" w:lastColumn="0" w:oddVBand="0" w:evenVBand="0" w:oddHBand="1" w:evenHBand="0" w:firstRowFirstColumn="0" w:firstRowLastColumn="0" w:lastRowFirstColumn="0" w:lastRowLastColumn="0"/>
          <w:wAfter w:w="6" w:type="dxa"/>
          <w:trHeight w:val="600"/>
        </w:trPr>
        <w:tc>
          <w:tcPr>
            <w:tcW w:w="0" w:type="auto"/>
            <w:hideMark/>
          </w:tcPr>
          <w:p w:rsidR="001501F3" w:rsidRPr="007053BC" w:rsidRDefault="001501F3" w:rsidP="000E1074">
            <w:pPr>
              <w:spacing w:after="120"/>
              <w:rPr>
                <w:b/>
                <w:bCs/>
              </w:rPr>
            </w:pPr>
            <w:r w:rsidRPr="007053BC">
              <w:rPr>
                <w:b/>
                <w:bCs/>
              </w:rPr>
              <w:t>Answer Options</w:t>
            </w:r>
          </w:p>
        </w:tc>
        <w:tc>
          <w:tcPr>
            <w:tcW w:w="0" w:type="auto"/>
            <w:hideMark/>
          </w:tcPr>
          <w:p w:rsidR="001501F3" w:rsidRPr="007053BC" w:rsidRDefault="001501F3" w:rsidP="000E1074">
            <w:pPr>
              <w:spacing w:after="120"/>
              <w:rPr>
                <w:b/>
                <w:bCs/>
              </w:rPr>
            </w:pPr>
            <w:r w:rsidRPr="007053BC">
              <w:rPr>
                <w:b/>
                <w:bCs/>
              </w:rPr>
              <w:t>Strongly Agree</w:t>
            </w:r>
          </w:p>
        </w:tc>
        <w:tc>
          <w:tcPr>
            <w:tcW w:w="0" w:type="auto"/>
            <w:hideMark/>
          </w:tcPr>
          <w:p w:rsidR="001501F3" w:rsidRPr="007053BC" w:rsidRDefault="001501F3" w:rsidP="000E1074">
            <w:pPr>
              <w:spacing w:after="120"/>
              <w:rPr>
                <w:b/>
                <w:bCs/>
              </w:rPr>
            </w:pPr>
            <w:r w:rsidRPr="007053BC">
              <w:rPr>
                <w:b/>
                <w:bCs/>
              </w:rPr>
              <w:t>Agree</w:t>
            </w:r>
          </w:p>
        </w:tc>
        <w:tc>
          <w:tcPr>
            <w:tcW w:w="0" w:type="auto"/>
            <w:hideMark/>
          </w:tcPr>
          <w:p w:rsidR="001501F3" w:rsidRPr="007053BC" w:rsidRDefault="001501F3" w:rsidP="000E1074">
            <w:pPr>
              <w:spacing w:after="120"/>
              <w:rPr>
                <w:b/>
                <w:bCs/>
              </w:rPr>
            </w:pPr>
            <w:r w:rsidRPr="007053BC">
              <w:rPr>
                <w:b/>
                <w:bCs/>
              </w:rPr>
              <w:t>Disagree</w:t>
            </w:r>
          </w:p>
        </w:tc>
        <w:tc>
          <w:tcPr>
            <w:tcW w:w="0" w:type="auto"/>
            <w:hideMark/>
          </w:tcPr>
          <w:p w:rsidR="001501F3" w:rsidRPr="007053BC" w:rsidRDefault="001501F3" w:rsidP="000E1074">
            <w:pPr>
              <w:spacing w:after="120"/>
              <w:rPr>
                <w:b/>
                <w:bCs/>
              </w:rPr>
            </w:pPr>
            <w:r w:rsidRPr="007053BC">
              <w:rPr>
                <w:b/>
                <w:bCs/>
              </w:rPr>
              <w:t>Strongly Disagree</w:t>
            </w:r>
          </w:p>
        </w:tc>
        <w:tc>
          <w:tcPr>
            <w:tcW w:w="0" w:type="auto"/>
            <w:hideMark/>
          </w:tcPr>
          <w:p w:rsidR="001501F3" w:rsidRPr="007053BC" w:rsidRDefault="001501F3" w:rsidP="000E1074">
            <w:pPr>
              <w:spacing w:after="120"/>
              <w:rPr>
                <w:b/>
                <w:bCs/>
              </w:rPr>
            </w:pPr>
            <w:r w:rsidRPr="007053BC">
              <w:rPr>
                <w:b/>
                <w:bCs/>
              </w:rPr>
              <w:t>Rating Average</w:t>
            </w:r>
          </w:p>
        </w:tc>
        <w:tc>
          <w:tcPr>
            <w:tcW w:w="0" w:type="auto"/>
            <w:hideMark/>
          </w:tcPr>
          <w:p w:rsidR="001501F3" w:rsidRPr="007053BC" w:rsidRDefault="001501F3" w:rsidP="000E1074">
            <w:pPr>
              <w:spacing w:after="120"/>
              <w:rPr>
                <w:b/>
                <w:bCs/>
              </w:rPr>
            </w:pPr>
            <w:r w:rsidRPr="007053BC">
              <w:rPr>
                <w:b/>
                <w:bCs/>
              </w:rPr>
              <w:t>Response Count</w:t>
            </w:r>
          </w:p>
        </w:tc>
      </w:tr>
      <w:tr w:rsidR="001501F3" w:rsidRPr="007053BC" w:rsidTr="000E1074">
        <w:trPr>
          <w:gridAfter w:val="1"/>
          <w:cnfStyle w:val="000000010000" w:firstRow="0" w:lastRow="0" w:firstColumn="0" w:lastColumn="0" w:oddVBand="0" w:evenVBand="0" w:oddHBand="0" w:evenHBand="1" w:firstRowFirstColumn="0" w:firstRowLastColumn="0" w:lastRowFirstColumn="0" w:lastRowLastColumn="0"/>
          <w:wAfter w:w="6" w:type="dxa"/>
          <w:trHeight w:val="255"/>
        </w:trPr>
        <w:tc>
          <w:tcPr>
            <w:tcW w:w="0" w:type="auto"/>
            <w:hideMark/>
          </w:tcPr>
          <w:p w:rsidR="001501F3" w:rsidRPr="007053BC" w:rsidRDefault="001501F3" w:rsidP="000E1074">
            <w:pPr>
              <w:spacing w:after="120"/>
            </w:pPr>
            <w:r w:rsidRPr="007053BC">
              <w:t>Responses</w:t>
            </w:r>
          </w:p>
        </w:tc>
        <w:tc>
          <w:tcPr>
            <w:tcW w:w="0" w:type="auto"/>
            <w:noWrap/>
            <w:hideMark/>
          </w:tcPr>
          <w:p w:rsidR="001501F3" w:rsidRPr="007053BC" w:rsidRDefault="001501F3" w:rsidP="000E1074">
            <w:pPr>
              <w:spacing w:after="120"/>
            </w:pPr>
            <w:r w:rsidRPr="007053BC">
              <w:t>1</w:t>
            </w:r>
          </w:p>
        </w:tc>
        <w:tc>
          <w:tcPr>
            <w:tcW w:w="0" w:type="auto"/>
            <w:noWrap/>
            <w:hideMark/>
          </w:tcPr>
          <w:p w:rsidR="001501F3" w:rsidRPr="007053BC" w:rsidRDefault="001501F3" w:rsidP="000E1074">
            <w:pPr>
              <w:spacing w:after="120"/>
            </w:pPr>
            <w:r w:rsidRPr="007053BC">
              <w:t>6</w:t>
            </w:r>
          </w:p>
        </w:tc>
        <w:tc>
          <w:tcPr>
            <w:tcW w:w="0" w:type="auto"/>
            <w:noWrap/>
            <w:hideMark/>
          </w:tcPr>
          <w:p w:rsidR="001501F3" w:rsidRPr="007053BC" w:rsidRDefault="001501F3" w:rsidP="000E1074">
            <w:pPr>
              <w:spacing w:after="120"/>
            </w:pPr>
            <w:r w:rsidRPr="007053BC">
              <w:t>0</w:t>
            </w:r>
          </w:p>
        </w:tc>
        <w:tc>
          <w:tcPr>
            <w:tcW w:w="0" w:type="auto"/>
            <w:noWrap/>
            <w:hideMark/>
          </w:tcPr>
          <w:p w:rsidR="001501F3" w:rsidRPr="007053BC" w:rsidRDefault="001501F3" w:rsidP="000E1074">
            <w:pPr>
              <w:spacing w:after="120"/>
            </w:pPr>
            <w:r w:rsidRPr="007053BC">
              <w:t>0</w:t>
            </w:r>
          </w:p>
        </w:tc>
        <w:tc>
          <w:tcPr>
            <w:tcW w:w="0" w:type="auto"/>
            <w:noWrap/>
            <w:hideMark/>
          </w:tcPr>
          <w:p w:rsidR="001501F3" w:rsidRPr="007053BC" w:rsidRDefault="001501F3" w:rsidP="000E1074">
            <w:pPr>
              <w:spacing w:after="120"/>
            </w:pPr>
            <w:r w:rsidRPr="007053BC">
              <w:t>3.14</w:t>
            </w:r>
          </w:p>
        </w:tc>
        <w:tc>
          <w:tcPr>
            <w:tcW w:w="0" w:type="auto"/>
            <w:noWrap/>
            <w:hideMark/>
          </w:tcPr>
          <w:p w:rsidR="001501F3" w:rsidRPr="007053BC" w:rsidRDefault="001501F3" w:rsidP="000E1074">
            <w:pPr>
              <w:spacing w:after="120"/>
            </w:pPr>
            <w:r w:rsidRPr="007053BC">
              <w:t>7</w:t>
            </w:r>
          </w:p>
        </w:tc>
      </w:tr>
      <w:tr w:rsidR="001501F3" w:rsidRPr="007053BC" w:rsidTr="000E1074">
        <w:trPr>
          <w:gridAfter w:val="1"/>
          <w:cnfStyle w:val="000000100000" w:firstRow="0" w:lastRow="0" w:firstColumn="0" w:lastColumn="0" w:oddVBand="0" w:evenVBand="0" w:oddHBand="1" w:evenHBand="0" w:firstRowFirstColumn="0" w:firstRowLastColumn="0" w:lastRowFirstColumn="0" w:lastRowLastColumn="0"/>
          <w:wAfter w:w="6" w:type="dxa"/>
          <w:trHeight w:val="255"/>
        </w:trPr>
        <w:tc>
          <w:tcPr>
            <w:tcW w:w="0" w:type="auto"/>
            <w:gridSpan w:val="6"/>
            <w:hideMark/>
          </w:tcPr>
          <w:p w:rsidR="001501F3" w:rsidRPr="007053BC" w:rsidRDefault="001501F3" w:rsidP="000E1074">
            <w:pPr>
              <w:spacing w:after="120"/>
            </w:pPr>
            <w:r w:rsidRPr="007053BC">
              <w:t>Additional Comments</w:t>
            </w:r>
          </w:p>
        </w:tc>
        <w:tc>
          <w:tcPr>
            <w:tcW w:w="0" w:type="auto"/>
            <w:noWrap/>
            <w:hideMark/>
          </w:tcPr>
          <w:p w:rsidR="001501F3" w:rsidRPr="007053BC" w:rsidRDefault="001501F3" w:rsidP="000E1074">
            <w:pPr>
              <w:spacing w:after="120"/>
            </w:pPr>
            <w:r w:rsidRPr="007053BC">
              <w:t>1</w:t>
            </w:r>
          </w:p>
        </w:tc>
      </w:tr>
      <w:tr w:rsidR="001501F3" w:rsidRPr="007053BC" w:rsidTr="000E1074">
        <w:trPr>
          <w:gridAfter w:val="1"/>
          <w:cnfStyle w:val="000000010000" w:firstRow="0" w:lastRow="0" w:firstColumn="0" w:lastColumn="0" w:oddVBand="0" w:evenVBand="0" w:oddHBand="0" w:evenHBand="1" w:firstRowFirstColumn="0" w:firstRowLastColumn="0" w:lastRowFirstColumn="0" w:lastRowLastColumn="0"/>
          <w:wAfter w:w="6" w:type="dxa"/>
          <w:trHeight w:val="255"/>
        </w:trPr>
        <w:tc>
          <w:tcPr>
            <w:tcW w:w="0" w:type="auto"/>
            <w:gridSpan w:val="6"/>
            <w:noWrap/>
            <w:hideMark/>
          </w:tcPr>
          <w:p w:rsidR="001501F3" w:rsidRPr="007053BC" w:rsidRDefault="001501F3" w:rsidP="000E1074">
            <w:pPr>
              <w:spacing w:after="120"/>
              <w:rPr>
                <w:b/>
                <w:bCs/>
                <w:i/>
                <w:iCs/>
              </w:rPr>
            </w:pPr>
            <w:r w:rsidRPr="007053BC">
              <w:rPr>
                <w:b/>
                <w:bCs/>
                <w:i/>
                <w:iCs/>
              </w:rPr>
              <w:t>answered question</w:t>
            </w:r>
          </w:p>
        </w:tc>
        <w:tc>
          <w:tcPr>
            <w:tcW w:w="0" w:type="auto"/>
            <w:noWrap/>
            <w:hideMark/>
          </w:tcPr>
          <w:p w:rsidR="001501F3" w:rsidRPr="007053BC" w:rsidRDefault="001501F3" w:rsidP="000E1074">
            <w:pPr>
              <w:spacing w:after="120"/>
              <w:rPr>
                <w:b/>
                <w:bCs/>
              </w:rPr>
            </w:pPr>
            <w:r w:rsidRPr="007053BC">
              <w:rPr>
                <w:b/>
                <w:bCs/>
              </w:rPr>
              <w:t>7</w:t>
            </w:r>
          </w:p>
        </w:tc>
      </w:tr>
      <w:tr w:rsidR="001501F3" w:rsidRPr="007053BC" w:rsidTr="000E1074">
        <w:trPr>
          <w:gridAfter w:val="1"/>
          <w:cnfStyle w:val="000000100000" w:firstRow="0" w:lastRow="0" w:firstColumn="0" w:lastColumn="0" w:oddVBand="0" w:evenVBand="0" w:oddHBand="1" w:evenHBand="0" w:firstRowFirstColumn="0" w:firstRowLastColumn="0" w:lastRowFirstColumn="0" w:lastRowLastColumn="0"/>
          <w:wAfter w:w="6" w:type="dxa"/>
          <w:trHeight w:val="255"/>
        </w:trPr>
        <w:tc>
          <w:tcPr>
            <w:tcW w:w="0" w:type="auto"/>
            <w:gridSpan w:val="6"/>
            <w:noWrap/>
            <w:hideMark/>
          </w:tcPr>
          <w:p w:rsidR="001501F3" w:rsidRPr="007053BC" w:rsidRDefault="001501F3" w:rsidP="000E1074">
            <w:pPr>
              <w:spacing w:after="120"/>
              <w:rPr>
                <w:b/>
                <w:bCs/>
                <w:i/>
                <w:iCs/>
              </w:rPr>
            </w:pPr>
            <w:r w:rsidRPr="007053BC">
              <w:rPr>
                <w:b/>
                <w:bCs/>
                <w:i/>
                <w:iCs/>
              </w:rPr>
              <w:t>skipped question</w:t>
            </w:r>
          </w:p>
        </w:tc>
        <w:tc>
          <w:tcPr>
            <w:tcW w:w="0" w:type="auto"/>
            <w:noWrap/>
            <w:hideMark/>
          </w:tcPr>
          <w:p w:rsidR="001501F3" w:rsidRPr="007053BC" w:rsidRDefault="001501F3" w:rsidP="000E1074">
            <w:pPr>
              <w:spacing w:after="120"/>
              <w:rPr>
                <w:b/>
                <w:bCs/>
              </w:rPr>
            </w:pPr>
            <w:r w:rsidRPr="007053BC">
              <w:rPr>
                <w:b/>
                <w:bCs/>
              </w:rPr>
              <w:t>2</w:t>
            </w:r>
          </w:p>
        </w:tc>
      </w:tr>
      <w:tr w:rsidR="000E1074" w:rsidRPr="007053BC" w:rsidTr="000E1074">
        <w:trPr>
          <w:cnfStyle w:val="000000010000" w:firstRow="0" w:lastRow="0" w:firstColumn="0" w:lastColumn="0" w:oddVBand="0" w:evenVBand="0" w:oddHBand="0" w:evenHBand="1" w:firstRowFirstColumn="0" w:firstRowLastColumn="0" w:lastRowFirstColumn="0" w:lastRowLastColumn="0"/>
          <w:trHeight w:val="510"/>
        </w:trPr>
        <w:tc>
          <w:tcPr>
            <w:tcW w:w="8784" w:type="dxa"/>
            <w:gridSpan w:val="8"/>
            <w:shd w:val="clear" w:color="auto" w:fill="595959" w:themeFill="text1" w:themeFillTint="A6"/>
            <w:hideMark/>
          </w:tcPr>
          <w:p w:rsidR="000E1074" w:rsidRPr="007053BC" w:rsidRDefault="000E1074" w:rsidP="000E1074">
            <w:pPr>
              <w:spacing w:after="120"/>
              <w:rPr>
                <w:bCs/>
              </w:rPr>
            </w:pPr>
            <w:r w:rsidRPr="000E1074">
              <w:rPr>
                <w:b/>
                <w:bCs/>
                <w:color w:val="FFFFFF" w:themeColor="background1"/>
              </w:rPr>
              <w:t>Additional Comments</w:t>
            </w:r>
          </w:p>
        </w:tc>
      </w:tr>
      <w:tr w:rsidR="000E1074" w:rsidRPr="007053BC" w:rsidTr="000E1074">
        <w:trPr>
          <w:cnfStyle w:val="000000100000" w:firstRow="0" w:lastRow="0" w:firstColumn="0" w:lastColumn="0" w:oddVBand="0" w:evenVBand="0" w:oddHBand="1" w:evenHBand="0" w:firstRowFirstColumn="0" w:firstRowLastColumn="0" w:lastRowFirstColumn="0" w:lastRowLastColumn="0"/>
          <w:trHeight w:val="255"/>
        </w:trPr>
        <w:tc>
          <w:tcPr>
            <w:tcW w:w="8784" w:type="dxa"/>
            <w:gridSpan w:val="8"/>
            <w:noWrap/>
            <w:hideMark/>
          </w:tcPr>
          <w:p w:rsidR="000E1074" w:rsidRPr="007053BC" w:rsidRDefault="000E1074" w:rsidP="000E1074">
            <w:pPr>
              <w:spacing w:after="120"/>
            </w:pPr>
            <w:r w:rsidRPr="007053BC">
              <w:t>I have selected 'agree', however I have no idea if this is true or not</w:t>
            </w:r>
            <w:r w:rsidR="004B5BEC">
              <w:t xml:space="preserve">. </w:t>
            </w:r>
            <w:r w:rsidRPr="007053BC">
              <w:t>There should have been a button N/A to select.</w:t>
            </w:r>
          </w:p>
        </w:tc>
      </w:tr>
    </w:tbl>
    <w:p w:rsidR="001501F3" w:rsidRDefault="001501F3" w:rsidP="001501F3"/>
    <w:tbl>
      <w:tblPr>
        <w:tblStyle w:val="TableGrid"/>
        <w:tblW w:w="0" w:type="auto"/>
        <w:tblLook w:val="04A0" w:firstRow="1" w:lastRow="0" w:firstColumn="1" w:lastColumn="0" w:noHBand="0" w:noVBand="1"/>
      </w:tblPr>
      <w:tblGrid>
        <w:gridCol w:w="1431"/>
        <w:gridCol w:w="1311"/>
        <w:gridCol w:w="737"/>
        <w:gridCol w:w="987"/>
        <w:gridCol w:w="1480"/>
        <w:gridCol w:w="536"/>
        <w:gridCol w:w="1323"/>
        <w:gridCol w:w="1448"/>
      </w:tblGrid>
      <w:tr w:rsidR="001501F3" w:rsidRPr="007053BC" w:rsidTr="001501F3">
        <w:trPr>
          <w:cnfStyle w:val="100000000000" w:firstRow="1" w:lastRow="0" w:firstColumn="0" w:lastColumn="0" w:oddVBand="0" w:evenVBand="0" w:oddHBand="0" w:evenHBand="0" w:firstRowFirstColumn="0" w:firstRowLastColumn="0" w:lastRowFirstColumn="0" w:lastRowLastColumn="0"/>
          <w:trHeight w:val="499"/>
        </w:trPr>
        <w:tc>
          <w:tcPr>
            <w:tcW w:w="0" w:type="auto"/>
            <w:gridSpan w:val="8"/>
            <w:hideMark/>
          </w:tcPr>
          <w:p w:rsidR="001501F3" w:rsidRPr="007053BC" w:rsidRDefault="001501F3" w:rsidP="000E1074">
            <w:pPr>
              <w:spacing w:after="120"/>
              <w:rPr>
                <w:bCs/>
              </w:rPr>
            </w:pPr>
            <w:r w:rsidRPr="007053BC">
              <w:rPr>
                <w:bCs/>
              </w:rPr>
              <w:t>7. I am confident that NOPTA ensures the confidentiality of my organisation's protected commercial information.</w:t>
            </w:r>
          </w:p>
        </w:tc>
      </w:tr>
      <w:tr w:rsidR="001501F3" w:rsidRPr="007053BC" w:rsidTr="001501F3">
        <w:trPr>
          <w:cnfStyle w:val="000000100000" w:firstRow="0" w:lastRow="0" w:firstColumn="0" w:lastColumn="0" w:oddVBand="0" w:evenVBand="0" w:oddHBand="1" w:evenHBand="0" w:firstRowFirstColumn="0" w:firstRowLastColumn="0" w:lastRowFirstColumn="0" w:lastRowLastColumn="0"/>
          <w:trHeight w:val="600"/>
        </w:trPr>
        <w:tc>
          <w:tcPr>
            <w:tcW w:w="0" w:type="auto"/>
            <w:hideMark/>
          </w:tcPr>
          <w:p w:rsidR="001501F3" w:rsidRPr="007053BC" w:rsidRDefault="001501F3" w:rsidP="000E1074">
            <w:pPr>
              <w:spacing w:after="120"/>
              <w:rPr>
                <w:b/>
                <w:bCs/>
              </w:rPr>
            </w:pPr>
            <w:r w:rsidRPr="007053BC">
              <w:rPr>
                <w:b/>
                <w:bCs/>
              </w:rPr>
              <w:t>Answer Options</w:t>
            </w:r>
          </w:p>
        </w:tc>
        <w:tc>
          <w:tcPr>
            <w:tcW w:w="0" w:type="auto"/>
            <w:hideMark/>
          </w:tcPr>
          <w:p w:rsidR="001501F3" w:rsidRPr="007053BC" w:rsidRDefault="001501F3" w:rsidP="000E1074">
            <w:pPr>
              <w:spacing w:after="120"/>
              <w:rPr>
                <w:b/>
                <w:bCs/>
              </w:rPr>
            </w:pPr>
            <w:r w:rsidRPr="007053BC">
              <w:rPr>
                <w:b/>
                <w:bCs/>
              </w:rPr>
              <w:t>Strongly Agree</w:t>
            </w:r>
          </w:p>
        </w:tc>
        <w:tc>
          <w:tcPr>
            <w:tcW w:w="0" w:type="auto"/>
            <w:hideMark/>
          </w:tcPr>
          <w:p w:rsidR="001501F3" w:rsidRPr="007053BC" w:rsidRDefault="001501F3" w:rsidP="000E1074">
            <w:pPr>
              <w:spacing w:after="120"/>
              <w:rPr>
                <w:b/>
                <w:bCs/>
              </w:rPr>
            </w:pPr>
            <w:r w:rsidRPr="007053BC">
              <w:rPr>
                <w:b/>
                <w:bCs/>
              </w:rPr>
              <w:t>Agree</w:t>
            </w:r>
          </w:p>
        </w:tc>
        <w:tc>
          <w:tcPr>
            <w:tcW w:w="0" w:type="auto"/>
            <w:hideMark/>
          </w:tcPr>
          <w:p w:rsidR="001501F3" w:rsidRPr="007053BC" w:rsidRDefault="001501F3" w:rsidP="000E1074">
            <w:pPr>
              <w:spacing w:after="120"/>
              <w:rPr>
                <w:b/>
                <w:bCs/>
              </w:rPr>
            </w:pPr>
            <w:r w:rsidRPr="007053BC">
              <w:rPr>
                <w:b/>
                <w:bCs/>
              </w:rPr>
              <w:t>Disagree</w:t>
            </w:r>
          </w:p>
        </w:tc>
        <w:tc>
          <w:tcPr>
            <w:tcW w:w="0" w:type="auto"/>
            <w:hideMark/>
          </w:tcPr>
          <w:p w:rsidR="001501F3" w:rsidRPr="007053BC" w:rsidRDefault="001501F3" w:rsidP="000E1074">
            <w:pPr>
              <w:spacing w:after="120"/>
              <w:rPr>
                <w:b/>
                <w:bCs/>
              </w:rPr>
            </w:pPr>
            <w:r w:rsidRPr="007053BC">
              <w:rPr>
                <w:b/>
                <w:bCs/>
              </w:rPr>
              <w:t>Strongly Disagree</w:t>
            </w:r>
          </w:p>
        </w:tc>
        <w:tc>
          <w:tcPr>
            <w:tcW w:w="0" w:type="auto"/>
            <w:hideMark/>
          </w:tcPr>
          <w:p w:rsidR="001501F3" w:rsidRPr="007053BC" w:rsidRDefault="001501F3" w:rsidP="000E1074">
            <w:pPr>
              <w:spacing w:after="120"/>
              <w:rPr>
                <w:b/>
                <w:bCs/>
              </w:rPr>
            </w:pPr>
            <w:r w:rsidRPr="007053BC">
              <w:rPr>
                <w:b/>
                <w:bCs/>
              </w:rPr>
              <w:t>N/A</w:t>
            </w:r>
          </w:p>
        </w:tc>
        <w:tc>
          <w:tcPr>
            <w:tcW w:w="0" w:type="auto"/>
            <w:hideMark/>
          </w:tcPr>
          <w:p w:rsidR="001501F3" w:rsidRPr="007053BC" w:rsidRDefault="001501F3" w:rsidP="000E1074">
            <w:pPr>
              <w:spacing w:after="120"/>
              <w:rPr>
                <w:b/>
                <w:bCs/>
              </w:rPr>
            </w:pPr>
            <w:r w:rsidRPr="007053BC">
              <w:rPr>
                <w:b/>
                <w:bCs/>
              </w:rPr>
              <w:t>Rating Average</w:t>
            </w:r>
          </w:p>
        </w:tc>
        <w:tc>
          <w:tcPr>
            <w:tcW w:w="0" w:type="auto"/>
            <w:hideMark/>
          </w:tcPr>
          <w:p w:rsidR="001501F3" w:rsidRPr="007053BC" w:rsidRDefault="001501F3" w:rsidP="000E1074">
            <w:pPr>
              <w:spacing w:after="120"/>
              <w:rPr>
                <w:b/>
                <w:bCs/>
              </w:rPr>
            </w:pPr>
            <w:r w:rsidRPr="007053BC">
              <w:rPr>
                <w:b/>
                <w:bCs/>
              </w:rPr>
              <w:t>Response Count</w:t>
            </w:r>
          </w:p>
        </w:tc>
      </w:tr>
      <w:tr w:rsidR="001501F3" w:rsidRPr="007053BC" w:rsidTr="001501F3">
        <w:trPr>
          <w:cnfStyle w:val="000000010000" w:firstRow="0" w:lastRow="0" w:firstColumn="0" w:lastColumn="0" w:oddVBand="0" w:evenVBand="0" w:oddHBand="0" w:evenHBand="1" w:firstRowFirstColumn="0" w:firstRowLastColumn="0" w:lastRowFirstColumn="0" w:lastRowLastColumn="0"/>
          <w:trHeight w:val="255"/>
        </w:trPr>
        <w:tc>
          <w:tcPr>
            <w:tcW w:w="0" w:type="auto"/>
            <w:hideMark/>
          </w:tcPr>
          <w:p w:rsidR="001501F3" w:rsidRPr="007053BC" w:rsidRDefault="001501F3" w:rsidP="000E1074">
            <w:pPr>
              <w:spacing w:after="120"/>
            </w:pPr>
            <w:r w:rsidRPr="007053BC">
              <w:t>Responses</w:t>
            </w:r>
          </w:p>
        </w:tc>
        <w:tc>
          <w:tcPr>
            <w:tcW w:w="0" w:type="auto"/>
            <w:noWrap/>
            <w:hideMark/>
          </w:tcPr>
          <w:p w:rsidR="001501F3" w:rsidRPr="007053BC" w:rsidRDefault="001501F3" w:rsidP="000E1074">
            <w:pPr>
              <w:spacing w:after="120"/>
            </w:pPr>
            <w:r w:rsidRPr="007053BC">
              <w:t>2</w:t>
            </w:r>
          </w:p>
        </w:tc>
        <w:tc>
          <w:tcPr>
            <w:tcW w:w="0" w:type="auto"/>
            <w:noWrap/>
            <w:hideMark/>
          </w:tcPr>
          <w:p w:rsidR="001501F3" w:rsidRPr="007053BC" w:rsidRDefault="001501F3" w:rsidP="000E1074">
            <w:pPr>
              <w:spacing w:after="120"/>
            </w:pPr>
            <w:r w:rsidRPr="007053BC">
              <w:t>2</w:t>
            </w:r>
          </w:p>
        </w:tc>
        <w:tc>
          <w:tcPr>
            <w:tcW w:w="0" w:type="auto"/>
            <w:noWrap/>
            <w:hideMark/>
          </w:tcPr>
          <w:p w:rsidR="001501F3" w:rsidRPr="007053BC" w:rsidRDefault="001501F3" w:rsidP="000E1074">
            <w:pPr>
              <w:spacing w:after="120"/>
            </w:pPr>
            <w:r w:rsidRPr="007053BC">
              <w:t>0</w:t>
            </w:r>
          </w:p>
        </w:tc>
        <w:tc>
          <w:tcPr>
            <w:tcW w:w="0" w:type="auto"/>
            <w:noWrap/>
            <w:hideMark/>
          </w:tcPr>
          <w:p w:rsidR="001501F3" w:rsidRPr="007053BC" w:rsidRDefault="001501F3" w:rsidP="000E1074">
            <w:pPr>
              <w:spacing w:after="120"/>
            </w:pPr>
            <w:r w:rsidRPr="007053BC">
              <w:t>0</w:t>
            </w:r>
          </w:p>
        </w:tc>
        <w:tc>
          <w:tcPr>
            <w:tcW w:w="0" w:type="auto"/>
            <w:noWrap/>
            <w:hideMark/>
          </w:tcPr>
          <w:p w:rsidR="001501F3" w:rsidRPr="007053BC" w:rsidRDefault="001501F3" w:rsidP="000E1074">
            <w:pPr>
              <w:spacing w:after="120"/>
            </w:pPr>
            <w:r w:rsidRPr="007053BC">
              <w:t>3</w:t>
            </w:r>
          </w:p>
        </w:tc>
        <w:tc>
          <w:tcPr>
            <w:tcW w:w="0" w:type="auto"/>
            <w:noWrap/>
            <w:hideMark/>
          </w:tcPr>
          <w:p w:rsidR="001501F3" w:rsidRPr="007053BC" w:rsidRDefault="001501F3" w:rsidP="000E1074">
            <w:pPr>
              <w:spacing w:after="120"/>
            </w:pPr>
            <w:r w:rsidRPr="007053BC">
              <w:t>3.50</w:t>
            </w:r>
          </w:p>
        </w:tc>
        <w:tc>
          <w:tcPr>
            <w:tcW w:w="0" w:type="auto"/>
            <w:noWrap/>
            <w:hideMark/>
          </w:tcPr>
          <w:p w:rsidR="001501F3" w:rsidRPr="007053BC" w:rsidRDefault="001501F3" w:rsidP="000E1074">
            <w:pPr>
              <w:spacing w:after="120"/>
            </w:pPr>
            <w:r w:rsidRPr="007053BC">
              <w:t>7</w:t>
            </w:r>
          </w:p>
        </w:tc>
      </w:tr>
      <w:tr w:rsidR="001501F3" w:rsidRPr="007053BC" w:rsidTr="001501F3">
        <w:trPr>
          <w:cnfStyle w:val="000000100000" w:firstRow="0" w:lastRow="0" w:firstColumn="0" w:lastColumn="0" w:oddVBand="0" w:evenVBand="0" w:oddHBand="1" w:evenHBand="0" w:firstRowFirstColumn="0" w:firstRowLastColumn="0" w:lastRowFirstColumn="0" w:lastRowLastColumn="0"/>
          <w:trHeight w:val="255"/>
        </w:trPr>
        <w:tc>
          <w:tcPr>
            <w:tcW w:w="0" w:type="auto"/>
            <w:gridSpan w:val="7"/>
            <w:hideMark/>
          </w:tcPr>
          <w:p w:rsidR="001501F3" w:rsidRPr="007053BC" w:rsidRDefault="001501F3" w:rsidP="000E1074">
            <w:pPr>
              <w:spacing w:after="120"/>
            </w:pPr>
            <w:r w:rsidRPr="007053BC">
              <w:t>Additional Comments</w:t>
            </w:r>
          </w:p>
        </w:tc>
        <w:tc>
          <w:tcPr>
            <w:tcW w:w="0" w:type="auto"/>
            <w:noWrap/>
            <w:hideMark/>
          </w:tcPr>
          <w:p w:rsidR="001501F3" w:rsidRPr="007053BC" w:rsidRDefault="001501F3" w:rsidP="000E1074">
            <w:pPr>
              <w:spacing w:after="120"/>
            </w:pPr>
            <w:r w:rsidRPr="007053BC">
              <w:t>0</w:t>
            </w:r>
          </w:p>
        </w:tc>
      </w:tr>
      <w:tr w:rsidR="001501F3" w:rsidRPr="007053BC" w:rsidTr="001501F3">
        <w:trPr>
          <w:cnfStyle w:val="000000010000" w:firstRow="0" w:lastRow="0" w:firstColumn="0" w:lastColumn="0" w:oddVBand="0" w:evenVBand="0" w:oddHBand="0" w:evenHBand="1" w:firstRowFirstColumn="0" w:firstRowLastColumn="0" w:lastRowFirstColumn="0" w:lastRowLastColumn="0"/>
          <w:trHeight w:val="255"/>
        </w:trPr>
        <w:tc>
          <w:tcPr>
            <w:tcW w:w="0" w:type="auto"/>
            <w:gridSpan w:val="7"/>
            <w:noWrap/>
            <w:hideMark/>
          </w:tcPr>
          <w:p w:rsidR="001501F3" w:rsidRPr="007053BC" w:rsidRDefault="001501F3" w:rsidP="000E1074">
            <w:pPr>
              <w:spacing w:after="120"/>
              <w:rPr>
                <w:b/>
                <w:bCs/>
                <w:i/>
                <w:iCs/>
              </w:rPr>
            </w:pPr>
            <w:r w:rsidRPr="007053BC">
              <w:rPr>
                <w:b/>
                <w:bCs/>
                <w:i/>
                <w:iCs/>
              </w:rPr>
              <w:t>answered question</w:t>
            </w:r>
          </w:p>
        </w:tc>
        <w:tc>
          <w:tcPr>
            <w:tcW w:w="0" w:type="auto"/>
            <w:noWrap/>
            <w:hideMark/>
          </w:tcPr>
          <w:p w:rsidR="001501F3" w:rsidRPr="007053BC" w:rsidRDefault="001501F3" w:rsidP="000E1074">
            <w:pPr>
              <w:spacing w:after="120"/>
              <w:rPr>
                <w:b/>
                <w:bCs/>
              </w:rPr>
            </w:pPr>
            <w:r w:rsidRPr="007053BC">
              <w:rPr>
                <w:b/>
                <w:bCs/>
              </w:rPr>
              <w:t>7</w:t>
            </w:r>
          </w:p>
        </w:tc>
      </w:tr>
      <w:tr w:rsidR="001501F3" w:rsidRPr="007053BC" w:rsidTr="001501F3">
        <w:trPr>
          <w:cnfStyle w:val="000000100000" w:firstRow="0" w:lastRow="0" w:firstColumn="0" w:lastColumn="0" w:oddVBand="0" w:evenVBand="0" w:oddHBand="1" w:evenHBand="0" w:firstRowFirstColumn="0" w:firstRowLastColumn="0" w:lastRowFirstColumn="0" w:lastRowLastColumn="0"/>
          <w:trHeight w:val="255"/>
        </w:trPr>
        <w:tc>
          <w:tcPr>
            <w:tcW w:w="0" w:type="auto"/>
            <w:gridSpan w:val="7"/>
            <w:noWrap/>
            <w:hideMark/>
          </w:tcPr>
          <w:p w:rsidR="001501F3" w:rsidRPr="007053BC" w:rsidRDefault="001501F3" w:rsidP="000E1074">
            <w:pPr>
              <w:spacing w:after="120"/>
              <w:rPr>
                <w:b/>
                <w:bCs/>
                <w:i/>
                <w:iCs/>
              </w:rPr>
            </w:pPr>
            <w:r w:rsidRPr="007053BC">
              <w:rPr>
                <w:b/>
                <w:bCs/>
                <w:i/>
                <w:iCs/>
              </w:rPr>
              <w:t>skipped question</w:t>
            </w:r>
          </w:p>
        </w:tc>
        <w:tc>
          <w:tcPr>
            <w:tcW w:w="0" w:type="auto"/>
            <w:noWrap/>
            <w:hideMark/>
          </w:tcPr>
          <w:p w:rsidR="001501F3" w:rsidRPr="007053BC" w:rsidRDefault="001501F3" w:rsidP="000E1074">
            <w:pPr>
              <w:spacing w:after="120"/>
              <w:rPr>
                <w:b/>
                <w:bCs/>
              </w:rPr>
            </w:pPr>
            <w:r w:rsidRPr="007053BC">
              <w:rPr>
                <w:b/>
                <w:bCs/>
              </w:rPr>
              <w:t>2</w:t>
            </w:r>
          </w:p>
        </w:tc>
      </w:tr>
    </w:tbl>
    <w:p w:rsidR="00CF69F1" w:rsidRDefault="00CF69F1">
      <w:pPr>
        <w:spacing w:after="0"/>
        <w:rPr>
          <w:rFonts w:ascii="Arial Bold" w:hAnsi="Arial Bold"/>
          <w:b/>
          <w:sz w:val="24"/>
          <w:szCs w:val="24"/>
        </w:rPr>
      </w:pPr>
      <w:bookmarkStart w:id="165" w:name="_Toc423426817"/>
      <w:bookmarkStart w:id="166" w:name="_Toc430102226"/>
      <w:r>
        <w:br w:type="page"/>
      </w:r>
    </w:p>
    <w:p w:rsidR="001501F3" w:rsidRDefault="001501F3" w:rsidP="00E42D56">
      <w:pPr>
        <w:pStyle w:val="Heading30"/>
      </w:pPr>
      <w:r>
        <w:lastRenderedPageBreak/>
        <w:t>Your Relationship with NOPTA</w:t>
      </w:r>
      <w:bookmarkEnd w:id="165"/>
      <w:bookmarkEnd w:id="166"/>
    </w:p>
    <w:tbl>
      <w:tblPr>
        <w:tblStyle w:val="TableGrid"/>
        <w:tblW w:w="8784" w:type="dxa"/>
        <w:tblLook w:val="04A0" w:firstRow="1" w:lastRow="0" w:firstColumn="1" w:lastColumn="0" w:noHBand="0" w:noVBand="1"/>
      </w:tblPr>
      <w:tblGrid>
        <w:gridCol w:w="1515"/>
        <w:gridCol w:w="1262"/>
        <w:gridCol w:w="737"/>
        <w:gridCol w:w="987"/>
        <w:gridCol w:w="1272"/>
        <w:gridCol w:w="536"/>
        <w:gridCol w:w="1167"/>
        <w:gridCol w:w="1304"/>
        <w:gridCol w:w="6"/>
      </w:tblGrid>
      <w:tr w:rsidR="001501F3" w:rsidRPr="007053BC" w:rsidTr="00CF69F1">
        <w:trPr>
          <w:gridAfter w:val="1"/>
          <w:cnfStyle w:val="100000000000" w:firstRow="1" w:lastRow="0" w:firstColumn="0" w:lastColumn="0" w:oddVBand="0" w:evenVBand="0" w:oddHBand="0" w:evenHBand="0" w:firstRowFirstColumn="0" w:firstRowLastColumn="0" w:lastRowFirstColumn="0" w:lastRowLastColumn="0"/>
          <w:wAfter w:w="6" w:type="dxa"/>
          <w:cantSplit/>
          <w:trHeight w:val="499"/>
        </w:trPr>
        <w:tc>
          <w:tcPr>
            <w:tcW w:w="0" w:type="auto"/>
            <w:gridSpan w:val="8"/>
            <w:hideMark/>
          </w:tcPr>
          <w:p w:rsidR="001501F3" w:rsidRPr="007053BC" w:rsidRDefault="001501F3" w:rsidP="000E1074">
            <w:pPr>
              <w:pStyle w:val="BodyText"/>
              <w:spacing w:after="120"/>
              <w:rPr>
                <w:bCs/>
              </w:rPr>
            </w:pPr>
            <w:r w:rsidRPr="007053BC">
              <w:rPr>
                <w:bCs/>
              </w:rPr>
              <w:t>8. NOPTA is always available to assist with any enquiries I have.</w:t>
            </w:r>
          </w:p>
        </w:tc>
      </w:tr>
      <w:tr w:rsidR="001501F3" w:rsidRPr="007053BC" w:rsidTr="00CF69F1">
        <w:trPr>
          <w:gridAfter w:val="1"/>
          <w:cnfStyle w:val="000000100000" w:firstRow="0" w:lastRow="0" w:firstColumn="0" w:lastColumn="0" w:oddVBand="0" w:evenVBand="0" w:oddHBand="1" w:evenHBand="0" w:firstRowFirstColumn="0" w:firstRowLastColumn="0" w:lastRowFirstColumn="0" w:lastRowLastColumn="0"/>
          <w:wAfter w:w="6" w:type="dxa"/>
          <w:cantSplit/>
          <w:trHeight w:val="600"/>
        </w:trPr>
        <w:tc>
          <w:tcPr>
            <w:tcW w:w="0" w:type="auto"/>
            <w:hideMark/>
          </w:tcPr>
          <w:p w:rsidR="001501F3" w:rsidRPr="007053BC" w:rsidRDefault="001501F3" w:rsidP="000E1074">
            <w:pPr>
              <w:pStyle w:val="BodyText"/>
              <w:spacing w:after="120"/>
              <w:rPr>
                <w:b/>
                <w:bCs/>
              </w:rPr>
            </w:pPr>
            <w:r w:rsidRPr="007053BC">
              <w:rPr>
                <w:b/>
                <w:bCs/>
              </w:rPr>
              <w:t>Answer Options</w:t>
            </w:r>
          </w:p>
        </w:tc>
        <w:tc>
          <w:tcPr>
            <w:tcW w:w="0" w:type="auto"/>
            <w:hideMark/>
          </w:tcPr>
          <w:p w:rsidR="001501F3" w:rsidRPr="007053BC" w:rsidRDefault="001501F3" w:rsidP="000E1074">
            <w:pPr>
              <w:pStyle w:val="BodyText"/>
              <w:spacing w:after="120"/>
              <w:rPr>
                <w:b/>
                <w:bCs/>
              </w:rPr>
            </w:pPr>
            <w:r w:rsidRPr="007053BC">
              <w:rPr>
                <w:b/>
                <w:bCs/>
              </w:rPr>
              <w:t>Strongly Agree</w:t>
            </w:r>
          </w:p>
        </w:tc>
        <w:tc>
          <w:tcPr>
            <w:tcW w:w="0" w:type="auto"/>
            <w:hideMark/>
          </w:tcPr>
          <w:p w:rsidR="001501F3" w:rsidRPr="007053BC" w:rsidRDefault="001501F3" w:rsidP="000E1074">
            <w:pPr>
              <w:pStyle w:val="BodyText"/>
              <w:spacing w:after="120"/>
              <w:rPr>
                <w:b/>
                <w:bCs/>
              </w:rPr>
            </w:pPr>
            <w:r w:rsidRPr="007053BC">
              <w:rPr>
                <w:b/>
                <w:bCs/>
              </w:rPr>
              <w:t>Agree</w:t>
            </w:r>
          </w:p>
        </w:tc>
        <w:tc>
          <w:tcPr>
            <w:tcW w:w="0" w:type="auto"/>
            <w:hideMark/>
          </w:tcPr>
          <w:p w:rsidR="001501F3" w:rsidRPr="007053BC" w:rsidRDefault="001501F3" w:rsidP="000E1074">
            <w:pPr>
              <w:pStyle w:val="BodyText"/>
              <w:spacing w:after="120"/>
              <w:rPr>
                <w:b/>
                <w:bCs/>
              </w:rPr>
            </w:pPr>
            <w:r w:rsidRPr="007053BC">
              <w:rPr>
                <w:b/>
                <w:bCs/>
              </w:rPr>
              <w:t>Disagree</w:t>
            </w:r>
          </w:p>
        </w:tc>
        <w:tc>
          <w:tcPr>
            <w:tcW w:w="0" w:type="auto"/>
            <w:hideMark/>
          </w:tcPr>
          <w:p w:rsidR="001501F3" w:rsidRPr="007053BC" w:rsidRDefault="001501F3" w:rsidP="000E1074">
            <w:pPr>
              <w:pStyle w:val="BodyText"/>
              <w:spacing w:after="120"/>
              <w:rPr>
                <w:b/>
                <w:bCs/>
              </w:rPr>
            </w:pPr>
            <w:r w:rsidRPr="007053BC">
              <w:rPr>
                <w:b/>
                <w:bCs/>
              </w:rPr>
              <w:t>Strongly Disagree</w:t>
            </w:r>
          </w:p>
        </w:tc>
        <w:tc>
          <w:tcPr>
            <w:tcW w:w="0" w:type="auto"/>
            <w:hideMark/>
          </w:tcPr>
          <w:p w:rsidR="001501F3" w:rsidRPr="007053BC" w:rsidRDefault="001501F3" w:rsidP="000E1074">
            <w:pPr>
              <w:pStyle w:val="BodyText"/>
              <w:spacing w:after="120"/>
              <w:rPr>
                <w:b/>
                <w:bCs/>
              </w:rPr>
            </w:pPr>
            <w:r w:rsidRPr="007053BC">
              <w:rPr>
                <w:b/>
                <w:bCs/>
              </w:rPr>
              <w:t>N/A</w:t>
            </w:r>
          </w:p>
        </w:tc>
        <w:tc>
          <w:tcPr>
            <w:tcW w:w="0" w:type="auto"/>
            <w:hideMark/>
          </w:tcPr>
          <w:p w:rsidR="001501F3" w:rsidRPr="007053BC" w:rsidRDefault="001501F3" w:rsidP="000E1074">
            <w:pPr>
              <w:pStyle w:val="BodyText"/>
              <w:spacing w:after="120"/>
              <w:rPr>
                <w:b/>
                <w:bCs/>
              </w:rPr>
            </w:pPr>
            <w:r w:rsidRPr="007053BC">
              <w:rPr>
                <w:b/>
                <w:bCs/>
              </w:rPr>
              <w:t>Rating Average</w:t>
            </w:r>
          </w:p>
        </w:tc>
        <w:tc>
          <w:tcPr>
            <w:tcW w:w="0" w:type="auto"/>
            <w:hideMark/>
          </w:tcPr>
          <w:p w:rsidR="001501F3" w:rsidRPr="007053BC" w:rsidRDefault="001501F3" w:rsidP="000E1074">
            <w:pPr>
              <w:pStyle w:val="BodyText"/>
              <w:spacing w:after="120"/>
              <w:rPr>
                <w:b/>
                <w:bCs/>
              </w:rPr>
            </w:pPr>
            <w:r w:rsidRPr="007053BC">
              <w:rPr>
                <w:b/>
                <w:bCs/>
              </w:rPr>
              <w:t>Response Count</w:t>
            </w:r>
          </w:p>
        </w:tc>
      </w:tr>
      <w:tr w:rsidR="001501F3" w:rsidRPr="007053BC" w:rsidTr="000E1074">
        <w:trPr>
          <w:gridAfter w:val="1"/>
          <w:cnfStyle w:val="000000010000" w:firstRow="0" w:lastRow="0" w:firstColumn="0" w:lastColumn="0" w:oddVBand="0" w:evenVBand="0" w:oddHBand="0" w:evenHBand="1" w:firstRowFirstColumn="0" w:firstRowLastColumn="0" w:lastRowFirstColumn="0" w:lastRowLastColumn="0"/>
          <w:wAfter w:w="6" w:type="dxa"/>
          <w:trHeight w:val="255"/>
        </w:trPr>
        <w:tc>
          <w:tcPr>
            <w:tcW w:w="0" w:type="auto"/>
            <w:hideMark/>
          </w:tcPr>
          <w:p w:rsidR="001501F3" w:rsidRPr="007053BC" w:rsidRDefault="001501F3" w:rsidP="000E1074">
            <w:pPr>
              <w:pStyle w:val="BodyText"/>
              <w:spacing w:after="120"/>
            </w:pPr>
            <w:r w:rsidRPr="007053BC">
              <w:t>Responses</w:t>
            </w:r>
          </w:p>
        </w:tc>
        <w:tc>
          <w:tcPr>
            <w:tcW w:w="0" w:type="auto"/>
            <w:noWrap/>
            <w:hideMark/>
          </w:tcPr>
          <w:p w:rsidR="001501F3" w:rsidRPr="007053BC" w:rsidRDefault="001501F3" w:rsidP="000E1074">
            <w:pPr>
              <w:pStyle w:val="BodyText"/>
              <w:spacing w:after="120"/>
            </w:pPr>
            <w:r w:rsidRPr="007053BC">
              <w:t>1</w:t>
            </w:r>
          </w:p>
        </w:tc>
        <w:tc>
          <w:tcPr>
            <w:tcW w:w="0" w:type="auto"/>
            <w:noWrap/>
            <w:hideMark/>
          </w:tcPr>
          <w:p w:rsidR="001501F3" w:rsidRPr="007053BC" w:rsidRDefault="001501F3" w:rsidP="000E1074">
            <w:pPr>
              <w:pStyle w:val="BodyText"/>
              <w:spacing w:after="120"/>
            </w:pPr>
            <w:r w:rsidRPr="007053BC">
              <w:t>5</w:t>
            </w:r>
          </w:p>
        </w:tc>
        <w:tc>
          <w:tcPr>
            <w:tcW w:w="0" w:type="auto"/>
            <w:noWrap/>
            <w:hideMark/>
          </w:tcPr>
          <w:p w:rsidR="001501F3" w:rsidRPr="007053BC" w:rsidRDefault="001501F3" w:rsidP="000E1074">
            <w:pPr>
              <w:pStyle w:val="BodyText"/>
              <w:spacing w:after="120"/>
            </w:pPr>
            <w:r w:rsidRPr="007053BC">
              <w:t>0</w:t>
            </w:r>
          </w:p>
        </w:tc>
        <w:tc>
          <w:tcPr>
            <w:tcW w:w="0" w:type="auto"/>
            <w:noWrap/>
            <w:hideMark/>
          </w:tcPr>
          <w:p w:rsidR="001501F3" w:rsidRPr="007053BC" w:rsidRDefault="001501F3" w:rsidP="000E1074">
            <w:pPr>
              <w:pStyle w:val="BodyText"/>
              <w:spacing w:after="120"/>
            </w:pPr>
            <w:r w:rsidRPr="007053BC">
              <w:t>0</w:t>
            </w:r>
          </w:p>
        </w:tc>
        <w:tc>
          <w:tcPr>
            <w:tcW w:w="0" w:type="auto"/>
            <w:noWrap/>
            <w:hideMark/>
          </w:tcPr>
          <w:p w:rsidR="001501F3" w:rsidRPr="007053BC" w:rsidRDefault="001501F3" w:rsidP="000E1074">
            <w:pPr>
              <w:pStyle w:val="BodyText"/>
              <w:spacing w:after="120"/>
            </w:pPr>
            <w:r w:rsidRPr="007053BC">
              <w:t>1</w:t>
            </w:r>
          </w:p>
        </w:tc>
        <w:tc>
          <w:tcPr>
            <w:tcW w:w="0" w:type="auto"/>
            <w:noWrap/>
            <w:hideMark/>
          </w:tcPr>
          <w:p w:rsidR="001501F3" w:rsidRPr="007053BC" w:rsidRDefault="001501F3" w:rsidP="000E1074">
            <w:pPr>
              <w:pStyle w:val="BodyText"/>
              <w:spacing w:after="120"/>
            </w:pPr>
            <w:r w:rsidRPr="007053BC">
              <w:t>3.17</w:t>
            </w:r>
          </w:p>
        </w:tc>
        <w:tc>
          <w:tcPr>
            <w:tcW w:w="0" w:type="auto"/>
            <w:noWrap/>
            <w:hideMark/>
          </w:tcPr>
          <w:p w:rsidR="001501F3" w:rsidRPr="007053BC" w:rsidRDefault="001501F3" w:rsidP="000E1074">
            <w:pPr>
              <w:pStyle w:val="BodyText"/>
              <w:spacing w:after="120"/>
            </w:pPr>
            <w:r w:rsidRPr="007053BC">
              <w:t>7</w:t>
            </w:r>
          </w:p>
        </w:tc>
      </w:tr>
      <w:tr w:rsidR="001501F3" w:rsidRPr="007053BC" w:rsidTr="000E1074">
        <w:trPr>
          <w:gridAfter w:val="1"/>
          <w:cnfStyle w:val="000000100000" w:firstRow="0" w:lastRow="0" w:firstColumn="0" w:lastColumn="0" w:oddVBand="0" w:evenVBand="0" w:oddHBand="1" w:evenHBand="0" w:firstRowFirstColumn="0" w:firstRowLastColumn="0" w:lastRowFirstColumn="0" w:lastRowLastColumn="0"/>
          <w:wAfter w:w="6" w:type="dxa"/>
          <w:trHeight w:val="255"/>
        </w:trPr>
        <w:tc>
          <w:tcPr>
            <w:tcW w:w="0" w:type="auto"/>
            <w:gridSpan w:val="7"/>
            <w:hideMark/>
          </w:tcPr>
          <w:p w:rsidR="001501F3" w:rsidRPr="007053BC" w:rsidRDefault="001501F3" w:rsidP="000E1074">
            <w:pPr>
              <w:pStyle w:val="BodyText"/>
              <w:spacing w:after="120"/>
            </w:pPr>
            <w:r w:rsidRPr="007053BC">
              <w:t>Additional comments</w:t>
            </w:r>
          </w:p>
        </w:tc>
        <w:tc>
          <w:tcPr>
            <w:tcW w:w="0" w:type="auto"/>
            <w:noWrap/>
            <w:hideMark/>
          </w:tcPr>
          <w:p w:rsidR="001501F3" w:rsidRPr="007053BC" w:rsidRDefault="001501F3" w:rsidP="000E1074">
            <w:pPr>
              <w:pStyle w:val="BodyText"/>
              <w:spacing w:after="120"/>
            </w:pPr>
            <w:r w:rsidRPr="007053BC">
              <w:t>1</w:t>
            </w:r>
          </w:p>
        </w:tc>
      </w:tr>
      <w:tr w:rsidR="001501F3" w:rsidRPr="007053BC" w:rsidTr="000E1074">
        <w:trPr>
          <w:gridAfter w:val="1"/>
          <w:cnfStyle w:val="000000010000" w:firstRow="0" w:lastRow="0" w:firstColumn="0" w:lastColumn="0" w:oddVBand="0" w:evenVBand="0" w:oddHBand="0" w:evenHBand="1" w:firstRowFirstColumn="0" w:firstRowLastColumn="0" w:lastRowFirstColumn="0" w:lastRowLastColumn="0"/>
          <w:wAfter w:w="6" w:type="dxa"/>
          <w:trHeight w:val="255"/>
        </w:trPr>
        <w:tc>
          <w:tcPr>
            <w:tcW w:w="0" w:type="auto"/>
            <w:gridSpan w:val="7"/>
            <w:noWrap/>
            <w:hideMark/>
          </w:tcPr>
          <w:p w:rsidR="001501F3" w:rsidRPr="007053BC" w:rsidRDefault="001501F3" w:rsidP="000E1074">
            <w:pPr>
              <w:pStyle w:val="BodyText"/>
              <w:spacing w:after="120"/>
              <w:rPr>
                <w:b/>
                <w:bCs/>
                <w:i/>
                <w:iCs/>
              </w:rPr>
            </w:pPr>
            <w:r w:rsidRPr="007053BC">
              <w:rPr>
                <w:b/>
                <w:bCs/>
                <w:i/>
                <w:iCs/>
              </w:rPr>
              <w:t>answered question</w:t>
            </w:r>
          </w:p>
        </w:tc>
        <w:tc>
          <w:tcPr>
            <w:tcW w:w="0" w:type="auto"/>
            <w:noWrap/>
            <w:hideMark/>
          </w:tcPr>
          <w:p w:rsidR="001501F3" w:rsidRPr="007053BC" w:rsidRDefault="001501F3" w:rsidP="000E1074">
            <w:pPr>
              <w:pStyle w:val="BodyText"/>
              <w:spacing w:after="120"/>
              <w:rPr>
                <w:b/>
                <w:bCs/>
              </w:rPr>
            </w:pPr>
            <w:r w:rsidRPr="007053BC">
              <w:rPr>
                <w:b/>
                <w:bCs/>
              </w:rPr>
              <w:t>7</w:t>
            </w:r>
          </w:p>
        </w:tc>
      </w:tr>
      <w:tr w:rsidR="001501F3" w:rsidRPr="007053BC" w:rsidTr="000E1074">
        <w:trPr>
          <w:gridAfter w:val="1"/>
          <w:cnfStyle w:val="000000100000" w:firstRow="0" w:lastRow="0" w:firstColumn="0" w:lastColumn="0" w:oddVBand="0" w:evenVBand="0" w:oddHBand="1" w:evenHBand="0" w:firstRowFirstColumn="0" w:firstRowLastColumn="0" w:lastRowFirstColumn="0" w:lastRowLastColumn="0"/>
          <w:wAfter w:w="6" w:type="dxa"/>
          <w:trHeight w:val="255"/>
        </w:trPr>
        <w:tc>
          <w:tcPr>
            <w:tcW w:w="0" w:type="auto"/>
            <w:gridSpan w:val="7"/>
            <w:noWrap/>
            <w:hideMark/>
          </w:tcPr>
          <w:p w:rsidR="001501F3" w:rsidRPr="007053BC" w:rsidRDefault="001501F3" w:rsidP="000E1074">
            <w:pPr>
              <w:pStyle w:val="BodyText"/>
              <w:spacing w:after="120"/>
              <w:rPr>
                <w:b/>
                <w:bCs/>
                <w:i/>
                <w:iCs/>
              </w:rPr>
            </w:pPr>
            <w:r w:rsidRPr="007053BC">
              <w:rPr>
                <w:b/>
                <w:bCs/>
                <w:i/>
                <w:iCs/>
              </w:rPr>
              <w:t>skipped question</w:t>
            </w:r>
          </w:p>
        </w:tc>
        <w:tc>
          <w:tcPr>
            <w:tcW w:w="0" w:type="auto"/>
            <w:noWrap/>
            <w:hideMark/>
          </w:tcPr>
          <w:p w:rsidR="001501F3" w:rsidRPr="007053BC" w:rsidRDefault="001501F3" w:rsidP="000E1074">
            <w:pPr>
              <w:pStyle w:val="BodyText"/>
              <w:spacing w:after="120"/>
              <w:rPr>
                <w:b/>
                <w:bCs/>
              </w:rPr>
            </w:pPr>
            <w:r w:rsidRPr="007053BC">
              <w:rPr>
                <w:b/>
                <w:bCs/>
              </w:rPr>
              <w:t>2</w:t>
            </w:r>
          </w:p>
        </w:tc>
      </w:tr>
      <w:tr w:rsidR="000E1074" w:rsidRPr="007053BC" w:rsidTr="000E1074">
        <w:trPr>
          <w:cnfStyle w:val="000000010000" w:firstRow="0" w:lastRow="0" w:firstColumn="0" w:lastColumn="0" w:oddVBand="0" w:evenVBand="0" w:oddHBand="0" w:evenHBand="1" w:firstRowFirstColumn="0" w:firstRowLastColumn="0" w:lastRowFirstColumn="0" w:lastRowLastColumn="0"/>
          <w:trHeight w:val="510"/>
        </w:trPr>
        <w:tc>
          <w:tcPr>
            <w:tcW w:w="8784" w:type="dxa"/>
            <w:gridSpan w:val="9"/>
            <w:shd w:val="clear" w:color="auto" w:fill="595959" w:themeFill="text1" w:themeFillTint="A6"/>
            <w:hideMark/>
          </w:tcPr>
          <w:p w:rsidR="000E1074" w:rsidRPr="007053BC" w:rsidRDefault="000E1074" w:rsidP="000E1074">
            <w:pPr>
              <w:spacing w:after="120"/>
              <w:rPr>
                <w:bCs/>
              </w:rPr>
            </w:pPr>
            <w:r w:rsidRPr="000E1074">
              <w:rPr>
                <w:b/>
                <w:bCs/>
                <w:color w:val="FFFFFF" w:themeColor="background1"/>
              </w:rPr>
              <w:t>Additional comments</w:t>
            </w:r>
          </w:p>
        </w:tc>
      </w:tr>
      <w:tr w:rsidR="000E1074" w:rsidRPr="007053BC" w:rsidTr="000E1074">
        <w:trPr>
          <w:cnfStyle w:val="000000100000" w:firstRow="0" w:lastRow="0" w:firstColumn="0" w:lastColumn="0" w:oddVBand="0" w:evenVBand="0" w:oddHBand="1" w:evenHBand="0" w:firstRowFirstColumn="0" w:firstRowLastColumn="0" w:lastRowFirstColumn="0" w:lastRowLastColumn="0"/>
          <w:trHeight w:val="255"/>
        </w:trPr>
        <w:tc>
          <w:tcPr>
            <w:tcW w:w="8784" w:type="dxa"/>
            <w:gridSpan w:val="9"/>
            <w:noWrap/>
            <w:hideMark/>
          </w:tcPr>
          <w:p w:rsidR="000E1074" w:rsidRPr="007053BC" w:rsidRDefault="000E1074" w:rsidP="000E1074">
            <w:pPr>
              <w:spacing w:after="120"/>
            </w:pPr>
            <w:r w:rsidRPr="007053BC">
              <w:t>The team at NOPTA are very professional and courteous</w:t>
            </w:r>
            <w:r w:rsidR="004B5BEC">
              <w:t xml:space="preserve">. </w:t>
            </w:r>
            <w:r w:rsidRPr="007053BC">
              <w:t>They provide timely advice on any query I raise.</w:t>
            </w:r>
          </w:p>
        </w:tc>
      </w:tr>
    </w:tbl>
    <w:p w:rsidR="001501F3" w:rsidRDefault="001501F3" w:rsidP="001501F3"/>
    <w:tbl>
      <w:tblPr>
        <w:tblStyle w:val="TableGrid"/>
        <w:tblW w:w="0" w:type="auto"/>
        <w:tblLook w:val="04A0" w:firstRow="1" w:lastRow="0" w:firstColumn="1" w:lastColumn="0" w:noHBand="0" w:noVBand="1"/>
      </w:tblPr>
      <w:tblGrid>
        <w:gridCol w:w="1275"/>
        <w:gridCol w:w="1610"/>
        <w:gridCol w:w="766"/>
        <w:gridCol w:w="998"/>
        <w:gridCol w:w="1684"/>
        <w:gridCol w:w="895"/>
        <w:gridCol w:w="937"/>
        <w:gridCol w:w="1087"/>
      </w:tblGrid>
      <w:tr w:rsidR="001501F3" w:rsidRPr="007053BC" w:rsidTr="001501F3">
        <w:trPr>
          <w:cnfStyle w:val="100000000000" w:firstRow="1" w:lastRow="0" w:firstColumn="0" w:lastColumn="0" w:oddVBand="0" w:evenVBand="0" w:oddHBand="0" w:evenHBand="0" w:firstRowFirstColumn="0" w:firstRowLastColumn="0" w:lastRowFirstColumn="0" w:lastRowLastColumn="0"/>
          <w:trHeight w:val="499"/>
        </w:trPr>
        <w:tc>
          <w:tcPr>
            <w:tcW w:w="9252" w:type="dxa"/>
            <w:gridSpan w:val="8"/>
            <w:hideMark/>
          </w:tcPr>
          <w:p w:rsidR="001501F3" w:rsidRPr="007053BC" w:rsidRDefault="001501F3" w:rsidP="000E1074">
            <w:pPr>
              <w:spacing w:after="120"/>
              <w:rPr>
                <w:bCs/>
              </w:rPr>
            </w:pPr>
            <w:r w:rsidRPr="007053BC">
              <w:rPr>
                <w:bCs/>
              </w:rPr>
              <w:t>9. NOPTA provides information in a timely manner.</w:t>
            </w:r>
          </w:p>
        </w:tc>
      </w:tr>
      <w:tr w:rsidR="001501F3" w:rsidRPr="007053BC" w:rsidTr="001501F3">
        <w:trPr>
          <w:cnfStyle w:val="000000100000" w:firstRow="0" w:lastRow="0" w:firstColumn="0" w:lastColumn="0" w:oddVBand="0" w:evenVBand="0" w:oddHBand="1" w:evenHBand="0" w:firstRowFirstColumn="0" w:firstRowLastColumn="0" w:lastRowFirstColumn="0" w:lastRowLastColumn="0"/>
          <w:trHeight w:val="600"/>
        </w:trPr>
        <w:tc>
          <w:tcPr>
            <w:tcW w:w="1275" w:type="dxa"/>
            <w:hideMark/>
          </w:tcPr>
          <w:p w:rsidR="001501F3" w:rsidRPr="007053BC" w:rsidRDefault="001501F3" w:rsidP="000E1074">
            <w:pPr>
              <w:pStyle w:val="BodyText"/>
              <w:spacing w:after="120"/>
              <w:rPr>
                <w:b/>
                <w:bCs/>
              </w:rPr>
            </w:pPr>
            <w:r w:rsidRPr="007053BC">
              <w:rPr>
                <w:b/>
                <w:bCs/>
              </w:rPr>
              <w:t>Answer Options</w:t>
            </w:r>
          </w:p>
        </w:tc>
        <w:tc>
          <w:tcPr>
            <w:tcW w:w="1610" w:type="dxa"/>
            <w:hideMark/>
          </w:tcPr>
          <w:p w:rsidR="001501F3" w:rsidRPr="007053BC" w:rsidRDefault="001501F3" w:rsidP="000E1074">
            <w:pPr>
              <w:pStyle w:val="BodyText"/>
              <w:spacing w:after="120"/>
              <w:rPr>
                <w:b/>
                <w:bCs/>
              </w:rPr>
            </w:pPr>
            <w:r w:rsidRPr="007053BC">
              <w:rPr>
                <w:b/>
                <w:bCs/>
              </w:rPr>
              <w:t>Strongly Agree</w:t>
            </w:r>
          </w:p>
        </w:tc>
        <w:tc>
          <w:tcPr>
            <w:tcW w:w="766" w:type="dxa"/>
            <w:hideMark/>
          </w:tcPr>
          <w:p w:rsidR="001501F3" w:rsidRPr="007053BC" w:rsidRDefault="001501F3" w:rsidP="000E1074">
            <w:pPr>
              <w:pStyle w:val="BodyText"/>
              <w:spacing w:after="120"/>
              <w:rPr>
                <w:b/>
                <w:bCs/>
              </w:rPr>
            </w:pPr>
            <w:r w:rsidRPr="007053BC">
              <w:rPr>
                <w:b/>
                <w:bCs/>
              </w:rPr>
              <w:t>Agree</w:t>
            </w:r>
          </w:p>
        </w:tc>
        <w:tc>
          <w:tcPr>
            <w:tcW w:w="998" w:type="dxa"/>
            <w:hideMark/>
          </w:tcPr>
          <w:p w:rsidR="001501F3" w:rsidRPr="007053BC" w:rsidRDefault="001501F3" w:rsidP="000E1074">
            <w:pPr>
              <w:pStyle w:val="BodyText"/>
              <w:spacing w:after="120"/>
              <w:rPr>
                <w:b/>
                <w:bCs/>
              </w:rPr>
            </w:pPr>
            <w:r w:rsidRPr="007053BC">
              <w:rPr>
                <w:b/>
                <w:bCs/>
              </w:rPr>
              <w:t>Disagree</w:t>
            </w:r>
          </w:p>
        </w:tc>
        <w:tc>
          <w:tcPr>
            <w:tcW w:w="1684" w:type="dxa"/>
            <w:hideMark/>
          </w:tcPr>
          <w:p w:rsidR="001501F3" w:rsidRPr="007053BC" w:rsidRDefault="001501F3" w:rsidP="000E1074">
            <w:pPr>
              <w:pStyle w:val="BodyText"/>
              <w:spacing w:after="120"/>
              <w:rPr>
                <w:b/>
                <w:bCs/>
              </w:rPr>
            </w:pPr>
            <w:r w:rsidRPr="007053BC">
              <w:rPr>
                <w:b/>
                <w:bCs/>
              </w:rPr>
              <w:t>Strongly Disagree</w:t>
            </w:r>
          </w:p>
        </w:tc>
        <w:tc>
          <w:tcPr>
            <w:tcW w:w="895" w:type="dxa"/>
            <w:hideMark/>
          </w:tcPr>
          <w:p w:rsidR="001501F3" w:rsidRPr="007053BC" w:rsidRDefault="001501F3" w:rsidP="000E1074">
            <w:pPr>
              <w:pStyle w:val="BodyText"/>
              <w:spacing w:after="120"/>
              <w:rPr>
                <w:b/>
                <w:bCs/>
              </w:rPr>
            </w:pPr>
            <w:r w:rsidRPr="007053BC">
              <w:rPr>
                <w:b/>
                <w:bCs/>
              </w:rPr>
              <w:t>N/A</w:t>
            </w:r>
          </w:p>
        </w:tc>
        <w:tc>
          <w:tcPr>
            <w:tcW w:w="937" w:type="dxa"/>
            <w:hideMark/>
          </w:tcPr>
          <w:p w:rsidR="001501F3" w:rsidRPr="007053BC" w:rsidRDefault="001501F3" w:rsidP="000E1074">
            <w:pPr>
              <w:pStyle w:val="BodyText"/>
              <w:spacing w:after="120"/>
              <w:rPr>
                <w:b/>
                <w:bCs/>
              </w:rPr>
            </w:pPr>
            <w:r w:rsidRPr="007053BC">
              <w:rPr>
                <w:b/>
                <w:bCs/>
              </w:rPr>
              <w:t>Rating Average</w:t>
            </w:r>
          </w:p>
        </w:tc>
        <w:tc>
          <w:tcPr>
            <w:tcW w:w="1087" w:type="dxa"/>
            <w:hideMark/>
          </w:tcPr>
          <w:p w:rsidR="001501F3" w:rsidRPr="007053BC" w:rsidRDefault="001501F3" w:rsidP="000E1074">
            <w:pPr>
              <w:pStyle w:val="BodyText"/>
              <w:spacing w:after="120"/>
              <w:rPr>
                <w:b/>
                <w:bCs/>
              </w:rPr>
            </w:pPr>
            <w:r w:rsidRPr="007053BC">
              <w:rPr>
                <w:b/>
                <w:bCs/>
              </w:rPr>
              <w:t>Response Count</w:t>
            </w:r>
          </w:p>
        </w:tc>
      </w:tr>
      <w:tr w:rsidR="001501F3" w:rsidRPr="007053BC" w:rsidTr="001501F3">
        <w:trPr>
          <w:cnfStyle w:val="000000010000" w:firstRow="0" w:lastRow="0" w:firstColumn="0" w:lastColumn="0" w:oddVBand="0" w:evenVBand="0" w:oddHBand="0" w:evenHBand="1" w:firstRowFirstColumn="0" w:firstRowLastColumn="0" w:lastRowFirstColumn="0" w:lastRowLastColumn="0"/>
          <w:trHeight w:val="255"/>
        </w:trPr>
        <w:tc>
          <w:tcPr>
            <w:tcW w:w="1275" w:type="dxa"/>
            <w:hideMark/>
          </w:tcPr>
          <w:p w:rsidR="001501F3" w:rsidRPr="007053BC" w:rsidRDefault="001501F3" w:rsidP="000E1074">
            <w:pPr>
              <w:spacing w:after="120"/>
            </w:pPr>
            <w:r w:rsidRPr="007053BC">
              <w:t>Responses</w:t>
            </w:r>
          </w:p>
        </w:tc>
        <w:tc>
          <w:tcPr>
            <w:tcW w:w="1610" w:type="dxa"/>
            <w:noWrap/>
            <w:hideMark/>
          </w:tcPr>
          <w:p w:rsidR="001501F3" w:rsidRPr="007053BC" w:rsidRDefault="001501F3" w:rsidP="000E1074">
            <w:pPr>
              <w:spacing w:after="120"/>
            </w:pPr>
            <w:r w:rsidRPr="007053BC">
              <w:t>2</w:t>
            </w:r>
          </w:p>
        </w:tc>
        <w:tc>
          <w:tcPr>
            <w:tcW w:w="766" w:type="dxa"/>
            <w:noWrap/>
            <w:hideMark/>
          </w:tcPr>
          <w:p w:rsidR="001501F3" w:rsidRPr="007053BC" w:rsidRDefault="001501F3" w:rsidP="000E1074">
            <w:pPr>
              <w:spacing w:after="120"/>
            </w:pPr>
            <w:r w:rsidRPr="007053BC">
              <w:t>5</w:t>
            </w:r>
          </w:p>
        </w:tc>
        <w:tc>
          <w:tcPr>
            <w:tcW w:w="998" w:type="dxa"/>
            <w:noWrap/>
            <w:hideMark/>
          </w:tcPr>
          <w:p w:rsidR="001501F3" w:rsidRPr="007053BC" w:rsidRDefault="001501F3" w:rsidP="000E1074">
            <w:pPr>
              <w:spacing w:after="120"/>
            </w:pPr>
            <w:r w:rsidRPr="007053BC">
              <w:t>0</w:t>
            </w:r>
          </w:p>
        </w:tc>
        <w:tc>
          <w:tcPr>
            <w:tcW w:w="1684" w:type="dxa"/>
            <w:noWrap/>
            <w:hideMark/>
          </w:tcPr>
          <w:p w:rsidR="001501F3" w:rsidRPr="007053BC" w:rsidRDefault="001501F3" w:rsidP="000E1074">
            <w:pPr>
              <w:spacing w:after="120"/>
            </w:pPr>
            <w:r w:rsidRPr="007053BC">
              <w:t>0</w:t>
            </w:r>
          </w:p>
        </w:tc>
        <w:tc>
          <w:tcPr>
            <w:tcW w:w="895" w:type="dxa"/>
            <w:noWrap/>
            <w:hideMark/>
          </w:tcPr>
          <w:p w:rsidR="001501F3" w:rsidRPr="007053BC" w:rsidRDefault="001501F3" w:rsidP="000E1074">
            <w:pPr>
              <w:spacing w:after="120"/>
            </w:pPr>
            <w:r w:rsidRPr="007053BC">
              <w:t>0</w:t>
            </w:r>
          </w:p>
        </w:tc>
        <w:tc>
          <w:tcPr>
            <w:tcW w:w="937" w:type="dxa"/>
            <w:noWrap/>
            <w:hideMark/>
          </w:tcPr>
          <w:p w:rsidR="001501F3" w:rsidRPr="007053BC" w:rsidRDefault="001501F3" w:rsidP="000E1074">
            <w:pPr>
              <w:spacing w:after="120"/>
            </w:pPr>
            <w:r w:rsidRPr="007053BC">
              <w:t>3.29</w:t>
            </w:r>
          </w:p>
        </w:tc>
        <w:tc>
          <w:tcPr>
            <w:tcW w:w="1087" w:type="dxa"/>
            <w:noWrap/>
            <w:hideMark/>
          </w:tcPr>
          <w:p w:rsidR="001501F3" w:rsidRPr="007053BC" w:rsidRDefault="001501F3" w:rsidP="000E1074">
            <w:pPr>
              <w:spacing w:after="120"/>
            </w:pPr>
            <w:r w:rsidRPr="007053BC">
              <w:t>7</w:t>
            </w:r>
          </w:p>
        </w:tc>
      </w:tr>
      <w:tr w:rsidR="001501F3" w:rsidRPr="007053BC" w:rsidTr="001501F3">
        <w:trPr>
          <w:cnfStyle w:val="000000100000" w:firstRow="0" w:lastRow="0" w:firstColumn="0" w:lastColumn="0" w:oddVBand="0" w:evenVBand="0" w:oddHBand="1" w:evenHBand="0" w:firstRowFirstColumn="0" w:firstRowLastColumn="0" w:lastRowFirstColumn="0" w:lastRowLastColumn="0"/>
          <w:trHeight w:val="255"/>
        </w:trPr>
        <w:tc>
          <w:tcPr>
            <w:tcW w:w="8165" w:type="dxa"/>
            <w:gridSpan w:val="7"/>
            <w:hideMark/>
          </w:tcPr>
          <w:p w:rsidR="001501F3" w:rsidRPr="007053BC" w:rsidRDefault="001501F3" w:rsidP="000E1074">
            <w:pPr>
              <w:spacing w:after="120"/>
            </w:pPr>
            <w:r w:rsidRPr="007053BC">
              <w:t>Additional Comments</w:t>
            </w:r>
          </w:p>
        </w:tc>
        <w:tc>
          <w:tcPr>
            <w:tcW w:w="1087" w:type="dxa"/>
            <w:noWrap/>
            <w:hideMark/>
          </w:tcPr>
          <w:p w:rsidR="001501F3" w:rsidRPr="007053BC" w:rsidRDefault="001501F3" w:rsidP="000E1074">
            <w:pPr>
              <w:spacing w:after="120"/>
            </w:pPr>
            <w:r w:rsidRPr="007053BC">
              <w:t>0</w:t>
            </w:r>
          </w:p>
        </w:tc>
      </w:tr>
      <w:tr w:rsidR="001501F3" w:rsidRPr="007053BC" w:rsidTr="001501F3">
        <w:trPr>
          <w:cnfStyle w:val="000000010000" w:firstRow="0" w:lastRow="0" w:firstColumn="0" w:lastColumn="0" w:oddVBand="0" w:evenVBand="0" w:oddHBand="0" w:evenHBand="1" w:firstRowFirstColumn="0" w:firstRowLastColumn="0" w:lastRowFirstColumn="0" w:lastRowLastColumn="0"/>
          <w:trHeight w:val="255"/>
        </w:trPr>
        <w:tc>
          <w:tcPr>
            <w:tcW w:w="8165" w:type="dxa"/>
            <w:gridSpan w:val="7"/>
            <w:noWrap/>
            <w:hideMark/>
          </w:tcPr>
          <w:p w:rsidR="001501F3" w:rsidRPr="007053BC" w:rsidRDefault="001501F3" w:rsidP="000E1074">
            <w:pPr>
              <w:spacing w:after="120"/>
              <w:rPr>
                <w:b/>
                <w:bCs/>
                <w:i/>
                <w:iCs/>
              </w:rPr>
            </w:pPr>
            <w:r w:rsidRPr="007053BC">
              <w:rPr>
                <w:b/>
                <w:bCs/>
                <w:i/>
                <w:iCs/>
              </w:rPr>
              <w:t>answered question</w:t>
            </w:r>
          </w:p>
        </w:tc>
        <w:tc>
          <w:tcPr>
            <w:tcW w:w="1087" w:type="dxa"/>
            <w:noWrap/>
            <w:hideMark/>
          </w:tcPr>
          <w:p w:rsidR="001501F3" w:rsidRPr="007053BC" w:rsidRDefault="001501F3" w:rsidP="000E1074">
            <w:pPr>
              <w:spacing w:after="120"/>
              <w:rPr>
                <w:b/>
                <w:bCs/>
              </w:rPr>
            </w:pPr>
            <w:r w:rsidRPr="007053BC">
              <w:rPr>
                <w:b/>
                <w:bCs/>
              </w:rPr>
              <w:t>7</w:t>
            </w:r>
          </w:p>
        </w:tc>
      </w:tr>
      <w:tr w:rsidR="001501F3" w:rsidRPr="007053BC" w:rsidTr="001501F3">
        <w:trPr>
          <w:cnfStyle w:val="000000100000" w:firstRow="0" w:lastRow="0" w:firstColumn="0" w:lastColumn="0" w:oddVBand="0" w:evenVBand="0" w:oddHBand="1" w:evenHBand="0" w:firstRowFirstColumn="0" w:firstRowLastColumn="0" w:lastRowFirstColumn="0" w:lastRowLastColumn="0"/>
          <w:trHeight w:val="255"/>
        </w:trPr>
        <w:tc>
          <w:tcPr>
            <w:tcW w:w="8165" w:type="dxa"/>
            <w:gridSpan w:val="7"/>
            <w:noWrap/>
            <w:hideMark/>
          </w:tcPr>
          <w:p w:rsidR="001501F3" w:rsidRPr="007053BC" w:rsidRDefault="001501F3" w:rsidP="000E1074">
            <w:pPr>
              <w:spacing w:after="120"/>
              <w:rPr>
                <w:b/>
                <w:bCs/>
                <w:i/>
                <w:iCs/>
              </w:rPr>
            </w:pPr>
            <w:r w:rsidRPr="007053BC">
              <w:rPr>
                <w:b/>
                <w:bCs/>
                <w:i/>
                <w:iCs/>
              </w:rPr>
              <w:t>skipped question</w:t>
            </w:r>
          </w:p>
        </w:tc>
        <w:tc>
          <w:tcPr>
            <w:tcW w:w="1087" w:type="dxa"/>
            <w:noWrap/>
            <w:hideMark/>
          </w:tcPr>
          <w:p w:rsidR="001501F3" w:rsidRPr="007053BC" w:rsidRDefault="001501F3" w:rsidP="000E1074">
            <w:pPr>
              <w:spacing w:after="120"/>
              <w:rPr>
                <w:b/>
                <w:bCs/>
              </w:rPr>
            </w:pPr>
            <w:r w:rsidRPr="007053BC">
              <w:rPr>
                <w:b/>
                <w:bCs/>
              </w:rPr>
              <w:t>2</w:t>
            </w:r>
          </w:p>
        </w:tc>
      </w:tr>
    </w:tbl>
    <w:p w:rsidR="001501F3" w:rsidRDefault="001501F3" w:rsidP="001501F3"/>
    <w:tbl>
      <w:tblPr>
        <w:tblStyle w:val="TableGrid"/>
        <w:tblW w:w="0" w:type="auto"/>
        <w:tblLook w:val="04A0" w:firstRow="1" w:lastRow="0" w:firstColumn="1" w:lastColumn="0" w:noHBand="0" w:noVBand="1"/>
      </w:tblPr>
      <w:tblGrid>
        <w:gridCol w:w="1517"/>
        <w:gridCol w:w="1411"/>
        <w:gridCol w:w="737"/>
        <w:gridCol w:w="987"/>
        <w:gridCol w:w="1620"/>
        <w:gridCol w:w="1432"/>
        <w:gridCol w:w="1549"/>
      </w:tblGrid>
      <w:tr w:rsidR="001501F3" w:rsidRPr="001C1BA3" w:rsidTr="001501F3">
        <w:trPr>
          <w:cnfStyle w:val="100000000000" w:firstRow="1" w:lastRow="0" w:firstColumn="0" w:lastColumn="0" w:oddVBand="0" w:evenVBand="0" w:oddHBand="0" w:evenHBand="0" w:firstRowFirstColumn="0" w:firstRowLastColumn="0" w:lastRowFirstColumn="0" w:lastRowLastColumn="0"/>
          <w:trHeight w:val="499"/>
        </w:trPr>
        <w:tc>
          <w:tcPr>
            <w:tcW w:w="0" w:type="auto"/>
            <w:gridSpan w:val="7"/>
            <w:hideMark/>
          </w:tcPr>
          <w:p w:rsidR="001501F3" w:rsidRPr="001C1BA3" w:rsidRDefault="001501F3" w:rsidP="000E1074">
            <w:pPr>
              <w:spacing w:after="120"/>
              <w:rPr>
                <w:bCs/>
              </w:rPr>
            </w:pPr>
            <w:r w:rsidRPr="001C1BA3">
              <w:rPr>
                <w:bCs/>
              </w:rPr>
              <w:t>10. The information that NOPTA provides is accurate.</w:t>
            </w:r>
          </w:p>
        </w:tc>
      </w:tr>
      <w:tr w:rsidR="001501F3" w:rsidRPr="001C1BA3" w:rsidTr="001501F3">
        <w:trPr>
          <w:cnfStyle w:val="000000100000" w:firstRow="0" w:lastRow="0" w:firstColumn="0" w:lastColumn="0" w:oddVBand="0" w:evenVBand="0" w:oddHBand="1" w:evenHBand="0" w:firstRowFirstColumn="0" w:firstRowLastColumn="0" w:lastRowFirstColumn="0" w:lastRowLastColumn="0"/>
          <w:trHeight w:val="600"/>
        </w:trPr>
        <w:tc>
          <w:tcPr>
            <w:tcW w:w="0" w:type="auto"/>
            <w:hideMark/>
          </w:tcPr>
          <w:p w:rsidR="001501F3" w:rsidRPr="001C1BA3" w:rsidRDefault="001501F3" w:rsidP="000E1074">
            <w:pPr>
              <w:spacing w:after="120"/>
              <w:rPr>
                <w:b/>
                <w:bCs/>
              </w:rPr>
            </w:pPr>
            <w:r w:rsidRPr="001C1BA3">
              <w:rPr>
                <w:b/>
                <w:bCs/>
              </w:rPr>
              <w:t>Answer Options</w:t>
            </w:r>
          </w:p>
        </w:tc>
        <w:tc>
          <w:tcPr>
            <w:tcW w:w="0" w:type="auto"/>
            <w:hideMark/>
          </w:tcPr>
          <w:p w:rsidR="001501F3" w:rsidRPr="001C1BA3" w:rsidRDefault="001501F3" w:rsidP="000E1074">
            <w:pPr>
              <w:spacing w:after="120"/>
              <w:rPr>
                <w:b/>
                <w:bCs/>
              </w:rPr>
            </w:pPr>
            <w:r w:rsidRPr="001C1BA3">
              <w:rPr>
                <w:b/>
                <w:bCs/>
              </w:rPr>
              <w:t>Strongly Agree</w:t>
            </w:r>
          </w:p>
        </w:tc>
        <w:tc>
          <w:tcPr>
            <w:tcW w:w="0" w:type="auto"/>
            <w:hideMark/>
          </w:tcPr>
          <w:p w:rsidR="001501F3" w:rsidRPr="001C1BA3" w:rsidRDefault="001501F3" w:rsidP="000E1074">
            <w:pPr>
              <w:spacing w:after="120"/>
              <w:rPr>
                <w:b/>
                <w:bCs/>
              </w:rPr>
            </w:pPr>
            <w:r w:rsidRPr="001C1BA3">
              <w:rPr>
                <w:b/>
                <w:bCs/>
              </w:rPr>
              <w:t>Agree</w:t>
            </w:r>
          </w:p>
        </w:tc>
        <w:tc>
          <w:tcPr>
            <w:tcW w:w="0" w:type="auto"/>
            <w:hideMark/>
          </w:tcPr>
          <w:p w:rsidR="001501F3" w:rsidRPr="001C1BA3" w:rsidRDefault="001501F3" w:rsidP="000E1074">
            <w:pPr>
              <w:spacing w:after="120"/>
              <w:rPr>
                <w:b/>
                <w:bCs/>
              </w:rPr>
            </w:pPr>
            <w:r w:rsidRPr="001C1BA3">
              <w:rPr>
                <w:b/>
                <w:bCs/>
              </w:rPr>
              <w:t>Disagree</w:t>
            </w:r>
          </w:p>
        </w:tc>
        <w:tc>
          <w:tcPr>
            <w:tcW w:w="0" w:type="auto"/>
            <w:hideMark/>
          </w:tcPr>
          <w:p w:rsidR="001501F3" w:rsidRPr="001C1BA3" w:rsidRDefault="001501F3" w:rsidP="000E1074">
            <w:pPr>
              <w:spacing w:after="120"/>
              <w:rPr>
                <w:b/>
                <w:bCs/>
              </w:rPr>
            </w:pPr>
            <w:r w:rsidRPr="001C1BA3">
              <w:rPr>
                <w:b/>
                <w:bCs/>
              </w:rPr>
              <w:t>Strongly Disagree</w:t>
            </w:r>
          </w:p>
        </w:tc>
        <w:tc>
          <w:tcPr>
            <w:tcW w:w="0" w:type="auto"/>
            <w:hideMark/>
          </w:tcPr>
          <w:p w:rsidR="001501F3" w:rsidRPr="001C1BA3" w:rsidRDefault="001501F3" w:rsidP="000E1074">
            <w:pPr>
              <w:spacing w:after="120"/>
              <w:rPr>
                <w:b/>
                <w:bCs/>
              </w:rPr>
            </w:pPr>
            <w:r w:rsidRPr="001C1BA3">
              <w:rPr>
                <w:b/>
                <w:bCs/>
              </w:rPr>
              <w:t>Rating Average</w:t>
            </w:r>
          </w:p>
        </w:tc>
        <w:tc>
          <w:tcPr>
            <w:tcW w:w="0" w:type="auto"/>
            <w:hideMark/>
          </w:tcPr>
          <w:p w:rsidR="001501F3" w:rsidRPr="001C1BA3" w:rsidRDefault="001501F3" w:rsidP="000E1074">
            <w:pPr>
              <w:spacing w:after="120"/>
              <w:rPr>
                <w:b/>
                <w:bCs/>
              </w:rPr>
            </w:pPr>
            <w:r w:rsidRPr="001C1BA3">
              <w:rPr>
                <w:b/>
                <w:bCs/>
              </w:rPr>
              <w:t>Response Count</w:t>
            </w:r>
          </w:p>
        </w:tc>
      </w:tr>
      <w:tr w:rsidR="001501F3" w:rsidRPr="001C1BA3" w:rsidTr="001501F3">
        <w:trPr>
          <w:cnfStyle w:val="000000010000" w:firstRow="0" w:lastRow="0" w:firstColumn="0" w:lastColumn="0" w:oddVBand="0" w:evenVBand="0" w:oddHBand="0" w:evenHBand="1" w:firstRowFirstColumn="0" w:firstRowLastColumn="0" w:lastRowFirstColumn="0" w:lastRowLastColumn="0"/>
          <w:trHeight w:val="255"/>
        </w:trPr>
        <w:tc>
          <w:tcPr>
            <w:tcW w:w="0" w:type="auto"/>
            <w:hideMark/>
          </w:tcPr>
          <w:p w:rsidR="001501F3" w:rsidRPr="001C1BA3" w:rsidRDefault="001501F3" w:rsidP="000E1074">
            <w:pPr>
              <w:spacing w:after="120"/>
            </w:pPr>
            <w:r w:rsidRPr="001C1BA3">
              <w:t>Responses</w:t>
            </w:r>
          </w:p>
        </w:tc>
        <w:tc>
          <w:tcPr>
            <w:tcW w:w="0" w:type="auto"/>
            <w:noWrap/>
            <w:hideMark/>
          </w:tcPr>
          <w:p w:rsidR="001501F3" w:rsidRPr="001C1BA3" w:rsidRDefault="001501F3" w:rsidP="000E1074">
            <w:pPr>
              <w:spacing w:after="120"/>
            </w:pPr>
            <w:r w:rsidRPr="001C1BA3">
              <w:t>2</w:t>
            </w:r>
          </w:p>
        </w:tc>
        <w:tc>
          <w:tcPr>
            <w:tcW w:w="0" w:type="auto"/>
            <w:noWrap/>
            <w:hideMark/>
          </w:tcPr>
          <w:p w:rsidR="001501F3" w:rsidRPr="001C1BA3" w:rsidRDefault="001501F3" w:rsidP="000E1074">
            <w:pPr>
              <w:spacing w:after="120"/>
            </w:pPr>
            <w:r w:rsidRPr="001C1BA3">
              <w:t>5</w:t>
            </w:r>
          </w:p>
        </w:tc>
        <w:tc>
          <w:tcPr>
            <w:tcW w:w="0" w:type="auto"/>
            <w:noWrap/>
            <w:hideMark/>
          </w:tcPr>
          <w:p w:rsidR="001501F3" w:rsidRPr="001C1BA3" w:rsidRDefault="001501F3" w:rsidP="000E1074">
            <w:pPr>
              <w:spacing w:after="120"/>
            </w:pPr>
            <w:r w:rsidRPr="001C1BA3">
              <w:t>0</w:t>
            </w:r>
          </w:p>
        </w:tc>
        <w:tc>
          <w:tcPr>
            <w:tcW w:w="0" w:type="auto"/>
            <w:noWrap/>
            <w:hideMark/>
          </w:tcPr>
          <w:p w:rsidR="001501F3" w:rsidRPr="001C1BA3" w:rsidRDefault="001501F3" w:rsidP="000E1074">
            <w:pPr>
              <w:spacing w:after="120"/>
            </w:pPr>
            <w:r w:rsidRPr="001C1BA3">
              <w:t>0</w:t>
            </w:r>
          </w:p>
        </w:tc>
        <w:tc>
          <w:tcPr>
            <w:tcW w:w="0" w:type="auto"/>
            <w:noWrap/>
            <w:hideMark/>
          </w:tcPr>
          <w:p w:rsidR="001501F3" w:rsidRPr="001C1BA3" w:rsidRDefault="001501F3" w:rsidP="000E1074">
            <w:pPr>
              <w:spacing w:after="120"/>
            </w:pPr>
            <w:r w:rsidRPr="001C1BA3">
              <w:t>3.29</w:t>
            </w:r>
          </w:p>
        </w:tc>
        <w:tc>
          <w:tcPr>
            <w:tcW w:w="0" w:type="auto"/>
            <w:noWrap/>
            <w:hideMark/>
          </w:tcPr>
          <w:p w:rsidR="001501F3" w:rsidRPr="001C1BA3" w:rsidRDefault="001501F3" w:rsidP="000E1074">
            <w:pPr>
              <w:spacing w:after="120"/>
            </w:pPr>
            <w:r w:rsidRPr="001C1BA3">
              <w:t>7</w:t>
            </w:r>
          </w:p>
        </w:tc>
      </w:tr>
      <w:tr w:rsidR="001501F3" w:rsidRPr="001C1BA3" w:rsidTr="001501F3">
        <w:trPr>
          <w:cnfStyle w:val="000000100000" w:firstRow="0" w:lastRow="0" w:firstColumn="0" w:lastColumn="0" w:oddVBand="0" w:evenVBand="0" w:oddHBand="1" w:evenHBand="0" w:firstRowFirstColumn="0" w:firstRowLastColumn="0" w:lastRowFirstColumn="0" w:lastRowLastColumn="0"/>
          <w:trHeight w:val="255"/>
        </w:trPr>
        <w:tc>
          <w:tcPr>
            <w:tcW w:w="0" w:type="auto"/>
            <w:gridSpan w:val="6"/>
            <w:hideMark/>
          </w:tcPr>
          <w:p w:rsidR="001501F3" w:rsidRPr="001C1BA3" w:rsidRDefault="001501F3" w:rsidP="000E1074">
            <w:pPr>
              <w:spacing w:after="120"/>
            </w:pPr>
            <w:r w:rsidRPr="001C1BA3">
              <w:t>Additional Comments</w:t>
            </w:r>
          </w:p>
        </w:tc>
        <w:tc>
          <w:tcPr>
            <w:tcW w:w="0" w:type="auto"/>
            <w:noWrap/>
            <w:hideMark/>
          </w:tcPr>
          <w:p w:rsidR="001501F3" w:rsidRPr="001C1BA3" w:rsidRDefault="001501F3" w:rsidP="000E1074">
            <w:pPr>
              <w:spacing w:after="120"/>
            </w:pPr>
            <w:r w:rsidRPr="001C1BA3">
              <w:t>0</w:t>
            </w:r>
          </w:p>
        </w:tc>
      </w:tr>
      <w:tr w:rsidR="001501F3" w:rsidRPr="001C1BA3" w:rsidTr="001501F3">
        <w:trPr>
          <w:cnfStyle w:val="000000010000" w:firstRow="0" w:lastRow="0" w:firstColumn="0" w:lastColumn="0" w:oddVBand="0" w:evenVBand="0" w:oddHBand="0" w:evenHBand="1" w:firstRowFirstColumn="0" w:firstRowLastColumn="0" w:lastRowFirstColumn="0" w:lastRowLastColumn="0"/>
          <w:trHeight w:val="255"/>
        </w:trPr>
        <w:tc>
          <w:tcPr>
            <w:tcW w:w="0" w:type="auto"/>
            <w:gridSpan w:val="6"/>
            <w:noWrap/>
            <w:hideMark/>
          </w:tcPr>
          <w:p w:rsidR="001501F3" w:rsidRPr="001C1BA3" w:rsidRDefault="001501F3" w:rsidP="000E1074">
            <w:pPr>
              <w:spacing w:after="120"/>
              <w:rPr>
                <w:b/>
                <w:bCs/>
                <w:i/>
                <w:iCs/>
              </w:rPr>
            </w:pPr>
            <w:r w:rsidRPr="001C1BA3">
              <w:rPr>
                <w:b/>
                <w:bCs/>
                <w:i/>
                <w:iCs/>
              </w:rPr>
              <w:lastRenderedPageBreak/>
              <w:t>answered question</w:t>
            </w:r>
          </w:p>
        </w:tc>
        <w:tc>
          <w:tcPr>
            <w:tcW w:w="0" w:type="auto"/>
            <w:noWrap/>
            <w:hideMark/>
          </w:tcPr>
          <w:p w:rsidR="001501F3" w:rsidRPr="001C1BA3" w:rsidRDefault="001501F3" w:rsidP="000E1074">
            <w:pPr>
              <w:spacing w:after="120"/>
              <w:rPr>
                <w:b/>
                <w:bCs/>
              </w:rPr>
            </w:pPr>
            <w:r w:rsidRPr="001C1BA3">
              <w:rPr>
                <w:b/>
                <w:bCs/>
              </w:rPr>
              <w:t>7</w:t>
            </w:r>
          </w:p>
        </w:tc>
      </w:tr>
      <w:tr w:rsidR="001501F3" w:rsidRPr="001C1BA3" w:rsidTr="001501F3">
        <w:trPr>
          <w:cnfStyle w:val="000000100000" w:firstRow="0" w:lastRow="0" w:firstColumn="0" w:lastColumn="0" w:oddVBand="0" w:evenVBand="0" w:oddHBand="1" w:evenHBand="0" w:firstRowFirstColumn="0" w:firstRowLastColumn="0" w:lastRowFirstColumn="0" w:lastRowLastColumn="0"/>
          <w:trHeight w:val="255"/>
        </w:trPr>
        <w:tc>
          <w:tcPr>
            <w:tcW w:w="0" w:type="auto"/>
            <w:gridSpan w:val="6"/>
            <w:noWrap/>
            <w:hideMark/>
          </w:tcPr>
          <w:p w:rsidR="001501F3" w:rsidRPr="001C1BA3" w:rsidRDefault="001501F3" w:rsidP="000E1074">
            <w:pPr>
              <w:spacing w:after="120"/>
              <w:rPr>
                <w:b/>
                <w:bCs/>
                <w:i/>
                <w:iCs/>
              </w:rPr>
            </w:pPr>
            <w:r w:rsidRPr="001C1BA3">
              <w:rPr>
                <w:b/>
                <w:bCs/>
                <w:i/>
                <w:iCs/>
              </w:rPr>
              <w:t>skipped question</w:t>
            </w:r>
          </w:p>
        </w:tc>
        <w:tc>
          <w:tcPr>
            <w:tcW w:w="0" w:type="auto"/>
            <w:noWrap/>
            <w:hideMark/>
          </w:tcPr>
          <w:p w:rsidR="001501F3" w:rsidRPr="001C1BA3" w:rsidRDefault="001501F3" w:rsidP="000E1074">
            <w:pPr>
              <w:spacing w:after="120"/>
              <w:rPr>
                <w:b/>
                <w:bCs/>
              </w:rPr>
            </w:pPr>
            <w:r w:rsidRPr="001C1BA3">
              <w:rPr>
                <w:b/>
                <w:bCs/>
              </w:rPr>
              <w:t>2</w:t>
            </w:r>
          </w:p>
        </w:tc>
      </w:tr>
    </w:tbl>
    <w:p w:rsidR="001501F3" w:rsidRDefault="001501F3" w:rsidP="00E42D56">
      <w:pPr>
        <w:pStyle w:val="Heading30"/>
      </w:pPr>
      <w:bookmarkStart w:id="167" w:name="_Toc423426818"/>
      <w:bookmarkStart w:id="168" w:name="_Toc430102227"/>
      <w:r>
        <w:t>Regulatory Improvement</w:t>
      </w:r>
      <w:bookmarkEnd w:id="167"/>
      <w:bookmarkEnd w:id="168"/>
    </w:p>
    <w:tbl>
      <w:tblPr>
        <w:tblStyle w:val="TableGrid"/>
        <w:tblW w:w="8784" w:type="dxa"/>
        <w:tblLook w:val="04A0" w:firstRow="1" w:lastRow="0" w:firstColumn="1" w:lastColumn="0" w:noHBand="0" w:noVBand="1"/>
      </w:tblPr>
      <w:tblGrid>
        <w:gridCol w:w="1515"/>
        <w:gridCol w:w="1262"/>
        <w:gridCol w:w="737"/>
        <w:gridCol w:w="987"/>
        <w:gridCol w:w="1272"/>
        <w:gridCol w:w="536"/>
        <w:gridCol w:w="1167"/>
        <w:gridCol w:w="1304"/>
        <w:gridCol w:w="6"/>
      </w:tblGrid>
      <w:tr w:rsidR="001501F3" w:rsidRPr="001C1BA3" w:rsidTr="000E1074">
        <w:trPr>
          <w:gridAfter w:val="1"/>
          <w:cnfStyle w:val="100000000000" w:firstRow="1" w:lastRow="0" w:firstColumn="0" w:lastColumn="0" w:oddVBand="0" w:evenVBand="0" w:oddHBand="0" w:evenHBand="0" w:firstRowFirstColumn="0" w:firstRowLastColumn="0" w:lastRowFirstColumn="0" w:lastRowLastColumn="0"/>
          <w:wAfter w:w="6" w:type="dxa"/>
          <w:trHeight w:val="499"/>
        </w:trPr>
        <w:tc>
          <w:tcPr>
            <w:tcW w:w="0" w:type="auto"/>
            <w:gridSpan w:val="8"/>
            <w:hideMark/>
          </w:tcPr>
          <w:p w:rsidR="001501F3" w:rsidRPr="001C1BA3" w:rsidRDefault="001501F3" w:rsidP="000E1074">
            <w:pPr>
              <w:spacing w:after="120"/>
              <w:rPr>
                <w:bCs/>
              </w:rPr>
            </w:pPr>
            <w:r w:rsidRPr="001C1BA3">
              <w:rPr>
                <w:bCs/>
              </w:rPr>
              <w:t>11. NOPTA provides a single point of entry for titles-related government services.</w:t>
            </w:r>
          </w:p>
        </w:tc>
      </w:tr>
      <w:tr w:rsidR="001501F3" w:rsidRPr="001C1BA3" w:rsidTr="000E1074">
        <w:trPr>
          <w:gridAfter w:val="1"/>
          <w:cnfStyle w:val="000000100000" w:firstRow="0" w:lastRow="0" w:firstColumn="0" w:lastColumn="0" w:oddVBand="0" w:evenVBand="0" w:oddHBand="1" w:evenHBand="0" w:firstRowFirstColumn="0" w:firstRowLastColumn="0" w:lastRowFirstColumn="0" w:lastRowLastColumn="0"/>
          <w:wAfter w:w="6" w:type="dxa"/>
          <w:trHeight w:val="600"/>
        </w:trPr>
        <w:tc>
          <w:tcPr>
            <w:tcW w:w="0" w:type="auto"/>
            <w:hideMark/>
          </w:tcPr>
          <w:p w:rsidR="001501F3" w:rsidRPr="001C1BA3" w:rsidRDefault="001501F3" w:rsidP="000E1074">
            <w:pPr>
              <w:spacing w:after="120"/>
              <w:rPr>
                <w:b/>
                <w:bCs/>
              </w:rPr>
            </w:pPr>
            <w:r w:rsidRPr="001C1BA3">
              <w:rPr>
                <w:b/>
                <w:bCs/>
              </w:rPr>
              <w:t>Answer Options</w:t>
            </w:r>
          </w:p>
        </w:tc>
        <w:tc>
          <w:tcPr>
            <w:tcW w:w="0" w:type="auto"/>
            <w:hideMark/>
          </w:tcPr>
          <w:p w:rsidR="001501F3" w:rsidRPr="001C1BA3" w:rsidRDefault="001501F3" w:rsidP="000E1074">
            <w:pPr>
              <w:spacing w:after="120"/>
              <w:rPr>
                <w:b/>
                <w:bCs/>
              </w:rPr>
            </w:pPr>
            <w:r w:rsidRPr="001C1BA3">
              <w:rPr>
                <w:b/>
                <w:bCs/>
              </w:rPr>
              <w:t>Strongly Agree</w:t>
            </w:r>
          </w:p>
        </w:tc>
        <w:tc>
          <w:tcPr>
            <w:tcW w:w="0" w:type="auto"/>
            <w:hideMark/>
          </w:tcPr>
          <w:p w:rsidR="001501F3" w:rsidRPr="001C1BA3" w:rsidRDefault="001501F3" w:rsidP="000E1074">
            <w:pPr>
              <w:spacing w:after="120"/>
              <w:rPr>
                <w:b/>
                <w:bCs/>
              </w:rPr>
            </w:pPr>
            <w:r w:rsidRPr="001C1BA3">
              <w:rPr>
                <w:b/>
                <w:bCs/>
              </w:rPr>
              <w:t>Agree</w:t>
            </w:r>
          </w:p>
        </w:tc>
        <w:tc>
          <w:tcPr>
            <w:tcW w:w="0" w:type="auto"/>
            <w:hideMark/>
          </w:tcPr>
          <w:p w:rsidR="001501F3" w:rsidRPr="001C1BA3" w:rsidRDefault="001501F3" w:rsidP="000E1074">
            <w:pPr>
              <w:spacing w:after="120"/>
              <w:rPr>
                <w:b/>
                <w:bCs/>
              </w:rPr>
            </w:pPr>
            <w:r w:rsidRPr="001C1BA3">
              <w:rPr>
                <w:b/>
                <w:bCs/>
              </w:rPr>
              <w:t>Disagree</w:t>
            </w:r>
          </w:p>
        </w:tc>
        <w:tc>
          <w:tcPr>
            <w:tcW w:w="0" w:type="auto"/>
            <w:hideMark/>
          </w:tcPr>
          <w:p w:rsidR="001501F3" w:rsidRPr="001C1BA3" w:rsidRDefault="001501F3" w:rsidP="000E1074">
            <w:pPr>
              <w:spacing w:after="120"/>
              <w:rPr>
                <w:b/>
                <w:bCs/>
              </w:rPr>
            </w:pPr>
            <w:r w:rsidRPr="001C1BA3">
              <w:rPr>
                <w:b/>
                <w:bCs/>
              </w:rPr>
              <w:t>Strongly Disagree</w:t>
            </w:r>
          </w:p>
        </w:tc>
        <w:tc>
          <w:tcPr>
            <w:tcW w:w="0" w:type="auto"/>
            <w:hideMark/>
          </w:tcPr>
          <w:p w:rsidR="001501F3" w:rsidRPr="001C1BA3" w:rsidRDefault="001501F3" w:rsidP="000E1074">
            <w:pPr>
              <w:spacing w:after="120"/>
              <w:rPr>
                <w:b/>
                <w:bCs/>
              </w:rPr>
            </w:pPr>
            <w:r w:rsidRPr="001C1BA3">
              <w:rPr>
                <w:b/>
                <w:bCs/>
              </w:rPr>
              <w:t>N/A</w:t>
            </w:r>
          </w:p>
        </w:tc>
        <w:tc>
          <w:tcPr>
            <w:tcW w:w="0" w:type="auto"/>
            <w:hideMark/>
          </w:tcPr>
          <w:p w:rsidR="001501F3" w:rsidRPr="001C1BA3" w:rsidRDefault="001501F3" w:rsidP="000E1074">
            <w:pPr>
              <w:spacing w:after="120"/>
              <w:rPr>
                <w:b/>
                <w:bCs/>
              </w:rPr>
            </w:pPr>
            <w:r w:rsidRPr="001C1BA3">
              <w:rPr>
                <w:b/>
                <w:bCs/>
              </w:rPr>
              <w:t>Rating Average</w:t>
            </w:r>
          </w:p>
        </w:tc>
        <w:tc>
          <w:tcPr>
            <w:tcW w:w="0" w:type="auto"/>
            <w:hideMark/>
          </w:tcPr>
          <w:p w:rsidR="001501F3" w:rsidRPr="001C1BA3" w:rsidRDefault="001501F3" w:rsidP="000E1074">
            <w:pPr>
              <w:spacing w:after="120"/>
              <w:rPr>
                <w:b/>
                <w:bCs/>
              </w:rPr>
            </w:pPr>
            <w:r w:rsidRPr="001C1BA3">
              <w:rPr>
                <w:b/>
                <w:bCs/>
              </w:rPr>
              <w:t>Response Count</w:t>
            </w:r>
          </w:p>
        </w:tc>
      </w:tr>
      <w:tr w:rsidR="001501F3" w:rsidRPr="001C1BA3" w:rsidTr="000E1074">
        <w:trPr>
          <w:gridAfter w:val="1"/>
          <w:cnfStyle w:val="000000010000" w:firstRow="0" w:lastRow="0" w:firstColumn="0" w:lastColumn="0" w:oddVBand="0" w:evenVBand="0" w:oddHBand="0" w:evenHBand="1" w:firstRowFirstColumn="0" w:firstRowLastColumn="0" w:lastRowFirstColumn="0" w:lastRowLastColumn="0"/>
          <w:wAfter w:w="6" w:type="dxa"/>
          <w:trHeight w:val="255"/>
        </w:trPr>
        <w:tc>
          <w:tcPr>
            <w:tcW w:w="0" w:type="auto"/>
            <w:hideMark/>
          </w:tcPr>
          <w:p w:rsidR="001501F3" w:rsidRPr="001C1BA3" w:rsidRDefault="001501F3" w:rsidP="000E1074">
            <w:pPr>
              <w:spacing w:after="120"/>
            </w:pPr>
            <w:r w:rsidRPr="001C1BA3">
              <w:t>Responses</w:t>
            </w:r>
          </w:p>
        </w:tc>
        <w:tc>
          <w:tcPr>
            <w:tcW w:w="0" w:type="auto"/>
            <w:noWrap/>
            <w:hideMark/>
          </w:tcPr>
          <w:p w:rsidR="001501F3" w:rsidRPr="001C1BA3" w:rsidRDefault="001501F3" w:rsidP="000E1074">
            <w:pPr>
              <w:spacing w:after="120"/>
            </w:pPr>
            <w:r w:rsidRPr="001C1BA3">
              <w:t>3</w:t>
            </w:r>
          </w:p>
        </w:tc>
        <w:tc>
          <w:tcPr>
            <w:tcW w:w="0" w:type="auto"/>
            <w:noWrap/>
            <w:hideMark/>
          </w:tcPr>
          <w:p w:rsidR="001501F3" w:rsidRPr="001C1BA3" w:rsidRDefault="001501F3" w:rsidP="000E1074">
            <w:pPr>
              <w:spacing w:after="120"/>
            </w:pPr>
            <w:r w:rsidRPr="001C1BA3">
              <w:t>3</w:t>
            </w:r>
          </w:p>
        </w:tc>
        <w:tc>
          <w:tcPr>
            <w:tcW w:w="0" w:type="auto"/>
            <w:noWrap/>
            <w:hideMark/>
          </w:tcPr>
          <w:p w:rsidR="001501F3" w:rsidRPr="001C1BA3" w:rsidRDefault="001501F3" w:rsidP="000E1074">
            <w:pPr>
              <w:spacing w:after="120"/>
            </w:pPr>
            <w:r w:rsidRPr="001C1BA3">
              <w:t>0</w:t>
            </w:r>
          </w:p>
        </w:tc>
        <w:tc>
          <w:tcPr>
            <w:tcW w:w="0" w:type="auto"/>
            <w:noWrap/>
            <w:hideMark/>
          </w:tcPr>
          <w:p w:rsidR="001501F3" w:rsidRPr="001C1BA3" w:rsidRDefault="001501F3" w:rsidP="000E1074">
            <w:pPr>
              <w:spacing w:after="120"/>
            </w:pPr>
            <w:r w:rsidRPr="001C1BA3">
              <w:t>1</w:t>
            </w:r>
          </w:p>
        </w:tc>
        <w:tc>
          <w:tcPr>
            <w:tcW w:w="0" w:type="auto"/>
            <w:noWrap/>
            <w:hideMark/>
          </w:tcPr>
          <w:p w:rsidR="001501F3" w:rsidRPr="001C1BA3" w:rsidRDefault="001501F3" w:rsidP="000E1074">
            <w:pPr>
              <w:spacing w:after="120"/>
            </w:pPr>
            <w:r w:rsidRPr="001C1BA3">
              <w:t>0</w:t>
            </w:r>
          </w:p>
        </w:tc>
        <w:tc>
          <w:tcPr>
            <w:tcW w:w="0" w:type="auto"/>
            <w:noWrap/>
            <w:hideMark/>
          </w:tcPr>
          <w:p w:rsidR="001501F3" w:rsidRPr="001C1BA3" w:rsidRDefault="001501F3" w:rsidP="000E1074">
            <w:pPr>
              <w:spacing w:after="120"/>
            </w:pPr>
            <w:r w:rsidRPr="001C1BA3">
              <w:t>3.14</w:t>
            </w:r>
          </w:p>
        </w:tc>
        <w:tc>
          <w:tcPr>
            <w:tcW w:w="0" w:type="auto"/>
            <w:noWrap/>
            <w:hideMark/>
          </w:tcPr>
          <w:p w:rsidR="001501F3" w:rsidRPr="001C1BA3" w:rsidRDefault="001501F3" w:rsidP="000E1074">
            <w:pPr>
              <w:spacing w:after="120"/>
            </w:pPr>
            <w:r w:rsidRPr="001C1BA3">
              <w:t>7</w:t>
            </w:r>
          </w:p>
        </w:tc>
      </w:tr>
      <w:tr w:rsidR="001501F3" w:rsidRPr="001C1BA3" w:rsidTr="000E1074">
        <w:trPr>
          <w:gridAfter w:val="1"/>
          <w:cnfStyle w:val="000000100000" w:firstRow="0" w:lastRow="0" w:firstColumn="0" w:lastColumn="0" w:oddVBand="0" w:evenVBand="0" w:oddHBand="1" w:evenHBand="0" w:firstRowFirstColumn="0" w:firstRowLastColumn="0" w:lastRowFirstColumn="0" w:lastRowLastColumn="0"/>
          <w:wAfter w:w="6" w:type="dxa"/>
          <w:trHeight w:val="255"/>
        </w:trPr>
        <w:tc>
          <w:tcPr>
            <w:tcW w:w="0" w:type="auto"/>
            <w:gridSpan w:val="7"/>
            <w:hideMark/>
          </w:tcPr>
          <w:p w:rsidR="001501F3" w:rsidRPr="001C1BA3" w:rsidRDefault="001501F3" w:rsidP="000E1074">
            <w:pPr>
              <w:spacing w:after="120"/>
            </w:pPr>
            <w:r w:rsidRPr="001C1BA3">
              <w:t>Additional Comments</w:t>
            </w:r>
          </w:p>
        </w:tc>
        <w:tc>
          <w:tcPr>
            <w:tcW w:w="0" w:type="auto"/>
            <w:noWrap/>
            <w:hideMark/>
          </w:tcPr>
          <w:p w:rsidR="001501F3" w:rsidRPr="001C1BA3" w:rsidRDefault="001501F3" w:rsidP="000E1074">
            <w:pPr>
              <w:spacing w:after="120"/>
            </w:pPr>
            <w:r w:rsidRPr="001C1BA3">
              <w:t>1</w:t>
            </w:r>
          </w:p>
        </w:tc>
      </w:tr>
      <w:tr w:rsidR="001501F3" w:rsidRPr="001C1BA3" w:rsidTr="000E1074">
        <w:trPr>
          <w:gridAfter w:val="1"/>
          <w:cnfStyle w:val="000000010000" w:firstRow="0" w:lastRow="0" w:firstColumn="0" w:lastColumn="0" w:oddVBand="0" w:evenVBand="0" w:oddHBand="0" w:evenHBand="1" w:firstRowFirstColumn="0" w:firstRowLastColumn="0" w:lastRowFirstColumn="0" w:lastRowLastColumn="0"/>
          <w:wAfter w:w="6" w:type="dxa"/>
          <w:trHeight w:val="255"/>
        </w:trPr>
        <w:tc>
          <w:tcPr>
            <w:tcW w:w="0" w:type="auto"/>
            <w:gridSpan w:val="7"/>
            <w:noWrap/>
            <w:hideMark/>
          </w:tcPr>
          <w:p w:rsidR="001501F3" w:rsidRPr="001C1BA3" w:rsidRDefault="001501F3" w:rsidP="000E1074">
            <w:pPr>
              <w:spacing w:after="120"/>
              <w:rPr>
                <w:b/>
                <w:bCs/>
                <w:i/>
                <w:iCs/>
              </w:rPr>
            </w:pPr>
            <w:r w:rsidRPr="001C1BA3">
              <w:rPr>
                <w:b/>
                <w:bCs/>
                <w:i/>
                <w:iCs/>
              </w:rPr>
              <w:t>answered question</w:t>
            </w:r>
          </w:p>
        </w:tc>
        <w:tc>
          <w:tcPr>
            <w:tcW w:w="0" w:type="auto"/>
            <w:noWrap/>
            <w:hideMark/>
          </w:tcPr>
          <w:p w:rsidR="001501F3" w:rsidRPr="001C1BA3" w:rsidRDefault="001501F3" w:rsidP="000E1074">
            <w:pPr>
              <w:spacing w:after="120"/>
              <w:rPr>
                <w:b/>
                <w:bCs/>
              </w:rPr>
            </w:pPr>
            <w:r w:rsidRPr="001C1BA3">
              <w:rPr>
                <w:b/>
                <w:bCs/>
              </w:rPr>
              <w:t>7</w:t>
            </w:r>
          </w:p>
        </w:tc>
      </w:tr>
      <w:tr w:rsidR="001501F3" w:rsidRPr="001C1BA3" w:rsidTr="000E1074">
        <w:trPr>
          <w:gridAfter w:val="1"/>
          <w:cnfStyle w:val="000000100000" w:firstRow="0" w:lastRow="0" w:firstColumn="0" w:lastColumn="0" w:oddVBand="0" w:evenVBand="0" w:oddHBand="1" w:evenHBand="0" w:firstRowFirstColumn="0" w:firstRowLastColumn="0" w:lastRowFirstColumn="0" w:lastRowLastColumn="0"/>
          <w:wAfter w:w="6" w:type="dxa"/>
          <w:trHeight w:val="255"/>
        </w:trPr>
        <w:tc>
          <w:tcPr>
            <w:tcW w:w="0" w:type="auto"/>
            <w:gridSpan w:val="7"/>
            <w:noWrap/>
            <w:hideMark/>
          </w:tcPr>
          <w:p w:rsidR="001501F3" w:rsidRPr="001C1BA3" w:rsidRDefault="001501F3" w:rsidP="000E1074">
            <w:pPr>
              <w:spacing w:after="120"/>
              <w:rPr>
                <w:b/>
                <w:bCs/>
                <w:i/>
                <w:iCs/>
              </w:rPr>
            </w:pPr>
            <w:r w:rsidRPr="001C1BA3">
              <w:rPr>
                <w:b/>
                <w:bCs/>
                <w:i/>
                <w:iCs/>
              </w:rPr>
              <w:t>skipped question</w:t>
            </w:r>
          </w:p>
        </w:tc>
        <w:tc>
          <w:tcPr>
            <w:tcW w:w="0" w:type="auto"/>
            <w:noWrap/>
            <w:hideMark/>
          </w:tcPr>
          <w:p w:rsidR="001501F3" w:rsidRPr="001C1BA3" w:rsidRDefault="001501F3" w:rsidP="000E1074">
            <w:pPr>
              <w:spacing w:after="120"/>
              <w:rPr>
                <w:b/>
                <w:bCs/>
              </w:rPr>
            </w:pPr>
            <w:r w:rsidRPr="001C1BA3">
              <w:rPr>
                <w:b/>
                <w:bCs/>
              </w:rPr>
              <w:t>2</w:t>
            </w:r>
          </w:p>
        </w:tc>
      </w:tr>
      <w:tr w:rsidR="000E1074" w:rsidRPr="001C1BA3" w:rsidTr="000E1074">
        <w:trPr>
          <w:cnfStyle w:val="000000010000" w:firstRow="0" w:lastRow="0" w:firstColumn="0" w:lastColumn="0" w:oddVBand="0" w:evenVBand="0" w:oddHBand="0" w:evenHBand="1" w:firstRowFirstColumn="0" w:firstRowLastColumn="0" w:lastRowFirstColumn="0" w:lastRowLastColumn="0"/>
          <w:trHeight w:val="510"/>
        </w:trPr>
        <w:tc>
          <w:tcPr>
            <w:tcW w:w="8784" w:type="dxa"/>
            <w:gridSpan w:val="9"/>
            <w:shd w:val="clear" w:color="auto" w:fill="595959" w:themeFill="text1" w:themeFillTint="A6"/>
            <w:hideMark/>
          </w:tcPr>
          <w:p w:rsidR="000E1074" w:rsidRPr="001C1BA3" w:rsidRDefault="000E1074" w:rsidP="000E1074">
            <w:pPr>
              <w:spacing w:after="120"/>
              <w:rPr>
                <w:bCs/>
              </w:rPr>
            </w:pPr>
            <w:r w:rsidRPr="000E1074">
              <w:rPr>
                <w:b/>
                <w:bCs/>
                <w:color w:val="FFFFFF" w:themeColor="background1"/>
              </w:rPr>
              <w:t>Additional Comments</w:t>
            </w:r>
          </w:p>
        </w:tc>
      </w:tr>
      <w:tr w:rsidR="000E1074" w:rsidRPr="001C1BA3" w:rsidTr="000E1074">
        <w:trPr>
          <w:cnfStyle w:val="000000100000" w:firstRow="0" w:lastRow="0" w:firstColumn="0" w:lastColumn="0" w:oddVBand="0" w:evenVBand="0" w:oddHBand="1" w:evenHBand="0" w:firstRowFirstColumn="0" w:firstRowLastColumn="0" w:lastRowFirstColumn="0" w:lastRowLastColumn="0"/>
          <w:trHeight w:val="255"/>
        </w:trPr>
        <w:tc>
          <w:tcPr>
            <w:tcW w:w="8784" w:type="dxa"/>
            <w:gridSpan w:val="9"/>
            <w:noWrap/>
            <w:hideMark/>
          </w:tcPr>
          <w:p w:rsidR="000E1074" w:rsidRPr="001C1BA3" w:rsidRDefault="000E1074" w:rsidP="000E1074">
            <w:pPr>
              <w:spacing w:after="120"/>
            </w:pPr>
            <w:r w:rsidRPr="001C1BA3">
              <w:t>Poor question - they are one point of access for offshore/Federal they do not deal with onshore/State Territory permits.</w:t>
            </w:r>
          </w:p>
        </w:tc>
      </w:tr>
    </w:tbl>
    <w:p w:rsidR="00482CD9" w:rsidRPr="002C3B0F" w:rsidRDefault="00482CD9" w:rsidP="00D67B63">
      <w:pPr>
        <w:pStyle w:val="BodyText"/>
      </w:pPr>
    </w:p>
    <w:sectPr w:rsidR="00482CD9" w:rsidRPr="002C3B0F" w:rsidSect="00065B08">
      <w:headerReference w:type="even" r:id="rId56"/>
      <w:headerReference w:type="default" r:id="rId57"/>
      <w:footerReference w:type="default" r:id="rId58"/>
      <w:headerReference w:type="first" r:id="rId59"/>
      <w:footerReference w:type="first" r:id="rId60"/>
      <w:pgSz w:w="9979" w:h="14175" w:code="9"/>
      <w:pgMar w:top="1412" w:right="476" w:bottom="720" w:left="476" w:header="567" w:footer="567" w:gutter="0"/>
      <w:pgNumType w:start="1" w:chapStyle="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62BF" w:rsidRDefault="008A62BF">
      <w:r>
        <w:separator/>
      </w:r>
    </w:p>
  </w:endnote>
  <w:endnote w:type="continuationSeparator" w:id="0">
    <w:p w:rsidR="008A62BF" w:rsidRDefault="008A62BF">
      <w:r>
        <w:continuationSeparator/>
      </w:r>
    </w:p>
  </w:endnote>
  <w:endnote w:type="continuationNotice" w:id="1">
    <w:p w:rsidR="008A62BF" w:rsidRDefault="008A62B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altName w:val="Arial"/>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62BF" w:rsidRDefault="008A62BF" w:rsidP="00825D54">
    <w:pPr>
      <w:pStyle w:val="Footer"/>
    </w:pPr>
    <w:r>
      <w:t>Noetic solutions pty limited abn 87 098 132 024</w:t>
    </w:r>
    <w:r>
      <w:tab/>
      <w:t xml:space="preserve">page </w:t>
    </w:r>
    <w:r w:rsidRPr="00F003BB">
      <w:rPr>
        <w:rStyle w:val="PageNumber"/>
      </w:rPr>
      <w:fldChar w:fldCharType="begin"/>
    </w:r>
    <w:r w:rsidRPr="00F003BB">
      <w:rPr>
        <w:rStyle w:val="PageNumber"/>
      </w:rPr>
      <w:instrText xml:space="preserve"> PAGE </w:instrText>
    </w:r>
    <w:r w:rsidRPr="00F003BB">
      <w:rPr>
        <w:rStyle w:val="PageNumber"/>
      </w:rPr>
      <w:fldChar w:fldCharType="separate"/>
    </w:r>
    <w:r>
      <w:rPr>
        <w:rStyle w:val="PageNumber"/>
        <w:noProof/>
      </w:rPr>
      <w:t>1</w:t>
    </w:r>
    <w:r w:rsidRPr="00F003BB">
      <w:rPr>
        <w:rStyle w:val="PageNumber"/>
      </w:rPr>
      <w:fldChar w:fldCharType="end"/>
    </w:r>
    <w:r>
      <w:rPr>
        <w:rStyle w:val="PageNumber"/>
      </w:rPr>
      <w:t xml:space="preserve"> </w:t>
    </w:r>
    <w:r w:rsidRPr="00F003BB">
      <w:t xml:space="preserve">of </w:t>
    </w:r>
    <w:fldSimple w:instr=" NUMPAGES ">
      <w:r>
        <w:rPr>
          <w:noProof/>
        </w:rPr>
        <w:t>67</w:t>
      </w:r>
    </w:fldSimple>
  </w:p>
  <w:p w:rsidR="008A62BF" w:rsidRDefault="008A62BF" w:rsidP="00825D54">
    <w:pPr>
      <w:pStyle w:val="Footer"/>
      <w:jc w:val="center"/>
    </w:pPr>
    <w:r>
      <w:t>caveat</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62BF" w:rsidRDefault="008A62BF" w:rsidP="00FD722E">
    <w:pPr>
      <w:pStyle w:val="Footer"/>
    </w:pPr>
    <w:r w:rsidRPr="00C7169B">
      <w:rPr>
        <w:sz w:val="16"/>
        <w:szCs w:val="16"/>
      </w:rPr>
      <w:t>www.noeticgroup.com</w:t>
    </w:r>
    <w:r>
      <w:tab/>
    </w:r>
    <w:r w:rsidRPr="00C7169B">
      <w:rPr>
        <w:sz w:val="16"/>
        <w:szCs w:val="16"/>
      </w:rPr>
      <w:t xml:space="preserve">page </w:t>
    </w:r>
    <w:r w:rsidRPr="00F003BB">
      <w:rPr>
        <w:rStyle w:val="PageNumber"/>
      </w:rPr>
      <w:fldChar w:fldCharType="begin"/>
    </w:r>
    <w:r w:rsidRPr="00F003BB">
      <w:rPr>
        <w:rStyle w:val="PageNumber"/>
      </w:rPr>
      <w:instrText xml:space="preserve"> PAGE </w:instrText>
    </w:r>
    <w:r w:rsidRPr="00F003BB">
      <w:rPr>
        <w:rStyle w:val="PageNumber"/>
      </w:rPr>
      <w:fldChar w:fldCharType="separate"/>
    </w:r>
    <w:r w:rsidR="00D574B3">
      <w:rPr>
        <w:rStyle w:val="PageNumber"/>
        <w:noProof/>
      </w:rPr>
      <w:t>E-13</w:t>
    </w:r>
    <w:r w:rsidRPr="00F003BB">
      <w:rPr>
        <w:rStyle w:val="PageNumber"/>
      </w:rPr>
      <w:fldChar w:fldCharType="end"/>
    </w:r>
  </w:p>
  <w:p w:rsidR="008A62BF" w:rsidRPr="00C57005" w:rsidRDefault="008A62BF" w:rsidP="00C57005">
    <w:pPr>
      <w:pStyle w:val="Footer"/>
      <w:jc w:val="center"/>
      <w:rPr>
        <w:sz w:val="16"/>
        <w:szCs w:val="16"/>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62BF" w:rsidRDefault="008A62BF" w:rsidP="00F67A25">
    <w:pPr>
      <w:pStyle w:val="Footer"/>
    </w:pPr>
    <w:r w:rsidRPr="00C7169B">
      <w:rPr>
        <w:sz w:val="16"/>
        <w:szCs w:val="16"/>
      </w:rPr>
      <w:t>www.noeticgroup.com</w:t>
    </w:r>
    <w:r>
      <w:tab/>
    </w:r>
    <w:r w:rsidRPr="00C7169B">
      <w:rPr>
        <w:sz w:val="16"/>
        <w:szCs w:val="16"/>
      </w:rPr>
      <w:t xml:space="preserve">page </w:t>
    </w:r>
    <w:r>
      <w:rPr>
        <w:rStyle w:val="PageNumber"/>
      </w:rPr>
      <w:t>E</w:t>
    </w:r>
    <w:r w:rsidRPr="00F003BB">
      <w:rPr>
        <w:rStyle w:val="PageNumber"/>
      </w:rPr>
      <w:fldChar w:fldCharType="begin"/>
    </w:r>
    <w:r w:rsidRPr="00F003BB">
      <w:rPr>
        <w:rStyle w:val="PageNumber"/>
      </w:rPr>
      <w:instrText xml:space="preserve"> PAGE </w:instrText>
    </w:r>
    <w:r w:rsidRPr="00F003BB">
      <w:rPr>
        <w:rStyle w:val="PageNumber"/>
      </w:rPr>
      <w:fldChar w:fldCharType="separate"/>
    </w:r>
    <w:r>
      <w:rPr>
        <w:rStyle w:val="PageNumber"/>
        <w:noProof/>
      </w:rPr>
      <w:t>1</w:t>
    </w:r>
    <w:r w:rsidRPr="00F003BB">
      <w:rPr>
        <w:rStyle w:val="PageNumber"/>
      </w:rPr>
      <w:fldChar w:fldCharType="end"/>
    </w:r>
  </w:p>
  <w:p w:rsidR="008A62BF" w:rsidRPr="00BD5094" w:rsidRDefault="008A62BF" w:rsidP="00BD5094">
    <w:pPr>
      <w:pStyle w:val="Footer"/>
      <w:jc w:val="center"/>
      <w:rPr>
        <w:sz w:val="16"/>
        <w:szCs w:val="16"/>
      </w:rPr>
    </w:pPr>
    <w:r w:rsidRPr="00C7169B">
      <w:rPr>
        <w:sz w:val="16"/>
        <w:szCs w:val="16"/>
      </w:rPr>
      <w:t>in-confidence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62BF" w:rsidRDefault="00D574B3" w:rsidP="0076081F">
    <w:pPr>
      <w:pStyle w:val="Footer"/>
    </w:pPr>
    <w:hyperlink r:id="rId1" w:history="1">
      <w:r w:rsidR="008A62BF" w:rsidRPr="00371692">
        <w:rPr>
          <w:sz w:val="16"/>
          <w:szCs w:val="16"/>
        </w:rPr>
        <w:t>www.noeticgroup.com</w:t>
      </w:r>
    </w:hyperlink>
    <w:r w:rsidR="008A62BF" w:rsidRPr="00371692">
      <w:rPr>
        <w:sz w:val="16"/>
        <w:szCs w:val="16"/>
      </w:rPr>
      <w:tab/>
      <w:t>page</w:t>
    </w:r>
    <w:r w:rsidR="008A62BF" w:rsidRPr="0076081F">
      <w:rPr>
        <w:b/>
        <w:sz w:val="22"/>
        <w:szCs w:val="22"/>
      </w:rPr>
      <w:t xml:space="preserve"> </w:t>
    </w:r>
    <w:r w:rsidR="008A62BF" w:rsidRPr="0076081F">
      <w:rPr>
        <w:b/>
        <w:sz w:val="22"/>
        <w:szCs w:val="22"/>
      </w:rPr>
      <w:fldChar w:fldCharType="begin"/>
    </w:r>
    <w:r w:rsidR="008A62BF" w:rsidRPr="0076081F">
      <w:rPr>
        <w:b/>
        <w:sz w:val="22"/>
        <w:szCs w:val="22"/>
      </w:rPr>
      <w:instrText xml:space="preserve"> PAGE   \* MERGEFORMAT </w:instrText>
    </w:r>
    <w:r w:rsidR="008A62BF" w:rsidRPr="0076081F">
      <w:rPr>
        <w:b/>
        <w:sz w:val="22"/>
        <w:szCs w:val="22"/>
      </w:rPr>
      <w:fldChar w:fldCharType="separate"/>
    </w:r>
    <w:r>
      <w:rPr>
        <w:b/>
        <w:noProof/>
        <w:sz w:val="22"/>
        <w:szCs w:val="22"/>
      </w:rPr>
      <w:t>vi</w:t>
    </w:r>
    <w:r w:rsidR="008A62BF" w:rsidRPr="0076081F">
      <w:rPr>
        <w:b/>
        <w:noProof/>
        <w:sz w:val="22"/>
        <w:szCs w:val="22"/>
      </w:rPr>
      <w:fldChar w:fldCharType="end"/>
    </w:r>
  </w:p>
  <w:p w:rsidR="008A62BF" w:rsidRPr="00371692" w:rsidRDefault="008A62BF" w:rsidP="00825D54">
    <w:pPr>
      <w:pStyle w:val="Header"/>
      <w:jc w:val="center"/>
      <w:rPr>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62BF" w:rsidRDefault="00D574B3" w:rsidP="0003513C">
    <w:pPr>
      <w:pStyle w:val="Footer"/>
    </w:pPr>
    <w:hyperlink r:id="rId1" w:history="1">
      <w:r w:rsidR="008A62BF" w:rsidRPr="00371692">
        <w:rPr>
          <w:sz w:val="16"/>
          <w:szCs w:val="16"/>
        </w:rPr>
        <w:t>www.noeticgroup.com</w:t>
      </w:r>
    </w:hyperlink>
    <w:r w:rsidR="008A62BF" w:rsidRPr="00371692">
      <w:rPr>
        <w:sz w:val="16"/>
        <w:szCs w:val="16"/>
      </w:rPr>
      <w:tab/>
      <w:t>page</w:t>
    </w:r>
    <w:r w:rsidR="008A62BF" w:rsidRPr="0076081F">
      <w:rPr>
        <w:b/>
        <w:sz w:val="22"/>
        <w:szCs w:val="22"/>
      </w:rPr>
      <w:t xml:space="preserve"> </w:t>
    </w:r>
    <w:r w:rsidR="008A62BF" w:rsidRPr="0076081F">
      <w:rPr>
        <w:b/>
        <w:sz w:val="22"/>
        <w:szCs w:val="22"/>
      </w:rPr>
      <w:fldChar w:fldCharType="begin"/>
    </w:r>
    <w:r w:rsidR="008A62BF" w:rsidRPr="0076081F">
      <w:rPr>
        <w:b/>
        <w:sz w:val="22"/>
        <w:szCs w:val="22"/>
      </w:rPr>
      <w:instrText xml:space="preserve"> PAGE   \* MERGEFORMAT </w:instrText>
    </w:r>
    <w:r w:rsidR="008A62BF" w:rsidRPr="0076081F">
      <w:rPr>
        <w:b/>
        <w:sz w:val="22"/>
        <w:szCs w:val="22"/>
      </w:rPr>
      <w:fldChar w:fldCharType="separate"/>
    </w:r>
    <w:r>
      <w:rPr>
        <w:b/>
        <w:noProof/>
        <w:sz w:val="22"/>
        <w:szCs w:val="22"/>
      </w:rPr>
      <w:t>ii</w:t>
    </w:r>
    <w:r w:rsidR="008A62BF" w:rsidRPr="0076081F">
      <w:rPr>
        <w:b/>
        <w:noProof/>
        <w:sz w:val="22"/>
        <w:szCs w:val="22"/>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62BF" w:rsidRDefault="00D574B3" w:rsidP="00825D54">
    <w:pPr>
      <w:pStyle w:val="Footer2"/>
    </w:pPr>
    <w:hyperlink r:id="rId1" w:history="1">
      <w:r w:rsidR="008A62BF" w:rsidRPr="00371692">
        <w:t>www.noeticgroup.com</w:t>
      </w:r>
    </w:hyperlink>
    <w:r w:rsidR="008A62BF" w:rsidRPr="00371692">
      <w:tab/>
      <w:t>page</w:t>
    </w:r>
    <w:r w:rsidR="008A62BF">
      <w:t xml:space="preserve"> </w:t>
    </w:r>
    <w:r w:rsidR="008A62BF" w:rsidRPr="00F003BB">
      <w:rPr>
        <w:rStyle w:val="PageNumber"/>
      </w:rPr>
      <w:fldChar w:fldCharType="begin"/>
    </w:r>
    <w:r w:rsidR="008A62BF" w:rsidRPr="00F003BB">
      <w:rPr>
        <w:rStyle w:val="PageNumber"/>
      </w:rPr>
      <w:instrText xml:space="preserve"> PAGE </w:instrText>
    </w:r>
    <w:r w:rsidR="008A62BF" w:rsidRPr="00F003BB">
      <w:rPr>
        <w:rStyle w:val="PageNumber"/>
      </w:rPr>
      <w:fldChar w:fldCharType="separate"/>
    </w:r>
    <w:r>
      <w:rPr>
        <w:rStyle w:val="PageNumber"/>
        <w:noProof/>
      </w:rPr>
      <w:t>32</w:t>
    </w:r>
    <w:r w:rsidR="008A62BF" w:rsidRPr="00F003BB">
      <w:rPr>
        <w:rStyle w:val="PageNumber"/>
      </w:rPr>
      <w:fldChar w:fldCharType="end"/>
    </w:r>
    <w:r w:rsidR="008A62BF">
      <w:rPr>
        <w:rStyle w:val="PageNumber"/>
      </w:rPr>
      <w:t xml:space="preserve"> </w:t>
    </w:r>
    <w:r w:rsidR="008A62BF" w:rsidRPr="00FE40AF">
      <w:t xml:space="preserve">of </w:t>
    </w:r>
    <w:r w:rsidR="008A62BF">
      <w:rPr>
        <w:rStyle w:val="PageNumber"/>
      </w:rPr>
      <w:fldChar w:fldCharType="begin"/>
    </w:r>
    <w:r w:rsidR="008A62BF">
      <w:rPr>
        <w:rStyle w:val="PageNumber"/>
      </w:rPr>
      <w:instrText xml:space="preserve"> SECTIONPAGES  </w:instrText>
    </w:r>
    <w:r w:rsidR="008A62BF">
      <w:rPr>
        <w:rStyle w:val="PageNumber"/>
      </w:rPr>
      <w:fldChar w:fldCharType="separate"/>
    </w:r>
    <w:r>
      <w:rPr>
        <w:rStyle w:val="PageNumber"/>
        <w:noProof/>
      </w:rPr>
      <w:t>32</w:t>
    </w:r>
    <w:r w:rsidR="008A62BF">
      <w:rPr>
        <w:rStyle w:val="PageNumber"/>
      </w:rPr>
      <w:fldChar w:fldCharType="end"/>
    </w:r>
  </w:p>
  <w:p w:rsidR="008A62BF" w:rsidRPr="00371692" w:rsidRDefault="008A62BF" w:rsidP="00105300">
    <w:pPr>
      <w:pStyle w:val="Header"/>
      <w:rPr>
        <w:sz w:val="16"/>
        <w:szCs w:val="16"/>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62BF" w:rsidRDefault="00D574B3">
    <w:pPr>
      <w:pStyle w:val="Footer"/>
    </w:pPr>
    <w:hyperlink r:id="rId1" w:history="1">
      <w:r w:rsidR="008A62BF" w:rsidRPr="00371692">
        <w:rPr>
          <w:sz w:val="16"/>
          <w:szCs w:val="16"/>
        </w:rPr>
        <w:t>www.noeticgroup.com</w:t>
      </w:r>
    </w:hyperlink>
    <w:r w:rsidR="008A62BF" w:rsidRPr="00371692">
      <w:rPr>
        <w:sz w:val="16"/>
        <w:szCs w:val="16"/>
      </w:rPr>
      <w:tab/>
      <w:t>page</w:t>
    </w:r>
    <w:r w:rsidR="008A62BF">
      <w:t xml:space="preserve"> </w:t>
    </w:r>
    <w:r w:rsidR="008A62BF">
      <w:rPr>
        <w:rStyle w:val="PageNumber"/>
      </w:rPr>
      <w:fldChar w:fldCharType="begin"/>
    </w:r>
    <w:r w:rsidR="008A62BF">
      <w:rPr>
        <w:rStyle w:val="PageNumber"/>
      </w:rPr>
      <w:instrText xml:space="preserve"> PAGE </w:instrText>
    </w:r>
    <w:r w:rsidR="008A62BF">
      <w:rPr>
        <w:rStyle w:val="PageNumber"/>
      </w:rPr>
      <w:fldChar w:fldCharType="separate"/>
    </w:r>
    <w:r w:rsidR="008A62BF">
      <w:rPr>
        <w:rStyle w:val="PageNumber"/>
        <w:noProof/>
      </w:rPr>
      <w:t>1</w:t>
    </w:r>
    <w:r w:rsidR="008A62BF">
      <w:rPr>
        <w:rStyle w:val="PageNumber"/>
      </w:rPr>
      <w:fldChar w:fldCharType="end"/>
    </w:r>
    <w:r w:rsidR="008A62BF" w:rsidRPr="007E4C8B">
      <w:rPr>
        <w:sz w:val="16"/>
        <w:szCs w:val="16"/>
      </w:rPr>
      <w:t xml:space="preserve"> </w:t>
    </w:r>
    <w:r w:rsidR="008A62BF" w:rsidRPr="00FE40AF">
      <w:rPr>
        <w:sz w:val="16"/>
        <w:szCs w:val="16"/>
      </w:rPr>
      <w:t xml:space="preserve">of </w:t>
    </w:r>
    <w:r w:rsidR="008A62BF">
      <w:rPr>
        <w:sz w:val="16"/>
        <w:szCs w:val="16"/>
      </w:rPr>
      <w:t>2</w:t>
    </w:r>
  </w:p>
  <w:p w:rsidR="008A62BF" w:rsidRPr="00371692" w:rsidRDefault="008A62BF" w:rsidP="00825D54">
    <w:pPr>
      <w:pStyle w:val="Header"/>
      <w:jc w:val="center"/>
      <w:rPr>
        <w:sz w:val="16"/>
        <w:szCs w:val="16"/>
      </w:rPr>
    </w:pPr>
    <w:r w:rsidRPr="00371692">
      <w:rPr>
        <w:sz w:val="16"/>
        <w:szCs w:val="16"/>
        <w:highlight w:val="green"/>
      </w:rPr>
      <w:t>caveat IF REQUIRED</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62BF" w:rsidRPr="00FE40AF" w:rsidRDefault="00D574B3" w:rsidP="00825D54">
    <w:pPr>
      <w:pStyle w:val="Footer2"/>
      <w:rPr>
        <w:rFonts w:cs="Arial"/>
      </w:rPr>
    </w:pPr>
    <w:hyperlink r:id="rId1" w:history="1">
      <w:r w:rsidR="008A62BF" w:rsidRPr="00FE40AF">
        <w:rPr>
          <w:rFonts w:cs="Arial"/>
        </w:rPr>
        <w:t>www.noeticgroup.com</w:t>
      </w:r>
    </w:hyperlink>
    <w:r w:rsidR="008A62BF" w:rsidRPr="00FE40AF">
      <w:rPr>
        <w:rFonts w:cs="Arial"/>
      </w:rPr>
      <w:tab/>
      <w:t xml:space="preserve">page </w:t>
    </w:r>
    <w:r w:rsidR="008A62BF" w:rsidRPr="00FE40AF">
      <w:rPr>
        <w:rStyle w:val="PageNumber"/>
        <w:rFonts w:cs="Arial"/>
      </w:rPr>
      <w:fldChar w:fldCharType="begin"/>
    </w:r>
    <w:r w:rsidR="008A62BF" w:rsidRPr="00FE40AF">
      <w:rPr>
        <w:rStyle w:val="PageNumber"/>
        <w:rFonts w:cs="Arial"/>
      </w:rPr>
      <w:instrText xml:space="preserve"> PAGE </w:instrText>
    </w:r>
    <w:r w:rsidR="008A62BF" w:rsidRPr="00FE40AF">
      <w:rPr>
        <w:rStyle w:val="PageNumber"/>
        <w:rFonts w:cs="Arial"/>
      </w:rPr>
      <w:fldChar w:fldCharType="separate"/>
    </w:r>
    <w:r>
      <w:rPr>
        <w:rStyle w:val="PageNumber"/>
        <w:rFonts w:cs="Arial"/>
        <w:noProof/>
      </w:rPr>
      <w:t>A-1</w:t>
    </w:r>
    <w:r w:rsidR="008A62BF" w:rsidRPr="00FE40AF">
      <w:rPr>
        <w:rStyle w:val="PageNumber"/>
        <w:rFonts w:cs="Arial"/>
      </w:rPr>
      <w:fldChar w:fldCharType="end"/>
    </w:r>
  </w:p>
  <w:p w:rsidR="008A62BF" w:rsidRPr="00FE40AF" w:rsidRDefault="008A62BF" w:rsidP="00825D54">
    <w:pPr>
      <w:pStyle w:val="Header"/>
      <w:jc w:val="center"/>
      <w:rPr>
        <w:rFonts w:cs="Arial"/>
        <w:sz w:val="16"/>
        <w:szCs w:val="16"/>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62BF" w:rsidRDefault="00D574B3" w:rsidP="00FD722E">
    <w:pPr>
      <w:pStyle w:val="Footer"/>
    </w:pPr>
    <w:hyperlink r:id="rId1" w:history="1">
      <w:r w:rsidR="008A62BF" w:rsidRPr="00371692">
        <w:rPr>
          <w:sz w:val="16"/>
          <w:szCs w:val="16"/>
        </w:rPr>
        <w:t>www.noeticgroup.com</w:t>
      </w:r>
    </w:hyperlink>
    <w:r w:rsidR="008A62BF" w:rsidRPr="00371692">
      <w:rPr>
        <w:sz w:val="16"/>
        <w:szCs w:val="16"/>
      </w:rPr>
      <w:tab/>
      <w:t xml:space="preserve">page </w:t>
    </w:r>
    <w:r w:rsidR="008A62BF" w:rsidRPr="00F003BB">
      <w:rPr>
        <w:rStyle w:val="PageNumber"/>
      </w:rPr>
      <w:fldChar w:fldCharType="begin"/>
    </w:r>
    <w:r w:rsidR="008A62BF" w:rsidRPr="00F003BB">
      <w:rPr>
        <w:rStyle w:val="PageNumber"/>
      </w:rPr>
      <w:instrText xml:space="preserve"> PAGE </w:instrText>
    </w:r>
    <w:r w:rsidR="008A62BF" w:rsidRPr="00F003BB">
      <w:rPr>
        <w:rStyle w:val="PageNumber"/>
      </w:rPr>
      <w:fldChar w:fldCharType="separate"/>
    </w:r>
    <w:r>
      <w:rPr>
        <w:rStyle w:val="PageNumber"/>
        <w:noProof/>
      </w:rPr>
      <w:t>B-3</w:t>
    </w:r>
    <w:r w:rsidR="008A62BF" w:rsidRPr="00F003BB">
      <w:rPr>
        <w:rStyle w:val="PageNumber"/>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62BF" w:rsidRDefault="00D574B3" w:rsidP="00825D54">
    <w:pPr>
      <w:pStyle w:val="Footer2"/>
    </w:pPr>
    <w:hyperlink r:id="rId1" w:history="1">
      <w:r w:rsidR="008A62BF" w:rsidRPr="00371692">
        <w:t>www.noeticgroup.com</w:t>
      </w:r>
    </w:hyperlink>
    <w:r w:rsidR="008A62BF" w:rsidRPr="00371692">
      <w:tab/>
      <w:t>page</w:t>
    </w:r>
    <w:r w:rsidR="008A62BF">
      <w:t xml:space="preserve"> </w:t>
    </w:r>
    <w:r w:rsidR="008A62BF" w:rsidRPr="00F003BB">
      <w:rPr>
        <w:rStyle w:val="PageNumber"/>
      </w:rPr>
      <w:fldChar w:fldCharType="begin"/>
    </w:r>
    <w:r w:rsidR="008A62BF" w:rsidRPr="00F003BB">
      <w:rPr>
        <w:rStyle w:val="PageNumber"/>
      </w:rPr>
      <w:instrText xml:space="preserve"> PAGE </w:instrText>
    </w:r>
    <w:r w:rsidR="008A62BF" w:rsidRPr="00F003BB">
      <w:rPr>
        <w:rStyle w:val="PageNumber"/>
      </w:rPr>
      <w:fldChar w:fldCharType="separate"/>
    </w:r>
    <w:r>
      <w:rPr>
        <w:rStyle w:val="PageNumber"/>
        <w:noProof/>
      </w:rPr>
      <w:t>C-3</w:t>
    </w:r>
    <w:r w:rsidR="008A62BF" w:rsidRPr="00F003BB">
      <w:rPr>
        <w:rStyle w:val="PageNumber"/>
      </w:rPr>
      <w:fldChar w:fldCharType="end"/>
    </w:r>
  </w:p>
  <w:p w:rsidR="008A62BF" w:rsidRPr="00371692" w:rsidRDefault="008A62BF" w:rsidP="00825D54">
    <w:pPr>
      <w:pStyle w:val="Header"/>
      <w:jc w:val="center"/>
      <w:rPr>
        <w:sz w:val="16"/>
        <w:szCs w:val="16"/>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62BF" w:rsidRDefault="00D574B3" w:rsidP="00825D54">
    <w:pPr>
      <w:pStyle w:val="Footer2"/>
    </w:pPr>
    <w:hyperlink r:id="rId1" w:history="1">
      <w:r w:rsidR="008A62BF" w:rsidRPr="00371692">
        <w:t>www.noeticgroup.com</w:t>
      </w:r>
    </w:hyperlink>
    <w:r w:rsidR="008A62BF" w:rsidRPr="00371692">
      <w:tab/>
      <w:t>page</w:t>
    </w:r>
    <w:r w:rsidR="008A62BF">
      <w:t xml:space="preserve"> </w:t>
    </w:r>
    <w:r w:rsidR="008A62BF" w:rsidRPr="00F003BB">
      <w:rPr>
        <w:rStyle w:val="PageNumber"/>
      </w:rPr>
      <w:fldChar w:fldCharType="begin"/>
    </w:r>
    <w:r w:rsidR="008A62BF" w:rsidRPr="00F003BB">
      <w:rPr>
        <w:rStyle w:val="PageNumber"/>
      </w:rPr>
      <w:instrText xml:space="preserve"> PAGE </w:instrText>
    </w:r>
    <w:r w:rsidR="008A62BF" w:rsidRPr="00F003BB">
      <w:rPr>
        <w:rStyle w:val="PageNumber"/>
      </w:rPr>
      <w:fldChar w:fldCharType="separate"/>
    </w:r>
    <w:r>
      <w:rPr>
        <w:rStyle w:val="PageNumber"/>
        <w:noProof/>
      </w:rPr>
      <w:t>D-6</w:t>
    </w:r>
    <w:r w:rsidR="008A62BF" w:rsidRPr="00F003BB">
      <w:rPr>
        <w:rStyle w:val="PageNumber"/>
      </w:rPr>
      <w:fldChar w:fldCharType="end"/>
    </w:r>
  </w:p>
  <w:p w:rsidR="008A62BF" w:rsidRDefault="008A62B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62BF" w:rsidRDefault="008A62BF" w:rsidP="00456CCC">
      <w:pPr>
        <w:spacing w:after="120"/>
      </w:pPr>
      <w:r>
        <w:separator/>
      </w:r>
    </w:p>
  </w:footnote>
  <w:footnote w:type="continuationSeparator" w:id="0">
    <w:p w:rsidR="008A62BF" w:rsidRDefault="008A62BF">
      <w:r>
        <w:continuationSeparator/>
      </w:r>
    </w:p>
  </w:footnote>
  <w:footnote w:type="continuationNotice" w:id="1">
    <w:p w:rsidR="008A62BF" w:rsidRDefault="008A62BF">
      <w:pPr>
        <w:spacing w:after="0"/>
      </w:pPr>
    </w:p>
  </w:footnote>
  <w:footnote w:id="2">
    <w:p w:rsidR="008A62BF" w:rsidRPr="005054C7" w:rsidRDefault="008A62BF" w:rsidP="003B2B7E">
      <w:pPr>
        <w:pStyle w:val="FootnoteText"/>
      </w:pPr>
      <w:r>
        <w:rPr>
          <w:rStyle w:val="FootnoteReference"/>
        </w:rPr>
        <w:footnoteRef/>
      </w:r>
      <w:r>
        <w:t xml:space="preserve"> </w:t>
      </w:r>
      <w:r>
        <w:tab/>
        <w:t xml:space="preserve">Productivity Commission, 2009, </w:t>
      </w:r>
      <w:hyperlink r:id="rId1" w:history="1">
        <w:r w:rsidRPr="00D574B3">
          <w:rPr>
            <w:rStyle w:val="Hyperlink"/>
            <w:i/>
          </w:rPr>
          <w:t>Review of Regulatory Burden on the Upstream Petroleum (Oil and Gas) Sector</w:t>
        </w:r>
        <w:r w:rsidRPr="00D574B3">
          <w:rPr>
            <w:rStyle w:val="Hyperlink"/>
          </w:rPr>
          <w:t>.</w:t>
        </w:r>
      </w:hyperlink>
    </w:p>
  </w:footnote>
  <w:footnote w:id="3">
    <w:p w:rsidR="008A62BF" w:rsidRDefault="008A62BF" w:rsidP="003B2B7E">
      <w:pPr>
        <w:pStyle w:val="FootnoteText"/>
      </w:pPr>
      <w:r>
        <w:rPr>
          <w:rStyle w:val="FootnoteReference"/>
        </w:rPr>
        <w:footnoteRef/>
      </w:r>
      <w:r>
        <w:t xml:space="preserve"> </w:t>
      </w:r>
      <w:r>
        <w:tab/>
        <w:t xml:space="preserve">For example, a question in the survey for private-sector stakeholders asked participants to what extent they agreed with the statement </w:t>
      </w:r>
      <w:r w:rsidRPr="001D2F8D">
        <w:t>“The establishment of NOPTA has led to the streamlining of title applications”</w:t>
      </w:r>
      <w:r>
        <w:t xml:space="preserve"> and was intended to collect information that could assist the review team in evaluating the second point in the Terms of Reference.</w:t>
      </w:r>
    </w:p>
  </w:footnote>
  <w:footnote w:id="4">
    <w:p w:rsidR="008A62BF" w:rsidRPr="00D460C5" w:rsidRDefault="008A62BF" w:rsidP="003B2B7E">
      <w:pPr>
        <w:pStyle w:val="FootnoteText"/>
      </w:pPr>
      <w:r>
        <w:rPr>
          <w:rStyle w:val="FootnoteReference"/>
        </w:rPr>
        <w:footnoteRef/>
      </w:r>
      <w:r>
        <w:t xml:space="preserve"> </w:t>
      </w:r>
      <w:r>
        <w:tab/>
        <w:t xml:space="preserve">Adapted from: NOPTA, 2015. </w:t>
      </w:r>
      <w:r>
        <w:rPr>
          <w:i/>
        </w:rPr>
        <w:t>About NOPTA</w:t>
      </w:r>
      <w:r>
        <w:t xml:space="preserve">. Available at </w:t>
      </w:r>
      <w:hyperlink r:id="rId2" w:history="1">
        <w:r w:rsidRPr="002E1ED3">
          <w:rPr>
            <w:rStyle w:val="Hyperlink"/>
          </w:rPr>
          <w:t>http://nopta.gov.au/about/index.html</w:t>
        </w:r>
      </w:hyperlink>
      <w:r>
        <w:t xml:space="preserve"> </w:t>
      </w:r>
    </w:p>
  </w:footnote>
  <w:footnote w:id="5">
    <w:p w:rsidR="008A62BF" w:rsidRPr="00520457" w:rsidRDefault="008A62BF" w:rsidP="00472F7F">
      <w:pPr>
        <w:pStyle w:val="FootnoteText"/>
      </w:pPr>
      <w:r>
        <w:rPr>
          <w:rStyle w:val="FootnoteReference"/>
        </w:rPr>
        <w:footnoteRef/>
      </w:r>
      <w:r>
        <w:t xml:space="preserve"> </w:t>
      </w:r>
      <w:r>
        <w:tab/>
        <w:t xml:space="preserve">Adapted from: NOPTA, 2013. </w:t>
      </w:r>
      <w:r w:rsidRPr="00EA1945">
        <w:rPr>
          <w:i/>
        </w:rPr>
        <w:t>Cost Recovery Impact Statement- National Offshore Petroleum Titles Administrator</w:t>
      </w:r>
      <w:r w:rsidRPr="005C39E7">
        <w:t>, p3-6</w:t>
      </w:r>
    </w:p>
  </w:footnote>
  <w:footnote w:id="6">
    <w:p w:rsidR="008A62BF" w:rsidRDefault="008A62BF" w:rsidP="003B2B7E">
      <w:pPr>
        <w:pStyle w:val="FootnoteText"/>
      </w:pPr>
      <w:r>
        <w:rPr>
          <w:rStyle w:val="FootnoteReference"/>
        </w:rPr>
        <w:footnoteRef/>
      </w:r>
      <w:r>
        <w:t xml:space="preserve"> </w:t>
      </w:r>
      <w:r>
        <w:tab/>
        <w:t xml:space="preserve">Australia’s Offshore Jurisdiction: </w:t>
      </w:r>
      <w:r w:rsidRPr="005C39E7">
        <w:rPr>
          <w:i/>
        </w:rPr>
        <w:t>Explanation of Terminology in Relation to Petroleum Exploration and Development</w:t>
      </w:r>
      <w:r>
        <w:t xml:space="preserve">, p.1, </w:t>
      </w:r>
      <w:hyperlink r:id="rId3" w:history="1">
        <w:r w:rsidRPr="004E016B">
          <w:rPr>
            <w:rStyle w:val="Hyperlink"/>
          </w:rPr>
          <w:t>http://www.industry.gov.au/resource/Documents/upstream-petroleum/Australia+%C3%A5s_Offshore_ Jurisdiction.pdf</w:t>
        </w:r>
      </w:hyperlink>
      <w:r>
        <w:t xml:space="preserve">  </w:t>
      </w:r>
    </w:p>
  </w:footnote>
  <w:footnote w:id="7">
    <w:p w:rsidR="008A62BF" w:rsidRDefault="008A62BF" w:rsidP="003B2B7E">
      <w:pPr>
        <w:pStyle w:val="FootnoteText"/>
      </w:pPr>
      <w:r>
        <w:rPr>
          <w:rStyle w:val="FootnoteReference"/>
        </w:rPr>
        <w:footnoteRef/>
      </w:r>
      <w:r>
        <w:t xml:space="preserve"> </w:t>
      </w:r>
      <w:r>
        <w:tab/>
      </w:r>
      <w:r w:rsidRPr="00E05F45">
        <w:t>Offshore Petroleum and Greenhouse Gas Storage Act</w:t>
      </w:r>
      <w:r>
        <w:t>,</w:t>
      </w:r>
      <w:r w:rsidRPr="005C39E7">
        <w:t xml:space="preserve"> 2006</w:t>
      </w:r>
      <w:r>
        <w:t xml:space="preserve">  ch 6, pt 6.9, s 644.</w:t>
      </w:r>
    </w:p>
  </w:footnote>
  <w:footnote w:id="8">
    <w:p w:rsidR="008A62BF" w:rsidRDefault="008A62BF" w:rsidP="003B2B7E">
      <w:pPr>
        <w:pStyle w:val="FootnoteText"/>
      </w:pPr>
      <w:r>
        <w:rPr>
          <w:rStyle w:val="FootnoteReference"/>
        </w:rPr>
        <w:footnoteRef/>
      </w:r>
      <w:r>
        <w:t xml:space="preserve"> </w:t>
      </w:r>
      <w:r>
        <w:tab/>
      </w:r>
      <w:r>
        <w:rPr>
          <w:i/>
        </w:rPr>
        <w:t>Ibid.</w:t>
      </w:r>
      <w:r>
        <w:t>,, ch 1, pt 1.2, ss 7 and 8.</w:t>
      </w:r>
    </w:p>
  </w:footnote>
  <w:footnote w:id="9">
    <w:p w:rsidR="008A62BF" w:rsidRDefault="008A62BF" w:rsidP="003B2B7E">
      <w:pPr>
        <w:pStyle w:val="FootnoteText"/>
      </w:pPr>
      <w:r>
        <w:rPr>
          <w:rStyle w:val="FootnoteReference"/>
        </w:rPr>
        <w:footnoteRef/>
      </w:r>
      <w:r>
        <w:t xml:space="preserve"> </w:t>
      </w:r>
      <w:r>
        <w:tab/>
      </w:r>
      <w:r w:rsidRPr="004E016B">
        <w:rPr>
          <w:i/>
        </w:rPr>
        <w:t>Offshore Petroleum and Greenhouse Gas Storage Act</w:t>
      </w:r>
      <w:r>
        <w:t>,</w:t>
      </w:r>
      <w:r w:rsidRPr="005C39E7">
        <w:t xml:space="preserve"> 2006</w:t>
      </w:r>
      <w:r>
        <w:t xml:space="preserve"> ch 1, pt 1.1, s 4.</w:t>
      </w:r>
    </w:p>
  </w:footnote>
  <w:footnote w:id="10">
    <w:p w:rsidR="008A62BF" w:rsidRPr="002B3DD2" w:rsidRDefault="008A62BF" w:rsidP="003B2B7E">
      <w:pPr>
        <w:pStyle w:val="FootnoteText"/>
      </w:pPr>
      <w:r>
        <w:rPr>
          <w:rStyle w:val="FootnoteReference"/>
        </w:rPr>
        <w:footnoteRef/>
      </w:r>
      <w:r>
        <w:t xml:space="preserve"> </w:t>
      </w:r>
      <w:r>
        <w:tab/>
      </w:r>
      <w:r w:rsidRPr="004E016B">
        <w:rPr>
          <w:i/>
        </w:rPr>
        <w:t>Offshore Petroleum and Greenhouse Gas Storage Act</w:t>
      </w:r>
      <w:r>
        <w:rPr>
          <w:i/>
        </w:rPr>
        <w:t>,</w:t>
      </w:r>
      <w:r>
        <w:t xml:space="preserve"> ch 6, pt 6.10, s 695B.</w:t>
      </w:r>
    </w:p>
  </w:footnote>
  <w:footnote w:id="11">
    <w:p w:rsidR="008A62BF" w:rsidRPr="006127A2" w:rsidRDefault="008A62BF" w:rsidP="00E6540C">
      <w:pPr>
        <w:pStyle w:val="FootnoteText"/>
      </w:pPr>
      <w:r>
        <w:rPr>
          <w:rStyle w:val="FootnoteReference"/>
        </w:rPr>
        <w:footnoteRef/>
      </w:r>
      <w:r>
        <w:t xml:space="preserve"> </w:t>
      </w:r>
      <w:r>
        <w:tab/>
      </w:r>
      <w:r w:rsidRPr="00E05F45">
        <w:rPr>
          <w:i/>
        </w:rPr>
        <w:t>Ibid</w:t>
      </w:r>
      <w:r w:rsidRPr="005C39E7">
        <w:t>., ch 1, pt 1.3, s 59</w:t>
      </w:r>
      <w:r>
        <w:t>.</w:t>
      </w:r>
    </w:p>
  </w:footnote>
  <w:footnote w:id="12">
    <w:p w:rsidR="008A62BF" w:rsidRDefault="008A62BF" w:rsidP="003B2B7E">
      <w:pPr>
        <w:pStyle w:val="FootnoteText"/>
      </w:pPr>
      <w:r>
        <w:rPr>
          <w:rStyle w:val="FootnoteReference"/>
        </w:rPr>
        <w:footnoteRef/>
      </w:r>
      <w:r>
        <w:t xml:space="preserve"> </w:t>
      </w:r>
      <w:r>
        <w:tab/>
        <w:t>This does not refer to circumstances where force majeure is invoked.</w:t>
      </w:r>
    </w:p>
  </w:footnote>
  <w:footnote w:id="13">
    <w:p w:rsidR="008A62BF" w:rsidRPr="00440F3C" w:rsidRDefault="008A62BF" w:rsidP="003B2B7E">
      <w:pPr>
        <w:pStyle w:val="FootnoteText"/>
        <w:rPr>
          <w:lang w:val="en-US"/>
        </w:rPr>
      </w:pPr>
      <w:r>
        <w:rPr>
          <w:rStyle w:val="FootnoteReference"/>
        </w:rPr>
        <w:footnoteRef/>
      </w:r>
      <w:r>
        <w:t xml:space="preserve"> </w:t>
      </w:r>
      <w:r>
        <w:tab/>
      </w:r>
      <w:r>
        <w:rPr>
          <w:lang w:val="en-US"/>
        </w:rPr>
        <w:t xml:space="preserve">When this Report refers to capacity and capability, capacity refers to the </w:t>
      </w:r>
      <w:r w:rsidRPr="00F3418B">
        <w:rPr>
          <w:i/>
          <w:lang w:val="en-US"/>
        </w:rPr>
        <w:t>amount</w:t>
      </w:r>
      <w:r>
        <w:rPr>
          <w:lang w:val="en-US"/>
        </w:rPr>
        <w:t xml:space="preserve"> of personnel, equipment, etc… to undertake functions and capability refers to the </w:t>
      </w:r>
      <w:r w:rsidRPr="00F3418B">
        <w:rPr>
          <w:i/>
          <w:lang w:val="en-US"/>
        </w:rPr>
        <w:t>needed</w:t>
      </w:r>
      <w:r>
        <w:rPr>
          <w:lang w:val="en-US"/>
        </w:rPr>
        <w:t xml:space="preserve"> expertise, experience, tools, etc… in the organisation to undertake the function.</w:t>
      </w:r>
    </w:p>
  </w:footnote>
  <w:footnote w:id="14">
    <w:p w:rsidR="008A62BF" w:rsidRPr="00F3418B" w:rsidRDefault="008A62BF" w:rsidP="003B2B7E">
      <w:pPr>
        <w:pStyle w:val="FootnoteText"/>
        <w:rPr>
          <w:lang w:val="en-US"/>
        </w:rPr>
      </w:pPr>
      <w:r>
        <w:rPr>
          <w:rStyle w:val="FootnoteReference"/>
        </w:rPr>
        <w:footnoteRef/>
      </w:r>
      <w:r>
        <w:t xml:space="preserve"> </w:t>
      </w:r>
      <w:r>
        <w:rPr>
          <w:lang w:val="en-US"/>
        </w:rPr>
        <w:t xml:space="preserve"> </w:t>
      </w:r>
      <w:r>
        <w:rPr>
          <w:lang w:val="en-US"/>
        </w:rPr>
        <w:tab/>
        <w:t xml:space="preserve">NOPTA, </w:t>
      </w:r>
      <w:r w:rsidRPr="004E016B">
        <w:rPr>
          <w:i/>
          <w:lang w:val="en-US"/>
        </w:rPr>
        <w:t>2015 Corporate Plan - Finance Chart</w:t>
      </w:r>
      <w:r w:rsidRPr="00495BF3">
        <w:rPr>
          <w:lang w:val="en-US"/>
        </w:rPr>
        <w:t>, as provided by NOPTA.</w:t>
      </w:r>
    </w:p>
  </w:footnote>
  <w:footnote w:id="15">
    <w:p w:rsidR="008A62BF" w:rsidRDefault="008A62BF" w:rsidP="003B2B7E">
      <w:pPr>
        <w:pStyle w:val="FootnoteText"/>
      </w:pPr>
      <w:r>
        <w:rPr>
          <w:rStyle w:val="FootnoteReference"/>
        </w:rPr>
        <w:footnoteRef/>
      </w:r>
      <w:r>
        <w:t xml:space="preserve"> </w:t>
      </w:r>
      <w:r>
        <w:tab/>
        <w:t xml:space="preserve">Seaward Production License P2077- </w:t>
      </w:r>
      <w:hyperlink r:id="rId4" w:history="1">
        <w:r w:rsidRPr="004E016B">
          <w:rPr>
            <w:rStyle w:val="Hyperlink"/>
          </w:rPr>
          <w:t>https://itportal.decc.gov.uk/web_files/recent_licences/licences/P2077.pdf</w:t>
        </w:r>
      </w:hyperlink>
    </w:p>
  </w:footnote>
  <w:footnote w:id="16">
    <w:p w:rsidR="008A62BF" w:rsidRPr="00F24FC5" w:rsidRDefault="008A62BF" w:rsidP="003B2B7E">
      <w:pPr>
        <w:pStyle w:val="FootnoteText"/>
        <w:rPr>
          <w:lang w:val="en-US"/>
        </w:rPr>
      </w:pPr>
      <w:r>
        <w:rPr>
          <w:rStyle w:val="FootnoteReference"/>
        </w:rPr>
        <w:footnoteRef/>
      </w:r>
      <w:r>
        <w:t xml:space="preserve"> </w:t>
      </w:r>
      <w:r>
        <w:tab/>
      </w:r>
      <w:r>
        <w:rPr>
          <w:lang w:val="en-US"/>
        </w:rPr>
        <w:t xml:space="preserve">Noetic Solutions Pty Limited, 2011, </w:t>
      </w:r>
      <w:r>
        <w:rPr>
          <w:i/>
          <w:lang w:val="en-US"/>
        </w:rPr>
        <w:t>National Legislative Compliance Framework</w:t>
      </w:r>
      <w:r>
        <w:rPr>
          <w:lang w:val="en-US"/>
        </w:rPr>
        <w:t xml:space="preserve">. Available at </w:t>
      </w:r>
      <w:hyperlink r:id="rId5" w:history="1">
        <w:r w:rsidRPr="004E016B">
          <w:rPr>
            <w:rStyle w:val="Hyperlink"/>
            <w:lang w:val="en-US"/>
          </w:rPr>
          <w:t>http://www.industry.gov.au/resource/Documents/upstream-petroleum/regulation-legislation/110721NLCF-ReportF.pdf</w:t>
        </w:r>
      </w:hyperlink>
      <w:r>
        <w:rPr>
          <w:lang w:val="en-US"/>
        </w:rPr>
        <w:t xml:space="preserve"> </w:t>
      </w:r>
    </w:p>
  </w:footnote>
  <w:footnote w:id="17">
    <w:p w:rsidR="008A62BF" w:rsidRPr="00622D17" w:rsidRDefault="008A62BF" w:rsidP="003B2B7E">
      <w:pPr>
        <w:pStyle w:val="FootnoteText"/>
        <w:rPr>
          <w:lang w:val="en-US"/>
        </w:rPr>
      </w:pPr>
      <w:r>
        <w:rPr>
          <w:rStyle w:val="FootnoteReference"/>
        </w:rPr>
        <w:footnoteRef/>
      </w:r>
      <w:r>
        <w:t xml:space="preserve"> </w:t>
      </w:r>
      <w:r>
        <w:tab/>
      </w:r>
      <w:r>
        <w:rPr>
          <w:lang w:val="en-US"/>
        </w:rPr>
        <w:t>Due to confidentiality periods, not all samples can be accessed.  Once outside of these confidentiality periods, samples are viewable under the terms of the facility’s arrangements.</w:t>
      </w:r>
    </w:p>
  </w:footnote>
  <w:footnote w:id="18">
    <w:p w:rsidR="008A62BF" w:rsidRDefault="008A62BF" w:rsidP="003B2B7E">
      <w:pPr>
        <w:pStyle w:val="FootnoteText"/>
      </w:pPr>
      <w:r>
        <w:rPr>
          <w:rStyle w:val="FootnoteReference"/>
        </w:rPr>
        <w:footnoteRef/>
      </w:r>
      <w:r>
        <w:t xml:space="preserve"> </w:t>
      </w:r>
      <w:r>
        <w:tab/>
        <w:t xml:space="preserve">NOPTA, </w:t>
      </w:r>
      <w:r>
        <w:rPr>
          <w:i/>
        </w:rPr>
        <w:t>Data Submissions</w:t>
      </w:r>
      <w:r>
        <w:t xml:space="preserve">, </w:t>
      </w:r>
      <w:hyperlink r:id="rId6" w:history="1">
        <w:r w:rsidRPr="00895BD9">
          <w:rPr>
            <w:rStyle w:val="Hyperlink1"/>
          </w:rPr>
          <w:t>http://www.nopta.gov.au/data-mgmt/data-submissions.html</w:t>
        </w:r>
      </w:hyperlink>
    </w:p>
  </w:footnote>
  <w:footnote w:id="19">
    <w:p w:rsidR="008A62BF" w:rsidRPr="009D215F" w:rsidRDefault="008A62BF" w:rsidP="003B2B7E">
      <w:pPr>
        <w:pStyle w:val="FootnoteText"/>
      </w:pPr>
      <w:r>
        <w:rPr>
          <w:rStyle w:val="FootnoteReference"/>
        </w:rPr>
        <w:footnoteRef/>
      </w:r>
      <w:r>
        <w:t xml:space="preserve"> </w:t>
      </w:r>
      <w:r>
        <w:tab/>
        <w:t xml:space="preserve">As outlined in the </w:t>
      </w:r>
      <w:r>
        <w:rPr>
          <w:i/>
        </w:rPr>
        <w:t>Offshore Petroleum and Greenhouse Gas Storage (Resource Management and Administration) Regulations 2011</w:t>
      </w:r>
      <w:r>
        <w:t>, Part 8, Division 3. Confidentiality periods vary from two years to 15 years, depending on the type of data (for example, wells data or survey data).</w:t>
      </w:r>
    </w:p>
  </w:footnote>
  <w:footnote w:id="20">
    <w:p w:rsidR="008A62BF" w:rsidRDefault="008A62BF" w:rsidP="003B2B7E">
      <w:pPr>
        <w:pStyle w:val="FootnoteText"/>
      </w:pPr>
      <w:r>
        <w:rPr>
          <w:rStyle w:val="FootnoteReference"/>
        </w:rPr>
        <w:footnoteRef/>
      </w:r>
      <w:r>
        <w:t xml:space="preserve"> </w:t>
      </w:r>
      <w:r>
        <w:tab/>
        <w:t xml:space="preserve">Cost Recovery Impact Statement 1 November 2013-30 June 2016- </w:t>
      </w:r>
      <w:hyperlink r:id="rId7" w:history="1">
        <w:r w:rsidRPr="003B2B7E">
          <w:rPr>
            <w:rStyle w:val="Hyperlink"/>
          </w:rPr>
          <w:t>http://www.nopta.gov.au/_documents/NOPTA-CRIS-Nov13-Jun16.pdf</w:t>
        </w:r>
      </w:hyperlink>
    </w:p>
  </w:footnote>
  <w:footnote w:id="21">
    <w:p w:rsidR="008A62BF" w:rsidRDefault="008A62BF" w:rsidP="003B2B7E">
      <w:pPr>
        <w:pStyle w:val="FootnoteText"/>
      </w:pPr>
      <w:r>
        <w:rPr>
          <w:rStyle w:val="FootnoteReference"/>
        </w:rPr>
        <w:footnoteRef/>
      </w:r>
      <w:r>
        <w:t xml:space="preserve"> </w:t>
      </w:r>
      <w:r>
        <w:tab/>
        <w:t xml:space="preserve">See Department of Industry and Science, </w:t>
      </w:r>
      <w:r w:rsidRPr="00FA2E97">
        <w:rPr>
          <w:i/>
        </w:rPr>
        <w:t>Offshore Greenhouse Gas Storage</w:t>
      </w:r>
      <w:r>
        <w:t xml:space="preserve">, </w:t>
      </w:r>
      <w:hyperlink r:id="rId8" w:history="1">
        <w:r w:rsidRPr="00417D12">
          <w:rPr>
            <w:rStyle w:val="Hyperlink"/>
          </w:rPr>
          <w:t>http://www.petroleum-acreage.gov.au/2015/supporting-information/offshore-greenhouse-gas-storage</w:t>
        </w:r>
      </w:hyperlink>
      <w:r w:rsidRPr="00417D12">
        <w:t xml:space="preserve"> </w:t>
      </w:r>
      <w:r>
        <w:t>.</w:t>
      </w:r>
    </w:p>
  </w:footnote>
  <w:footnote w:id="22">
    <w:p w:rsidR="008A62BF" w:rsidRDefault="008A62BF" w:rsidP="003B2B7E">
      <w:pPr>
        <w:pStyle w:val="FootnoteText"/>
      </w:pPr>
      <w:r>
        <w:rPr>
          <w:rStyle w:val="FootnoteReference"/>
        </w:rPr>
        <w:footnoteRef/>
      </w:r>
      <w:r>
        <w:t xml:space="preserve"> </w:t>
      </w:r>
      <w:r>
        <w:tab/>
        <w:t xml:space="preserve">Schedule of Fees- NOPTA – </w:t>
      </w:r>
      <w:hyperlink r:id="rId9" w:history="1">
        <w:r w:rsidRPr="00EA1945">
          <w:rPr>
            <w:rStyle w:val="Hyperlink"/>
          </w:rPr>
          <w:t>http://www.nopta.gov.au/_documents/scheduleOfFees-20131109.pdf</w:t>
        </w:r>
      </w:hyperlink>
    </w:p>
  </w:footnote>
  <w:footnote w:id="23">
    <w:p w:rsidR="008A62BF" w:rsidRDefault="008A62BF" w:rsidP="003B2B7E">
      <w:pPr>
        <w:pStyle w:val="FootnoteText"/>
      </w:pPr>
      <w:r>
        <w:rPr>
          <w:rStyle w:val="FootnoteReference"/>
        </w:rPr>
        <w:footnoteRef/>
      </w:r>
      <w:r>
        <w:t xml:space="preserve"> </w:t>
      </w:r>
      <w:r>
        <w:tab/>
        <w:t xml:space="preserve">Regulations to Act relating to petroleum activities- Norwegian Petroleum Directorate – </w:t>
      </w:r>
      <w:hyperlink r:id="rId10" w:history="1">
        <w:r w:rsidRPr="00EA1945">
          <w:rPr>
            <w:rStyle w:val="Hyperlink"/>
          </w:rPr>
          <w:t>http://www.npd.no/en/regulations/regulations/petroleum-activities/#3</w:t>
        </w:r>
      </w:hyperlink>
    </w:p>
  </w:footnote>
  <w:footnote w:id="24">
    <w:p w:rsidR="008A62BF" w:rsidRDefault="008A62BF" w:rsidP="003B2B7E">
      <w:pPr>
        <w:pStyle w:val="FootnoteText"/>
      </w:pPr>
      <w:r>
        <w:rPr>
          <w:rStyle w:val="FootnoteReference"/>
        </w:rPr>
        <w:footnoteRef/>
      </w:r>
      <w:r>
        <w:t xml:space="preserve"> </w:t>
      </w:r>
      <w:r>
        <w:tab/>
        <w:t xml:space="preserve">Daily Exchange Rates (from 1981) – </w:t>
      </w:r>
      <w:hyperlink r:id="rId11" w:history="1">
        <w:r w:rsidRPr="00EA1945">
          <w:rPr>
            <w:rStyle w:val="Hyperlink"/>
          </w:rPr>
          <w:t>http://www.norges-bank.no/WebDAV/stat/valutakurser/xlsx/valutakurser_d.xlsx</w:t>
        </w:r>
      </w:hyperlink>
    </w:p>
  </w:footnote>
  <w:footnote w:id="25">
    <w:p w:rsidR="008A62BF" w:rsidRDefault="008A62BF" w:rsidP="003B2B7E">
      <w:pPr>
        <w:pStyle w:val="FootnoteText"/>
      </w:pPr>
      <w:r>
        <w:rPr>
          <w:rStyle w:val="FootnoteReference"/>
        </w:rPr>
        <w:footnoteRef/>
      </w:r>
      <w:r>
        <w:t xml:space="preserve"> </w:t>
      </w:r>
      <w:r>
        <w:tab/>
        <w:t xml:space="preserve">The Gas and Petroleum (Consents) Charges Regulations 2013 (UK) –  </w:t>
      </w:r>
      <w:hyperlink r:id="rId12" w:history="1">
        <w:r w:rsidRPr="00EA1945">
          <w:rPr>
            <w:rStyle w:val="Hyperlink"/>
          </w:rPr>
          <w:t>http://www.legislation.gov.uk/uksi/2013/1138/regulation/3/made</w:t>
        </w:r>
      </w:hyperlink>
    </w:p>
  </w:footnote>
  <w:footnote w:id="26">
    <w:p w:rsidR="008A62BF" w:rsidRDefault="008A62BF" w:rsidP="003B2B7E">
      <w:pPr>
        <w:pStyle w:val="FootnoteText"/>
      </w:pPr>
      <w:r>
        <w:rPr>
          <w:rStyle w:val="FootnoteReference"/>
        </w:rPr>
        <w:footnoteRef/>
      </w:r>
      <w:r>
        <w:t xml:space="preserve"> </w:t>
      </w:r>
      <w:r>
        <w:tab/>
        <w:t xml:space="preserve">Exchange Rates Daily- 2014 to Current – </w:t>
      </w:r>
      <w:hyperlink r:id="rId13" w:history="1">
        <w:r w:rsidRPr="00EA1945">
          <w:rPr>
            <w:rStyle w:val="Hyperlink"/>
          </w:rPr>
          <w:t>http://www.rba.gov.au/statistics/tables/xls-hist/2014-current.xls</w:t>
        </w:r>
      </w:hyperlink>
    </w:p>
  </w:footnote>
  <w:footnote w:id="27">
    <w:p w:rsidR="008A62BF" w:rsidRDefault="008A62BF" w:rsidP="003B2B7E">
      <w:pPr>
        <w:pStyle w:val="FootnoteText"/>
      </w:pPr>
      <w:r>
        <w:rPr>
          <w:rStyle w:val="FootnoteReference"/>
        </w:rPr>
        <w:footnoteRef/>
      </w:r>
      <w:r>
        <w:t xml:space="preserve"> </w:t>
      </w:r>
      <w:r>
        <w:tab/>
        <w:t xml:space="preserve">Seaward Production License P2077 – </w:t>
      </w:r>
      <w:hyperlink r:id="rId14" w:history="1">
        <w:r w:rsidRPr="00EA1945">
          <w:rPr>
            <w:rStyle w:val="Hyperlink"/>
          </w:rPr>
          <w:t>https://itportal.decc.gov.uk/web_files/recent_licences/licences/P2077.pdf</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62BF" w:rsidRPr="00A42491" w:rsidRDefault="008A62BF" w:rsidP="009D44B8">
    <w:pPr>
      <w:pStyle w:val="Header"/>
      <w:rPr>
        <w:i/>
        <w:sz w:val="16"/>
      </w:rPr>
    </w:pPr>
    <w:r w:rsidRPr="009D44B8">
      <w:rPr>
        <w:i/>
        <w:sz w:val="16"/>
      </w:rPr>
      <w:t>2015 OPERATIONAL REVIEW OF THE NATIONAL OFFSHORE PETROLEUM TITLES ADMINISTRATOR</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62BF" w:rsidRDefault="008A62BF">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62BF" w:rsidRPr="001D1630" w:rsidRDefault="008A62BF">
    <w:pPr>
      <w:pStyle w:val="Header"/>
      <w:rPr>
        <w:i/>
        <w:sz w:val="16"/>
      </w:rPr>
    </w:pPr>
    <w:r w:rsidRPr="009D44B8">
      <w:rPr>
        <w:i/>
        <w:sz w:val="16"/>
      </w:rPr>
      <w:t>2015 OPERATIONAL REVIEW OF THE NATIONAL OFFSHORE PETROLEUM TITLES ADMINISTRATOR</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62BF" w:rsidRDefault="008A62BF">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62BF" w:rsidRDefault="008A62BF">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62BF" w:rsidRPr="001D1630" w:rsidRDefault="008A62BF">
    <w:pPr>
      <w:pStyle w:val="Header"/>
      <w:rPr>
        <w:i/>
        <w:sz w:val="16"/>
      </w:rPr>
    </w:pPr>
    <w:r w:rsidRPr="009D44B8">
      <w:rPr>
        <w:i/>
        <w:sz w:val="16"/>
      </w:rPr>
      <w:t>2015 OPERATIONAL REVIEW OF THE NATIONAL OFFSHORE PETROLEUM TITLES ADMINISTRATOR</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62BF" w:rsidRDefault="008A62BF">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62BF" w:rsidRDefault="008A62BF">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62BF" w:rsidRPr="001D1630" w:rsidRDefault="008A62BF">
    <w:pPr>
      <w:pStyle w:val="Header"/>
      <w:rPr>
        <w:i/>
        <w:sz w:val="16"/>
      </w:rPr>
    </w:pPr>
    <w:r w:rsidRPr="009D44B8">
      <w:rPr>
        <w:i/>
        <w:sz w:val="16"/>
      </w:rPr>
      <w:t>2015 OPERATIONAL REVIEW OF THE NATIONAL OFFSHORE PETROLEUM TITLES ADMINISTRATOR</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62BF" w:rsidRDefault="008A62BF">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62BF" w:rsidRDefault="008A62B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62BF" w:rsidRDefault="008A62BF" w:rsidP="009E508A">
    <w:pPr>
      <w:pStyle w:val="Header"/>
      <w:ind w:left="-142" w:hanging="142"/>
    </w:pPr>
    <w:r>
      <w:rPr>
        <w:noProof/>
        <w:lang w:eastAsia="en-AU"/>
      </w:rPr>
      <w:drawing>
        <wp:inline distT="0" distB="0" distL="0" distR="0" wp14:anchorId="1449BB36" wp14:editId="6B9FCC99">
          <wp:extent cx="6062400" cy="1198800"/>
          <wp:effectExtent l="0" t="0" r="0" b="1905"/>
          <wp:docPr id="55" name="Picture 55" descr="cover_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over_graphi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62400" cy="1198800"/>
                  </a:xfrm>
                  <a:prstGeom prst="rect">
                    <a:avLst/>
                  </a:prstGeom>
                  <a:noFill/>
                </pic:spPr>
              </pic:pic>
            </a:graphicData>
          </a:graphic>
        </wp:inline>
      </w:drawing>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62BF" w:rsidRPr="001D1630" w:rsidRDefault="008A62BF" w:rsidP="001D1630">
    <w:pPr>
      <w:pStyle w:val="Header"/>
      <w:rPr>
        <w:i/>
        <w:sz w:val="16"/>
      </w:rPr>
    </w:pPr>
    <w:r w:rsidRPr="009D44B8">
      <w:rPr>
        <w:i/>
        <w:sz w:val="16"/>
      </w:rPr>
      <w:t>2015 OPERATIONAL REVIEW OF THE NATIONAL OFFSHORE PETROLEUM TITLES ADMINISTRATOR</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62BF" w:rsidRDefault="008A62BF" w:rsidP="00BD5094">
    <w:pPr>
      <w:pStyle w:val="Footer"/>
      <w:jc w:val="center"/>
      <w:rPr>
        <w:sz w:val="16"/>
        <w:szCs w:val="16"/>
      </w:rPr>
    </w:pPr>
    <w:r w:rsidRPr="00C7169B">
      <w:rPr>
        <w:sz w:val="16"/>
        <w:szCs w:val="16"/>
      </w:rPr>
      <w:t>in-confidence</w:t>
    </w:r>
  </w:p>
  <w:p w:rsidR="008A62BF" w:rsidRPr="00BD5094" w:rsidRDefault="008A62BF" w:rsidP="00BD5094">
    <w:pPr>
      <w:pStyle w:val="Header"/>
      <w:rPr>
        <w:i/>
        <w:sz w:val="16"/>
      </w:rPr>
    </w:pPr>
    <w:r w:rsidRPr="00A42491">
      <w:rPr>
        <w:i/>
        <w:sz w:val="16"/>
      </w:rPr>
      <w:t>NOPTA Review</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62BF" w:rsidRDefault="008A62B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62BF" w:rsidRPr="00A42491" w:rsidRDefault="008A62BF" w:rsidP="00825D54">
    <w:pPr>
      <w:pStyle w:val="Header"/>
      <w:rPr>
        <w:i/>
        <w:sz w:val="16"/>
      </w:rPr>
    </w:pPr>
    <w:r w:rsidRPr="009D44B8">
      <w:rPr>
        <w:i/>
        <w:sz w:val="16"/>
      </w:rPr>
      <w:t>2015 OPERATIONAL REVIEW OF THE NATIONAL OFFSHORE PETROLEUM TITLES ADMINISTRATOR</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62BF" w:rsidRDefault="008A62BF">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62BF" w:rsidRDefault="008A62BF">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62BF" w:rsidRDefault="008A62BF">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62BF" w:rsidRPr="001D1630" w:rsidRDefault="008A62BF">
    <w:pPr>
      <w:pStyle w:val="Header"/>
      <w:rPr>
        <w:i/>
        <w:sz w:val="16"/>
      </w:rPr>
    </w:pPr>
    <w:r w:rsidRPr="009D44B8">
      <w:rPr>
        <w:i/>
        <w:sz w:val="16"/>
      </w:rPr>
      <w:t>2015 OPERATIONAL REVIEW OF THE NATIONAL OFFSHORE PETROLEUM TITLES ADMINISTRATOR</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62BF" w:rsidRDefault="008A62B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72A85"/>
    <w:multiLevelType w:val="hybridMultilevel"/>
    <w:tmpl w:val="0CF68C82"/>
    <w:lvl w:ilvl="0" w:tplc="4B905F94">
      <w:start w:val="1"/>
      <w:numFmt w:val="bullet"/>
      <w:pStyle w:val="Noetic-Columncomment"/>
      <w:lvlText w:val=""/>
      <w:lvlJc w:val="left"/>
      <w:pPr>
        <w:tabs>
          <w:tab w:val="num" w:pos="425"/>
        </w:tabs>
        <w:ind w:left="425" w:hanging="425"/>
      </w:pPr>
      <w:rPr>
        <w:rFonts w:ascii="Webdings" w:hAnsi="Web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601952"/>
    <w:multiLevelType w:val="hybridMultilevel"/>
    <w:tmpl w:val="05ACD664"/>
    <w:lvl w:ilvl="0" w:tplc="3308366C">
      <w:start w:val="1"/>
      <w:numFmt w:val="decimal"/>
      <w:pStyle w:val="RecommExec"/>
      <w:lvlText w:val="Recommendation %1."/>
      <w:lvlJc w:val="left"/>
      <w:pPr>
        <w:ind w:left="2062" w:hanging="360"/>
      </w:pPr>
      <w:rPr>
        <w:rFonts w:ascii="Arial Bold" w:hAnsi="Arial Bold" w:cs="Times New Roman" w:hint="default"/>
        <w:b/>
        <w:bCs w:val="0"/>
        <w:i w:val="0"/>
        <w:iCs w:val="0"/>
        <w:caps w:val="0"/>
        <w:strike w:val="0"/>
        <w:dstrike w:val="0"/>
        <w:vanish w:val="0"/>
        <w:color w:val="000000"/>
        <w:spacing w:val="0"/>
        <w:kern w:val="0"/>
        <w:position w:val="0"/>
        <w:sz w:val="18"/>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ind w:left="2782" w:hanging="360"/>
      </w:pPr>
    </w:lvl>
    <w:lvl w:ilvl="2" w:tplc="0809001B" w:tentative="1">
      <w:start w:val="1"/>
      <w:numFmt w:val="lowerRoman"/>
      <w:lvlText w:val="%3."/>
      <w:lvlJc w:val="right"/>
      <w:pPr>
        <w:ind w:left="3502" w:hanging="180"/>
      </w:pPr>
    </w:lvl>
    <w:lvl w:ilvl="3" w:tplc="0809000F" w:tentative="1">
      <w:start w:val="1"/>
      <w:numFmt w:val="decimal"/>
      <w:lvlText w:val="%4."/>
      <w:lvlJc w:val="left"/>
      <w:pPr>
        <w:ind w:left="4222" w:hanging="360"/>
      </w:pPr>
    </w:lvl>
    <w:lvl w:ilvl="4" w:tplc="08090019" w:tentative="1">
      <w:start w:val="1"/>
      <w:numFmt w:val="lowerLetter"/>
      <w:lvlText w:val="%5."/>
      <w:lvlJc w:val="left"/>
      <w:pPr>
        <w:ind w:left="4942" w:hanging="360"/>
      </w:pPr>
    </w:lvl>
    <w:lvl w:ilvl="5" w:tplc="0809001B" w:tentative="1">
      <w:start w:val="1"/>
      <w:numFmt w:val="lowerRoman"/>
      <w:lvlText w:val="%6."/>
      <w:lvlJc w:val="right"/>
      <w:pPr>
        <w:ind w:left="5662" w:hanging="180"/>
      </w:pPr>
    </w:lvl>
    <w:lvl w:ilvl="6" w:tplc="0809000F" w:tentative="1">
      <w:start w:val="1"/>
      <w:numFmt w:val="decimal"/>
      <w:lvlText w:val="%7."/>
      <w:lvlJc w:val="left"/>
      <w:pPr>
        <w:ind w:left="6382" w:hanging="360"/>
      </w:pPr>
    </w:lvl>
    <w:lvl w:ilvl="7" w:tplc="08090019" w:tentative="1">
      <w:start w:val="1"/>
      <w:numFmt w:val="lowerLetter"/>
      <w:lvlText w:val="%8."/>
      <w:lvlJc w:val="left"/>
      <w:pPr>
        <w:ind w:left="7102" w:hanging="360"/>
      </w:pPr>
    </w:lvl>
    <w:lvl w:ilvl="8" w:tplc="0809001B" w:tentative="1">
      <w:start w:val="1"/>
      <w:numFmt w:val="lowerRoman"/>
      <w:lvlText w:val="%9."/>
      <w:lvlJc w:val="right"/>
      <w:pPr>
        <w:ind w:left="7822" w:hanging="180"/>
      </w:pPr>
    </w:lvl>
  </w:abstractNum>
  <w:abstractNum w:abstractNumId="2" w15:restartNumberingAfterBreak="0">
    <w:nsid w:val="0B237EA8"/>
    <w:multiLevelType w:val="hybridMultilevel"/>
    <w:tmpl w:val="A320AF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3D91B19"/>
    <w:multiLevelType w:val="multilevel"/>
    <w:tmpl w:val="C862FEE8"/>
    <w:styleLink w:val="Noetic-Numberedlist"/>
    <w:lvl w:ilvl="0">
      <w:start w:val="1"/>
      <w:numFmt w:val="decimal"/>
      <w:pStyle w:val="NumberL1"/>
      <w:lvlText w:val="%1."/>
      <w:lvlJc w:val="left"/>
      <w:pPr>
        <w:tabs>
          <w:tab w:val="num" w:pos="360"/>
        </w:tabs>
        <w:ind w:left="360" w:hanging="360"/>
      </w:pPr>
      <w:rPr>
        <w:rFonts w:hint="default"/>
      </w:rPr>
    </w:lvl>
    <w:lvl w:ilvl="1">
      <w:start w:val="1"/>
      <w:numFmt w:val="lowerLetter"/>
      <w:pStyle w:val="NumberL2"/>
      <w:lvlText w:val="%2."/>
      <w:lvlJc w:val="left"/>
      <w:pPr>
        <w:tabs>
          <w:tab w:val="num" w:pos="720"/>
        </w:tabs>
        <w:ind w:left="720" w:hanging="360"/>
      </w:pPr>
      <w:rPr>
        <w:rFonts w:hint="default"/>
      </w:rPr>
    </w:lvl>
    <w:lvl w:ilvl="2">
      <w:start w:val="1"/>
      <w:numFmt w:val="decimal"/>
      <w:pStyle w:val="NumberL3"/>
      <w:lvlText w:val="(%3)"/>
      <w:lvlJc w:val="left"/>
      <w:pPr>
        <w:tabs>
          <w:tab w:val="num" w:pos="1080"/>
        </w:tabs>
        <w:ind w:left="1080" w:hanging="360"/>
      </w:pPr>
      <w:rPr>
        <w:rFonts w:hint="default"/>
      </w:rPr>
    </w:lvl>
    <w:lvl w:ilvl="3">
      <w:start w:val="1"/>
      <w:numFmt w:val="lowerLetter"/>
      <w:pStyle w:val="NumberL4"/>
      <w:lvlText w:val="(%4)"/>
      <w:lvlJc w:val="left"/>
      <w:pPr>
        <w:tabs>
          <w:tab w:val="num" w:pos="1440"/>
        </w:tabs>
        <w:ind w:left="1440" w:hanging="360"/>
      </w:pPr>
      <w:rPr>
        <w:rFonts w:hint="default"/>
      </w:rPr>
    </w:lvl>
    <w:lvl w:ilvl="4">
      <w:start w:val="1"/>
      <w:numFmt w:val="lowerRoman"/>
      <w:lvlText w:val="(%5)"/>
      <w:lvlJc w:val="left"/>
      <w:pPr>
        <w:tabs>
          <w:tab w:val="num" w:pos="1800"/>
        </w:tabs>
        <w:ind w:left="1800" w:hanging="360"/>
      </w:pPr>
      <w:rPr>
        <w:rFonts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Wingdings" w:hAnsi="Wingdings" w:hint="default"/>
      </w:rPr>
    </w:lvl>
    <w:lvl w:ilvl="8">
      <w:start w:val="1"/>
      <w:numFmt w:val="bullet"/>
      <w:lvlText w:val=""/>
      <w:lvlJc w:val="left"/>
      <w:pPr>
        <w:tabs>
          <w:tab w:val="num" w:pos="3240"/>
        </w:tabs>
        <w:ind w:left="3240" w:hanging="360"/>
      </w:pPr>
      <w:rPr>
        <w:rFonts w:ascii="Wingdings" w:hAnsi="Wingdings" w:hint="default"/>
      </w:rPr>
    </w:lvl>
  </w:abstractNum>
  <w:abstractNum w:abstractNumId="4" w15:restartNumberingAfterBreak="0">
    <w:nsid w:val="1DEC1501"/>
    <w:multiLevelType w:val="hybridMultilevel"/>
    <w:tmpl w:val="7BA87198"/>
    <w:lvl w:ilvl="0" w:tplc="4A96CCA0">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F441C35"/>
    <w:multiLevelType w:val="multilevel"/>
    <w:tmpl w:val="A9AC9CF4"/>
    <w:styleLink w:val="Noetic-References"/>
    <w:lvl w:ilvl="0">
      <w:start w:val="1"/>
      <w:numFmt w:val="upperLetter"/>
      <w:pStyle w:val="RefL1"/>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pStyle w:val="BulleteL4"/>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1FC90ADB"/>
    <w:multiLevelType w:val="hybridMultilevel"/>
    <w:tmpl w:val="804EC718"/>
    <w:lvl w:ilvl="0" w:tplc="92F8D38E">
      <w:start w:val="1"/>
      <w:numFmt w:val="upperLetter"/>
      <w:pStyle w:val="Heading6"/>
      <w:lvlText w:val="Annex %1 "/>
      <w:lvlJc w:val="left"/>
      <w:pPr>
        <w:ind w:left="360" w:hanging="360"/>
      </w:pPr>
      <w:rPr>
        <w:rFonts w:ascii="Arial Bold" w:hAnsi="Arial Bold" w:hint="default"/>
        <w:b/>
        <w:i w:val="0"/>
        <w:caps w:val="0"/>
        <w:strike w:val="0"/>
        <w:dstrike w:val="0"/>
        <w:vanish w:val="0"/>
        <w:sz w:val="32"/>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2025CDF"/>
    <w:multiLevelType w:val="hybridMultilevel"/>
    <w:tmpl w:val="53347D3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12C2F34"/>
    <w:multiLevelType w:val="multilevel"/>
    <w:tmpl w:val="E93E94F0"/>
    <w:lvl w:ilvl="0">
      <w:start w:val="1"/>
      <w:numFmt w:val="bullet"/>
      <w:pStyle w:val="BulleteL1"/>
      <w:lvlText w:val="+"/>
      <w:lvlJc w:val="left"/>
      <w:pPr>
        <w:tabs>
          <w:tab w:val="num" w:pos="360"/>
        </w:tabs>
        <w:ind w:left="360" w:hanging="360"/>
      </w:pPr>
      <w:rPr>
        <w:rFonts w:ascii="Arial" w:hAnsi="Arial" w:hint="default"/>
      </w:rPr>
    </w:lvl>
    <w:lvl w:ilvl="1">
      <w:start w:val="1"/>
      <w:numFmt w:val="bullet"/>
      <w:pStyle w:val="BulleteL2"/>
      <w:lvlText w:val=""/>
      <w:lvlJc w:val="left"/>
      <w:pPr>
        <w:tabs>
          <w:tab w:val="num" w:pos="720"/>
        </w:tabs>
        <w:ind w:left="720" w:hanging="363"/>
      </w:pPr>
      <w:rPr>
        <w:rFonts w:ascii="Symbol" w:hAnsi="Symbol" w:hint="default"/>
      </w:rPr>
    </w:lvl>
    <w:lvl w:ilvl="2">
      <w:start w:val="1"/>
      <w:numFmt w:val="bullet"/>
      <w:pStyle w:val="BulleteL3"/>
      <w:lvlText w:val="&gt;"/>
      <w:lvlJc w:val="left"/>
      <w:pPr>
        <w:tabs>
          <w:tab w:val="num" w:pos="1077"/>
        </w:tabs>
        <w:ind w:left="1077" w:hanging="357"/>
      </w:pPr>
      <w:rPr>
        <w:rFonts w:ascii="Arial" w:hAnsi="Arial" w:hint="default"/>
      </w:rPr>
    </w:lvl>
    <w:lvl w:ilvl="3">
      <w:start w:val="1"/>
      <w:numFmt w:val="bullet"/>
      <w:lvlText w:val="­"/>
      <w:lvlJc w:val="left"/>
      <w:pPr>
        <w:tabs>
          <w:tab w:val="num" w:pos="1440"/>
        </w:tabs>
        <w:ind w:left="1440" w:hanging="363"/>
      </w:pPr>
      <w:rPr>
        <w:rFonts w:ascii="Arial" w:hAnsi="Arial" w:hint="default"/>
      </w:rPr>
    </w:lvl>
    <w:lvl w:ilvl="4">
      <w:start w:val="1"/>
      <w:numFmt w:val="bullet"/>
      <w:lvlText w:val="o"/>
      <w:lvlJc w:val="left"/>
      <w:pPr>
        <w:tabs>
          <w:tab w:val="num" w:pos="1797"/>
        </w:tabs>
        <w:ind w:left="1797" w:hanging="357"/>
      </w:pPr>
      <w:rPr>
        <w:rFonts w:ascii="Courier New" w:hAnsi="Courier New" w:hint="default"/>
      </w:rPr>
    </w:lvl>
    <w:lvl w:ilvl="5">
      <w:start w:val="1"/>
      <w:numFmt w:val="bullet"/>
      <w:lvlText w:val=""/>
      <w:lvlJc w:val="left"/>
      <w:pPr>
        <w:tabs>
          <w:tab w:val="num" w:pos="2160"/>
        </w:tabs>
        <w:ind w:left="2160" w:hanging="363"/>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2843D13"/>
    <w:multiLevelType w:val="hybridMultilevel"/>
    <w:tmpl w:val="B8623A0E"/>
    <w:lvl w:ilvl="0" w:tplc="E91EB5D6">
      <w:start w:val="1"/>
      <w:numFmt w:val="decimal"/>
      <w:pStyle w:val="Numberlist1"/>
      <w:lvlText w:val="%1."/>
      <w:lvlJc w:val="left"/>
      <w:pPr>
        <w:ind w:left="720" w:hanging="360"/>
      </w:pPr>
    </w:lvl>
    <w:lvl w:ilvl="1" w:tplc="7A383020">
      <w:start w:val="1"/>
      <w:numFmt w:val="lowerLetter"/>
      <w:pStyle w:val="Numberlist2"/>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4933827"/>
    <w:multiLevelType w:val="hybridMultilevel"/>
    <w:tmpl w:val="7BF85DFC"/>
    <w:lvl w:ilvl="0" w:tplc="01E4C376">
      <w:start w:val="1"/>
      <w:numFmt w:val="decimal"/>
      <w:pStyle w:val="RecommBody"/>
      <w:lvlText w:val="Recommendation %1."/>
      <w:lvlJc w:val="left"/>
      <w:pPr>
        <w:ind w:left="1004" w:hanging="360"/>
      </w:pPr>
      <w:rPr>
        <w:rFonts w:ascii="Arial Bold" w:hAnsi="Arial Bold" w:cs="Times New Roman" w:hint="default"/>
        <w:b/>
        <w:bCs w:val="0"/>
        <w:i w:val="0"/>
        <w:iCs w:val="0"/>
        <w:caps w:val="0"/>
        <w:strike w:val="0"/>
        <w:dstrike w:val="0"/>
        <w:vanish w:val="0"/>
        <w:color w:val="000000"/>
        <w:spacing w:val="0"/>
        <w:kern w:val="0"/>
        <w:position w:val="0"/>
        <w:sz w:val="18"/>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1" w15:restartNumberingAfterBreak="0">
    <w:nsid w:val="34B42DB3"/>
    <w:multiLevelType w:val="multilevel"/>
    <w:tmpl w:val="690C8044"/>
    <w:styleLink w:val="Noetic-Enclosures"/>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20"/>
        </w:tabs>
        <w:ind w:left="720" w:hanging="360"/>
      </w:pPr>
      <w:rPr>
        <w:rFonts w:ascii="Arial" w:hAnsi="Arial" w:hint="default"/>
      </w:rPr>
    </w:lvl>
    <w:lvl w:ilvl="2">
      <w:start w:val="1"/>
      <w:numFmt w:val="bullet"/>
      <w:lvlText w:val="+"/>
      <w:lvlJc w:val="left"/>
      <w:pPr>
        <w:tabs>
          <w:tab w:val="num" w:pos="1080"/>
        </w:tabs>
        <w:ind w:left="1080" w:hanging="360"/>
      </w:pPr>
      <w:rPr>
        <w:rFonts w:ascii="Arial" w:hAnsi="Arial" w:hint="default"/>
      </w:rPr>
    </w:lvl>
    <w:lvl w:ilvl="3">
      <w:start w:val="1"/>
      <w:numFmt w:val="bullet"/>
      <w:lvlText w:val="+"/>
      <w:lvlJc w:val="left"/>
      <w:pPr>
        <w:tabs>
          <w:tab w:val="num" w:pos="1440"/>
        </w:tabs>
        <w:ind w:left="1440" w:hanging="360"/>
      </w:pPr>
      <w:rPr>
        <w:rFonts w:ascii="Arial" w:hAnsi="Arial" w:hint="default"/>
      </w:rPr>
    </w:lvl>
    <w:lvl w:ilvl="4">
      <w:start w:val="1"/>
      <w:numFmt w:val="bullet"/>
      <w:lvlText w:val=""/>
      <w:lvlJc w:val="left"/>
      <w:pPr>
        <w:tabs>
          <w:tab w:val="num" w:pos="1800"/>
        </w:tabs>
        <w:ind w:left="1800" w:hanging="360"/>
      </w:pPr>
      <w:rPr>
        <w:rFonts w:ascii="Wingdings" w:hAnsi="Wingdings"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Wingdings" w:hAnsi="Wingdings" w:hint="default"/>
      </w:rPr>
    </w:lvl>
    <w:lvl w:ilvl="8">
      <w:start w:val="1"/>
      <w:numFmt w:val="bullet"/>
      <w:lvlText w:val=""/>
      <w:lvlJc w:val="left"/>
      <w:pPr>
        <w:tabs>
          <w:tab w:val="num" w:pos="3240"/>
        </w:tabs>
        <w:ind w:left="3240" w:hanging="360"/>
      </w:pPr>
      <w:rPr>
        <w:rFonts w:ascii="Wingdings" w:hAnsi="Wingdings" w:hint="default"/>
      </w:rPr>
    </w:lvl>
  </w:abstractNum>
  <w:abstractNum w:abstractNumId="12" w15:restartNumberingAfterBreak="0">
    <w:nsid w:val="353573F8"/>
    <w:multiLevelType w:val="multilevel"/>
    <w:tmpl w:val="A9AC9CF4"/>
    <w:numStyleLink w:val="Noetic-References"/>
  </w:abstractNum>
  <w:abstractNum w:abstractNumId="13" w15:restartNumberingAfterBreak="0">
    <w:nsid w:val="433A3D56"/>
    <w:multiLevelType w:val="multilevel"/>
    <w:tmpl w:val="5746B3A2"/>
    <w:styleLink w:val="Noetic-Annexes"/>
    <w:lvl w:ilvl="0">
      <w:start w:val="1"/>
      <w:numFmt w:val="upperLetter"/>
      <w:lvlText w:val="%1."/>
      <w:lvlJc w:val="left"/>
      <w:pPr>
        <w:tabs>
          <w:tab w:val="num" w:pos="360"/>
        </w:tabs>
        <w:ind w:left="360" w:hanging="360"/>
      </w:pPr>
      <w:rPr>
        <w:rFonts w:hint="default"/>
      </w:rPr>
    </w:lvl>
    <w:lvl w:ilvl="1">
      <w:start w:val="1"/>
      <w:numFmt w:val="bullet"/>
      <w:lvlText w:val="+"/>
      <w:lvlJc w:val="left"/>
      <w:pPr>
        <w:tabs>
          <w:tab w:val="num" w:pos="720"/>
        </w:tabs>
        <w:ind w:left="720" w:hanging="360"/>
      </w:pPr>
      <w:rPr>
        <w:rFonts w:ascii="Arial" w:hAnsi="Arial" w:hint="default"/>
      </w:rPr>
    </w:lvl>
    <w:lvl w:ilvl="2">
      <w:start w:val="1"/>
      <w:numFmt w:val="bullet"/>
      <w:lvlText w:val="+"/>
      <w:lvlJc w:val="left"/>
      <w:pPr>
        <w:tabs>
          <w:tab w:val="num" w:pos="1080"/>
        </w:tabs>
        <w:ind w:left="1080" w:hanging="360"/>
      </w:pPr>
      <w:rPr>
        <w:rFonts w:ascii="Arial" w:hAnsi="Arial" w:hint="default"/>
      </w:rPr>
    </w:lvl>
    <w:lvl w:ilvl="3">
      <w:start w:val="1"/>
      <w:numFmt w:val="bullet"/>
      <w:lvlText w:val="+"/>
      <w:lvlJc w:val="left"/>
      <w:pPr>
        <w:tabs>
          <w:tab w:val="num" w:pos="1440"/>
        </w:tabs>
        <w:ind w:left="1440" w:hanging="360"/>
      </w:pPr>
      <w:rPr>
        <w:rFonts w:ascii="Arial" w:hAnsi="Aria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486F7D75"/>
    <w:multiLevelType w:val="multilevel"/>
    <w:tmpl w:val="C29C817A"/>
    <w:styleLink w:val="Noetic-Numberedonlylist"/>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425"/>
        </w:tabs>
        <w:ind w:left="425" w:hanging="425"/>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851"/>
        </w:tabs>
        <w:ind w:left="851" w:hanging="851"/>
      </w:pPr>
      <w:rPr>
        <w:rFonts w:hint="default"/>
      </w:rPr>
    </w:lvl>
    <w:lvl w:ilvl="5">
      <w:start w:val="1"/>
      <w:numFmt w:val="decimal"/>
      <w:lvlText w:val="%1.%2.%3.%4.%5.%6."/>
      <w:lvlJc w:val="left"/>
      <w:pPr>
        <w:tabs>
          <w:tab w:val="num" w:pos="851"/>
        </w:tabs>
        <w:ind w:left="851" w:hanging="851"/>
      </w:pPr>
      <w:rPr>
        <w:rFonts w:hint="default"/>
      </w:rPr>
    </w:lvl>
    <w:lvl w:ilvl="6">
      <w:start w:val="1"/>
      <w:numFmt w:val="decimal"/>
      <w:lvlText w:val="%1.%2.%3.%4.%5.%6.%7."/>
      <w:lvlJc w:val="left"/>
      <w:pPr>
        <w:tabs>
          <w:tab w:val="num" w:pos="851"/>
        </w:tabs>
        <w:ind w:left="851" w:hanging="851"/>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5" w15:restartNumberingAfterBreak="0">
    <w:nsid w:val="4A5A1E48"/>
    <w:multiLevelType w:val="multilevel"/>
    <w:tmpl w:val="C862FEE8"/>
    <w:numStyleLink w:val="Noetic-Numberedlist"/>
  </w:abstractNum>
  <w:abstractNum w:abstractNumId="16" w15:restartNumberingAfterBreak="0">
    <w:nsid w:val="4A5A1FBC"/>
    <w:multiLevelType w:val="multilevel"/>
    <w:tmpl w:val="A9AC9CF4"/>
    <w:numStyleLink w:val="Noetic-References"/>
  </w:abstractNum>
  <w:abstractNum w:abstractNumId="17" w15:restartNumberingAfterBreak="0">
    <w:nsid w:val="56914727"/>
    <w:multiLevelType w:val="multilevel"/>
    <w:tmpl w:val="B666DD46"/>
    <w:styleLink w:val="Noetic-Bulletedlist"/>
    <w:lvl w:ilvl="0">
      <w:start w:val="1"/>
      <w:numFmt w:val="bullet"/>
      <w:lvlText w:val="+"/>
      <w:lvlJc w:val="left"/>
      <w:pPr>
        <w:tabs>
          <w:tab w:val="num" w:pos="360"/>
        </w:tabs>
        <w:ind w:left="360" w:hanging="360"/>
      </w:pPr>
      <w:rPr>
        <w:rFonts w:ascii="Arial" w:hAnsi="Arial" w:hint="default"/>
      </w:rPr>
    </w:lvl>
    <w:lvl w:ilvl="1">
      <w:start w:val="1"/>
      <w:numFmt w:val="bullet"/>
      <w:lvlText w:val=""/>
      <w:lvlJc w:val="left"/>
      <w:pPr>
        <w:tabs>
          <w:tab w:val="num" w:pos="720"/>
        </w:tabs>
        <w:ind w:left="720" w:hanging="363"/>
      </w:pPr>
      <w:rPr>
        <w:rFonts w:ascii="Symbol" w:hAnsi="Symbol" w:hint="default"/>
      </w:rPr>
    </w:lvl>
    <w:lvl w:ilvl="2">
      <w:start w:val="1"/>
      <w:numFmt w:val="bullet"/>
      <w:lvlText w:val="&gt;"/>
      <w:lvlJc w:val="left"/>
      <w:pPr>
        <w:tabs>
          <w:tab w:val="num" w:pos="1077"/>
        </w:tabs>
        <w:ind w:left="1077" w:hanging="357"/>
      </w:pPr>
      <w:rPr>
        <w:rFonts w:ascii="Arial" w:hAnsi="Arial" w:hint="default"/>
      </w:rPr>
    </w:lvl>
    <w:lvl w:ilvl="3">
      <w:start w:val="1"/>
      <w:numFmt w:val="bullet"/>
      <w:lvlText w:val="­"/>
      <w:lvlJc w:val="left"/>
      <w:pPr>
        <w:tabs>
          <w:tab w:val="num" w:pos="1440"/>
        </w:tabs>
        <w:ind w:left="1440" w:hanging="363"/>
      </w:pPr>
      <w:rPr>
        <w:rFonts w:ascii="Arial" w:hAnsi="Arial" w:hint="default"/>
      </w:rPr>
    </w:lvl>
    <w:lvl w:ilvl="4">
      <w:start w:val="1"/>
      <w:numFmt w:val="bullet"/>
      <w:lvlText w:val="o"/>
      <w:lvlJc w:val="left"/>
      <w:pPr>
        <w:tabs>
          <w:tab w:val="num" w:pos="1797"/>
        </w:tabs>
        <w:ind w:left="1797" w:hanging="357"/>
      </w:pPr>
      <w:rPr>
        <w:rFonts w:ascii="Courier New" w:hAnsi="Courier New" w:hint="default"/>
      </w:rPr>
    </w:lvl>
    <w:lvl w:ilvl="5">
      <w:start w:val="1"/>
      <w:numFmt w:val="bullet"/>
      <w:lvlText w:val=""/>
      <w:lvlJc w:val="left"/>
      <w:pPr>
        <w:tabs>
          <w:tab w:val="num" w:pos="2160"/>
        </w:tabs>
        <w:ind w:left="2160" w:hanging="363"/>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A1768A7"/>
    <w:multiLevelType w:val="multilevel"/>
    <w:tmpl w:val="C862FEE8"/>
    <w:numStyleLink w:val="Noetic-Numberedlist"/>
  </w:abstractNum>
  <w:abstractNum w:abstractNumId="19" w15:restartNumberingAfterBreak="0">
    <w:nsid w:val="61FF4A75"/>
    <w:multiLevelType w:val="hybridMultilevel"/>
    <w:tmpl w:val="51FCCABA"/>
    <w:lvl w:ilvl="0" w:tplc="D81EA54E">
      <w:start w:val="1"/>
      <w:numFmt w:val="bullet"/>
      <w:pStyle w:val="Noetic-Columnrecommendation"/>
      <w:lvlText w:val=""/>
      <w:lvlJc w:val="left"/>
      <w:pPr>
        <w:tabs>
          <w:tab w:val="num" w:pos="425"/>
        </w:tabs>
        <w:ind w:left="425" w:hanging="425"/>
      </w:pPr>
      <w:rPr>
        <w:rFonts w:ascii="Webdings" w:hAnsi="Webdings" w:hint="default"/>
      </w:rPr>
    </w:lvl>
    <w:lvl w:ilvl="1" w:tplc="04090003">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13"/>
  </w:num>
  <w:num w:numId="2">
    <w:abstractNumId w:val="17"/>
  </w:num>
  <w:num w:numId="3">
    <w:abstractNumId w:val="0"/>
  </w:num>
  <w:num w:numId="4">
    <w:abstractNumId w:val="19"/>
  </w:num>
  <w:num w:numId="5">
    <w:abstractNumId w:val="11"/>
  </w:num>
  <w:num w:numId="6">
    <w:abstractNumId w:val="3"/>
  </w:num>
  <w:num w:numId="7">
    <w:abstractNumId w:val="14"/>
  </w:num>
  <w:num w:numId="8">
    <w:abstractNumId w:val="5"/>
  </w:num>
  <w:num w:numId="9">
    <w:abstractNumId w:val="16"/>
  </w:num>
  <w:num w:numId="10">
    <w:abstractNumId w:val="12"/>
  </w:num>
  <w:num w:numId="11">
    <w:abstractNumId w:val="15"/>
  </w:num>
  <w:num w:numId="12">
    <w:abstractNumId w:val="7"/>
  </w:num>
  <w:num w:numId="13">
    <w:abstractNumId w:val="8"/>
  </w:num>
  <w:num w:numId="14">
    <w:abstractNumId w:val="18"/>
  </w:num>
  <w:num w:numId="15">
    <w:abstractNumId w:val="1"/>
  </w:num>
  <w:num w:numId="16">
    <w:abstractNumId w:val="10"/>
  </w:num>
  <w:num w:numId="17">
    <w:abstractNumId w:val="4"/>
  </w:num>
  <w:num w:numId="18">
    <w:abstractNumId w:val="6"/>
  </w:num>
  <w:num w:numId="19">
    <w:abstractNumId w:val="9"/>
  </w:num>
  <w:num w:numId="20">
    <w:abstractNumId w:val="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noPunctuationKerning/>
  <w:characterSpacingControl w:val="doNotCompress"/>
  <w:hdrShapeDefaults>
    <o:shapedefaults v:ext="edit" spidmax="921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514C"/>
    <w:rsid w:val="0000084B"/>
    <w:rsid w:val="000013E9"/>
    <w:rsid w:val="00001DA2"/>
    <w:rsid w:val="000024D4"/>
    <w:rsid w:val="00002F72"/>
    <w:rsid w:val="00002F97"/>
    <w:rsid w:val="000030F0"/>
    <w:rsid w:val="00003326"/>
    <w:rsid w:val="000037E0"/>
    <w:rsid w:val="00004C91"/>
    <w:rsid w:val="000052AE"/>
    <w:rsid w:val="000058B5"/>
    <w:rsid w:val="000058D2"/>
    <w:rsid w:val="00005ECE"/>
    <w:rsid w:val="000063F9"/>
    <w:rsid w:val="00006ADA"/>
    <w:rsid w:val="00006EB2"/>
    <w:rsid w:val="00010366"/>
    <w:rsid w:val="00010DAF"/>
    <w:rsid w:val="00010EEB"/>
    <w:rsid w:val="0001254D"/>
    <w:rsid w:val="00012D6B"/>
    <w:rsid w:val="00012E20"/>
    <w:rsid w:val="0001346E"/>
    <w:rsid w:val="000143EA"/>
    <w:rsid w:val="00014709"/>
    <w:rsid w:val="000148A5"/>
    <w:rsid w:val="000149CD"/>
    <w:rsid w:val="00015650"/>
    <w:rsid w:val="000163DD"/>
    <w:rsid w:val="000164C1"/>
    <w:rsid w:val="0001651A"/>
    <w:rsid w:val="000167A2"/>
    <w:rsid w:val="000168B0"/>
    <w:rsid w:val="00016FF0"/>
    <w:rsid w:val="000179AD"/>
    <w:rsid w:val="00017FAB"/>
    <w:rsid w:val="000200EE"/>
    <w:rsid w:val="00020173"/>
    <w:rsid w:val="00020AD9"/>
    <w:rsid w:val="00020F79"/>
    <w:rsid w:val="00021796"/>
    <w:rsid w:val="00021B9F"/>
    <w:rsid w:val="00021C4C"/>
    <w:rsid w:val="000226D5"/>
    <w:rsid w:val="00022A0C"/>
    <w:rsid w:val="0002346A"/>
    <w:rsid w:val="0002374B"/>
    <w:rsid w:val="000245CD"/>
    <w:rsid w:val="0002491D"/>
    <w:rsid w:val="00024F16"/>
    <w:rsid w:val="00025B30"/>
    <w:rsid w:val="00026018"/>
    <w:rsid w:val="000262BD"/>
    <w:rsid w:val="00026E63"/>
    <w:rsid w:val="00027527"/>
    <w:rsid w:val="0002778B"/>
    <w:rsid w:val="00027B21"/>
    <w:rsid w:val="00030284"/>
    <w:rsid w:val="00030291"/>
    <w:rsid w:val="00030900"/>
    <w:rsid w:val="00030AC7"/>
    <w:rsid w:val="00030E53"/>
    <w:rsid w:val="00031666"/>
    <w:rsid w:val="00031DE1"/>
    <w:rsid w:val="00033D01"/>
    <w:rsid w:val="00033D3F"/>
    <w:rsid w:val="00034E5C"/>
    <w:rsid w:val="00034FDA"/>
    <w:rsid w:val="0003513C"/>
    <w:rsid w:val="000353F5"/>
    <w:rsid w:val="000355BD"/>
    <w:rsid w:val="00035BBB"/>
    <w:rsid w:val="00036929"/>
    <w:rsid w:val="00037682"/>
    <w:rsid w:val="00037AA7"/>
    <w:rsid w:val="00037C28"/>
    <w:rsid w:val="000401D2"/>
    <w:rsid w:val="000424FD"/>
    <w:rsid w:val="000428A7"/>
    <w:rsid w:val="00042C09"/>
    <w:rsid w:val="00042D62"/>
    <w:rsid w:val="00042E48"/>
    <w:rsid w:val="00043915"/>
    <w:rsid w:val="00043DF6"/>
    <w:rsid w:val="000440F6"/>
    <w:rsid w:val="00044975"/>
    <w:rsid w:val="000451E1"/>
    <w:rsid w:val="000460DB"/>
    <w:rsid w:val="00046515"/>
    <w:rsid w:val="0004717F"/>
    <w:rsid w:val="00047363"/>
    <w:rsid w:val="00050166"/>
    <w:rsid w:val="00050F45"/>
    <w:rsid w:val="000510AC"/>
    <w:rsid w:val="000511FA"/>
    <w:rsid w:val="00051806"/>
    <w:rsid w:val="000519EE"/>
    <w:rsid w:val="00051C7D"/>
    <w:rsid w:val="00052802"/>
    <w:rsid w:val="00052B46"/>
    <w:rsid w:val="00052BEE"/>
    <w:rsid w:val="0005341E"/>
    <w:rsid w:val="00053719"/>
    <w:rsid w:val="00053D06"/>
    <w:rsid w:val="00053E32"/>
    <w:rsid w:val="00055A72"/>
    <w:rsid w:val="0005657C"/>
    <w:rsid w:val="0005668B"/>
    <w:rsid w:val="00056D01"/>
    <w:rsid w:val="000575E2"/>
    <w:rsid w:val="00057AB3"/>
    <w:rsid w:val="00057B74"/>
    <w:rsid w:val="000601F3"/>
    <w:rsid w:val="00060529"/>
    <w:rsid w:val="000608C9"/>
    <w:rsid w:val="0006096F"/>
    <w:rsid w:val="00061014"/>
    <w:rsid w:val="000620CD"/>
    <w:rsid w:val="000622A5"/>
    <w:rsid w:val="0006245C"/>
    <w:rsid w:val="0006278A"/>
    <w:rsid w:val="000646AC"/>
    <w:rsid w:val="00064E7D"/>
    <w:rsid w:val="00064EF0"/>
    <w:rsid w:val="000651BD"/>
    <w:rsid w:val="00065345"/>
    <w:rsid w:val="00065B08"/>
    <w:rsid w:val="00066622"/>
    <w:rsid w:val="00066C97"/>
    <w:rsid w:val="00067B4A"/>
    <w:rsid w:val="00067DCF"/>
    <w:rsid w:val="00067F91"/>
    <w:rsid w:val="00070CAB"/>
    <w:rsid w:val="00070D8E"/>
    <w:rsid w:val="00071590"/>
    <w:rsid w:val="00071740"/>
    <w:rsid w:val="00071AF8"/>
    <w:rsid w:val="00072455"/>
    <w:rsid w:val="00072BF9"/>
    <w:rsid w:val="00073808"/>
    <w:rsid w:val="000739B4"/>
    <w:rsid w:val="00073C47"/>
    <w:rsid w:val="00074441"/>
    <w:rsid w:val="000747F3"/>
    <w:rsid w:val="0007550F"/>
    <w:rsid w:val="000759FB"/>
    <w:rsid w:val="00076555"/>
    <w:rsid w:val="0007668F"/>
    <w:rsid w:val="00077F17"/>
    <w:rsid w:val="00080493"/>
    <w:rsid w:val="000805FA"/>
    <w:rsid w:val="00081097"/>
    <w:rsid w:val="000815E0"/>
    <w:rsid w:val="00081B77"/>
    <w:rsid w:val="00081C2D"/>
    <w:rsid w:val="0008200E"/>
    <w:rsid w:val="00082852"/>
    <w:rsid w:val="00082B67"/>
    <w:rsid w:val="000835EB"/>
    <w:rsid w:val="00083C64"/>
    <w:rsid w:val="000846F6"/>
    <w:rsid w:val="0008477B"/>
    <w:rsid w:val="00084C4E"/>
    <w:rsid w:val="00085223"/>
    <w:rsid w:val="0008560D"/>
    <w:rsid w:val="000856B1"/>
    <w:rsid w:val="0008650A"/>
    <w:rsid w:val="00086F40"/>
    <w:rsid w:val="0008715E"/>
    <w:rsid w:val="000871D0"/>
    <w:rsid w:val="00087883"/>
    <w:rsid w:val="00090322"/>
    <w:rsid w:val="00090BAF"/>
    <w:rsid w:val="0009159B"/>
    <w:rsid w:val="000918F2"/>
    <w:rsid w:val="00092030"/>
    <w:rsid w:val="00092165"/>
    <w:rsid w:val="000924DC"/>
    <w:rsid w:val="00092C09"/>
    <w:rsid w:val="00092FB0"/>
    <w:rsid w:val="00093A42"/>
    <w:rsid w:val="00093CC2"/>
    <w:rsid w:val="0009404E"/>
    <w:rsid w:val="00095243"/>
    <w:rsid w:val="000952F2"/>
    <w:rsid w:val="00095E14"/>
    <w:rsid w:val="0009673D"/>
    <w:rsid w:val="000967F7"/>
    <w:rsid w:val="000971CC"/>
    <w:rsid w:val="00097664"/>
    <w:rsid w:val="000A0196"/>
    <w:rsid w:val="000A0273"/>
    <w:rsid w:val="000A0410"/>
    <w:rsid w:val="000A0498"/>
    <w:rsid w:val="000A07E0"/>
    <w:rsid w:val="000A0E78"/>
    <w:rsid w:val="000A14B7"/>
    <w:rsid w:val="000A1D8E"/>
    <w:rsid w:val="000A1F7E"/>
    <w:rsid w:val="000A1FAF"/>
    <w:rsid w:val="000A2578"/>
    <w:rsid w:val="000A26C6"/>
    <w:rsid w:val="000A2973"/>
    <w:rsid w:val="000A2B3C"/>
    <w:rsid w:val="000A2FB0"/>
    <w:rsid w:val="000A366A"/>
    <w:rsid w:val="000A3D69"/>
    <w:rsid w:val="000A447D"/>
    <w:rsid w:val="000A47C1"/>
    <w:rsid w:val="000A48B5"/>
    <w:rsid w:val="000A4976"/>
    <w:rsid w:val="000A4C56"/>
    <w:rsid w:val="000A6F71"/>
    <w:rsid w:val="000A73B6"/>
    <w:rsid w:val="000B087F"/>
    <w:rsid w:val="000B0A1F"/>
    <w:rsid w:val="000B0BDB"/>
    <w:rsid w:val="000B10EC"/>
    <w:rsid w:val="000B1107"/>
    <w:rsid w:val="000B1441"/>
    <w:rsid w:val="000B1718"/>
    <w:rsid w:val="000B27EB"/>
    <w:rsid w:val="000B2BF4"/>
    <w:rsid w:val="000B2FFF"/>
    <w:rsid w:val="000B318C"/>
    <w:rsid w:val="000B4295"/>
    <w:rsid w:val="000B43EA"/>
    <w:rsid w:val="000B4E95"/>
    <w:rsid w:val="000B5214"/>
    <w:rsid w:val="000B54E6"/>
    <w:rsid w:val="000B5D4B"/>
    <w:rsid w:val="000B7110"/>
    <w:rsid w:val="000B7252"/>
    <w:rsid w:val="000C0788"/>
    <w:rsid w:val="000C08D8"/>
    <w:rsid w:val="000C0CCC"/>
    <w:rsid w:val="000C0F50"/>
    <w:rsid w:val="000C0FFA"/>
    <w:rsid w:val="000C1395"/>
    <w:rsid w:val="000C1A38"/>
    <w:rsid w:val="000C1E33"/>
    <w:rsid w:val="000C2501"/>
    <w:rsid w:val="000C2A8D"/>
    <w:rsid w:val="000C2E10"/>
    <w:rsid w:val="000C5042"/>
    <w:rsid w:val="000C5AAA"/>
    <w:rsid w:val="000C6436"/>
    <w:rsid w:val="000D03D9"/>
    <w:rsid w:val="000D0DA9"/>
    <w:rsid w:val="000D0F71"/>
    <w:rsid w:val="000D1020"/>
    <w:rsid w:val="000D1095"/>
    <w:rsid w:val="000D148A"/>
    <w:rsid w:val="000D1E25"/>
    <w:rsid w:val="000D220B"/>
    <w:rsid w:val="000D2383"/>
    <w:rsid w:val="000D2CFA"/>
    <w:rsid w:val="000D375A"/>
    <w:rsid w:val="000D3A79"/>
    <w:rsid w:val="000D4E72"/>
    <w:rsid w:val="000D4FE0"/>
    <w:rsid w:val="000D5280"/>
    <w:rsid w:val="000D571B"/>
    <w:rsid w:val="000D5D66"/>
    <w:rsid w:val="000D60A9"/>
    <w:rsid w:val="000D6114"/>
    <w:rsid w:val="000D6CE5"/>
    <w:rsid w:val="000D6D35"/>
    <w:rsid w:val="000D74A9"/>
    <w:rsid w:val="000D7950"/>
    <w:rsid w:val="000E1074"/>
    <w:rsid w:val="000E1389"/>
    <w:rsid w:val="000E170D"/>
    <w:rsid w:val="000E1731"/>
    <w:rsid w:val="000E2ADB"/>
    <w:rsid w:val="000E2C3E"/>
    <w:rsid w:val="000E2EDB"/>
    <w:rsid w:val="000E36D9"/>
    <w:rsid w:val="000E3FC8"/>
    <w:rsid w:val="000E48C3"/>
    <w:rsid w:val="000E4BAF"/>
    <w:rsid w:val="000E5037"/>
    <w:rsid w:val="000E566D"/>
    <w:rsid w:val="000E5F83"/>
    <w:rsid w:val="000E601C"/>
    <w:rsid w:val="000E6294"/>
    <w:rsid w:val="000E6557"/>
    <w:rsid w:val="000E6D93"/>
    <w:rsid w:val="000E71F1"/>
    <w:rsid w:val="000E787C"/>
    <w:rsid w:val="000F012A"/>
    <w:rsid w:val="000F013F"/>
    <w:rsid w:val="000F01B7"/>
    <w:rsid w:val="000F1491"/>
    <w:rsid w:val="000F1739"/>
    <w:rsid w:val="000F3176"/>
    <w:rsid w:val="000F3732"/>
    <w:rsid w:val="000F3827"/>
    <w:rsid w:val="000F3A72"/>
    <w:rsid w:val="000F3CD4"/>
    <w:rsid w:val="000F3F4F"/>
    <w:rsid w:val="000F4B76"/>
    <w:rsid w:val="000F52D5"/>
    <w:rsid w:val="000F5718"/>
    <w:rsid w:val="000F5CFE"/>
    <w:rsid w:val="000F5E6A"/>
    <w:rsid w:val="000F68C4"/>
    <w:rsid w:val="000F6CAA"/>
    <w:rsid w:val="0010097B"/>
    <w:rsid w:val="00101C11"/>
    <w:rsid w:val="00101CAB"/>
    <w:rsid w:val="001022A8"/>
    <w:rsid w:val="0010280E"/>
    <w:rsid w:val="00103630"/>
    <w:rsid w:val="00104CEF"/>
    <w:rsid w:val="00105169"/>
    <w:rsid w:val="00105300"/>
    <w:rsid w:val="00105B00"/>
    <w:rsid w:val="00105E55"/>
    <w:rsid w:val="0010611B"/>
    <w:rsid w:val="00106186"/>
    <w:rsid w:val="0011001B"/>
    <w:rsid w:val="0011078E"/>
    <w:rsid w:val="001116AE"/>
    <w:rsid w:val="00111704"/>
    <w:rsid w:val="00111A77"/>
    <w:rsid w:val="00112355"/>
    <w:rsid w:val="00112CD9"/>
    <w:rsid w:val="00112D91"/>
    <w:rsid w:val="00112F32"/>
    <w:rsid w:val="00113362"/>
    <w:rsid w:val="0011396E"/>
    <w:rsid w:val="0011481E"/>
    <w:rsid w:val="00116338"/>
    <w:rsid w:val="0011665D"/>
    <w:rsid w:val="00117203"/>
    <w:rsid w:val="00120181"/>
    <w:rsid w:val="0012139E"/>
    <w:rsid w:val="00121479"/>
    <w:rsid w:val="00121611"/>
    <w:rsid w:val="00121EAA"/>
    <w:rsid w:val="00122DE9"/>
    <w:rsid w:val="00122E61"/>
    <w:rsid w:val="001235A0"/>
    <w:rsid w:val="0012369C"/>
    <w:rsid w:val="00123C64"/>
    <w:rsid w:val="00124360"/>
    <w:rsid w:val="0012438B"/>
    <w:rsid w:val="0012461E"/>
    <w:rsid w:val="00124D90"/>
    <w:rsid w:val="00124DEE"/>
    <w:rsid w:val="00124E62"/>
    <w:rsid w:val="00124F63"/>
    <w:rsid w:val="00125089"/>
    <w:rsid w:val="001255B2"/>
    <w:rsid w:val="001256AF"/>
    <w:rsid w:val="001256CA"/>
    <w:rsid w:val="00125A43"/>
    <w:rsid w:val="00126A58"/>
    <w:rsid w:val="00126F46"/>
    <w:rsid w:val="00127212"/>
    <w:rsid w:val="001279CC"/>
    <w:rsid w:val="00127DB2"/>
    <w:rsid w:val="001304C8"/>
    <w:rsid w:val="00130C62"/>
    <w:rsid w:val="00131683"/>
    <w:rsid w:val="00132671"/>
    <w:rsid w:val="001339A2"/>
    <w:rsid w:val="001340AC"/>
    <w:rsid w:val="001342A7"/>
    <w:rsid w:val="00134E7E"/>
    <w:rsid w:val="001355F4"/>
    <w:rsid w:val="00135DBF"/>
    <w:rsid w:val="00136F6E"/>
    <w:rsid w:val="00137517"/>
    <w:rsid w:val="00137A09"/>
    <w:rsid w:val="001409FB"/>
    <w:rsid w:val="00140E12"/>
    <w:rsid w:val="0014188B"/>
    <w:rsid w:val="001425AB"/>
    <w:rsid w:val="0014278D"/>
    <w:rsid w:val="00143138"/>
    <w:rsid w:val="00143490"/>
    <w:rsid w:val="001436E9"/>
    <w:rsid w:val="0014711B"/>
    <w:rsid w:val="001471AE"/>
    <w:rsid w:val="001471C7"/>
    <w:rsid w:val="0014797C"/>
    <w:rsid w:val="001501F3"/>
    <w:rsid w:val="00150805"/>
    <w:rsid w:val="00151175"/>
    <w:rsid w:val="001521FB"/>
    <w:rsid w:val="00152208"/>
    <w:rsid w:val="00152389"/>
    <w:rsid w:val="00152C98"/>
    <w:rsid w:val="00152CCA"/>
    <w:rsid w:val="00152E21"/>
    <w:rsid w:val="00153A91"/>
    <w:rsid w:val="00153D43"/>
    <w:rsid w:val="00153FAB"/>
    <w:rsid w:val="00154351"/>
    <w:rsid w:val="00154696"/>
    <w:rsid w:val="0015580B"/>
    <w:rsid w:val="00157EDA"/>
    <w:rsid w:val="001610F1"/>
    <w:rsid w:val="00161148"/>
    <w:rsid w:val="001612F4"/>
    <w:rsid w:val="00161558"/>
    <w:rsid w:val="0016172A"/>
    <w:rsid w:val="001617D8"/>
    <w:rsid w:val="00162F2D"/>
    <w:rsid w:val="001635C3"/>
    <w:rsid w:val="001636B1"/>
    <w:rsid w:val="00164F94"/>
    <w:rsid w:val="00166558"/>
    <w:rsid w:val="001670FC"/>
    <w:rsid w:val="00167A00"/>
    <w:rsid w:val="00167D12"/>
    <w:rsid w:val="00170552"/>
    <w:rsid w:val="001706B7"/>
    <w:rsid w:val="00170F2A"/>
    <w:rsid w:val="00171374"/>
    <w:rsid w:val="00171618"/>
    <w:rsid w:val="001727CC"/>
    <w:rsid w:val="00172BA8"/>
    <w:rsid w:val="0017328E"/>
    <w:rsid w:val="001732FC"/>
    <w:rsid w:val="00174087"/>
    <w:rsid w:val="001753E0"/>
    <w:rsid w:val="001757C5"/>
    <w:rsid w:val="00176ED6"/>
    <w:rsid w:val="00177087"/>
    <w:rsid w:val="0017708E"/>
    <w:rsid w:val="00177473"/>
    <w:rsid w:val="00177796"/>
    <w:rsid w:val="00177AB9"/>
    <w:rsid w:val="00180527"/>
    <w:rsid w:val="00180587"/>
    <w:rsid w:val="0018094A"/>
    <w:rsid w:val="001812FF"/>
    <w:rsid w:val="00181F0C"/>
    <w:rsid w:val="00182CC5"/>
    <w:rsid w:val="00183636"/>
    <w:rsid w:val="00185162"/>
    <w:rsid w:val="001865E9"/>
    <w:rsid w:val="00186CBB"/>
    <w:rsid w:val="00186F76"/>
    <w:rsid w:val="00187847"/>
    <w:rsid w:val="00187A3E"/>
    <w:rsid w:val="00187AFB"/>
    <w:rsid w:val="00190043"/>
    <w:rsid w:val="0019024A"/>
    <w:rsid w:val="00190668"/>
    <w:rsid w:val="00190E5E"/>
    <w:rsid w:val="00190EE9"/>
    <w:rsid w:val="00191316"/>
    <w:rsid w:val="001917F1"/>
    <w:rsid w:val="00192A53"/>
    <w:rsid w:val="00192C55"/>
    <w:rsid w:val="00192F4A"/>
    <w:rsid w:val="00193A93"/>
    <w:rsid w:val="001944C7"/>
    <w:rsid w:val="00195BE8"/>
    <w:rsid w:val="001965F2"/>
    <w:rsid w:val="001978B9"/>
    <w:rsid w:val="001A025D"/>
    <w:rsid w:val="001A0516"/>
    <w:rsid w:val="001A1C74"/>
    <w:rsid w:val="001A2155"/>
    <w:rsid w:val="001A303F"/>
    <w:rsid w:val="001A3C77"/>
    <w:rsid w:val="001A424C"/>
    <w:rsid w:val="001A4327"/>
    <w:rsid w:val="001A5015"/>
    <w:rsid w:val="001A5FA6"/>
    <w:rsid w:val="001A6B9D"/>
    <w:rsid w:val="001A6BC8"/>
    <w:rsid w:val="001A75A5"/>
    <w:rsid w:val="001A7A00"/>
    <w:rsid w:val="001A7C01"/>
    <w:rsid w:val="001B0138"/>
    <w:rsid w:val="001B01EE"/>
    <w:rsid w:val="001B0A21"/>
    <w:rsid w:val="001B12E7"/>
    <w:rsid w:val="001B1AC3"/>
    <w:rsid w:val="001B1D9A"/>
    <w:rsid w:val="001B2000"/>
    <w:rsid w:val="001B2753"/>
    <w:rsid w:val="001B295C"/>
    <w:rsid w:val="001B2CC6"/>
    <w:rsid w:val="001B3052"/>
    <w:rsid w:val="001B33FE"/>
    <w:rsid w:val="001B3457"/>
    <w:rsid w:val="001B34B2"/>
    <w:rsid w:val="001B39BB"/>
    <w:rsid w:val="001B3EEA"/>
    <w:rsid w:val="001B48C8"/>
    <w:rsid w:val="001B560B"/>
    <w:rsid w:val="001B5C87"/>
    <w:rsid w:val="001B63F0"/>
    <w:rsid w:val="001B73DD"/>
    <w:rsid w:val="001B755F"/>
    <w:rsid w:val="001C0C14"/>
    <w:rsid w:val="001C0F23"/>
    <w:rsid w:val="001C10AD"/>
    <w:rsid w:val="001C22F3"/>
    <w:rsid w:val="001C2FFD"/>
    <w:rsid w:val="001C3CDA"/>
    <w:rsid w:val="001C3DC4"/>
    <w:rsid w:val="001C3E49"/>
    <w:rsid w:val="001C4217"/>
    <w:rsid w:val="001C44C9"/>
    <w:rsid w:val="001C55A8"/>
    <w:rsid w:val="001C5C32"/>
    <w:rsid w:val="001C5D9F"/>
    <w:rsid w:val="001C5FB2"/>
    <w:rsid w:val="001C5FBB"/>
    <w:rsid w:val="001C6582"/>
    <w:rsid w:val="001C6F15"/>
    <w:rsid w:val="001C73D0"/>
    <w:rsid w:val="001C7793"/>
    <w:rsid w:val="001C7A03"/>
    <w:rsid w:val="001D0782"/>
    <w:rsid w:val="001D11F7"/>
    <w:rsid w:val="001D1283"/>
    <w:rsid w:val="001D1630"/>
    <w:rsid w:val="001D182F"/>
    <w:rsid w:val="001D2F8D"/>
    <w:rsid w:val="001D338B"/>
    <w:rsid w:val="001D34E8"/>
    <w:rsid w:val="001D423F"/>
    <w:rsid w:val="001D455D"/>
    <w:rsid w:val="001D4755"/>
    <w:rsid w:val="001D4830"/>
    <w:rsid w:val="001D4A23"/>
    <w:rsid w:val="001D4EF8"/>
    <w:rsid w:val="001D4FA2"/>
    <w:rsid w:val="001D523E"/>
    <w:rsid w:val="001D53A2"/>
    <w:rsid w:val="001D5896"/>
    <w:rsid w:val="001D78BC"/>
    <w:rsid w:val="001E0021"/>
    <w:rsid w:val="001E0573"/>
    <w:rsid w:val="001E0705"/>
    <w:rsid w:val="001E0DF8"/>
    <w:rsid w:val="001E0E63"/>
    <w:rsid w:val="001E1C55"/>
    <w:rsid w:val="001E2681"/>
    <w:rsid w:val="001E27F7"/>
    <w:rsid w:val="001E2835"/>
    <w:rsid w:val="001E3509"/>
    <w:rsid w:val="001E3A46"/>
    <w:rsid w:val="001E4078"/>
    <w:rsid w:val="001E50DF"/>
    <w:rsid w:val="001E54EA"/>
    <w:rsid w:val="001E62C8"/>
    <w:rsid w:val="001E79C8"/>
    <w:rsid w:val="001F0326"/>
    <w:rsid w:val="001F05C7"/>
    <w:rsid w:val="001F195B"/>
    <w:rsid w:val="001F1FA9"/>
    <w:rsid w:val="001F2078"/>
    <w:rsid w:val="001F20F5"/>
    <w:rsid w:val="001F2823"/>
    <w:rsid w:val="001F2DEB"/>
    <w:rsid w:val="001F2EFE"/>
    <w:rsid w:val="001F36FF"/>
    <w:rsid w:val="001F387B"/>
    <w:rsid w:val="001F5252"/>
    <w:rsid w:val="001F674A"/>
    <w:rsid w:val="001F73AF"/>
    <w:rsid w:val="001F78BF"/>
    <w:rsid w:val="001F7BEF"/>
    <w:rsid w:val="00200CE9"/>
    <w:rsid w:val="00202F39"/>
    <w:rsid w:val="00203202"/>
    <w:rsid w:val="00203A2C"/>
    <w:rsid w:val="00204DE0"/>
    <w:rsid w:val="00204EFF"/>
    <w:rsid w:val="0020521D"/>
    <w:rsid w:val="00206619"/>
    <w:rsid w:val="00206726"/>
    <w:rsid w:val="0020672C"/>
    <w:rsid w:val="00206F09"/>
    <w:rsid w:val="00207950"/>
    <w:rsid w:val="00207ACA"/>
    <w:rsid w:val="00207B1B"/>
    <w:rsid w:val="00207C12"/>
    <w:rsid w:val="00207C1C"/>
    <w:rsid w:val="00207DB7"/>
    <w:rsid w:val="00207EB6"/>
    <w:rsid w:val="00210B7C"/>
    <w:rsid w:val="00211816"/>
    <w:rsid w:val="00213379"/>
    <w:rsid w:val="0021392F"/>
    <w:rsid w:val="002139CB"/>
    <w:rsid w:val="00213D0C"/>
    <w:rsid w:val="0021404E"/>
    <w:rsid w:val="002141B9"/>
    <w:rsid w:val="00214BAD"/>
    <w:rsid w:val="00215AC7"/>
    <w:rsid w:val="0021631B"/>
    <w:rsid w:val="002168DB"/>
    <w:rsid w:val="002175EC"/>
    <w:rsid w:val="00217D01"/>
    <w:rsid w:val="00220632"/>
    <w:rsid w:val="00220E5E"/>
    <w:rsid w:val="00221448"/>
    <w:rsid w:val="0022170C"/>
    <w:rsid w:val="00221A5E"/>
    <w:rsid w:val="00221C6A"/>
    <w:rsid w:val="00221E2A"/>
    <w:rsid w:val="0022239C"/>
    <w:rsid w:val="0022247D"/>
    <w:rsid w:val="00222F00"/>
    <w:rsid w:val="0022376D"/>
    <w:rsid w:val="002238A2"/>
    <w:rsid w:val="00224160"/>
    <w:rsid w:val="00224254"/>
    <w:rsid w:val="00225C7B"/>
    <w:rsid w:val="00225F2C"/>
    <w:rsid w:val="00226932"/>
    <w:rsid w:val="00226E7F"/>
    <w:rsid w:val="00227805"/>
    <w:rsid w:val="00227A85"/>
    <w:rsid w:val="00230076"/>
    <w:rsid w:val="0023012E"/>
    <w:rsid w:val="00230181"/>
    <w:rsid w:val="00231615"/>
    <w:rsid w:val="00232288"/>
    <w:rsid w:val="00233C1B"/>
    <w:rsid w:val="00233E0A"/>
    <w:rsid w:val="0023499A"/>
    <w:rsid w:val="002353BD"/>
    <w:rsid w:val="00235C33"/>
    <w:rsid w:val="0023690E"/>
    <w:rsid w:val="00236F3D"/>
    <w:rsid w:val="00240045"/>
    <w:rsid w:val="0024089C"/>
    <w:rsid w:val="00242469"/>
    <w:rsid w:val="00242E81"/>
    <w:rsid w:val="00243488"/>
    <w:rsid w:val="00243A2C"/>
    <w:rsid w:val="00244F02"/>
    <w:rsid w:val="0024558F"/>
    <w:rsid w:val="0024566B"/>
    <w:rsid w:val="002456B5"/>
    <w:rsid w:val="00245C94"/>
    <w:rsid w:val="00246532"/>
    <w:rsid w:val="0024687C"/>
    <w:rsid w:val="00246E1E"/>
    <w:rsid w:val="00250229"/>
    <w:rsid w:val="002508F2"/>
    <w:rsid w:val="00250FDF"/>
    <w:rsid w:val="002512AE"/>
    <w:rsid w:val="00251757"/>
    <w:rsid w:val="00251D5C"/>
    <w:rsid w:val="00251DF6"/>
    <w:rsid w:val="00252286"/>
    <w:rsid w:val="00252D75"/>
    <w:rsid w:val="00253CC3"/>
    <w:rsid w:val="00254555"/>
    <w:rsid w:val="002548E6"/>
    <w:rsid w:val="00255419"/>
    <w:rsid w:val="002569C4"/>
    <w:rsid w:val="00256AE3"/>
    <w:rsid w:val="00256C17"/>
    <w:rsid w:val="00257505"/>
    <w:rsid w:val="00257849"/>
    <w:rsid w:val="00260596"/>
    <w:rsid w:val="002606E6"/>
    <w:rsid w:val="002610F5"/>
    <w:rsid w:val="00261675"/>
    <w:rsid w:val="00261B35"/>
    <w:rsid w:val="002620FF"/>
    <w:rsid w:val="002631EE"/>
    <w:rsid w:val="00263366"/>
    <w:rsid w:val="00264305"/>
    <w:rsid w:val="00264EDA"/>
    <w:rsid w:val="002654EA"/>
    <w:rsid w:val="0026576C"/>
    <w:rsid w:val="00265853"/>
    <w:rsid w:val="00266219"/>
    <w:rsid w:val="002664CF"/>
    <w:rsid w:val="00266B5B"/>
    <w:rsid w:val="00266F80"/>
    <w:rsid w:val="00267EC5"/>
    <w:rsid w:val="00270222"/>
    <w:rsid w:val="0027146B"/>
    <w:rsid w:val="002718E6"/>
    <w:rsid w:val="002721EF"/>
    <w:rsid w:val="00274449"/>
    <w:rsid w:val="00274D80"/>
    <w:rsid w:val="00274EA2"/>
    <w:rsid w:val="002757EC"/>
    <w:rsid w:val="002758BA"/>
    <w:rsid w:val="002769BE"/>
    <w:rsid w:val="00276C6C"/>
    <w:rsid w:val="00277459"/>
    <w:rsid w:val="00277B5E"/>
    <w:rsid w:val="00280006"/>
    <w:rsid w:val="0028039F"/>
    <w:rsid w:val="00280BDB"/>
    <w:rsid w:val="00280D89"/>
    <w:rsid w:val="00280E5C"/>
    <w:rsid w:val="002812DF"/>
    <w:rsid w:val="002814D0"/>
    <w:rsid w:val="002815B3"/>
    <w:rsid w:val="002818DE"/>
    <w:rsid w:val="00281CD1"/>
    <w:rsid w:val="002824CF"/>
    <w:rsid w:val="002825F7"/>
    <w:rsid w:val="002834F1"/>
    <w:rsid w:val="00283F14"/>
    <w:rsid w:val="0028401B"/>
    <w:rsid w:val="0028491E"/>
    <w:rsid w:val="0028494F"/>
    <w:rsid w:val="00284BA8"/>
    <w:rsid w:val="0028552E"/>
    <w:rsid w:val="00285563"/>
    <w:rsid w:val="00285FD1"/>
    <w:rsid w:val="002865DC"/>
    <w:rsid w:val="00286695"/>
    <w:rsid w:val="00287635"/>
    <w:rsid w:val="00287984"/>
    <w:rsid w:val="00290266"/>
    <w:rsid w:val="00290D2B"/>
    <w:rsid w:val="002914D5"/>
    <w:rsid w:val="0029225F"/>
    <w:rsid w:val="002936C6"/>
    <w:rsid w:val="00293DEF"/>
    <w:rsid w:val="002962F5"/>
    <w:rsid w:val="00296977"/>
    <w:rsid w:val="002972BE"/>
    <w:rsid w:val="00297BD5"/>
    <w:rsid w:val="002A06F4"/>
    <w:rsid w:val="002A0EB9"/>
    <w:rsid w:val="002A0F5A"/>
    <w:rsid w:val="002A1908"/>
    <w:rsid w:val="002A196D"/>
    <w:rsid w:val="002A2054"/>
    <w:rsid w:val="002A2E42"/>
    <w:rsid w:val="002A3321"/>
    <w:rsid w:val="002A3911"/>
    <w:rsid w:val="002A4246"/>
    <w:rsid w:val="002A4ADA"/>
    <w:rsid w:val="002A4D45"/>
    <w:rsid w:val="002A4D55"/>
    <w:rsid w:val="002A509E"/>
    <w:rsid w:val="002A54B8"/>
    <w:rsid w:val="002A59F8"/>
    <w:rsid w:val="002A5E44"/>
    <w:rsid w:val="002A5F1C"/>
    <w:rsid w:val="002A6990"/>
    <w:rsid w:val="002A7EC7"/>
    <w:rsid w:val="002B0619"/>
    <w:rsid w:val="002B112B"/>
    <w:rsid w:val="002B1201"/>
    <w:rsid w:val="002B13C3"/>
    <w:rsid w:val="002B293A"/>
    <w:rsid w:val="002B3492"/>
    <w:rsid w:val="002B3635"/>
    <w:rsid w:val="002B3CCA"/>
    <w:rsid w:val="002B3DD2"/>
    <w:rsid w:val="002B47FE"/>
    <w:rsid w:val="002B4A49"/>
    <w:rsid w:val="002B5310"/>
    <w:rsid w:val="002B610F"/>
    <w:rsid w:val="002B6908"/>
    <w:rsid w:val="002B7483"/>
    <w:rsid w:val="002B7F0E"/>
    <w:rsid w:val="002C0035"/>
    <w:rsid w:val="002C017B"/>
    <w:rsid w:val="002C11C7"/>
    <w:rsid w:val="002C13FA"/>
    <w:rsid w:val="002C24AC"/>
    <w:rsid w:val="002C2554"/>
    <w:rsid w:val="002C2DE7"/>
    <w:rsid w:val="002C342A"/>
    <w:rsid w:val="002C3B0F"/>
    <w:rsid w:val="002C3D87"/>
    <w:rsid w:val="002C3EC4"/>
    <w:rsid w:val="002C4358"/>
    <w:rsid w:val="002C4878"/>
    <w:rsid w:val="002C4975"/>
    <w:rsid w:val="002C4AA2"/>
    <w:rsid w:val="002C4C8B"/>
    <w:rsid w:val="002C4F7A"/>
    <w:rsid w:val="002C639C"/>
    <w:rsid w:val="002C6727"/>
    <w:rsid w:val="002C6CA5"/>
    <w:rsid w:val="002C7157"/>
    <w:rsid w:val="002C7488"/>
    <w:rsid w:val="002C7890"/>
    <w:rsid w:val="002C7AFC"/>
    <w:rsid w:val="002D073B"/>
    <w:rsid w:val="002D2100"/>
    <w:rsid w:val="002D2101"/>
    <w:rsid w:val="002D22B5"/>
    <w:rsid w:val="002D259F"/>
    <w:rsid w:val="002D2D33"/>
    <w:rsid w:val="002D36F1"/>
    <w:rsid w:val="002D3867"/>
    <w:rsid w:val="002D4798"/>
    <w:rsid w:val="002D4A60"/>
    <w:rsid w:val="002D4C0C"/>
    <w:rsid w:val="002D5716"/>
    <w:rsid w:val="002D5E2A"/>
    <w:rsid w:val="002D5FFF"/>
    <w:rsid w:val="002D658D"/>
    <w:rsid w:val="002D70AE"/>
    <w:rsid w:val="002E0213"/>
    <w:rsid w:val="002E0CFC"/>
    <w:rsid w:val="002E0F2D"/>
    <w:rsid w:val="002E1099"/>
    <w:rsid w:val="002E1254"/>
    <w:rsid w:val="002E1305"/>
    <w:rsid w:val="002E1371"/>
    <w:rsid w:val="002E15A4"/>
    <w:rsid w:val="002E213C"/>
    <w:rsid w:val="002E2557"/>
    <w:rsid w:val="002E25E1"/>
    <w:rsid w:val="002E2A8D"/>
    <w:rsid w:val="002E2ADA"/>
    <w:rsid w:val="002E3B8E"/>
    <w:rsid w:val="002E585D"/>
    <w:rsid w:val="002E5ACA"/>
    <w:rsid w:val="002E722B"/>
    <w:rsid w:val="002E77D9"/>
    <w:rsid w:val="002E7954"/>
    <w:rsid w:val="002F0168"/>
    <w:rsid w:val="002F06C3"/>
    <w:rsid w:val="002F0725"/>
    <w:rsid w:val="002F0925"/>
    <w:rsid w:val="002F0E51"/>
    <w:rsid w:val="002F13B0"/>
    <w:rsid w:val="002F1527"/>
    <w:rsid w:val="002F1EC7"/>
    <w:rsid w:val="002F29E7"/>
    <w:rsid w:val="002F3086"/>
    <w:rsid w:val="002F33D3"/>
    <w:rsid w:val="002F35DD"/>
    <w:rsid w:val="002F4ECF"/>
    <w:rsid w:val="002F5282"/>
    <w:rsid w:val="002F60CB"/>
    <w:rsid w:val="002F6575"/>
    <w:rsid w:val="002F6722"/>
    <w:rsid w:val="002F7996"/>
    <w:rsid w:val="003004BF"/>
    <w:rsid w:val="00300C82"/>
    <w:rsid w:val="00300C83"/>
    <w:rsid w:val="00300E12"/>
    <w:rsid w:val="00300FAA"/>
    <w:rsid w:val="00301111"/>
    <w:rsid w:val="00301549"/>
    <w:rsid w:val="00303A13"/>
    <w:rsid w:val="00303C11"/>
    <w:rsid w:val="003049BA"/>
    <w:rsid w:val="0030507B"/>
    <w:rsid w:val="003053AF"/>
    <w:rsid w:val="00310FEF"/>
    <w:rsid w:val="00311155"/>
    <w:rsid w:val="003126E2"/>
    <w:rsid w:val="003130C4"/>
    <w:rsid w:val="00313CE7"/>
    <w:rsid w:val="00313DCC"/>
    <w:rsid w:val="003145F8"/>
    <w:rsid w:val="00315E8A"/>
    <w:rsid w:val="00316563"/>
    <w:rsid w:val="003167BC"/>
    <w:rsid w:val="003169C8"/>
    <w:rsid w:val="00316E60"/>
    <w:rsid w:val="0031718E"/>
    <w:rsid w:val="003171DC"/>
    <w:rsid w:val="0031751A"/>
    <w:rsid w:val="003179C6"/>
    <w:rsid w:val="0032045D"/>
    <w:rsid w:val="003208A1"/>
    <w:rsid w:val="003211F5"/>
    <w:rsid w:val="00321597"/>
    <w:rsid w:val="003215C7"/>
    <w:rsid w:val="00321688"/>
    <w:rsid w:val="00321CD7"/>
    <w:rsid w:val="00321F67"/>
    <w:rsid w:val="00322DE0"/>
    <w:rsid w:val="00323DFE"/>
    <w:rsid w:val="00324048"/>
    <w:rsid w:val="003245ED"/>
    <w:rsid w:val="0032468A"/>
    <w:rsid w:val="003247C3"/>
    <w:rsid w:val="003249E3"/>
    <w:rsid w:val="00324C0C"/>
    <w:rsid w:val="00325E6D"/>
    <w:rsid w:val="003262F1"/>
    <w:rsid w:val="00326935"/>
    <w:rsid w:val="003269FF"/>
    <w:rsid w:val="00326A42"/>
    <w:rsid w:val="0032775B"/>
    <w:rsid w:val="003278D8"/>
    <w:rsid w:val="00330857"/>
    <w:rsid w:val="00330941"/>
    <w:rsid w:val="00330F21"/>
    <w:rsid w:val="00332F4F"/>
    <w:rsid w:val="0033326C"/>
    <w:rsid w:val="0033447B"/>
    <w:rsid w:val="00335129"/>
    <w:rsid w:val="00335FB3"/>
    <w:rsid w:val="00336341"/>
    <w:rsid w:val="00336375"/>
    <w:rsid w:val="00336B94"/>
    <w:rsid w:val="00337737"/>
    <w:rsid w:val="00337C7A"/>
    <w:rsid w:val="00340EF7"/>
    <w:rsid w:val="003418A2"/>
    <w:rsid w:val="00341964"/>
    <w:rsid w:val="00341A59"/>
    <w:rsid w:val="00341E1A"/>
    <w:rsid w:val="00342800"/>
    <w:rsid w:val="003428D0"/>
    <w:rsid w:val="0034363A"/>
    <w:rsid w:val="0034409A"/>
    <w:rsid w:val="00344227"/>
    <w:rsid w:val="00344932"/>
    <w:rsid w:val="003450D7"/>
    <w:rsid w:val="00345625"/>
    <w:rsid w:val="00345E7C"/>
    <w:rsid w:val="003464D3"/>
    <w:rsid w:val="00346B64"/>
    <w:rsid w:val="00346BEE"/>
    <w:rsid w:val="00347130"/>
    <w:rsid w:val="00347269"/>
    <w:rsid w:val="00347858"/>
    <w:rsid w:val="00347959"/>
    <w:rsid w:val="00350509"/>
    <w:rsid w:val="00350851"/>
    <w:rsid w:val="00350EF9"/>
    <w:rsid w:val="00351085"/>
    <w:rsid w:val="00351C28"/>
    <w:rsid w:val="00352319"/>
    <w:rsid w:val="00352DE5"/>
    <w:rsid w:val="0035312B"/>
    <w:rsid w:val="0035354E"/>
    <w:rsid w:val="00354738"/>
    <w:rsid w:val="00354812"/>
    <w:rsid w:val="00355194"/>
    <w:rsid w:val="00355BFF"/>
    <w:rsid w:val="00360CBB"/>
    <w:rsid w:val="0036100A"/>
    <w:rsid w:val="00361062"/>
    <w:rsid w:val="00361AA4"/>
    <w:rsid w:val="00361C4C"/>
    <w:rsid w:val="00362094"/>
    <w:rsid w:val="00362B5E"/>
    <w:rsid w:val="003632B3"/>
    <w:rsid w:val="003635B2"/>
    <w:rsid w:val="0036370C"/>
    <w:rsid w:val="003641DD"/>
    <w:rsid w:val="00364288"/>
    <w:rsid w:val="00364B01"/>
    <w:rsid w:val="00365226"/>
    <w:rsid w:val="00365419"/>
    <w:rsid w:val="0036637B"/>
    <w:rsid w:val="00366783"/>
    <w:rsid w:val="0036735E"/>
    <w:rsid w:val="00367468"/>
    <w:rsid w:val="00367909"/>
    <w:rsid w:val="00367A74"/>
    <w:rsid w:val="00367CEB"/>
    <w:rsid w:val="00367F0F"/>
    <w:rsid w:val="00371032"/>
    <w:rsid w:val="00371171"/>
    <w:rsid w:val="0037156A"/>
    <w:rsid w:val="003717F6"/>
    <w:rsid w:val="00372234"/>
    <w:rsid w:val="003725AA"/>
    <w:rsid w:val="0037292F"/>
    <w:rsid w:val="003743B6"/>
    <w:rsid w:val="00374582"/>
    <w:rsid w:val="003748CE"/>
    <w:rsid w:val="00374FB1"/>
    <w:rsid w:val="003754CE"/>
    <w:rsid w:val="00375F99"/>
    <w:rsid w:val="0037603E"/>
    <w:rsid w:val="0037630F"/>
    <w:rsid w:val="003766CE"/>
    <w:rsid w:val="00376E45"/>
    <w:rsid w:val="00376E69"/>
    <w:rsid w:val="0037777B"/>
    <w:rsid w:val="00380F14"/>
    <w:rsid w:val="003810C8"/>
    <w:rsid w:val="00381472"/>
    <w:rsid w:val="00381AF1"/>
    <w:rsid w:val="00381E1E"/>
    <w:rsid w:val="00381FA5"/>
    <w:rsid w:val="0038229A"/>
    <w:rsid w:val="0038232E"/>
    <w:rsid w:val="00382D53"/>
    <w:rsid w:val="00383DCB"/>
    <w:rsid w:val="0038462C"/>
    <w:rsid w:val="00384939"/>
    <w:rsid w:val="00385122"/>
    <w:rsid w:val="0038533F"/>
    <w:rsid w:val="003853C0"/>
    <w:rsid w:val="003856E2"/>
    <w:rsid w:val="00385BE3"/>
    <w:rsid w:val="00385E44"/>
    <w:rsid w:val="00386205"/>
    <w:rsid w:val="00390045"/>
    <w:rsid w:val="0039012B"/>
    <w:rsid w:val="0039092C"/>
    <w:rsid w:val="00391A73"/>
    <w:rsid w:val="00392381"/>
    <w:rsid w:val="003961D3"/>
    <w:rsid w:val="00396388"/>
    <w:rsid w:val="0039705F"/>
    <w:rsid w:val="00397114"/>
    <w:rsid w:val="003972B6"/>
    <w:rsid w:val="0039790F"/>
    <w:rsid w:val="003979C8"/>
    <w:rsid w:val="003A005F"/>
    <w:rsid w:val="003A0786"/>
    <w:rsid w:val="003A1006"/>
    <w:rsid w:val="003A139F"/>
    <w:rsid w:val="003A1860"/>
    <w:rsid w:val="003A18D2"/>
    <w:rsid w:val="003A198B"/>
    <w:rsid w:val="003A2627"/>
    <w:rsid w:val="003A2CD8"/>
    <w:rsid w:val="003A37D1"/>
    <w:rsid w:val="003A3E3A"/>
    <w:rsid w:val="003A40FF"/>
    <w:rsid w:val="003A4746"/>
    <w:rsid w:val="003A4936"/>
    <w:rsid w:val="003A499E"/>
    <w:rsid w:val="003A4C74"/>
    <w:rsid w:val="003A4EB6"/>
    <w:rsid w:val="003A5615"/>
    <w:rsid w:val="003A5863"/>
    <w:rsid w:val="003A5BD4"/>
    <w:rsid w:val="003A61B4"/>
    <w:rsid w:val="003A6EDA"/>
    <w:rsid w:val="003A7542"/>
    <w:rsid w:val="003A7634"/>
    <w:rsid w:val="003B00FA"/>
    <w:rsid w:val="003B07DF"/>
    <w:rsid w:val="003B0B7E"/>
    <w:rsid w:val="003B1939"/>
    <w:rsid w:val="003B1A3D"/>
    <w:rsid w:val="003B2137"/>
    <w:rsid w:val="003B21DB"/>
    <w:rsid w:val="003B2379"/>
    <w:rsid w:val="003B27E6"/>
    <w:rsid w:val="003B2B7E"/>
    <w:rsid w:val="003B411E"/>
    <w:rsid w:val="003B50F7"/>
    <w:rsid w:val="003B5678"/>
    <w:rsid w:val="003B5C04"/>
    <w:rsid w:val="003B5E7E"/>
    <w:rsid w:val="003B600B"/>
    <w:rsid w:val="003B6187"/>
    <w:rsid w:val="003B6B40"/>
    <w:rsid w:val="003B756C"/>
    <w:rsid w:val="003B77D7"/>
    <w:rsid w:val="003B794C"/>
    <w:rsid w:val="003C04A6"/>
    <w:rsid w:val="003C063B"/>
    <w:rsid w:val="003C08F4"/>
    <w:rsid w:val="003C0D65"/>
    <w:rsid w:val="003C1638"/>
    <w:rsid w:val="003C17E4"/>
    <w:rsid w:val="003C271C"/>
    <w:rsid w:val="003C3D70"/>
    <w:rsid w:val="003C4B72"/>
    <w:rsid w:val="003C4F0B"/>
    <w:rsid w:val="003C5063"/>
    <w:rsid w:val="003C52FE"/>
    <w:rsid w:val="003C5562"/>
    <w:rsid w:val="003C5F58"/>
    <w:rsid w:val="003C6464"/>
    <w:rsid w:val="003C6471"/>
    <w:rsid w:val="003C68E3"/>
    <w:rsid w:val="003C763C"/>
    <w:rsid w:val="003D06D4"/>
    <w:rsid w:val="003D073E"/>
    <w:rsid w:val="003D09BF"/>
    <w:rsid w:val="003D0C03"/>
    <w:rsid w:val="003D1B34"/>
    <w:rsid w:val="003D2623"/>
    <w:rsid w:val="003D2663"/>
    <w:rsid w:val="003D2953"/>
    <w:rsid w:val="003D2D80"/>
    <w:rsid w:val="003D3970"/>
    <w:rsid w:val="003D5771"/>
    <w:rsid w:val="003D6FEF"/>
    <w:rsid w:val="003D7909"/>
    <w:rsid w:val="003E0076"/>
    <w:rsid w:val="003E045A"/>
    <w:rsid w:val="003E0633"/>
    <w:rsid w:val="003E0F73"/>
    <w:rsid w:val="003E23EA"/>
    <w:rsid w:val="003E257C"/>
    <w:rsid w:val="003E26A9"/>
    <w:rsid w:val="003E3A59"/>
    <w:rsid w:val="003E59A2"/>
    <w:rsid w:val="003E5D17"/>
    <w:rsid w:val="003E734E"/>
    <w:rsid w:val="003E73C5"/>
    <w:rsid w:val="003E765A"/>
    <w:rsid w:val="003E7B1C"/>
    <w:rsid w:val="003E7B64"/>
    <w:rsid w:val="003F0113"/>
    <w:rsid w:val="003F0960"/>
    <w:rsid w:val="003F0D96"/>
    <w:rsid w:val="003F14A6"/>
    <w:rsid w:val="003F1FB5"/>
    <w:rsid w:val="003F23D0"/>
    <w:rsid w:val="003F264A"/>
    <w:rsid w:val="003F29CA"/>
    <w:rsid w:val="003F2AC2"/>
    <w:rsid w:val="003F36D5"/>
    <w:rsid w:val="003F381A"/>
    <w:rsid w:val="003F4251"/>
    <w:rsid w:val="003F46E5"/>
    <w:rsid w:val="003F4A49"/>
    <w:rsid w:val="003F64C1"/>
    <w:rsid w:val="003F79D7"/>
    <w:rsid w:val="003F7DDC"/>
    <w:rsid w:val="004004D0"/>
    <w:rsid w:val="00401479"/>
    <w:rsid w:val="004027FE"/>
    <w:rsid w:val="004036C3"/>
    <w:rsid w:val="00403BA0"/>
    <w:rsid w:val="00403D70"/>
    <w:rsid w:val="00403EAD"/>
    <w:rsid w:val="00404BC5"/>
    <w:rsid w:val="00404BD5"/>
    <w:rsid w:val="0040559F"/>
    <w:rsid w:val="0040570D"/>
    <w:rsid w:val="00405A88"/>
    <w:rsid w:val="004066A6"/>
    <w:rsid w:val="00406C55"/>
    <w:rsid w:val="00406DA1"/>
    <w:rsid w:val="004106C4"/>
    <w:rsid w:val="00410C92"/>
    <w:rsid w:val="00410E21"/>
    <w:rsid w:val="004116F4"/>
    <w:rsid w:val="0041180F"/>
    <w:rsid w:val="00411E85"/>
    <w:rsid w:val="0041218D"/>
    <w:rsid w:val="004138D0"/>
    <w:rsid w:val="00413915"/>
    <w:rsid w:val="00413FA0"/>
    <w:rsid w:val="0041423E"/>
    <w:rsid w:val="00414578"/>
    <w:rsid w:val="004149DE"/>
    <w:rsid w:val="00414A60"/>
    <w:rsid w:val="00414E96"/>
    <w:rsid w:val="004150E6"/>
    <w:rsid w:val="00415294"/>
    <w:rsid w:val="004158B7"/>
    <w:rsid w:val="004159D3"/>
    <w:rsid w:val="0041687E"/>
    <w:rsid w:val="00416F9E"/>
    <w:rsid w:val="00417D12"/>
    <w:rsid w:val="00420138"/>
    <w:rsid w:val="0042034C"/>
    <w:rsid w:val="004210B9"/>
    <w:rsid w:val="00421AF1"/>
    <w:rsid w:val="00421F4F"/>
    <w:rsid w:val="004221B7"/>
    <w:rsid w:val="0042276B"/>
    <w:rsid w:val="00423BAA"/>
    <w:rsid w:val="00425161"/>
    <w:rsid w:val="004256A4"/>
    <w:rsid w:val="004257C6"/>
    <w:rsid w:val="0042619C"/>
    <w:rsid w:val="00426FFD"/>
    <w:rsid w:val="004273D4"/>
    <w:rsid w:val="004277EF"/>
    <w:rsid w:val="00430381"/>
    <w:rsid w:val="00430700"/>
    <w:rsid w:val="00430DE8"/>
    <w:rsid w:val="00430F00"/>
    <w:rsid w:val="004322D1"/>
    <w:rsid w:val="00432B6B"/>
    <w:rsid w:val="00432E52"/>
    <w:rsid w:val="00433296"/>
    <w:rsid w:val="004334FD"/>
    <w:rsid w:val="004338E3"/>
    <w:rsid w:val="00433DB1"/>
    <w:rsid w:val="004343BC"/>
    <w:rsid w:val="0043515C"/>
    <w:rsid w:val="004363D5"/>
    <w:rsid w:val="0043656A"/>
    <w:rsid w:val="00436C52"/>
    <w:rsid w:val="004372A2"/>
    <w:rsid w:val="004373C5"/>
    <w:rsid w:val="00437436"/>
    <w:rsid w:val="00437B8E"/>
    <w:rsid w:val="00437E99"/>
    <w:rsid w:val="00440062"/>
    <w:rsid w:val="00440F3C"/>
    <w:rsid w:val="00440F56"/>
    <w:rsid w:val="004413CD"/>
    <w:rsid w:val="00441568"/>
    <w:rsid w:val="00443982"/>
    <w:rsid w:val="00443FF4"/>
    <w:rsid w:val="00444941"/>
    <w:rsid w:val="004455FC"/>
    <w:rsid w:val="00445C10"/>
    <w:rsid w:val="00445D05"/>
    <w:rsid w:val="00446670"/>
    <w:rsid w:val="00446A90"/>
    <w:rsid w:val="0044703C"/>
    <w:rsid w:val="0044753D"/>
    <w:rsid w:val="00447C1F"/>
    <w:rsid w:val="00450BA8"/>
    <w:rsid w:val="00450C83"/>
    <w:rsid w:val="00450F30"/>
    <w:rsid w:val="004515F0"/>
    <w:rsid w:val="004517D4"/>
    <w:rsid w:val="004517D6"/>
    <w:rsid w:val="00451994"/>
    <w:rsid w:val="004524D0"/>
    <w:rsid w:val="004533E1"/>
    <w:rsid w:val="004553D8"/>
    <w:rsid w:val="00455873"/>
    <w:rsid w:val="00456CCC"/>
    <w:rsid w:val="00457087"/>
    <w:rsid w:val="00457E05"/>
    <w:rsid w:val="0046020E"/>
    <w:rsid w:val="0046161A"/>
    <w:rsid w:val="004618E3"/>
    <w:rsid w:val="00461A31"/>
    <w:rsid w:val="00462234"/>
    <w:rsid w:val="00463B8E"/>
    <w:rsid w:val="00463EB5"/>
    <w:rsid w:val="00465C2B"/>
    <w:rsid w:val="0046649B"/>
    <w:rsid w:val="004669A4"/>
    <w:rsid w:val="004671D1"/>
    <w:rsid w:val="004677E9"/>
    <w:rsid w:val="00470E9F"/>
    <w:rsid w:val="004716AC"/>
    <w:rsid w:val="00471B10"/>
    <w:rsid w:val="00471D41"/>
    <w:rsid w:val="00471F32"/>
    <w:rsid w:val="00472F7F"/>
    <w:rsid w:val="004730A0"/>
    <w:rsid w:val="004730C9"/>
    <w:rsid w:val="004751D4"/>
    <w:rsid w:val="004757EE"/>
    <w:rsid w:val="004761ED"/>
    <w:rsid w:val="0047688A"/>
    <w:rsid w:val="00476A59"/>
    <w:rsid w:val="00476D3F"/>
    <w:rsid w:val="00481D5E"/>
    <w:rsid w:val="00482CD9"/>
    <w:rsid w:val="004833A7"/>
    <w:rsid w:val="0048409A"/>
    <w:rsid w:val="00484F19"/>
    <w:rsid w:val="00485095"/>
    <w:rsid w:val="00485339"/>
    <w:rsid w:val="00486164"/>
    <w:rsid w:val="00486DB4"/>
    <w:rsid w:val="004876B2"/>
    <w:rsid w:val="00490711"/>
    <w:rsid w:val="00491265"/>
    <w:rsid w:val="00491AE2"/>
    <w:rsid w:val="00491AE4"/>
    <w:rsid w:val="00491E01"/>
    <w:rsid w:val="004920D6"/>
    <w:rsid w:val="0049269E"/>
    <w:rsid w:val="004933B8"/>
    <w:rsid w:val="0049361B"/>
    <w:rsid w:val="00493DB0"/>
    <w:rsid w:val="00493F3A"/>
    <w:rsid w:val="00494766"/>
    <w:rsid w:val="004959D3"/>
    <w:rsid w:val="00495BF3"/>
    <w:rsid w:val="004970BC"/>
    <w:rsid w:val="004A0138"/>
    <w:rsid w:val="004A066E"/>
    <w:rsid w:val="004A0F5B"/>
    <w:rsid w:val="004A1799"/>
    <w:rsid w:val="004A19DF"/>
    <w:rsid w:val="004A25ED"/>
    <w:rsid w:val="004A3AF0"/>
    <w:rsid w:val="004A3B13"/>
    <w:rsid w:val="004A3EA3"/>
    <w:rsid w:val="004A491A"/>
    <w:rsid w:val="004A57F7"/>
    <w:rsid w:val="004A5CBB"/>
    <w:rsid w:val="004A61D9"/>
    <w:rsid w:val="004A649C"/>
    <w:rsid w:val="004A6B9A"/>
    <w:rsid w:val="004A6FCE"/>
    <w:rsid w:val="004A70C5"/>
    <w:rsid w:val="004A7CC4"/>
    <w:rsid w:val="004B097E"/>
    <w:rsid w:val="004B0EAA"/>
    <w:rsid w:val="004B11C9"/>
    <w:rsid w:val="004B25F3"/>
    <w:rsid w:val="004B2719"/>
    <w:rsid w:val="004B342C"/>
    <w:rsid w:val="004B3916"/>
    <w:rsid w:val="004B3935"/>
    <w:rsid w:val="004B3D44"/>
    <w:rsid w:val="004B476E"/>
    <w:rsid w:val="004B4DF7"/>
    <w:rsid w:val="004B5428"/>
    <w:rsid w:val="004B5700"/>
    <w:rsid w:val="004B5800"/>
    <w:rsid w:val="004B5BEC"/>
    <w:rsid w:val="004B5E02"/>
    <w:rsid w:val="004B620C"/>
    <w:rsid w:val="004B6E96"/>
    <w:rsid w:val="004B6EC0"/>
    <w:rsid w:val="004B7B88"/>
    <w:rsid w:val="004C0AC0"/>
    <w:rsid w:val="004C0CE5"/>
    <w:rsid w:val="004C1032"/>
    <w:rsid w:val="004C1854"/>
    <w:rsid w:val="004C1999"/>
    <w:rsid w:val="004C1CF9"/>
    <w:rsid w:val="004C1EEF"/>
    <w:rsid w:val="004C2740"/>
    <w:rsid w:val="004C2E57"/>
    <w:rsid w:val="004C32D9"/>
    <w:rsid w:val="004C3F02"/>
    <w:rsid w:val="004C4652"/>
    <w:rsid w:val="004C46F9"/>
    <w:rsid w:val="004C5935"/>
    <w:rsid w:val="004C6AC8"/>
    <w:rsid w:val="004C6E39"/>
    <w:rsid w:val="004C6ED5"/>
    <w:rsid w:val="004C6F59"/>
    <w:rsid w:val="004C7862"/>
    <w:rsid w:val="004D069B"/>
    <w:rsid w:val="004D207A"/>
    <w:rsid w:val="004D22F4"/>
    <w:rsid w:val="004D24CA"/>
    <w:rsid w:val="004D2D50"/>
    <w:rsid w:val="004D30EF"/>
    <w:rsid w:val="004D3105"/>
    <w:rsid w:val="004D3A4F"/>
    <w:rsid w:val="004D3D98"/>
    <w:rsid w:val="004D3DE8"/>
    <w:rsid w:val="004D4511"/>
    <w:rsid w:val="004D4693"/>
    <w:rsid w:val="004D4B63"/>
    <w:rsid w:val="004D5463"/>
    <w:rsid w:val="004D6562"/>
    <w:rsid w:val="004D78B0"/>
    <w:rsid w:val="004D79B8"/>
    <w:rsid w:val="004E016B"/>
    <w:rsid w:val="004E09D2"/>
    <w:rsid w:val="004E0D39"/>
    <w:rsid w:val="004E16CB"/>
    <w:rsid w:val="004E2267"/>
    <w:rsid w:val="004E26FB"/>
    <w:rsid w:val="004E2A65"/>
    <w:rsid w:val="004E2D38"/>
    <w:rsid w:val="004E305A"/>
    <w:rsid w:val="004E3D90"/>
    <w:rsid w:val="004E3E39"/>
    <w:rsid w:val="004E45BB"/>
    <w:rsid w:val="004E5515"/>
    <w:rsid w:val="004E575A"/>
    <w:rsid w:val="004E59A6"/>
    <w:rsid w:val="004E6024"/>
    <w:rsid w:val="004E69F2"/>
    <w:rsid w:val="004E6D6F"/>
    <w:rsid w:val="004E74F3"/>
    <w:rsid w:val="004E7C2A"/>
    <w:rsid w:val="004F0DBA"/>
    <w:rsid w:val="004F0F25"/>
    <w:rsid w:val="004F119B"/>
    <w:rsid w:val="004F16BD"/>
    <w:rsid w:val="004F1973"/>
    <w:rsid w:val="004F1C51"/>
    <w:rsid w:val="004F2394"/>
    <w:rsid w:val="004F28E8"/>
    <w:rsid w:val="004F46BB"/>
    <w:rsid w:val="004F4CAF"/>
    <w:rsid w:val="004F4F99"/>
    <w:rsid w:val="004F51BE"/>
    <w:rsid w:val="004F5BB0"/>
    <w:rsid w:val="004F6203"/>
    <w:rsid w:val="004F6E44"/>
    <w:rsid w:val="004F702D"/>
    <w:rsid w:val="004F76E8"/>
    <w:rsid w:val="004F7D07"/>
    <w:rsid w:val="005001BD"/>
    <w:rsid w:val="00500A45"/>
    <w:rsid w:val="0050182D"/>
    <w:rsid w:val="00502188"/>
    <w:rsid w:val="005025C8"/>
    <w:rsid w:val="005034D8"/>
    <w:rsid w:val="00503A10"/>
    <w:rsid w:val="00503C80"/>
    <w:rsid w:val="00503D84"/>
    <w:rsid w:val="0050452F"/>
    <w:rsid w:val="00504B8B"/>
    <w:rsid w:val="005054C7"/>
    <w:rsid w:val="005054E6"/>
    <w:rsid w:val="00505683"/>
    <w:rsid w:val="00505A7A"/>
    <w:rsid w:val="00506260"/>
    <w:rsid w:val="00506EE1"/>
    <w:rsid w:val="00506FA5"/>
    <w:rsid w:val="00507270"/>
    <w:rsid w:val="0051049D"/>
    <w:rsid w:val="005107B0"/>
    <w:rsid w:val="00510996"/>
    <w:rsid w:val="00510CEC"/>
    <w:rsid w:val="00510D50"/>
    <w:rsid w:val="005114AE"/>
    <w:rsid w:val="005115BC"/>
    <w:rsid w:val="00511C53"/>
    <w:rsid w:val="0051200D"/>
    <w:rsid w:val="005125E8"/>
    <w:rsid w:val="005131BA"/>
    <w:rsid w:val="0051339C"/>
    <w:rsid w:val="00513975"/>
    <w:rsid w:val="00513FC4"/>
    <w:rsid w:val="0051510D"/>
    <w:rsid w:val="00515D90"/>
    <w:rsid w:val="00516BCA"/>
    <w:rsid w:val="005173FA"/>
    <w:rsid w:val="005174EC"/>
    <w:rsid w:val="00517A01"/>
    <w:rsid w:val="005200C5"/>
    <w:rsid w:val="005201E7"/>
    <w:rsid w:val="00520457"/>
    <w:rsid w:val="0052056F"/>
    <w:rsid w:val="00520EAE"/>
    <w:rsid w:val="005212DD"/>
    <w:rsid w:val="00522426"/>
    <w:rsid w:val="00522AD2"/>
    <w:rsid w:val="00522EF9"/>
    <w:rsid w:val="00523138"/>
    <w:rsid w:val="00523655"/>
    <w:rsid w:val="00523B1B"/>
    <w:rsid w:val="00523C83"/>
    <w:rsid w:val="00524258"/>
    <w:rsid w:val="0052779F"/>
    <w:rsid w:val="00527DF2"/>
    <w:rsid w:val="00530466"/>
    <w:rsid w:val="0053046C"/>
    <w:rsid w:val="00531CF6"/>
    <w:rsid w:val="00531E06"/>
    <w:rsid w:val="0053268F"/>
    <w:rsid w:val="00532908"/>
    <w:rsid w:val="005332EE"/>
    <w:rsid w:val="00533A97"/>
    <w:rsid w:val="00533F9C"/>
    <w:rsid w:val="0053418A"/>
    <w:rsid w:val="00534224"/>
    <w:rsid w:val="00534795"/>
    <w:rsid w:val="0053481A"/>
    <w:rsid w:val="00534A74"/>
    <w:rsid w:val="00534E8C"/>
    <w:rsid w:val="00535C8D"/>
    <w:rsid w:val="00536362"/>
    <w:rsid w:val="005367E5"/>
    <w:rsid w:val="005371DF"/>
    <w:rsid w:val="0053778D"/>
    <w:rsid w:val="005379EF"/>
    <w:rsid w:val="0054001B"/>
    <w:rsid w:val="005407AF"/>
    <w:rsid w:val="005409CE"/>
    <w:rsid w:val="00540DEA"/>
    <w:rsid w:val="00540FB5"/>
    <w:rsid w:val="00541EAD"/>
    <w:rsid w:val="0054205C"/>
    <w:rsid w:val="00542471"/>
    <w:rsid w:val="00542678"/>
    <w:rsid w:val="00542CDE"/>
    <w:rsid w:val="0054349D"/>
    <w:rsid w:val="00544FF9"/>
    <w:rsid w:val="0054516D"/>
    <w:rsid w:val="00545877"/>
    <w:rsid w:val="00546543"/>
    <w:rsid w:val="00546FC9"/>
    <w:rsid w:val="005479A0"/>
    <w:rsid w:val="00547A26"/>
    <w:rsid w:val="00547BC7"/>
    <w:rsid w:val="00550931"/>
    <w:rsid w:val="00550D0A"/>
    <w:rsid w:val="00551A09"/>
    <w:rsid w:val="00553029"/>
    <w:rsid w:val="005550FA"/>
    <w:rsid w:val="005559D5"/>
    <w:rsid w:val="00556DDB"/>
    <w:rsid w:val="00557333"/>
    <w:rsid w:val="005577DA"/>
    <w:rsid w:val="005626EE"/>
    <w:rsid w:val="00563969"/>
    <w:rsid w:val="00563A62"/>
    <w:rsid w:val="00563DA3"/>
    <w:rsid w:val="00564427"/>
    <w:rsid w:val="005646C3"/>
    <w:rsid w:val="00564B29"/>
    <w:rsid w:val="0056562C"/>
    <w:rsid w:val="0056618D"/>
    <w:rsid w:val="00566ABD"/>
    <w:rsid w:val="00566BB6"/>
    <w:rsid w:val="00566F36"/>
    <w:rsid w:val="005677CD"/>
    <w:rsid w:val="00567EC1"/>
    <w:rsid w:val="00567ED2"/>
    <w:rsid w:val="005701DF"/>
    <w:rsid w:val="00570FC7"/>
    <w:rsid w:val="00572282"/>
    <w:rsid w:val="00572530"/>
    <w:rsid w:val="0057293E"/>
    <w:rsid w:val="005729D2"/>
    <w:rsid w:val="00572B95"/>
    <w:rsid w:val="00572C24"/>
    <w:rsid w:val="00573198"/>
    <w:rsid w:val="0057383F"/>
    <w:rsid w:val="00573FB8"/>
    <w:rsid w:val="0057421D"/>
    <w:rsid w:val="005751A0"/>
    <w:rsid w:val="00575981"/>
    <w:rsid w:val="00575B16"/>
    <w:rsid w:val="00575C9F"/>
    <w:rsid w:val="00575E42"/>
    <w:rsid w:val="00575EFE"/>
    <w:rsid w:val="005767C8"/>
    <w:rsid w:val="0057706A"/>
    <w:rsid w:val="005801F5"/>
    <w:rsid w:val="00580482"/>
    <w:rsid w:val="00580CE3"/>
    <w:rsid w:val="00580F2E"/>
    <w:rsid w:val="00581156"/>
    <w:rsid w:val="00581168"/>
    <w:rsid w:val="00581486"/>
    <w:rsid w:val="0058154D"/>
    <w:rsid w:val="005815AF"/>
    <w:rsid w:val="00582078"/>
    <w:rsid w:val="005820F8"/>
    <w:rsid w:val="00583288"/>
    <w:rsid w:val="005832C0"/>
    <w:rsid w:val="005835ED"/>
    <w:rsid w:val="005839D1"/>
    <w:rsid w:val="00583A8C"/>
    <w:rsid w:val="00583AA1"/>
    <w:rsid w:val="00583FE6"/>
    <w:rsid w:val="00584FC0"/>
    <w:rsid w:val="00585248"/>
    <w:rsid w:val="00585859"/>
    <w:rsid w:val="00585CAE"/>
    <w:rsid w:val="00585F80"/>
    <w:rsid w:val="00586029"/>
    <w:rsid w:val="005862FA"/>
    <w:rsid w:val="00587287"/>
    <w:rsid w:val="0059099A"/>
    <w:rsid w:val="005909FE"/>
    <w:rsid w:val="00590BC3"/>
    <w:rsid w:val="005910A4"/>
    <w:rsid w:val="00591226"/>
    <w:rsid w:val="00591779"/>
    <w:rsid w:val="005919B1"/>
    <w:rsid w:val="00591D77"/>
    <w:rsid w:val="00591F36"/>
    <w:rsid w:val="005922B1"/>
    <w:rsid w:val="00592E82"/>
    <w:rsid w:val="00592F12"/>
    <w:rsid w:val="00593BB2"/>
    <w:rsid w:val="00593E5F"/>
    <w:rsid w:val="005943DF"/>
    <w:rsid w:val="00595162"/>
    <w:rsid w:val="00595A5E"/>
    <w:rsid w:val="00595DA5"/>
    <w:rsid w:val="00595F3C"/>
    <w:rsid w:val="00596FE5"/>
    <w:rsid w:val="00597242"/>
    <w:rsid w:val="005974E4"/>
    <w:rsid w:val="005976CC"/>
    <w:rsid w:val="005A0230"/>
    <w:rsid w:val="005A0373"/>
    <w:rsid w:val="005A03A1"/>
    <w:rsid w:val="005A0EAC"/>
    <w:rsid w:val="005A1040"/>
    <w:rsid w:val="005A1CED"/>
    <w:rsid w:val="005A239D"/>
    <w:rsid w:val="005A4D65"/>
    <w:rsid w:val="005A4E33"/>
    <w:rsid w:val="005A4FD5"/>
    <w:rsid w:val="005A5018"/>
    <w:rsid w:val="005A570C"/>
    <w:rsid w:val="005A5D21"/>
    <w:rsid w:val="005A6417"/>
    <w:rsid w:val="005A78B9"/>
    <w:rsid w:val="005B04DF"/>
    <w:rsid w:val="005B08BE"/>
    <w:rsid w:val="005B0971"/>
    <w:rsid w:val="005B0F0F"/>
    <w:rsid w:val="005B1F64"/>
    <w:rsid w:val="005B2065"/>
    <w:rsid w:val="005B300B"/>
    <w:rsid w:val="005B31B6"/>
    <w:rsid w:val="005B3D41"/>
    <w:rsid w:val="005B3F15"/>
    <w:rsid w:val="005B441A"/>
    <w:rsid w:val="005B4896"/>
    <w:rsid w:val="005B4EEE"/>
    <w:rsid w:val="005B5235"/>
    <w:rsid w:val="005B5BE2"/>
    <w:rsid w:val="005B5F69"/>
    <w:rsid w:val="005B6319"/>
    <w:rsid w:val="005B753A"/>
    <w:rsid w:val="005B7968"/>
    <w:rsid w:val="005B7CCB"/>
    <w:rsid w:val="005C0144"/>
    <w:rsid w:val="005C15EE"/>
    <w:rsid w:val="005C2EB0"/>
    <w:rsid w:val="005C2EF5"/>
    <w:rsid w:val="005C37EC"/>
    <w:rsid w:val="005C39E7"/>
    <w:rsid w:val="005C4030"/>
    <w:rsid w:val="005C4077"/>
    <w:rsid w:val="005C48D1"/>
    <w:rsid w:val="005C4E6A"/>
    <w:rsid w:val="005C5740"/>
    <w:rsid w:val="005C5BBC"/>
    <w:rsid w:val="005C5C41"/>
    <w:rsid w:val="005C5C6E"/>
    <w:rsid w:val="005C62CA"/>
    <w:rsid w:val="005C7B26"/>
    <w:rsid w:val="005C7E11"/>
    <w:rsid w:val="005D00D4"/>
    <w:rsid w:val="005D06F4"/>
    <w:rsid w:val="005D1F3A"/>
    <w:rsid w:val="005D29C4"/>
    <w:rsid w:val="005D2F21"/>
    <w:rsid w:val="005D2F77"/>
    <w:rsid w:val="005D3077"/>
    <w:rsid w:val="005D30A4"/>
    <w:rsid w:val="005D3768"/>
    <w:rsid w:val="005D3EF3"/>
    <w:rsid w:val="005D3F3F"/>
    <w:rsid w:val="005D4A24"/>
    <w:rsid w:val="005D5038"/>
    <w:rsid w:val="005D5918"/>
    <w:rsid w:val="005D5ACC"/>
    <w:rsid w:val="005D5E45"/>
    <w:rsid w:val="005D68F5"/>
    <w:rsid w:val="005D7134"/>
    <w:rsid w:val="005D79EF"/>
    <w:rsid w:val="005E0492"/>
    <w:rsid w:val="005E0706"/>
    <w:rsid w:val="005E1474"/>
    <w:rsid w:val="005E1A93"/>
    <w:rsid w:val="005E1B2F"/>
    <w:rsid w:val="005E1B71"/>
    <w:rsid w:val="005E208F"/>
    <w:rsid w:val="005E2A49"/>
    <w:rsid w:val="005E3E8E"/>
    <w:rsid w:val="005E4031"/>
    <w:rsid w:val="005E4D5B"/>
    <w:rsid w:val="005E520D"/>
    <w:rsid w:val="005E55B7"/>
    <w:rsid w:val="005E5B12"/>
    <w:rsid w:val="005E6274"/>
    <w:rsid w:val="005E63C4"/>
    <w:rsid w:val="005E66B6"/>
    <w:rsid w:val="005E6E8D"/>
    <w:rsid w:val="005E72AA"/>
    <w:rsid w:val="005E74E6"/>
    <w:rsid w:val="005F0A0F"/>
    <w:rsid w:val="005F16B2"/>
    <w:rsid w:val="005F23C8"/>
    <w:rsid w:val="005F265B"/>
    <w:rsid w:val="005F2B15"/>
    <w:rsid w:val="005F35AE"/>
    <w:rsid w:val="005F4B20"/>
    <w:rsid w:val="005F57AA"/>
    <w:rsid w:val="005F589F"/>
    <w:rsid w:val="005F6290"/>
    <w:rsid w:val="005F6D22"/>
    <w:rsid w:val="005F7179"/>
    <w:rsid w:val="005F7A40"/>
    <w:rsid w:val="0060023B"/>
    <w:rsid w:val="006006AA"/>
    <w:rsid w:val="0060071B"/>
    <w:rsid w:val="00600BC5"/>
    <w:rsid w:val="00601951"/>
    <w:rsid w:val="00602664"/>
    <w:rsid w:val="00602969"/>
    <w:rsid w:val="00602FC0"/>
    <w:rsid w:val="00603610"/>
    <w:rsid w:val="00603670"/>
    <w:rsid w:val="0060430B"/>
    <w:rsid w:val="006045A5"/>
    <w:rsid w:val="00604E48"/>
    <w:rsid w:val="00604EC2"/>
    <w:rsid w:val="006057C2"/>
    <w:rsid w:val="006057DB"/>
    <w:rsid w:val="00606038"/>
    <w:rsid w:val="0060648B"/>
    <w:rsid w:val="00607A5A"/>
    <w:rsid w:val="00607C18"/>
    <w:rsid w:val="006127A2"/>
    <w:rsid w:val="006130EE"/>
    <w:rsid w:val="0061364C"/>
    <w:rsid w:val="0061392C"/>
    <w:rsid w:val="00613D59"/>
    <w:rsid w:val="006154F3"/>
    <w:rsid w:val="00615B16"/>
    <w:rsid w:val="00615D41"/>
    <w:rsid w:val="006164E9"/>
    <w:rsid w:val="00616B9F"/>
    <w:rsid w:val="00616C0B"/>
    <w:rsid w:val="006175A0"/>
    <w:rsid w:val="00617A4E"/>
    <w:rsid w:val="0062018F"/>
    <w:rsid w:val="00620215"/>
    <w:rsid w:val="0062024E"/>
    <w:rsid w:val="00621969"/>
    <w:rsid w:val="00621EDB"/>
    <w:rsid w:val="00622170"/>
    <w:rsid w:val="006226EC"/>
    <w:rsid w:val="00622BD5"/>
    <w:rsid w:val="00622D17"/>
    <w:rsid w:val="00622DE3"/>
    <w:rsid w:val="00623431"/>
    <w:rsid w:val="00624230"/>
    <w:rsid w:val="0062456D"/>
    <w:rsid w:val="00624D26"/>
    <w:rsid w:val="006250AB"/>
    <w:rsid w:val="00625221"/>
    <w:rsid w:val="00625759"/>
    <w:rsid w:val="006257E9"/>
    <w:rsid w:val="006259FB"/>
    <w:rsid w:val="00625A3C"/>
    <w:rsid w:val="00625B6C"/>
    <w:rsid w:val="00625FBF"/>
    <w:rsid w:val="006272CD"/>
    <w:rsid w:val="0063009C"/>
    <w:rsid w:val="0063018C"/>
    <w:rsid w:val="0063080D"/>
    <w:rsid w:val="00630D4C"/>
    <w:rsid w:val="006318D2"/>
    <w:rsid w:val="00631C32"/>
    <w:rsid w:val="00631F47"/>
    <w:rsid w:val="00632E45"/>
    <w:rsid w:val="006330D3"/>
    <w:rsid w:val="00633784"/>
    <w:rsid w:val="00633860"/>
    <w:rsid w:val="0063396A"/>
    <w:rsid w:val="00633C50"/>
    <w:rsid w:val="00633E59"/>
    <w:rsid w:val="00633EAF"/>
    <w:rsid w:val="00634DDA"/>
    <w:rsid w:val="0063593C"/>
    <w:rsid w:val="006371D2"/>
    <w:rsid w:val="00637931"/>
    <w:rsid w:val="00637ACA"/>
    <w:rsid w:val="0064058F"/>
    <w:rsid w:val="00640633"/>
    <w:rsid w:val="00640865"/>
    <w:rsid w:val="00641A83"/>
    <w:rsid w:val="00641D05"/>
    <w:rsid w:val="0064240A"/>
    <w:rsid w:val="00642BAB"/>
    <w:rsid w:val="0064351F"/>
    <w:rsid w:val="00644859"/>
    <w:rsid w:val="00645786"/>
    <w:rsid w:val="00645DD7"/>
    <w:rsid w:val="00645F76"/>
    <w:rsid w:val="0064698F"/>
    <w:rsid w:val="00646D7D"/>
    <w:rsid w:val="00647BA2"/>
    <w:rsid w:val="00647C28"/>
    <w:rsid w:val="00650897"/>
    <w:rsid w:val="00650F77"/>
    <w:rsid w:val="0065163B"/>
    <w:rsid w:val="0065233B"/>
    <w:rsid w:val="0065246C"/>
    <w:rsid w:val="00652697"/>
    <w:rsid w:val="00652FBD"/>
    <w:rsid w:val="00653287"/>
    <w:rsid w:val="0065358B"/>
    <w:rsid w:val="00653772"/>
    <w:rsid w:val="006538DF"/>
    <w:rsid w:val="00653FCD"/>
    <w:rsid w:val="00654637"/>
    <w:rsid w:val="00655A37"/>
    <w:rsid w:val="00656760"/>
    <w:rsid w:val="006568D7"/>
    <w:rsid w:val="00657481"/>
    <w:rsid w:val="00660077"/>
    <w:rsid w:val="0066033A"/>
    <w:rsid w:val="00660AAF"/>
    <w:rsid w:val="00661F30"/>
    <w:rsid w:val="00662578"/>
    <w:rsid w:val="00663346"/>
    <w:rsid w:val="00664776"/>
    <w:rsid w:val="00664E3D"/>
    <w:rsid w:val="00664F44"/>
    <w:rsid w:val="00665EAD"/>
    <w:rsid w:val="00666977"/>
    <w:rsid w:val="00666F31"/>
    <w:rsid w:val="00667C33"/>
    <w:rsid w:val="00667C42"/>
    <w:rsid w:val="00670F60"/>
    <w:rsid w:val="00671329"/>
    <w:rsid w:val="006725A3"/>
    <w:rsid w:val="006731C2"/>
    <w:rsid w:val="0067335E"/>
    <w:rsid w:val="006734CB"/>
    <w:rsid w:val="00673593"/>
    <w:rsid w:val="006740A2"/>
    <w:rsid w:val="00674173"/>
    <w:rsid w:val="00674AE6"/>
    <w:rsid w:val="00675D3F"/>
    <w:rsid w:val="00676648"/>
    <w:rsid w:val="006776CD"/>
    <w:rsid w:val="006778EC"/>
    <w:rsid w:val="00680035"/>
    <w:rsid w:val="00680244"/>
    <w:rsid w:val="0068041C"/>
    <w:rsid w:val="00680A7A"/>
    <w:rsid w:val="00680CF0"/>
    <w:rsid w:val="006818D2"/>
    <w:rsid w:val="006820BA"/>
    <w:rsid w:val="00682813"/>
    <w:rsid w:val="00682B61"/>
    <w:rsid w:val="00683828"/>
    <w:rsid w:val="00684174"/>
    <w:rsid w:val="00684529"/>
    <w:rsid w:val="00684BED"/>
    <w:rsid w:val="00685206"/>
    <w:rsid w:val="0068559E"/>
    <w:rsid w:val="0068560D"/>
    <w:rsid w:val="00685B20"/>
    <w:rsid w:val="00685D0C"/>
    <w:rsid w:val="00685D55"/>
    <w:rsid w:val="00686417"/>
    <w:rsid w:val="00686A06"/>
    <w:rsid w:val="00686B0C"/>
    <w:rsid w:val="00686EAA"/>
    <w:rsid w:val="006874A5"/>
    <w:rsid w:val="00690A00"/>
    <w:rsid w:val="00691CC5"/>
    <w:rsid w:val="0069204A"/>
    <w:rsid w:val="00692187"/>
    <w:rsid w:val="00692687"/>
    <w:rsid w:val="00693177"/>
    <w:rsid w:val="00694E7D"/>
    <w:rsid w:val="0069710E"/>
    <w:rsid w:val="00697FB0"/>
    <w:rsid w:val="006A0750"/>
    <w:rsid w:val="006A17D7"/>
    <w:rsid w:val="006A1CA2"/>
    <w:rsid w:val="006A21A7"/>
    <w:rsid w:val="006A2741"/>
    <w:rsid w:val="006A2E02"/>
    <w:rsid w:val="006A3ACA"/>
    <w:rsid w:val="006A4097"/>
    <w:rsid w:val="006A4897"/>
    <w:rsid w:val="006A5002"/>
    <w:rsid w:val="006A5264"/>
    <w:rsid w:val="006A56CB"/>
    <w:rsid w:val="006A59E7"/>
    <w:rsid w:val="006A5A90"/>
    <w:rsid w:val="006A6F1A"/>
    <w:rsid w:val="006A7917"/>
    <w:rsid w:val="006A7961"/>
    <w:rsid w:val="006A7AC0"/>
    <w:rsid w:val="006A7FD9"/>
    <w:rsid w:val="006B05FF"/>
    <w:rsid w:val="006B09B4"/>
    <w:rsid w:val="006B1331"/>
    <w:rsid w:val="006B1576"/>
    <w:rsid w:val="006B1BE6"/>
    <w:rsid w:val="006B4610"/>
    <w:rsid w:val="006B4948"/>
    <w:rsid w:val="006B4A4F"/>
    <w:rsid w:val="006B4BC1"/>
    <w:rsid w:val="006B4F5C"/>
    <w:rsid w:val="006B579D"/>
    <w:rsid w:val="006B5AE9"/>
    <w:rsid w:val="006B659C"/>
    <w:rsid w:val="006B712A"/>
    <w:rsid w:val="006B7174"/>
    <w:rsid w:val="006B7266"/>
    <w:rsid w:val="006B778B"/>
    <w:rsid w:val="006B7818"/>
    <w:rsid w:val="006C0598"/>
    <w:rsid w:val="006C0CC5"/>
    <w:rsid w:val="006C18EC"/>
    <w:rsid w:val="006C4842"/>
    <w:rsid w:val="006C4863"/>
    <w:rsid w:val="006C4FAD"/>
    <w:rsid w:val="006C5511"/>
    <w:rsid w:val="006C60E4"/>
    <w:rsid w:val="006C6B7C"/>
    <w:rsid w:val="006C6D00"/>
    <w:rsid w:val="006C6DE9"/>
    <w:rsid w:val="006C7213"/>
    <w:rsid w:val="006C76D1"/>
    <w:rsid w:val="006D0732"/>
    <w:rsid w:val="006D162E"/>
    <w:rsid w:val="006D17BF"/>
    <w:rsid w:val="006D1C72"/>
    <w:rsid w:val="006D1CFB"/>
    <w:rsid w:val="006D1E62"/>
    <w:rsid w:val="006D2FE9"/>
    <w:rsid w:val="006D5013"/>
    <w:rsid w:val="006D5A55"/>
    <w:rsid w:val="006D61E9"/>
    <w:rsid w:val="006D6E45"/>
    <w:rsid w:val="006D6F36"/>
    <w:rsid w:val="006D7B94"/>
    <w:rsid w:val="006E00EF"/>
    <w:rsid w:val="006E1609"/>
    <w:rsid w:val="006E2207"/>
    <w:rsid w:val="006E2BAA"/>
    <w:rsid w:val="006E3120"/>
    <w:rsid w:val="006E3513"/>
    <w:rsid w:val="006E38E6"/>
    <w:rsid w:val="006E3E2F"/>
    <w:rsid w:val="006E4951"/>
    <w:rsid w:val="006E4BEE"/>
    <w:rsid w:val="006E4F78"/>
    <w:rsid w:val="006E5412"/>
    <w:rsid w:val="006E6796"/>
    <w:rsid w:val="006E6DBE"/>
    <w:rsid w:val="006E6EA8"/>
    <w:rsid w:val="006E792E"/>
    <w:rsid w:val="006F00CB"/>
    <w:rsid w:val="006F02E2"/>
    <w:rsid w:val="006F0969"/>
    <w:rsid w:val="006F0E75"/>
    <w:rsid w:val="006F11E1"/>
    <w:rsid w:val="006F1BE0"/>
    <w:rsid w:val="006F1CC2"/>
    <w:rsid w:val="006F206F"/>
    <w:rsid w:val="006F30B5"/>
    <w:rsid w:val="006F335F"/>
    <w:rsid w:val="006F350F"/>
    <w:rsid w:val="006F3703"/>
    <w:rsid w:val="006F5CA0"/>
    <w:rsid w:val="006F5CD7"/>
    <w:rsid w:val="007000BA"/>
    <w:rsid w:val="0070011D"/>
    <w:rsid w:val="00700E9F"/>
    <w:rsid w:val="0070159D"/>
    <w:rsid w:val="007029D2"/>
    <w:rsid w:val="00704788"/>
    <w:rsid w:val="00705AAF"/>
    <w:rsid w:val="00705C3A"/>
    <w:rsid w:val="007063C7"/>
    <w:rsid w:val="007066D4"/>
    <w:rsid w:val="00707304"/>
    <w:rsid w:val="00710B90"/>
    <w:rsid w:val="00710BED"/>
    <w:rsid w:val="00711992"/>
    <w:rsid w:val="00711BCA"/>
    <w:rsid w:val="00711D7D"/>
    <w:rsid w:val="00711E8E"/>
    <w:rsid w:val="0071219E"/>
    <w:rsid w:val="007131EE"/>
    <w:rsid w:val="00713244"/>
    <w:rsid w:val="00713544"/>
    <w:rsid w:val="0071380A"/>
    <w:rsid w:val="00713952"/>
    <w:rsid w:val="007139FA"/>
    <w:rsid w:val="00713D06"/>
    <w:rsid w:val="00715537"/>
    <w:rsid w:val="00715696"/>
    <w:rsid w:val="007156BD"/>
    <w:rsid w:val="00715B86"/>
    <w:rsid w:val="0071613F"/>
    <w:rsid w:val="00716F28"/>
    <w:rsid w:val="00717076"/>
    <w:rsid w:val="00720528"/>
    <w:rsid w:val="00720AA5"/>
    <w:rsid w:val="00720AB0"/>
    <w:rsid w:val="00720D77"/>
    <w:rsid w:val="00720F33"/>
    <w:rsid w:val="00721683"/>
    <w:rsid w:val="0072227A"/>
    <w:rsid w:val="00722365"/>
    <w:rsid w:val="00722378"/>
    <w:rsid w:val="00722577"/>
    <w:rsid w:val="007228C2"/>
    <w:rsid w:val="0072295A"/>
    <w:rsid w:val="00722D89"/>
    <w:rsid w:val="007230D3"/>
    <w:rsid w:val="00723143"/>
    <w:rsid w:val="00723DF9"/>
    <w:rsid w:val="00724A21"/>
    <w:rsid w:val="00724CE8"/>
    <w:rsid w:val="007269D8"/>
    <w:rsid w:val="00726F47"/>
    <w:rsid w:val="007270E2"/>
    <w:rsid w:val="00730874"/>
    <w:rsid w:val="00731434"/>
    <w:rsid w:val="0073190B"/>
    <w:rsid w:val="00731DEC"/>
    <w:rsid w:val="00732B86"/>
    <w:rsid w:val="007338DF"/>
    <w:rsid w:val="00734553"/>
    <w:rsid w:val="0073469D"/>
    <w:rsid w:val="007346E3"/>
    <w:rsid w:val="0073505A"/>
    <w:rsid w:val="0073545F"/>
    <w:rsid w:val="00736005"/>
    <w:rsid w:val="00736265"/>
    <w:rsid w:val="007370CF"/>
    <w:rsid w:val="007374DB"/>
    <w:rsid w:val="00737D1A"/>
    <w:rsid w:val="00740E15"/>
    <w:rsid w:val="0074160E"/>
    <w:rsid w:val="00741C9C"/>
    <w:rsid w:val="0074267A"/>
    <w:rsid w:val="00742911"/>
    <w:rsid w:val="00742D1D"/>
    <w:rsid w:val="00742E47"/>
    <w:rsid w:val="007439D1"/>
    <w:rsid w:val="007443E4"/>
    <w:rsid w:val="0074446E"/>
    <w:rsid w:val="00744857"/>
    <w:rsid w:val="00744B00"/>
    <w:rsid w:val="007457DD"/>
    <w:rsid w:val="00745C5B"/>
    <w:rsid w:val="007460A8"/>
    <w:rsid w:val="00746184"/>
    <w:rsid w:val="0075038B"/>
    <w:rsid w:val="00750B01"/>
    <w:rsid w:val="007512A9"/>
    <w:rsid w:val="00751382"/>
    <w:rsid w:val="00751488"/>
    <w:rsid w:val="0075213D"/>
    <w:rsid w:val="007521EC"/>
    <w:rsid w:val="0075226E"/>
    <w:rsid w:val="00753049"/>
    <w:rsid w:val="00753195"/>
    <w:rsid w:val="0075367B"/>
    <w:rsid w:val="007538AF"/>
    <w:rsid w:val="00753B22"/>
    <w:rsid w:val="0075427E"/>
    <w:rsid w:val="00754355"/>
    <w:rsid w:val="007551C5"/>
    <w:rsid w:val="00755651"/>
    <w:rsid w:val="007559B6"/>
    <w:rsid w:val="00755BCF"/>
    <w:rsid w:val="00755ED2"/>
    <w:rsid w:val="00756AA9"/>
    <w:rsid w:val="00756BEA"/>
    <w:rsid w:val="00756C36"/>
    <w:rsid w:val="00756C64"/>
    <w:rsid w:val="00757002"/>
    <w:rsid w:val="007570B3"/>
    <w:rsid w:val="0076081F"/>
    <w:rsid w:val="00760FCB"/>
    <w:rsid w:val="0076120B"/>
    <w:rsid w:val="00761D43"/>
    <w:rsid w:val="00762274"/>
    <w:rsid w:val="007629A9"/>
    <w:rsid w:val="007631B4"/>
    <w:rsid w:val="00763734"/>
    <w:rsid w:val="0076468F"/>
    <w:rsid w:val="007647C3"/>
    <w:rsid w:val="00764F58"/>
    <w:rsid w:val="00765194"/>
    <w:rsid w:val="007654CF"/>
    <w:rsid w:val="00765C93"/>
    <w:rsid w:val="0076638D"/>
    <w:rsid w:val="007672E8"/>
    <w:rsid w:val="007703B3"/>
    <w:rsid w:val="00770798"/>
    <w:rsid w:val="0077181B"/>
    <w:rsid w:val="00771FAA"/>
    <w:rsid w:val="007733EC"/>
    <w:rsid w:val="007739ED"/>
    <w:rsid w:val="00773D36"/>
    <w:rsid w:val="0077444B"/>
    <w:rsid w:val="007745C3"/>
    <w:rsid w:val="00774613"/>
    <w:rsid w:val="00774705"/>
    <w:rsid w:val="00774A29"/>
    <w:rsid w:val="00774F0F"/>
    <w:rsid w:val="00775D8F"/>
    <w:rsid w:val="00776639"/>
    <w:rsid w:val="00776A5D"/>
    <w:rsid w:val="00777755"/>
    <w:rsid w:val="00777F74"/>
    <w:rsid w:val="007809AD"/>
    <w:rsid w:val="007812F5"/>
    <w:rsid w:val="00781958"/>
    <w:rsid w:val="00782A1C"/>
    <w:rsid w:val="007835D7"/>
    <w:rsid w:val="00784711"/>
    <w:rsid w:val="007854C0"/>
    <w:rsid w:val="007855FA"/>
    <w:rsid w:val="00785728"/>
    <w:rsid w:val="00785B18"/>
    <w:rsid w:val="0078607C"/>
    <w:rsid w:val="0078646F"/>
    <w:rsid w:val="0078664A"/>
    <w:rsid w:val="00786772"/>
    <w:rsid w:val="00787854"/>
    <w:rsid w:val="00787A88"/>
    <w:rsid w:val="00790F86"/>
    <w:rsid w:val="00791027"/>
    <w:rsid w:val="007919EF"/>
    <w:rsid w:val="00792035"/>
    <w:rsid w:val="00792F18"/>
    <w:rsid w:val="0079320B"/>
    <w:rsid w:val="007933D6"/>
    <w:rsid w:val="0079347E"/>
    <w:rsid w:val="00793B2B"/>
    <w:rsid w:val="00793C89"/>
    <w:rsid w:val="00794417"/>
    <w:rsid w:val="00794821"/>
    <w:rsid w:val="00794B8B"/>
    <w:rsid w:val="007950A8"/>
    <w:rsid w:val="0079539B"/>
    <w:rsid w:val="00795897"/>
    <w:rsid w:val="007959CC"/>
    <w:rsid w:val="00795A26"/>
    <w:rsid w:val="0079692C"/>
    <w:rsid w:val="00796CD4"/>
    <w:rsid w:val="00796DE7"/>
    <w:rsid w:val="00797309"/>
    <w:rsid w:val="0079790F"/>
    <w:rsid w:val="007A0C3B"/>
    <w:rsid w:val="007A1403"/>
    <w:rsid w:val="007A1B3E"/>
    <w:rsid w:val="007A2CD3"/>
    <w:rsid w:val="007A2D90"/>
    <w:rsid w:val="007A2F20"/>
    <w:rsid w:val="007A321E"/>
    <w:rsid w:val="007A32C1"/>
    <w:rsid w:val="007A379B"/>
    <w:rsid w:val="007A3CFA"/>
    <w:rsid w:val="007A4187"/>
    <w:rsid w:val="007A6830"/>
    <w:rsid w:val="007A6F96"/>
    <w:rsid w:val="007A7C87"/>
    <w:rsid w:val="007B047C"/>
    <w:rsid w:val="007B0980"/>
    <w:rsid w:val="007B10E4"/>
    <w:rsid w:val="007B1B24"/>
    <w:rsid w:val="007B1B3A"/>
    <w:rsid w:val="007B1E2E"/>
    <w:rsid w:val="007B29E0"/>
    <w:rsid w:val="007B3340"/>
    <w:rsid w:val="007B3EEC"/>
    <w:rsid w:val="007B4BA4"/>
    <w:rsid w:val="007B573E"/>
    <w:rsid w:val="007B5CEC"/>
    <w:rsid w:val="007B6091"/>
    <w:rsid w:val="007B6173"/>
    <w:rsid w:val="007B6202"/>
    <w:rsid w:val="007B629E"/>
    <w:rsid w:val="007B79C4"/>
    <w:rsid w:val="007C0075"/>
    <w:rsid w:val="007C06B5"/>
    <w:rsid w:val="007C1ACA"/>
    <w:rsid w:val="007C23DC"/>
    <w:rsid w:val="007C2D0E"/>
    <w:rsid w:val="007C3ACF"/>
    <w:rsid w:val="007C3FE6"/>
    <w:rsid w:val="007C4890"/>
    <w:rsid w:val="007C51D0"/>
    <w:rsid w:val="007C5486"/>
    <w:rsid w:val="007C6966"/>
    <w:rsid w:val="007C7822"/>
    <w:rsid w:val="007C78B8"/>
    <w:rsid w:val="007C7DBD"/>
    <w:rsid w:val="007D00AD"/>
    <w:rsid w:val="007D0EF7"/>
    <w:rsid w:val="007D1179"/>
    <w:rsid w:val="007D22EF"/>
    <w:rsid w:val="007D247F"/>
    <w:rsid w:val="007D27DB"/>
    <w:rsid w:val="007D36FE"/>
    <w:rsid w:val="007D3E5B"/>
    <w:rsid w:val="007D45DE"/>
    <w:rsid w:val="007D4904"/>
    <w:rsid w:val="007D4A31"/>
    <w:rsid w:val="007D4C8A"/>
    <w:rsid w:val="007D6225"/>
    <w:rsid w:val="007D75A8"/>
    <w:rsid w:val="007E09D6"/>
    <w:rsid w:val="007E0C1B"/>
    <w:rsid w:val="007E0D98"/>
    <w:rsid w:val="007E16A5"/>
    <w:rsid w:val="007E16C4"/>
    <w:rsid w:val="007E2343"/>
    <w:rsid w:val="007E2A12"/>
    <w:rsid w:val="007E2EA7"/>
    <w:rsid w:val="007E31F6"/>
    <w:rsid w:val="007E347D"/>
    <w:rsid w:val="007E3993"/>
    <w:rsid w:val="007E4C81"/>
    <w:rsid w:val="007E5C40"/>
    <w:rsid w:val="007E64E3"/>
    <w:rsid w:val="007E6E4F"/>
    <w:rsid w:val="007E6F60"/>
    <w:rsid w:val="007E6FEC"/>
    <w:rsid w:val="007E70A9"/>
    <w:rsid w:val="007E7195"/>
    <w:rsid w:val="007E77BE"/>
    <w:rsid w:val="007F04B3"/>
    <w:rsid w:val="007F10BF"/>
    <w:rsid w:val="007F124E"/>
    <w:rsid w:val="007F154F"/>
    <w:rsid w:val="007F1834"/>
    <w:rsid w:val="007F284E"/>
    <w:rsid w:val="007F4A3D"/>
    <w:rsid w:val="007F4F17"/>
    <w:rsid w:val="007F52DE"/>
    <w:rsid w:val="007F5ED1"/>
    <w:rsid w:val="007F63F3"/>
    <w:rsid w:val="007F6452"/>
    <w:rsid w:val="007F6C6D"/>
    <w:rsid w:val="007F6E56"/>
    <w:rsid w:val="007F6FF1"/>
    <w:rsid w:val="007F7466"/>
    <w:rsid w:val="007F7BD6"/>
    <w:rsid w:val="007F7E55"/>
    <w:rsid w:val="007F7F00"/>
    <w:rsid w:val="00800CEA"/>
    <w:rsid w:val="00802ED9"/>
    <w:rsid w:val="00803282"/>
    <w:rsid w:val="00804248"/>
    <w:rsid w:val="008059E6"/>
    <w:rsid w:val="00805FAF"/>
    <w:rsid w:val="008066DF"/>
    <w:rsid w:val="00806A12"/>
    <w:rsid w:val="0080775A"/>
    <w:rsid w:val="00807B50"/>
    <w:rsid w:val="00807F44"/>
    <w:rsid w:val="008106AB"/>
    <w:rsid w:val="00811681"/>
    <w:rsid w:val="00811759"/>
    <w:rsid w:val="0081180A"/>
    <w:rsid w:val="00811914"/>
    <w:rsid w:val="0081477D"/>
    <w:rsid w:val="00814D92"/>
    <w:rsid w:val="00814FE6"/>
    <w:rsid w:val="008154F4"/>
    <w:rsid w:val="00815ACB"/>
    <w:rsid w:val="00815D1A"/>
    <w:rsid w:val="00815FB8"/>
    <w:rsid w:val="00816124"/>
    <w:rsid w:val="00816239"/>
    <w:rsid w:val="00816DF5"/>
    <w:rsid w:val="00816F20"/>
    <w:rsid w:val="008170CA"/>
    <w:rsid w:val="00817380"/>
    <w:rsid w:val="008177E5"/>
    <w:rsid w:val="0082007A"/>
    <w:rsid w:val="008205E8"/>
    <w:rsid w:val="00820EF6"/>
    <w:rsid w:val="00820F8A"/>
    <w:rsid w:val="008220DD"/>
    <w:rsid w:val="008221F9"/>
    <w:rsid w:val="00822502"/>
    <w:rsid w:val="00823781"/>
    <w:rsid w:val="00824AC2"/>
    <w:rsid w:val="00825054"/>
    <w:rsid w:val="008256BD"/>
    <w:rsid w:val="00825945"/>
    <w:rsid w:val="00825C7F"/>
    <w:rsid w:val="00825D54"/>
    <w:rsid w:val="008260AF"/>
    <w:rsid w:val="008265BF"/>
    <w:rsid w:val="00826B98"/>
    <w:rsid w:val="00826F69"/>
    <w:rsid w:val="008272F3"/>
    <w:rsid w:val="008275DA"/>
    <w:rsid w:val="00827F0E"/>
    <w:rsid w:val="00830D22"/>
    <w:rsid w:val="008313AB"/>
    <w:rsid w:val="00831ED7"/>
    <w:rsid w:val="00831FCD"/>
    <w:rsid w:val="00833856"/>
    <w:rsid w:val="0083417D"/>
    <w:rsid w:val="00835153"/>
    <w:rsid w:val="0083591B"/>
    <w:rsid w:val="00835B2D"/>
    <w:rsid w:val="00835F75"/>
    <w:rsid w:val="00836681"/>
    <w:rsid w:val="00836765"/>
    <w:rsid w:val="00837034"/>
    <w:rsid w:val="008370EF"/>
    <w:rsid w:val="00837A6B"/>
    <w:rsid w:val="00837CD9"/>
    <w:rsid w:val="00837FBA"/>
    <w:rsid w:val="00840A97"/>
    <w:rsid w:val="00840BC3"/>
    <w:rsid w:val="00840FFB"/>
    <w:rsid w:val="0084118E"/>
    <w:rsid w:val="00841FB9"/>
    <w:rsid w:val="00843838"/>
    <w:rsid w:val="00843B50"/>
    <w:rsid w:val="00843F9A"/>
    <w:rsid w:val="00843FED"/>
    <w:rsid w:val="0084433B"/>
    <w:rsid w:val="00844EBF"/>
    <w:rsid w:val="008451C9"/>
    <w:rsid w:val="0084531E"/>
    <w:rsid w:val="00845763"/>
    <w:rsid w:val="00846755"/>
    <w:rsid w:val="00846BCC"/>
    <w:rsid w:val="00846D13"/>
    <w:rsid w:val="00847489"/>
    <w:rsid w:val="008518DB"/>
    <w:rsid w:val="008525E6"/>
    <w:rsid w:val="008528DC"/>
    <w:rsid w:val="0085355A"/>
    <w:rsid w:val="008535B1"/>
    <w:rsid w:val="008539B1"/>
    <w:rsid w:val="00853A08"/>
    <w:rsid w:val="00853E4F"/>
    <w:rsid w:val="00854EBA"/>
    <w:rsid w:val="00855242"/>
    <w:rsid w:val="008553A1"/>
    <w:rsid w:val="0085572F"/>
    <w:rsid w:val="008559EB"/>
    <w:rsid w:val="00855EEF"/>
    <w:rsid w:val="00856344"/>
    <w:rsid w:val="00856C07"/>
    <w:rsid w:val="00856E5B"/>
    <w:rsid w:val="00857227"/>
    <w:rsid w:val="00857798"/>
    <w:rsid w:val="0085786E"/>
    <w:rsid w:val="00857B59"/>
    <w:rsid w:val="00857ED1"/>
    <w:rsid w:val="008614E7"/>
    <w:rsid w:val="008617E2"/>
    <w:rsid w:val="00862005"/>
    <w:rsid w:val="008620B3"/>
    <w:rsid w:val="0086225D"/>
    <w:rsid w:val="008623B4"/>
    <w:rsid w:val="008623CE"/>
    <w:rsid w:val="008624A8"/>
    <w:rsid w:val="008624C2"/>
    <w:rsid w:val="008625D3"/>
    <w:rsid w:val="008635B0"/>
    <w:rsid w:val="00865241"/>
    <w:rsid w:val="00865D5E"/>
    <w:rsid w:val="008661EB"/>
    <w:rsid w:val="00866413"/>
    <w:rsid w:val="00866DBC"/>
    <w:rsid w:val="0087054C"/>
    <w:rsid w:val="008707AC"/>
    <w:rsid w:val="00870C6E"/>
    <w:rsid w:val="008713C2"/>
    <w:rsid w:val="0087163C"/>
    <w:rsid w:val="0087176F"/>
    <w:rsid w:val="00871D98"/>
    <w:rsid w:val="00873168"/>
    <w:rsid w:val="0087335B"/>
    <w:rsid w:val="0087367F"/>
    <w:rsid w:val="00873A47"/>
    <w:rsid w:val="00873B64"/>
    <w:rsid w:val="00873CCE"/>
    <w:rsid w:val="00873E07"/>
    <w:rsid w:val="008740F5"/>
    <w:rsid w:val="008742F9"/>
    <w:rsid w:val="00874EDE"/>
    <w:rsid w:val="00875031"/>
    <w:rsid w:val="00875895"/>
    <w:rsid w:val="00875AE0"/>
    <w:rsid w:val="00875CEF"/>
    <w:rsid w:val="00875D61"/>
    <w:rsid w:val="008763E5"/>
    <w:rsid w:val="00876427"/>
    <w:rsid w:val="00876834"/>
    <w:rsid w:val="00876966"/>
    <w:rsid w:val="00877003"/>
    <w:rsid w:val="0087745D"/>
    <w:rsid w:val="00877A15"/>
    <w:rsid w:val="00877A38"/>
    <w:rsid w:val="00877B22"/>
    <w:rsid w:val="00877C9E"/>
    <w:rsid w:val="00877F88"/>
    <w:rsid w:val="00877FC8"/>
    <w:rsid w:val="00880081"/>
    <w:rsid w:val="0088030D"/>
    <w:rsid w:val="008803C2"/>
    <w:rsid w:val="008804A9"/>
    <w:rsid w:val="00880DEB"/>
    <w:rsid w:val="0088118D"/>
    <w:rsid w:val="008815D5"/>
    <w:rsid w:val="00881E01"/>
    <w:rsid w:val="00881E14"/>
    <w:rsid w:val="00883144"/>
    <w:rsid w:val="0088350C"/>
    <w:rsid w:val="008843CA"/>
    <w:rsid w:val="00886224"/>
    <w:rsid w:val="008868FA"/>
    <w:rsid w:val="008874F1"/>
    <w:rsid w:val="00890044"/>
    <w:rsid w:val="00890299"/>
    <w:rsid w:val="008902E6"/>
    <w:rsid w:val="0089163D"/>
    <w:rsid w:val="00893F36"/>
    <w:rsid w:val="00895AE1"/>
    <w:rsid w:val="008969BA"/>
    <w:rsid w:val="008972AD"/>
    <w:rsid w:val="00897B6E"/>
    <w:rsid w:val="00897EDD"/>
    <w:rsid w:val="008A017E"/>
    <w:rsid w:val="008A0190"/>
    <w:rsid w:val="008A036E"/>
    <w:rsid w:val="008A0DEE"/>
    <w:rsid w:val="008A189E"/>
    <w:rsid w:val="008A3346"/>
    <w:rsid w:val="008A34B8"/>
    <w:rsid w:val="008A37BE"/>
    <w:rsid w:val="008A3E91"/>
    <w:rsid w:val="008A4A8F"/>
    <w:rsid w:val="008A4F1F"/>
    <w:rsid w:val="008A4FD2"/>
    <w:rsid w:val="008A5404"/>
    <w:rsid w:val="008A59C4"/>
    <w:rsid w:val="008A60EE"/>
    <w:rsid w:val="008A62BF"/>
    <w:rsid w:val="008A6453"/>
    <w:rsid w:val="008A67A9"/>
    <w:rsid w:val="008A6829"/>
    <w:rsid w:val="008A6F8B"/>
    <w:rsid w:val="008A74ED"/>
    <w:rsid w:val="008A7BC9"/>
    <w:rsid w:val="008A7DE4"/>
    <w:rsid w:val="008B0458"/>
    <w:rsid w:val="008B0BDF"/>
    <w:rsid w:val="008B0EED"/>
    <w:rsid w:val="008B0F7D"/>
    <w:rsid w:val="008B14F5"/>
    <w:rsid w:val="008B180E"/>
    <w:rsid w:val="008B191A"/>
    <w:rsid w:val="008B2435"/>
    <w:rsid w:val="008B2B7A"/>
    <w:rsid w:val="008B3FC8"/>
    <w:rsid w:val="008B797F"/>
    <w:rsid w:val="008C0AB1"/>
    <w:rsid w:val="008C0C7C"/>
    <w:rsid w:val="008C0C8F"/>
    <w:rsid w:val="008C0F17"/>
    <w:rsid w:val="008C1484"/>
    <w:rsid w:val="008C239F"/>
    <w:rsid w:val="008C2BDA"/>
    <w:rsid w:val="008C2DF7"/>
    <w:rsid w:val="008C39B0"/>
    <w:rsid w:val="008C3B94"/>
    <w:rsid w:val="008C3BA3"/>
    <w:rsid w:val="008C3D9A"/>
    <w:rsid w:val="008C4001"/>
    <w:rsid w:val="008C4D5E"/>
    <w:rsid w:val="008C51DD"/>
    <w:rsid w:val="008C664A"/>
    <w:rsid w:val="008C7C37"/>
    <w:rsid w:val="008C7F30"/>
    <w:rsid w:val="008D08A5"/>
    <w:rsid w:val="008D1273"/>
    <w:rsid w:val="008D135A"/>
    <w:rsid w:val="008D14D8"/>
    <w:rsid w:val="008D16F6"/>
    <w:rsid w:val="008D1823"/>
    <w:rsid w:val="008D2582"/>
    <w:rsid w:val="008D290C"/>
    <w:rsid w:val="008D3479"/>
    <w:rsid w:val="008D438B"/>
    <w:rsid w:val="008D5B6F"/>
    <w:rsid w:val="008D63A6"/>
    <w:rsid w:val="008D69F0"/>
    <w:rsid w:val="008D7403"/>
    <w:rsid w:val="008D79DC"/>
    <w:rsid w:val="008E0B90"/>
    <w:rsid w:val="008E1DC4"/>
    <w:rsid w:val="008E204A"/>
    <w:rsid w:val="008E2DCA"/>
    <w:rsid w:val="008E3CE0"/>
    <w:rsid w:val="008E5094"/>
    <w:rsid w:val="008E5B2B"/>
    <w:rsid w:val="008E6945"/>
    <w:rsid w:val="008E6CF0"/>
    <w:rsid w:val="008E6EB2"/>
    <w:rsid w:val="008E6ECF"/>
    <w:rsid w:val="008E6F59"/>
    <w:rsid w:val="008E7180"/>
    <w:rsid w:val="008E7371"/>
    <w:rsid w:val="008E7714"/>
    <w:rsid w:val="008E7B8B"/>
    <w:rsid w:val="008F03B5"/>
    <w:rsid w:val="008F04BB"/>
    <w:rsid w:val="008F1B7A"/>
    <w:rsid w:val="008F2A4A"/>
    <w:rsid w:val="008F3621"/>
    <w:rsid w:val="008F362B"/>
    <w:rsid w:val="008F37D8"/>
    <w:rsid w:val="008F4BCF"/>
    <w:rsid w:val="008F56CE"/>
    <w:rsid w:val="008F5D2F"/>
    <w:rsid w:val="008F606E"/>
    <w:rsid w:val="008F7641"/>
    <w:rsid w:val="008F774B"/>
    <w:rsid w:val="008F7D7D"/>
    <w:rsid w:val="00900323"/>
    <w:rsid w:val="009009DD"/>
    <w:rsid w:val="00900D5D"/>
    <w:rsid w:val="00901752"/>
    <w:rsid w:val="009039A4"/>
    <w:rsid w:val="00903E64"/>
    <w:rsid w:val="0090418B"/>
    <w:rsid w:val="009047FF"/>
    <w:rsid w:val="009049D3"/>
    <w:rsid w:val="00904FF4"/>
    <w:rsid w:val="00905AB7"/>
    <w:rsid w:val="00905B62"/>
    <w:rsid w:val="00905E3B"/>
    <w:rsid w:val="009060D5"/>
    <w:rsid w:val="0090627D"/>
    <w:rsid w:val="009069AF"/>
    <w:rsid w:val="00906A3C"/>
    <w:rsid w:val="0090724D"/>
    <w:rsid w:val="00907B3C"/>
    <w:rsid w:val="00910773"/>
    <w:rsid w:val="009108F7"/>
    <w:rsid w:val="00911787"/>
    <w:rsid w:val="00913075"/>
    <w:rsid w:val="00913744"/>
    <w:rsid w:val="009144C2"/>
    <w:rsid w:val="00914528"/>
    <w:rsid w:val="009149EC"/>
    <w:rsid w:val="00914B0C"/>
    <w:rsid w:val="00916107"/>
    <w:rsid w:val="009166A4"/>
    <w:rsid w:val="00916A07"/>
    <w:rsid w:val="009201DF"/>
    <w:rsid w:val="00920C5B"/>
    <w:rsid w:val="009210F8"/>
    <w:rsid w:val="00922982"/>
    <w:rsid w:val="00922D06"/>
    <w:rsid w:val="00923566"/>
    <w:rsid w:val="00923962"/>
    <w:rsid w:val="00923B5F"/>
    <w:rsid w:val="00923D19"/>
    <w:rsid w:val="00923F11"/>
    <w:rsid w:val="0092499F"/>
    <w:rsid w:val="009250B2"/>
    <w:rsid w:val="00925A80"/>
    <w:rsid w:val="00925E34"/>
    <w:rsid w:val="009269F4"/>
    <w:rsid w:val="00926B5D"/>
    <w:rsid w:val="00926D2D"/>
    <w:rsid w:val="00926E76"/>
    <w:rsid w:val="00926F1B"/>
    <w:rsid w:val="00926F2D"/>
    <w:rsid w:val="00927F11"/>
    <w:rsid w:val="009300AC"/>
    <w:rsid w:val="009301B9"/>
    <w:rsid w:val="00930511"/>
    <w:rsid w:val="009306B4"/>
    <w:rsid w:val="00930CFB"/>
    <w:rsid w:val="00930F5E"/>
    <w:rsid w:val="00931213"/>
    <w:rsid w:val="009316C9"/>
    <w:rsid w:val="0093195A"/>
    <w:rsid w:val="00931BAC"/>
    <w:rsid w:val="00932BCC"/>
    <w:rsid w:val="009335F9"/>
    <w:rsid w:val="00933807"/>
    <w:rsid w:val="009341A9"/>
    <w:rsid w:val="00935344"/>
    <w:rsid w:val="00935C99"/>
    <w:rsid w:val="00937447"/>
    <w:rsid w:val="00937D4D"/>
    <w:rsid w:val="0094068A"/>
    <w:rsid w:val="00940886"/>
    <w:rsid w:val="009408D7"/>
    <w:rsid w:val="0094099C"/>
    <w:rsid w:val="00940D32"/>
    <w:rsid w:val="00941D25"/>
    <w:rsid w:val="0094487F"/>
    <w:rsid w:val="00944F37"/>
    <w:rsid w:val="009457D8"/>
    <w:rsid w:val="00945BDA"/>
    <w:rsid w:val="009461BD"/>
    <w:rsid w:val="00946853"/>
    <w:rsid w:val="009473CE"/>
    <w:rsid w:val="00947EBD"/>
    <w:rsid w:val="0095150C"/>
    <w:rsid w:val="009524B7"/>
    <w:rsid w:val="00952760"/>
    <w:rsid w:val="00953A0D"/>
    <w:rsid w:val="00954C7F"/>
    <w:rsid w:val="00954E42"/>
    <w:rsid w:val="00955E67"/>
    <w:rsid w:val="009562AE"/>
    <w:rsid w:val="00956942"/>
    <w:rsid w:val="00957E07"/>
    <w:rsid w:val="00960484"/>
    <w:rsid w:val="00962F6B"/>
    <w:rsid w:val="00964A62"/>
    <w:rsid w:val="0096530C"/>
    <w:rsid w:val="00965538"/>
    <w:rsid w:val="00965733"/>
    <w:rsid w:val="00965BEE"/>
    <w:rsid w:val="00965E51"/>
    <w:rsid w:val="00965FAE"/>
    <w:rsid w:val="009664CF"/>
    <w:rsid w:val="00966949"/>
    <w:rsid w:val="00966BC0"/>
    <w:rsid w:val="00966D0B"/>
    <w:rsid w:val="00967452"/>
    <w:rsid w:val="00967749"/>
    <w:rsid w:val="00967964"/>
    <w:rsid w:val="0096796B"/>
    <w:rsid w:val="009704D6"/>
    <w:rsid w:val="0097050A"/>
    <w:rsid w:val="009712FB"/>
    <w:rsid w:val="00971397"/>
    <w:rsid w:val="009716DA"/>
    <w:rsid w:val="00971A59"/>
    <w:rsid w:val="00971BCA"/>
    <w:rsid w:val="00973305"/>
    <w:rsid w:val="0097355A"/>
    <w:rsid w:val="00973658"/>
    <w:rsid w:val="00974225"/>
    <w:rsid w:val="00974423"/>
    <w:rsid w:val="0097636D"/>
    <w:rsid w:val="00976376"/>
    <w:rsid w:val="00976664"/>
    <w:rsid w:val="0097674E"/>
    <w:rsid w:val="00976951"/>
    <w:rsid w:val="009769A4"/>
    <w:rsid w:val="009778A5"/>
    <w:rsid w:val="009805EA"/>
    <w:rsid w:val="00980C39"/>
    <w:rsid w:val="00980F5E"/>
    <w:rsid w:val="00981420"/>
    <w:rsid w:val="00981B4A"/>
    <w:rsid w:val="00981E13"/>
    <w:rsid w:val="00981F77"/>
    <w:rsid w:val="00981FA8"/>
    <w:rsid w:val="009821DB"/>
    <w:rsid w:val="00982C6F"/>
    <w:rsid w:val="00982FFE"/>
    <w:rsid w:val="00983288"/>
    <w:rsid w:val="009836A4"/>
    <w:rsid w:val="00984533"/>
    <w:rsid w:val="00984895"/>
    <w:rsid w:val="00984EA7"/>
    <w:rsid w:val="009850D8"/>
    <w:rsid w:val="00986616"/>
    <w:rsid w:val="00986795"/>
    <w:rsid w:val="00986CA9"/>
    <w:rsid w:val="00987097"/>
    <w:rsid w:val="00987560"/>
    <w:rsid w:val="009877CA"/>
    <w:rsid w:val="00990B79"/>
    <w:rsid w:val="00990DD0"/>
    <w:rsid w:val="00990E17"/>
    <w:rsid w:val="00991629"/>
    <w:rsid w:val="009919FA"/>
    <w:rsid w:val="00991BDB"/>
    <w:rsid w:val="0099240A"/>
    <w:rsid w:val="00992902"/>
    <w:rsid w:val="00992E7F"/>
    <w:rsid w:val="00992ED8"/>
    <w:rsid w:val="009930A5"/>
    <w:rsid w:val="009930AF"/>
    <w:rsid w:val="00993233"/>
    <w:rsid w:val="00993B30"/>
    <w:rsid w:val="00994547"/>
    <w:rsid w:val="00994657"/>
    <w:rsid w:val="009947B6"/>
    <w:rsid w:val="009949B7"/>
    <w:rsid w:val="00994DD0"/>
    <w:rsid w:val="00994E74"/>
    <w:rsid w:val="009951D8"/>
    <w:rsid w:val="0099623C"/>
    <w:rsid w:val="00996274"/>
    <w:rsid w:val="00996528"/>
    <w:rsid w:val="00996719"/>
    <w:rsid w:val="0099750D"/>
    <w:rsid w:val="00997D06"/>
    <w:rsid w:val="00997D47"/>
    <w:rsid w:val="00997FF6"/>
    <w:rsid w:val="009A00FA"/>
    <w:rsid w:val="009A0121"/>
    <w:rsid w:val="009A0E88"/>
    <w:rsid w:val="009A1594"/>
    <w:rsid w:val="009A1A02"/>
    <w:rsid w:val="009A1B25"/>
    <w:rsid w:val="009A2014"/>
    <w:rsid w:val="009A2164"/>
    <w:rsid w:val="009A21FE"/>
    <w:rsid w:val="009A30B6"/>
    <w:rsid w:val="009A3640"/>
    <w:rsid w:val="009A370B"/>
    <w:rsid w:val="009A3DE2"/>
    <w:rsid w:val="009A474F"/>
    <w:rsid w:val="009A5842"/>
    <w:rsid w:val="009A59BE"/>
    <w:rsid w:val="009A627A"/>
    <w:rsid w:val="009A6ABB"/>
    <w:rsid w:val="009A6EE9"/>
    <w:rsid w:val="009A7335"/>
    <w:rsid w:val="009B08C0"/>
    <w:rsid w:val="009B1EB5"/>
    <w:rsid w:val="009B23E0"/>
    <w:rsid w:val="009B29D1"/>
    <w:rsid w:val="009B3294"/>
    <w:rsid w:val="009B38B5"/>
    <w:rsid w:val="009B4487"/>
    <w:rsid w:val="009B44E9"/>
    <w:rsid w:val="009B50D4"/>
    <w:rsid w:val="009B562A"/>
    <w:rsid w:val="009B5930"/>
    <w:rsid w:val="009B5EC7"/>
    <w:rsid w:val="009B63E5"/>
    <w:rsid w:val="009B6470"/>
    <w:rsid w:val="009B74DC"/>
    <w:rsid w:val="009B756E"/>
    <w:rsid w:val="009B77FD"/>
    <w:rsid w:val="009B7DA6"/>
    <w:rsid w:val="009C0138"/>
    <w:rsid w:val="009C05D4"/>
    <w:rsid w:val="009C0A6B"/>
    <w:rsid w:val="009C0C39"/>
    <w:rsid w:val="009C1852"/>
    <w:rsid w:val="009C24E6"/>
    <w:rsid w:val="009C2507"/>
    <w:rsid w:val="009C3784"/>
    <w:rsid w:val="009C3907"/>
    <w:rsid w:val="009C4807"/>
    <w:rsid w:val="009C4943"/>
    <w:rsid w:val="009C55E2"/>
    <w:rsid w:val="009C595C"/>
    <w:rsid w:val="009C598D"/>
    <w:rsid w:val="009C59F3"/>
    <w:rsid w:val="009C5DA6"/>
    <w:rsid w:val="009C6FBB"/>
    <w:rsid w:val="009C7E2B"/>
    <w:rsid w:val="009D0B97"/>
    <w:rsid w:val="009D0E39"/>
    <w:rsid w:val="009D146D"/>
    <w:rsid w:val="009D1548"/>
    <w:rsid w:val="009D2105"/>
    <w:rsid w:val="009D215F"/>
    <w:rsid w:val="009D2FBA"/>
    <w:rsid w:val="009D3115"/>
    <w:rsid w:val="009D418E"/>
    <w:rsid w:val="009D41E0"/>
    <w:rsid w:val="009D44B8"/>
    <w:rsid w:val="009D4AC4"/>
    <w:rsid w:val="009D4E9F"/>
    <w:rsid w:val="009D522D"/>
    <w:rsid w:val="009D5964"/>
    <w:rsid w:val="009D5C6D"/>
    <w:rsid w:val="009D5DDA"/>
    <w:rsid w:val="009D67C9"/>
    <w:rsid w:val="009D67CB"/>
    <w:rsid w:val="009D6889"/>
    <w:rsid w:val="009D6D26"/>
    <w:rsid w:val="009D6F9B"/>
    <w:rsid w:val="009D713D"/>
    <w:rsid w:val="009D7318"/>
    <w:rsid w:val="009D741F"/>
    <w:rsid w:val="009D790E"/>
    <w:rsid w:val="009E01B6"/>
    <w:rsid w:val="009E09BD"/>
    <w:rsid w:val="009E0A95"/>
    <w:rsid w:val="009E0EE5"/>
    <w:rsid w:val="009E0F3E"/>
    <w:rsid w:val="009E1742"/>
    <w:rsid w:val="009E1DB2"/>
    <w:rsid w:val="009E1E6C"/>
    <w:rsid w:val="009E1E97"/>
    <w:rsid w:val="009E2B4F"/>
    <w:rsid w:val="009E34F2"/>
    <w:rsid w:val="009E391B"/>
    <w:rsid w:val="009E4A8D"/>
    <w:rsid w:val="009E508A"/>
    <w:rsid w:val="009E569A"/>
    <w:rsid w:val="009E62C6"/>
    <w:rsid w:val="009E6B81"/>
    <w:rsid w:val="009E719B"/>
    <w:rsid w:val="009E723B"/>
    <w:rsid w:val="009F0068"/>
    <w:rsid w:val="009F089A"/>
    <w:rsid w:val="009F12A5"/>
    <w:rsid w:val="009F1D93"/>
    <w:rsid w:val="009F1E55"/>
    <w:rsid w:val="009F339F"/>
    <w:rsid w:val="009F35ED"/>
    <w:rsid w:val="009F3734"/>
    <w:rsid w:val="009F3748"/>
    <w:rsid w:val="009F3EE8"/>
    <w:rsid w:val="009F421A"/>
    <w:rsid w:val="009F4318"/>
    <w:rsid w:val="009F4D98"/>
    <w:rsid w:val="009F4F89"/>
    <w:rsid w:val="009F54AC"/>
    <w:rsid w:val="009F6961"/>
    <w:rsid w:val="009F6B7F"/>
    <w:rsid w:val="009F6CE7"/>
    <w:rsid w:val="009F73D8"/>
    <w:rsid w:val="009F78D8"/>
    <w:rsid w:val="009F7BB0"/>
    <w:rsid w:val="009F7F82"/>
    <w:rsid w:val="00A00474"/>
    <w:rsid w:val="00A016F9"/>
    <w:rsid w:val="00A0179E"/>
    <w:rsid w:val="00A01DC0"/>
    <w:rsid w:val="00A02772"/>
    <w:rsid w:val="00A028CB"/>
    <w:rsid w:val="00A02925"/>
    <w:rsid w:val="00A03213"/>
    <w:rsid w:val="00A032E0"/>
    <w:rsid w:val="00A0397D"/>
    <w:rsid w:val="00A04404"/>
    <w:rsid w:val="00A04B3A"/>
    <w:rsid w:val="00A04C54"/>
    <w:rsid w:val="00A04E09"/>
    <w:rsid w:val="00A0559F"/>
    <w:rsid w:val="00A05D92"/>
    <w:rsid w:val="00A06259"/>
    <w:rsid w:val="00A06A02"/>
    <w:rsid w:val="00A06B4B"/>
    <w:rsid w:val="00A06BBC"/>
    <w:rsid w:val="00A100A8"/>
    <w:rsid w:val="00A10D3C"/>
    <w:rsid w:val="00A10E76"/>
    <w:rsid w:val="00A11436"/>
    <w:rsid w:val="00A11D5F"/>
    <w:rsid w:val="00A11F0A"/>
    <w:rsid w:val="00A13BEE"/>
    <w:rsid w:val="00A145A1"/>
    <w:rsid w:val="00A1497B"/>
    <w:rsid w:val="00A14DCC"/>
    <w:rsid w:val="00A14E2A"/>
    <w:rsid w:val="00A15F41"/>
    <w:rsid w:val="00A1622B"/>
    <w:rsid w:val="00A16B1E"/>
    <w:rsid w:val="00A16E01"/>
    <w:rsid w:val="00A17673"/>
    <w:rsid w:val="00A17CA0"/>
    <w:rsid w:val="00A17E06"/>
    <w:rsid w:val="00A17E71"/>
    <w:rsid w:val="00A200E2"/>
    <w:rsid w:val="00A2149E"/>
    <w:rsid w:val="00A2173E"/>
    <w:rsid w:val="00A21E4B"/>
    <w:rsid w:val="00A21FC3"/>
    <w:rsid w:val="00A22399"/>
    <w:rsid w:val="00A22EC0"/>
    <w:rsid w:val="00A2347A"/>
    <w:rsid w:val="00A239ED"/>
    <w:rsid w:val="00A246DE"/>
    <w:rsid w:val="00A24E16"/>
    <w:rsid w:val="00A251BB"/>
    <w:rsid w:val="00A2585C"/>
    <w:rsid w:val="00A25930"/>
    <w:rsid w:val="00A25AAF"/>
    <w:rsid w:val="00A26008"/>
    <w:rsid w:val="00A26123"/>
    <w:rsid w:val="00A26F02"/>
    <w:rsid w:val="00A27308"/>
    <w:rsid w:val="00A273D6"/>
    <w:rsid w:val="00A27543"/>
    <w:rsid w:val="00A2762E"/>
    <w:rsid w:val="00A2774C"/>
    <w:rsid w:val="00A27A38"/>
    <w:rsid w:val="00A307E0"/>
    <w:rsid w:val="00A308C1"/>
    <w:rsid w:val="00A31130"/>
    <w:rsid w:val="00A31327"/>
    <w:rsid w:val="00A3171A"/>
    <w:rsid w:val="00A31A6E"/>
    <w:rsid w:val="00A32422"/>
    <w:rsid w:val="00A324E8"/>
    <w:rsid w:val="00A32F0A"/>
    <w:rsid w:val="00A33529"/>
    <w:rsid w:val="00A33991"/>
    <w:rsid w:val="00A33CEB"/>
    <w:rsid w:val="00A34540"/>
    <w:rsid w:val="00A34A1F"/>
    <w:rsid w:val="00A35013"/>
    <w:rsid w:val="00A3556C"/>
    <w:rsid w:val="00A35FC7"/>
    <w:rsid w:val="00A36202"/>
    <w:rsid w:val="00A36685"/>
    <w:rsid w:val="00A36899"/>
    <w:rsid w:val="00A36938"/>
    <w:rsid w:val="00A369C0"/>
    <w:rsid w:val="00A36AFE"/>
    <w:rsid w:val="00A36DA0"/>
    <w:rsid w:val="00A37146"/>
    <w:rsid w:val="00A373AB"/>
    <w:rsid w:val="00A37657"/>
    <w:rsid w:val="00A37772"/>
    <w:rsid w:val="00A377DE"/>
    <w:rsid w:val="00A37DE0"/>
    <w:rsid w:val="00A40005"/>
    <w:rsid w:val="00A40216"/>
    <w:rsid w:val="00A41FE8"/>
    <w:rsid w:val="00A42487"/>
    <w:rsid w:val="00A42491"/>
    <w:rsid w:val="00A424F5"/>
    <w:rsid w:val="00A4273D"/>
    <w:rsid w:val="00A42E88"/>
    <w:rsid w:val="00A42F5C"/>
    <w:rsid w:val="00A42FBC"/>
    <w:rsid w:val="00A43670"/>
    <w:rsid w:val="00A43FF5"/>
    <w:rsid w:val="00A44462"/>
    <w:rsid w:val="00A4480A"/>
    <w:rsid w:val="00A44DDB"/>
    <w:rsid w:val="00A450D3"/>
    <w:rsid w:val="00A473AD"/>
    <w:rsid w:val="00A4774A"/>
    <w:rsid w:val="00A47CE2"/>
    <w:rsid w:val="00A5053F"/>
    <w:rsid w:val="00A5126D"/>
    <w:rsid w:val="00A512BF"/>
    <w:rsid w:val="00A533CE"/>
    <w:rsid w:val="00A5365B"/>
    <w:rsid w:val="00A5436E"/>
    <w:rsid w:val="00A54A8B"/>
    <w:rsid w:val="00A54D48"/>
    <w:rsid w:val="00A5527C"/>
    <w:rsid w:val="00A55433"/>
    <w:rsid w:val="00A55A08"/>
    <w:rsid w:val="00A576F8"/>
    <w:rsid w:val="00A6035B"/>
    <w:rsid w:val="00A60944"/>
    <w:rsid w:val="00A6097F"/>
    <w:rsid w:val="00A60A5A"/>
    <w:rsid w:val="00A61439"/>
    <w:rsid w:val="00A61EDB"/>
    <w:rsid w:val="00A62C77"/>
    <w:rsid w:val="00A632C2"/>
    <w:rsid w:val="00A645C8"/>
    <w:rsid w:val="00A64E82"/>
    <w:rsid w:val="00A65853"/>
    <w:rsid w:val="00A66491"/>
    <w:rsid w:val="00A66BBA"/>
    <w:rsid w:val="00A66C67"/>
    <w:rsid w:val="00A6705A"/>
    <w:rsid w:val="00A672E3"/>
    <w:rsid w:val="00A67704"/>
    <w:rsid w:val="00A67743"/>
    <w:rsid w:val="00A67CED"/>
    <w:rsid w:val="00A7015E"/>
    <w:rsid w:val="00A7033B"/>
    <w:rsid w:val="00A70CAF"/>
    <w:rsid w:val="00A71917"/>
    <w:rsid w:val="00A72CC2"/>
    <w:rsid w:val="00A7313E"/>
    <w:rsid w:val="00A73E42"/>
    <w:rsid w:val="00A748CB"/>
    <w:rsid w:val="00A753D6"/>
    <w:rsid w:val="00A7545F"/>
    <w:rsid w:val="00A757A8"/>
    <w:rsid w:val="00A76717"/>
    <w:rsid w:val="00A77794"/>
    <w:rsid w:val="00A77860"/>
    <w:rsid w:val="00A82C1D"/>
    <w:rsid w:val="00A83812"/>
    <w:rsid w:val="00A8486B"/>
    <w:rsid w:val="00A85DB1"/>
    <w:rsid w:val="00A86401"/>
    <w:rsid w:val="00A86C14"/>
    <w:rsid w:val="00A87477"/>
    <w:rsid w:val="00A87828"/>
    <w:rsid w:val="00A87B40"/>
    <w:rsid w:val="00A87CB8"/>
    <w:rsid w:val="00A91696"/>
    <w:rsid w:val="00A91766"/>
    <w:rsid w:val="00A9230F"/>
    <w:rsid w:val="00A927E0"/>
    <w:rsid w:val="00A930E4"/>
    <w:rsid w:val="00A93346"/>
    <w:rsid w:val="00A93A42"/>
    <w:rsid w:val="00A93A61"/>
    <w:rsid w:val="00A93EF3"/>
    <w:rsid w:val="00A94DBE"/>
    <w:rsid w:val="00A9507F"/>
    <w:rsid w:val="00A9535F"/>
    <w:rsid w:val="00A958AB"/>
    <w:rsid w:val="00A95D49"/>
    <w:rsid w:val="00A97369"/>
    <w:rsid w:val="00A97E5D"/>
    <w:rsid w:val="00A97F99"/>
    <w:rsid w:val="00AA06F7"/>
    <w:rsid w:val="00AA0E2B"/>
    <w:rsid w:val="00AA0EE2"/>
    <w:rsid w:val="00AA1649"/>
    <w:rsid w:val="00AA1A15"/>
    <w:rsid w:val="00AA1D94"/>
    <w:rsid w:val="00AA1E3E"/>
    <w:rsid w:val="00AA2048"/>
    <w:rsid w:val="00AA23E9"/>
    <w:rsid w:val="00AA330C"/>
    <w:rsid w:val="00AA33FB"/>
    <w:rsid w:val="00AA3B8C"/>
    <w:rsid w:val="00AA431C"/>
    <w:rsid w:val="00AA5251"/>
    <w:rsid w:val="00AA5F6F"/>
    <w:rsid w:val="00AA67E3"/>
    <w:rsid w:val="00AA6A09"/>
    <w:rsid w:val="00AA6EC2"/>
    <w:rsid w:val="00AA71D9"/>
    <w:rsid w:val="00AA750E"/>
    <w:rsid w:val="00AA7D29"/>
    <w:rsid w:val="00AB0B08"/>
    <w:rsid w:val="00AB15F0"/>
    <w:rsid w:val="00AB2F41"/>
    <w:rsid w:val="00AB3105"/>
    <w:rsid w:val="00AB3312"/>
    <w:rsid w:val="00AB3347"/>
    <w:rsid w:val="00AB40C2"/>
    <w:rsid w:val="00AB4B5E"/>
    <w:rsid w:val="00AB4B5F"/>
    <w:rsid w:val="00AB4D39"/>
    <w:rsid w:val="00AB5076"/>
    <w:rsid w:val="00AB5BBB"/>
    <w:rsid w:val="00AB5F32"/>
    <w:rsid w:val="00AB66D8"/>
    <w:rsid w:val="00AB74F3"/>
    <w:rsid w:val="00AC0023"/>
    <w:rsid w:val="00AC0230"/>
    <w:rsid w:val="00AC0B1B"/>
    <w:rsid w:val="00AC1A2B"/>
    <w:rsid w:val="00AC240D"/>
    <w:rsid w:val="00AC26F6"/>
    <w:rsid w:val="00AC26FB"/>
    <w:rsid w:val="00AC285C"/>
    <w:rsid w:val="00AC2E59"/>
    <w:rsid w:val="00AC2F92"/>
    <w:rsid w:val="00AC34A1"/>
    <w:rsid w:val="00AC36E6"/>
    <w:rsid w:val="00AC37F0"/>
    <w:rsid w:val="00AC528A"/>
    <w:rsid w:val="00AC5E13"/>
    <w:rsid w:val="00AC6F20"/>
    <w:rsid w:val="00AC6F42"/>
    <w:rsid w:val="00AC71E5"/>
    <w:rsid w:val="00AC7E05"/>
    <w:rsid w:val="00AC7E14"/>
    <w:rsid w:val="00AD06C5"/>
    <w:rsid w:val="00AD2906"/>
    <w:rsid w:val="00AD2CBA"/>
    <w:rsid w:val="00AD2D95"/>
    <w:rsid w:val="00AD38D0"/>
    <w:rsid w:val="00AD3A63"/>
    <w:rsid w:val="00AD3B3F"/>
    <w:rsid w:val="00AD3B9D"/>
    <w:rsid w:val="00AD3CBF"/>
    <w:rsid w:val="00AD4760"/>
    <w:rsid w:val="00AD4CA5"/>
    <w:rsid w:val="00AD4E06"/>
    <w:rsid w:val="00AD506C"/>
    <w:rsid w:val="00AD5900"/>
    <w:rsid w:val="00AD6784"/>
    <w:rsid w:val="00AD76BA"/>
    <w:rsid w:val="00AD776B"/>
    <w:rsid w:val="00AD7A17"/>
    <w:rsid w:val="00AD7D64"/>
    <w:rsid w:val="00AE0294"/>
    <w:rsid w:val="00AE049D"/>
    <w:rsid w:val="00AE0653"/>
    <w:rsid w:val="00AE08BE"/>
    <w:rsid w:val="00AE0AEE"/>
    <w:rsid w:val="00AE0C64"/>
    <w:rsid w:val="00AE19F5"/>
    <w:rsid w:val="00AE32D1"/>
    <w:rsid w:val="00AE3F4A"/>
    <w:rsid w:val="00AE4210"/>
    <w:rsid w:val="00AE428C"/>
    <w:rsid w:val="00AE50E2"/>
    <w:rsid w:val="00AE5BF9"/>
    <w:rsid w:val="00AE5E22"/>
    <w:rsid w:val="00AE601B"/>
    <w:rsid w:val="00AE69E2"/>
    <w:rsid w:val="00AE7C48"/>
    <w:rsid w:val="00AF0BED"/>
    <w:rsid w:val="00AF0DEC"/>
    <w:rsid w:val="00AF1817"/>
    <w:rsid w:val="00AF1B40"/>
    <w:rsid w:val="00AF40AC"/>
    <w:rsid w:val="00AF488C"/>
    <w:rsid w:val="00AF4D91"/>
    <w:rsid w:val="00AF4FDA"/>
    <w:rsid w:val="00AF540A"/>
    <w:rsid w:val="00AF5CE6"/>
    <w:rsid w:val="00AF65FB"/>
    <w:rsid w:val="00AF7108"/>
    <w:rsid w:val="00AF7365"/>
    <w:rsid w:val="00AF7C47"/>
    <w:rsid w:val="00B0003F"/>
    <w:rsid w:val="00B0099E"/>
    <w:rsid w:val="00B00A1C"/>
    <w:rsid w:val="00B0139C"/>
    <w:rsid w:val="00B01F01"/>
    <w:rsid w:val="00B02B4F"/>
    <w:rsid w:val="00B02D6F"/>
    <w:rsid w:val="00B035BF"/>
    <w:rsid w:val="00B03857"/>
    <w:rsid w:val="00B03905"/>
    <w:rsid w:val="00B03CAC"/>
    <w:rsid w:val="00B0418F"/>
    <w:rsid w:val="00B054A6"/>
    <w:rsid w:val="00B05EA5"/>
    <w:rsid w:val="00B05FC5"/>
    <w:rsid w:val="00B06388"/>
    <w:rsid w:val="00B06DD6"/>
    <w:rsid w:val="00B06E27"/>
    <w:rsid w:val="00B07204"/>
    <w:rsid w:val="00B0737A"/>
    <w:rsid w:val="00B0798F"/>
    <w:rsid w:val="00B10AEC"/>
    <w:rsid w:val="00B1155B"/>
    <w:rsid w:val="00B11720"/>
    <w:rsid w:val="00B1210D"/>
    <w:rsid w:val="00B122A0"/>
    <w:rsid w:val="00B122DB"/>
    <w:rsid w:val="00B12B77"/>
    <w:rsid w:val="00B12D3C"/>
    <w:rsid w:val="00B12DC5"/>
    <w:rsid w:val="00B131A7"/>
    <w:rsid w:val="00B139E9"/>
    <w:rsid w:val="00B141E6"/>
    <w:rsid w:val="00B147AA"/>
    <w:rsid w:val="00B14AC0"/>
    <w:rsid w:val="00B14B92"/>
    <w:rsid w:val="00B16176"/>
    <w:rsid w:val="00B16ACF"/>
    <w:rsid w:val="00B16B43"/>
    <w:rsid w:val="00B20463"/>
    <w:rsid w:val="00B21CB1"/>
    <w:rsid w:val="00B21E84"/>
    <w:rsid w:val="00B22765"/>
    <w:rsid w:val="00B22AA4"/>
    <w:rsid w:val="00B22EE4"/>
    <w:rsid w:val="00B2309E"/>
    <w:rsid w:val="00B23B90"/>
    <w:rsid w:val="00B23DDB"/>
    <w:rsid w:val="00B240CF"/>
    <w:rsid w:val="00B2438F"/>
    <w:rsid w:val="00B24F4A"/>
    <w:rsid w:val="00B252AA"/>
    <w:rsid w:val="00B257E1"/>
    <w:rsid w:val="00B25996"/>
    <w:rsid w:val="00B269CA"/>
    <w:rsid w:val="00B26DCD"/>
    <w:rsid w:val="00B275BE"/>
    <w:rsid w:val="00B27951"/>
    <w:rsid w:val="00B27A6C"/>
    <w:rsid w:val="00B30662"/>
    <w:rsid w:val="00B30931"/>
    <w:rsid w:val="00B30950"/>
    <w:rsid w:val="00B30D57"/>
    <w:rsid w:val="00B30FEE"/>
    <w:rsid w:val="00B31088"/>
    <w:rsid w:val="00B31401"/>
    <w:rsid w:val="00B32025"/>
    <w:rsid w:val="00B32570"/>
    <w:rsid w:val="00B33E1B"/>
    <w:rsid w:val="00B34258"/>
    <w:rsid w:val="00B34442"/>
    <w:rsid w:val="00B34CCE"/>
    <w:rsid w:val="00B34F06"/>
    <w:rsid w:val="00B34F77"/>
    <w:rsid w:val="00B36141"/>
    <w:rsid w:val="00B363F0"/>
    <w:rsid w:val="00B36AA7"/>
    <w:rsid w:val="00B36BE1"/>
    <w:rsid w:val="00B36C35"/>
    <w:rsid w:val="00B37776"/>
    <w:rsid w:val="00B40506"/>
    <w:rsid w:val="00B40ACA"/>
    <w:rsid w:val="00B40BA7"/>
    <w:rsid w:val="00B40C51"/>
    <w:rsid w:val="00B40C5B"/>
    <w:rsid w:val="00B414A1"/>
    <w:rsid w:val="00B418B6"/>
    <w:rsid w:val="00B41D15"/>
    <w:rsid w:val="00B4317F"/>
    <w:rsid w:val="00B43206"/>
    <w:rsid w:val="00B43369"/>
    <w:rsid w:val="00B44121"/>
    <w:rsid w:val="00B44470"/>
    <w:rsid w:val="00B4518A"/>
    <w:rsid w:val="00B45666"/>
    <w:rsid w:val="00B45927"/>
    <w:rsid w:val="00B45BB6"/>
    <w:rsid w:val="00B4606D"/>
    <w:rsid w:val="00B4672B"/>
    <w:rsid w:val="00B474B3"/>
    <w:rsid w:val="00B476A9"/>
    <w:rsid w:val="00B47DE8"/>
    <w:rsid w:val="00B50223"/>
    <w:rsid w:val="00B505B2"/>
    <w:rsid w:val="00B50BC8"/>
    <w:rsid w:val="00B512AD"/>
    <w:rsid w:val="00B51321"/>
    <w:rsid w:val="00B51729"/>
    <w:rsid w:val="00B519CC"/>
    <w:rsid w:val="00B51BFE"/>
    <w:rsid w:val="00B526D5"/>
    <w:rsid w:val="00B5279D"/>
    <w:rsid w:val="00B52AA6"/>
    <w:rsid w:val="00B5314B"/>
    <w:rsid w:val="00B53658"/>
    <w:rsid w:val="00B53CF5"/>
    <w:rsid w:val="00B53E3B"/>
    <w:rsid w:val="00B54080"/>
    <w:rsid w:val="00B540A7"/>
    <w:rsid w:val="00B54CA9"/>
    <w:rsid w:val="00B54FC3"/>
    <w:rsid w:val="00B5527E"/>
    <w:rsid w:val="00B55665"/>
    <w:rsid w:val="00B55D7F"/>
    <w:rsid w:val="00B56275"/>
    <w:rsid w:val="00B5636B"/>
    <w:rsid w:val="00B5697F"/>
    <w:rsid w:val="00B56FB3"/>
    <w:rsid w:val="00B575F8"/>
    <w:rsid w:val="00B5776A"/>
    <w:rsid w:val="00B57F3B"/>
    <w:rsid w:val="00B6042A"/>
    <w:rsid w:val="00B60A8D"/>
    <w:rsid w:val="00B61326"/>
    <w:rsid w:val="00B61793"/>
    <w:rsid w:val="00B6311D"/>
    <w:rsid w:val="00B63997"/>
    <w:rsid w:val="00B63D2B"/>
    <w:rsid w:val="00B6412B"/>
    <w:rsid w:val="00B6489F"/>
    <w:rsid w:val="00B6597A"/>
    <w:rsid w:val="00B65FEC"/>
    <w:rsid w:val="00B664ED"/>
    <w:rsid w:val="00B66610"/>
    <w:rsid w:val="00B6684F"/>
    <w:rsid w:val="00B6743B"/>
    <w:rsid w:val="00B679FE"/>
    <w:rsid w:val="00B67A24"/>
    <w:rsid w:val="00B67C4F"/>
    <w:rsid w:val="00B70707"/>
    <w:rsid w:val="00B70BA6"/>
    <w:rsid w:val="00B70FBA"/>
    <w:rsid w:val="00B71725"/>
    <w:rsid w:val="00B71A18"/>
    <w:rsid w:val="00B71BD1"/>
    <w:rsid w:val="00B72FAC"/>
    <w:rsid w:val="00B731A1"/>
    <w:rsid w:val="00B740CA"/>
    <w:rsid w:val="00B7474A"/>
    <w:rsid w:val="00B750C8"/>
    <w:rsid w:val="00B75406"/>
    <w:rsid w:val="00B754D7"/>
    <w:rsid w:val="00B75A67"/>
    <w:rsid w:val="00B75B06"/>
    <w:rsid w:val="00B76473"/>
    <w:rsid w:val="00B766AD"/>
    <w:rsid w:val="00B76D68"/>
    <w:rsid w:val="00B776C4"/>
    <w:rsid w:val="00B80D06"/>
    <w:rsid w:val="00B812E9"/>
    <w:rsid w:val="00B81987"/>
    <w:rsid w:val="00B81DDC"/>
    <w:rsid w:val="00B82173"/>
    <w:rsid w:val="00B8278C"/>
    <w:rsid w:val="00B82A9A"/>
    <w:rsid w:val="00B82B1D"/>
    <w:rsid w:val="00B82E5A"/>
    <w:rsid w:val="00B8338F"/>
    <w:rsid w:val="00B83604"/>
    <w:rsid w:val="00B83A13"/>
    <w:rsid w:val="00B83DF4"/>
    <w:rsid w:val="00B842CE"/>
    <w:rsid w:val="00B84BE1"/>
    <w:rsid w:val="00B84E9C"/>
    <w:rsid w:val="00B851CA"/>
    <w:rsid w:val="00B85D2E"/>
    <w:rsid w:val="00B865CF"/>
    <w:rsid w:val="00B869D7"/>
    <w:rsid w:val="00B86AD5"/>
    <w:rsid w:val="00B86B79"/>
    <w:rsid w:val="00B86F95"/>
    <w:rsid w:val="00B86FB6"/>
    <w:rsid w:val="00B870A1"/>
    <w:rsid w:val="00B8779F"/>
    <w:rsid w:val="00B87F4C"/>
    <w:rsid w:val="00B90292"/>
    <w:rsid w:val="00B90583"/>
    <w:rsid w:val="00B91949"/>
    <w:rsid w:val="00B92AF1"/>
    <w:rsid w:val="00B930D4"/>
    <w:rsid w:val="00B93C95"/>
    <w:rsid w:val="00B93E54"/>
    <w:rsid w:val="00B946D1"/>
    <w:rsid w:val="00B9488A"/>
    <w:rsid w:val="00B94AA2"/>
    <w:rsid w:val="00B95286"/>
    <w:rsid w:val="00B959A1"/>
    <w:rsid w:val="00B95FBE"/>
    <w:rsid w:val="00B9634B"/>
    <w:rsid w:val="00B965E3"/>
    <w:rsid w:val="00B97ECE"/>
    <w:rsid w:val="00BA011F"/>
    <w:rsid w:val="00BA0DDA"/>
    <w:rsid w:val="00BA1A30"/>
    <w:rsid w:val="00BA23BC"/>
    <w:rsid w:val="00BA2D81"/>
    <w:rsid w:val="00BA34FD"/>
    <w:rsid w:val="00BA3E07"/>
    <w:rsid w:val="00BA49B5"/>
    <w:rsid w:val="00BA511A"/>
    <w:rsid w:val="00BA5448"/>
    <w:rsid w:val="00BA5814"/>
    <w:rsid w:val="00BA6333"/>
    <w:rsid w:val="00BA706D"/>
    <w:rsid w:val="00BA774C"/>
    <w:rsid w:val="00BB0087"/>
    <w:rsid w:val="00BB0B4D"/>
    <w:rsid w:val="00BB1C8E"/>
    <w:rsid w:val="00BB1F83"/>
    <w:rsid w:val="00BB21B0"/>
    <w:rsid w:val="00BB2487"/>
    <w:rsid w:val="00BB2E6B"/>
    <w:rsid w:val="00BB3B79"/>
    <w:rsid w:val="00BB451C"/>
    <w:rsid w:val="00BB461A"/>
    <w:rsid w:val="00BB485E"/>
    <w:rsid w:val="00BB5089"/>
    <w:rsid w:val="00BB536C"/>
    <w:rsid w:val="00BB65E6"/>
    <w:rsid w:val="00BB667C"/>
    <w:rsid w:val="00BB6E49"/>
    <w:rsid w:val="00BB70E2"/>
    <w:rsid w:val="00BB73F7"/>
    <w:rsid w:val="00BB7430"/>
    <w:rsid w:val="00BB774B"/>
    <w:rsid w:val="00BB7B55"/>
    <w:rsid w:val="00BB7DAB"/>
    <w:rsid w:val="00BC075C"/>
    <w:rsid w:val="00BC0C02"/>
    <w:rsid w:val="00BC0EA8"/>
    <w:rsid w:val="00BC1C6B"/>
    <w:rsid w:val="00BC1FD8"/>
    <w:rsid w:val="00BC346F"/>
    <w:rsid w:val="00BC3703"/>
    <w:rsid w:val="00BC585F"/>
    <w:rsid w:val="00BC644D"/>
    <w:rsid w:val="00BC6AD2"/>
    <w:rsid w:val="00BC6CFC"/>
    <w:rsid w:val="00BC73FD"/>
    <w:rsid w:val="00BC78BD"/>
    <w:rsid w:val="00BC7CDA"/>
    <w:rsid w:val="00BD0077"/>
    <w:rsid w:val="00BD019D"/>
    <w:rsid w:val="00BD0D31"/>
    <w:rsid w:val="00BD12CB"/>
    <w:rsid w:val="00BD1325"/>
    <w:rsid w:val="00BD14DF"/>
    <w:rsid w:val="00BD1633"/>
    <w:rsid w:val="00BD1797"/>
    <w:rsid w:val="00BD224F"/>
    <w:rsid w:val="00BD3B8B"/>
    <w:rsid w:val="00BD43CC"/>
    <w:rsid w:val="00BD44D8"/>
    <w:rsid w:val="00BD4A78"/>
    <w:rsid w:val="00BD5094"/>
    <w:rsid w:val="00BD5AC7"/>
    <w:rsid w:val="00BD6262"/>
    <w:rsid w:val="00BD6CB5"/>
    <w:rsid w:val="00BD7263"/>
    <w:rsid w:val="00BD74FF"/>
    <w:rsid w:val="00BD76BC"/>
    <w:rsid w:val="00BD79C4"/>
    <w:rsid w:val="00BD7EB0"/>
    <w:rsid w:val="00BE0C5D"/>
    <w:rsid w:val="00BE11B3"/>
    <w:rsid w:val="00BE18E9"/>
    <w:rsid w:val="00BE1E7F"/>
    <w:rsid w:val="00BE295F"/>
    <w:rsid w:val="00BE6B11"/>
    <w:rsid w:val="00BE723E"/>
    <w:rsid w:val="00BE7515"/>
    <w:rsid w:val="00BF0426"/>
    <w:rsid w:val="00BF0720"/>
    <w:rsid w:val="00BF0957"/>
    <w:rsid w:val="00BF2CC2"/>
    <w:rsid w:val="00BF389D"/>
    <w:rsid w:val="00BF39B0"/>
    <w:rsid w:val="00BF3EFD"/>
    <w:rsid w:val="00BF4D0F"/>
    <w:rsid w:val="00BF5A39"/>
    <w:rsid w:val="00BF5DFA"/>
    <w:rsid w:val="00BF5EE5"/>
    <w:rsid w:val="00BF671D"/>
    <w:rsid w:val="00BF6C20"/>
    <w:rsid w:val="00BF6D9C"/>
    <w:rsid w:val="00BF742F"/>
    <w:rsid w:val="00BF7B02"/>
    <w:rsid w:val="00BF7D7F"/>
    <w:rsid w:val="00C017E2"/>
    <w:rsid w:val="00C02AB5"/>
    <w:rsid w:val="00C037F3"/>
    <w:rsid w:val="00C04194"/>
    <w:rsid w:val="00C04BC8"/>
    <w:rsid w:val="00C04CED"/>
    <w:rsid w:val="00C06159"/>
    <w:rsid w:val="00C068D5"/>
    <w:rsid w:val="00C07F82"/>
    <w:rsid w:val="00C102D5"/>
    <w:rsid w:val="00C10A0B"/>
    <w:rsid w:val="00C11080"/>
    <w:rsid w:val="00C112B2"/>
    <w:rsid w:val="00C11308"/>
    <w:rsid w:val="00C11B29"/>
    <w:rsid w:val="00C11EE2"/>
    <w:rsid w:val="00C12164"/>
    <w:rsid w:val="00C1255A"/>
    <w:rsid w:val="00C12D18"/>
    <w:rsid w:val="00C12E57"/>
    <w:rsid w:val="00C13502"/>
    <w:rsid w:val="00C1377E"/>
    <w:rsid w:val="00C13C4D"/>
    <w:rsid w:val="00C14696"/>
    <w:rsid w:val="00C14833"/>
    <w:rsid w:val="00C14BB6"/>
    <w:rsid w:val="00C14DD1"/>
    <w:rsid w:val="00C14DF6"/>
    <w:rsid w:val="00C14EC4"/>
    <w:rsid w:val="00C150FD"/>
    <w:rsid w:val="00C1525D"/>
    <w:rsid w:val="00C15739"/>
    <w:rsid w:val="00C15FDC"/>
    <w:rsid w:val="00C163C5"/>
    <w:rsid w:val="00C16F96"/>
    <w:rsid w:val="00C170B6"/>
    <w:rsid w:val="00C17593"/>
    <w:rsid w:val="00C17A6C"/>
    <w:rsid w:val="00C20320"/>
    <w:rsid w:val="00C20FC1"/>
    <w:rsid w:val="00C218E1"/>
    <w:rsid w:val="00C229ED"/>
    <w:rsid w:val="00C22D02"/>
    <w:rsid w:val="00C23723"/>
    <w:rsid w:val="00C241DF"/>
    <w:rsid w:val="00C24407"/>
    <w:rsid w:val="00C248B1"/>
    <w:rsid w:val="00C24E4B"/>
    <w:rsid w:val="00C2673F"/>
    <w:rsid w:val="00C2685C"/>
    <w:rsid w:val="00C26929"/>
    <w:rsid w:val="00C305E3"/>
    <w:rsid w:val="00C314D8"/>
    <w:rsid w:val="00C3187E"/>
    <w:rsid w:val="00C31AB7"/>
    <w:rsid w:val="00C31E12"/>
    <w:rsid w:val="00C32284"/>
    <w:rsid w:val="00C32B67"/>
    <w:rsid w:val="00C332C7"/>
    <w:rsid w:val="00C33623"/>
    <w:rsid w:val="00C33EA3"/>
    <w:rsid w:val="00C34B7A"/>
    <w:rsid w:val="00C357D6"/>
    <w:rsid w:val="00C35E98"/>
    <w:rsid w:val="00C37286"/>
    <w:rsid w:val="00C3734A"/>
    <w:rsid w:val="00C407D2"/>
    <w:rsid w:val="00C41567"/>
    <w:rsid w:val="00C419E6"/>
    <w:rsid w:val="00C41AC0"/>
    <w:rsid w:val="00C42462"/>
    <w:rsid w:val="00C425F9"/>
    <w:rsid w:val="00C436A6"/>
    <w:rsid w:val="00C43F83"/>
    <w:rsid w:val="00C4550D"/>
    <w:rsid w:val="00C455FF"/>
    <w:rsid w:val="00C45814"/>
    <w:rsid w:val="00C45B5D"/>
    <w:rsid w:val="00C45D5D"/>
    <w:rsid w:val="00C46E56"/>
    <w:rsid w:val="00C47495"/>
    <w:rsid w:val="00C5003B"/>
    <w:rsid w:val="00C5088C"/>
    <w:rsid w:val="00C51B72"/>
    <w:rsid w:val="00C51F69"/>
    <w:rsid w:val="00C51F71"/>
    <w:rsid w:val="00C52173"/>
    <w:rsid w:val="00C53161"/>
    <w:rsid w:val="00C53389"/>
    <w:rsid w:val="00C534FA"/>
    <w:rsid w:val="00C536B9"/>
    <w:rsid w:val="00C546B1"/>
    <w:rsid w:val="00C54C4E"/>
    <w:rsid w:val="00C54E3B"/>
    <w:rsid w:val="00C55449"/>
    <w:rsid w:val="00C55AEF"/>
    <w:rsid w:val="00C55B38"/>
    <w:rsid w:val="00C55CA6"/>
    <w:rsid w:val="00C56A59"/>
    <w:rsid w:val="00C57005"/>
    <w:rsid w:val="00C5707E"/>
    <w:rsid w:val="00C57611"/>
    <w:rsid w:val="00C576F3"/>
    <w:rsid w:val="00C579D9"/>
    <w:rsid w:val="00C57A7A"/>
    <w:rsid w:val="00C57AB7"/>
    <w:rsid w:val="00C57BFA"/>
    <w:rsid w:val="00C57C2A"/>
    <w:rsid w:val="00C60A9D"/>
    <w:rsid w:val="00C627F2"/>
    <w:rsid w:val="00C62926"/>
    <w:rsid w:val="00C62A4C"/>
    <w:rsid w:val="00C62DEC"/>
    <w:rsid w:val="00C6310F"/>
    <w:rsid w:val="00C63625"/>
    <w:rsid w:val="00C640F4"/>
    <w:rsid w:val="00C6425E"/>
    <w:rsid w:val="00C64BF5"/>
    <w:rsid w:val="00C65BC5"/>
    <w:rsid w:val="00C66F2A"/>
    <w:rsid w:val="00C707ED"/>
    <w:rsid w:val="00C70CFB"/>
    <w:rsid w:val="00C7169B"/>
    <w:rsid w:val="00C71AB5"/>
    <w:rsid w:val="00C72DCE"/>
    <w:rsid w:val="00C730EB"/>
    <w:rsid w:val="00C731D6"/>
    <w:rsid w:val="00C73471"/>
    <w:rsid w:val="00C73F85"/>
    <w:rsid w:val="00C74009"/>
    <w:rsid w:val="00C7473A"/>
    <w:rsid w:val="00C750E7"/>
    <w:rsid w:val="00C75DBC"/>
    <w:rsid w:val="00C75F6C"/>
    <w:rsid w:val="00C7656B"/>
    <w:rsid w:val="00C76632"/>
    <w:rsid w:val="00C76FBC"/>
    <w:rsid w:val="00C77431"/>
    <w:rsid w:val="00C77578"/>
    <w:rsid w:val="00C80F6E"/>
    <w:rsid w:val="00C8128F"/>
    <w:rsid w:val="00C82EC9"/>
    <w:rsid w:val="00C830E0"/>
    <w:rsid w:val="00C83A1F"/>
    <w:rsid w:val="00C84888"/>
    <w:rsid w:val="00C84EAA"/>
    <w:rsid w:val="00C85287"/>
    <w:rsid w:val="00C8560F"/>
    <w:rsid w:val="00C85C6F"/>
    <w:rsid w:val="00C862EE"/>
    <w:rsid w:val="00C86958"/>
    <w:rsid w:val="00C875C5"/>
    <w:rsid w:val="00C87FA9"/>
    <w:rsid w:val="00C91B21"/>
    <w:rsid w:val="00C92666"/>
    <w:rsid w:val="00C927DD"/>
    <w:rsid w:val="00C92A16"/>
    <w:rsid w:val="00C92AB0"/>
    <w:rsid w:val="00C9383D"/>
    <w:rsid w:val="00C9480F"/>
    <w:rsid w:val="00C94A18"/>
    <w:rsid w:val="00C955DC"/>
    <w:rsid w:val="00C955DE"/>
    <w:rsid w:val="00C958ED"/>
    <w:rsid w:val="00C95D2A"/>
    <w:rsid w:val="00C961F5"/>
    <w:rsid w:val="00C9665C"/>
    <w:rsid w:val="00C96BE3"/>
    <w:rsid w:val="00C96C25"/>
    <w:rsid w:val="00C9729B"/>
    <w:rsid w:val="00C97753"/>
    <w:rsid w:val="00C97C2C"/>
    <w:rsid w:val="00C97F91"/>
    <w:rsid w:val="00CA1A03"/>
    <w:rsid w:val="00CA2261"/>
    <w:rsid w:val="00CA2726"/>
    <w:rsid w:val="00CA2AB1"/>
    <w:rsid w:val="00CA2BED"/>
    <w:rsid w:val="00CA32B2"/>
    <w:rsid w:val="00CA35B4"/>
    <w:rsid w:val="00CA4076"/>
    <w:rsid w:val="00CA4513"/>
    <w:rsid w:val="00CA51A7"/>
    <w:rsid w:val="00CA5508"/>
    <w:rsid w:val="00CA5584"/>
    <w:rsid w:val="00CA6672"/>
    <w:rsid w:val="00CA67E2"/>
    <w:rsid w:val="00CA7040"/>
    <w:rsid w:val="00CA70E9"/>
    <w:rsid w:val="00CB00DC"/>
    <w:rsid w:val="00CB043B"/>
    <w:rsid w:val="00CB0D1C"/>
    <w:rsid w:val="00CB0D43"/>
    <w:rsid w:val="00CB0FBB"/>
    <w:rsid w:val="00CB1458"/>
    <w:rsid w:val="00CB1BB3"/>
    <w:rsid w:val="00CB234A"/>
    <w:rsid w:val="00CB2624"/>
    <w:rsid w:val="00CB284A"/>
    <w:rsid w:val="00CB43C1"/>
    <w:rsid w:val="00CB5F60"/>
    <w:rsid w:val="00CB6217"/>
    <w:rsid w:val="00CB64DF"/>
    <w:rsid w:val="00CB662C"/>
    <w:rsid w:val="00CB79A8"/>
    <w:rsid w:val="00CB7BA7"/>
    <w:rsid w:val="00CC057A"/>
    <w:rsid w:val="00CC07BA"/>
    <w:rsid w:val="00CC150A"/>
    <w:rsid w:val="00CC1575"/>
    <w:rsid w:val="00CC15B1"/>
    <w:rsid w:val="00CC1D6C"/>
    <w:rsid w:val="00CC1E85"/>
    <w:rsid w:val="00CC2FC6"/>
    <w:rsid w:val="00CC3256"/>
    <w:rsid w:val="00CC32A3"/>
    <w:rsid w:val="00CC3A07"/>
    <w:rsid w:val="00CC3C18"/>
    <w:rsid w:val="00CC4841"/>
    <w:rsid w:val="00CC486A"/>
    <w:rsid w:val="00CC50CF"/>
    <w:rsid w:val="00CC615B"/>
    <w:rsid w:val="00CC680D"/>
    <w:rsid w:val="00CC7622"/>
    <w:rsid w:val="00CD0443"/>
    <w:rsid w:val="00CD096E"/>
    <w:rsid w:val="00CD2AED"/>
    <w:rsid w:val="00CD3262"/>
    <w:rsid w:val="00CD3D92"/>
    <w:rsid w:val="00CD4423"/>
    <w:rsid w:val="00CD4443"/>
    <w:rsid w:val="00CD64EF"/>
    <w:rsid w:val="00CD723C"/>
    <w:rsid w:val="00CD7710"/>
    <w:rsid w:val="00CD7A7E"/>
    <w:rsid w:val="00CD7AC2"/>
    <w:rsid w:val="00CD7FC2"/>
    <w:rsid w:val="00CE03E3"/>
    <w:rsid w:val="00CE03F5"/>
    <w:rsid w:val="00CE0828"/>
    <w:rsid w:val="00CE0B76"/>
    <w:rsid w:val="00CE12DD"/>
    <w:rsid w:val="00CE1EE2"/>
    <w:rsid w:val="00CE279E"/>
    <w:rsid w:val="00CE2D5B"/>
    <w:rsid w:val="00CE430C"/>
    <w:rsid w:val="00CE4507"/>
    <w:rsid w:val="00CE4692"/>
    <w:rsid w:val="00CE4DC8"/>
    <w:rsid w:val="00CE5D13"/>
    <w:rsid w:val="00CE61C8"/>
    <w:rsid w:val="00CE68A3"/>
    <w:rsid w:val="00CE714D"/>
    <w:rsid w:val="00CE7A60"/>
    <w:rsid w:val="00CF04AF"/>
    <w:rsid w:val="00CF07C5"/>
    <w:rsid w:val="00CF10E5"/>
    <w:rsid w:val="00CF186D"/>
    <w:rsid w:val="00CF1988"/>
    <w:rsid w:val="00CF2A2D"/>
    <w:rsid w:val="00CF318C"/>
    <w:rsid w:val="00CF3EE5"/>
    <w:rsid w:val="00CF4495"/>
    <w:rsid w:val="00CF489F"/>
    <w:rsid w:val="00CF4D63"/>
    <w:rsid w:val="00CF58FA"/>
    <w:rsid w:val="00CF5A3F"/>
    <w:rsid w:val="00CF69F1"/>
    <w:rsid w:val="00CF6A18"/>
    <w:rsid w:val="00CF72B1"/>
    <w:rsid w:val="00CF77D3"/>
    <w:rsid w:val="00CF7B68"/>
    <w:rsid w:val="00CF7EB1"/>
    <w:rsid w:val="00CF7F91"/>
    <w:rsid w:val="00D010EE"/>
    <w:rsid w:val="00D01210"/>
    <w:rsid w:val="00D0266C"/>
    <w:rsid w:val="00D02EE7"/>
    <w:rsid w:val="00D02F56"/>
    <w:rsid w:val="00D0313C"/>
    <w:rsid w:val="00D03472"/>
    <w:rsid w:val="00D03ABD"/>
    <w:rsid w:val="00D03B5E"/>
    <w:rsid w:val="00D03EA5"/>
    <w:rsid w:val="00D04238"/>
    <w:rsid w:val="00D04F24"/>
    <w:rsid w:val="00D04FF1"/>
    <w:rsid w:val="00D0577D"/>
    <w:rsid w:val="00D05F09"/>
    <w:rsid w:val="00D06B9F"/>
    <w:rsid w:val="00D06C0A"/>
    <w:rsid w:val="00D0708F"/>
    <w:rsid w:val="00D07244"/>
    <w:rsid w:val="00D0762A"/>
    <w:rsid w:val="00D07913"/>
    <w:rsid w:val="00D079BA"/>
    <w:rsid w:val="00D10188"/>
    <w:rsid w:val="00D10244"/>
    <w:rsid w:val="00D10342"/>
    <w:rsid w:val="00D104DC"/>
    <w:rsid w:val="00D10C0E"/>
    <w:rsid w:val="00D11152"/>
    <w:rsid w:val="00D11278"/>
    <w:rsid w:val="00D13221"/>
    <w:rsid w:val="00D13FE7"/>
    <w:rsid w:val="00D142F8"/>
    <w:rsid w:val="00D143BF"/>
    <w:rsid w:val="00D14B83"/>
    <w:rsid w:val="00D151DA"/>
    <w:rsid w:val="00D15393"/>
    <w:rsid w:val="00D1696A"/>
    <w:rsid w:val="00D17952"/>
    <w:rsid w:val="00D17F9E"/>
    <w:rsid w:val="00D206EF"/>
    <w:rsid w:val="00D214BC"/>
    <w:rsid w:val="00D21972"/>
    <w:rsid w:val="00D22739"/>
    <w:rsid w:val="00D22A37"/>
    <w:rsid w:val="00D23998"/>
    <w:rsid w:val="00D23C34"/>
    <w:rsid w:val="00D257F6"/>
    <w:rsid w:val="00D26142"/>
    <w:rsid w:val="00D26521"/>
    <w:rsid w:val="00D26685"/>
    <w:rsid w:val="00D268E9"/>
    <w:rsid w:val="00D271A3"/>
    <w:rsid w:val="00D27A6E"/>
    <w:rsid w:val="00D309E9"/>
    <w:rsid w:val="00D3102D"/>
    <w:rsid w:val="00D31981"/>
    <w:rsid w:val="00D324B0"/>
    <w:rsid w:val="00D32959"/>
    <w:rsid w:val="00D336A1"/>
    <w:rsid w:val="00D34294"/>
    <w:rsid w:val="00D3430E"/>
    <w:rsid w:val="00D34373"/>
    <w:rsid w:val="00D3459F"/>
    <w:rsid w:val="00D34636"/>
    <w:rsid w:val="00D34E6C"/>
    <w:rsid w:val="00D3754E"/>
    <w:rsid w:val="00D375BE"/>
    <w:rsid w:val="00D379D5"/>
    <w:rsid w:val="00D37AC3"/>
    <w:rsid w:val="00D408CB"/>
    <w:rsid w:val="00D41351"/>
    <w:rsid w:val="00D41F3F"/>
    <w:rsid w:val="00D428F9"/>
    <w:rsid w:val="00D429EB"/>
    <w:rsid w:val="00D42EF4"/>
    <w:rsid w:val="00D42FE3"/>
    <w:rsid w:val="00D43034"/>
    <w:rsid w:val="00D43EB5"/>
    <w:rsid w:val="00D44083"/>
    <w:rsid w:val="00D44146"/>
    <w:rsid w:val="00D4460A"/>
    <w:rsid w:val="00D44766"/>
    <w:rsid w:val="00D449D1"/>
    <w:rsid w:val="00D44F7F"/>
    <w:rsid w:val="00D460C5"/>
    <w:rsid w:val="00D461E5"/>
    <w:rsid w:val="00D475F0"/>
    <w:rsid w:val="00D47711"/>
    <w:rsid w:val="00D479D5"/>
    <w:rsid w:val="00D508E6"/>
    <w:rsid w:val="00D509F9"/>
    <w:rsid w:val="00D50B66"/>
    <w:rsid w:val="00D50BFA"/>
    <w:rsid w:val="00D51278"/>
    <w:rsid w:val="00D51673"/>
    <w:rsid w:val="00D51BF3"/>
    <w:rsid w:val="00D52683"/>
    <w:rsid w:val="00D527DA"/>
    <w:rsid w:val="00D52FA3"/>
    <w:rsid w:val="00D53154"/>
    <w:rsid w:val="00D54147"/>
    <w:rsid w:val="00D541A3"/>
    <w:rsid w:val="00D556FF"/>
    <w:rsid w:val="00D55EB3"/>
    <w:rsid w:val="00D574B3"/>
    <w:rsid w:val="00D57BC9"/>
    <w:rsid w:val="00D57D2A"/>
    <w:rsid w:val="00D6080A"/>
    <w:rsid w:val="00D60C2F"/>
    <w:rsid w:val="00D60F3E"/>
    <w:rsid w:val="00D6283C"/>
    <w:rsid w:val="00D629F3"/>
    <w:rsid w:val="00D63460"/>
    <w:rsid w:val="00D63634"/>
    <w:rsid w:val="00D63E7A"/>
    <w:rsid w:val="00D63E8E"/>
    <w:rsid w:val="00D64015"/>
    <w:rsid w:val="00D64235"/>
    <w:rsid w:val="00D642FB"/>
    <w:rsid w:val="00D64416"/>
    <w:rsid w:val="00D6458C"/>
    <w:rsid w:val="00D65A20"/>
    <w:rsid w:val="00D65B3E"/>
    <w:rsid w:val="00D6624D"/>
    <w:rsid w:val="00D6663C"/>
    <w:rsid w:val="00D67985"/>
    <w:rsid w:val="00D67B63"/>
    <w:rsid w:val="00D67DCF"/>
    <w:rsid w:val="00D700D8"/>
    <w:rsid w:val="00D70778"/>
    <w:rsid w:val="00D710C4"/>
    <w:rsid w:val="00D7111C"/>
    <w:rsid w:val="00D71F08"/>
    <w:rsid w:val="00D72515"/>
    <w:rsid w:val="00D72582"/>
    <w:rsid w:val="00D726DD"/>
    <w:rsid w:val="00D72A33"/>
    <w:rsid w:val="00D72B31"/>
    <w:rsid w:val="00D72B48"/>
    <w:rsid w:val="00D737EE"/>
    <w:rsid w:val="00D73E8E"/>
    <w:rsid w:val="00D74B71"/>
    <w:rsid w:val="00D74D93"/>
    <w:rsid w:val="00D7593A"/>
    <w:rsid w:val="00D75D6A"/>
    <w:rsid w:val="00D76756"/>
    <w:rsid w:val="00D772E3"/>
    <w:rsid w:val="00D77BA9"/>
    <w:rsid w:val="00D801BA"/>
    <w:rsid w:val="00D8028A"/>
    <w:rsid w:val="00D80F8C"/>
    <w:rsid w:val="00D81240"/>
    <w:rsid w:val="00D81E2B"/>
    <w:rsid w:val="00D8219E"/>
    <w:rsid w:val="00D82317"/>
    <w:rsid w:val="00D8397C"/>
    <w:rsid w:val="00D83CBD"/>
    <w:rsid w:val="00D84D47"/>
    <w:rsid w:val="00D85E28"/>
    <w:rsid w:val="00D85FAA"/>
    <w:rsid w:val="00D87910"/>
    <w:rsid w:val="00D9190B"/>
    <w:rsid w:val="00D91C9B"/>
    <w:rsid w:val="00D925D1"/>
    <w:rsid w:val="00D92D99"/>
    <w:rsid w:val="00D92F94"/>
    <w:rsid w:val="00D93B4A"/>
    <w:rsid w:val="00D94F6E"/>
    <w:rsid w:val="00D95334"/>
    <w:rsid w:val="00D95B36"/>
    <w:rsid w:val="00D95D15"/>
    <w:rsid w:val="00D96637"/>
    <w:rsid w:val="00D96F81"/>
    <w:rsid w:val="00D97AD5"/>
    <w:rsid w:val="00DA042E"/>
    <w:rsid w:val="00DA12D0"/>
    <w:rsid w:val="00DA1E62"/>
    <w:rsid w:val="00DA1F95"/>
    <w:rsid w:val="00DA2B56"/>
    <w:rsid w:val="00DA3070"/>
    <w:rsid w:val="00DA3211"/>
    <w:rsid w:val="00DA3285"/>
    <w:rsid w:val="00DA3350"/>
    <w:rsid w:val="00DA3F5D"/>
    <w:rsid w:val="00DA428C"/>
    <w:rsid w:val="00DA44A8"/>
    <w:rsid w:val="00DA4655"/>
    <w:rsid w:val="00DA5503"/>
    <w:rsid w:val="00DA567C"/>
    <w:rsid w:val="00DA5A14"/>
    <w:rsid w:val="00DA5DF0"/>
    <w:rsid w:val="00DA6191"/>
    <w:rsid w:val="00DA6565"/>
    <w:rsid w:val="00DA7C76"/>
    <w:rsid w:val="00DB27DA"/>
    <w:rsid w:val="00DB2CF0"/>
    <w:rsid w:val="00DB35CC"/>
    <w:rsid w:val="00DB3A90"/>
    <w:rsid w:val="00DB409A"/>
    <w:rsid w:val="00DB483F"/>
    <w:rsid w:val="00DB6613"/>
    <w:rsid w:val="00DB67D8"/>
    <w:rsid w:val="00DB7096"/>
    <w:rsid w:val="00DB7210"/>
    <w:rsid w:val="00DB7724"/>
    <w:rsid w:val="00DB7C6A"/>
    <w:rsid w:val="00DC03BA"/>
    <w:rsid w:val="00DC05EA"/>
    <w:rsid w:val="00DC09E5"/>
    <w:rsid w:val="00DC0BF2"/>
    <w:rsid w:val="00DC1631"/>
    <w:rsid w:val="00DC1D1B"/>
    <w:rsid w:val="00DC2947"/>
    <w:rsid w:val="00DC2CA0"/>
    <w:rsid w:val="00DC2D5C"/>
    <w:rsid w:val="00DC2DFB"/>
    <w:rsid w:val="00DC3383"/>
    <w:rsid w:val="00DC3766"/>
    <w:rsid w:val="00DC427F"/>
    <w:rsid w:val="00DC460A"/>
    <w:rsid w:val="00DC4830"/>
    <w:rsid w:val="00DC4D7D"/>
    <w:rsid w:val="00DC6172"/>
    <w:rsid w:val="00DC6A61"/>
    <w:rsid w:val="00DC6A82"/>
    <w:rsid w:val="00DD0734"/>
    <w:rsid w:val="00DD08A9"/>
    <w:rsid w:val="00DD16D4"/>
    <w:rsid w:val="00DD1E0E"/>
    <w:rsid w:val="00DD2336"/>
    <w:rsid w:val="00DD2C30"/>
    <w:rsid w:val="00DD3079"/>
    <w:rsid w:val="00DD34F1"/>
    <w:rsid w:val="00DD3640"/>
    <w:rsid w:val="00DD36F2"/>
    <w:rsid w:val="00DD4EDD"/>
    <w:rsid w:val="00DD53AF"/>
    <w:rsid w:val="00DD5546"/>
    <w:rsid w:val="00DD56E8"/>
    <w:rsid w:val="00DD606D"/>
    <w:rsid w:val="00DD61E8"/>
    <w:rsid w:val="00DD62E5"/>
    <w:rsid w:val="00DE0B28"/>
    <w:rsid w:val="00DE13C6"/>
    <w:rsid w:val="00DE18B2"/>
    <w:rsid w:val="00DE23E7"/>
    <w:rsid w:val="00DE26D4"/>
    <w:rsid w:val="00DE30CD"/>
    <w:rsid w:val="00DE4013"/>
    <w:rsid w:val="00DE42BE"/>
    <w:rsid w:val="00DE4D37"/>
    <w:rsid w:val="00DE5461"/>
    <w:rsid w:val="00DE5F1C"/>
    <w:rsid w:val="00DE62F8"/>
    <w:rsid w:val="00DE70F2"/>
    <w:rsid w:val="00DE77DE"/>
    <w:rsid w:val="00DE7E0B"/>
    <w:rsid w:val="00DF14D2"/>
    <w:rsid w:val="00DF15D6"/>
    <w:rsid w:val="00DF2A02"/>
    <w:rsid w:val="00DF3289"/>
    <w:rsid w:val="00DF3424"/>
    <w:rsid w:val="00DF56DD"/>
    <w:rsid w:val="00DF57DD"/>
    <w:rsid w:val="00DF7E79"/>
    <w:rsid w:val="00E010DC"/>
    <w:rsid w:val="00E013C3"/>
    <w:rsid w:val="00E018B0"/>
    <w:rsid w:val="00E03BBE"/>
    <w:rsid w:val="00E03E15"/>
    <w:rsid w:val="00E04A1C"/>
    <w:rsid w:val="00E04DEB"/>
    <w:rsid w:val="00E0510C"/>
    <w:rsid w:val="00E05B89"/>
    <w:rsid w:val="00E05C8F"/>
    <w:rsid w:val="00E05DD5"/>
    <w:rsid w:val="00E05F45"/>
    <w:rsid w:val="00E071DD"/>
    <w:rsid w:val="00E0745A"/>
    <w:rsid w:val="00E10356"/>
    <w:rsid w:val="00E10D75"/>
    <w:rsid w:val="00E1112A"/>
    <w:rsid w:val="00E11925"/>
    <w:rsid w:val="00E11B0A"/>
    <w:rsid w:val="00E12224"/>
    <w:rsid w:val="00E12F8A"/>
    <w:rsid w:val="00E13A54"/>
    <w:rsid w:val="00E149AC"/>
    <w:rsid w:val="00E149C7"/>
    <w:rsid w:val="00E166B5"/>
    <w:rsid w:val="00E16DA4"/>
    <w:rsid w:val="00E17C56"/>
    <w:rsid w:val="00E17CE1"/>
    <w:rsid w:val="00E17CFB"/>
    <w:rsid w:val="00E2019F"/>
    <w:rsid w:val="00E203B2"/>
    <w:rsid w:val="00E2076B"/>
    <w:rsid w:val="00E20839"/>
    <w:rsid w:val="00E20F68"/>
    <w:rsid w:val="00E21E2A"/>
    <w:rsid w:val="00E22857"/>
    <w:rsid w:val="00E2385E"/>
    <w:rsid w:val="00E24690"/>
    <w:rsid w:val="00E25096"/>
    <w:rsid w:val="00E253A7"/>
    <w:rsid w:val="00E2666D"/>
    <w:rsid w:val="00E26EA3"/>
    <w:rsid w:val="00E27769"/>
    <w:rsid w:val="00E3171D"/>
    <w:rsid w:val="00E31B1A"/>
    <w:rsid w:val="00E321EE"/>
    <w:rsid w:val="00E324FA"/>
    <w:rsid w:val="00E32DFD"/>
    <w:rsid w:val="00E3389F"/>
    <w:rsid w:val="00E339BC"/>
    <w:rsid w:val="00E3414D"/>
    <w:rsid w:val="00E34AC6"/>
    <w:rsid w:val="00E34B98"/>
    <w:rsid w:val="00E35463"/>
    <w:rsid w:val="00E35A28"/>
    <w:rsid w:val="00E35B80"/>
    <w:rsid w:val="00E369DF"/>
    <w:rsid w:val="00E415BF"/>
    <w:rsid w:val="00E416B7"/>
    <w:rsid w:val="00E4182D"/>
    <w:rsid w:val="00E41B81"/>
    <w:rsid w:val="00E420EB"/>
    <w:rsid w:val="00E42119"/>
    <w:rsid w:val="00E42D56"/>
    <w:rsid w:val="00E42E56"/>
    <w:rsid w:val="00E4336C"/>
    <w:rsid w:val="00E43D38"/>
    <w:rsid w:val="00E4403D"/>
    <w:rsid w:val="00E444BA"/>
    <w:rsid w:val="00E45CCF"/>
    <w:rsid w:val="00E45F9B"/>
    <w:rsid w:val="00E474EE"/>
    <w:rsid w:val="00E47FDA"/>
    <w:rsid w:val="00E50373"/>
    <w:rsid w:val="00E5048E"/>
    <w:rsid w:val="00E51B7E"/>
    <w:rsid w:val="00E52493"/>
    <w:rsid w:val="00E52E6F"/>
    <w:rsid w:val="00E530BD"/>
    <w:rsid w:val="00E53730"/>
    <w:rsid w:val="00E5465F"/>
    <w:rsid w:val="00E557FD"/>
    <w:rsid w:val="00E562E5"/>
    <w:rsid w:val="00E5681F"/>
    <w:rsid w:val="00E56BC5"/>
    <w:rsid w:val="00E56CDB"/>
    <w:rsid w:val="00E57FC2"/>
    <w:rsid w:val="00E60F07"/>
    <w:rsid w:val="00E61588"/>
    <w:rsid w:val="00E6190C"/>
    <w:rsid w:val="00E621E2"/>
    <w:rsid w:val="00E626ED"/>
    <w:rsid w:val="00E62959"/>
    <w:rsid w:val="00E62C82"/>
    <w:rsid w:val="00E6321C"/>
    <w:rsid w:val="00E6372A"/>
    <w:rsid w:val="00E63A41"/>
    <w:rsid w:val="00E64A1C"/>
    <w:rsid w:val="00E64A38"/>
    <w:rsid w:val="00E64BC8"/>
    <w:rsid w:val="00E6501B"/>
    <w:rsid w:val="00E651C1"/>
    <w:rsid w:val="00E653C9"/>
    <w:rsid w:val="00E6540C"/>
    <w:rsid w:val="00E654A0"/>
    <w:rsid w:val="00E657F4"/>
    <w:rsid w:val="00E65BD9"/>
    <w:rsid w:val="00E666D7"/>
    <w:rsid w:val="00E669AB"/>
    <w:rsid w:val="00E67B35"/>
    <w:rsid w:val="00E67D9D"/>
    <w:rsid w:val="00E70897"/>
    <w:rsid w:val="00E709A1"/>
    <w:rsid w:val="00E71487"/>
    <w:rsid w:val="00E71549"/>
    <w:rsid w:val="00E7174E"/>
    <w:rsid w:val="00E72015"/>
    <w:rsid w:val="00E723D6"/>
    <w:rsid w:val="00E72922"/>
    <w:rsid w:val="00E7344B"/>
    <w:rsid w:val="00E749E0"/>
    <w:rsid w:val="00E75041"/>
    <w:rsid w:val="00E752D1"/>
    <w:rsid w:val="00E7611F"/>
    <w:rsid w:val="00E76C76"/>
    <w:rsid w:val="00E7762A"/>
    <w:rsid w:val="00E801CB"/>
    <w:rsid w:val="00E81716"/>
    <w:rsid w:val="00E8177B"/>
    <w:rsid w:val="00E82101"/>
    <w:rsid w:val="00E8299D"/>
    <w:rsid w:val="00E8394E"/>
    <w:rsid w:val="00E8402D"/>
    <w:rsid w:val="00E845DF"/>
    <w:rsid w:val="00E85E53"/>
    <w:rsid w:val="00E86268"/>
    <w:rsid w:val="00E864D2"/>
    <w:rsid w:val="00E87226"/>
    <w:rsid w:val="00E8732E"/>
    <w:rsid w:val="00E87FD2"/>
    <w:rsid w:val="00E91496"/>
    <w:rsid w:val="00E91BEE"/>
    <w:rsid w:val="00E91C69"/>
    <w:rsid w:val="00E922DF"/>
    <w:rsid w:val="00E92D8E"/>
    <w:rsid w:val="00E93588"/>
    <w:rsid w:val="00E93593"/>
    <w:rsid w:val="00E943C4"/>
    <w:rsid w:val="00E9457B"/>
    <w:rsid w:val="00E95111"/>
    <w:rsid w:val="00E95566"/>
    <w:rsid w:val="00E95DB0"/>
    <w:rsid w:val="00E964B2"/>
    <w:rsid w:val="00E96F2E"/>
    <w:rsid w:val="00E96F70"/>
    <w:rsid w:val="00E9783B"/>
    <w:rsid w:val="00E97A6F"/>
    <w:rsid w:val="00E97E39"/>
    <w:rsid w:val="00EA0D32"/>
    <w:rsid w:val="00EA189E"/>
    <w:rsid w:val="00EA1945"/>
    <w:rsid w:val="00EA1CFC"/>
    <w:rsid w:val="00EA1EC6"/>
    <w:rsid w:val="00EA215F"/>
    <w:rsid w:val="00EA2793"/>
    <w:rsid w:val="00EA2AE4"/>
    <w:rsid w:val="00EA3138"/>
    <w:rsid w:val="00EA31B6"/>
    <w:rsid w:val="00EA36A4"/>
    <w:rsid w:val="00EA3D50"/>
    <w:rsid w:val="00EA4962"/>
    <w:rsid w:val="00EA50BE"/>
    <w:rsid w:val="00EA6688"/>
    <w:rsid w:val="00EA797E"/>
    <w:rsid w:val="00EA7AF2"/>
    <w:rsid w:val="00EA7DF3"/>
    <w:rsid w:val="00EA7E7E"/>
    <w:rsid w:val="00EA7FB5"/>
    <w:rsid w:val="00EB0BF2"/>
    <w:rsid w:val="00EB0F5B"/>
    <w:rsid w:val="00EB1A2F"/>
    <w:rsid w:val="00EB22B1"/>
    <w:rsid w:val="00EB2384"/>
    <w:rsid w:val="00EB249C"/>
    <w:rsid w:val="00EB3141"/>
    <w:rsid w:val="00EB386B"/>
    <w:rsid w:val="00EB4086"/>
    <w:rsid w:val="00EB4DD1"/>
    <w:rsid w:val="00EB4E0E"/>
    <w:rsid w:val="00EB5165"/>
    <w:rsid w:val="00EB5429"/>
    <w:rsid w:val="00EB5DAC"/>
    <w:rsid w:val="00EB637B"/>
    <w:rsid w:val="00EB653A"/>
    <w:rsid w:val="00EB66FF"/>
    <w:rsid w:val="00EB6808"/>
    <w:rsid w:val="00EB6AAA"/>
    <w:rsid w:val="00EB6C43"/>
    <w:rsid w:val="00EC02B6"/>
    <w:rsid w:val="00EC0963"/>
    <w:rsid w:val="00EC1426"/>
    <w:rsid w:val="00EC1710"/>
    <w:rsid w:val="00EC1A7C"/>
    <w:rsid w:val="00EC1ED0"/>
    <w:rsid w:val="00EC2062"/>
    <w:rsid w:val="00EC2178"/>
    <w:rsid w:val="00EC2322"/>
    <w:rsid w:val="00EC2660"/>
    <w:rsid w:val="00EC2CA9"/>
    <w:rsid w:val="00EC3234"/>
    <w:rsid w:val="00EC3634"/>
    <w:rsid w:val="00EC3694"/>
    <w:rsid w:val="00EC3C98"/>
    <w:rsid w:val="00EC4155"/>
    <w:rsid w:val="00EC49C2"/>
    <w:rsid w:val="00EC5A43"/>
    <w:rsid w:val="00EC6929"/>
    <w:rsid w:val="00EC6C3B"/>
    <w:rsid w:val="00EC74B9"/>
    <w:rsid w:val="00ED0EA4"/>
    <w:rsid w:val="00ED1A27"/>
    <w:rsid w:val="00ED1BE6"/>
    <w:rsid w:val="00ED2319"/>
    <w:rsid w:val="00ED2DB2"/>
    <w:rsid w:val="00ED351D"/>
    <w:rsid w:val="00ED3B1F"/>
    <w:rsid w:val="00ED3E00"/>
    <w:rsid w:val="00ED44A6"/>
    <w:rsid w:val="00ED4760"/>
    <w:rsid w:val="00ED47E2"/>
    <w:rsid w:val="00ED4CDB"/>
    <w:rsid w:val="00ED4DC9"/>
    <w:rsid w:val="00ED6374"/>
    <w:rsid w:val="00ED63CF"/>
    <w:rsid w:val="00ED6794"/>
    <w:rsid w:val="00ED7085"/>
    <w:rsid w:val="00ED71DF"/>
    <w:rsid w:val="00ED7B58"/>
    <w:rsid w:val="00ED7C80"/>
    <w:rsid w:val="00ED7D3C"/>
    <w:rsid w:val="00EE0B6D"/>
    <w:rsid w:val="00EE0D3C"/>
    <w:rsid w:val="00EE0D51"/>
    <w:rsid w:val="00EE0DC0"/>
    <w:rsid w:val="00EE14BB"/>
    <w:rsid w:val="00EE1A77"/>
    <w:rsid w:val="00EE273C"/>
    <w:rsid w:val="00EE3104"/>
    <w:rsid w:val="00EE36CF"/>
    <w:rsid w:val="00EE3B49"/>
    <w:rsid w:val="00EE4251"/>
    <w:rsid w:val="00EE4BC7"/>
    <w:rsid w:val="00EE4FFF"/>
    <w:rsid w:val="00EE58B9"/>
    <w:rsid w:val="00EE5917"/>
    <w:rsid w:val="00EE6154"/>
    <w:rsid w:val="00EE631C"/>
    <w:rsid w:val="00EF133A"/>
    <w:rsid w:val="00EF13AC"/>
    <w:rsid w:val="00EF28A5"/>
    <w:rsid w:val="00EF32FB"/>
    <w:rsid w:val="00EF35F5"/>
    <w:rsid w:val="00EF3996"/>
    <w:rsid w:val="00EF3A43"/>
    <w:rsid w:val="00EF3C51"/>
    <w:rsid w:val="00EF3F8E"/>
    <w:rsid w:val="00EF46E0"/>
    <w:rsid w:val="00EF4DC4"/>
    <w:rsid w:val="00EF4EA9"/>
    <w:rsid w:val="00EF60C9"/>
    <w:rsid w:val="00EF62FC"/>
    <w:rsid w:val="00EF6604"/>
    <w:rsid w:val="00EF6D1A"/>
    <w:rsid w:val="00EF6EC8"/>
    <w:rsid w:val="00EF73EE"/>
    <w:rsid w:val="00EF74F1"/>
    <w:rsid w:val="00F000C3"/>
    <w:rsid w:val="00F003BB"/>
    <w:rsid w:val="00F017DD"/>
    <w:rsid w:val="00F024CA"/>
    <w:rsid w:val="00F02A36"/>
    <w:rsid w:val="00F03DC8"/>
    <w:rsid w:val="00F03FC9"/>
    <w:rsid w:val="00F044F2"/>
    <w:rsid w:val="00F04E9A"/>
    <w:rsid w:val="00F04FCC"/>
    <w:rsid w:val="00F057D2"/>
    <w:rsid w:val="00F05B5E"/>
    <w:rsid w:val="00F06106"/>
    <w:rsid w:val="00F06DF6"/>
    <w:rsid w:val="00F06F4C"/>
    <w:rsid w:val="00F100EA"/>
    <w:rsid w:val="00F102CD"/>
    <w:rsid w:val="00F105D0"/>
    <w:rsid w:val="00F10BB2"/>
    <w:rsid w:val="00F11D5B"/>
    <w:rsid w:val="00F12153"/>
    <w:rsid w:val="00F12449"/>
    <w:rsid w:val="00F125E3"/>
    <w:rsid w:val="00F129CC"/>
    <w:rsid w:val="00F12BD0"/>
    <w:rsid w:val="00F12EBB"/>
    <w:rsid w:val="00F1317B"/>
    <w:rsid w:val="00F1328B"/>
    <w:rsid w:val="00F13409"/>
    <w:rsid w:val="00F13A83"/>
    <w:rsid w:val="00F14F8A"/>
    <w:rsid w:val="00F154D2"/>
    <w:rsid w:val="00F15D6E"/>
    <w:rsid w:val="00F16E7E"/>
    <w:rsid w:val="00F17179"/>
    <w:rsid w:val="00F17EBD"/>
    <w:rsid w:val="00F201E4"/>
    <w:rsid w:val="00F20204"/>
    <w:rsid w:val="00F20676"/>
    <w:rsid w:val="00F20DB5"/>
    <w:rsid w:val="00F21103"/>
    <w:rsid w:val="00F228BB"/>
    <w:rsid w:val="00F22906"/>
    <w:rsid w:val="00F22A00"/>
    <w:rsid w:val="00F22E4D"/>
    <w:rsid w:val="00F22FBA"/>
    <w:rsid w:val="00F230F4"/>
    <w:rsid w:val="00F2326C"/>
    <w:rsid w:val="00F2389B"/>
    <w:rsid w:val="00F23C7B"/>
    <w:rsid w:val="00F241B3"/>
    <w:rsid w:val="00F242C9"/>
    <w:rsid w:val="00F24363"/>
    <w:rsid w:val="00F244E1"/>
    <w:rsid w:val="00F2454F"/>
    <w:rsid w:val="00F24C9F"/>
    <w:rsid w:val="00F24F21"/>
    <w:rsid w:val="00F24FC5"/>
    <w:rsid w:val="00F25B88"/>
    <w:rsid w:val="00F25D0F"/>
    <w:rsid w:val="00F25D88"/>
    <w:rsid w:val="00F25FB8"/>
    <w:rsid w:val="00F2602E"/>
    <w:rsid w:val="00F26110"/>
    <w:rsid w:val="00F26298"/>
    <w:rsid w:val="00F2650A"/>
    <w:rsid w:val="00F27069"/>
    <w:rsid w:val="00F301E6"/>
    <w:rsid w:val="00F30DA7"/>
    <w:rsid w:val="00F310DA"/>
    <w:rsid w:val="00F3123B"/>
    <w:rsid w:val="00F31702"/>
    <w:rsid w:val="00F31853"/>
    <w:rsid w:val="00F31867"/>
    <w:rsid w:val="00F31A19"/>
    <w:rsid w:val="00F31A29"/>
    <w:rsid w:val="00F31BFF"/>
    <w:rsid w:val="00F323A9"/>
    <w:rsid w:val="00F328F0"/>
    <w:rsid w:val="00F32A95"/>
    <w:rsid w:val="00F32C96"/>
    <w:rsid w:val="00F3304A"/>
    <w:rsid w:val="00F3374E"/>
    <w:rsid w:val="00F337FB"/>
    <w:rsid w:val="00F33C1E"/>
    <w:rsid w:val="00F3418B"/>
    <w:rsid w:val="00F34252"/>
    <w:rsid w:val="00F34880"/>
    <w:rsid w:val="00F34B97"/>
    <w:rsid w:val="00F351A4"/>
    <w:rsid w:val="00F3542C"/>
    <w:rsid w:val="00F35883"/>
    <w:rsid w:val="00F35973"/>
    <w:rsid w:val="00F359A0"/>
    <w:rsid w:val="00F366A9"/>
    <w:rsid w:val="00F36B4F"/>
    <w:rsid w:val="00F40D77"/>
    <w:rsid w:val="00F40F3A"/>
    <w:rsid w:val="00F41132"/>
    <w:rsid w:val="00F41350"/>
    <w:rsid w:val="00F41958"/>
    <w:rsid w:val="00F420F4"/>
    <w:rsid w:val="00F43166"/>
    <w:rsid w:val="00F43A27"/>
    <w:rsid w:val="00F43FDD"/>
    <w:rsid w:val="00F4439D"/>
    <w:rsid w:val="00F44870"/>
    <w:rsid w:val="00F44991"/>
    <w:rsid w:val="00F44BA1"/>
    <w:rsid w:val="00F453D5"/>
    <w:rsid w:val="00F45770"/>
    <w:rsid w:val="00F45B38"/>
    <w:rsid w:val="00F46737"/>
    <w:rsid w:val="00F46755"/>
    <w:rsid w:val="00F47A4C"/>
    <w:rsid w:val="00F47D8D"/>
    <w:rsid w:val="00F50BCB"/>
    <w:rsid w:val="00F50D65"/>
    <w:rsid w:val="00F50EB5"/>
    <w:rsid w:val="00F50EED"/>
    <w:rsid w:val="00F511E4"/>
    <w:rsid w:val="00F51B8D"/>
    <w:rsid w:val="00F5340C"/>
    <w:rsid w:val="00F53933"/>
    <w:rsid w:val="00F5492E"/>
    <w:rsid w:val="00F55814"/>
    <w:rsid w:val="00F55A3B"/>
    <w:rsid w:val="00F55AC1"/>
    <w:rsid w:val="00F55BBD"/>
    <w:rsid w:val="00F5614A"/>
    <w:rsid w:val="00F56904"/>
    <w:rsid w:val="00F57209"/>
    <w:rsid w:val="00F5749B"/>
    <w:rsid w:val="00F60360"/>
    <w:rsid w:val="00F60470"/>
    <w:rsid w:val="00F6094B"/>
    <w:rsid w:val="00F609C2"/>
    <w:rsid w:val="00F60D4F"/>
    <w:rsid w:val="00F6128B"/>
    <w:rsid w:val="00F61552"/>
    <w:rsid w:val="00F61788"/>
    <w:rsid w:val="00F617FC"/>
    <w:rsid w:val="00F61AA8"/>
    <w:rsid w:val="00F62657"/>
    <w:rsid w:val="00F62BB3"/>
    <w:rsid w:val="00F62C25"/>
    <w:rsid w:val="00F6343D"/>
    <w:rsid w:val="00F63F6E"/>
    <w:rsid w:val="00F64EED"/>
    <w:rsid w:val="00F651A7"/>
    <w:rsid w:val="00F6520B"/>
    <w:rsid w:val="00F6564B"/>
    <w:rsid w:val="00F6649B"/>
    <w:rsid w:val="00F6686A"/>
    <w:rsid w:val="00F66D73"/>
    <w:rsid w:val="00F6748F"/>
    <w:rsid w:val="00F67A25"/>
    <w:rsid w:val="00F67B50"/>
    <w:rsid w:val="00F70310"/>
    <w:rsid w:val="00F709BF"/>
    <w:rsid w:val="00F70C18"/>
    <w:rsid w:val="00F70DE0"/>
    <w:rsid w:val="00F71708"/>
    <w:rsid w:val="00F71F19"/>
    <w:rsid w:val="00F71F9E"/>
    <w:rsid w:val="00F7247B"/>
    <w:rsid w:val="00F72898"/>
    <w:rsid w:val="00F728E0"/>
    <w:rsid w:val="00F72EFF"/>
    <w:rsid w:val="00F73181"/>
    <w:rsid w:val="00F7319C"/>
    <w:rsid w:val="00F733E6"/>
    <w:rsid w:val="00F736AC"/>
    <w:rsid w:val="00F737BA"/>
    <w:rsid w:val="00F73CEC"/>
    <w:rsid w:val="00F74C05"/>
    <w:rsid w:val="00F75D0F"/>
    <w:rsid w:val="00F7751A"/>
    <w:rsid w:val="00F775FD"/>
    <w:rsid w:val="00F80316"/>
    <w:rsid w:val="00F806DF"/>
    <w:rsid w:val="00F80F04"/>
    <w:rsid w:val="00F813C3"/>
    <w:rsid w:val="00F8142A"/>
    <w:rsid w:val="00F81CBE"/>
    <w:rsid w:val="00F81D32"/>
    <w:rsid w:val="00F82AF4"/>
    <w:rsid w:val="00F82FEF"/>
    <w:rsid w:val="00F835D9"/>
    <w:rsid w:val="00F83B5A"/>
    <w:rsid w:val="00F84550"/>
    <w:rsid w:val="00F84842"/>
    <w:rsid w:val="00F84A70"/>
    <w:rsid w:val="00F84A7C"/>
    <w:rsid w:val="00F84A80"/>
    <w:rsid w:val="00F850C3"/>
    <w:rsid w:val="00F85155"/>
    <w:rsid w:val="00F8544A"/>
    <w:rsid w:val="00F86C8D"/>
    <w:rsid w:val="00F90B2D"/>
    <w:rsid w:val="00F90BC2"/>
    <w:rsid w:val="00F9160F"/>
    <w:rsid w:val="00F91781"/>
    <w:rsid w:val="00F91D0F"/>
    <w:rsid w:val="00F92434"/>
    <w:rsid w:val="00F9348E"/>
    <w:rsid w:val="00F93540"/>
    <w:rsid w:val="00F93A1A"/>
    <w:rsid w:val="00F949C7"/>
    <w:rsid w:val="00F94AFA"/>
    <w:rsid w:val="00F94D04"/>
    <w:rsid w:val="00F9514C"/>
    <w:rsid w:val="00F96261"/>
    <w:rsid w:val="00F96397"/>
    <w:rsid w:val="00F96650"/>
    <w:rsid w:val="00F9794A"/>
    <w:rsid w:val="00FA0729"/>
    <w:rsid w:val="00FA0AB9"/>
    <w:rsid w:val="00FA0EC3"/>
    <w:rsid w:val="00FA2E97"/>
    <w:rsid w:val="00FA34F1"/>
    <w:rsid w:val="00FA40F6"/>
    <w:rsid w:val="00FA5405"/>
    <w:rsid w:val="00FA63A7"/>
    <w:rsid w:val="00FA6E50"/>
    <w:rsid w:val="00FA6EF5"/>
    <w:rsid w:val="00FA707B"/>
    <w:rsid w:val="00FA7FFC"/>
    <w:rsid w:val="00FB0374"/>
    <w:rsid w:val="00FB0AFF"/>
    <w:rsid w:val="00FB0CF2"/>
    <w:rsid w:val="00FB1F4A"/>
    <w:rsid w:val="00FB4553"/>
    <w:rsid w:val="00FB4ADD"/>
    <w:rsid w:val="00FB4E03"/>
    <w:rsid w:val="00FB5A22"/>
    <w:rsid w:val="00FB6674"/>
    <w:rsid w:val="00FB6698"/>
    <w:rsid w:val="00FB6B8B"/>
    <w:rsid w:val="00FB6E61"/>
    <w:rsid w:val="00FB794D"/>
    <w:rsid w:val="00FB7E9C"/>
    <w:rsid w:val="00FC09CA"/>
    <w:rsid w:val="00FC0A1B"/>
    <w:rsid w:val="00FC20BB"/>
    <w:rsid w:val="00FC2CC2"/>
    <w:rsid w:val="00FC346B"/>
    <w:rsid w:val="00FC36AF"/>
    <w:rsid w:val="00FC444C"/>
    <w:rsid w:val="00FC47CA"/>
    <w:rsid w:val="00FC5040"/>
    <w:rsid w:val="00FC5EFA"/>
    <w:rsid w:val="00FC60B8"/>
    <w:rsid w:val="00FC6500"/>
    <w:rsid w:val="00FC65D2"/>
    <w:rsid w:val="00FC730F"/>
    <w:rsid w:val="00FC7423"/>
    <w:rsid w:val="00FC7597"/>
    <w:rsid w:val="00FC7ABB"/>
    <w:rsid w:val="00FC7E09"/>
    <w:rsid w:val="00FD039B"/>
    <w:rsid w:val="00FD0AEE"/>
    <w:rsid w:val="00FD0DF6"/>
    <w:rsid w:val="00FD18B6"/>
    <w:rsid w:val="00FD1A28"/>
    <w:rsid w:val="00FD1A46"/>
    <w:rsid w:val="00FD1C69"/>
    <w:rsid w:val="00FD269F"/>
    <w:rsid w:val="00FD2ACB"/>
    <w:rsid w:val="00FD2E14"/>
    <w:rsid w:val="00FD2EA3"/>
    <w:rsid w:val="00FD3731"/>
    <w:rsid w:val="00FD3EA0"/>
    <w:rsid w:val="00FD41D6"/>
    <w:rsid w:val="00FD4330"/>
    <w:rsid w:val="00FD4CF3"/>
    <w:rsid w:val="00FD4DBD"/>
    <w:rsid w:val="00FD68C7"/>
    <w:rsid w:val="00FD6BBD"/>
    <w:rsid w:val="00FD7184"/>
    <w:rsid w:val="00FD722E"/>
    <w:rsid w:val="00FD7D1A"/>
    <w:rsid w:val="00FE0309"/>
    <w:rsid w:val="00FE0908"/>
    <w:rsid w:val="00FE0962"/>
    <w:rsid w:val="00FE181E"/>
    <w:rsid w:val="00FE2D3A"/>
    <w:rsid w:val="00FE3CC4"/>
    <w:rsid w:val="00FE439E"/>
    <w:rsid w:val="00FE546D"/>
    <w:rsid w:val="00FE641A"/>
    <w:rsid w:val="00FE6F16"/>
    <w:rsid w:val="00FE6F24"/>
    <w:rsid w:val="00FE7B94"/>
    <w:rsid w:val="00FF15AD"/>
    <w:rsid w:val="00FF1BB6"/>
    <w:rsid w:val="00FF1EFE"/>
    <w:rsid w:val="00FF25B0"/>
    <w:rsid w:val="00FF2ECF"/>
    <w:rsid w:val="00FF3ACD"/>
    <w:rsid w:val="00FF562D"/>
    <w:rsid w:val="00FF5A63"/>
    <w:rsid w:val="00FF5A83"/>
    <w:rsid w:val="00FF5DDB"/>
    <w:rsid w:val="00FF6298"/>
    <w:rsid w:val="00FF62C0"/>
    <w:rsid w:val="00FF6CCF"/>
    <w:rsid w:val="00FF7816"/>
    <w:rsid w:val="00FF7F7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5:docId w15:val="{259485F4-2D7A-477B-8C53-F57319EB3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1">
    <w:lsdException w:name="heading 2" w:uiPriority="9"/>
    <w:lsdException w:name="heading 3" w:uiPriority="9"/>
    <w:lsdException w:name="heading 5" w:uiPriority="9"/>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D61E8"/>
    <w:pPr>
      <w:spacing w:after="240"/>
    </w:pPr>
    <w:rPr>
      <w:rFonts w:ascii="Arial" w:hAnsi="Arial"/>
      <w:sz w:val="18"/>
    </w:rPr>
  </w:style>
  <w:style w:type="paragraph" w:styleId="Heading1">
    <w:name w:val="heading 1"/>
    <w:next w:val="Normal"/>
    <w:rsid w:val="003C6471"/>
    <w:pPr>
      <w:keepNext/>
      <w:spacing w:before="240" w:after="240" w:line="300" w:lineRule="auto"/>
      <w:outlineLvl w:val="0"/>
    </w:pPr>
    <w:rPr>
      <w:rFonts w:ascii="Arial" w:hAnsi="Arial" w:cs="Arial"/>
      <w:b/>
      <w:bCs/>
      <w:color w:val="000000"/>
      <w:kern w:val="28"/>
      <w:sz w:val="32"/>
      <w:szCs w:val="32"/>
    </w:rPr>
  </w:style>
  <w:style w:type="paragraph" w:styleId="Heading2">
    <w:name w:val="heading 2"/>
    <w:next w:val="Normal"/>
    <w:link w:val="Heading2Char"/>
    <w:uiPriority w:val="9"/>
    <w:rsid w:val="0003513C"/>
    <w:pPr>
      <w:keepNext/>
      <w:spacing w:before="360" w:after="240" w:line="300" w:lineRule="auto"/>
      <w:outlineLvl w:val="1"/>
    </w:pPr>
    <w:rPr>
      <w:rFonts w:ascii="Arial Bold" w:hAnsi="Arial Bold" w:cs="Arial"/>
      <w:b/>
      <w:bCs/>
      <w:iCs/>
      <w:color w:val="003974"/>
      <w:sz w:val="28"/>
      <w:szCs w:val="28"/>
    </w:rPr>
  </w:style>
  <w:style w:type="paragraph" w:styleId="Heading3">
    <w:name w:val="heading 3"/>
    <w:next w:val="Normal"/>
    <w:link w:val="Heading3Char"/>
    <w:uiPriority w:val="9"/>
    <w:rsid w:val="003C4B72"/>
    <w:pPr>
      <w:keepNext/>
      <w:spacing w:before="240" w:after="120" w:line="300" w:lineRule="auto"/>
      <w:outlineLvl w:val="2"/>
    </w:pPr>
    <w:rPr>
      <w:rFonts w:ascii="Arial Bold" w:hAnsi="Arial Bold"/>
      <w:b/>
      <w:sz w:val="24"/>
      <w:szCs w:val="24"/>
    </w:rPr>
  </w:style>
  <w:style w:type="paragraph" w:styleId="Heading4">
    <w:name w:val="heading 4"/>
    <w:next w:val="Normal"/>
    <w:rsid w:val="0028401B"/>
    <w:pPr>
      <w:spacing w:before="240" w:line="300" w:lineRule="auto"/>
      <w:outlineLvl w:val="3"/>
    </w:pPr>
    <w:rPr>
      <w:rFonts w:ascii="Arial" w:hAnsi="Arial"/>
      <w:caps/>
      <w:color w:val="5F5F5F"/>
      <w:szCs w:val="24"/>
    </w:rPr>
  </w:style>
  <w:style w:type="paragraph" w:styleId="Heading5">
    <w:name w:val="heading 5"/>
    <w:next w:val="Normal"/>
    <w:link w:val="Heading5Char"/>
    <w:uiPriority w:val="9"/>
    <w:rsid w:val="00793B2B"/>
    <w:pPr>
      <w:tabs>
        <w:tab w:val="left" w:pos="540"/>
      </w:tabs>
      <w:spacing w:line="300" w:lineRule="auto"/>
      <w:outlineLvl w:val="4"/>
    </w:pPr>
    <w:rPr>
      <w:rFonts w:ascii="Arial Bold" w:hAnsi="Arial Bold"/>
      <w:bCs/>
      <w:caps/>
      <w:color w:val="5F5F5F"/>
      <w:sz w:val="18"/>
      <w:szCs w:val="18"/>
    </w:rPr>
  </w:style>
  <w:style w:type="paragraph" w:styleId="Heading6">
    <w:name w:val="heading 6"/>
    <w:next w:val="Noetic-BodyText"/>
    <w:link w:val="Heading6Char"/>
    <w:autoRedefine/>
    <w:qFormat/>
    <w:rsid w:val="005F2B15"/>
    <w:pPr>
      <w:numPr>
        <w:numId w:val="18"/>
      </w:numPr>
      <w:tabs>
        <w:tab w:val="left" w:pos="1418"/>
      </w:tabs>
      <w:spacing w:before="240" w:after="240" w:line="300" w:lineRule="auto"/>
      <w:ind w:left="0" w:firstLine="0"/>
      <w:contextualSpacing/>
      <w:outlineLvl w:val="5"/>
    </w:pPr>
    <w:rPr>
      <w:rFonts w:ascii="Arial Bold" w:hAnsi="Arial Bold"/>
      <w:b/>
      <w:bCs/>
      <w:sz w:val="32"/>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etic-Tabletext">
    <w:name w:val="Noetic - Table text"/>
    <w:rsid w:val="00B16176"/>
    <w:pPr>
      <w:spacing w:line="360" w:lineRule="auto"/>
    </w:pPr>
    <w:rPr>
      <w:rFonts w:ascii="Arial" w:hAnsi="Arial"/>
      <w:sz w:val="18"/>
      <w:szCs w:val="18"/>
    </w:rPr>
  </w:style>
  <w:style w:type="paragraph" w:customStyle="1" w:styleId="Noetic-Documenttype">
    <w:name w:val="Noetic - Document type"/>
    <w:rsid w:val="00793B2B"/>
    <w:pPr>
      <w:spacing w:before="1200" w:after="1200" w:line="360" w:lineRule="auto"/>
      <w:contextualSpacing/>
    </w:pPr>
    <w:rPr>
      <w:rFonts w:ascii="Arial Bold" w:hAnsi="Arial Bold" w:cs="Arial"/>
      <w:b/>
      <w:bCs/>
      <w:caps/>
      <w:color w:val="FFFFFF"/>
      <w:spacing w:val="-10"/>
      <w:kern w:val="32"/>
      <w:sz w:val="32"/>
      <w:szCs w:val="32"/>
    </w:rPr>
  </w:style>
  <w:style w:type="paragraph" w:customStyle="1" w:styleId="Noetic-Introductionparagraph">
    <w:name w:val="Noetic - Introduction paragraph"/>
    <w:next w:val="Normal"/>
    <w:rsid w:val="00793B2B"/>
    <w:pPr>
      <w:spacing w:after="240" w:line="360" w:lineRule="auto"/>
    </w:pPr>
    <w:rPr>
      <w:rFonts w:ascii="Arial" w:hAnsi="Arial"/>
      <w:color w:val="5F5F5F"/>
      <w:sz w:val="24"/>
      <w:szCs w:val="24"/>
    </w:rPr>
  </w:style>
  <w:style w:type="paragraph" w:customStyle="1" w:styleId="Noetic-BodyText">
    <w:name w:val="Noetic - Body Text"/>
    <w:link w:val="Noetic-BodyTextCharChar"/>
    <w:rsid w:val="0075367B"/>
    <w:pPr>
      <w:spacing w:after="240" w:line="360" w:lineRule="auto"/>
    </w:pPr>
    <w:rPr>
      <w:rFonts w:ascii="Arial" w:hAnsi="Arial"/>
      <w:sz w:val="18"/>
      <w:szCs w:val="24"/>
    </w:rPr>
  </w:style>
  <w:style w:type="character" w:customStyle="1" w:styleId="Noetic-BodyTextCharChar">
    <w:name w:val="Noetic - Body Text Char Char"/>
    <w:link w:val="Noetic-BodyText"/>
    <w:rsid w:val="0075367B"/>
    <w:rPr>
      <w:rFonts w:ascii="Arial" w:hAnsi="Arial"/>
      <w:sz w:val="18"/>
      <w:szCs w:val="24"/>
      <w:lang w:val="en-AU" w:eastAsia="en-US" w:bidi="ar-SA"/>
    </w:rPr>
  </w:style>
  <w:style w:type="table" w:styleId="TableGrid">
    <w:name w:val="Table Grid"/>
    <w:aliases w:val="Noetic3"/>
    <w:basedOn w:val="TableNormal"/>
    <w:rsid w:val="00D94F6E"/>
    <w:rPr>
      <w:rFonts w:ascii="Arial" w:eastAsia="Arial" w:hAnsi="Arial" w:cs="Arial"/>
      <w:sz w:val="18"/>
      <w:szCs w:val="18"/>
    </w:rPr>
    <w:tblPr>
      <w:tblStyleRow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113" w:type="dxa"/>
        <w:left w:w="113" w:type="dxa"/>
        <w:right w:w="113" w:type="dxa"/>
      </w:tblCellMar>
    </w:tblPr>
    <w:tcPr>
      <w:shd w:val="clear" w:color="auto" w:fill="595959" w:themeFill="text1" w:themeFillTint="A6"/>
    </w:tcPr>
    <w:tblStylePr w:type="firstRow">
      <w:pPr>
        <w:jc w:val="left"/>
      </w:pPr>
      <w:rPr>
        <w:rFonts w:ascii="Arial" w:eastAsia="Arial" w:hAnsi="Arial" w:cs="Arial"/>
        <w:b/>
        <w:i w:val="0"/>
        <w:color w:val="FFFFFF" w:themeColor="background1"/>
        <w:sz w:val="18"/>
        <w:szCs w:val="18"/>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l2br w:val="nil"/>
          <w:tr2bl w:val="nil"/>
        </w:tcBorders>
        <w:shd w:val="clear" w:color="auto" w:fill="595959" w:themeFill="text1" w:themeFillTint="A6"/>
      </w:tcPr>
    </w:tblStylePr>
    <w:tblStylePr w:type="band1Horz">
      <w:rPr>
        <w:rFonts w:ascii="Arial" w:eastAsia="Arial" w:hAnsi="Arial" w:cs="Arial"/>
        <w:color w:val="000000" w:themeColor="text1"/>
        <w:sz w:val="18"/>
        <w:szCs w:val="18"/>
      </w:rPr>
      <w:tblPr/>
      <w:tcPr>
        <w:shd w:val="clear" w:color="auto" w:fill="F7E4C9"/>
      </w:tcPr>
    </w:tblStylePr>
    <w:tblStylePr w:type="band2Horz">
      <w:rPr>
        <w:rFonts w:ascii="Arial" w:eastAsia="Arial" w:hAnsi="Arial" w:cs="Arial"/>
        <w:sz w:val="18"/>
        <w:szCs w:val="18"/>
      </w:rPr>
      <w:tblPr/>
      <w:tcPr>
        <w:shd w:val="clear" w:color="auto" w:fill="FBF2E4"/>
      </w:tcPr>
    </w:tblStylePr>
  </w:style>
  <w:style w:type="paragraph" w:styleId="Footer">
    <w:name w:val="footer"/>
    <w:link w:val="FooterChar"/>
    <w:uiPriority w:val="99"/>
    <w:rsid w:val="0076081F"/>
    <w:pPr>
      <w:tabs>
        <w:tab w:val="right" w:pos="8505"/>
      </w:tabs>
    </w:pPr>
    <w:rPr>
      <w:rFonts w:ascii="Arial" w:hAnsi="Arial"/>
      <w:caps/>
      <w:sz w:val="14"/>
      <w:szCs w:val="14"/>
    </w:rPr>
  </w:style>
  <w:style w:type="paragraph" w:styleId="Header">
    <w:name w:val="header"/>
    <w:link w:val="HeaderChar"/>
    <w:uiPriority w:val="99"/>
    <w:rsid w:val="00470E9F"/>
    <w:rPr>
      <w:rFonts w:ascii="Arial" w:hAnsi="Arial"/>
      <w:caps/>
      <w:sz w:val="14"/>
      <w:szCs w:val="14"/>
    </w:rPr>
  </w:style>
  <w:style w:type="character" w:styleId="PageNumber">
    <w:name w:val="page number"/>
    <w:rsid w:val="00470E9F"/>
    <w:rPr>
      <w:rFonts w:ascii="Arial" w:hAnsi="Arial"/>
      <w:b/>
      <w:color w:val="000000"/>
      <w:sz w:val="22"/>
      <w:szCs w:val="22"/>
    </w:rPr>
  </w:style>
  <w:style w:type="paragraph" w:customStyle="1" w:styleId="Noetic-Listtext">
    <w:name w:val="Noetic - List  text"/>
    <w:basedOn w:val="Noetic-BodyText"/>
    <w:rsid w:val="00793B2B"/>
    <w:pPr>
      <w:contextualSpacing/>
    </w:pPr>
  </w:style>
  <w:style w:type="numbering" w:customStyle="1" w:styleId="Noetic-Numberedlist">
    <w:name w:val="Noetic - Numbered list"/>
    <w:basedOn w:val="NoList"/>
    <w:rsid w:val="00793B2B"/>
    <w:pPr>
      <w:numPr>
        <w:numId w:val="6"/>
      </w:numPr>
    </w:pPr>
  </w:style>
  <w:style w:type="numbering" w:customStyle="1" w:styleId="Noetic-Bulletedlist">
    <w:name w:val="Noetic - Bulleted list"/>
    <w:basedOn w:val="NoList"/>
    <w:rsid w:val="00793B2B"/>
    <w:pPr>
      <w:numPr>
        <w:numId w:val="2"/>
      </w:numPr>
    </w:pPr>
  </w:style>
  <w:style w:type="character" w:customStyle="1" w:styleId="Heading6Char">
    <w:name w:val="Heading 6 Char"/>
    <w:basedOn w:val="DefaultParagraphFont"/>
    <w:link w:val="Heading6"/>
    <w:rsid w:val="005F2B15"/>
    <w:rPr>
      <w:rFonts w:ascii="Arial Bold" w:hAnsi="Arial Bold"/>
      <w:b/>
      <w:bCs/>
      <w:sz w:val="32"/>
      <w:szCs w:val="18"/>
    </w:rPr>
  </w:style>
  <w:style w:type="numbering" w:customStyle="1" w:styleId="Noetic-Annexes">
    <w:name w:val="Noetic - Annexes"/>
    <w:basedOn w:val="NoList"/>
    <w:rsid w:val="00883144"/>
    <w:pPr>
      <w:numPr>
        <w:numId w:val="1"/>
      </w:numPr>
    </w:pPr>
  </w:style>
  <w:style w:type="numbering" w:customStyle="1" w:styleId="Noetic-Enclosures">
    <w:name w:val="Noetic - Enclosures"/>
    <w:basedOn w:val="NoList"/>
    <w:rsid w:val="00793B2B"/>
    <w:pPr>
      <w:numPr>
        <w:numId w:val="5"/>
      </w:numPr>
    </w:pPr>
  </w:style>
  <w:style w:type="paragraph" w:customStyle="1" w:styleId="Noetic-Columncomment">
    <w:name w:val="Noetic - Column comment"/>
    <w:rsid w:val="00793B2B"/>
    <w:pPr>
      <w:numPr>
        <w:numId w:val="3"/>
      </w:numPr>
      <w:spacing w:before="120" w:after="480"/>
    </w:pPr>
    <w:rPr>
      <w:rFonts w:ascii="Arial" w:hAnsi="Arial" w:cs="Arial"/>
      <w:bCs/>
      <w:i/>
      <w:iCs/>
      <w:color w:val="808080"/>
      <w:sz w:val="18"/>
      <w:szCs w:val="24"/>
    </w:rPr>
  </w:style>
  <w:style w:type="paragraph" w:customStyle="1" w:styleId="Noetic-Columnrecommendation">
    <w:name w:val="Noetic - Column recommendation"/>
    <w:basedOn w:val="Noetic-Columncomment"/>
    <w:rsid w:val="006045A5"/>
    <w:pPr>
      <w:numPr>
        <w:numId w:val="4"/>
      </w:numPr>
      <w:spacing w:before="240" w:after="240"/>
    </w:pPr>
    <w:rPr>
      <w:color w:val="595959" w:themeColor="text1" w:themeTint="A6"/>
      <w:lang w:val="en-US"/>
    </w:rPr>
  </w:style>
  <w:style w:type="numbering" w:customStyle="1" w:styleId="Noetic-Numberedonlylist">
    <w:name w:val="Noetic - Numbered only list"/>
    <w:basedOn w:val="NoList"/>
    <w:rsid w:val="00793B2B"/>
    <w:pPr>
      <w:numPr>
        <w:numId w:val="7"/>
      </w:numPr>
    </w:pPr>
  </w:style>
  <w:style w:type="numbering" w:customStyle="1" w:styleId="Noetic-References">
    <w:name w:val="Noetic - References"/>
    <w:basedOn w:val="NoList"/>
    <w:rsid w:val="00793B2B"/>
    <w:pPr>
      <w:numPr>
        <w:numId w:val="8"/>
      </w:numPr>
    </w:pPr>
  </w:style>
  <w:style w:type="paragraph" w:customStyle="1" w:styleId="Noetic-Addressstyle">
    <w:name w:val="Noetic - Address style"/>
    <w:basedOn w:val="Noetic-Listtext"/>
    <w:link w:val="Noetic-AddressstyleChar"/>
    <w:rsid w:val="00A21E4B"/>
    <w:pPr>
      <w:spacing w:line="300" w:lineRule="auto"/>
    </w:pPr>
  </w:style>
  <w:style w:type="character" w:styleId="Hyperlink">
    <w:name w:val="Hyperlink"/>
    <w:uiPriority w:val="99"/>
    <w:rsid w:val="0046161A"/>
    <w:rPr>
      <w:color w:val="0000FF"/>
      <w:u w:val="single"/>
    </w:rPr>
  </w:style>
  <w:style w:type="paragraph" w:styleId="FootnoteText">
    <w:name w:val="footnote text"/>
    <w:aliases w:val="NG - Footnote"/>
    <w:basedOn w:val="Normal"/>
    <w:link w:val="FootnoteTextChar"/>
    <w:autoRedefine/>
    <w:uiPriority w:val="99"/>
    <w:semiHidden/>
    <w:qFormat/>
    <w:rsid w:val="003B2B7E"/>
    <w:pPr>
      <w:tabs>
        <w:tab w:val="left" w:pos="567"/>
      </w:tabs>
      <w:spacing w:after="120"/>
      <w:ind w:left="567" w:hanging="567"/>
    </w:pPr>
    <w:rPr>
      <w:sz w:val="16"/>
      <w:szCs w:val="16"/>
    </w:rPr>
  </w:style>
  <w:style w:type="character" w:styleId="FootnoteReference">
    <w:name w:val="footnote reference"/>
    <w:uiPriority w:val="99"/>
    <w:semiHidden/>
    <w:rsid w:val="00456CCC"/>
    <w:rPr>
      <w:vertAlign w:val="superscript"/>
    </w:rPr>
  </w:style>
  <w:style w:type="paragraph" w:styleId="BalloonText">
    <w:name w:val="Balloon Text"/>
    <w:basedOn w:val="Normal"/>
    <w:link w:val="BalloonTextChar"/>
    <w:rsid w:val="004E45BB"/>
    <w:pPr>
      <w:spacing w:after="0"/>
    </w:pPr>
    <w:rPr>
      <w:rFonts w:ascii="Tahoma" w:hAnsi="Tahoma" w:cs="Tahoma"/>
      <w:sz w:val="16"/>
      <w:szCs w:val="16"/>
    </w:rPr>
  </w:style>
  <w:style w:type="character" w:customStyle="1" w:styleId="BalloonTextChar">
    <w:name w:val="Balloon Text Char"/>
    <w:link w:val="BalloonText"/>
    <w:rsid w:val="004E45BB"/>
    <w:rPr>
      <w:rFonts w:ascii="Tahoma" w:hAnsi="Tahoma" w:cs="Tahoma"/>
      <w:sz w:val="16"/>
      <w:szCs w:val="16"/>
      <w:lang w:val="en-AU"/>
    </w:rPr>
  </w:style>
  <w:style w:type="paragraph" w:customStyle="1" w:styleId="RefL1">
    <w:name w:val="Ref L1"/>
    <w:basedOn w:val="Noetic-Listtext"/>
    <w:link w:val="RefL1Char"/>
    <w:autoRedefine/>
    <w:qFormat/>
    <w:rsid w:val="0036100A"/>
    <w:pPr>
      <w:numPr>
        <w:numId w:val="10"/>
      </w:numPr>
      <w:spacing w:after="120"/>
      <w:ind w:left="357" w:hanging="357"/>
      <w:contextualSpacing w:val="0"/>
    </w:pPr>
    <w:rPr>
      <w:rFonts w:cs="Arial"/>
      <w:szCs w:val="18"/>
    </w:rPr>
  </w:style>
  <w:style w:type="character" w:customStyle="1" w:styleId="RefL1Char">
    <w:name w:val="Ref L1 Char"/>
    <w:basedOn w:val="DefaultParagraphFont"/>
    <w:link w:val="RefL1"/>
    <w:rsid w:val="0036100A"/>
    <w:rPr>
      <w:rFonts w:ascii="Arial" w:hAnsi="Arial" w:cs="Arial"/>
      <w:sz w:val="18"/>
      <w:szCs w:val="18"/>
    </w:rPr>
  </w:style>
  <w:style w:type="paragraph" w:customStyle="1" w:styleId="EnclL1">
    <w:name w:val="Encl L1"/>
    <w:basedOn w:val="Noetic-Listtext"/>
    <w:link w:val="EnclL1Char"/>
    <w:autoRedefine/>
    <w:qFormat/>
    <w:rsid w:val="0036100A"/>
    <w:pPr>
      <w:tabs>
        <w:tab w:val="num" w:pos="360"/>
      </w:tabs>
      <w:spacing w:after="120"/>
      <w:ind w:left="357" w:hanging="357"/>
      <w:contextualSpacing w:val="0"/>
    </w:pPr>
    <w:rPr>
      <w:rFonts w:cs="Arial"/>
      <w:szCs w:val="18"/>
    </w:rPr>
  </w:style>
  <w:style w:type="character" w:customStyle="1" w:styleId="EnclL1Char">
    <w:name w:val="Encl L1 Char"/>
    <w:basedOn w:val="DefaultParagraphFont"/>
    <w:link w:val="EnclL1"/>
    <w:rsid w:val="0036100A"/>
    <w:rPr>
      <w:rFonts w:ascii="Arial" w:hAnsi="Arial" w:cs="Arial"/>
      <w:sz w:val="18"/>
      <w:szCs w:val="18"/>
    </w:rPr>
  </w:style>
  <w:style w:type="paragraph" w:customStyle="1" w:styleId="Heading10">
    <w:name w:val="Heading1"/>
    <w:basedOn w:val="Normal"/>
    <w:next w:val="BodyText"/>
    <w:link w:val="Heading1Char"/>
    <w:qFormat/>
    <w:rsid w:val="0036100A"/>
    <w:pPr>
      <w:keepNext/>
      <w:spacing w:before="240" w:after="120" w:line="300" w:lineRule="auto"/>
      <w:outlineLvl w:val="0"/>
    </w:pPr>
    <w:rPr>
      <w:rFonts w:ascii="Arial Bold" w:hAnsi="Arial Bold" w:cs="Arial"/>
      <w:b/>
      <w:bCs/>
      <w:caps/>
      <w:color w:val="000000"/>
      <w:kern w:val="28"/>
      <w:sz w:val="32"/>
      <w:szCs w:val="32"/>
    </w:rPr>
  </w:style>
  <w:style w:type="character" w:customStyle="1" w:styleId="Heading1Char">
    <w:name w:val="Heading1 Char"/>
    <w:basedOn w:val="DefaultParagraphFont"/>
    <w:link w:val="Heading10"/>
    <w:rsid w:val="0036100A"/>
    <w:rPr>
      <w:rFonts w:ascii="Arial Bold" w:hAnsi="Arial Bold" w:cs="Arial"/>
      <w:b/>
      <w:bCs/>
      <w:caps/>
      <w:color w:val="000000"/>
      <w:kern w:val="28"/>
      <w:sz w:val="32"/>
      <w:szCs w:val="32"/>
    </w:rPr>
  </w:style>
  <w:style w:type="paragraph" w:customStyle="1" w:styleId="IntroPara">
    <w:name w:val="Intro Para"/>
    <w:basedOn w:val="Noetic-Introductionparagraph"/>
    <w:link w:val="IntroParaChar"/>
    <w:autoRedefine/>
    <w:qFormat/>
    <w:rsid w:val="0036100A"/>
    <w:pPr>
      <w:spacing w:before="120" w:after="120" w:line="300" w:lineRule="auto"/>
    </w:pPr>
  </w:style>
  <w:style w:type="character" w:customStyle="1" w:styleId="IntroParaChar">
    <w:name w:val="Intro Para Char"/>
    <w:basedOn w:val="DefaultParagraphFont"/>
    <w:link w:val="IntroPara"/>
    <w:rsid w:val="0036100A"/>
    <w:rPr>
      <w:rFonts w:ascii="Arial" w:hAnsi="Arial"/>
      <w:color w:val="5F5F5F"/>
      <w:sz w:val="24"/>
      <w:szCs w:val="24"/>
    </w:rPr>
  </w:style>
  <w:style w:type="paragraph" w:customStyle="1" w:styleId="Heading20">
    <w:name w:val="Heading2"/>
    <w:basedOn w:val="Heading2"/>
    <w:next w:val="BodyText"/>
    <w:link w:val="Heading2Char0"/>
    <w:autoRedefine/>
    <w:qFormat/>
    <w:rsid w:val="005A570C"/>
    <w:pPr>
      <w:spacing w:after="360"/>
    </w:pPr>
  </w:style>
  <w:style w:type="character" w:customStyle="1" w:styleId="Heading2Char0">
    <w:name w:val="Heading2 Char"/>
    <w:basedOn w:val="DefaultParagraphFont"/>
    <w:link w:val="Heading20"/>
    <w:rsid w:val="005A570C"/>
    <w:rPr>
      <w:rFonts w:ascii="Arial Bold" w:hAnsi="Arial Bold" w:cs="Arial"/>
      <w:b/>
      <w:bCs/>
      <w:iCs/>
      <w:color w:val="003974"/>
      <w:sz w:val="28"/>
      <w:szCs w:val="28"/>
    </w:rPr>
  </w:style>
  <w:style w:type="paragraph" w:customStyle="1" w:styleId="BodyText">
    <w:name w:val="BodyText"/>
    <w:basedOn w:val="FootBodyText"/>
    <w:next w:val="Normal"/>
    <w:link w:val="BodyTextChar"/>
    <w:qFormat/>
    <w:rsid w:val="0036100A"/>
    <w:pPr>
      <w:spacing w:line="360" w:lineRule="auto"/>
    </w:pPr>
    <w:rPr>
      <w:rFonts w:cs="Arial"/>
      <w:szCs w:val="18"/>
    </w:rPr>
  </w:style>
  <w:style w:type="character" w:customStyle="1" w:styleId="BodyTextChar">
    <w:name w:val="BodyText Char"/>
    <w:basedOn w:val="Noetic-BodyTextCharChar"/>
    <w:link w:val="BodyText"/>
    <w:rsid w:val="0036100A"/>
    <w:rPr>
      <w:rFonts w:ascii="Arial" w:hAnsi="Arial" w:cs="Arial"/>
      <w:sz w:val="18"/>
      <w:szCs w:val="18"/>
      <w:lang w:val="en-AU" w:eastAsia="en-US" w:bidi="ar-SA"/>
    </w:rPr>
  </w:style>
  <w:style w:type="paragraph" w:customStyle="1" w:styleId="Heading30">
    <w:name w:val="Heading3"/>
    <w:basedOn w:val="Heading3"/>
    <w:next w:val="BodyText"/>
    <w:link w:val="Heading3Char0"/>
    <w:autoRedefine/>
    <w:qFormat/>
    <w:rsid w:val="00A33CEB"/>
  </w:style>
  <w:style w:type="character" w:customStyle="1" w:styleId="Heading3Char0">
    <w:name w:val="Heading3 Char"/>
    <w:basedOn w:val="DefaultParagraphFont"/>
    <w:link w:val="Heading30"/>
    <w:rsid w:val="00A33CEB"/>
    <w:rPr>
      <w:rFonts w:ascii="Arial Bold" w:hAnsi="Arial Bold"/>
      <w:b/>
      <w:sz w:val="24"/>
      <w:szCs w:val="24"/>
    </w:rPr>
  </w:style>
  <w:style w:type="paragraph" w:customStyle="1" w:styleId="Heading50">
    <w:name w:val="Heading5"/>
    <w:basedOn w:val="Heading5"/>
    <w:next w:val="BodyText"/>
    <w:link w:val="Heading5Char0"/>
    <w:autoRedefine/>
    <w:qFormat/>
    <w:rsid w:val="0036100A"/>
    <w:pPr>
      <w:keepNext/>
      <w:spacing w:before="240" w:after="120"/>
    </w:pPr>
    <w:rPr>
      <w:rFonts w:ascii="Arial" w:hAnsi="Arial" w:cs="Arial"/>
    </w:rPr>
  </w:style>
  <w:style w:type="character" w:customStyle="1" w:styleId="Heading5Char0">
    <w:name w:val="Heading5 Char"/>
    <w:basedOn w:val="DefaultParagraphFont"/>
    <w:link w:val="Heading50"/>
    <w:rsid w:val="0036100A"/>
    <w:rPr>
      <w:rFonts w:ascii="Arial" w:hAnsi="Arial" w:cs="Arial"/>
      <w:bCs/>
      <w:caps/>
      <w:color w:val="5F5F5F"/>
      <w:sz w:val="18"/>
      <w:szCs w:val="18"/>
    </w:rPr>
  </w:style>
  <w:style w:type="paragraph" w:customStyle="1" w:styleId="Heading60">
    <w:name w:val="Heading6"/>
    <w:basedOn w:val="Heading6"/>
    <w:next w:val="BodyText"/>
    <w:link w:val="Heading6Char0"/>
    <w:autoRedefine/>
    <w:qFormat/>
    <w:rsid w:val="0036100A"/>
    <w:pPr>
      <w:keepNext/>
      <w:spacing w:after="120"/>
    </w:pPr>
    <w:rPr>
      <w:rFonts w:cs="Arial"/>
    </w:rPr>
  </w:style>
  <w:style w:type="character" w:customStyle="1" w:styleId="Heading6Char0">
    <w:name w:val="Heading6 Char"/>
    <w:basedOn w:val="Heading6Char"/>
    <w:link w:val="Heading60"/>
    <w:rsid w:val="0036100A"/>
    <w:rPr>
      <w:rFonts w:ascii="Arial Bold" w:hAnsi="Arial Bold" w:cs="Arial"/>
      <w:b/>
      <w:bCs/>
      <w:sz w:val="32"/>
      <w:szCs w:val="18"/>
    </w:rPr>
  </w:style>
  <w:style w:type="paragraph" w:customStyle="1" w:styleId="BulletedHeading">
    <w:name w:val="Bulleted Heading"/>
    <w:basedOn w:val="Heading6"/>
    <w:link w:val="BulletedHeadingChar"/>
    <w:autoRedefine/>
    <w:qFormat/>
    <w:rsid w:val="0036100A"/>
    <w:rPr>
      <w:rFonts w:ascii="Arial" w:hAnsi="Arial" w:cs="Arial"/>
    </w:rPr>
  </w:style>
  <w:style w:type="character" w:customStyle="1" w:styleId="BulletedHeadingChar">
    <w:name w:val="Bulleted Heading Char"/>
    <w:basedOn w:val="Heading6Char"/>
    <w:link w:val="BulletedHeading"/>
    <w:rsid w:val="0036100A"/>
    <w:rPr>
      <w:rFonts w:ascii="Arial" w:hAnsi="Arial" w:cs="Arial"/>
      <w:b/>
      <w:bCs/>
      <w:sz w:val="32"/>
      <w:szCs w:val="18"/>
    </w:rPr>
  </w:style>
  <w:style w:type="paragraph" w:customStyle="1" w:styleId="BulleteL1">
    <w:name w:val="Bullete L1"/>
    <w:basedOn w:val="Noetic-Listtext"/>
    <w:link w:val="BulleteL1Char"/>
    <w:autoRedefine/>
    <w:qFormat/>
    <w:rsid w:val="0036100A"/>
    <w:pPr>
      <w:numPr>
        <w:numId w:val="13"/>
      </w:numPr>
      <w:spacing w:after="120"/>
      <w:contextualSpacing w:val="0"/>
    </w:pPr>
    <w:rPr>
      <w:szCs w:val="18"/>
    </w:rPr>
  </w:style>
  <w:style w:type="character" w:customStyle="1" w:styleId="BulleteL1Char">
    <w:name w:val="Bullete L1 Char"/>
    <w:basedOn w:val="DefaultParagraphFont"/>
    <w:link w:val="BulleteL1"/>
    <w:rsid w:val="0036100A"/>
    <w:rPr>
      <w:rFonts w:ascii="Arial" w:hAnsi="Arial"/>
      <w:sz w:val="18"/>
      <w:szCs w:val="18"/>
    </w:rPr>
  </w:style>
  <w:style w:type="paragraph" w:customStyle="1" w:styleId="BulleteL2">
    <w:name w:val="Bullete L2"/>
    <w:basedOn w:val="Noetic-Listtext"/>
    <w:link w:val="BulleteL2Char"/>
    <w:autoRedefine/>
    <w:qFormat/>
    <w:rsid w:val="0036100A"/>
    <w:pPr>
      <w:numPr>
        <w:ilvl w:val="1"/>
        <w:numId w:val="13"/>
      </w:numPr>
      <w:spacing w:after="120"/>
      <w:contextualSpacing w:val="0"/>
    </w:pPr>
    <w:rPr>
      <w:rFonts w:cs="Arial"/>
      <w:szCs w:val="18"/>
    </w:rPr>
  </w:style>
  <w:style w:type="character" w:customStyle="1" w:styleId="BulleteL2Char">
    <w:name w:val="Bullete L2 Char"/>
    <w:basedOn w:val="DefaultParagraphFont"/>
    <w:link w:val="BulleteL2"/>
    <w:rsid w:val="0036100A"/>
    <w:rPr>
      <w:rFonts w:ascii="Arial" w:hAnsi="Arial" w:cs="Arial"/>
      <w:sz w:val="18"/>
      <w:szCs w:val="18"/>
    </w:rPr>
  </w:style>
  <w:style w:type="paragraph" w:customStyle="1" w:styleId="BulleteL3">
    <w:name w:val="Bullete L3"/>
    <w:basedOn w:val="Noetic-Listtext"/>
    <w:link w:val="BulleteL3Char"/>
    <w:autoRedefine/>
    <w:qFormat/>
    <w:rsid w:val="0036100A"/>
    <w:pPr>
      <w:numPr>
        <w:ilvl w:val="2"/>
        <w:numId w:val="13"/>
      </w:numPr>
      <w:spacing w:after="120"/>
      <w:contextualSpacing w:val="0"/>
    </w:pPr>
    <w:rPr>
      <w:rFonts w:cs="Arial"/>
      <w:szCs w:val="18"/>
    </w:rPr>
  </w:style>
  <w:style w:type="character" w:customStyle="1" w:styleId="BulleteL3Char">
    <w:name w:val="Bullete L3 Char"/>
    <w:basedOn w:val="DefaultParagraphFont"/>
    <w:link w:val="BulleteL3"/>
    <w:rsid w:val="0036100A"/>
    <w:rPr>
      <w:rFonts w:ascii="Arial" w:hAnsi="Arial" w:cs="Arial"/>
      <w:sz w:val="18"/>
      <w:szCs w:val="18"/>
    </w:rPr>
  </w:style>
  <w:style w:type="paragraph" w:customStyle="1" w:styleId="BulleteL4">
    <w:name w:val="Bullete L4"/>
    <w:basedOn w:val="Noetic-Listtext"/>
    <w:link w:val="BulleteL4Char"/>
    <w:autoRedefine/>
    <w:qFormat/>
    <w:rsid w:val="0036100A"/>
    <w:pPr>
      <w:numPr>
        <w:ilvl w:val="3"/>
        <w:numId w:val="8"/>
      </w:numPr>
      <w:spacing w:after="120"/>
      <w:ind w:hanging="363"/>
      <w:contextualSpacing w:val="0"/>
    </w:pPr>
    <w:rPr>
      <w:rFonts w:cs="Arial"/>
      <w:szCs w:val="18"/>
    </w:rPr>
  </w:style>
  <w:style w:type="character" w:customStyle="1" w:styleId="BulleteL4Char">
    <w:name w:val="Bullete L4 Char"/>
    <w:basedOn w:val="DefaultParagraphFont"/>
    <w:link w:val="BulleteL4"/>
    <w:rsid w:val="0036100A"/>
    <w:rPr>
      <w:rFonts w:ascii="Arial" w:hAnsi="Arial" w:cs="Arial"/>
      <w:sz w:val="18"/>
      <w:szCs w:val="18"/>
    </w:rPr>
  </w:style>
  <w:style w:type="paragraph" w:customStyle="1" w:styleId="NumberHead">
    <w:name w:val="Number Head"/>
    <w:basedOn w:val="Heading6"/>
    <w:link w:val="NumberHeadChar"/>
    <w:autoRedefine/>
    <w:qFormat/>
    <w:rsid w:val="0036100A"/>
    <w:rPr>
      <w:rFonts w:ascii="Arial" w:hAnsi="Arial" w:cs="Arial"/>
    </w:rPr>
  </w:style>
  <w:style w:type="character" w:customStyle="1" w:styleId="NumberHeadChar">
    <w:name w:val="Number Head Char"/>
    <w:basedOn w:val="Heading6Char"/>
    <w:link w:val="NumberHead"/>
    <w:rsid w:val="0036100A"/>
    <w:rPr>
      <w:rFonts w:ascii="Arial" w:hAnsi="Arial" w:cs="Arial"/>
      <w:b/>
      <w:bCs/>
      <w:sz w:val="32"/>
      <w:szCs w:val="18"/>
    </w:rPr>
  </w:style>
  <w:style w:type="paragraph" w:customStyle="1" w:styleId="NumberL1">
    <w:name w:val="Number L1"/>
    <w:basedOn w:val="Noetic-Listtext"/>
    <w:link w:val="NumberL1Char"/>
    <w:qFormat/>
    <w:rsid w:val="00A36899"/>
    <w:pPr>
      <w:numPr>
        <w:numId w:val="11"/>
      </w:numPr>
      <w:tabs>
        <w:tab w:val="clear" w:pos="360"/>
        <w:tab w:val="left" w:pos="567"/>
      </w:tabs>
      <w:spacing w:after="120"/>
      <w:ind w:left="567" w:hanging="567"/>
      <w:contextualSpacing w:val="0"/>
    </w:pPr>
    <w:rPr>
      <w:rFonts w:cs="Arial"/>
      <w:szCs w:val="18"/>
      <w:lang w:eastAsia="en-AU"/>
    </w:rPr>
  </w:style>
  <w:style w:type="character" w:customStyle="1" w:styleId="NumberL1Char">
    <w:name w:val="Number L1 Char"/>
    <w:basedOn w:val="DefaultParagraphFont"/>
    <w:link w:val="NumberL1"/>
    <w:rsid w:val="00A36899"/>
    <w:rPr>
      <w:rFonts w:ascii="Arial" w:hAnsi="Arial" w:cs="Arial"/>
      <w:sz w:val="18"/>
      <w:szCs w:val="18"/>
      <w:lang w:eastAsia="en-AU"/>
    </w:rPr>
  </w:style>
  <w:style w:type="paragraph" w:customStyle="1" w:styleId="NumberL2">
    <w:name w:val="Number L2"/>
    <w:basedOn w:val="Noetic-Listtext"/>
    <w:link w:val="NumberL2Char"/>
    <w:qFormat/>
    <w:rsid w:val="00A36899"/>
    <w:pPr>
      <w:numPr>
        <w:ilvl w:val="1"/>
        <w:numId w:val="11"/>
      </w:numPr>
      <w:spacing w:after="120"/>
      <w:contextualSpacing w:val="0"/>
    </w:pPr>
    <w:rPr>
      <w:rFonts w:cs="Arial"/>
      <w:szCs w:val="18"/>
    </w:rPr>
  </w:style>
  <w:style w:type="character" w:customStyle="1" w:styleId="NumberL2Char">
    <w:name w:val="Number L2 Char"/>
    <w:basedOn w:val="DefaultParagraphFont"/>
    <w:link w:val="NumberL2"/>
    <w:rsid w:val="00A36899"/>
    <w:rPr>
      <w:rFonts w:ascii="Arial" w:hAnsi="Arial" w:cs="Arial"/>
      <w:sz w:val="18"/>
      <w:szCs w:val="18"/>
    </w:rPr>
  </w:style>
  <w:style w:type="paragraph" w:customStyle="1" w:styleId="NumberL3">
    <w:name w:val="Number L3"/>
    <w:basedOn w:val="Noetic-Listtext"/>
    <w:link w:val="NumberL3Char"/>
    <w:qFormat/>
    <w:rsid w:val="00DD61E8"/>
    <w:pPr>
      <w:numPr>
        <w:ilvl w:val="2"/>
        <w:numId w:val="14"/>
      </w:numPr>
      <w:tabs>
        <w:tab w:val="clear" w:pos="1080"/>
        <w:tab w:val="left" w:pos="1701"/>
      </w:tabs>
      <w:spacing w:after="120"/>
      <w:ind w:left="1701" w:hanging="567"/>
      <w:contextualSpacing w:val="0"/>
    </w:pPr>
    <w:rPr>
      <w:rFonts w:cs="Arial"/>
      <w:szCs w:val="18"/>
    </w:rPr>
  </w:style>
  <w:style w:type="character" w:customStyle="1" w:styleId="NumberL3Char">
    <w:name w:val="Number L3 Char"/>
    <w:basedOn w:val="DefaultParagraphFont"/>
    <w:link w:val="NumberL3"/>
    <w:rsid w:val="00DD61E8"/>
    <w:rPr>
      <w:rFonts w:ascii="Arial" w:hAnsi="Arial" w:cs="Arial"/>
      <w:sz w:val="18"/>
      <w:szCs w:val="18"/>
    </w:rPr>
  </w:style>
  <w:style w:type="paragraph" w:customStyle="1" w:styleId="NumberL4">
    <w:name w:val="Number L4"/>
    <w:basedOn w:val="Noetic-Listtext"/>
    <w:link w:val="NumberL4Char"/>
    <w:autoRedefine/>
    <w:qFormat/>
    <w:rsid w:val="0036100A"/>
    <w:pPr>
      <w:numPr>
        <w:ilvl w:val="3"/>
        <w:numId w:val="14"/>
      </w:numPr>
      <w:spacing w:after="120"/>
      <w:contextualSpacing w:val="0"/>
    </w:pPr>
    <w:rPr>
      <w:rFonts w:cs="Arial"/>
      <w:szCs w:val="18"/>
    </w:rPr>
  </w:style>
  <w:style w:type="character" w:customStyle="1" w:styleId="NumberL4Char">
    <w:name w:val="Number L4 Char"/>
    <w:basedOn w:val="DefaultParagraphFont"/>
    <w:link w:val="NumberL4"/>
    <w:rsid w:val="0036100A"/>
    <w:rPr>
      <w:rFonts w:ascii="Arial" w:hAnsi="Arial" w:cs="Arial"/>
      <w:sz w:val="18"/>
      <w:szCs w:val="18"/>
    </w:rPr>
  </w:style>
  <w:style w:type="paragraph" w:customStyle="1" w:styleId="NumberL5">
    <w:name w:val="Number L5"/>
    <w:basedOn w:val="Noetic-Listtext"/>
    <w:link w:val="NumberL5Char"/>
    <w:autoRedefine/>
    <w:qFormat/>
    <w:rsid w:val="0036100A"/>
    <w:pPr>
      <w:numPr>
        <w:ilvl w:val="4"/>
        <w:numId w:val="9"/>
      </w:numPr>
      <w:spacing w:after="0"/>
    </w:pPr>
    <w:rPr>
      <w:rFonts w:cs="Arial"/>
      <w:szCs w:val="18"/>
    </w:rPr>
  </w:style>
  <w:style w:type="character" w:customStyle="1" w:styleId="NumberL5Char">
    <w:name w:val="Number L5 Char"/>
    <w:basedOn w:val="DefaultParagraphFont"/>
    <w:link w:val="NumberL5"/>
    <w:rsid w:val="0036100A"/>
    <w:rPr>
      <w:rFonts w:ascii="Arial" w:hAnsi="Arial" w:cs="Arial"/>
      <w:sz w:val="18"/>
      <w:szCs w:val="18"/>
    </w:rPr>
  </w:style>
  <w:style w:type="paragraph" w:customStyle="1" w:styleId="RefHead">
    <w:name w:val="Ref Head"/>
    <w:basedOn w:val="Heading6"/>
    <w:link w:val="RefHeadChar"/>
    <w:autoRedefine/>
    <w:qFormat/>
    <w:rsid w:val="0036100A"/>
    <w:rPr>
      <w:rFonts w:cs="Arial"/>
    </w:rPr>
  </w:style>
  <w:style w:type="character" w:customStyle="1" w:styleId="RefHeadChar">
    <w:name w:val="Ref Head Char"/>
    <w:basedOn w:val="Heading6Char"/>
    <w:link w:val="RefHead"/>
    <w:rsid w:val="0036100A"/>
    <w:rPr>
      <w:rFonts w:ascii="Arial Bold" w:hAnsi="Arial Bold" w:cs="Arial"/>
      <w:b/>
      <w:bCs/>
      <w:sz w:val="32"/>
      <w:szCs w:val="18"/>
    </w:rPr>
  </w:style>
  <w:style w:type="paragraph" w:customStyle="1" w:styleId="AnnexHead">
    <w:name w:val="Annex Head"/>
    <w:basedOn w:val="Heading6"/>
    <w:link w:val="AnnexHeadChar"/>
    <w:autoRedefine/>
    <w:qFormat/>
    <w:rsid w:val="0036100A"/>
    <w:rPr>
      <w:rFonts w:cs="Arial"/>
    </w:rPr>
  </w:style>
  <w:style w:type="character" w:customStyle="1" w:styleId="AnnexHeadChar">
    <w:name w:val="Annex Head Char"/>
    <w:basedOn w:val="Heading6Char"/>
    <w:link w:val="AnnexHead"/>
    <w:rsid w:val="0036100A"/>
    <w:rPr>
      <w:rFonts w:ascii="Arial Bold" w:hAnsi="Arial Bold" w:cs="Arial"/>
      <w:b/>
      <w:bCs/>
      <w:sz w:val="32"/>
      <w:szCs w:val="18"/>
    </w:rPr>
  </w:style>
  <w:style w:type="paragraph" w:customStyle="1" w:styleId="AnnexL1">
    <w:name w:val="Annex L1"/>
    <w:basedOn w:val="Noetic-Listtext"/>
    <w:link w:val="AnnexL1Char"/>
    <w:autoRedefine/>
    <w:qFormat/>
    <w:rsid w:val="0036100A"/>
    <w:pPr>
      <w:tabs>
        <w:tab w:val="num" w:pos="360"/>
      </w:tabs>
      <w:spacing w:after="120"/>
      <w:ind w:left="357" w:hanging="357"/>
      <w:contextualSpacing w:val="0"/>
    </w:pPr>
    <w:rPr>
      <w:szCs w:val="18"/>
    </w:rPr>
  </w:style>
  <w:style w:type="character" w:customStyle="1" w:styleId="AnnexL1Char">
    <w:name w:val="Annex L1 Char"/>
    <w:basedOn w:val="DefaultParagraphFont"/>
    <w:link w:val="AnnexL1"/>
    <w:rsid w:val="0036100A"/>
    <w:rPr>
      <w:rFonts w:ascii="Arial" w:hAnsi="Arial"/>
      <w:sz w:val="18"/>
      <w:szCs w:val="18"/>
    </w:rPr>
  </w:style>
  <w:style w:type="paragraph" w:customStyle="1" w:styleId="EnclHead">
    <w:name w:val="Encl Head"/>
    <w:basedOn w:val="Heading6"/>
    <w:link w:val="EnclHeadChar"/>
    <w:autoRedefine/>
    <w:qFormat/>
    <w:rsid w:val="0036100A"/>
    <w:rPr>
      <w:rFonts w:cs="Arial"/>
    </w:rPr>
  </w:style>
  <w:style w:type="character" w:customStyle="1" w:styleId="EnclHeadChar">
    <w:name w:val="Encl Head Char"/>
    <w:basedOn w:val="Heading6Char"/>
    <w:link w:val="EnclHead"/>
    <w:rsid w:val="0036100A"/>
    <w:rPr>
      <w:rFonts w:ascii="Arial Bold" w:hAnsi="Arial Bold" w:cs="Arial"/>
      <w:b/>
      <w:bCs/>
      <w:sz w:val="32"/>
      <w:szCs w:val="18"/>
    </w:rPr>
  </w:style>
  <w:style w:type="paragraph" w:customStyle="1" w:styleId="NG-T-HLine">
    <w:name w:val="NG - T-HLine"/>
    <w:basedOn w:val="Normal"/>
    <w:link w:val="NG-T-HLineChar"/>
    <w:qFormat/>
    <w:rsid w:val="0036100A"/>
    <w:pPr>
      <w:spacing w:after="120"/>
      <w:contextualSpacing/>
    </w:pPr>
    <w:rPr>
      <w:bCs/>
      <w:i/>
      <w:szCs w:val="18"/>
    </w:rPr>
  </w:style>
  <w:style w:type="character" w:customStyle="1" w:styleId="NG-T-HLineChar">
    <w:name w:val="NG - T-HLine Char"/>
    <w:basedOn w:val="DefaultParagraphFont"/>
    <w:link w:val="NG-T-HLine"/>
    <w:rsid w:val="0036100A"/>
    <w:rPr>
      <w:rFonts w:ascii="Arial" w:hAnsi="Arial"/>
      <w:bCs/>
      <w:i/>
      <w:sz w:val="18"/>
      <w:szCs w:val="18"/>
    </w:rPr>
  </w:style>
  <w:style w:type="paragraph" w:customStyle="1" w:styleId="NG-RText">
    <w:name w:val="NG - RText"/>
    <w:basedOn w:val="Normal"/>
    <w:link w:val="NG-RTextChar"/>
    <w:qFormat/>
    <w:rsid w:val="0036100A"/>
    <w:pPr>
      <w:spacing w:line="300" w:lineRule="auto"/>
    </w:pPr>
    <w:rPr>
      <w:sz w:val="20"/>
    </w:rPr>
  </w:style>
  <w:style w:type="character" w:customStyle="1" w:styleId="NG-RTextChar">
    <w:name w:val="NG - RText Char"/>
    <w:basedOn w:val="DefaultParagraphFont"/>
    <w:link w:val="NG-RText"/>
    <w:rsid w:val="0036100A"/>
    <w:rPr>
      <w:rFonts w:ascii="Arial" w:hAnsi="Arial"/>
    </w:rPr>
  </w:style>
  <w:style w:type="paragraph" w:customStyle="1" w:styleId="ColCommts">
    <w:name w:val="Col Commts"/>
    <w:basedOn w:val="Noetic-Columncomment"/>
    <w:link w:val="ColCommtsChar"/>
    <w:autoRedefine/>
    <w:qFormat/>
    <w:rsid w:val="0036100A"/>
    <w:pPr>
      <w:numPr>
        <w:numId w:val="0"/>
      </w:numPr>
      <w:spacing w:before="0" w:after="0" w:line="360" w:lineRule="auto"/>
    </w:pPr>
    <w:rPr>
      <w:szCs w:val="18"/>
    </w:rPr>
  </w:style>
  <w:style w:type="character" w:customStyle="1" w:styleId="ColCommtsChar">
    <w:name w:val="Col Commts Char"/>
    <w:basedOn w:val="DefaultParagraphFont"/>
    <w:link w:val="ColCommts"/>
    <w:rsid w:val="0036100A"/>
    <w:rPr>
      <w:rFonts w:ascii="Arial" w:hAnsi="Arial" w:cs="Arial"/>
      <w:bCs/>
      <w:i/>
      <w:iCs/>
      <w:color w:val="808080"/>
      <w:sz w:val="18"/>
      <w:szCs w:val="18"/>
    </w:rPr>
  </w:style>
  <w:style w:type="paragraph" w:customStyle="1" w:styleId="FootBodyText">
    <w:name w:val="Foot Body Text"/>
    <w:basedOn w:val="Noetic-BodyText"/>
    <w:link w:val="FootBodyTextChar"/>
    <w:autoRedefine/>
    <w:qFormat/>
    <w:rsid w:val="0036100A"/>
    <w:pPr>
      <w:spacing w:line="300" w:lineRule="auto"/>
    </w:pPr>
  </w:style>
  <w:style w:type="character" w:customStyle="1" w:styleId="FootBodyTextChar">
    <w:name w:val="Foot Body Text Char"/>
    <w:basedOn w:val="Noetic-BodyTextCharChar"/>
    <w:link w:val="FootBodyText"/>
    <w:rsid w:val="0036100A"/>
    <w:rPr>
      <w:rFonts w:ascii="Arial" w:hAnsi="Arial"/>
      <w:sz w:val="18"/>
      <w:szCs w:val="24"/>
      <w:lang w:val="en-AU" w:eastAsia="en-US" w:bidi="ar-SA"/>
    </w:rPr>
  </w:style>
  <w:style w:type="paragraph" w:customStyle="1" w:styleId="Header1">
    <w:name w:val="Header1"/>
    <w:basedOn w:val="Header"/>
    <w:link w:val="Header1Char"/>
    <w:autoRedefine/>
    <w:qFormat/>
    <w:rsid w:val="0036100A"/>
    <w:pPr>
      <w:jc w:val="center"/>
    </w:pPr>
    <w:rPr>
      <w:sz w:val="16"/>
      <w:szCs w:val="16"/>
    </w:rPr>
  </w:style>
  <w:style w:type="character" w:customStyle="1" w:styleId="Header1Char">
    <w:name w:val="Header1 Char"/>
    <w:basedOn w:val="DefaultParagraphFont"/>
    <w:link w:val="Header1"/>
    <w:rsid w:val="0036100A"/>
    <w:rPr>
      <w:rFonts w:ascii="Arial" w:hAnsi="Arial"/>
      <w:caps/>
      <w:sz w:val="16"/>
      <w:szCs w:val="16"/>
    </w:rPr>
  </w:style>
  <w:style w:type="paragraph" w:customStyle="1" w:styleId="Header2">
    <w:name w:val="Header2"/>
    <w:basedOn w:val="Header"/>
    <w:link w:val="Header2Char"/>
    <w:qFormat/>
    <w:rsid w:val="0036100A"/>
    <w:rPr>
      <w:sz w:val="16"/>
      <w:szCs w:val="16"/>
    </w:rPr>
  </w:style>
  <w:style w:type="character" w:customStyle="1" w:styleId="Header2Char">
    <w:name w:val="Header2 Char"/>
    <w:basedOn w:val="DefaultParagraphFont"/>
    <w:link w:val="Header2"/>
    <w:rsid w:val="0036100A"/>
    <w:rPr>
      <w:rFonts w:ascii="Arial" w:hAnsi="Arial"/>
      <w:caps/>
      <w:sz w:val="16"/>
      <w:szCs w:val="16"/>
    </w:rPr>
  </w:style>
  <w:style w:type="paragraph" w:customStyle="1" w:styleId="Footer1">
    <w:name w:val="Footer1"/>
    <w:basedOn w:val="Footer"/>
    <w:link w:val="Footer1Char"/>
    <w:autoRedefine/>
    <w:qFormat/>
    <w:rsid w:val="0036100A"/>
    <w:pPr>
      <w:jc w:val="center"/>
    </w:pPr>
    <w:rPr>
      <w:sz w:val="16"/>
    </w:rPr>
  </w:style>
  <w:style w:type="character" w:customStyle="1" w:styleId="Footer1Char">
    <w:name w:val="Footer1 Char"/>
    <w:basedOn w:val="FooterChar"/>
    <w:link w:val="Footer1"/>
    <w:rsid w:val="0036100A"/>
    <w:rPr>
      <w:rFonts w:ascii="Arial" w:hAnsi="Arial"/>
      <w:caps/>
      <w:sz w:val="16"/>
      <w:szCs w:val="14"/>
      <w:lang w:eastAsia="en-US"/>
    </w:rPr>
  </w:style>
  <w:style w:type="paragraph" w:customStyle="1" w:styleId="Footer2">
    <w:name w:val="Footer2"/>
    <w:basedOn w:val="Footer"/>
    <w:link w:val="Footer2Char"/>
    <w:autoRedefine/>
    <w:qFormat/>
    <w:rsid w:val="0036100A"/>
    <w:rPr>
      <w:sz w:val="16"/>
      <w:szCs w:val="16"/>
    </w:rPr>
  </w:style>
  <w:style w:type="character" w:customStyle="1" w:styleId="Footer2Char">
    <w:name w:val="Footer2 Char"/>
    <w:basedOn w:val="FooterChar"/>
    <w:link w:val="Footer2"/>
    <w:rsid w:val="0036100A"/>
    <w:rPr>
      <w:rFonts w:ascii="Arial" w:hAnsi="Arial"/>
      <w:caps/>
      <w:sz w:val="16"/>
      <w:szCs w:val="16"/>
      <w:lang w:eastAsia="en-US"/>
    </w:rPr>
  </w:style>
  <w:style w:type="paragraph" w:customStyle="1" w:styleId="BannerTitle">
    <w:name w:val="Banner Title"/>
    <w:basedOn w:val="Noetic-Documenttype"/>
    <w:link w:val="BannerTitleChar"/>
    <w:autoRedefine/>
    <w:qFormat/>
    <w:rsid w:val="0036100A"/>
    <w:pPr>
      <w:keepNext/>
      <w:spacing w:after="720"/>
    </w:pPr>
  </w:style>
  <w:style w:type="character" w:customStyle="1" w:styleId="BannerTitleChar">
    <w:name w:val="Banner Title Char"/>
    <w:basedOn w:val="DefaultParagraphFont"/>
    <w:link w:val="BannerTitle"/>
    <w:rsid w:val="0036100A"/>
    <w:rPr>
      <w:rFonts w:ascii="Arial Bold" w:hAnsi="Arial Bold" w:cs="Arial"/>
      <w:b/>
      <w:bCs/>
      <w:caps/>
      <w:color w:val="FFFFFF"/>
      <w:spacing w:val="-10"/>
      <w:kern w:val="32"/>
      <w:sz w:val="32"/>
      <w:szCs w:val="32"/>
    </w:rPr>
  </w:style>
  <w:style w:type="paragraph" w:customStyle="1" w:styleId="FigCaption">
    <w:name w:val="Fig Caption"/>
    <w:basedOn w:val="Normal"/>
    <w:link w:val="FigCaptionChar"/>
    <w:autoRedefine/>
    <w:qFormat/>
    <w:rsid w:val="00A33CEB"/>
    <w:pPr>
      <w:spacing w:before="240"/>
      <w:jc w:val="center"/>
    </w:pPr>
    <w:rPr>
      <w:b/>
    </w:rPr>
  </w:style>
  <w:style w:type="character" w:customStyle="1" w:styleId="FigCaptionChar">
    <w:name w:val="Fig Caption Char"/>
    <w:basedOn w:val="NG-T-HLineChar"/>
    <w:link w:val="FigCaption"/>
    <w:rsid w:val="00A33CEB"/>
    <w:rPr>
      <w:rFonts w:ascii="Arial" w:hAnsi="Arial"/>
      <w:b/>
      <w:bCs w:val="0"/>
      <w:i w:val="0"/>
      <w:sz w:val="18"/>
      <w:szCs w:val="18"/>
    </w:rPr>
  </w:style>
  <w:style w:type="paragraph" w:customStyle="1" w:styleId="RecommExec">
    <w:name w:val="Recomm Exec"/>
    <w:basedOn w:val="NG-RText"/>
    <w:link w:val="RecommExecChar"/>
    <w:qFormat/>
    <w:rsid w:val="006A5002"/>
    <w:pPr>
      <w:numPr>
        <w:numId w:val="15"/>
      </w:numPr>
      <w:pBdr>
        <w:top w:val="single" w:sz="18" w:space="4" w:color="F79646" w:themeColor="accent6"/>
        <w:left w:val="single" w:sz="18" w:space="4" w:color="F79646" w:themeColor="accent6"/>
        <w:bottom w:val="single" w:sz="18" w:space="4" w:color="F79646" w:themeColor="accent6"/>
        <w:right w:val="single" w:sz="18" w:space="4" w:color="F79646" w:themeColor="accent6"/>
      </w:pBdr>
      <w:tabs>
        <w:tab w:val="left" w:pos="1985"/>
      </w:tabs>
      <w:spacing w:after="120" w:line="360" w:lineRule="auto"/>
      <w:ind w:left="1985" w:hanging="1985"/>
    </w:pPr>
    <w:rPr>
      <w:sz w:val="18"/>
      <w:szCs w:val="18"/>
    </w:rPr>
  </w:style>
  <w:style w:type="character" w:customStyle="1" w:styleId="RecommExecChar">
    <w:name w:val="Recomm Exec Char"/>
    <w:basedOn w:val="NG-RTextChar"/>
    <w:link w:val="RecommExec"/>
    <w:rsid w:val="006A5002"/>
    <w:rPr>
      <w:rFonts w:ascii="Arial" w:hAnsi="Arial"/>
      <w:sz w:val="18"/>
      <w:szCs w:val="18"/>
    </w:rPr>
  </w:style>
  <w:style w:type="paragraph" w:customStyle="1" w:styleId="ClientName-LetterHead">
    <w:name w:val="Client Name - Letter Head"/>
    <w:basedOn w:val="Noetic-Addressstyle"/>
    <w:link w:val="ClientName-LetterHeadChar"/>
    <w:qFormat/>
    <w:rsid w:val="0036100A"/>
    <w:pPr>
      <w:spacing w:after="0"/>
    </w:pPr>
    <w:rPr>
      <w:b/>
    </w:rPr>
  </w:style>
  <w:style w:type="character" w:customStyle="1" w:styleId="ClientName-LetterHeadChar">
    <w:name w:val="Client Name - Letter Head Char"/>
    <w:basedOn w:val="Noetic-AddressstyleChar"/>
    <w:link w:val="ClientName-LetterHead"/>
    <w:rsid w:val="0036100A"/>
    <w:rPr>
      <w:rFonts w:ascii="Arial" w:hAnsi="Arial"/>
      <w:b/>
      <w:sz w:val="18"/>
      <w:szCs w:val="24"/>
      <w:lang w:eastAsia="en-US"/>
    </w:rPr>
  </w:style>
  <w:style w:type="paragraph" w:customStyle="1" w:styleId="ClientAddressonLetterHead">
    <w:name w:val="Client Address on Letter Head"/>
    <w:basedOn w:val="Noetic-Addressstyle"/>
    <w:link w:val="ClientAddressonLetterHeadChar"/>
    <w:qFormat/>
    <w:rsid w:val="0036100A"/>
  </w:style>
  <w:style w:type="character" w:customStyle="1" w:styleId="ClientAddressonLetterHeadChar">
    <w:name w:val="Client Address on Letter Head Char"/>
    <w:basedOn w:val="Noetic-AddressstyleChar"/>
    <w:link w:val="ClientAddressonLetterHead"/>
    <w:rsid w:val="0036100A"/>
    <w:rPr>
      <w:rFonts w:ascii="Arial" w:hAnsi="Arial"/>
      <w:sz w:val="18"/>
      <w:szCs w:val="24"/>
      <w:lang w:eastAsia="en-US"/>
    </w:rPr>
  </w:style>
  <w:style w:type="paragraph" w:customStyle="1" w:styleId="SignatureBlock-Name">
    <w:name w:val="Signature Block - Name"/>
    <w:basedOn w:val="Heading6"/>
    <w:link w:val="SignatureBlock-NameChar"/>
    <w:qFormat/>
    <w:rsid w:val="0036100A"/>
    <w:rPr>
      <w:rFonts w:cs="Arial"/>
    </w:rPr>
  </w:style>
  <w:style w:type="character" w:customStyle="1" w:styleId="SignatureBlock-NameChar">
    <w:name w:val="Signature Block - Name Char"/>
    <w:basedOn w:val="Heading6Char"/>
    <w:link w:val="SignatureBlock-Name"/>
    <w:rsid w:val="0036100A"/>
    <w:rPr>
      <w:rFonts w:ascii="Arial Bold" w:hAnsi="Arial Bold" w:cs="Arial"/>
      <w:b/>
      <w:bCs/>
      <w:sz w:val="32"/>
      <w:szCs w:val="18"/>
    </w:rPr>
  </w:style>
  <w:style w:type="paragraph" w:customStyle="1" w:styleId="SignatureBlock-Details">
    <w:name w:val="Signature Block - Details"/>
    <w:basedOn w:val="Noetic-BodyText"/>
    <w:link w:val="SignatureBlock-DetailsChar"/>
    <w:qFormat/>
    <w:rsid w:val="0036100A"/>
    <w:rPr>
      <w:rFonts w:cs="Arial"/>
    </w:rPr>
  </w:style>
  <w:style w:type="character" w:customStyle="1" w:styleId="SignatureBlock-DetailsChar">
    <w:name w:val="Signature Block - Details Char"/>
    <w:basedOn w:val="Noetic-BodyTextCharChar"/>
    <w:link w:val="SignatureBlock-Details"/>
    <w:rsid w:val="0036100A"/>
    <w:rPr>
      <w:rFonts w:ascii="Arial" w:hAnsi="Arial" w:cs="Arial"/>
      <w:sz w:val="18"/>
      <w:szCs w:val="24"/>
      <w:lang w:val="en-AU" w:eastAsia="en-US" w:bidi="ar-SA"/>
    </w:rPr>
  </w:style>
  <w:style w:type="paragraph" w:customStyle="1" w:styleId="Footnumber">
    <w:name w:val="Foot number"/>
    <w:basedOn w:val="Footnotes"/>
    <w:link w:val="FootnumberChar"/>
    <w:qFormat/>
    <w:rsid w:val="0036100A"/>
    <w:rPr>
      <w:sz w:val="18"/>
      <w:szCs w:val="18"/>
      <w:vertAlign w:val="superscript"/>
    </w:rPr>
  </w:style>
  <w:style w:type="character" w:customStyle="1" w:styleId="FootnumberChar">
    <w:name w:val="Foot number Char"/>
    <w:basedOn w:val="FootnoteTextChar"/>
    <w:link w:val="Footnumber"/>
    <w:rsid w:val="0036100A"/>
    <w:rPr>
      <w:rFonts w:ascii="Arial" w:hAnsi="Arial"/>
      <w:sz w:val="18"/>
      <w:szCs w:val="18"/>
      <w:vertAlign w:val="superscript"/>
    </w:rPr>
  </w:style>
  <w:style w:type="paragraph" w:customStyle="1" w:styleId="Footnotes">
    <w:name w:val="Footnotes"/>
    <w:basedOn w:val="FootnoteText"/>
    <w:link w:val="FootnotesChar"/>
    <w:qFormat/>
    <w:rsid w:val="0036100A"/>
  </w:style>
  <w:style w:type="character" w:customStyle="1" w:styleId="FootnotesChar">
    <w:name w:val="Footnotes Char"/>
    <w:basedOn w:val="FootnoteTextChar"/>
    <w:link w:val="Footnotes"/>
    <w:rsid w:val="0036100A"/>
    <w:rPr>
      <w:rFonts w:ascii="Arial" w:hAnsi="Arial"/>
      <w:sz w:val="16"/>
      <w:szCs w:val="16"/>
    </w:rPr>
  </w:style>
  <w:style w:type="paragraph" w:customStyle="1" w:styleId="Heading40">
    <w:name w:val="Heading4"/>
    <w:basedOn w:val="Heading4"/>
    <w:next w:val="BodyText"/>
    <w:link w:val="Heading4Char"/>
    <w:qFormat/>
    <w:rsid w:val="00A33CEB"/>
  </w:style>
  <w:style w:type="character" w:customStyle="1" w:styleId="Heading4Char">
    <w:name w:val="Heading4 Char"/>
    <w:basedOn w:val="DefaultParagraphFont"/>
    <w:link w:val="Heading40"/>
    <w:rsid w:val="00A33CEB"/>
    <w:rPr>
      <w:rFonts w:ascii="Arial" w:hAnsi="Arial"/>
      <w:caps/>
      <w:color w:val="5F5F5F"/>
      <w:szCs w:val="24"/>
    </w:rPr>
  </w:style>
  <w:style w:type="paragraph" w:customStyle="1" w:styleId="TableCaption">
    <w:name w:val="Table Caption"/>
    <w:basedOn w:val="FigCaption"/>
    <w:link w:val="TableCaptionChar"/>
    <w:qFormat/>
    <w:rsid w:val="0036100A"/>
    <w:pPr>
      <w:keepNext/>
      <w:spacing w:before="120" w:after="120"/>
      <w:jc w:val="left"/>
    </w:pPr>
  </w:style>
  <w:style w:type="character" w:customStyle="1" w:styleId="TableCaptionChar">
    <w:name w:val="Table Caption Char"/>
    <w:basedOn w:val="FigCaptionChar"/>
    <w:link w:val="TableCaption"/>
    <w:rsid w:val="0036100A"/>
    <w:rPr>
      <w:rFonts w:ascii="Arial" w:hAnsi="Arial"/>
      <w:b/>
      <w:bCs w:val="0"/>
      <w:i w:val="0"/>
      <w:sz w:val="18"/>
      <w:szCs w:val="18"/>
    </w:rPr>
  </w:style>
  <w:style w:type="paragraph" w:customStyle="1" w:styleId="BTextAfterTable">
    <w:name w:val="BTextAfterTable"/>
    <w:basedOn w:val="Normal"/>
    <w:link w:val="BTextAfterTableChar"/>
    <w:qFormat/>
    <w:rsid w:val="0036100A"/>
    <w:pPr>
      <w:spacing w:before="240"/>
    </w:pPr>
  </w:style>
  <w:style w:type="character" w:customStyle="1" w:styleId="BTextAfterTableChar">
    <w:name w:val="BTextAfterTable Char"/>
    <w:basedOn w:val="DefaultParagraphFont"/>
    <w:link w:val="BTextAfterTable"/>
    <w:rsid w:val="0036100A"/>
    <w:rPr>
      <w:rFonts w:ascii="Arial" w:hAnsi="Arial"/>
      <w:sz w:val="18"/>
      <w:szCs w:val="17"/>
    </w:rPr>
  </w:style>
  <w:style w:type="character" w:customStyle="1" w:styleId="FootnoteTextChar">
    <w:name w:val="Footnote Text Char"/>
    <w:aliases w:val="NG - Footnote Char"/>
    <w:basedOn w:val="DefaultParagraphFont"/>
    <w:link w:val="FootnoteText"/>
    <w:uiPriority w:val="99"/>
    <w:semiHidden/>
    <w:rsid w:val="003B2B7E"/>
    <w:rPr>
      <w:rFonts w:ascii="Arial" w:hAnsi="Arial"/>
      <w:sz w:val="16"/>
      <w:szCs w:val="16"/>
    </w:rPr>
  </w:style>
  <w:style w:type="character" w:customStyle="1" w:styleId="Noetic-AddressstyleChar">
    <w:name w:val="Noetic - Address style Char"/>
    <w:link w:val="Noetic-Addressstyle"/>
    <w:rsid w:val="00A2762E"/>
    <w:rPr>
      <w:rFonts w:ascii="Arial" w:hAnsi="Arial"/>
      <w:sz w:val="18"/>
      <w:szCs w:val="24"/>
      <w:lang w:eastAsia="en-US"/>
    </w:rPr>
  </w:style>
  <w:style w:type="character" w:customStyle="1" w:styleId="Noetic-Bold">
    <w:name w:val="Noetic - Bold"/>
    <w:basedOn w:val="DefaultParagraphFont"/>
    <w:rsid w:val="00A757A8"/>
    <w:rPr>
      <w:b/>
    </w:rPr>
  </w:style>
  <w:style w:type="character" w:customStyle="1" w:styleId="FooterChar">
    <w:name w:val="Footer Char"/>
    <w:basedOn w:val="DefaultParagraphFont"/>
    <w:link w:val="Footer"/>
    <w:uiPriority w:val="99"/>
    <w:rsid w:val="0076081F"/>
    <w:rPr>
      <w:rFonts w:ascii="Arial" w:hAnsi="Arial"/>
      <w:caps/>
      <w:sz w:val="14"/>
      <w:szCs w:val="14"/>
    </w:rPr>
  </w:style>
  <w:style w:type="paragraph" w:styleId="TOC2">
    <w:name w:val="toc 2"/>
    <w:next w:val="TOC3"/>
    <w:autoRedefine/>
    <w:uiPriority w:val="39"/>
    <w:rsid w:val="003C6471"/>
    <w:pPr>
      <w:tabs>
        <w:tab w:val="right" w:leader="dot" w:pos="8505"/>
      </w:tabs>
      <w:spacing w:before="60" w:after="60"/>
      <w:ind w:right="284"/>
    </w:pPr>
    <w:rPr>
      <w:rFonts w:ascii="Arial" w:hAnsi="Arial"/>
      <w:sz w:val="18"/>
      <w:szCs w:val="17"/>
    </w:rPr>
  </w:style>
  <w:style w:type="paragraph" w:styleId="TOC1">
    <w:name w:val="toc 1"/>
    <w:next w:val="TOC2"/>
    <w:autoRedefine/>
    <w:uiPriority w:val="39"/>
    <w:rsid w:val="00EC3634"/>
    <w:pPr>
      <w:tabs>
        <w:tab w:val="left" w:pos="1134"/>
        <w:tab w:val="right" w:leader="dot" w:pos="8494"/>
      </w:tabs>
      <w:spacing w:before="120" w:after="60"/>
      <w:ind w:right="284"/>
    </w:pPr>
    <w:rPr>
      <w:rFonts w:ascii="Arial Bold" w:hAnsi="Arial Bold"/>
      <w:b/>
      <w:caps/>
      <w:noProof/>
      <w:color w:val="244061" w:themeColor="accent1" w:themeShade="80"/>
    </w:rPr>
  </w:style>
  <w:style w:type="paragraph" w:customStyle="1" w:styleId="BTextAfterTable0">
    <w:name w:val="BText After Table"/>
    <w:basedOn w:val="Normal"/>
    <w:link w:val="BTextAfterTableChar0"/>
    <w:rsid w:val="00A757A8"/>
    <w:pPr>
      <w:spacing w:before="240"/>
    </w:pPr>
  </w:style>
  <w:style w:type="character" w:customStyle="1" w:styleId="BTextAfterTableChar0">
    <w:name w:val="BText After Table Char"/>
    <w:basedOn w:val="DefaultParagraphFont"/>
    <w:link w:val="BTextAfterTable0"/>
    <w:rsid w:val="00A757A8"/>
    <w:rPr>
      <w:rFonts w:ascii="Arial" w:hAnsi="Arial"/>
      <w:sz w:val="18"/>
      <w:szCs w:val="17"/>
      <w:lang w:eastAsia="en-US"/>
    </w:rPr>
  </w:style>
  <w:style w:type="paragraph" w:styleId="TOC3">
    <w:name w:val="toc 3"/>
    <w:basedOn w:val="Normal"/>
    <w:next w:val="Normal"/>
    <w:autoRedefine/>
    <w:uiPriority w:val="39"/>
    <w:rsid w:val="003C6471"/>
    <w:pPr>
      <w:tabs>
        <w:tab w:val="right" w:leader="dot" w:pos="8505"/>
      </w:tabs>
      <w:spacing w:before="60" w:after="60"/>
      <w:ind w:left="425" w:right="284"/>
    </w:pPr>
  </w:style>
  <w:style w:type="paragraph" w:styleId="ListParagraph">
    <w:name w:val="List Paragraph"/>
    <w:basedOn w:val="Normal"/>
    <w:uiPriority w:val="34"/>
    <w:qFormat/>
    <w:rsid w:val="00825D54"/>
    <w:pPr>
      <w:ind w:left="720"/>
      <w:contextualSpacing/>
    </w:pPr>
  </w:style>
  <w:style w:type="character" w:styleId="CommentReference">
    <w:name w:val="annotation reference"/>
    <w:basedOn w:val="DefaultParagraphFont"/>
    <w:semiHidden/>
    <w:unhideWhenUsed/>
    <w:rsid w:val="007066D4"/>
    <w:rPr>
      <w:sz w:val="16"/>
      <w:szCs w:val="16"/>
    </w:rPr>
  </w:style>
  <w:style w:type="paragraph" w:styleId="CommentText">
    <w:name w:val="annotation text"/>
    <w:basedOn w:val="Normal"/>
    <w:link w:val="CommentTextChar"/>
    <w:semiHidden/>
    <w:unhideWhenUsed/>
    <w:rsid w:val="007066D4"/>
    <w:rPr>
      <w:sz w:val="20"/>
    </w:rPr>
  </w:style>
  <w:style w:type="character" w:customStyle="1" w:styleId="CommentTextChar">
    <w:name w:val="Comment Text Char"/>
    <w:basedOn w:val="DefaultParagraphFont"/>
    <w:link w:val="CommentText"/>
    <w:semiHidden/>
    <w:rsid w:val="007066D4"/>
    <w:rPr>
      <w:rFonts w:ascii="Arial" w:hAnsi="Arial"/>
    </w:rPr>
  </w:style>
  <w:style w:type="paragraph" w:styleId="CommentSubject">
    <w:name w:val="annotation subject"/>
    <w:basedOn w:val="CommentText"/>
    <w:next w:val="CommentText"/>
    <w:link w:val="CommentSubjectChar"/>
    <w:semiHidden/>
    <w:unhideWhenUsed/>
    <w:rsid w:val="007066D4"/>
    <w:rPr>
      <w:b/>
      <w:bCs/>
    </w:rPr>
  </w:style>
  <w:style w:type="character" w:customStyle="1" w:styleId="CommentSubjectChar">
    <w:name w:val="Comment Subject Char"/>
    <w:basedOn w:val="CommentTextChar"/>
    <w:link w:val="CommentSubject"/>
    <w:semiHidden/>
    <w:rsid w:val="007066D4"/>
    <w:rPr>
      <w:rFonts w:ascii="Arial" w:hAnsi="Arial"/>
      <w:b/>
      <w:bCs/>
    </w:rPr>
  </w:style>
  <w:style w:type="paragraph" w:styleId="Revision">
    <w:name w:val="Revision"/>
    <w:hidden/>
    <w:uiPriority w:val="99"/>
    <w:semiHidden/>
    <w:rsid w:val="00455873"/>
    <w:rPr>
      <w:rFonts w:ascii="Arial" w:hAnsi="Arial"/>
      <w:sz w:val="18"/>
      <w:szCs w:val="17"/>
    </w:rPr>
  </w:style>
  <w:style w:type="character" w:customStyle="1" w:styleId="Hyperlink1">
    <w:name w:val="Hyperlink1"/>
    <w:basedOn w:val="DefaultParagraphFont"/>
    <w:uiPriority w:val="99"/>
    <w:unhideWhenUsed/>
    <w:rsid w:val="000B2FFF"/>
    <w:rPr>
      <w:color w:val="0563C1"/>
      <w:u w:val="single"/>
    </w:rPr>
  </w:style>
  <w:style w:type="paragraph" w:customStyle="1" w:styleId="FootnoteText1">
    <w:name w:val="Footnote Text1"/>
    <w:basedOn w:val="Normal"/>
    <w:next w:val="FootnoteText"/>
    <w:uiPriority w:val="99"/>
    <w:semiHidden/>
    <w:unhideWhenUsed/>
    <w:rsid w:val="000B2FFF"/>
    <w:pPr>
      <w:spacing w:after="0"/>
    </w:pPr>
    <w:rPr>
      <w:rFonts w:asciiTheme="minorHAnsi" w:eastAsiaTheme="minorHAnsi" w:hAnsiTheme="minorHAnsi" w:cstheme="minorBidi"/>
      <w:sz w:val="20"/>
    </w:rPr>
  </w:style>
  <w:style w:type="paragraph" w:styleId="EndnoteText">
    <w:name w:val="endnote text"/>
    <w:basedOn w:val="Normal"/>
    <w:link w:val="EndnoteTextChar"/>
    <w:semiHidden/>
    <w:unhideWhenUsed/>
    <w:rsid w:val="00837034"/>
    <w:pPr>
      <w:spacing w:after="0"/>
    </w:pPr>
    <w:rPr>
      <w:sz w:val="20"/>
    </w:rPr>
  </w:style>
  <w:style w:type="character" w:customStyle="1" w:styleId="EndnoteTextChar">
    <w:name w:val="Endnote Text Char"/>
    <w:basedOn w:val="DefaultParagraphFont"/>
    <w:link w:val="EndnoteText"/>
    <w:semiHidden/>
    <w:rsid w:val="00837034"/>
    <w:rPr>
      <w:rFonts w:ascii="Arial" w:hAnsi="Arial"/>
    </w:rPr>
  </w:style>
  <w:style w:type="character" w:styleId="EndnoteReference">
    <w:name w:val="endnote reference"/>
    <w:basedOn w:val="DefaultParagraphFont"/>
    <w:semiHidden/>
    <w:unhideWhenUsed/>
    <w:rsid w:val="00837034"/>
    <w:rPr>
      <w:vertAlign w:val="superscript"/>
    </w:rPr>
  </w:style>
  <w:style w:type="character" w:styleId="FollowedHyperlink">
    <w:name w:val="FollowedHyperlink"/>
    <w:basedOn w:val="DefaultParagraphFont"/>
    <w:semiHidden/>
    <w:unhideWhenUsed/>
    <w:rsid w:val="00B6412B"/>
    <w:rPr>
      <w:color w:val="800080" w:themeColor="followedHyperlink"/>
      <w:u w:val="single"/>
    </w:rPr>
  </w:style>
  <w:style w:type="paragraph" w:customStyle="1" w:styleId="RecommBody">
    <w:name w:val="Recomm Body"/>
    <w:basedOn w:val="RecommExec"/>
    <w:rsid w:val="00DD53AF"/>
    <w:pPr>
      <w:keepLines/>
      <w:numPr>
        <w:numId w:val="16"/>
      </w:numPr>
      <w:ind w:left="1985" w:hanging="1985"/>
    </w:pPr>
  </w:style>
  <w:style w:type="paragraph" w:customStyle="1" w:styleId="StyleNoetic-ColumnrecommendationBefore12ptAfter12pt">
    <w:name w:val="Style Noetic - Column recommendation + Before:  12 pt After:  12 pt"/>
    <w:basedOn w:val="Noetic-Columnrecommendation"/>
    <w:rsid w:val="00A36899"/>
    <w:pPr>
      <w:tabs>
        <w:tab w:val="clear" w:pos="425"/>
        <w:tab w:val="left" w:pos="567"/>
      </w:tabs>
      <w:ind w:left="567" w:hanging="567"/>
    </w:pPr>
    <w:rPr>
      <w:rFonts w:cs="Times New Roman"/>
      <w:bCs w:val="0"/>
      <w:szCs w:val="20"/>
    </w:rPr>
  </w:style>
  <w:style w:type="paragraph" w:customStyle="1" w:styleId="StyleNoetic-BodyTextBoxSinglesolidlineAuto05ptL">
    <w:name w:val="Style Noetic - Body Text + Box: (Single solid line Auto  0.5 pt L..."/>
    <w:basedOn w:val="Noetic-BodyText"/>
    <w:rsid w:val="004D22F4"/>
    <w:pPr>
      <w:pBdr>
        <w:top w:val="single" w:sz="4" w:space="4" w:color="auto"/>
        <w:left w:val="single" w:sz="4" w:space="4" w:color="auto"/>
        <w:bottom w:val="single" w:sz="4" w:space="4" w:color="auto"/>
        <w:right w:val="single" w:sz="4" w:space="4" w:color="auto"/>
      </w:pBdr>
      <w:shd w:val="clear" w:color="auto" w:fill="CCCCCC"/>
    </w:pPr>
    <w:rPr>
      <w:szCs w:val="20"/>
    </w:rPr>
  </w:style>
  <w:style w:type="paragraph" w:customStyle="1" w:styleId="Recomm">
    <w:name w:val="Recomm"/>
    <w:basedOn w:val="NG-RText"/>
    <w:link w:val="RecommChar"/>
    <w:autoRedefine/>
    <w:qFormat/>
    <w:rsid w:val="0028401B"/>
    <w:pPr>
      <w:pBdr>
        <w:top w:val="single" w:sz="18" w:space="1" w:color="F79646" w:themeColor="accent6"/>
        <w:left w:val="single" w:sz="18" w:space="4" w:color="F79646" w:themeColor="accent6"/>
        <w:bottom w:val="single" w:sz="18" w:space="1" w:color="F79646" w:themeColor="accent6"/>
        <w:right w:val="single" w:sz="18" w:space="4" w:color="F79646" w:themeColor="accent6"/>
      </w:pBdr>
      <w:spacing w:line="360" w:lineRule="auto"/>
    </w:pPr>
    <w:rPr>
      <w:sz w:val="18"/>
      <w:szCs w:val="18"/>
    </w:rPr>
  </w:style>
  <w:style w:type="character" w:customStyle="1" w:styleId="RecommChar">
    <w:name w:val="Recomm Char"/>
    <w:basedOn w:val="NG-RTextChar"/>
    <w:link w:val="Recomm"/>
    <w:rsid w:val="0028401B"/>
    <w:rPr>
      <w:rFonts w:ascii="Arial" w:hAnsi="Arial"/>
      <w:sz w:val="18"/>
      <w:szCs w:val="18"/>
    </w:rPr>
  </w:style>
  <w:style w:type="character" w:customStyle="1" w:styleId="Heading2Char">
    <w:name w:val="Heading 2 Char"/>
    <w:basedOn w:val="DefaultParagraphFont"/>
    <w:link w:val="Heading2"/>
    <w:uiPriority w:val="9"/>
    <w:rsid w:val="0003513C"/>
    <w:rPr>
      <w:rFonts w:ascii="Arial Bold" w:hAnsi="Arial Bold" w:cs="Arial"/>
      <w:b/>
      <w:bCs/>
      <w:iCs/>
      <w:color w:val="003974"/>
      <w:sz w:val="28"/>
      <w:szCs w:val="28"/>
    </w:rPr>
  </w:style>
  <w:style w:type="character" w:customStyle="1" w:styleId="Heading3Char">
    <w:name w:val="Heading 3 Char"/>
    <w:basedOn w:val="DefaultParagraphFont"/>
    <w:link w:val="Heading3"/>
    <w:uiPriority w:val="9"/>
    <w:rsid w:val="003C4B72"/>
    <w:rPr>
      <w:rFonts w:ascii="Arial Bold" w:hAnsi="Arial Bold"/>
      <w:b/>
      <w:sz w:val="24"/>
      <w:szCs w:val="24"/>
    </w:rPr>
  </w:style>
  <w:style w:type="character" w:customStyle="1" w:styleId="Heading5Char">
    <w:name w:val="Heading 5 Char"/>
    <w:basedOn w:val="DefaultParagraphFont"/>
    <w:link w:val="Heading5"/>
    <w:uiPriority w:val="9"/>
    <w:rsid w:val="001501F3"/>
    <w:rPr>
      <w:rFonts w:ascii="Arial Bold" w:hAnsi="Arial Bold"/>
      <w:bCs/>
      <w:caps/>
      <w:color w:val="5F5F5F"/>
      <w:sz w:val="18"/>
      <w:szCs w:val="18"/>
    </w:rPr>
  </w:style>
  <w:style w:type="character" w:customStyle="1" w:styleId="HeaderChar">
    <w:name w:val="Header Char"/>
    <w:basedOn w:val="DefaultParagraphFont"/>
    <w:link w:val="Header"/>
    <w:uiPriority w:val="99"/>
    <w:rsid w:val="001501F3"/>
    <w:rPr>
      <w:rFonts w:ascii="Arial" w:hAnsi="Arial"/>
      <w:caps/>
      <w:sz w:val="14"/>
      <w:szCs w:val="14"/>
    </w:rPr>
  </w:style>
  <w:style w:type="paragraph" w:styleId="TOC4">
    <w:name w:val="toc 4"/>
    <w:basedOn w:val="Normal"/>
    <w:next w:val="Normal"/>
    <w:autoRedefine/>
    <w:uiPriority w:val="39"/>
    <w:unhideWhenUsed/>
    <w:rsid w:val="003C6471"/>
    <w:pPr>
      <w:tabs>
        <w:tab w:val="right" w:leader="dot" w:pos="8505"/>
      </w:tabs>
      <w:spacing w:before="60" w:after="60"/>
      <w:ind w:left="851" w:right="284"/>
    </w:pPr>
  </w:style>
  <w:style w:type="paragraph" w:customStyle="1" w:styleId="Numberlist1">
    <w:name w:val="Numberlist 1"/>
    <w:basedOn w:val="ListParagraph"/>
    <w:qFormat/>
    <w:rsid w:val="00F55814"/>
    <w:pPr>
      <w:numPr>
        <w:numId w:val="19"/>
      </w:numPr>
      <w:spacing w:before="120" w:after="120"/>
      <w:ind w:left="284" w:hanging="284"/>
      <w:contextualSpacing w:val="0"/>
    </w:pPr>
    <w:rPr>
      <w:rFonts w:asciiTheme="minorHAnsi" w:eastAsiaTheme="minorHAnsi" w:hAnsiTheme="minorHAnsi" w:cstheme="minorBidi"/>
      <w:sz w:val="22"/>
      <w:szCs w:val="22"/>
    </w:rPr>
  </w:style>
  <w:style w:type="paragraph" w:customStyle="1" w:styleId="Numberlist2">
    <w:name w:val="Numberlist 2"/>
    <w:basedOn w:val="Numberlist1"/>
    <w:qFormat/>
    <w:rsid w:val="00F55814"/>
    <w:pPr>
      <w:numPr>
        <w:ilvl w:val="1"/>
      </w:numPr>
      <w:ind w:left="568" w:hanging="284"/>
    </w:pPr>
  </w:style>
  <w:style w:type="paragraph" w:customStyle="1" w:styleId="TextBoxCaption">
    <w:name w:val="Text Box Caption"/>
    <w:basedOn w:val="Normal"/>
    <w:link w:val="TextBoxCaptionChar"/>
    <w:qFormat/>
    <w:rsid w:val="00E42D56"/>
    <w:pPr>
      <w:pageBreakBefore/>
      <w:spacing w:before="240" w:after="120"/>
      <w:jc w:val="center"/>
    </w:pPr>
    <w:rPr>
      <w:b/>
    </w:rPr>
  </w:style>
  <w:style w:type="character" w:customStyle="1" w:styleId="TextBoxCaptionChar">
    <w:name w:val="Text Box Caption Char"/>
    <w:basedOn w:val="DefaultParagraphFont"/>
    <w:link w:val="TextBoxCaption"/>
    <w:rsid w:val="00E42D56"/>
    <w:rPr>
      <w:rFonts w:ascii="Arial" w:hAnsi="Arial"/>
      <w:b/>
      <w:sz w:val="18"/>
    </w:rPr>
  </w:style>
  <w:style w:type="paragraph" w:customStyle="1" w:styleId="SignitureBlock-Details">
    <w:name w:val="Signiture Block - Details"/>
    <w:basedOn w:val="Noetic-BodyText"/>
    <w:link w:val="SignitureBlock-DetailsChar"/>
    <w:qFormat/>
    <w:rsid w:val="00326935"/>
    <w:rPr>
      <w:rFonts w:cs="Arial"/>
      <w:szCs w:val="18"/>
      <w:lang w:eastAsia="zh-CN"/>
    </w:rPr>
  </w:style>
  <w:style w:type="character" w:customStyle="1" w:styleId="SignitureBlock-DetailsChar">
    <w:name w:val="Signiture Block - Details Char"/>
    <w:link w:val="SignitureBlock-Details"/>
    <w:rsid w:val="00326935"/>
    <w:rPr>
      <w:rFonts w:ascii="Arial" w:hAnsi="Arial" w:cs="Arial"/>
      <w:sz w:val="18"/>
      <w:szCs w:val="18"/>
      <w:lang w:eastAsia="zh-CN"/>
    </w:rPr>
  </w:style>
  <w:style w:type="paragraph" w:styleId="TOCHeading">
    <w:name w:val="TOC Heading"/>
    <w:basedOn w:val="Heading1"/>
    <w:next w:val="Normal"/>
    <w:uiPriority w:val="39"/>
    <w:semiHidden/>
    <w:unhideWhenUsed/>
    <w:qFormat/>
    <w:rsid w:val="003717F6"/>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4972758">
      <w:bodyDiv w:val="1"/>
      <w:marLeft w:val="0"/>
      <w:marRight w:val="0"/>
      <w:marTop w:val="0"/>
      <w:marBottom w:val="0"/>
      <w:divBdr>
        <w:top w:val="none" w:sz="0" w:space="0" w:color="auto"/>
        <w:left w:val="none" w:sz="0" w:space="0" w:color="auto"/>
        <w:bottom w:val="none" w:sz="0" w:space="0" w:color="auto"/>
        <w:right w:val="none" w:sz="0" w:space="0" w:color="auto"/>
      </w:divBdr>
    </w:div>
    <w:div w:id="916787438">
      <w:bodyDiv w:val="1"/>
      <w:marLeft w:val="0"/>
      <w:marRight w:val="0"/>
      <w:marTop w:val="0"/>
      <w:marBottom w:val="0"/>
      <w:divBdr>
        <w:top w:val="none" w:sz="0" w:space="0" w:color="auto"/>
        <w:left w:val="none" w:sz="0" w:space="0" w:color="auto"/>
        <w:bottom w:val="none" w:sz="0" w:space="0" w:color="auto"/>
        <w:right w:val="none" w:sz="0" w:space="0" w:color="auto"/>
      </w:divBdr>
    </w:div>
    <w:div w:id="1272276740">
      <w:bodyDiv w:val="1"/>
      <w:marLeft w:val="0"/>
      <w:marRight w:val="0"/>
      <w:marTop w:val="0"/>
      <w:marBottom w:val="0"/>
      <w:divBdr>
        <w:top w:val="none" w:sz="0" w:space="0" w:color="auto"/>
        <w:left w:val="none" w:sz="0" w:space="0" w:color="auto"/>
        <w:bottom w:val="none" w:sz="0" w:space="0" w:color="auto"/>
        <w:right w:val="none" w:sz="0" w:space="0" w:color="auto"/>
      </w:divBdr>
    </w:div>
    <w:div w:id="1343897308">
      <w:bodyDiv w:val="1"/>
      <w:marLeft w:val="0"/>
      <w:marRight w:val="0"/>
      <w:marTop w:val="0"/>
      <w:marBottom w:val="0"/>
      <w:divBdr>
        <w:top w:val="none" w:sz="0" w:space="0" w:color="auto"/>
        <w:left w:val="none" w:sz="0" w:space="0" w:color="auto"/>
        <w:bottom w:val="none" w:sz="0" w:space="0" w:color="auto"/>
        <w:right w:val="none" w:sz="0" w:space="0" w:color="auto"/>
      </w:divBdr>
    </w:div>
    <w:div w:id="1391154778">
      <w:bodyDiv w:val="1"/>
      <w:marLeft w:val="0"/>
      <w:marRight w:val="0"/>
      <w:marTop w:val="0"/>
      <w:marBottom w:val="0"/>
      <w:divBdr>
        <w:top w:val="none" w:sz="0" w:space="0" w:color="auto"/>
        <w:left w:val="none" w:sz="0" w:space="0" w:color="auto"/>
        <w:bottom w:val="none" w:sz="0" w:space="0" w:color="auto"/>
        <w:right w:val="none" w:sz="0" w:space="0" w:color="auto"/>
      </w:divBdr>
    </w:div>
    <w:div w:id="1537044580">
      <w:bodyDiv w:val="1"/>
      <w:marLeft w:val="0"/>
      <w:marRight w:val="0"/>
      <w:marTop w:val="0"/>
      <w:marBottom w:val="0"/>
      <w:divBdr>
        <w:top w:val="none" w:sz="0" w:space="0" w:color="auto"/>
        <w:left w:val="none" w:sz="0" w:space="0" w:color="auto"/>
        <w:bottom w:val="none" w:sz="0" w:space="0" w:color="auto"/>
        <w:right w:val="none" w:sz="0" w:space="0" w:color="auto"/>
      </w:divBdr>
    </w:div>
    <w:div w:id="1558973492">
      <w:bodyDiv w:val="1"/>
      <w:marLeft w:val="0"/>
      <w:marRight w:val="0"/>
      <w:marTop w:val="0"/>
      <w:marBottom w:val="0"/>
      <w:divBdr>
        <w:top w:val="none" w:sz="0" w:space="0" w:color="auto"/>
        <w:left w:val="none" w:sz="0" w:space="0" w:color="auto"/>
        <w:bottom w:val="none" w:sz="0" w:space="0" w:color="auto"/>
        <w:right w:val="none" w:sz="0" w:space="0" w:color="auto"/>
      </w:divBdr>
    </w:div>
    <w:div w:id="1730838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settings" Target="settings.xml"/><Relationship Id="rId26" Type="http://schemas.openxmlformats.org/officeDocument/2006/relationships/image" Target="media/image2.png"/><Relationship Id="rId39" Type="http://schemas.openxmlformats.org/officeDocument/2006/relationships/footer" Target="footer5.xml"/><Relationship Id="rId21" Type="http://schemas.openxmlformats.org/officeDocument/2006/relationships/endnotes" Target="endnotes.xml"/><Relationship Id="rId34" Type="http://schemas.openxmlformats.org/officeDocument/2006/relationships/image" Target="media/image5.png"/><Relationship Id="rId42" Type="http://schemas.openxmlformats.org/officeDocument/2006/relationships/footer" Target="footer6.xml"/><Relationship Id="rId47" Type="http://schemas.openxmlformats.org/officeDocument/2006/relationships/header" Target="header12.xml"/><Relationship Id="rId50" Type="http://schemas.openxmlformats.org/officeDocument/2006/relationships/footer" Target="footer8.xml"/><Relationship Id="rId55" Type="http://schemas.openxmlformats.org/officeDocument/2006/relationships/header" Target="header18.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numbering" Target="numbering.xml"/><Relationship Id="rId20" Type="http://schemas.openxmlformats.org/officeDocument/2006/relationships/footnotes" Target="footnotes.xml"/><Relationship Id="rId29" Type="http://schemas.openxmlformats.org/officeDocument/2006/relationships/hyperlink" Target="mailto:peter.murphy@noeticgroup.com" TargetMode="External"/><Relationship Id="rId41" Type="http://schemas.openxmlformats.org/officeDocument/2006/relationships/header" Target="header8.xml"/><Relationship Id="rId54" Type="http://schemas.openxmlformats.org/officeDocument/2006/relationships/footer" Target="footer9.xm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header" Target="header2.xml"/><Relationship Id="rId32" Type="http://schemas.openxmlformats.org/officeDocument/2006/relationships/header" Target="header4.xml"/><Relationship Id="rId37" Type="http://schemas.openxmlformats.org/officeDocument/2006/relationships/footer" Target="footer4.xml"/><Relationship Id="rId40" Type="http://schemas.openxmlformats.org/officeDocument/2006/relationships/header" Target="header7.xml"/><Relationship Id="rId45" Type="http://schemas.openxmlformats.org/officeDocument/2006/relationships/header" Target="header11.xml"/><Relationship Id="rId53" Type="http://schemas.openxmlformats.org/officeDocument/2006/relationships/header" Target="header17.xml"/><Relationship Id="rId58" Type="http://schemas.openxmlformats.org/officeDocument/2006/relationships/footer" Target="footer10.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footer" Target="footer1.xml"/><Relationship Id="rId28" Type="http://schemas.openxmlformats.org/officeDocument/2006/relationships/image" Target="media/image4.png"/><Relationship Id="rId36" Type="http://schemas.openxmlformats.org/officeDocument/2006/relationships/header" Target="header5.xml"/><Relationship Id="rId49" Type="http://schemas.openxmlformats.org/officeDocument/2006/relationships/header" Target="header14.xml"/><Relationship Id="rId57" Type="http://schemas.openxmlformats.org/officeDocument/2006/relationships/header" Target="header20.xml"/><Relationship Id="rId61" Type="http://schemas.openxmlformats.org/officeDocument/2006/relationships/fontTable" Target="fontTable.xml"/><Relationship Id="rId10" Type="http://schemas.openxmlformats.org/officeDocument/2006/relationships/customXml" Target="../customXml/item10.xml"/><Relationship Id="rId19" Type="http://schemas.openxmlformats.org/officeDocument/2006/relationships/webSettings" Target="webSettings.xml"/><Relationship Id="rId31" Type="http://schemas.openxmlformats.org/officeDocument/2006/relationships/footer" Target="footer2.xml"/><Relationship Id="rId44" Type="http://schemas.openxmlformats.org/officeDocument/2006/relationships/header" Target="header10.xml"/><Relationship Id="rId52" Type="http://schemas.openxmlformats.org/officeDocument/2006/relationships/header" Target="header16.xml"/><Relationship Id="rId60" Type="http://schemas.openxmlformats.org/officeDocument/2006/relationships/footer" Target="footer1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header" Target="header1.xml"/><Relationship Id="rId27" Type="http://schemas.openxmlformats.org/officeDocument/2006/relationships/image" Target="media/image3.png"/><Relationship Id="rId30" Type="http://schemas.openxmlformats.org/officeDocument/2006/relationships/header" Target="header3.xml"/><Relationship Id="rId35" Type="http://schemas.openxmlformats.org/officeDocument/2006/relationships/image" Target="media/image6.png"/><Relationship Id="rId43" Type="http://schemas.openxmlformats.org/officeDocument/2006/relationships/header" Target="header9.xml"/><Relationship Id="rId48" Type="http://schemas.openxmlformats.org/officeDocument/2006/relationships/header" Target="header13.xml"/><Relationship Id="rId56" Type="http://schemas.openxmlformats.org/officeDocument/2006/relationships/header" Target="header19.xml"/><Relationship Id="rId8" Type="http://schemas.openxmlformats.org/officeDocument/2006/relationships/customXml" Target="../customXml/item8.xml"/><Relationship Id="rId51" Type="http://schemas.openxmlformats.org/officeDocument/2006/relationships/header" Target="header15.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styles" Target="styles.xml"/><Relationship Id="rId25" Type="http://schemas.openxmlformats.org/officeDocument/2006/relationships/hyperlink" Target="http://www.noeticsolutions.com.au" TargetMode="External"/><Relationship Id="rId33" Type="http://schemas.openxmlformats.org/officeDocument/2006/relationships/footer" Target="footer3.xml"/><Relationship Id="rId38" Type="http://schemas.openxmlformats.org/officeDocument/2006/relationships/header" Target="header6.xml"/><Relationship Id="rId46" Type="http://schemas.openxmlformats.org/officeDocument/2006/relationships/footer" Target="footer7.xml"/><Relationship Id="rId59" Type="http://schemas.openxmlformats.org/officeDocument/2006/relationships/header" Target="header21.xml"/></Relationships>
</file>

<file path=word/_rels/footer2.xml.rels><?xml version="1.0" encoding="UTF-8" standalone="yes"?>
<Relationships xmlns="http://schemas.openxmlformats.org/package/2006/relationships"><Relationship Id="rId1" Type="http://schemas.openxmlformats.org/officeDocument/2006/relationships/hyperlink" Target="http://www.noeticsolutions.com.au"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noeticsolutions.com.au"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noeticsolutions.com.au" TargetMode="External"/></Relationships>
</file>

<file path=word/_rels/footer5.xml.rels><?xml version="1.0" encoding="UTF-8" standalone="yes"?>
<Relationships xmlns="http://schemas.openxmlformats.org/package/2006/relationships"><Relationship Id="rId1" Type="http://schemas.openxmlformats.org/officeDocument/2006/relationships/hyperlink" Target="http://www.noeticsolutions.com.au" TargetMode="External"/></Relationships>
</file>

<file path=word/_rels/footer6.xml.rels><?xml version="1.0" encoding="UTF-8" standalone="yes"?>
<Relationships xmlns="http://schemas.openxmlformats.org/package/2006/relationships"><Relationship Id="rId1" Type="http://schemas.openxmlformats.org/officeDocument/2006/relationships/hyperlink" Target="http://www.noeticsolutions.com.au" TargetMode="External"/></Relationships>
</file>

<file path=word/_rels/footer7.xml.rels><?xml version="1.0" encoding="UTF-8" standalone="yes"?>
<Relationships xmlns="http://schemas.openxmlformats.org/package/2006/relationships"><Relationship Id="rId1" Type="http://schemas.openxmlformats.org/officeDocument/2006/relationships/hyperlink" Target="http://www.noeticsolutions.com.au" TargetMode="External"/></Relationships>
</file>

<file path=word/_rels/footer8.xml.rels><?xml version="1.0" encoding="UTF-8" standalone="yes"?>
<Relationships xmlns="http://schemas.openxmlformats.org/package/2006/relationships"><Relationship Id="rId1" Type="http://schemas.openxmlformats.org/officeDocument/2006/relationships/hyperlink" Target="http://www.noeticsolutions.com.au" TargetMode="External"/></Relationships>
</file>

<file path=word/_rels/footer9.xml.rels><?xml version="1.0" encoding="UTF-8" standalone="yes"?>
<Relationships xmlns="http://schemas.openxmlformats.org/package/2006/relationships"><Relationship Id="rId1" Type="http://schemas.openxmlformats.org/officeDocument/2006/relationships/hyperlink" Target="http://www.noeticsolutions.com.au"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petroleum-acreage.gov.au/2015/supporting-information/offshore-greenhouse-gas-storage" TargetMode="External"/><Relationship Id="rId13" Type="http://schemas.openxmlformats.org/officeDocument/2006/relationships/hyperlink" Target="http://www.rba.gov.au/statistics/tables/xls-hist/2014-current.xls" TargetMode="External"/><Relationship Id="rId3" Type="http://schemas.openxmlformats.org/officeDocument/2006/relationships/hyperlink" Target="http://www.industry.gov.au/resource/Documents/upstream-petroleum/Australia+%C3%A5s_Offshore_%20Jurisdiction.pdf" TargetMode="External"/><Relationship Id="rId7" Type="http://schemas.openxmlformats.org/officeDocument/2006/relationships/hyperlink" Target="http://www.nopta.gov.au/_documents/NOPTA-CRIS-Nov13-Jun16.pdf" TargetMode="External"/><Relationship Id="rId12" Type="http://schemas.openxmlformats.org/officeDocument/2006/relationships/hyperlink" Target="http://www.legislation.gov.uk/uksi/2013/1138/regulation/3/made" TargetMode="External"/><Relationship Id="rId2" Type="http://schemas.openxmlformats.org/officeDocument/2006/relationships/hyperlink" Target="http://nopta.gov.au/about/index.html" TargetMode="External"/><Relationship Id="rId1" Type="http://schemas.openxmlformats.org/officeDocument/2006/relationships/hyperlink" Target="https://www.pc.gov.au/inquiries/completed/upstream-petroleum" TargetMode="External"/><Relationship Id="rId6" Type="http://schemas.openxmlformats.org/officeDocument/2006/relationships/hyperlink" Target="http://www.nopta.gov.au/data-mgmt/data-submissions.html" TargetMode="External"/><Relationship Id="rId11" Type="http://schemas.openxmlformats.org/officeDocument/2006/relationships/hyperlink" Target="http://www.norges-bank.no/WebDAV/stat/valutakurser/xlsx/valutakurser_d.xlsx" TargetMode="External"/><Relationship Id="rId5" Type="http://schemas.openxmlformats.org/officeDocument/2006/relationships/hyperlink" Target="http://www.industry.gov.au/resource/Documents/upstream-petroleum/regulation-legislation/110721NLCF-ReportF.pdf%20" TargetMode="External"/><Relationship Id="rId10" Type="http://schemas.openxmlformats.org/officeDocument/2006/relationships/hyperlink" Target="http://www.npd.no/en/regulations/regulations/petroleum-activities/%233" TargetMode="External"/><Relationship Id="rId4" Type="http://schemas.openxmlformats.org/officeDocument/2006/relationships/hyperlink" Target="https://itportal.decc.gov.uk/web_files/recent_licences/licences/P2077.pdf" TargetMode="External"/><Relationship Id="rId9" Type="http://schemas.openxmlformats.org/officeDocument/2006/relationships/hyperlink" Target="http://www.nopta.gov.au/_documents/scheduleOfFees-20131109.pdf" TargetMode="External"/><Relationship Id="rId14" Type="http://schemas.openxmlformats.org/officeDocument/2006/relationships/hyperlink" Target="https://itportal.decc.gov.uk/web_files/recent_licences/licences/P2077.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properties xmlns:p="http://schemas.microsoft.com/office/2006/metadata/properties" xmlns:xsi="http://www.w3.org/2001/XMLSchema-instance" xmlns:pc="http://schemas.microsoft.com/office/infopath/2007/PartnerControls">
  <documentManagement>
    <CorePublishingDocumentCategory xmlns="c0b4bd0a-f6ac-422c-a0b2-ddc3a705a698" xsi:nil="true"/>
    <IncludeInNotificationsAndUpdates xmlns="a0ca9f47-0bbb-4d70-97bd-db366ea26c83">true</IncludeInNotificationsAndUpdates>
    <KeywordsLookupField xmlns="c0b4bd0a-f6ac-422c-a0b2-ddc3a705a698"/>
    <CorePublishingFileReference xmlns="a0ca9f47-0bbb-4d70-97bd-db366ea26c83" xsi:nil="true"/>
    <IPSCategory xmlns="a0ca9f47-0bbb-4d70-97bd-db366ea26c83" xsi:nil="true"/>
    <CorePublishingComments xmlns="a0ca9f47-0bbb-4d70-97bd-db366ea26c83" xsi:nil="true"/>
    <CorePublishingDocumentChangeDescription xmlns="a0ca9f47-0bbb-4d70-97bd-db366ea26c83" xsi:nil="true"/>
    <SubjectLookupField xmlns="c0b4bd0a-f6ac-422c-a0b2-ddc3a705a698"/>
    <PublishingExpirationDate xmlns="http://schemas.microsoft.com/sharepoint/v3" xsi:nil="true"/>
    <CorePublishingDocumentContact xmlns="a0ca9f47-0bbb-4d70-97bd-db366ea26c83">
      <UserInfo>
        <DisplayName/>
        <AccountId xsi:nil="true"/>
        <AccountType/>
      </UserInfo>
    </CorePublishingDocumentContact>
    <PublishingStartDate xmlns="http://schemas.microsoft.com/sharepoint/v3" xsi:nil="true"/>
    <IncludeInRSSFeeds xmlns="a0ca9f47-0bbb-4d70-97bd-db366ea26c83">false</IncludeInRSSFeeds>
    <DocumentRollupCategory xmlns="c0b4bd0a-f6ac-422c-a0b2-ddc3a705a698"/>
    <IncludeInContentRollups xmlns="a0ca9f47-0bbb-4d70-97bd-db366ea26c83">false</IncludeInContentRollups>
  </documentManagement>
</p:properties>
</file>

<file path=customXml/item10.xml><?xml version="1.0" encoding="utf-8"?>
<?mso-contentType ?>
<FormTemplates xmlns="http://schemas.microsoft.com/sharepoint/v3/contenttype/forms">
  <Display>DocumentLibraryForm</Display>
  <Edit>DocumentLibraryForm</Edit>
  <New>DocumentLibraryForm</New>
</FormTemplates>
</file>

<file path=customXml/item11.xml><?xml version="1.0" encoding="utf-8"?>
<b:Sources xmlns:b="http://schemas.openxmlformats.org/officeDocument/2006/bibliography" xmlns="http://schemas.openxmlformats.org/officeDocument/2006/bibliography" SelectedStyle="\APA.XSL" StyleName="APA Fifth Edition"/>
</file>

<file path=customXml/item12.xml><?xml version="1.0" encoding="utf-8"?>
<b:Sources xmlns:b="http://schemas.openxmlformats.org/officeDocument/2006/bibliography" xmlns="http://schemas.openxmlformats.org/officeDocument/2006/bibliography" SelectedStyle="\APA.XSL" StyleName="APA Fifth Edition"/>
</file>

<file path=customXml/item13.xml><?xml version="1.0" encoding="utf-8"?>
<b:Sources xmlns:b="http://schemas.openxmlformats.org/officeDocument/2006/bibliography" xmlns="http://schemas.openxmlformats.org/officeDocument/2006/bibliography" SelectedStyle="\APA.XSL" StyleName="APA Fifth Edition"/>
</file>

<file path=customXml/item14.xml><?xml version="1.0" encoding="utf-8"?>
<b:Sources xmlns:b="http://schemas.openxmlformats.org/officeDocument/2006/bibliography" xmlns="http://schemas.openxmlformats.org/officeDocument/2006/bibliography" SelectedStyle="\APA.XSL" StyleName="APA Fifth Edition"/>
</file>

<file path=customXml/item15.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b:Sources xmlns:b="http://schemas.openxmlformats.org/officeDocument/2006/bibliography" xmlns="http://schemas.openxmlformats.org/officeDocument/2006/bibliography" SelectedStyle="\APA.XSL" StyleName="APA Fifth Edition"/>
</file>

<file path=customXml/item8.xml><?xml version="1.0" encoding="utf-8"?>
<b:Sources xmlns:b="http://schemas.openxmlformats.org/officeDocument/2006/bibliography" xmlns="http://schemas.openxmlformats.org/officeDocument/2006/bibliography" SelectedStyle="\APA.XSL" StyleName="APA Fifth Edition"/>
</file>

<file path=customXml/item9.xml><?xml version="1.0" encoding="utf-8"?>
<ct:contentTypeSchema xmlns:ct="http://schemas.microsoft.com/office/2006/metadata/contentType" xmlns:ma="http://schemas.microsoft.com/office/2006/metadata/properties/metaAttributes" ct:_="" ma:_="" ma:contentTypeName="Core Publishing Document" ma:contentTypeID="0x01010097F86F0C24D64525B252BB20BD9D45A700C1775534249D0942B1A68B6171242DC3" ma:contentTypeVersion="77" ma:contentTypeDescription="Core Publishing Document, inherited from OOTB document." ma:contentTypeScope="" ma:versionID="99bd5c4742a2427271156ac201da1377">
  <xsd:schema xmlns:xsd="http://www.w3.org/2001/XMLSchema" xmlns:xs="http://www.w3.org/2001/XMLSchema" xmlns:p="http://schemas.microsoft.com/office/2006/metadata/properties" xmlns:ns1="http://schemas.microsoft.com/sharepoint/v3" xmlns:ns2="a0ca9f47-0bbb-4d70-97bd-db366ea26c83" xmlns:ns3="c0b4bd0a-f6ac-422c-a0b2-ddc3a705a698" targetNamespace="http://schemas.microsoft.com/office/2006/metadata/properties" ma:root="true" ma:fieldsID="cdb32ea6a5c4700513053831719e9180" ns1:_="" ns2:_="" ns3:_="">
    <xsd:import namespace="http://schemas.microsoft.com/sharepoint/v3"/>
    <xsd:import namespace="a0ca9f47-0bbb-4d70-97bd-db366ea26c83"/>
    <xsd:import namespace="c0b4bd0a-f6ac-422c-a0b2-ddc3a705a698"/>
    <xsd:element name="properties">
      <xsd:complexType>
        <xsd:sequence>
          <xsd:element name="documentManagement">
            <xsd:complexType>
              <xsd:all>
                <xsd:element ref="ns2:CorePublishingComments" minOccurs="0"/>
                <xsd:element ref="ns1:PublishingStartDate" minOccurs="0"/>
                <xsd:element ref="ns1:PublishingExpirationDate" minOccurs="0"/>
                <xsd:element ref="ns2:CorePublishingDocumentContact" minOccurs="0"/>
                <xsd:element ref="ns3:SubjectLookupField" minOccurs="0"/>
                <xsd:element ref="ns3:KeywordsLookupField" minOccurs="0"/>
                <xsd:element ref="ns3:CorePublishingDocumentCategory" minOccurs="0"/>
                <xsd:element ref="ns2:IPSCategory" minOccurs="0"/>
                <xsd:element ref="ns2:CorePublishingFileReference" minOccurs="0"/>
                <xsd:element ref="ns2:IncludeInNotificationsAndUpdates" minOccurs="0"/>
                <xsd:element ref="ns2:IncludeInContentRollups" minOccurs="0"/>
                <xsd:element ref="ns2:IncludeInRSSFeeds" minOccurs="0"/>
                <xsd:element ref="ns2:CorePublishingDocumentChangeDescription" minOccurs="0"/>
                <xsd:element ref="ns3:DocumentRollup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9" nillable="true" ma:displayName="Start Date" ma:description="" ma:internalName="PublishingStartDate">
      <xsd:simpleType>
        <xsd:restriction base="dms:Unknown"/>
      </xsd:simpleType>
    </xsd:element>
    <xsd:element name="PublishingExpirationDate" ma:index="10" nillable="true" ma:displayName="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0ca9f47-0bbb-4d70-97bd-db366ea26c83" elementFormDefault="qualified">
    <xsd:import namespace="http://schemas.microsoft.com/office/2006/documentManagement/types"/>
    <xsd:import namespace="http://schemas.microsoft.com/office/infopath/2007/PartnerControls"/>
    <xsd:element name="CorePublishingComments" ma:index="8" nillable="true" ma:displayName="Description" ma:description="Used for DC.Description metadata." ma:internalName="CorePublishingComments">
      <xsd:simpleType>
        <xsd:restriction base="dms:Note"/>
      </xsd:simpleType>
    </xsd:element>
    <xsd:element name="CorePublishingDocumentContact" ma:index="11" nillable="true" ma:displayName="Document Contact" ma:list="UserInfo" ma:internalName="CorePublishingDocumentContact"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PSCategory" ma:index="15" nillable="true" ma:displayName="IPS Category" ma:description="Used for FOI/IPS categorisation." ma:format="Dropdown" ma:internalName="IPSCategory">
      <xsd:simpleType>
        <xsd:restriction base="dms:Choice">
          <xsd:enumeration value="1. Who we are"/>
          <xsd:enumeration value="2. What we do"/>
          <xsd:enumeration value="3. Our reports"/>
          <xsd:enumeration value="4. Consultation"/>
          <xsd:enumeration value="5. Our strategic and business priorities"/>
          <xsd:enumeration value="6. Routinely requested information"/>
          <xsd:enumeration value="7. Our finances"/>
          <xsd:enumeration value="8. Our lists"/>
          <xsd:enumeration value="9. Our submissions"/>
          <xsd:enumeration value="10. Our policies"/>
        </xsd:restriction>
      </xsd:simpleType>
    </xsd:element>
    <xsd:element name="CorePublishingFileReference" ma:index="16" nillable="true" ma:displayName="File Reference" ma:description="Audit Requirement." ma:internalName="CorePublishingFileReference" ma:readOnly="false">
      <xsd:simpleType>
        <xsd:restriction base="dms:Text"/>
      </xsd:simpleType>
    </xsd:element>
    <xsd:element name="IncludeInNotificationsAndUpdates" ma:index="17" nillable="true" ma:displayName="Include in Email Updates" ma:default="1" ma:internalName="IncludeInNotificationsAndUpdates">
      <xsd:simpleType>
        <xsd:restriction base="dms:Boolean"/>
      </xsd:simpleType>
    </xsd:element>
    <xsd:element name="IncludeInContentRollups" ma:index="18" nillable="true" ma:displayName="Include In Content Rollups" ma:default="0" ma:description="Used at the site owners' discretion to include/exclude pages from 'rollup' web parts such as content queries." ma:internalName="IncludeInContentRollups">
      <xsd:simpleType>
        <xsd:restriction base="dms:Boolean"/>
      </xsd:simpleType>
    </xsd:element>
    <xsd:element name="IncludeInRSSFeeds" ma:index="19" nillable="true" ma:displayName="Include In RSS Feeds" ma:default="0" ma:description="Used at the site owners' discretion to include/exclude documents from RSS feeds." ma:internalName="IncludeInRSSFeeds">
      <xsd:simpleType>
        <xsd:restriction base="dms:Boolean"/>
      </xsd:simpleType>
    </xsd:element>
    <xsd:element name="CorePublishingDocumentChangeDescription" ma:index="20" nillable="true" ma:displayName="Document Change Description" ma:description="Description of the current version of the document - can be of assistance to reviewers/approvers (and can be included in the workflow emails)." ma:internalName="CorePublishingDocumentChange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0b4bd0a-f6ac-422c-a0b2-ddc3a705a698" elementFormDefault="qualified">
    <xsd:import namespace="http://schemas.microsoft.com/office/2006/documentManagement/types"/>
    <xsd:import namespace="http://schemas.microsoft.com/office/infopath/2007/PartnerControls"/>
    <xsd:element name="SubjectLookupField" ma:index="12" nillable="true" ma:displayName="Subject" ma:list="4a441248-04bf-4c62-8747-8bfb61e5e21c" ma:internalName="SubjectLookupField" ma:showField="Title" ma:web="c0b4bd0a-f6ac-422c-a0b2-ddc3a705a698">
      <xsd:complexType>
        <xsd:complexContent>
          <xsd:extension base="dms:MultiChoiceLookup">
            <xsd:sequence>
              <xsd:element name="Value" type="dms:Lookup" maxOccurs="unbounded" minOccurs="0" nillable="true"/>
            </xsd:sequence>
          </xsd:extension>
        </xsd:complexContent>
      </xsd:complexType>
    </xsd:element>
    <xsd:element name="KeywordsLookupField" ma:index="13" nillable="true" ma:displayName="Keywords" ma:list="fbec0be5-db93-4c03-a796-ce5d02f374a3" ma:internalName="KeywordsLookupField" ma:showField="Title" ma:web="c0b4bd0a-f6ac-422c-a0b2-ddc3a705a698">
      <xsd:complexType>
        <xsd:complexContent>
          <xsd:extension base="dms:MultiChoiceLookup">
            <xsd:sequence>
              <xsd:element name="Value" type="dms:Lookup" maxOccurs="unbounded" minOccurs="0" nillable="true"/>
            </xsd:sequence>
          </xsd:extension>
        </xsd:complexContent>
      </xsd:complexType>
    </xsd:element>
    <xsd:element name="CorePublishingDocumentCategory" ma:index="14" nillable="true" ma:displayName="Document Category" ma:description="Document Type list is used for source data. Used for DC.Type.documentType metadata." ma:list="{233fae74-8b6e-4f87-8db3-5052d625541f}" ma:internalName="CorePublishingDocumentCategory" ma:showField="Title" ma:web="{c0b4bd0a-f6ac-422c-a0b2-ddc3a705a698}">
      <xsd:simpleType>
        <xsd:restriction base="dms:Lookup"/>
      </xsd:simpleType>
    </xsd:element>
    <xsd:element name="DocumentRollupCategory" ma:index="21" nillable="true" ma:displayName="Rollup Category" ma:description="Document Rollup Category list is used for source data, populated by the site owners. Used at the site owners' discretion to include/exclude certain categories of pages in rollups." ma:list="{6ca4ea36-3739-485e-8e04-ddf89b384e56}" ma:internalName="DocumentRollupCategory" ma:showField="Title" ma:web="{c0b4bd0a-f6ac-422c-a0b2-ddc3a705a6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3B49CA-E956-45E0-B76B-E4F54B4FC867}">
  <ds:schemaRefs>
    <ds:schemaRef ds:uri="http://schemas.microsoft.com/office/2006/metadata/properties"/>
    <ds:schemaRef ds:uri="http://schemas.microsoft.com/office/infopath/2007/PartnerControls"/>
    <ds:schemaRef ds:uri="c0b4bd0a-f6ac-422c-a0b2-ddc3a705a698"/>
    <ds:schemaRef ds:uri="a0ca9f47-0bbb-4d70-97bd-db366ea26c83"/>
    <ds:schemaRef ds:uri="http://schemas.microsoft.com/sharepoint/v3"/>
  </ds:schemaRefs>
</ds:datastoreItem>
</file>

<file path=customXml/itemProps10.xml><?xml version="1.0" encoding="utf-8"?>
<ds:datastoreItem xmlns:ds="http://schemas.openxmlformats.org/officeDocument/2006/customXml" ds:itemID="{D6E0BF7D-7459-4628-86A9-95478B1401FA}">
  <ds:schemaRefs>
    <ds:schemaRef ds:uri="http://schemas.microsoft.com/sharepoint/v3/contenttype/forms"/>
  </ds:schemaRefs>
</ds:datastoreItem>
</file>

<file path=customXml/itemProps11.xml><?xml version="1.0" encoding="utf-8"?>
<ds:datastoreItem xmlns:ds="http://schemas.openxmlformats.org/officeDocument/2006/customXml" ds:itemID="{D5F22467-E5F3-44F8-9887-90785E144DEC}">
  <ds:schemaRefs>
    <ds:schemaRef ds:uri="http://schemas.openxmlformats.org/officeDocument/2006/bibliography"/>
  </ds:schemaRefs>
</ds:datastoreItem>
</file>

<file path=customXml/itemProps12.xml><?xml version="1.0" encoding="utf-8"?>
<ds:datastoreItem xmlns:ds="http://schemas.openxmlformats.org/officeDocument/2006/customXml" ds:itemID="{EA128A40-FC4B-46FC-B4BA-9271A61D8121}">
  <ds:schemaRefs>
    <ds:schemaRef ds:uri="http://schemas.openxmlformats.org/officeDocument/2006/bibliography"/>
  </ds:schemaRefs>
</ds:datastoreItem>
</file>

<file path=customXml/itemProps13.xml><?xml version="1.0" encoding="utf-8"?>
<ds:datastoreItem xmlns:ds="http://schemas.openxmlformats.org/officeDocument/2006/customXml" ds:itemID="{EB7239D4-5863-4170-A3E5-8D05C2C583D5}">
  <ds:schemaRefs>
    <ds:schemaRef ds:uri="http://schemas.openxmlformats.org/officeDocument/2006/bibliography"/>
  </ds:schemaRefs>
</ds:datastoreItem>
</file>

<file path=customXml/itemProps14.xml><?xml version="1.0" encoding="utf-8"?>
<ds:datastoreItem xmlns:ds="http://schemas.openxmlformats.org/officeDocument/2006/customXml" ds:itemID="{E25AE767-6405-4B8F-B214-AB60BB1634DC}">
  <ds:schemaRefs>
    <ds:schemaRef ds:uri="http://schemas.openxmlformats.org/officeDocument/2006/bibliography"/>
  </ds:schemaRefs>
</ds:datastoreItem>
</file>

<file path=customXml/itemProps15.xml><?xml version="1.0" encoding="utf-8"?>
<ds:datastoreItem xmlns:ds="http://schemas.openxmlformats.org/officeDocument/2006/customXml" ds:itemID="{14CB99F8-980E-4991-A5B7-7E7CD402DE1D}">
  <ds:schemaRefs>
    <ds:schemaRef ds:uri="http://schemas.openxmlformats.org/officeDocument/2006/bibliography"/>
  </ds:schemaRefs>
</ds:datastoreItem>
</file>

<file path=customXml/itemProps2.xml><?xml version="1.0" encoding="utf-8"?>
<ds:datastoreItem xmlns:ds="http://schemas.openxmlformats.org/officeDocument/2006/customXml" ds:itemID="{C0695C77-BDCC-49A3-9FA0-4AF27171F05A}">
  <ds:schemaRefs>
    <ds:schemaRef ds:uri="http://schemas.openxmlformats.org/officeDocument/2006/bibliography"/>
  </ds:schemaRefs>
</ds:datastoreItem>
</file>

<file path=customXml/itemProps3.xml><?xml version="1.0" encoding="utf-8"?>
<ds:datastoreItem xmlns:ds="http://schemas.openxmlformats.org/officeDocument/2006/customXml" ds:itemID="{0FA9926C-46CD-4B1D-9C98-79DDBC90D9AC}">
  <ds:schemaRefs>
    <ds:schemaRef ds:uri="http://schemas.openxmlformats.org/officeDocument/2006/bibliography"/>
  </ds:schemaRefs>
</ds:datastoreItem>
</file>

<file path=customXml/itemProps4.xml><?xml version="1.0" encoding="utf-8"?>
<ds:datastoreItem xmlns:ds="http://schemas.openxmlformats.org/officeDocument/2006/customXml" ds:itemID="{8DCF5ACD-8093-40C7-9B64-5DB336DCCBD1}">
  <ds:schemaRefs>
    <ds:schemaRef ds:uri="http://schemas.openxmlformats.org/officeDocument/2006/bibliography"/>
  </ds:schemaRefs>
</ds:datastoreItem>
</file>

<file path=customXml/itemProps5.xml><?xml version="1.0" encoding="utf-8"?>
<ds:datastoreItem xmlns:ds="http://schemas.openxmlformats.org/officeDocument/2006/customXml" ds:itemID="{0D146756-0D90-4145-B290-D699C6BB7126}">
  <ds:schemaRefs>
    <ds:schemaRef ds:uri="http://schemas.openxmlformats.org/officeDocument/2006/bibliography"/>
  </ds:schemaRefs>
</ds:datastoreItem>
</file>

<file path=customXml/itemProps6.xml><?xml version="1.0" encoding="utf-8"?>
<ds:datastoreItem xmlns:ds="http://schemas.openxmlformats.org/officeDocument/2006/customXml" ds:itemID="{22E3AFD8-3D21-4F68-ACFE-FD31CAC1D89F}">
  <ds:schemaRefs>
    <ds:schemaRef ds:uri="http://schemas.openxmlformats.org/officeDocument/2006/bibliography"/>
  </ds:schemaRefs>
</ds:datastoreItem>
</file>

<file path=customXml/itemProps7.xml><?xml version="1.0" encoding="utf-8"?>
<ds:datastoreItem xmlns:ds="http://schemas.openxmlformats.org/officeDocument/2006/customXml" ds:itemID="{2047570B-A0E7-4A34-825E-AAD4FB6AF824}">
  <ds:schemaRefs>
    <ds:schemaRef ds:uri="http://schemas.openxmlformats.org/officeDocument/2006/bibliography"/>
  </ds:schemaRefs>
</ds:datastoreItem>
</file>

<file path=customXml/itemProps8.xml><?xml version="1.0" encoding="utf-8"?>
<ds:datastoreItem xmlns:ds="http://schemas.openxmlformats.org/officeDocument/2006/customXml" ds:itemID="{05762229-A47A-4903-8F51-B6B93CE4CC35}">
  <ds:schemaRefs>
    <ds:schemaRef ds:uri="http://schemas.openxmlformats.org/officeDocument/2006/bibliography"/>
  </ds:schemaRefs>
</ds:datastoreItem>
</file>

<file path=customXml/itemProps9.xml><?xml version="1.0" encoding="utf-8"?>
<ds:datastoreItem xmlns:ds="http://schemas.openxmlformats.org/officeDocument/2006/customXml" ds:itemID="{E7A23B30-26AA-42C7-A633-73C2EC780E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0ca9f47-0bbb-4d70-97bd-db366ea26c83"/>
    <ds:schemaRef ds:uri="c0b4bd0a-f6ac-422c-a0b2-ddc3a705a6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67</Pages>
  <Words>17985</Words>
  <Characters>102521</Characters>
  <Application>Microsoft Office Word</Application>
  <DocSecurity>0</DocSecurity>
  <Lines>854</Lines>
  <Paragraphs>240</Paragraphs>
  <ScaleCrop>false</ScaleCrop>
  <HeadingPairs>
    <vt:vector size="2" baseType="variant">
      <vt:variant>
        <vt:lpstr>Title</vt:lpstr>
      </vt:variant>
      <vt:variant>
        <vt:i4>1</vt:i4>
      </vt:variant>
    </vt:vector>
  </HeadingPairs>
  <TitlesOfParts>
    <vt:vector size="1" baseType="lpstr">
      <vt:lpstr>NOPTA Operational Review</vt:lpstr>
    </vt:vector>
  </TitlesOfParts>
  <Company>CRE8IVE</Company>
  <LinksUpToDate>false</LinksUpToDate>
  <CharactersWithSpaces>120266</CharactersWithSpaces>
  <SharedDoc>false</SharedDoc>
  <HLinks>
    <vt:vector size="6" baseType="variant">
      <vt:variant>
        <vt:i4>3473476</vt:i4>
      </vt:variant>
      <vt:variant>
        <vt:i4>0</vt:i4>
      </vt:variant>
      <vt:variant>
        <vt:i4>0</vt:i4>
      </vt:variant>
      <vt:variant>
        <vt:i4>5</vt:i4>
      </vt:variant>
      <vt:variant>
        <vt:lpwstr>mailto:andrew.balmaks@noeticgroup.com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NOPTA Operational Review</dc:title>
  <dc:subject>Report for Minister</dc:subject>
  <dc:creator>Noetic Group</dc:creator>
  <cp:keywords>NOPTA; Department of Industry and Science</cp:keywords>
  <cp:lastModifiedBy>Francis, Sophie</cp:lastModifiedBy>
  <cp:revision>3</cp:revision>
  <cp:lastPrinted>2015-09-15T07:29:00Z</cp:lastPrinted>
  <dcterms:created xsi:type="dcterms:W3CDTF">2015-09-16T02:35:00Z</dcterms:created>
  <dcterms:modified xsi:type="dcterms:W3CDTF">2019-05-24T03:10:00Z</dcterms:modified>
  <cp:category>Client Report</cp:category>
  <cp:contentStatus>Final Draft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heckForSharePointFields">
    <vt:lpwstr>false</vt:lpwstr>
  </property>
  <property fmtid="{D5CDD505-2E9C-101B-9397-08002B2CF9AE}" pid="7" name="ContentTypeId">
    <vt:lpwstr>0x01010097F86F0C24D64525B252BB20BD9D45A700C1775534249D0942B1A68B6171242DC3</vt:lpwstr>
  </property>
</Properties>
</file>