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7DF" w:rsidRDefault="00811D43" w:rsidP="00FD01FB">
      <w:pPr>
        <w:pStyle w:val="Title"/>
        <w:ind w:right="662"/>
      </w:pPr>
      <w:r>
        <w:rPr>
          <w:noProof/>
          <w:lang w:eastAsia="en-AU"/>
        </w:rPr>
        <w:drawing>
          <wp:anchor distT="0" distB="0" distL="114300" distR="114300" simplePos="0" relativeHeight="251659264" behindDoc="0" locked="0" layoutInCell="1" allowOverlap="1" wp14:anchorId="5BC27619" wp14:editId="4E397858">
            <wp:simplePos x="0" y="0"/>
            <wp:positionH relativeFrom="column">
              <wp:posOffset>-417830</wp:posOffset>
            </wp:positionH>
            <wp:positionV relativeFrom="paragraph">
              <wp:posOffset>-382270</wp:posOffset>
            </wp:positionV>
            <wp:extent cx="2448560" cy="727710"/>
            <wp:effectExtent l="0" t="0" r="0" b="8890"/>
            <wp:wrapTopAndBottom/>
            <wp:docPr id="4" name="Picture 4" descr="Australian Government | Department of Industry, Innovation and Science logo&#10;" title="Australian Government | Department of Industry, Innovation and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12">
                      <a:extLst>
                        <a:ext uri="{28A0092B-C50C-407E-A947-70E740481C1C}">
                          <a14:useLocalDpi xmlns:a14="http://schemas.microsoft.com/office/drawing/2010/main" val="0"/>
                        </a:ext>
                      </a:extLst>
                    </a:blip>
                    <a:stretch>
                      <a:fillRect/>
                    </a:stretch>
                  </pic:blipFill>
                  <pic:spPr bwMode="auto">
                    <a:xfrm>
                      <a:off x="0" y="0"/>
                      <a:ext cx="2448560" cy="72771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CB5D3D">
        <w:rPr>
          <w:noProof/>
          <w:lang w:eastAsia="en-AU"/>
        </w:rPr>
        <w:drawing>
          <wp:anchor distT="0" distB="0" distL="114300" distR="114300" simplePos="0" relativeHeight="251657215" behindDoc="1" locked="0" layoutInCell="1" allowOverlap="1" wp14:anchorId="0DCAAAF4" wp14:editId="330D0418">
            <wp:simplePos x="0" y="0"/>
            <wp:positionH relativeFrom="column">
              <wp:posOffset>-784860</wp:posOffset>
            </wp:positionH>
            <wp:positionV relativeFrom="paragraph">
              <wp:posOffset>-665480</wp:posOffset>
            </wp:positionV>
            <wp:extent cx="7272000" cy="10286287"/>
            <wp:effectExtent l="0" t="0" r="0" b="1270"/>
            <wp:wrapNone/>
            <wp:docPr id="1" name="Picture 1" descr="Background graphic - decorative element only" title="Background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al_Word_update_slide_master_nologo.jpg"/>
                    <pic:cNvPicPr/>
                  </pic:nvPicPr>
                  <pic:blipFill>
                    <a:blip r:embed="rId13">
                      <a:extLst>
                        <a:ext uri="{28A0092B-C50C-407E-A947-70E740481C1C}">
                          <a14:useLocalDpi xmlns:a14="http://schemas.microsoft.com/office/drawing/2010/main" val="0"/>
                        </a:ext>
                      </a:extLst>
                    </a:blip>
                    <a:stretch>
                      <a:fillRect/>
                    </a:stretch>
                  </pic:blipFill>
                  <pic:spPr>
                    <a:xfrm>
                      <a:off x="0" y="0"/>
                      <a:ext cx="7272000" cy="10286287"/>
                    </a:xfrm>
                    <a:prstGeom prst="rect">
                      <a:avLst/>
                    </a:prstGeom>
                  </pic:spPr>
                </pic:pic>
              </a:graphicData>
            </a:graphic>
            <wp14:sizeRelH relativeFrom="page">
              <wp14:pctWidth>0</wp14:pctWidth>
            </wp14:sizeRelH>
            <wp14:sizeRelV relativeFrom="page">
              <wp14:pctHeight>0</wp14:pctHeight>
            </wp14:sizeRelV>
          </wp:anchor>
        </w:drawing>
      </w:r>
      <w:r w:rsidR="007617DF">
        <w:t>Progress Report</w:t>
      </w:r>
    </w:p>
    <w:p w:rsidR="00975726" w:rsidRPr="007617DF" w:rsidRDefault="007617DF" w:rsidP="00FD01FB">
      <w:pPr>
        <w:pStyle w:val="Title"/>
        <w:ind w:right="662"/>
        <w:rPr>
          <w:rFonts w:cstheme="majorHAnsi"/>
        </w:rPr>
      </w:pPr>
      <w:r w:rsidRPr="007617DF">
        <w:rPr>
          <w:rFonts w:cstheme="majorHAnsi"/>
        </w:rPr>
        <w:t>Implementation of the 2015 NOP</w:t>
      </w:r>
      <w:r w:rsidR="00405FBB">
        <w:rPr>
          <w:rFonts w:cstheme="majorHAnsi"/>
        </w:rPr>
        <w:t>TA</w:t>
      </w:r>
      <w:r w:rsidRPr="007617DF">
        <w:rPr>
          <w:rFonts w:cstheme="majorHAnsi"/>
        </w:rPr>
        <w:t xml:space="preserve"> Operational Review Recommendations</w:t>
      </w:r>
      <w:r w:rsidR="00163B54" w:rsidRPr="007617DF">
        <w:rPr>
          <w:rFonts w:cstheme="majorHAnsi"/>
        </w:rPr>
        <w:t xml:space="preserve"> </w:t>
      </w:r>
    </w:p>
    <w:p w:rsidR="008D6453" w:rsidRDefault="008D6453" w:rsidP="00FD01FB">
      <w:pPr>
        <w:pStyle w:val="Subtitle"/>
        <w:ind w:right="662"/>
      </w:pPr>
    </w:p>
    <w:p w:rsidR="00163B54" w:rsidRDefault="008D6453" w:rsidP="009004C4">
      <w:pPr>
        <w:pStyle w:val="Subtitle"/>
        <w:tabs>
          <w:tab w:val="left" w:pos="5430"/>
        </w:tabs>
        <w:ind w:right="662"/>
      </w:pPr>
      <w:r>
        <w:t>August 2016</w:t>
      </w:r>
      <w:r w:rsidR="009004C4">
        <w:tab/>
      </w:r>
    </w:p>
    <w:p w:rsidR="001A2DC6" w:rsidRDefault="001A2DC6" w:rsidP="001A25AE">
      <w:pPr>
        <w:ind w:left="993" w:right="804"/>
        <w:rPr>
          <w:rStyle w:val="Hyperlink"/>
        </w:rPr>
      </w:pPr>
    </w:p>
    <w:p w:rsidR="001A2DC6" w:rsidRDefault="001A2DC6" w:rsidP="00163B54">
      <w:pPr>
        <w:rPr>
          <w:rStyle w:val="Hyperlink"/>
        </w:rPr>
        <w:sectPr w:rsidR="001A2DC6" w:rsidSect="0088639D">
          <w:footerReference w:type="even" r:id="rId14"/>
          <w:pgSz w:w="11906" w:h="16838"/>
          <w:pgMar w:top="1440" w:right="1440" w:bottom="1440" w:left="1440" w:header="708" w:footer="708" w:gutter="0"/>
          <w:cols w:space="708"/>
          <w:docGrid w:linePitch="360"/>
        </w:sectPr>
      </w:pPr>
    </w:p>
    <w:p w:rsidR="00163B54" w:rsidRPr="00740A84" w:rsidRDefault="008D6453" w:rsidP="00740A84">
      <w:pPr>
        <w:jc w:val="center"/>
        <w:rPr>
          <w:b/>
          <w:color w:val="005677" w:themeColor="accent1"/>
          <w:sz w:val="32"/>
          <w:szCs w:val="32"/>
        </w:rPr>
      </w:pPr>
      <w:bookmarkStart w:id="0" w:name="_Toc419991345"/>
      <w:r w:rsidRPr="00740A84">
        <w:rPr>
          <w:b/>
          <w:color w:val="005677" w:themeColor="accent1"/>
          <w:sz w:val="32"/>
          <w:szCs w:val="32"/>
        </w:rPr>
        <w:lastRenderedPageBreak/>
        <w:t>Progress Report</w:t>
      </w:r>
    </w:p>
    <w:p w:rsidR="008D6453" w:rsidRPr="00740A84" w:rsidRDefault="008D6453" w:rsidP="00740A84">
      <w:pPr>
        <w:jc w:val="center"/>
        <w:rPr>
          <w:b/>
          <w:color w:val="005677" w:themeColor="accent1"/>
          <w:sz w:val="32"/>
          <w:szCs w:val="32"/>
        </w:rPr>
      </w:pPr>
      <w:r w:rsidRPr="00740A84">
        <w:rPr>
          <w:b/>
          <w:color w:val="005677" w:themeColor="accent1"/>
          <w:sz w:val="32"/>
          <w:szCs w:val="32"/>
        </w:rPr>
        <w:t>Implementation of the 2015 NOP</w:t>
      </w:r>
      <w:r w:rsidR="009F1CCD">
        <w:rPr>
          <w:b/>
          <w:color w:val="005677" w:themeColor="accent1"/>
          <w:sz w:val="32"/>
          <w:szCs w:val="32"/>
        </w:rPr>
        <w:t>TA</w:t>
      </w:r>
      <w:r w:rsidRPr="00740A84">
        <w:rPr>
          <w:b/>
          <w:color w:val="005677" w:themeColor="accent1"/>
          <w:sz w:val="32"/>
          <w:szCs w:val="32"/>
        </w:rPr>
        <w:t xml:space="preserve"> Operational Review recommendations</w:t>
      </w:r>
    </w:p>
    <w:p w:rsidR="00975726" w:rsidRPr="00C84D65" w:rsidRDefault="008D6453" w:rsidP="00975726">
      <w:pPr>
        <w:pStyle w:val="Heading2"/>
        <w:rPr>
          <w:rFonts w:ascii="Times New Roman" w:hAnsi="Times New Roman" w:cs="Times New Roman"/>
          <w:sz w:val="28"/>
          <w:szCs w:val="28"/>
        </w:rPr>
      </w:pPr>
      <w:bookmarkStart w:id="1" w:name="_Toc419991346"/>
      <w:bookmarkStart w:id="2" w:name="_Toc460590781"/>
      <w:bookmarkEnd w:id="0"/>
      <w:bookmarkEnd w:id="1"/>
      <w:r w:rsidRPr="00C84D65">
        <w:rPr>
          <w:rFonts w:ascii="Times New Roman" w:hAnsi="Times New Roman" w:cs="Times New Roman"/>
          <w:sz w:val="28"/>
          <w:szCs w:val="28"/>
        </w:rPr>
        <w:t>Introduction</w:t>
      </w:r>
      <w:bookmarkEnd w:id="2"/>
    </w:p>
    <w:p w:rsidR="00405FBB" w:rsidRPr="00405FBB" w:rsidRDefault="00405FBB" w:rsidP="00405FBB">
      <w:pPr>
        <w:rPr>
          <w:rFonts w:ascii="Times New Roman" w:hAnsi="Times New Roman" w:cs="Times New Roman"/>
          <w:sz w:val="24"/>
          <w:szCs w:val="24"/>
        </w:rPr>
      </w:pPr>
      <w:r w:rsidRPr="00405FBB">
        <w:rPr>
          <w:rFonts w:ascii="Times New Roman" w:hAnsi="Times New Roman" w:cs="Times New Roman"/>
          <w:sz w:val="24"/>
          <w:szCs w:val="24"/>
        </w:rPr>
        <w:t xml:space="preserve">The Operational Review of the National Offshore Petroleum Titles Administrator (NOPTA) is a legislated requirement under the </w:t>
      </w:r>
      <w:r w:rsidRPr="009004C4">
        <w:rPr>
          <w:rFonts w:ascii="Times New Roman" w:hAnsi="Times New Roman" w:cs="Times New Roman"/>
          <w:i/>
          <w:sz w:val="24"/>
          <w:szCs w:val="24"/>
        </w:rPr>
        <w:t>Offshore Petroleum and Greenhouse Gas Storage Act 2006</w:t>
      </w:r>
      <w:r w:rsidRPr="00405FBB">
        <w:rPr>
          <w:rFonts w:ascii="Times New Roman" w:hAnsi="Times New Roman" w:cs="Times New Roman"/>
          <w:sz w:val="24"/>
          <w:szCs w:val="24"/>
        </w:rPr>
        <w:t>. The 2015 Review was the first review of NOPTA since its establishment on 1 January 2012 and relates to its first three years of operation. Subsequent reviews are to be undertaken every five years.</w:t>
      </w:r>
    </w:p>
    <w:p w:rsidR="00405FBB" w:rsidRPr="00405FBB" w:rsidRDefault="00405FBB" w:rsidP="00405FBB">
      <w:pPr>
        <w:rPr>
          <w:rFonts w:ascii="Times New Roman" w:hAnsi="Times New Roman" w:cs="Times New Roman"/>
          <w:sz w:val="24"/>
          <w:szCs w:val="24"/>
        </w:rPr>
      </w:pPr>
      <w:r w:rsidRPr="00405FBB">
        <w:rPr>
          <w:rFonts w:ascii="Times New Roman" w:hAnsi="Times New Roman" w:cs="Times New Roman"/>
          <w:sz w:val="24"/>
          <w:szCs w:val="24"/>
        </w:rPr>
        <w:t xml:space="preserve">The Review considered the effectiveness of the Titles Administrator in contributing to the efficiency of the decision making by the Joint Authority. The Review was conducted by an independent consultancy, Noetic Solutions, and was provided to the then Minister for Industry and Science, the Hon Ian Macfarlane MP, on 30 June 2015 and tabled in both Houses of Parliament on 16 September 2015. The Government Response to the Review was tabled in both Houses of Parliament on 2 December 2015. The Response considered each of the 12 recommendations and noted six, accepted five and agreed-in-principle with one. </w:t>
      </w:r>
    </w:p>
    <w:p w:rsidR="00C84D65" w:rsidRPr="008357AB" w:rsidRDefault="00405FBB" w:rsidP="00C84D65">
      <w:pPr>
        <w:rPr>
          <w:rFonts w:ascii="Times New Roman" w:hAnsi="Times New Roman" w:cs="Times New Roman"/>
          <w:sz w:val="24"/>
          <w:szCs w:val="24"/>
        </w:rPr>
      </w:pPr>
      <w:r w:rsidRPr="00405FBB">
        <w:rPr>
          <w:rFonts w:ascii="Times New Roman" w:hAnsi="Times New Roman" w:cs="Times New Roman"/>
          <w:sz w:val="24"/>
          <w:szCs w:val="24"/>
        </w:rPr>
        <w:t xml:space="preserve">This document constitutes the department’s progress report to the Minister for Resources and Northern Australia on implementation of the review’s recommendations. </w:t>
      </w:r>
      <w:r w:rsidR="009E6444">
        <w:rPr>
          <w:rFonts w:ascii="Times New Roman" w:hAnsi="Times New Roman" w:cs="Times New Roman"/>
          <w:sz w:val="24"/>
          <w:szCs w:val="24"/>
        </w:rPr>
        <w:t xml:space="preserve"> </w:t>
      </w:r>
      <w:r w:rsidRPr="00405FBB">
        <w:rPr>
          <w:rFonts w:ascii="Times New Roman" w:hAnsi="Times New Roman" w:cs="Times New Roman"/>
          <w:sz w:val="24"/>
          <w:szCs w:val="24"/>
        </w:rPr>
        <w:t xml:space="preserve">As shown below, progress </w:t>
      </w:r>
      <w:proofErr w:type="gramStart"/>
      <w:r w:rsidRPr="00405FBB">
        <w:rPr>
          <w:rFonts w:ascii="Times New Roman" w:hAnsi="Times New Roman" w:cs="Times New Roman"/>
          <w:sz w:val="24"/>
          <w:szCs w:val="24"/>
        </w:rPr>
        <w:t>has been achieved</w:t>
      </w:r>
      <w:proofErr w:type="gramEnd"/>
      <w:r w:rsidRPr="00405FBB">
        <w:rPr>
          <w:rFonts w:ascii="Times New Roman" w:hAnsi="Times New Roman" w:cs="Times New Roman"/>
          <w:sz w:val="24"/>
          <w:szCs w:val="24"/>
        </w:rPr>
        <w:t xml:space="preserve"> across all agreed recommendations</w:t>
      </w:r>
      <w:r w:rsidR="009E6444">
        <w:rPr>
          <w:rFonts w:ascii="Times New Roman" w:hAnsi="Times New Roman" w:cs="Times New Roman"/>
          <w:sz w:val="24"/>
          <w:szCs w:val="24"/>
        </w:rPr>
        <w:t>.  Six items are complete, and five items are in progress.  Of the five items in progress, two require further consultation.</w:t>
      </w:r>
      <w:r w:rsidRPr="00405FBB">
        <w:rPr>
          <w:rFonts w:ascii="Times New Roman" w:hAnsi="Times New Roman" w:cs="Times New Roman"/>
          <w:sz w:val="24"/>
          <w:szCs w:val="24"/>
        </w:rPr>
        <w:t xml:space="preserve"> </w:t>
      </w:r>
      <w:r w:rsidR="009E6444">
        <w:rPr>
          <w:rFonts w:ascii="Times New Roman" w:hAnsi="Times New Roman" w:cs="Times New Roman"/>
          <w:sz w:val="24"/>
          <w:szCs w:val="24"/>
        </w:rPr>
        <w:t xml:space="preserve"> O</w:t>
      </w:r>
      <w:r w:rsidRPr="00405FBB">
        <w:rPr>
          <w:rFonts w:ascii="Times New Roman" w:hAnsi="Times New Roman" w:cs="Times New Roman"/>
          <w:sz w:val="24"/>
          <w:szCs w:val="24"/>
        </w:rPr>
        <w:t>ne item (recommendation 12) was agreed not to be progressed at this time in the Government response.</w:t>
      </w:r>
    </w:p>
    <w:p w:rsidR="004A582B" w:rsidRDefault="004A582B" w:rsidP="004A582B">
      <w:pPr>
        <w:pStyle w:val="Heading2"/>
        <w:spacing w:line="240" w:lineRule="auto"/>
        <w:rPr>
          <w:rFonts w:ascii="Times New Roman" w:hAnsi="Times New Roman" w:cs="Times New Roman"/>
          <w:u w:val="single"/>
        </w:rPr>
        <w:sectPr w:rsidR="004A582B" w:rsidSect="0031658C">
          <w:headerReference w:type="default" r:id="rId15"/>
          <w:footerReference w:type="default" r:id="rId16"/>
          <w:headerReference w:type="first" r:id="rId17"/>
          <w:footerReference w:type="first" r:id="rId18"/>
          <w:pgSz w:w="11906" w:h="16838"/>
          <w:pgMar w:top="1440" w:right="1440" w:bottom="1440" w:left="1440" w:header="708" w:footer="708" w:gutter="0"/>
          <w:cols w:space="708"/>
          <w:docGrid w:linePitch="360"/>
        </w:sectPr>
      </w:pPr>
      <w:bookmarkStart w:id="3" w:name="_GoBack"/>
      <w:bookmarkEnd w:id="3"/>
    </w:p>
    <w:p w:rsidR="004A582B" w:rsidRPr="00C264A7" w:rsidRDefault="004A582B" w:rsidP="004A582B">
      <w:pPr>
        <w:pStyle w:val="Heading2"/>
        <w:spacing w:line="240" w:lineRule="auto"/>
        <w:rPr>
          <w:rStyle w:val="Tabletitle"/>
        </w:rPr>
      </w:pPr>
      <w:bookmarkStart w:id="4" w:name="_Toc460590785"/>
      <w:r w:rsidRPr="00C264A7">
        <w:rPr>
          <w:rStyle w:val="Tabletitle"/>
        </w:rPr>
        <w:lastRenderedPageBreak/>
        <w:t>Progress on implementation of recommendations from NOP</w:t>
      </w:r>
      <w:r w:rsidR="00405FBB">
        <w:rPr>
          <w:rStyle w:val="Tabletitle"/>
        </w:rPr>
        <w:t>TA</w:t>
      </w:r>
      <w:r w:rsidRPr="00C264A7">
        <w:rPr>
          <w:rStyle w:val="Tabletitle"/>
        </w:rPr>
        <w:t xml:space="preserve"> Operational Review</w:t>
      </w:r>
      <w:bookmarkEnd w:id="4"/>
    </w:p>
    <w:tbl>
      <w:tblPr>
        <w:tblStyle w:val="TableGrid"/>
        <w:tblW w:w="14175" w:type="dxa"/>
        <w:tblLayout w:type="fixed"/>
        <w:tblLook w:val="04A0" w:firstRow="1" w:lastRow="0" w:firstColumn="1" w:lastColumn="0" w:noHBand="0" w:noVBand="1"/>
      </w:tblPr>
      <w:tblGrid>
        <w:gridCol w:w="704"/>
        <w:gridCol w:w="2949"/>
        <w:gridCol w:w="1843"/>
        <w:gridCol w:w="1445"/>
        <w:gridCol w:w="1815"/>
        <w:gridCol w:w="5419"/>
      </w:tblGrid>
      <w:tr w:rsidR="004A582B" w:rsidRPr="008357AB" w:rsidTr="000F5912">
        <w:trPr>
          <w:trHeight w:val="1111"/>
          <w:tblHeader/>
        </w:trPr>
        <w:tc>
          <w:tcPr>
            <w:tcW w:w="704" w:type="dxa"/>
            <w:tcBorders>
              <w:top w:val="single" w:sz="4" w:space="0" w:color="auto"/>
              <w:left w:val="single" w:sz="4" w:space="0" w:color="auto"/>
              <w:bottom w:val="single" w:sz="4" w:space="0" w:color="auto"/>
              <w:right w:val="single" w:sz="4" w:space="0" w:color="auto"/>
            </w:tcBorders>
            <w:shd w:val="clear" w:color="auto" w:fill="EBF7F8" w:themeFill="accent5" w:themeFillTint="33"/>
            <w:hideMark/>
          </w:tcPr>
          <w:p w:rsidR="004A582B" w:rsidRPr="008357AB" w:rsidRDefault="004A582B" w:rsidP="000F5912">
            <w:pPr>
              <w:rPr>
                <w:rFonts w:ascii="Times New Roman" w:hAnsi="Times New Roman" w:cs="Times New Roman"/>
                <w:b/>
              </w:rPr>
            </w:pPr>
            <w:r w:rsidRPr="008357AB">
              <w:rPr>
                <w:rFonts w:ascii="Times New Roman" w:hAnsi="Times New Roman" w:cs="Times New Roman"/>
                <w:b/>
              </w:rPr>
              <w:t xml:space="preserve">Item </w:t>
            </w:r>
          </w:p>
        </w:tc>
        <w:tc>
          <w:tcPr>
            <w:tcW w:w="2949" w:type="dxa"/>
            <w:tcBorders>
              <w:top w:val="single" w:sz="4" w:space="0" w:color="auto"/>
              <w:left w:val="single" w:sz="4" w:space="0" w:color="auto"/>
              <w:bottom w:val="single" w:sz="4" w:space="0" w:color="auto"/>
              <w:right w:val="single" w:sz="4" w:space="0" w:color="auto"/>
            </w:tcBorders>
            <w:shd w:val="clear" w:color="auto" w:fill="EBF7F8" w:themeFill="accent5" w:themeFillTint="33"/>
          </w:tcPr>
          <w:p w:rsidR="004A582B" w:rsidRPr="008357AB" w:rsidRDefault="004A582B" w:rsidP="000F5912">
            <w:pPr>
              <w:rPr>
                <w:rFonts w:ascii="Times New Roman" w:hAnsi="Times New Roman" w:cs="Times New Roman"/>
                <w:b/>
              </w:rPr>
            </w:pPr>
            <w:r w:rsidRPr="008357AB">
              <w:rPr>
                <w:rFonts w:ascii="Times New Roman" w:hAnsi="Times New Roman" w:cs="Times New Roman"/>
                <w:b/>
              </w:rPr>
              <w:t xml:space="preserve">Recommendation </w:t>
            </w:r>
          </w:p>
          <w:p w:rsidR="004A582B" w:rsidRPr="008357AB" w:rsidRDefault="004A582B" w:rsidP="000F5912">
            <w:pPr>
              <w:rPr>
                <w:rFonts w:ascii="Times New Roman" w:hAnsi="Times New Roman" w:cs="Times New Roman"/>
                <w:b/>
              </w:rPr>
            </w:pPr>
          </w:p>
        </w:tc>
        <w:tc>
          <w:tcPr>
            <w:tcW w:w="1843" w:type="dxa"/>
            <w:tcBorders>
              <w:top w:val="single" w:sz="4" w:space="0" w:color="auto"/>
              <w:left w:val="single" w:sz="4" w:space="0" w:color="auto"/>
              <w:bottom w:val="single" w:sz="4" w:space="0" w:color="auto"/>
              <w:right w:val="single" w:sz="4" w:space="0" w:color="auto"/>
            </w:tcBorders>
            <w:shd w:val="clear" w:color="auto" w:fill="EBF7F8" w:themeFill="accent5" w:themeFillTint="33"/>
          </w:tcPr>
          <w:p w:rsidR="004A582B" w:rsidRPr="008357AB" w:rsidRDefault="004A582B" w:rsidP="000F5912">
            <w:pPr>
              <w:rPr>
                <w:rFonts w:ascii="Times New Roman" w:hAnsi="Times New Roman" w:cs="Times New Roman"/>
                <w:b/>
              </w:rPr>
            </w:pPr>
            <w:r w:rsidRPr="008357AB">
              <w:rPr>
                <w:rFonts w:ascii="Times New Roman" w:hAnsi="Times New Roman" w:cs="Times New Roman"/>
                <w:b/>
              </w:rPr>
              <w:t xml:space="preserve">Responsibility for Implementation </w:t>
            </w:r>
          </w:p>
          <w:p w:rsidR="004A582B" w:rsidRPr="008357AB" w:rsidRDefault="004A582B" w:rsidP="000F5912">
            <w:pPr>
              <w:rPr>
                <w:rFonts w:ascii="Times New Roman" w:hAnsi="Times New Roman" w:cs="Times New Roman"/>
                <w:b/>
              </w:rPr>
            </w:pPr>
          </w:p>
        </w:tc>
        <w:tc>
          <w:tcPr>
            <w:tcW w:w="1445" w:type="dxa"/>
            <w:tcBorders>
              <w:top w:val="single" w:sz="4" w:space="0" w:color="auto"/>
              <w:left w:val="single" w:sz="4" w:space="0" w:color="auto"/>
              <w:bottom w:val="single" w:sz="4" w:space="0" w:color="auto"/>
              <w:right w:val="single" w:sz="4" w:space="0" w:color="auto"/>
            </w:tcBorders>
            <w:shd w:val="clear" w:color="auto" w:fill="EBF7F8" w:themeFill="accent5" w:themeFillTint="33"/>
            <w:hideMark/>
          </w:tcPr>
          <w:p w:rsidR="004A582B" w:rsidRPr="008357AB" w:rsidRDefault="004A582B" w:rsidP="000F5912">
            <w:pPr>
              <w:rPr>
                <w:rFonts w:ascii="Times New Roman" w:hAnsi="Times New Roman" w:cs="Times New Roman"/>
                <w:b/>
              </w:rPr>
            </w:pPr>
            <w:r w:rsidRPr="008357AB">
              <w:rPr>
                <w:rFonts w:ascii="Times New Roman" w:hAnsi="Times New Roman" w:cs="Times New Roman"/>
                <w:b/>
              </w:rPr>
              <w:t>Government response:</w:t>
            </w:r>
          </w:p>
          <w:p w:rsidR="004A582B" w:rsidRPr="008357AB" w:rsidRDefault="004A582B" w:rsidP="000F5912">
            <w:pPr>
              <w:rPr>
                <w:rFonts w:ascii="Times New Roman" w:hAnsi="Times New Roman" w:cs="Times New Roman"/>
                <w:b/>
              </w:rPr>
            </w:pPr>
          </w:p>
        </w:tc>
        <w:tc>
          <w:tcPr>
            <w:tcW w:w="1815" w:type="dxa"/>
            <w:tcBorders>
              <w:top w:val="single" w:sz="4" w:space="0" w:color="auto"/>
              <w:left w:val="single" w:sz="4" w:space="0" w:color="auto"/>
              <w:bottom w:val="single" w:sz="4" w:space="0" w:color="auto"/>
              <w:right w:val="single" w:sz="4" w:space="0" w:color="auto"/>
            </w:tcBorders>
            <w:shd w:val="clear" w:color="auto" w:fill="EBF7F8" w:themeFill="accent5" w:themeFillTint="33"/>
          </w:tcPr>
          <w:p w:rsidR="004A582B" w:rsidRPr="008357AB" w:rsidRDefault="004A582B" w:rsidP="000F5912">
            <w:pPr>
              <w:rPr>
                <w:rFonts w:ascii="Times New Roman" w:hAnsi="Times New Roman" w:cs="Times New Roman"/>
                <w:b/>
              </w:rPr>
            </w:pPr>
            <w:r>
              <w:rPr>
                <w:rFonts w:ascii="Times New Roman" w:hAnsi="Times New Roman" w:cs="Times New Roman"/>
                <w:b/>
              </w:rPr>
              <w:t xml:space="preserve">Implementation </w:t>
            </w:r>
            <w:r w:rsidRPr="008357AB">
              <w:rPr>
                <w:rFonts w:ascii="Times New Roman" w:hAnsi="Times New Roman" w:cs="Times New Roman"/>
                <w:b/>
              </w:rPr>
              <w:t>Status</w:t>
            </w:r>
          </w:p>
          <w:p w:rsidR="004A582B" w:rsidRPr="008357AB" w:rsidRDefault="004A582B" w:rsidP="000F5912">
            <w:pPr>
              <w:rPr>
                <w:rFonts w:ascii="Times New Roman" w:hAnsi="Times New Roman" w:cs="Times New Roman"/>
                <w:b/>
              </w:rPr>
            </w:pPr>
          </w:p>
        </w:tc>
        <w:tc>
          <w:tcPr>
            <w:tcW w:w="5419" w:type="dxa"/>
            <w:tcBorders>
              <w:top w:val="single" w:sz="4" w:space="0" w:color="auto"/>
              <w:left w:val="single" w:sz="4" w:space="0" w:color="auto"/>
              <w:bottom w:val="single" w:sz="4" w:space="0" w:color="auto"/>
              <w:right w:val="single" w:sz="4" w:space="0" w:color="auto"/>
            </w:tcBorders>
            <w:shd w:val="clear" w:color="auto" w:fill="EBF7F8" w:themeFill="accent5" w:themeFillTint="33"/>
            <w:hideMark/>
          </w:tcPr>
          <w:p w:rsidR="004A582B" w:rsidRPr="008357AB" w:rsidRDefault="004A582B" w:rsidP="000F5912">
            <w:pPr>
              <w:rPr>
                <w:rFonts w:ascii="Times New Roman" w:hAnsi="Times New Roman" w:cs="Times New Roman"/>
                <w:b/>
              </w:rPr>
            </w:pPr>
            <w:r>
              <w:rPr>
                <w:rFonts w:ascii="Times New Roman" w:hAnsi="Times New Roman" w:cs="Times New Roman"/>
                <w:b/>
              </w:rPr>
              <w:t>Comment / progress</w:t>
            </w:r>
          </w:p>
        </w:tc>
      </w:tr>
      <w:tr w:rsidR="00405FBB" w:rsidRPr="008357AB" w:rsidTr="00AD48CB">
        <w:tc>
          <w:tcPr>
            <w:tcW w:w="704" w:type="dxa"/>
            <w:hideMark/>
          </w:tcPr>
          <w:p w:rsidR="00405FBB" w:rsidRPr="00405FBB" w:rsidRDefault="00405FBB" w:rsidP="00405FBB">
            <w:pPr>
              <w:pStyle w:val="ListParagraph"/>
              <w:ind w:left="0"/>
              <w:rPr>
                <w:rFonts w:ascii="Times New Roman" w:hAnsi="Times New Roman" w:cs="Times New Roman"/>
                <w:sz w:val="20"/>
                <w:szCs w:val="20"/>
              </w:rPr>
            </w:pPr>
            <w:r w:rsidRPr="00405FBB">
              <w:rPr>
                <w:rFonts w:ascii="Times New Roman" w:hAnsi="Times New Roman" w:cs="Times New Roman"/>
                <w:sz w:val="20"/>
                <w:szCs w:val="20"/>
              </w:rPr>
              <w:t>1</w:t>
            </w:r>
          </w:p>
        </w:tc>
        <w:tc>
          <w:tcPr>
            <w:tcW w:w="2949" w:type="dxa"/>
          </w:tcPr>
          <w:p w:rsidR="00405FBB" w:rsidRPr="00405FBB" w:rsidRDefault="00405FBB" w:rsidP="00405FBB">
            <w:pPr>
              <w:rPr>
                <w:rFonts w:ascii="Times New Roman" w:hAnsi="Times New Roman" w:cs="Times New Roman"/>
                <w:szCs w:val="20"/>
              </w:rPr>
            </w:pPr>
            <w:r w:rsidRPr="00405FBB">
              <w:rPr>
                <w:rFonts w:ascii="Times New Roman" w:hAnsi="Times New Roman" w:cs="Times New Roman"/>
                <w:szCs w:val="20"/>
              </w:rPr>
              <w:t>That timeframes for the consideration of, and decision making for, all titles related matters by Joint Authorities is agreed with jurisdictions and implemented.</w:t>
            </w:r>
          </w:p>
        </w:tc>
        <w:tc>
          <w:tcPr>
            <w:tcW w:w="1843" w:type="dxa"/>
            <w:shd w:val="clear" w:color="auto" w:fill="auto"/>
            <w:hideMark/>
          </w:tcPr>
          <w:p w:rsidR="00405FBB" w:rsidRPr="00405FBB" w:rsidRDefault="00405FBB" w:rsidP="00405FBB">
            <w:pPr>
              <w:pStyle w:val="NormalWeb"/>
              <w:rPr>
                <w:sz w:val="20"/>
                <w:szCs w:val="20"/>
              </w:rPr>
            </w:pPr>
            <w:r w:rsidRPr="00405FBB">
              <w:rPr>
                <w:sz w:val="20"/>
                <w:szCs w:val="20"/>
              </w:rPr>
              <w:t>DIIS</w:t>
            </w:r>
          </w:p>
        </w:tc>
        <w:tc>
          <w:tcPr>
            <w:tcW w:w="1445" w:type="dxa"/>
            <w:hideMark/>
          </w:tcPr>
          <w:p w:rsidR="00405FBB" w:rsidRPr="00405FBB" w:rsidRDefault="00405FBB" w:rsidP="00405FBB">
            <w:pPr>
              <w:pStyle w:val="NormalWeb"/>
              <w:rPr>
                <w:sz w:val="20"/>
                <w:szCs w:val="20"/>
              </w:rPr>
            </w:pPr>
            <w:r w:rsidRPr="00405FBB">
              <w:rPr>
                <w:sz w:val="20"/>
                <w:szCs w:val="20"/>
              </w:rPr>
              <w:t>Noted</w:t>
            </w:r>
          </w:p>
        </w:tc>
        <w:tc>
          <w:tcPr>
            <w:tcW w:w="1815" w:type="dxa"/>
            <w:hideMark/>
          </w:tcPr>
          <w:p w:rsidR="00405FBB" w:rsidRPr="00405FBB" w:rsidRDefault="00405FBB" w:rsidP="00405FBB">
            <w:pPr>
              <w:pStyle w:val="NormalWeb"/>
              <w:rPr>
                <w:sz w:val="20"/>
                <w:szCs w:val="20"/>
              </w:rPr>
            </w:pPr>
            <w:r w:rsidRPr="00405FBB">
              <w:rPr>
                <w:sz w:val="20"/>
                <w:szCs w:val="20"/>
              </w:rPr>
              <w:t>Complete</w:t>
            </w:r>
          </w:p>
        </w:tc>
        <w:tc>
          <w:tcPr>
            <w:tcW w:w="5419" w:type="dxa"/>
            <w:shd w:val="clear" w:color="auto" w:fill="auto"/>
            <w:hideMark/>
          </w:tcPr>
          <w:p w:rsidR="00405FBB" w:rsidRPr="00405FBB" w:rsidRDefault="00405FBB" w:rsidP="00405FBB">
            <w:pPr>
              <w:pStyle w:val="NormalWeb"/>
              <w:rPr>
                <w:sz w:val="20"/>
                <w:szCs w:val="20"/>
              </w:rPr>
            </w:pPr>
            <w:r w:rsidRPr="00405FBB">
              <w:rPr>
                <w:sz w:val="20"/>
                <w:szCs w:val="20"/>
              </w:rPr>
              <w:t xml:space="preserve">This was progressed through the Upstream Petroleum Resources (UPR) working group with agreement reached for the public release of the ‘Operating Protocols for Offshore Petroleum Joint Authorities and supporting institutions’. The protocol was made public in early May 2016, see </w:t>
            </w:r>
            <w:hyperlink r:id="rId19" w:history="1">
              <w:r w:rsidRPr="00405FBB">
                <w:rPr>
                  <w:rStyle w:val="Hyperlink"/>
                  <w:rFonts w:eastAsiaTheme="majorEastAsia"/>
                  <w:sz w:val="20"/>
                  <w:szCs w:val="20"/>
                </w:rPr>
                <w:t>http://www.nopta.gov.au/ja_protocol.html</w:t>
              </w:r>
            </w:hyperlink>
            <w:r w:rsidRPr="00405FBB">
              <w:rPr>
                <w:sz w:val="20"/>
                <w:szCs w:val="20"/>
              </w:rPr>
              <w:t xml:space="preserve">. </w:t>
            </w:r>
            <w:r w:rsidRPr="00405FBB">
              <w:rPr>
                <w:sz w:val="20"/>
                <w:szCs w:val="20"/>
                <w:lang w:val="en"/>
              </w:rPr>
              <w:t>The Protocol provides a high level framework and clarifies the roles and functions of the Joint Authority, NOPTA, the National Offshore Petroleum Safety and Environment Management Authority (NOPSEMA) and other stakeholders. The Joint Authority Protocol includes indicative timeframes for the processing of applications. The timeframes contained in the Joint Authority Protocol are intended to provide guidance to applicants and titleholders to assist with planning.</w:t>
            </w:r>
          </w:p>
        </w:tc>
      </w:tr>
      <w:tr w:rsidR="00405FBB" w:rsidRPr="008357AB" w:rsidTr="00AD48CB">
        <w:tc>
          <w:tcPr>
            <w:tcW w:w="704" w:type="dxa"/>
            <w:hideMark/>
          </w:tcPr>
          <w:p w:rsidR="00405FBB" w:rsidRPr="00405FBB" w:rsidRDefault="00405FBB" w:rsidP="00405FBB">
            <w:pPr>
              <w:rPr>
                <w:rFonts w:ascii="Times New Roman" w:hAnsi="Times New Roman" w:cs="Times New Roman"/>
                <w:szCs w:val="20"/>
              </w:rPr>
            </w:pPr>
            <w:r w:rsidRPr="00405FBB">
              <w:rPr>
                <w:rFonts w:ascii="Times New Roman" w:hAnsi="Times New Roman" w:cs="Times New Roman"/>
                <w:szCs w:val="20"/>
              </w:rPr>
              <w:t>2</w:t>
            </w:r>
          </w:p>
        </w:tc>
        <w:tc>
          <w:tcPr>
            <w:tcW w:w="2949" w:type="dxa"/>
            <w:hideMark/>
          </w:tcPr>
          <w:p w:rsidR="00405FBB" w:rsidRPr="00405FBB" w:rsidRDefault="00405FBB" w:rsidP="00405FBB">
            <w:pPr>
              <w:rPr>
                <w:rFonts w:ascii="Times New Roman" w:hAnsi="Times New Roman" w:cs="Times New Roman"/>
                <w:szCs w:val="20"/>
              </w:rPr>
            </w:pPr>
            <w:r w:rsidRPr="00405FBB">
              <w:rPr>
                <w:rFonts w:ascii="Times New Roman" w:hAnsi="Times New Roman" w:cs="Times New Roman"/>
                <w:szCs w:val="20"/>
              </w:rPr>
              <w:t>The adherence of the Titles Administrator and Joint Authorities against the agreed timeframes is reported as part of NOPTA’s annual report.</w:t>
            </w:r>
          </w:p>
        </w:tc>
        <w:tc>
          <w:tcPr>
            <w:tcW w:w="1843" w:type="dxa"/>
            <w:shd w:val="clear" w:color="auto" w:fill="auto"/>
            <w:hideMark/>
          </w:tcPr>
          <w:p w:rsidR="00405FBB" w:rsidRPr="00405FBB" w:rsidRDefault="00405FBB" w:rsidP="00405FBB">
            <w:pPr>
              <w:rPr>
                <w:rFonts w:ascii="Times New Roman" w:hAnsi="Times New Roman" w:cs="Times New Roman"/>
                <w:szCs w:val="20"/>
              </w:rPr>
            </w:pPr>
            <w:r w:rsidRPr="00405FBB">
              <w:rPr>
                <w:rFonts w:ascii="Times New Roman" w:hAnsi="Times New Roman" w:cs="Times New Roman"/>
                <w:szCs w:val="20"/>
              </w:rPr>
              <w:t>DIIS, NOPTA</w:t>
            </w:r>
          </w:p>
        </w:tc>
        <w:tc>
          <w:tcPr>
            <w:tcW w:w="1445" w:type="dxa"/>
          </w:tcPr>
          <w:p w:rsidR="00405FBB" w:rsidRPr="00405FBB" w:rsidRDefault="00405FBB" w:rsidP="00405FBB">
            <w:pPr>
              <w:rPr>
                <w:rFonts w:ascii="Times New Roman" w:hAnsi="Times New Roman" w:cs="Times New Roman"/>
                <w:szCs w:val="20"/>
              </w:rPr>
            </w:pPr>
            <w:r w:rsidRPr="00405FBB">
              <w:rPr>
                <w:rFonts w:ascii="Times New Roman" w:hAnsi="Times New Roman" w:cs="Times New Roman"/>
                <w:szCs w:val="20"/>
              </w:rPr>
              <w:t>Agreed in principle</w:t>
            </w:r>
          </w:p>
        </w:tc>
        <w:tc>
          <w:tcPr>
            <w:tcW w:w="1815" w:type="dxa"/>
            <w:hideMark/>
          </w:tcPr>
          <w:p w:rsidR="00405FBB" w:rsidRPr="00405FBB" w:rsidRDefault="00405FBB" w:rsidP="00405FBB">
            <w:pPr>
              <w:rPr>
                <w:rFonts w:ascii="Times New Roman" w:hAnsi="Times New Roman" w:cs="Times New Roman"/>
                <w:szCs w:val="20"/>
              </w:rPr>
            </w:pPr>
            <w:r w:rsidRPr="00405FBB">
              <w:rPr>
                <w:rFonts w:ascii="Times New Roman" w:hAnsi="Times New Roman" w:cs="Times New Roman"/>
                <w:szCs w:val="20"/>
              </w:rPr>
              <w:t>In progress</w:t>
            </w:r>
          </w:p>
        </w:tc>
        <w:tc>
          <w:tcPr>
            <w:tcW w:w="5419" w:type="dxa"/>
            <w:shd w:val="clear" w:color="auto" w:fill="auto"/>
            <w:hideMark/>
          </w:tcPr>
          <w:p w:rsidR="00405FBB" w:rsidRPr="00405FBB" w:rsidRDefault="00405FBB" w:rsidP="00405FBB">
            <w:pPr>
              <w:rPr>
                <w:rFonts w:ascii="Times New Roman" w:hAnsi="Times New Roman" w:cs="Times New Roman"/>
                <w:szCs w:val="20"/>
              </w:rPr>
            </w:pPr>
            <w:r w:rsidRPr="00405FBB">
              <w:rPr>
                <w:rFonts w:ascii="Times New Roman" w:hAnsi="Times New Roman" w:cs="Times New Roman"/>
                <w:szCs w:val="20"/>
              </w:rPr>
              <w:t xml:space="preserve">NOPTA is obliged to implement the Australian Government’s Regulator Performance Framework (RPF) – see </w:t>
            </w:r>
            <w:hyperlink r:id="rId20" w:history="1">
              <w:r w:rsidRPr="00405FBB">
                <w:rPr>
                  <w:rStyle w:val="Hyperlink"/>
                  <w:rFonts w:ascii="Times New Roman" w:hAnsi="Times New Roman" w:cs="Times New Roman"/>
                  <w:szCs w:val="20"/>
                </w:rPr>
                <w:t>www.dpmc.gov.au/regulation/commonwealth-regulators/regulation-performance-framework</w:t>
              </w:r>
            </w:hyperlink>
            <w:r w:rsidRPr="00405FBB">
              <w:rPr>
                <w:rFonts w:ascii="Times New Roman" w:hAnsi="Times New Roman" w:cs="Times New Roman"/>
                <w:szCs w:val="20"/>
              </w:rPr>
              <w:t>. As part of the self-assessment against the RPF, NOPTA will be reporting its performance in relation to the indicative timeframes. Over time the reporting against these timeframes will be refined. The self-assessment is due to be published by the end of 2016 following relevant approvals. This process was chosen as NOPTA does not publish an independent annual report, it is part of the Department of Industry, Innovation and Science.</w:t>
            </w:r>
          </w:p>
        </w:tc>
      </w:tr>
      <w:tr w:rsidR="00405FBB" w:rsidRPr="008357AB" w:rsidTr="00AD48CB">
        <w:tc>
          <w:tcPr>
            <w:tcW w:w="704" w:type="dxa"/>
            <w:hideMark/>
          </w:tcPr>
          <w:p w:rsidR="00405FBB" w:rsidRPr="00405FBB" w:rsidRDefault="00405FBB" w:rsidP="00405FBB">
            <w:pPr>
              <w:rPr>
                <w:rFonts w:ascii="Times New Roman" w:hAnsi="Times New Roman" w:cs="Times New Roman"/>
                <w:szCs w:val="20"/>
              </w:rPr>
            </w:pPr>
            <w:r w:rsidRPr="00405FBB">
              <w:rPr>
                <w:rFonts w:ascii="Times New Roman" w:hAnsi="Times New Roman" w:cs="Times New Roman"/>
                <w:szCs w:val="20"/>
              </w:rPr>
              <w:t>3</w:t>
            </w:r>
          </w:p>
        </w:tc>
        <w:tc>
          <w:tcPr>
            <w:tcW w:w="2949" w:type="dxa"/>
            <w:hideMark/>
          </w:tcPr>
          <w:p w:rsidR="00405FBB" w:rsidRPr="00405FBB" w:rsidRDefault="00405FBB" w:rsidP="00405FBB">
            <w:pPr>
              <w:rPr>
                <w:rFonts w:ascii="Times New Roman" w:hAnsi="Times New Roman" w:cs="Times New Roman"/>
                <w:szCs w:val="20"/>
              </w:rPr>
            </w:pPr>
            <w:r w:rsidRPr="00405FBB">
              <w:rPr>
                <w:rFonts w:ascii="Times New Roman" w:hAnsi="Times New Roman" w:cs="Times New Roman"/>
                <w:szCs w:val="20"/>
              </w:rPr>
              <w:t>That the feasibility of delegating simple decisions to the Titles Administrator is investigated.</w:t>
            </w:r>
          </w:p>
        </w:tc>
        <w:tc>
          <w:tcPr>
            <w:tcW w:w="1843" w:type="dxa"/>
            <w:shd w:val="clear" w:color="auto" w:fill="auto"/>
            <w:hideMark/>
          </w:tcPr>
          <w:p w:rsidR="00405FBB" w:rsidRPr="00405FBB" w:rsidRDefault="00405FBB" w:rsidP="00405FBB">
            <w:pPr>
              <w:rPr>
                <w:rFonts w:ascii="Times New Roman" w:hAnsi="Times New Roman" w:cs="Times New Roman"/>
                <w:szCs w:val="20"/>
              </w:rPr>
            </w:pPr>
            <w:r w:rsidRPr="00405FBB">
              <w:rPr>
                <w:rFonts w:ascii="Times New Roman" w:hAnsi="Times New Roman" w:cs="Times New Roman"/>
                <w:szCs w:val="20"/>
              </w:rPr>
              <w:t>DIIS, NOPTA</w:t>
            </w:r>
          </w:p>
        </w:tc>
        <w:tc>
          <w:tcPr>
            <w:tcW w:w="1445" w:type="dxa"/>
            <w:hideMark/>
          </w:tcPr>
          <w:p w:rsidR="00405FBB" w:rsidRPr="00405FBB" w:rsidRDefault="00405FBB" w:rsidP="00405FBB">
            <w:pPr>
              <w:rPr>
                <w:rFonts w:ascii="Times New Roman" w:hAnsi="Times New Roman" w:cs="Times New Roman"/>
                <w:szCs w:val="20"/>
              </w:rPr>
            </w:pPr>
            <w:r w:rsidRPr="00405FBB">
              <w:rPr>
                <w:rFonts w:ascii="Times New Roman" w:hAnsi="Times New Roman" w:cs="Times New Roman"/>
                <w:szCs w:val="20"/>
              </w:rPr>
              <w:t>Accepted</w:t>
            </w:r>
          </w:p>
        </w:tc>
        <w:tc>
          <w:tcPr>
            <w:tcW w:w="1815" w:type="dxa"/>
            <w:hideMark/>
          </w:tcPr>
          <w:p w:rsidR="00405FBB" w:rsidRPr="00405FBB" w:rsidRDefault="00405FBB" w:rsidP="00405FBB">
            <w:pPr>
              <w:rPr>
                <w:rFonts w:ascii="Times New Roman" w:hAnsi="Times New Roman" w:cs="Times New Roman"/>
                <w:szCs w:val="20"/>
              </w:rPr>
            </w:pPr>
            <w:r w:rsidRPr="00405FBB">
              <w:rPr>
                <w:rFonts w:ascii="Times New Roman" w:hAnsi="Times New Roman" w:cs="Times New Roman"/>
                <w:szCs w:val="20"/>
              </w:rPr>
              <w:t>In-progress</w:t>
            </w:r>
          </w:p>
        </w:tc>
        <w:tc>
          <w:tcPr>
            <w:tcW w:w="5419" w:type="dxa"/>
            <w:shd w:val="clear" w:color="auto" w:fill="auto"/>
            <w:hideMark/>
          </w:tcPr>
          <w:p w:rsidR="00405FBB" w:rsidRPr="00405FBB" w:rsidRDefault="00405FBB" w:rsidP="00405FBB">
            <w:pPr>
              <w:rPr>
                <w:rFonts w:ascii="Times New Roman" w:hAnsi="Times New Roman" w:cs="Times New Roman"/>
                <w:szCs w:val="20"/>
              </w:rPr>
            </w:pPr>
            <w:r w:rsidRPr="00405FBB">
              <w:rPr>
                <w:rFonts w:ascii="Times New Roman" w:hAnsi="Times New Roman" w:cs="Times New Roman"/>
                <w:szCs w:val="20"/>
              </w:rPr>
              <w:t xml:space="preserve">NOPTA is reviewing the decisions made under the </w:t>
            </w:r>
            <w:r w:rsidRPr="00405FBB">
              <w:rPr>
                <w:rFonts w:ascii="Times New Roman" w:hAnsi="Times New Roman" w:cs="Times New Roman"/>
                <w:i/>
                <w:szCs w:val="20"/>
              </w:rPr>
              <w:t>Offshore Petroleum and Greenhouse Gas Storage Act 2006</w:t>
            </w:r>
            <w:r w:rsidRPr="00405FBB">
              <w:rPr>
                <w:rFonts w:ascii="Times New Roman" w:hAnsi="Times New Roman" w:cs="Times New Roman"/>
                <w:szCs w:val="20"/>
              </w:rPr>
              <w:t xml:space="preserve"> and Offshore Petroleum and Greenhouse Gas Storage (Resource Management and Administration) Regulations 2011. </w:t>
            </w:r>
          </w:p>
          <w:p w:rsidR="00405FBB" w:rsidRPr="00405FBB" w:rsidRDefault="00405FBB" w:rsidP="00405FBB">
            <w:pPr>
              <w:rPr>
                <w:rFonts w:ascii="Times New Roman" w:hAnsi="Times New Roman" w:cs="Times New Roman"/>
                <w:szCs w:val="20"/>
              </w:rPr>
            </w:pPr>
          </w:p>
          <w:p w:rsidR="00405FBB" w:rsidRPr="00405FBB" w:rsidRDefault="00405FBB" w:rsidP="00405FBB">
            <w:pPr>
              <w:rPr>
                <w:rFonts w:ascii="Times New Roman" w:hAnsi="Times New Roman" w:cs="Times New Roman"/>
                <w:szCs w:val="20"/>
              </w:rPr>
            </w:pPr>
            <w:r w:rsidRPr="00405FBB">
              <w:rPr>
                <w:rFonts w:ascii="Times New Roman" w:hAnsi="Times New Roman" w:cs="Times New Roman"/>
                <w:szCs w:val="20"/>
              </w:rPr>
              <w:lastRenderedPageBreak/>
              <w:t>Proposals on Joint Authority decisions that could be delegated to NOPTA will be considered through UPR noting legislative amendments may be required should any changes be agreed to proceed.</w:t>
            </w:r>
          </w:p>
        </w:tc>
      </w:tr>
      <w:tr w:rsidR="00405FBB" w:rsidRPr="008357AB" w:rsidTr="00AD48CB">
        <w:tc>
          <w:tcPr>
            <w:tcW w:w="704" w:type="dxa"/>
            <w:hideMark/>
          </w:tcPr>
          <w:p w:rsidR="00405FBB" w:rsidRPr="00405FBB" w:rsidRDefault="00405FBB" w:rsidP="00405FBB">
            <w:pPr>
              <w:rPr>
                <w:rFonts w:ascii="Times New Roman" w:hAnsi="Times New Roman" w:cs="Times New Roman"/>
                <w:szCs w:val="20"/>
              </w:rPr>
            </w:pPr>
            <w:r w:rsidRPr="00405FBB">
              <w:rPr>
                <w:rFonts w:ascii="Times New Roman" w:hAnsi="Times New Roman" w:cs="Times New Roman"/>
                <w:szCs w:val="20"/>
              </w:rPr>
              <w:lastRenderedPageBreak/>
              <w:t>4</w:t>
            </w:r>
          </w:p>
        </w:tc>
        <w:tc>
          <w:tcPr>
            <w:tcW w:w="2949" w:type="dxa"/>
            <w:hideMark/>
          </w:tcPr>
          <w:p w:rsidR="00405FBB" w:rsidRPr="00405FBB" w:rsidRDefault="00405FBB" w:rsidP="009004C4">
            <w:pPr>
              <w:rPr>
                <w:rFonts w:ascii="Times New Roman" w:hAnsi="Times New Roman" w:cs="Times New Roman"/>
                <w:szCs w:val="20"/>
              </w:rPr>
            </w:pPr>
            <w:r w:rsidRPr="00405FBB">
              <w:rPr>
                <w:rFonts w:ascii="Times New Roman" w:hAnsi="Times New Roman" w:cs="Times New Roman"/>
                <w:szCs w:val="20"/>
              </w:rPr>
              <w:t>That NOPTA, in conjunction with stakeholders, develop and implement</w:t>
            </w:r>
            <w:r w:rsidR="009004C4">
              <w:rPr>
                <w:rFonts w:ascii="Times New Roman" w:hAnsi="Times New Roman" w:cs="Times New Roman"/>
                <w:szCs w:val="20"/>
              </w:rPr>
              <w:t xml:space="preserve"> </w:t>
            </w:r>
            <w:r w:rsidRPr="00405FBB">
              <w:rPr>
                <w:rFonts w:ascii="Times New Roman" w:hAnsi="Times New Roman" w:cs="Times New Roman"/>
                <w:szCs w:val="20"/>
              </w:rPr>
              <w:t>short and long term plans to enhance the NEATS system to improve the efficiency and access to titles information.</w:t>
            </w:r>
          </w:p>
        </w:tc>
        <w:tc>
          <w:tcPr>
            <w:tcW w:w="1843" w:type="dxa"/>
            <w:shd w:val="clear" w:color="auto" w:fill="auto"/>
            <w:hideMark/>
          </w:tcPr>
          <w:p w:rsidR="00405FBB" w:rsidRPr="00405FBB" w:rsidRDefault="00405FBB" w:rsidP="00405FBB">
            <w:pPr>
              <w:rPr>
                <w:rFonts w:ascii="Times New Roman" w:hAnsi="Times New Roman" w:cs="Times New Roman"/>
                <w:szCs w:val="20"/>
              </w:rPr>
            </w:pPr>
            <w:r w:rsidRPr="00405FBB">
              <w:rPr>
                <w:rFonts w:ascii="Times New Roman" w:hAnsi="Times New Roman" w:cs="Times New Roman"/>
                <w:szCs w:val="20"/>
              </w:rPr>
              <w:t xml:space="preserve"> NOPTA</w:t>
            </w:r>
          </w:p>
        </w:tc>
        <w:tc>
          <w:tcPr>
            <w:tcW w:w="1445" w:type="dxa"/>
            <w:hideMark/>
          </w:tcPr>
          <w:p w:rsidR="00405FBB" w:rsidRPr="00405FBB" w:rsidRDefault="00405FBB" w:rsidP="00405FBB">
            <w:pPr>
              <w:rPr>
                <w:rFonts w:ascii="Times New Roman" w:hAnsi="Times New Roman" w:cs="Times New Roman"/>
                <w:szCs w:val="20"/>
              </w:rPr>
            </w:pPr>
            <w:r w:rsidRPr="00405FBB">
              <w:rPr>
                <w:rFonts w:ascii="Times New Roman" w:hAnsi="Times New Roman" w:cs="Times New Roman"/>
                <w:szCs w:val="20"/>
              </w:rPr>
              <w:t>Accepted</w:t>
            </w:r>
          </w:p>
        </w:tc>
        <w:tc>
          <w:tcPr>
            <w:tcW w:w="1815" w:type="dxa"/>
            <w:hideMark/>
          </w:tcPr>
          <w:p w:rsidR="00405FBB" w:rsidRPr="00405FBB" w:rsidRDefault="00405FBB" w:rsidP="00405FBB">
            <w:pPr>
              <w:rPr>
                <w:rFonts w:ascii="Times New Roman" w:hAnsi="Times New Roman" w:cs="Times New Roman"/>
                <w:szCs w:val="20"/>
              </w:rPr>
            </w:pPr>
            <w:r w:rsidRPr="00405FBB">
              <w:rPr>
                <w:rFonts w:ascii="Times New Roman" w:hAnsi="Times New Roman" w:cs="Times New Roman"/>
                <w:szCs w:val="20"/>
              </w:rPr>
              <w:t>In-progress</w:t>
            </w:r>
          </w:p>
        </w:tc>
        <w:tc>
          <w:tcPr>
            <w:tcW w:w="5419" w:type="dxa"/>
            <w:shd w:val="clear" w:color="auto" w:fill="auto"/>
            <w:hideMark/>
          </w:tcPr>
          <w:p w:rsidR="00405FBB" w:rsidRPr="00405FBB" w:rsidRDefault="00405FBB" w:rsidP="00405FBB">
            <w:pPr>
              <w:rPr>
                <w:rFonts w:ascii="Times New Roman" w:hAnsi="Times New Roman" w:cs="Times New Roman"/>
                <w:szCs w:val="20"/>
              </w:rPr>
            </w:pPr>
            <w:r w:rsidRPr="00405FBB">
              <w:rPr>
                <w:rFonts w:ascii="Times New Roman" w:hAnsi="Times New Roman" w:cs="Times New Roman"/>
                <w:szCs w:val="20"/>
              </w:rPr>
              <w:t>The functionality in NEATS was enhanced through the automation of annual title administration levy notifications through the Industry Portal (January 2015) enabling easier access by titleholders to payment facilities and tracking of annual title levy due dates and payment history. Additional functionality for the creation of application fee notifications within the Industry Portal is available upon request by applicants wishing to pay application fees.</w:t>
            </w:r>
          </w:p>
          <w:p w:rsidR="00405FBB" w:rsidRPr="00405FBB" w:rsidRDefault="00405FBB" w:rsidP="00405FBB">
            <w:pPr>
              <w:rPr>
                <w:rFonts w:cs="Times New Roman"/>
                <w:szCs w:val="20"/>
                <w:highlight w:val="yellow"/>
              </w:rPr>
            </w:pPr>
            <w:r w:rsidRPr="00405FBB">
              <w:rPr>
                <w:rFonts w:ascii="Times New Roman" w:hAnsi="Times New Roman" w:cs="Times New Roman"/>
                <w:szCs w:val="20"/>
              </w:rPr>
              <w:t>NOPTA will be engaging with titleholders to develop the scope of future NEATS enhancements.</w:t>
            </w:r>
          </w:p>
        </w:tc>
      </w:tr>
      <w:tr w:rsidR="00405FBB" w:rsidRPr="008357AB" w:rsidTr="00AD48CB">
        <w:tc>
          <w:tcPr>
            <w:tcW w:w="704" w:type="dxa"/>
            <w:hideMark/>
          </w:tcPr>
          <w:p w:rsidR="00405FBB" w:rsidRPr="00405FBB" w:rsidRDefault="00405FBB" w:rsidP="00405FBB">
            <w:pPr>
              <w:rPr>
                <w:rFonts w:ascii="Times New Roman" w:hAnsi="Times New Roman" w:cs="Times New Roman"/>
                <w:szCs w:val="20"/>
              </w:rPr>
            </w:pPr>
            <w:r w:rsidRPr="00405FBB">
              <w:rPr>
                <w:rFonts w:ascii="Times New Roman" w:hAnsi="Times New Roman" w:cs="Times New Roman"/>
                <w:szCs w:val="20"/>
              </w:rPr>
              <w:t>5</w:t>
            </w:r>
          </w:p>
        </w:tc>
        <w:tc>
          <w:tcPr>
            <w:tcW w:w="2949" w:type="dxa"/>
            <w:hideMark/>
          </w:tcPr>
          <w:p w:rsidR="00405FBB" w:rsidRPr="00405FBB" w:rsidRDefault="00405FBB" w:rsidP="00405FBB">
            <w:pPr>
              <w:rPr>
                <w:rFonts w:ascii="Times New Roman" w:hAnsi="Times New Roman" w:cs="Times New Roman"/>
                <w:szCs w:val="20"/>
              </w:rPr>
            </w:pPr>
            <w:r w:rsidRPr="00405FBB">
              <w:rPr>
                <w:rFonts w:ascii="Times New Roman" w:hAnsi="Times New Roman" w:cs="Times New Roman"/>
                <w:szCs w:val="20"/>
              </w:rPr>
              <w:t>That NEATS functionality is extended to include more information on the progress of applications through the Joint Authority process.</w:t>
            </w:r>
          </w:p>
        </w:tc>
        <w:tc>
          <w:tcPr>
            <w:tcW w:w="1843" w:type="dxa"/>
            <w:shd w:val="clear" w:color="auto" w:fill="auto"/>
            <w:hideMark/>
          </w:tcPr>
          <w:p w:rsidR="00405FBB" w:rsidRPr="00405FBB" w:rsidRDefault="00405FBB" w:rsidP="00405FBB">
            <w:pPr>
              <w:rPr>
                <w:rFonts w:ascii="Times New Roman" w:hAnsi="Times New Roman" w:cs="Times New Roman"/>
                <w:szCs w:val="20"/>
              </w:rPr>
            </w:pPr>
            <w:r w:rsidRPr="00405FBB">
              <w:rPr>
                <w:rFonts w:ascii="Times New Roman" w:hAnsi="Times New Roman" w:cs="Times New Roman"/>
                <w:szCs w:val="20"/>
              </w:rPr>
              <w:t>NOPTA</w:t>
            </w:r>
          </w:p>
        </w:tc>
        <w:tc>
          <w:tcPr>
            <w:tcW w:w="1445" w:type="dxa"/>
            <w:hideMark/>
          </w:tcPr>
          <w:p w:rsidR="00405FBB" w:rsidRPr="00405FBB" w:rsidRDefault="00405FBB" w:rsidP="00405FBB">
            <w:pPr>
              <w:rPr>
                <w:rFonts w:ascii="Times New Roman" w:hAnsi="Times New Roman" w:cs="Times New Roman"/>
                <w:szCs w:val="20"/>
              </w:rPr>
            </w:pPr>
            <w:r w:rsidRPr="00405FBB">
              <w:rPr>
                <w:rFonts w:ascii="Times New Roman" w:hAnsi="Times New Roman" w:cs="Times New Roman"/>
                <w:szCs w:val="20"/>
              </w:rPr>
              <w:t>Accepted</w:t>
            </w:r>
          </w:p>
        </w:tc>
        <w:tc>
          <w:tcPr>
            <w:tcW w:w="1815" w:type="dxa"/>
            <w:hideMark/>
          </w:tcPr>
          <w:p w:rsidR="00405FBB" w:rsidRPr="00405FBB" w:rsidRDefault="00405FBB" w:rsidP="00405FBB">
            <w:pPr>
              <w:rPr>
                <w:rFonts w:ascii="Times New Roman" w:hAnsi="Times New Roman" w:cs="Times New Roman"/>
                <w:szCs w:val="20"/>
              </w:rPr>
            </w:pPr>
            <w:r w:rsidRPr="00405FBB">
              <w:rPr>
                <w:rFonts w:ascii="Times New Roman" w:hAnsi="Times New Roman" w:cs="Times New Roman"/>
                <w:szCs w:val="20"/>
              </w:rPr>
              <w:t>In progress</w:t>
            </w:r>
          </w:p>
        </w:tc>
        <w:tc>
          <w:tcPr>
            <w:tcW w:w="5419" w:type="dxa"/>
            <w:shd w:val="clear" w:color="auto" w:fill="auto"/>
            <w:hideMark/>
          </w:tcPr>
          <w:p w:rsidR="00405FBB" w:rsidRPr="00405FBB" w:rsidRDefault="00405FBB" w:rsidP="00405FBB">
            <w:pPr>
              <w:rPr>
                <w:rFonts w:ascii="Times New Roman" w:hAnsi="Times New Roman" w:cs="Times New Roman"/>
                <w:szCs w:val="20"/>
              </w:rPr>
            </w:pPr>
            <w:r w:rsidRPr="00405FBB">
              <w:rPr>
                <w:rFonts w:ascii="Times New Roman" w:hAnsi="Times New Roman" w:cs="Times New Roman"/>
                <w:szCs w:val="20"/>
              </w:rPr>
              <w:t>By the end of 2016 NOPTA will provide further information around the capabilities of the NEATS industry portal on the NOPTA website.</w:t>
            </w:r>
          </w:p>
          <w:p w:rsidR="00405FBB" w:rsidRPr="00405FBB" w:rsidRDefault="00405FBB" w:rsidP="00405FBB">
            <w:pPr>
              <w:rPr>
                <w:rFonts w:ascii="Times New Roman" w:hAnsi="Times New Roman" w:cs="Times New Roman"/>
                <w:szCs w:val="20"/>
                <w:highlight w:val="yellow"/>
              </w:rPr>
            </w:pPr>
            <w:r w:rsidRPr="00405FBB">
              <w:rPr>
                <w:rFonts w:ascii="Times New Roman" w:hAnsi="Times New Roman" w:cs="Times New Roman"/>
                <w:szCs w:val="20"/>
              </w:rPr>
              <w:t xml:space="preserve">Greater detail of progression for applications, from submission to decision is provided through the Industry Portal. This includes additional status levels to allow companies to track the progress of an application. </w:t>
            </w:r>
          </w:p>
        </w:tc>
      </w:tr>
      <w:tr w:rsidR="00405FBB" w:rsidRPr="008357AB" w:rsidTr="00AD48CB">
        <w:tc>
          <w:tcPr>
            <w:tcW w:w="704" w:type="dxa"/>
            <w:hideMark/>
          </w:tcPr>
          <w:p w:rsidR="00405FBB" w:rsidRPr="00405FBB" w:rsidRDefault="00405FBB" w:rsidP="00405FBB">
            <w:pPr>
              <w:rPr>
                <w:rFonts w:ascii="Times New Roman" w:hAnsi="Times New Roman" w:cs="Times New Roman"/>
                <w:szCs w:val="20"/>
              </w:rPr>
            </w:pPr>
            <w:r w:rsidRPr="00405FBB">
              <w:rPr>
                <w:rFonts w:ascii="Times New Roman" w:hAnsi="Times New Roman" w:cs="Times New Roman"/>
                <w:szCs w:val="20"/>
              </w:rPr>
              <w:t>6</w:t>
            </w:r>
          </w:p>
        </w:tc>
        <w:tc>
          <w:tcPr>
            <w:tcW w:w="2949" w:type="dxa"/>
            <w:hideMark/>
          </w:tcPr>
          <w:p w:rsidR="00405FBB" w:rsidRPr="00405FBB" w:rsidRDefault="00405FBB" w:rsidP="00405FBB">
            <w:pPr>
              <w:rPr>
                <w:rFonts w:ascii="Times New Roman" w:hAnsi="Times New Roman" w:cs="Times New Roman"/>
                <w:szCs w:val="20"/>
              </w:rPr>
            </w:pPr>
            <w:r w:rsidRPr="00405FBB">
              <w:rPr>
                <w:rFonts w:ascii="Times New Roman" w:hAnsi="Times New Roman" w:cs="Times New Roman"/>
                <w:szCs w:val="20"/>
              </w:rPr>
              <w:t>That, depending on the outcomes of the Department of Industry and</w:t>
            </w:r>
            <w:r w:rsidR="009004C4">
              <w:rPr>
                <w:rFonts w:ascii="Times New Roman" w:hAnsi="Times New Roman" w:cs="Times New Roman"/>
                <w:szCs w:val="20"/>
              </w:rPr>
              <w:t xml:space="preserve"> </w:t>
            </w:r>
            <w:r w:rsidRPr="00405FBB">
              <w:rPr>
                <w:rFonts w:ascii="Times New Roman" w:hAnsi="Times New Roman" w:cs="Times New Roman"/>
                <w:szCs w:val="20"/>
              </w:rPr>
              <w:t>Science’s (now the Department of Industry, Innovation and Science) report on the Management of</w:t>
            </w:r>
            <w:r w:rsidR="009004C4">
              <w:rPr>
                <w:rFonts w:ascii="Times New Roman" w:hAnsi="Times New Roman" w:cs="Times New Roman"/>
                <w:szCs w:val="20"/>
              </w:rPr>
              <w:t xml:space="preserve"> </w:t>
            </w:r>
            <w:r w:rsidRPr="00405FBB">
              <w:rPr>
                <w:rFonts w:ascii="Times New Roman" w:hAnsi="Times New Roman" w:cs="Times New Roman"/>
                <w:szCs w:val="20"/>
              </w:rPr>
              <w:t>Offshore Resources, the Minister consider an enhancement to</w:t>
            </w:r>
            <w:r w:rsidR="009004C4">
              <w:rPr>
                <w:rFonts w:ascii="Times New Roman" w:hAnsi="Times New Roman" w:cs="Times New Roman"/>
                <w:szCs w:val="20"/>
              </w:rPr>
              <w:t xml:space="preserve"> </w:t>
            </w:r>
            <w:r w:rsidRPr="00405FBB">
              <w:rPr>
                <w:rFonts w:ascii="Times New Roman" w:hAnsi="Times New Roman" w:cs="Times New Roman"/>
                <w:szCs w:val="20"/>
              </w:rPr>
              <w:t>NOPTA’s capability and capacity to</w:t>
            </w:r>
            <w:r w:rsidR="009004C4">
              <w:rPr>
                <w:rFonts w:ascii="Times New Roman" w:hAnsi="Times New Roman" w:cs="Times New Roman"/>
                <w:szCs w:val="20"/>
              </w:rPr>
              <w:t xml:space="preserve"> </w:t>
            </w:r>
            <w:r w:rsidRPr="00405FBB">
              <w:rPr>
                <w:rFonts w:ascii="Times New Roman" w:hAnsi="Times New Roman" w:cs="Times New Roman"/>
                <w:szCs w:val="20"/>
              </w:rPr>
              <w:t xml:space="preserve">enable it to more effectively </w:t>
            </w:r>
            <w:r w:rsidRPr="00405FBB">
              <w:rPr>
                <w:rFonts w:ascii="Times New Roman" w:hAnsi="Times New Roman" w:cs="Times New Roman"/>
                <w:szCs w:val="20"/>
              </w:rPr>
              <w:lastRenderedPageBreak/>
              <w:t>contribute to the management of Australia’s offshore resources.</w:t>
            </w:r>
          </w:p>
        </w:tc>
        <w:tc>
          <w:tcPr>
            <w:tcW w:w="1843" w:type="dxa"/>
            <w:shd w:val="clear" w:color="auto" w:fill="auto"/>
            <w:hideMark/>
          </w:tcPr>
          <w:p w:rsidR="00405FBB" w:rsidRPr="00405FBB" w:rsidRDefault="00405FBB" w:rsidP="00405FBB">
            <w:pPr>
              <w:pStyle w:val="CommentText"/>
              <w:rPr>
                <w:rFonts w:ascii="Times New Roman" w:hAnsi="Times New Roman" w:cs="Times New Roman"/>
              </w:rPr>
            </w:pPr>
            <w:r w:rsidRPr="00405FBB">
              <w:rPr>
                <w:rFonts w:ascii="Times New Roman" w:hAnsi="Times New Roman" w:cs="Times New Roman"/>
              </w:rPr>
              <w:lastRenderedPageBreak/>
              <w:t>DIIS</w:t>
            </w:r>
          </w:p>
        </w:tc>
        <w:tc>
          <w:tcPr>
            <w:tcW w:w="1445" w:type="dxa"/>
            <w:hideMark/>
          </w:tcPr>
          <w:p w:rsidR="00405FBB" w:rsidRPr="00405FBB" w:rsidRDefault="00405FBB" w:rsidP="00405FBB">
            <w:pPr>
              <w:pStyle w:val="CommentText"/>
              <w:rPr>
                <w:rFonts w:ascii="Times New Roman" w:hAnsi="Times New Roman" w:cs="Times New Roman"/>
              </w:rPr>
            </w:pPr>
            <w:r w:rsidRPr="00405FBB">
              <w:rPr>
                <w:rFonts w:ascii="Times New Roman" w:hAnsi="Times New Roman" w:cs="Times New Roman"/>
              </w:rPr>
              <w:t>Noted</w:t>
            </w:r>
          </w:p>
        </w:tc>
        <w:tc>
          <w:tcPr>
            <w:tcW w:w="1815" w:type="dxa"/>
            <w:hideMark/>
          </w:tcPr>
          <w:p w:rsidR="00405FBB" w:rsidRPr="00405FBB" w:rsidRDefault="00405FBB" w:rsidP="00405FBB">
            <w:pPr>
              <w:pStyle w:val="CommentText"/>
              <w:rPr>
                <w:rFonts w:ascii="Times New Roman" w:hAnsi="Times New Roman" w:cs="Times New Roman"/>
              </w:rPr>
            </w:pPr>
            <w:r w:rsidRPr="00405FBB">
              <w:rPr>
                <w:rFonts w:ascii="Times New Roman" w:hAnsi="Times New Roman" w:cs="Times New Roman"/>
              </w:rPr>
              <w:t>Complete</w:t>
            </w:r>
          </w:p>
        </w:tc>
        <w:tc>
          <w:tcPr>
            <w:tcW w:w="5419" w:type="dxa"/>
            <w:shd w:val="clear" w:color="auto" w:fill="auto"/>
          </w:tcPr>
          <w:p w:rsidR="00405FBB" w:rsidRPr="00405FBB" w:rsidRDefault="00405FBB" w:rsidP="00405FBB">
            <w:pPr>
              <w:pStyle w:val="CommentText"/>
              <w:rPr>
                <w:rFonts w:ascii="Times New Roman" w:hAnsi="Times New Roman" w:cs="Times New Roman"/>
              </w:rPr>
            </w:pPr>
            <w:r w:rsidRPr="00405FBB">
              <w:rPr>
                <w:rFonts w:ascii="Times New Roman" w:hAnsi="Times New Roman" w:cs="Times New Roman"/>
              </w:rPr>
              <w:t xml:space="preserve">NOPTA enhanced its technical capacity by the recruitment of additional specialists in 2015-16.  This recruitment addresses the skill gaps noted in NOPTA’s 2014-2015 Annual Report of Activities. Specialists were recruited for roles in the areas of commercial analysis, geology, reservoir engineering and geophysics. The enhanced skill base and staffing levels have enabled better support of NOPTA’s resource management and stewardship functions. This has included, for example, reviewing titleholder development plans and their </w:t>
            </w:r>
            <w:r w:rsidRPr="00405FBB">
              <w:rPr>
                <w:rFonts w:ascii="Times New Roman" w:hAnsi="Times New Roman" w:cs="Times New Roman"/>
              </w:rPr>
              <w:lastRenderedPageBreak/>
              <w:t>implementation to ensure resources are developed consistent with good oil field practice and in the national interest.</w:t>
            </w:r>
          </w:p>
        </w:tc>
      </w:tr>
      <w:tr w:rsidR="00405FBB" w:rsidRPr="008357AB" w:rsidTr="00AD48CB">
        <w:tc>
          <w:tcPr>
            <w:tcW w:w="704" w:type="dxa"/>
            <w:hideMark/>
          </w:tcPr>
          <w:p w:rsidR="00405FBB" w:rsidRPr="00405FBB" w:rsidRDefault="00405FBB" w:rsidP="00405FBB">
            <w:pPr>
              <w:rPr>
                <w:rFonts w:ascii="Times New Roman" w:hAnsi="Times New Roman" w:cs="Times New Roman"/>
                <w:szCs w:val="20"/>
              </w:rPr>
            </w:pPr>
            <w:r w:rsidRPr="00405FBB">
              <w:rPr>
                <w:rFonts w:ascii="Times New Roman" w:hAnsi="Times New Roman" w:cs="Times New Roman"/>
                <w:szCs w:val="20"/>
              </w:rPr>
              <w:lastRenderedPageBreak/>
              <w:t>7</w:t>
            </w:r>
          </w:p>
        </w:tc>
        <w:tc>
          <w:tcPr>
            <w:tcW w:w="2949" w:type="dxa"/>
            <w:hideMark/>
          </w:tcPr>
          <w:p w:rsidR="00405FBB" w:rsidRPr="00405FBB" w:rsidRDefault="00405FBB" w:rsidP="00405FBB">
            <w:pPr>
              <w:rPr>
                <w:rFonts w:ascii="Times New Roman" w:hAnsi="Times New Roman" w:cs="Times New Roman"/>
                <w:szCs w:val="20"/>
              </w:rPr>
            </w:pPr>
            <w:r w:rsidRPr="00405FBB">
              <w:rPr>
                <w:rFonts w:ascii="Times New Roman" w:hAnsi="Times New Roman" w:cs="Times New Roman"/>
                <w:szCs w:val="20"/>
              </w:rPr>
              <w:t>That NOPTA develop and implement plans to facilitate Recommendations 3 and 6 (if accepted).</w:t>
            </w:r>
          </w:p>
        </w:tc>
        <w:tc>
          <w:tcPr>
            <w:tcW w:w="1843" w:type="dxa"/>
            <w:shd w:val="clear" w:color="auto" w:fill="auto"/>
            <w:hideMark/>
          </w:tcPr>
          <w:p w:rsidR="00405FBB" w:rsidRPr="00405FBB" w:rsidRDefault="00405FBB" w:rsidP="00405FBB">
            <w:pPr>
              <w:rPr>
                <w:rFonts w:ascii="Times New Roman" w:hAnsi="Times New Roman" w:cs="Times New Roman"/>
                <w:szCs w:val="20"/>
              </w:rPr>
            </w:pPr>
            <w:r w:rsidRPr="00405FBB">
              <w:rPr>
                <w:rFonts w:ascii="Times New Roman" w:hAnsi="Times New Roman" w:cs="Times New Roman"/>
                <w:szCs w:val="20"/>
              </w:rPr>
              <w:t>NOPTA</w:t>
            </w:r>
          </w:p>
        </w:tc>
        <w:tc>
          <w:tcPr>
            <w:tcW w:w="1445" w:type="dxa"/>
            <w:hideMark/>
          </w:tcPr>
          <w:p w:rsidR="00405FBB" w:rsidRPr="00405FBB" w:rsidRDefault="00405FBB" w:rsidP="00405FBB">
            <w:pPr>
              <w:rPr>
                <w:rFonts w:ascii="Times New Roman" w:hAnsi="Times New Roman" w:cs="Times New Roman"/>
                <w:szCs w:val="20"/>
              </w:rPr>
            </w:pPr>
            <w:r w:rsidRPr="00405FBB">
              <w:rPr>
                <w:rFonts w:ascii="Times New Roman" w:hAnsi="Times New Roman" w:cs="Times New Roman"/>
                <w:szCs w:val="20"/>
              </w:rPr>
              <w:t>Noted</w:t>
            </w:r>
          </w:p>
        </w:tc>
        <w:tc>
          <w:tcPr>
            <w:tcW w:w="1815" w:type="dxa"/>
            <w:hideMark/>
          </w:tcPr>
          <w:p w:rsidR="00405FBB" w:rsidRPr="00405FBB" w:rsidRDefault="00405FBB" w:rsidP="00405FBB">
            <w:pPr>
              <w:rPr>
                <w:rFonts w:ascii="Times New Roman" w:hAnsi="Times New Roman" w:cs="Times New Roman"/>
                <w:szCs w:val="20"/>
              </w:rPr>
            </w:pPr>
            <w:r w:rsidRPr="00405FBB">
              <w:rPr>
                <w:rFonts w:ascii="Times New Roman" w:hAnsi="Times New Roman" w:cs="Times New Roman"/>
                <w:szCs w:val="20"/>
              </w:rPr>
              <w:t>Recommendation 3: In progress</w:t>
            </w:r>
          </w:p>
          <w:p w:rsidR="00405FBB" w:rsidRPr="00405FBB" w:rsidRDefault="00405FBB" w:rsidP="00405FBB">
            <w:pPr>
              <w:rPr>
                <w:rFonts w:ascii="Times New Roman" w:hAnsi="Times New Roman" w:cs="Times New Roman"/>
                <w:szCs w:val="20"/>
              </w:rPr>
            </w:pPr>
            <w:r w:rsidRPr="00405FBB">
              <w:rPr>
                <w:rFonts w:ascii="Times New Roman" w:hAnsi="Times New Roman" w:cs="Times New Roman"/>
                <w:szCs w:val="20"/>
              </w:rPr>
              <w:t>Recommendation 6: Complete</w:t>
            </w:r>
          </w:p>
        </w:tc>
        <w:tc>
          <w:tcPr>
            <w:tcW w:w="5419" w:type="dxa"/>
            <w:shd w:val="clear" w:color="auto" w:fill="auto"/>
            <w:hideMark/>
          </w:tcPr>
          <w:p w:rsidR="00405FBB" w:rsidRPr="00405FBB" w:rsidRDefault="00405FBB" w:rsidP="00405FBB">
            <w:pPr>
              <w:rPr>
                <w:rFonts w:ascii="Times New Roman" w:hAnsi="Times New Roman" w:cs="Times New Roman"/>
                <w:szCs w:val="20"/>
              </w:rPr>
            </w:pPr>
            <w:r w:rsidRPr="00405FBB">
              <w:rPr>
                <w:rFonts w:ascii="Times New Roman" w:hAnsi="Times New Roman" w:cs="Times New Roman"/>
                <w:szCs w:val="20"/>
              </w:rPr>
              <w:t>Recommendation 3 is in progress. NOPTA plans to identify potential items for delegation for discussion with the Joint Authority.</w:t>
            </w:r>
          </w:p>
          <w:p w:rsidR="00405FBB" w:rsidRPr="00405FBB" w:rsidRDefault="00405FBB" w:rsidP="00405FBB">
            <w:pPr>
              <w:rPr>
                <w:rFonts w:ascii="Times New Roman" w:hAnsi="Times New Roman" w:cs="Times New Roman"/>
                <w:szCs w:val="20"/>
              </w:rPr>
            </w:pPr>
            <w:r w:rsidRPr="00405FBB">
              <w:rPr>
                <w:rFonts w:ascii="Times New Roman" w:hAnsi="Times New Roman" w:cs="Times New Roman"/>
                <w:szCs w:val="20"/>
              </w:rPr>
              <w:t>Recommendation 6 is complete.</w:t>
            </w:r>
          </w:p>
        </w:tc>
      </w:tr>
      <w:tr w:rsidR="00405FBB" w:rsidRPr="008357AB" w:rsidTr="00AD48CB">
        <w:tc>
          <w:tcPr>
            <w:tcW w:w="704" w:type="dxa"/>
            <w:hideMark/>
          </w:tcPr>
          <w:p w:rsidR="00405FBB" w:rsidRPr="00405FBB" w:rsidRDefault="00405FBB" w:rsidP="00405FBB">
            <w:pPr>
              <w:rPr>
                <w:rFonts w:ascii="Times New Roman" w:hAnsi="Times New Roman" w:cs="Times New Roman"/>
                <w:szCs w:val="20"/>
              </w:rPr>
            </w:pPr>
            <w:r w:rsidRPr="00405FBB">
              <w:rPr>
                <w:rFonts w:ascii="Times New Roman" w:hAnsi="Times New Roman" w:cs="Times New Roman"/>
                <w:szCs w:val="20"/>
              </w:rPr>
              <w:t>8</w:t>
            </w:r>
          </w:p>
        </w:tc>
        <w:tc>
          <w:tcPr>
            <w:tcW w:w="2949" w:type="dxa"/>
            <w:hideMark/>
          </w:tcPr>
          <w:p w:rsidR="00405FBB" w:rsidRPr="00405FBB" w:rsidRDefault="00405FBB" w:rsidP="00405FBB">
            <w:pPr>
              <w:rPr>
                <w:rFonts w:ascii="Times New Roman" w:hAnsi="Times New Roman" w:cs="Times New Roman"/>
                <w:szCs w:val="20"/>
              </w:rPr>
            </w:pPr>
            <w:r w:rsidRPr="00405FBB">
              <w:rPr>
                <w:rFonts w:ascii="Times New Roman" w:hAnsi="Times New Roman" w:cs="Times New Roman"/>
                <w:szCs w:val="20"/>
              </w:rPr>
              <w:t>That NOPTA prepare and issue its own annual report.</w:t>
            </w:r>
          </w:p>
        </w:tc>
        <w:tc>
          <w:tcPr>
            <w:tcW w:w="1843" w:type="dxa"/>
            <w:shd w:val="clear" w:color="auto" w:fill="auto"/>
            <w:hideMark/>
          </w:tcPr>
          <w:p w:rsidR="00405FBB" w:rsidRPr="00405FBB" w:rsidRDefault="00405FBB" w:rsidP="00405FBB">
            <w:pPr>
              <w:rPr>
                <w:rFonts w:ascii="Times New Roman" w:hAnsi="Times New Roman" w:cs="Times New Roman"/>
                <w:szCs w:val="20"/>
              </w:rPr>
            </w:pPr>
            <w:r w:rsidRPr="00405FBB">
              <w:rPr>
                <w:rFonts w:ascii="Times New Roman" w:hAnsi="Times New Roman" w:cs="Times New Roman"/>
                <w:szCs w:val="20"/>
              </w:rPr>
              <w:t>NOPTA</w:t>
            </w:r>
          </w:p>
        </w:tc>
        <w:tc>
          <w:tcPr>
            <w:tcW w:w="1445" w:type="dxa"/>
            <w:hideMark/>
          </w:tcPr>
          <w:p w:rsidR="00405FBB" w:rsidRPr="00405FBB" w:rsidRDefault="00405FBB" w:rsidP="00405FBB">
            <w:pPr>
              <w:rPr>
                <w:rFonts w:ascii="Times New Roman" w:hAnsi="Times New Roman" w:cs="Times New Roman"/>
                <w:szCs w:val="20"/>
              </w:rPr>
            </w:pPr>
            <w:r w:rsidRPr="00405FBB">
              <w:rPr>
                <w:rFonts w:ascii="Times New Roman" w:hAnsi="Times New Roman" w:cs="Times New Roman"/>
                <w:szCs w:val="20"/>
              </w:rPr>
              <w:t>Noted</w:t>
            </w:r>
          </w:p>
        </w:tc>
        <w:tc>
          <w:tcPr>
            <w:tcW w:w="1815" w:type="dxa"/>
            <w:hideMark/>
          </w:tcPr>
          <w:p w:rsidR="00405FBB" w:rsidRPr="00405FBB" w:rsidRDefault="00405FBB" w:rsidP="00405FBB">
            <w:pPr>
              <w:rPr>
                <w:rFonts w:ascii="Times New Roman" w:hAnsi="Times New Roman" w:cs="Times New Roman"/>
                <w:szCs w:val="20"/>
              </w:rPr>
            </w:pPr>
            <w:r w:rsidRPr="00405FBB">
              <w:rPr>
                <w:rFonts w:ascii="Times New Roman" w:hAnsi="Times New Roman" w:cs="Times New Roman"/>
                <w:szCs w:val="20"/>
              </w:rPr>
              <w:t>Complete</w:t>
            </w:r>
          </w:p>
        </w:tc>
        <w:tc>
          <w:tcPr>
            <w:tcW w:w="5419" w:type="dxa"/>
            <w:shd w:val="clear" w:color="auto" w:fill="auto"/>
            <w:hideMark/>
          </w:tcPr>
          <w:p w:rsidR="00405FBB" w:rsidRPr="00405FBB" w:rsidRDefault="00405FBB" w:rsidP="00405FBB">
            <w:pPr>
              <w:rPr>
                <w:rFonts w:ascii="Times New Roman" w:hAnsi="Times New Roman" w:cs="Times New Roman"/>
                <w:szCs w:val="20"/>
              </w:rPr>
            </w:pPr>
            <w:r w:rsidRPr="00405FBB">
              <w:rPr>
                <w:rFonts w:ascii="Times New Roman" w:hAnsi="Times New Roman" w:cs="Times New Roman"/>
                <w:szCs w:val="20"/>
              </w:rPr>
              <w:t>NOPTA introduced its inaugural annual report of activities for the 2014-15 financial year.  The purpose of the report was to provide stakeholders with information specific to the activities of NOPTA headed by a statutory position of Titles Administrator. The report is part of the statutory annual reporting by the Department of Industry, Innovation and Science, given NOPTA is established as a branch of the Resources Division of the Department.</w:t>
            </w:r>
          </w:p>
          <w:p w:rsidR="00405FBB" w:rsidRPr="00405FBB" w:rsidRDefault="00405FBB" w:rsidP="00405FBB">
            <w:pPr>
              <w:rPr>
                <w:rFonts w:ascii="Times New Roman" w:hAnsi="Times New Roman" w:cs="Times New Roman"/>
                <w:szCs w:val="20"/>
              </w:rPr>
            </w:pPr>
            <w:r w:rsidRPr="00405FBB">
              <w:rPr>
                <w:rFonts w:ascii="Times New Roman" w:hAnsi="Times New Roman" w:cs="Times New Roman"/>
                <w:szCs w:val="20"/>
              </w:rPr>
              <w:t>A 2015-16 self-assessment against the RPF will be available in December 2016. The RPF establishes a common set of performance indicators to enable the assessment of regulator performance and their engagement with stakeholders. This report mandates six key performance indicators and an annual externally validated self-assessment process. This inaugural self-assessment covers from 1 July 2015 to 30 June 2016.</w:t>
            </w:r>
            <w:r w:rsidRPr="00405FBB" w:rsidDel="00A012FC">
              <w:rPr>
                <w:rFonts w:ascii="Times New Roman" w:hAnsi="Times New Roman" w:cs="Times New Roman"/>
                <w:szCs w:val="20"/>
              </w:rPr>
              <w:t xml:space="preserve"> </w:t>
            </w:r>
          </w:p>
        </w:tc>
      </w:tr>
      <w:tr w:rsidR="00405FBB" w:rsidRPr="008357AB" w:rsidTr="00AD48CB">
        <w:tc>
          <w:tcPr>
            <w:tcW w:w="704" w:type="dxa"/>
            <w:hideMark/>
          </w:tcPr>
          <w:p w:rsidR="00405FBB" w:rsidRPr="00405FBB" w:rsidRDefault="00405FBB" w:rsidP="00405FBB">
            <w:pPr>
              <w:rPr>
                <w:rFonts w:ascii="Times New Roman" w:hAnsi="Times New Roman" w:cs="Times New Roman"/>
                <w:szCs w:val="20"/>
              </w:rPr>
            </w:pPr>
            <w:r w:rsidRPr="00405FBB">
              <w:rPr>
                <w:rFonts w:ascii="Times New Roman" w:hAnsi="Times New Roman" w:cs="Times New Roman"/>
                <w:szCs w:val="20"/>
              </w:rPr>
              <w:t>9</w:t>
            </w:r>
          </w:p>
        </w:tc>
        <w:tc>
          <w:tcPr>
            <w:tcW w:w="2949" w:type="dxa"/>
          </w:tcPr>
          <w:p w:rsidR="00405FBB" w:rsidRPr="00405FBB" w:rsidRDefault="00405FBB" w:rsidP="00405FBB">
            <w:pPr>
              <w:rPr>
                <w:rFonts w:ascii="Times New Roman" w:hAnsi="Times New Roman" w:cs="Times New Roman"/>
                <w:szCs w:val="20"/>
              </w:rPr>
            </w:pPr>
            <w:r w:rsidRPr="00405FBB">
              <w:rPr>
                <w:rFonts w:ascii="Times New Roman" w:hAnsi="Times New Roman" w:cs="Times New Roman"/>
                <w:szCs w:val="20"/>
              </w:rPr>
              <w:t>That NOPTA and NOPSEMA should establish an instrument (such as a Memorandum of Understanding or Charter of Engagement) to clarify the interaction between the agencies.</w:t>
            </w:r>
          </w:p>
        </w:tc>
        <w:tc>
          <w:tcPr>
            <w:tcW w:w="1843" w:type="dxa"/>
            <w:shd w:val="clear" w:color="auto" w:fill="auto"/>
            <w:hideMark/>
          </w:tcPr>
          <w:p w:rsidR="00405FBB" w:rsidRPr="00405FBB" w:rsidRDefault="00405FBB" w:rsidP="00405FBB">
            <w:pPr>
              <w:pStyle w:val="Default"/>
              <w:rPr>
                <w:rFonts w:ascii="Times New Roman" w:hAnsi="Times New Roman" w:cs="Times New Roman"/>
                <w:sz w:val="20"/>
                <w:szCs w:val="20"/>
              </w:rPr>
            </w:pPr>
            <w:r w:rsidRPr="00405FBB">
              <w:rPr>
                <w:rFonts w:ascii="Times New Roman" w:hAnsi="Times New Roman" w:cs="Times New Roman"/>
                <w:sz w:val="20"/>
                <w:szCs w:val="20"/>
              </w:rPr>
              <w:t>NOPTA, NOPSEMA</w:t>
            </w:r>
          </w:p>
        </w:tc>
        <w:tc>
          <w:tcPr>
            <w:tcW w:w="1445" w:type="dxa"/>
            <w:hideMark/>
          </w:tcPr>
          <w:p w:rsidR="00405FBB" w:rsidRPr="00405FBB" w:rsidRDefault="00405FBB" w:rsidP="00405FBB">
            <w:pPr>
              <w:pStyle w:val="Default"/>
              <w:rPr>
                <w:rFonts w:ascii="Times New Roman" w:hAnsi="Times New Roman" w:cs="Times New Roman"/>
                <w:sz w:val="20"/>
                <w:szCs w:val="20"/>
              </w:rPr>
            </w:pPr>
            <w:r w:rsidRPr="00405FBB">
              <w:rPr>
                <w:rFonts w:ascii="Times New Roman" w:hAnsi="Times New Roman" w:cs="Times New Roman"/>
                <w:sz w:val="20"/>
                <w:szCs w:val="20"/>
              </w:rPr>
              <w:t>Noted</w:t>
            </w:r>
          </w:p>
        </w:tc>
        <w:tc>
          <w:tcPr>
            <w:tcW w:w="1815" w:type="dxa"/>
            <w:hideMark/>
          </w:tcPr>
          <w:p w:rsidR="00405FBB" w:rsidRPr="00405FBB" w:rsidRDefault="00405FBB" w:rsidP="00405FBB">
            <w:pPr>
              <w:pStyle w:val="Default"/>
              <w:rPr>
                <w:rFonts w:ascii="Times New Roman" w:hAnsi="Times New Roman" w:cs="Times New Roman"/>
                <w:sz w:val="20"/>
                <w:szCs w:val="20"/>
              </w:rPr>
            </w:pPr>
            <w:r w:rsidRPr="00405FBB">
              <w:rPr>
                <w:rFonts w:ascii="Times New Roman" w:hAnsi="Times New Roman" w:cs="Times New Roman"/>
                <w:sz w:val="20"/>
                <w:szCs w:val="20"/>
              </w:rPr>
              <w:t>Complete</w:t>
            </w:r>
          </w:p>
        </w:tc>
        <w:tc>
          <w:tcPr>
            <w:tcW w:w="5419" w:type="dxa"/>
            <w:shd w:val="clear" w:color="auto" w:fill="auto"/>
            <w:hideMark/>
          </w:tcPr>
          <w:p w:rsidR="00405FBB" w:rsidRPr="00405FBB" w:rsidRDefault="00405FBB" w:rsidP="00405FBB">
            <w:pPr>
              <w:pStyle w:val="Default"/>
              <w:rPr>
                <w:rFonts w:ascii="Times New Roman" w:hAnsi="Times New Roman" w:cs="Times New Roman"/>
                <w:sz w:val="20"/>
                <w:szCs w:val="20"/>
              </w:rPr>
            </w:pPr>
            <w:r w:rsidRPr="00405FBB">
              <w:rPr>
                <w:rFonts w:ascii="Times New Roman" w:hAnsi="Times New Roman" w:cs="Times New Roman"/>
                <w:sz w:val="20"/>
                <w:szCs w:val="20"/>
              </w:rPr>
              <w:t xml:space="preserve">The NOPTA-NOPSEMA determination was approved on 15 December 2015. This determination governs the amount to be paid by NOPTA to NOPSEMA for the services of </w:t>
            </w:r>
            <w:r w:rsidRPr="00405FBB">
              <w:rPr>
                <w:rFonts w:ascii="Times New Roman" w:hAnsi="Times New Roman" w:cs="Times New Roman"/>
                <w:bCs/>
                <w:iCs/>
                <w:sz w:val="20"/>
                <w:szCs w:val="20"/>
              </w:rPr>
              <w:t xml:space="preserve">NOPSEMA inspectors </w:t>
            </w:r>
            <w:r w:rsidRPr="00405FBB">
              <w:rPr>
                <w:rFonts w:ascii="Times New Roman" w:hAnsi="Times New Roman" w:cs="Times New Roman"/>
                <w:sz w:val="20"/>
                <w:szCs w:val="20"/>
              </w:rPr>
              <w:t xml:space="preserve">for engaging in activities that are preparatory to the exercise or relate to the exercise of the functions or powers of the </w:t>
            </w:r>
            <w:r w:rsidRPr="00405FBB">
              <w:rPr>
                <w:rFonts w:ascii="Times New Roman" w:hAnsi="Times New Roman" w:cs="Times New Roman"/>
                <w:bCs/>
                <w:iCs/>
                <w:sz w:val="20"/>
                <w:szCs w:val="20"/>
              </w:rPr>
              <w:t>Titles Administrator</w:t>
            </w:r>
            <w:r w:rsidRPr="00405FBB">
              <w:rPr>
                <w:rFonts w:ascii="Times New Roman" w:hAnsi="Times New Roman" w:cs="Times New Roman"/>
                <w:sz w:val="20"/>
                <w:szCs w:val="20"/>
              </w:rPr>
              <w:t>.</w:t>
            </w:r>
            <w:r w:rsidRPr="00405FBB" w:rsidDel="00206BDE">
              <w:rPr>
                <w:rFonts w:ascii="Times New Roman" w:hAnsi="Times New Roman" w:cs="Times New Roman"/>
                <w:sz w:val="20"/>
                <w:szCs w:val="20"/>
              </w:rPr>
              <w:t xml:space="preserve"> </w:t>
            </w:r>
          </w:p>
        </w:tc>
      </w:tr>
      <w:tr w:rsidR="00405FBB" w:rsidRPr="008357AB" w:rsidTr="00AD48CB">
        <w:tc>
          <w:tcPr>
            <w:tcW w:w="704" w:type="dxa"/>
            <w:hideMark/>
          </w:tcPr>
          <w:p w:rsidR="00405FBB" w:rsidRPr="00405FBB" w:rsidRDefault="00405FBB" w:rsidP="00405FBB">
            <w:pPr>
              <w:rPr>
                <w:rFonts w:ascii="Times New Roman" w:hAnsi="Times New Roman" w:cs="Times New Roman"/>
                <w:szCs w:val="20"/>
              </w:rPr>
            </w:pPr>
            <w:r w:rsidRPr="00405FBB">
              <w:rPr>
                <w:rFonts w:ascii="Times New Roman" w:hAnsi="Times New Roman" w:cs="Times New Roman"/>
                <w:szCs w:val="20"/>
              </w:rPr>
              <w:t>10</w:t>
            </w:r>
          </w:p>
        </w:tc>
        <w:tc>
          <w:tcPr>
            <w:tcW w:w="2949" w:type="dxa"/>
          </w:tcPr>
          <w:p w:rsidR="00405FBB" w:rsidRPr="00405FBB" w:rsidRDefault="00405FBB" w:rsidP="00405FBB">
            <w:pPr>
              <w:rPr>
                <w:rFonts w:ascii="Times New Roman" w:hAnsi="Times New Roman" w:cs="Times New Roman"/>
                <w:szCs w:val="20"/>
              </w:rPr>
            </w:pPr>
            <w:r w:rsidRPr="00405FBB">
              <w:rPr>
                <w:rFonts w:ascii="Times New Roman" w:hAnsi="Times New Roman" w:cs="Times New Roman"/>
                <w:szCs w:val="20"/>
              </w:rPr>
              <w:t xml:space="preserve">That NOPTA investigate the implications of a growth in applications for greenhouse gas </w:t>
            </w:r>
            <w:r w:rsidRPr="00405FBB">
              <w:rPr>
                <w:rFonts w:ascii="Times New Roman" w:hAnsi="Times New Roman" w:cs="Times New Roman"/>
                <w:szCs w:val="20"/>
              </w:rPr>
              <w:lastRenderedPageBreak/>
              <w:t>storage titles. This should be undertaken in conjunction with the Department of Industry and Science (now the Department of Industry, Innovation and Science), and NOPSEMA.</w:t>
            </w:r>
          </w:p>
        </w:tc>
        <w:tc>
          <w:tcPr>
            <w:tcW w:w="1843" w:type="dxa"/>
            <w:shd w:val="clear" w:color="auto" w:fill="auto"/>
            <w:hideMark/>
          </w:tcPr>
          <w:p w:rsidR="00405FBB" w:rsidRPr="00405FBB" w:rsidRDefault="00405FBB" w:rsidP="00405FBB">
            <w:pPr>
              <w:rPr>
                <w:rFonts w:ascii="Times New Roman" w:hAnsi="Times New Roman" w:cs="Times New Roman"/>
                <w:szCs w:val="20"/>
              </w:rPr>
            </w:pPr>
            <w:r w:rsidRPr="00405FBB">
              <w:rPr>
                <w:rFonts w:ascii="Times New Roman" w:hAnsi="Times New Roman" w:cs="Times New Roman"/>
                <w:szCs w:val="20"/>
              </w:rPr>
              <w:lastRenderedPageBreak/>
              <w:t>DIIS, NOPTA, NOPSEMA</w:t>
            </w:r>
          </w:p>
        </w:tc>
        <w:tc>
          <w:tcPr>
            <w:tcW w:w="1445" w:type="dxa"/>
            <w:hideMark/>
          </w:tcPr>
          <w:p w:rsidR="00405FBB" w:rsidRPr="00405FBB" w:rsidRDefault="00405FBB" w:rsidP="00405FBB">
            <w:pPr>
              <w:rPr>
                <w:rFonts w:ascii="Times New Roman" w:hAnsi="Times New Roman" w:cs="Times New Roman"/>
                <w:szCs w:val="20"/>
              </w:rPr>
            </w:pPr>
            <w:r w:rsidRPr="00405FBB">
              <w:rPr>
                <w:rFonts w:ascii="Times New Roman" w:hAnsi="Times New Roman" w:cs="Times New Roman"/>
                <w:szCs w:val="20"/>
              </w:rPr>
              <w:t>Accepted</w:t>
            </w:r>
          </w:p>
        </w:tc>
        <w:tc>
          <w:tcPr>
            <w:tcW w:w="1815" w:type="dxa"/>
            <w:hideMark/>
          </w:tcPr>
          <w:p w:rsidR="00405FBB" w:rsidRPr="00405FBB" w:rsidRDefault="00405FBB" w:rsidP="00405FBB">
            <w:pPr>
              <w:rPr>
                <w:rFonts w:ascii="Times New Roman" w:hAnsi="Times New Roman" w:cs="Times New Roman"/>
                <w:szCs w:val="20"/>
              </w:rPr>
            </w:pPr>
            <w:r w:rsidRPr="00405FBB">
              <w:rPr>
                <w:rFonts w:ascii="Times New Roman" w:hAnsi="Times New Roman" w:cs="Times New Roman"/>
                <w:szCs w:val="20"/>
              </w:rPr>
              <w:t>Complete</w:t>
            </w:r>
          </w:p>
        </w:tc>
        <w:tc>
          <w:tcPr>
            <w:tcW w:w="5419" w:type="dxa"/>
            <w:shd w:val="clear" w:color="auto" w:fill="auto"/>
          </w:tcPr>
          <w:p w:rsidR="00405FBB" w:rsidRPr="00405FBB" w:rsidRDefault="00405FBB" w:rsidP="00405FBB">
            <w:pPr>
              <w:rPr>
                <w:rFonts w:ascii="Times New Roman" w:hAnsi="Times New Roman" w:cs="Times New Roman"/>
                <w:szCs w:val="20"/>
              </w:rPr>
            </w:pPr>
            <w:r w:rsidRPr="00405FBB">
              <w:rPr>
                <w:rFonts w:ascii="Times New Roman" w:hAnsi="Times New Roman" w:cs="Times New Roman"/>
                <w:szCs w:val="20"/>
              </w:rPr>
              <w:t xml:space="preserve">NOPTA continues to engage with the administration and guidance of greenhouse gas storage (GHG) titles. There are four GHG Assessment Permits in Commonwealth waters offshore of </w:t>
            </w:r>
            <w:r w:rsidRPr="00405FBB">
              <w:rPr>
                <w:rFonts w:ascii="Times New Roman" w:hAnsi="Times New Roman" w:cs="Times New Roman"/>
                <w:szCs w:val="20"/>
              </w:rPr>
              <w:lastRenderedPageBreak/>
              <w:t>Victoria. NOPTA openly engages with DIIS and NOPSEMA in relation to GHG storage titles.</w:t>
            </w:r>
          </w:p>
        </w:tc>
      </w:tr>
      <w:tr w:rsidR="00405FBB" w:rsidRPr="008357AB" w:rsidTr="00AD48CB">
        <w:tc>
          <w:tcPr>
            <w:tcW w:w="704" w:type="dxa"/>
            <w:hideMark/>
          </w:tcPr>
          <w:p w:rsidR="00405FBB" w:rsidRPr="00405FBB" w:rsidRDefault="00405FBB" w:rsidP="00405FBB">
            <w:pPr>
              <w:rPr>
                <w:rFonts w:ascii="Times New Roman" w:hAnsi="Times New Roman" w:cs="Times New Roman"/>
                <w:szCs w:val="20"/>
              </w:rPr>
            </w:pPr>
            <w:r w:rsidRPr="00405FBB">
              <w:rPr>
                <w:rFonts w:ascii="Times New Roman" w:hAnsi="Times New Roman" w:cs="Times New Roman"/>
                <w:szCs w:val="20"/>
              </w:rPr>
              <w:lastRenderedPageBreak/>
              <w:t>11</w:t>
            </w:r>
          </w:p>
        </w:tc>
        <w:tc>
          <w:tcPr>
            <w:tcW w:w="2949" w:type="dxa"/>
          </w:tcPr>
          <w:p w:rsidR="00405FBB" w:rsidRPr="00405FBB" w:rsidRDefault="00405FBB" w:rsidP="00405FBB">
            <w:pPr>
              <w:rPr>
                <w:rFonts w:ascii="Times New Roman" w:hAnsi="Times New Roman" w:cs="Times New Roman"/>
                <w:szCs w:val="20"/>
              </w:rPr>
            </w:pPr>
            <w:r w:rsidRPr="00405FBB">
              <w:rPr>
                <w:rFonts w:ascii="Times New Roman" w:hAnsi="Times New Roman" w:cs="Times New Roman"/>
                <w:szCs w:val="20"/>
              </w:rPr>
              <w:t>That NOPTA provide its insights on the offshore petroleum and greenhouse gas storage industries to jurisdictions to assist with policy development.</w:t>
            </w:r>
          </w:p>
        </w:tc>
        <w:tc>
          <w:tcPr>
            <w:tcW w:w="1843" w:type="dxa"/>
            <w:shd w:val="clear" w:color="auto" w:fill="auto"/>
          </w:tcPr>
          <w:p w:rsidR="00405FBB" w:rsidRPr="00405FBB" w:rsidRDefault="00405FBB" w:rsidP="00405FBB">
            <w:pPr>
              <w:rPr>
                <w:rFonts w:ascii="Times New Roman" w:hAnsi="Times New Roman" w:cs="Times New Roman"/>
                <w:szCs w:val="20"/>
              </w:rPr>
            </w:pPr>
            <w:r w:rsidRPr="00405FBB">
              <w:rPr>
                <w:rFonts w:ascii="Times New Roman" w:hAnsi="Times New Roman" w:cs="Times New Roman"/>
                <w:szCs w:val="20"/>
              </w:rPr>
              <w:t>NOPTA</w:t>
            </w:r>
          </w:p>
        </w:tc>
        <w:tc>
          <w:tcPr>
            <w:tcW w:w="1445" w:type="dxa"/>
            <w:hideMark/>
          </w:tcPr>
          <w:p w:rsidR="00405FBB" w:rsidRPr="00405FBB" w:rsidRDefault="00405FBB" w:rsidP="00405FBB">
            <w:pPr>
              <w:rPr>
                <w:rFonts w:ascii="Times New Roman" w:hAnsi="Times New Roman" w:cs="Times New Roman"/>
                <w:szCs w:val="20"/>
              </w:rPr>
            </w:pPr>
            <w:r w:rsidRPr="00405FBB">
              <w:rPr>
                <w:rFonts w:ascii="Times New Roman" w:hAnsi="Times New Roman" w:cs="Times New Roman"/>
                <w:szCs w:val="20"/>
              </w:rPr>
              <w:t>Accepted</w:t>
            </w:r>
          </w:p>
        </w:tc>
        <w:tc>
          <w:tcPr>
            <w:tcW w:w="1815" w:type="dxa"/>
            <w:hideMark/>
          </w:tcPr>
          <w:p w:rsidR="00405FBB" w:rsidRPr="00405FBB" w:rsidRDefault="00405FBB" w:rsidP="00405FBB">
            <w:pPr>
              <w:rPr>
                <w:rFonts w:ascii="Times New Roman" w:hAnsi="Times New Roman" w:cs="Times New Roman"/>
                <w:szCs w:val="20"/>
              </w:rPr>
            </w:pPr>
            <w:r w:rsidRPr="00405FBB">
              <w:rPr>
                <w:rFonts w:ascii="Times New Roman" w:hAnsi="Times New Roman" w:cs="Times New Roman"/>
                <w:szCs w:val="20"/>
              </w:rPr>
              <w:t>Complete</w:t>
            </w:r>
          </w:p>
        </w:tc>
        <w:tc>
          <w:tcPr>
            <w:tcW w:w="5419" w:type="dxa"/>
            <w:shd w:val="clear" w:color="auto" w:fill="auto"/>
          </w:tcPr>
          <w:p w:rsidR="00405FBB" w:rsidRPr="00405FBB" w:rsidRDefault="00405FBB" w:rsidP="00405FBB">
            <w:pPr>
              <w:rPr>
                <w:rFonts w:ascii="Times New Roman" w:hAnsi="Times New Roman" w:cs="Times New Roman"/>
                <w:szCs w:val="20"/>
              </w:rPr>
            </w:pPr>
            <w:r w:rsidRPr="00405FBB">
              <w:rPr>
                <w:rFonts w:ascii="Times New Roman" w:hAnsi="Times New Roman" w:cs="Times New Roman"/>
                <w:szCs w:val="20"/>
              </w:rPr>
              <w:t xml:space="preserve">NOPTA continues to provide advice to assist with policy development as required including through its ongoing engagement with Commonwealth and State/NT jurisdictions and participation in the Council of Australian Governments’ Energy Council UPR working group. </w:t>
            </w:r>
          </w:p>
          <w:p w:rsidR="00405FBB" w:rsidRPr="00405FBB" w:rsidRDefault="00405FBB" w:rsidP="00405FBB">
            <w:pPr>
              <w:rPr>
                <w:rFonts w:ascii="Times New Roman" w:hAnsi="Times New Roman" w:cs="Times New Roman"/>
                <w:szCs w:val="20"/>
              </w:rPr>
            </w:pPr>
            <w:r w:rsidRPr="00405FBB">
              <w:rPr>
                <w:rFonts w:ascii="Times New Roman" w:hAnsi="Times New Roman" w:cs="Times New Roman"/>
                <w:szCs w:val="20"/>
              </w:rPr>
              <w:t>This advice is based on NOPTA’s experience working in titles administration, data management and technical expertise.  There is a particular focus on reducing regulatory burden and streamlining processes.</w:t>
            </w:r>
          </w:p>
        </w:tc>
      </w:tr>
      <w:tr w:rsidR="00405FBB" w:rsidRPr="008357AB" w:rsidTr="00AD48CB">
        <w:tc>
          <w:tcPr>
            <w:tcW w:w="704" w:type="dxa"/>
            <w:hideMark/>
          </w:tcPr>
          <w:p w:rsidR="00405FBB" w:rsidRPr="00405FBB" w:rsidRDefault="00405FBB" w:rsidP="00405FBB">
            <w:pPr>
              <w:rPr>
                <w:rFonts w:ascii="Times New Roman" w:hAnsi="Times New Roman" w:cs="Times New Roman"/>
                <w:szCs w:val="20"/>
              </w:rPr>
            </w:pPr>
            <w:r w:rsidRPr="00405FBB">
              <w:rPr>
                <w:rFonts w:ascii="Times New Roman" w:hAnsi="Times New Roman" w:cs="Times New Roman"/>
                <w:szCs w:val="20"/>
              </w:rPr>
              <w:t>12</w:t>
            </w:r>
          </w:p>
        </w:tc>
        <w:tc>
          <w:tcPr>
            <w:tcW w:w="2949" w:type="dxa"/>
            <w:hideMark/>
          </w:tcPr>
          <w:p w:rsidR="00405FBB" w:rsidRPr="00405FBB" w:rsidRDefault="00405FBB" w:rsidP="00405FBB">
            <w:pPr>
              <w:rPr>
                <w:rFonts w:ascii="Times New Roman" w:hAnsi="Times New Roman" w:cs="Times New Roman"/>
                <w:szCs w:val="20"/>
              </w:rPr>
            </w:pPr>
            <w:r w:rsidRPr="00405FBB">
              <w:rPr>
                <w:rFonts w:ascii="Times New Roman" w:hAnsi="Times New Roman" w:cs="Times New Roman"/>
                <w:szCs w:val="20"/>
              </w:rPr>
              <w:t>That the Commonwealth Minister considers the conduct of a feasibility study for the creation of a single offshore titles administrative framework for both Commonwealth waters and State/Northern Territory waters through the conferral of powers under State and Northern Territory legislation.</w:t>
            </w:r>
          </w:p>
        </w:tc>
        <w:tc>
          <w:tcPr>
            <w:tcW w:w="1843" w:type="dxa"/>
            <w:shd w:val="clear" w:color="auto" w:fill="auto"/>
            <w:hideMark/>
          </w:tcPr>
          <w:p w:rsidR="00405FBB" w:rsidRPr="00405FBB" w:rsidRDefault="00405FBB" w:rsidP="00405FBB">
            <w:pPr>
              <w:rPr>
                <w:rFonts w:ascii="Times New Roman" w:hAnsi="Times New Roman" w:cs="Times New Roman"/>
                <w:szCs w:val="20"/>
              </w:rPr>
            </w:pPr>
            <w:r w:rsidRPr="00405FBB">
              <w:rPr>
                <w:rFonts w:ascii="Times New Roman" w:hAnsi="Times New Roman" w:cs="Times New Roman"/>
                <w:szCs w:val="20"/>
              </w:rPr>
              <w:t>NA</w:t>
            </w:r>
          </w:p>
        </w:tc>
        <w:tc>
          <w:tcPr>
            <w:tcW w:w="1445" w:type="dxa"/>
            <w:hideMark/>
          </w:tcPr>
          <w:p w:rsidR="00405FBB" w:rsidRPr="00405FBB" w:rsidRDefault="00405FBB" w:rsidP="00405FBB">
            <w:pPr>
              <w:rPr>
                <w:rFonts w:ascii="Times New Roman" w:hAnsi="Times New Roman" w:cs="Times New Roman"/>
                <w:szCs w:val="20"/>
              </w:rPr>
            </w:pPr>
            <w:r w:rsidRPr="00405FBB">
              <w:rPr>
                <w:rFonts w:ascii="Times New Roman" w:hAnsi="Times New Roman" w:cs="Times New Roman"/>
                <w:szCs w:val="20"/>
              </w:rPr>
              <w:t>Noted</w:t>
            </w:r>
          </w:p>
        </w:tc>
        <w:tc>
          <w:tcPr>
            <w:tcW w:w="1815" w:type="dxa"/>
            <w:hideMark/>
          </w:tcPr>
          <w:p w:rsidR="00405FBB" w:rsidRPr="00405FBB" w:rsidRDefault="00405FBB" w:rsidP="00405FBB">
            <w:pPr>
              <w:rPr>
                <w:rFonts w:ascii="Times New Roman" w:hAnsi="Times New Roman" w:cs="Times New Roman"/>
                <w:szCs w:val="20"/>
              </w:rPr>
            </w:pPr>
            <w:r w:rsidRPr="00405FBB">
              <w:rPr>
                <w:rFonts w:ascii="Times New Roman" w:hAnsi="Times New Roman" w:cs="Times New Roman"/>
                <w:szCs w:val="20"/>
              </w:rPr>
              <w:t>NA</w:t>
            </w:r>
          </w:p>
        </w:tc>
        <w:tc>
          <w:tcPr>
            <w:tcW w:w="5419" w:type="dxa"/>
            <w:shd w:val="clear" w:color="auto" w:fill="auto"/>
            <w:hideMark/>
          </w:tcPr>
          <w:p w:rsidR="00405FBB" w:rsidRPr="00405FBB" w:rsidRDefault="00405FBB" w:rsidP="00405FBB">
            <w:pPr>
              <w:rPr>
                <w:rFonts w:ascii="Times New Roman" w:hAnsi="Times New Roman" w:cs="Times New Roman"/>
                <w:szCs w:val="20"/>
              </w:rPr>
            </w:pPr>
            <w:r w:rsidRPr="00405FBB">
              <w:rPr>
                <w:rFonts w:ascii="Times New Roman" w:hAnsi="Times New Roman" w:cs="Times New Roman"/>
                <w:szCs w:val="20"/>
              </w:rPr>
              <w:t xml:space="preserve">As per the Government’s response to this review, the intention is not to pursue this recommendation at this time. </w:t>
            </w:r>
          </w:p>
        </w:tc>
      </w:tr>
    </w:tbl>
    <w:p w:rsidR="004A582B" w:rsidRDefault="004A582B" w:rsidP="009004C4">
      <w:pPr>
        <w:pStyle w:val="BodyText"/>
        <w:rPr>
          <w:rFonts w:ascii="Times New Roman" w:hAnsi="Times New Roman"/>
          <w:b/>
          <w:sz w:val="28"/>
          <w:u w:val="single"/>
        </w:rPr>
      </w:pPr>
    </w:p>
    <w:sectPr w:rsidR="004A582B" w:rsidSect="00405FBB">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DD6" w:rsidRDefault="004E7DD6" w:rsidP="00B526AB">
      <w:pPr>
        <w:spacing w:after="0" w:line="240" w:lineRule="auto"/>
      </w:pPr>
      <w:r>
        <w:separator/>
      </w:r>
    </w:p>
  </w:endnote>
  <w:endnote w:type="continuationSeparator" w:id="0">
    <w:p w:rsidR="004E7DD6" w:rsidRDefault="004E7DD6" w:rsidP="00B52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EFD" w:rsidRDefault="009F1EFD" w:rsidP="009151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F1EFD" w:rsidRDefault="009F1EFD" w:rsidP="0031658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EFD" w:rsidRDefault="009F1EFD" w:rsidP="009151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03750">
      <w:rPr>
        <w:rStyle w:val="PageNumber"/>
        <w:noProof/>
      </w:rPr>
      <w:t>3</w:t>
    </w:r>
    <w:r>
      <w:rPr>
        <w:rStyle w:val="PageNumber"/>
      </w:rPr>
      <w:fldChar w:fldCharType="end"/>
    </w:r>
  </w:p>
  <w:p w:rsidR="009F1EFD" w:rsidRPr="004846D2" w:rsidRDefault="004846D2" w:rsidP="0031658C">
    <w:pPr>
      <w:pStyle w:val="Footer"/>
      <w:ind w:right="360"/>
      <w:rPr>
        <w:sz w:val="18"/>
        <w:szCs w:val="18"/>
      </w:rPr>
    </w:pPr>
    <w:r w:rsidRPr="004846D2">
      <w:rPr>
        <w:sz w:val="18"/>
        <w:szCs w:val="18"/>
      </w:rPr>
      <w:t>Progress Report on Implementation of the 2015 NOP</w:t>
    </w:r>
    <w:r w:rsidR="009004C4">
      <w:rPr>
        <w:sz w:val="18"/>
        <w:szCs w:val="18"/>
      </w:rPr>
      <w:t>TA</w:t>
    </w:r>
    <w:r w:rsidRPr="004846D2">
      <w:rPr>
        <w:sz w:val="18"/>
        <w:szCs w:val="18"/>
      </w:rPr>
      <w:t xml:space="preserve"> Operational Review Recommendations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EFD" w:rsidRDefault="009F1EFD" w:rsidP="009151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F1EFD" w:rsidRDefault="009F1EFD" w:rsidP="0031658C">
    <w:pPr>
      <w:pStyle w:val="Footer"/>
      <w:tabs>
        <w:tab w:val="clear" w:pos="8640"/>
      </w:tabs>
      <w:ind w:right="379"/>
    </w:pPr>
    <w:r>
      <w:t>Document Title</w:t>
    </w:r>
    <w:r>
      <w:tab/>
      <w:t>industry.gov.au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DD6" w:rsidRDefault="004E7DD6" w:rsidP="00B526AB">
      <w:pPr>
        <w:spacing w:after="0" w:line="240" w:lineRule="auto"/>
      </w:pPr>
      <w:r>
        <w:separator/>
      </w:r>
    </w:p>
  </w:footnote>
  <w:footnote w:type="continuationSeparator" w:id="0">
    <w:p w:rsidR="004E7DD6" w:rsidRDefault="004E7DD6" w:rsidP="00B526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EFD" w:rsidRPr="004846D2" w:rsidRDefault="009F1EFD" w:rsidP="004846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EFD" w:rsidRDefault="009F1E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36FD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7CD5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82E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2EF1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D56CB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7456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5899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F05DB2"/>
    <w:lvl w:ilvl="0">
      <w:start w:val="1"/>
      <w:numFmt w:val="bullet"/>
      <w:pStyle w:val="ListBullet2"/>
      <w:lvlText w:val=""/>
      <w:lvlJc w:val="left"/>
      <w:pPr>
        <w:ind w:left="644" w:hanging="360"/>
      </w:pPr>
      <w:rPr>
        <w:rFonts w:ascii="Symbol" w:hAnsi="Symbol" w:hint="default"/>
        <w:b/>
        <w:i w:val="0"/>
        <w:color w:val="005677" w:themeColor="accent1"/>
      </w:rPr>
    </w:lvl>
  </w:abstractNum>
  <w:abstractNum w:abstractNumId="8" w15:restartNumberingAfterBreak="0">
    <w:nsid w:val="FFFFFF88"/>
    <w:multiLevelType w:val="singleLevel"/>
    <w:tmpl w:val="9350D2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1A1AA8"/>
    <w:lvl w:ilvl="0">
      <w:start w:val="1"/>
      <w:numFmt w:val="bullet"/>
      <w:pStyle w:val="ListBullet"/>
      <w:lvlText w:val=""/>
      <w:lvlJc w:val="left"/>
      <w:pPr>
        <w:ind w:left="360" w:hanging="360"/>
      </w:pPr>
      <w:rPr>
        <w:rFonts w:ascii="Symbol" w:hAnsi="Symbol" w:hint="default"/>
        <w:color w:val="005677" w:themeColor="accent1"/>
      </w:rPr>
    </w:lvl>
  </w:abstractNum>
  <w:abstractNum w:abstractNumId="10" w15:restartNumberingAfterBreak="0">
    <w:nsid w:val="204352D2"/>
    <w:multiLevelType w:val="hybridMultilevel"/>
    <w:tmpl w:val="0700E1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18B0DD8"/>
    <w:multiLevelType w:val="hybridMultilevel"/>
    <w:tmpl w:val="B8F62B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C0D3BB1"/>
    <w:multiLevelType w:val="hybridMultilevel"/>
    <w:tmpl w:val="4DCA99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44896F40"/>
    <w:multiLevelType w:val="hybridMultilevel"/>
    <w:tmpl w:val="72768A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C23716B"/>
    <w:multiLevelType w:val="hybridMultilevel"/>
    <w:tmpl w:val="CDFCBA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1"/>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F5F"/>
    <w:rsid w:val="00003750"/>
    <w:rsid w:val="00163B54"/>
    <w:rsid w:val="001A25AE"/>
    <w:rsid w:val="001A2DC6"/>
    <w:rsid w:val="002300AC"/>
    <w:rsid w:val="00244596"/>
    <w:rsid w:val="00263E00"/>
    <w:rsid w:val="002831AD"/>
    <w:rsid w:val="002A6F5F"/>
    <w:rsid w:val="002B57BF"/>
    <w:rsid w:val="002D3954"/>
    <w:rsid w:val="002E14EA"/>
    <w:rsid w:val="002E201E"/>
    <w:rsid w:val="002F65AF"/>
    <w:rsid w:val="00304F04"/>
    <w:rsid w:val="0031658C"/>
    <w:rsid w:val="00333C59"/>
    <w:rsid w:val="003630F9"/>
    <w:rsid w:val="0038442D"/>
    <w:rsid w:val="003C53A6"/>
    <w:rsid w:val="00402E42"/>
    <w:rsid w:val="00405FBB"/>
    <w:rsid w:val="00407ECA"/>
    <w:rsid w:val="004111E9"/>
    <w:rsid w:val="00436B60"/>
    <w:rsid w:val="00452BA6"/>
    <w:rsid w:val="004846D2"/>
    <w:rsid w:val="004A582B"/>
    <w:rsid w:val="004C7083"/>
    <w:rsid w:val="004E7DD6"/>
    <w:rsid w:val="005642F2"/>
    <w:rsid w:val="00585806"/>
    <w:rsid w:val="005D0228"/>
    <w:rsid w:val="005E77A7"/>
    <w:rsid w:val="005F1934"/>
    <w:rsid w:val="00602C92"/>
    <w:rsid w:val="006820A5"/>
    <w:rsid w:val="006C2852"/>
    <w:rsid w:val="00706764"/>
    <w:rsid w:val="00723B30"/>
    <w:rsid w:val="00740A84"/>
    <w:rsid w:val="007617DF"/>
    <w:rsid w:val="007B6E7A"/>
    <w:rsid w:val="00811D43"/>
    <w:rsid w:val="00822068"/>
    <w:rsid w:val="0082772E"/>
    <w:rsid w:val="00850038"/>
    <w:rsid w:val="008602BC"/>
    <w:rsid w:val="0088639D"/>
    <w:rsid w:val="008D6453"/>
    <w:rsid w:val="009004C4"/>
    <w:rsid w:val="00915145"/>
    <w:rsid w:val="00956813"/>
    <w:rsid w:val="00975726"/>
    <w:rsid w:val="00991FDD"/>
    <w:rsid w:val="009A0EF0"/>
    <w:rsid w:val="009D7BB6"/>
    <w:rsid w:val="009E6444"/>
    <w:rsid w:val="009F0F4D"/>
    <w:rsid w:val="009F1CCD"/>
    <w:rsid w:val="009F1EFD"/>
    <w:rsid w:val="00A45D77"/>
    <w:rsid w:val="00A51E16"/>
    <w:rsid w:val="00A83162"/>
    <w:rsid w:val="00A85BA1"/>
    <w:rsid w:val="00B37916"/>
    <w:rsid w:val="00B526AB"/>
    <w:rsid w:val="00C14C8F"/>
    <w:rsid w:val="00C264A7"/>
    <w:rsid w:val="00C84D65"/>
    <w:rsid w:val="00CB2680"/>
    <w:rsid w:val="00CB5D3D"/>
    <w:rsid w:val="00CC7875"/>
    <w:rsid w:val="00D46D83"/>
    <w:rsid w:val="00D87BC8"/>
    <w:rsid w:val="00E029B2"/>
    <w:rsid w:val="00E62473"/>
    <w:rsid w:val="00E72774"/>
    <w:rsid w:val="00ED17D8"/>
    <w:rsid w:val="00F11C75"/>
    <w:rsid w:val="00F25F29"/>
    <w:rsid w:val="00FC70DE"/>
    <w:rsid w:val="00FD01FB"/>
    <w:rsid w:val="00FD5DE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5:docId w15:val="{1A26345B-A6EC-4EB2-9ECB-BFD1468B4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6AB"/>
    <w:pPr>
      <w:spacing w:after="120"/>
    </w:pPr>
    <w:rPr>
      <w:sz w:val="20"/>
    </w:rPr>
  </w:style>
  <w:style w:type="paragraph" w:styleId="Heading1">
    <w:name w:val="heading 1"/>
    <w:basedOn w:val="Normal"/>
    <w:next w:val="Normal"/>
    <w:link w:val="Heading1Char"/>
    <w:uiPriority w:val="9"/>
    <w:qFormat/>
    <w:rsid w:val="00975726"/>
    <w:pPr>
      <w:keepNext/>
      <w:keepLines/>
      <w:spacing w:before="480" w:after="0"/>
      <w:outlineLvl w:val="0"/>
    </w:pPr>
    <w:rPr>
      <w:rFonts w:asciiTheme="majorHAnsi" w:eastAsiaTheme="majorEastAsia" w:hAnsiTheme="majorHAnsi" w:cstheme="majorBidi"/>
      <w:b/>
      <w:bCs/>
      <w:color w:val="004059" w:themeColor="accent1" w:themeShade="BF"/>
      <w:sz w:val="28"/>
      <w:szCs w:val="28"/>
    </w:rPr>
  </w:style>
  <w:style w:type="paragraph" w:styleId="Heading2">
    <w:name w:val="heading 2"/>
    <w:basedOn w:val="Normal"/>
    <w:next w:val="Normal"/>
    <w:link w:val="Heading2Char"/>
    <w:uiPriority w:val="9"/>
    <w:unhideWhenUsed/>
    <w:qFormat/>
    <w:rsid w:val="00975726"/>
    <w:pPr>
      <w:keepNext/>
      <w:keepLines/>
      <w:spacing w:before="200" w:after="0"/>
      <w:outlineLvl w:val="1"/>
    </w:pPr>
    <w:rPr>
      <w:rFonts w:asciiTheme="majorHAnsi" w:eastAsiaTheme="majorEastAsia" w:hAnsiTheme="majorHAnsi" w:cstheme="majorBidi"/>
      <w:b/>
      <w:bCs/>
      <w:color w:val="005677" w:themeColor="accent1"/>
      <w:sz w:val="26"/>
      <w:szCs w:val="26"/>
    </w:rPr>
  </w:style>
  <w:style w:type="paragraph" w:styleId="Heading3">
    <w:name w:val="heading 3"/>
    <w:basedOn w:val="Normal"/>
    <w:next w:val="Normal"/>
    <w:link w:val="Heading3Char"/>
    <w:uiPriority w:val="9"/>
    <w:unhideWhenUsed/>
    <w:qFormat/>
    <w:rsid w:val="003630F9"/>
    <w:pPr>
      <w:keepNext/>
      <w:keepLines/>
      <w:spacing w:before="200" w:after="0"/>
      <w:outlineLvl w:val="2"/>
    </w:pPr>
    <w:rPr>
      <w:rFonts w:asciiTheme="majorHAnsi" w:eastAsiaTheme="majorEastAsia" w:hAnsiTheme="majorHAnsi" w:cstheme="majorBidi"/>
      <w:b/>
      <w:bCs/>
      <w:color w:val="005677" w:themeColor="accent1"/>
      <w:sz w:val="24"/>
      <w:szCs w:val="24"/>
    </w:rPr>
  </w:style>
  <w:style w:type="paragraph" w:styleId="Heading4">
    <w:name w:val="heading 4"/>
    <w:basedOn w:val="Normal"/>
    <w:next w:val="Normal"/>
    <w:link w:val="Heading4Char"/>
    <w:uiPriority w:val="9"/>
    <w:unhideWhenUsed/>
    <w:qFormat/>
    <w:rsid w:val="003630F9"/>
    <w:pPr>
      <w:keepNext/>
      <w:keepLines/>
      <w:spacing w:before="200" w:after="0"/>
      <w:outlineLvl w:val="3"/>
    </w:pPr>
    <w:rPr>
      <w:rFonts w:asciiTheme="majorHAnsi" w:eastAsiaTheme="majorEastAsia" w:hAnsiTheme="majorHAnsi" w:cstheme="majorBidi"/>
      <w:b/>
      <w:bCs/>
      <w:i/>
      <w:iCs/>
      <w:color w:val="005677" w:themeColor="accent1"/>
      <w:sz w:val="22"/>
    </w:rPr>
  </w:style>
  <w:style w:type="paragraph" w:styleId="Heading5">
    <w:name w:val="heading 5"/>
    <w:basedOn w:val="Normal"/>
    <w:next w:val="Normal"/>
    <w:link w:val="Heading5Char"/>
    <w:uiPriority w:val="9"/>
    <w:unhideWhenUsed/>
    <w:qFormat/>
    <w:rsid w:val="003630F9"/>
    <w:pPr>
      <w:keepNext/>
      <w:keepLines/>
      <w:spacing w:before="200" w:after="0"/>
      <w:outlineLvl w:val="4"/>
    </w:pPr>
    <w:rPr>
      <w:rFonts w:asciiTheme="majorHAnsi" w:eastAsiaTheme="majorEastAsia" w:hAnsiTheme="majorHAnsi" w:cstheme="majorBidi"/>
      <w:b/>
      <w:color w:val="002A3B" w:themeColor="accent1" w:themeShade="7F"/>
    </w:rPr>
  </w:style>
  <w:style w:type="paragraph" w:styleId="Heading6">
    <w:name w:val="heading 6"/>
    <w:basedOn w:val="Normal"/>
    <w:next w:val="Normal"/>
    <w:link w:val="Heading6Char"/>
    <w:uiPriority w:val="9"/>
    <w:unhideWhenUsed/>
    <w:qFormat/>
    <w:rsid w:val="00B37916"/>
    <w:pPr>
      <w:keepNext/>
      <w:keepLines/>
      <w:spacing w:before="200" w:after="0"/>
      <w:outlineLvl w:val="5"/>
    </w:pPr>
    <w:rPr>
      <w:rFonts w:asciiTheme="majorHAnsi" w:eastAsiaTheme="majorEastAsia" w:hAnsiTheme="majorHAnsi" w:cstheme="majorBidi"/>
      <w:b/>
      <w:i/>
      <w:iCs/>
      <w:color w:val="002A3B" w:themeColor="accent1" w:themeShade="7F"/>
    </w:rPr>
  </w:style>
  <w:style w:type="paragraph" w:styleId="Heading7">
    <w:name w:val="heading 7"/>
    <w:basedOn w:val="Normal"/>
    <w:next w:val="Normal"/>
    <w:link w:val="Heading7Char"/>
    <w:uiPriority w:val="9"/>
    <w:unhideWhenUsed/>
    <w:qFormat/>
    <w:rsid w:val="003630F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5726"/>
    <w:pPr>
      <w:spacing w:after="0" w:line="240" w:lineRule="auto"/>
    </w:pPr>
  </w:style>
  <w:style w:type="character" w:customStyle="1" w:styleId="Heading1Char">
    <w:name w:val="Heading 1 Char"/>
    <w:basedOn w:val="DefaultParagraphFont"/>
    <w:link w:val="Heading1"/>
    <w:uiPriority w:val="9"/>
    <w:rsid w:val="00975726"/>
    <w:rPr>
      <w:rFonts w:asciiTheme="majorHAnsi" w:eastAsiaTheme="majorEastAsia" w:hAnsiTheme="majorHAnsi" w:cstheme="majorBidi"/>
      <w:b/>
      <w:bCs/>
      <w:color w:val="004059" w:themeColor="accent1" w:themeShade="BF"/>
      <w:sz w:val="28"/>
      <w:szCs w:val="28"/>
    </w:rPr>
  </w:style>
  <w:style w:type="character" w:customStyle="1" w:styleId="Heading2Char">
    <w:name w:val="Heading 2 Char"/>
    <w:basedOn w:val="DefaultParagraphFont"/>
    <w:link w:val="Heading2"/>
    <w:uiPriority w:val="9"/>
    <w:rsid w:val="00975726"/>
    <w:rPr>
      <w:rFonts w:asciiTheme="majorHAnsi" w:eastAsiaTheme="majorEastAsia" w:hAnsiTheme="majorHAnsi" w:cstheme="majorBidi"/>
      <w:b/>
      <w:bCs/>
      <w:color w:val="005677" w:themeColor="accent1"/>
      <w:sz w:val="26"/>
      <w:szCs w:val="26"/>
    </w:rPr>
  </w:style>
  <w:style w:type="paragraph" w:styleId="Title">
    <w:name w:val="Title"/>
    <w:basedOn w:val="Normal"/>
    <w:next w:val="Normal"/>
    <w:link w:val="TitleChar"/>
    <w:uiPriority w:val="10"/>
    <w:qFormat/>
    <w:rsid w:val="00FC70DE"/>
    <w:pPr>
      <w:spacing w:before="4480" w:after="480" w:line="240" w:lineRule="auto"/>
      <w:contextualSpacing/>
    </w:pPr>
    <w:rPr>
      <w:rFonts w:asciiTheme="majorHAnsi" w:eastAsiaTheme="majorEastAsia" w:hAnsiTheme="majorHAnsi" w:cstheme="majorBidi"/>
      <w:b/>
      <w:color w:val="2C2C2D" w:themeColor="text2" w:themeShade="80"/>
      <w:spacing w:val="5"/>
      <w:kern w:val="28"/>
      <w:sz w:val="64"/>
      <w:szCs w:val="52"/>
    </w:rPr>
  </w:style>
  <w:style w:type="character" w:customStyle="1" w:styleId="TitleChar">
    <w:name w:val="Title Char"/>
    <w:basedOn w:val="DefaultParagraphFont"/>
    <w:link w:val="Title"/>
    <w:uiPriority w:val="10"/>
    <w:rsid w:val="00FC70DE"/>
    <w:rPr>
      <w:rFonts w:asciiTheme="majorHAnsi" w:eastAsiaTheme="majorEastAsia" w:hAnsiTheme="majorHAnsi" w:cstheme="majorBidi"/>
      <w:b/>
      <w:color w:val="2C2C2D" w:themeColor="text2" w:themeShade="80"/>
      <w:spacing w:val="5"/>
      <w:kern w:val="28"/>
      <w:sz w:val="64"/>
      <w:szCs w:val="52"/>
    </w:rPr>
  </w:style>
  <w:style w:type="paragraph" w:styleId="Subtitle">
    <w:name w:val="Subtitle"/>
    <w:basedOn w:val="Normal"/>
    <w:next w:val="Normal"/>
    <w:link w:val="SubtitleChar"/>
    <w:uiPriority w:val="11"/>
    <w:qFormat/>
    <w:rsid w:val="005F1934"/>
    <w:pPr>
      <w:numPr>
        <w:ilvl w:val="1"/>
      </w:numPr>
    </w:pPr>
    <w:rPr>
      <w:rFonts w:asciiTheme="majorHAnsi" w:eastAsiaTheme="majorEastAsia" w:hAnsiTheme="majorHAnsi" w:cstheme="majorBidi"/>
      <w:iCs/>
      <w:color w:val="939598" w:themeColor="background2"/>
      <w:spacing w:val="15"/>
      <w:sz w:val="40"/>
      <w:szCs w:val="24"/>
    </w:rPr>
  </w:style>
  <w:style w:type="character" w:customStyle="1" w:styleId="SubtitleChar">
    <w:name w:val="Subtitle Char"/>
    <w:basedOn w:val="DefaultParagraphFont"/>
    <w:link w:val="Subtitle"/>
    <w:uiPriority w:val="11"/>
    <w:rsid w:val="005F1934"/>
    <w:rPr>
      <w:rFonts w:asciiTheme="majorHAnsi" w:eastAsiaTheme="majorEastAsia" w:hAnsiTheme="majorHAnsi" w:cstheme="majorBidi"/>
      <w:iCs/>
      <w:color w:val="939598" w:themeColor="background2"/>
      <w:spacing w:val="15"/>
      <w:sz w:val="40"/>
      <w:szCs w:val="24"/>
    </w:rPr>
  </w:style>
  <w:style w:type="character" w:styleId="Emphasis">
    <w:name w:val="Emphasis"/>
    <w:basedOn w:val="DefaultParagraphFont"/>
    <w:uiPriority w:val="20"/>
    <w:qFormat/>
    <w:rsid w:val="00975726"/>
    <w:rPr>
      <w:i/>
      <w:iCs/>
    </w:rPr>
  </w:style>
  <w:style w:type="character" w:styleId="Strong">
    <w:name w:val="Strong"/>
    <w:basedOn w:val="DefaultParagraphFont"/>
    <w:uiPriority w:val="22"/>
    <w:qFormat/>
    <w:rsid w:val="00975726"/>
    <w:rPr>
      <w:b/>
      <w:bCs/>
    </w:rPr>
  </w:style>
  <w:style w:type="character" w:styleId="Hyperlink">
    <w:name w:val="Hyperlink"/>
    <w:basedOn w:val="DefaultParagraphFont"/>
    <w:uiPriority w:val="99"/>
    <w:unhideWhenUsed/>
    <w:rsid w:val="00822068"/>
    <w:rPr>
      <w:color w:val="005677" w:themeColor="hyperlink"/>
      <w:u w:val="single"/>
    </w:rPr>
  </w:style>
  <w:style w:type="character" w:customStyle="1" w:styleId="Heading3Char">
    <w:name w:val="Heading 3 Char"/>
    <w:basedOn w:val="DefaultParagraphFont"/>
    <w:link w:val="Heading3"/>
    <w:uiPriority w:val="9"/>
    <w:rsid w:val="003630F9"/>
    <w:rPr>
      <w:rFonts w:asciiTheme="majorHAnsi" w:eastAsiaTheme="majorEastAsia" w:hAnsiTheme="majorHAnsi" w:cstheme="majorBidi"/>
      <w:b/>
      <w:bCs/>
      <w:color w:val="005677" w:themeColor="accent1"/>
      <w:sz w:val="24"/>
      <w:szCs w:val="24"/>
    </w:rPr>
  </w:style>
  <w:style w:type="character" w:customStyle="1" w:styleId="Heading4Char">
    <w:name w:val="Heading 4 Char"/>
    <w:basedOn w:val="DefaultParagraphFont"/>
    <w:link w:val="Heading4"/>
    <w:uiPriority w:val="9"/>
    <w:rsid w:val="003630F9"/>
    <w:rPr>
      <w:rFonts w:asciiTheme="majorHAnsi" w:eastAsiaTheme="majorEastAsia" w:hAnsiTheme="majorHAnsi" w:cstheme="majorBidi"/>
      <w:b/>
      <w:bCs/>
      <w:i/>
      <w:iCs/>
      <w:color w:val="005677" w:themeColor="accent1"/>
    </w:rPr>
  </w:style>
  <w:style w:type="character" w:customStyle="1" w:styleId="Heading5Char">
    <w:name w:val="Heading 5 Char"/>
    <w:basedOn w:val="DefaultParagraphFont"/>
    <w:link w:val="Heading5"/>
    <w:uiPriority w:val="9"/>
    <w:rsid w:val="003630F9"/>
    <w:rPr>
      <w:rFonts w:asciiTheme="majorHAnsi" w:eastAsiaTheme="majorEastAsia" w:hAnsiTheme="majorHAnsi" w:cstheme="majorBidi"/>
      <w:b/>
      <w:color w:val="002A3B" w:themeColor="accent1" w:themeShade="7F"/>
      <w:sz w:val="20"/>
    </w:rPr>
  </w:style>
  <w:style w:type="table" w:styleId="TableGrid">
    <w:name w:val="Table Grid"/>
    <w:basedOn w:val="TableNormal"/>
    <w:uiPriority w:val="59"/>
    <w:rsid w:val="00822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822068"/>
    <w:pPr>
      <w:spacing w:after="0" w:line="240" w:lineRule="auto"/>
    </w:pPr>
    <w:tblPr>
      <w:tblStyleRowBandSize w:val="1"/>
      <w:tblStyleColBandSize w:val="1"/>
      <w:tblBorders>
        <w:top w:val="single" w:sz="8" w:space="0" w:color="005677" w:themeColor="accent1"/>
        <w:left w:val="single" w:sz="8" w:space="0" w:color="005677" w:themeColor="accent1"/>
        <w:bottom w:val="single" w:sz="8" w:space="0" w:color="005677" w:themeColor="accent1"/>
        <w:right w:val="single" w:sz="8" w:space="0" w:color="005677" w:themeColor="accent1"/>
      </w:tblBorders>
    </w:tblPr>
    <w:tblStylePr w:type="firstRow">
      <w:pPr>
        <w:spacing w:before="0" w:after="0" w:line="240" w:lineRule="auto"/>
      </w:pPr>
      <w:rPr>
        <w:b/>
        <w:bCs/>
        <w:color w:val="FFFFFF" w:themeColor="background1"/>
      </w:rPr>
      <w:tblPr/>
      <w:tcPr>
        <w:shd w:val="clear" w:color="auto" w:fill="005677" w:themeFill="accent1"/>
      </w:tcPr>
    </w:tblStylePr>
    <w:tblStylePr w:type="lastRow">
      <w:pPr>
        <w:spacing w:before="0" w:after="0" w:line="240" w:lineRule="auto"/>
      </w:pPr>
      <w:rPr>
        <w:b/>
        <w:bCs/>
      </w:rPr>
      <w:tblPr/>
      <w:tcPr>
        <w:tcBorders>
          <w:top w:val="double" w:sz="6" w:space="0" w:color="005677" w:themeColor="accent1"/>
          <w:left w:val="single" w:sz="8" w:space="0" w:color="005677" w:themeColor="accent1"/>
          <w:bottom w:val="single" w:sz="8" w:space="0" w:color="005677" w:themeColor="accent1"/>
          <w:right w:val="single" w:sz="8" w:space="0" w:color="005677" w:themeColor="accent1"/>
        </w:tcBorders>
      </w:tcPr>
    </w:tblStylePr>
    <w:tblStylePr w:type="firstCol">
      <w:rPr>
        <w:b/>
        <w:bCs/>
      </w:rPr>
    </w:tblStylePr>
    <w:tblStylePr w:type="lastCol">
      <w:rPr>
        <w:b/>
        <w:bCs/>
      </w:rPr>
    </w:tblStylePr>
    <w:tblStylePr w:type="band1Vert">
      <w:tblPr/>
      <w:tcPr>
        <w:tcBorders>
          <w:top w:val="single" w:sz="8" w:space="0" w:color="005677" w:themeColor="accent1"/>
          <w:left w:val="single" w:sz="8" w:space="0" w:color="005677" w:themeColor="accent1"/>
          <w:bottom w:val="single" w:sz="8" w:space="0" w:color="005677" w:themeColor="accent1"/>
          <w:right w:val="single" w:sz="8" w:space="0" w:color="005677" w:themeColor="accent1"/>
        </w:tcBorders>
      </w:tcPr>
    </w:tblStylePr>
    <w:tblStylePr w:type="band1Horz">
      <w:tblPr/>
      <w:tcPr>
        <w:tcBorders>
          <w:top w:val="single" w:sz="8" w:space="0" w:color="005677" w:themeColor="accent1"/>
          <w:left w:val="single" w:sz="8" w:space="0" w:color="005677" w:themeColor="accent1"/>
          <w:bottom w:val="single" w:sz="8" w:space="0" w:color="005677" w:themeColor="accent1"/>
          <w:right w:val="single" w:sz="8" w:space="0" w:color="005677" w:themeColor="accent1"/>
        </w:tcBorders>
      </w:tcPr>
    </w:tblStylePr>
  </w:style>
  <w:style w:type="table" w:styleId="LightList-Accent2">
    <w:name w:val="Light List Accent 2"/>
    <w:basedOn w:val="TableNormal"/>
    <w:uiPriority w:val="61"/>
    <w:rsid w:val="00822068"/>
    <w:pPr>
      <w:spacing w:after="0" w:line="240" w:lineRule="auto"/>
    </w:pPr>
    <w:tblPr>
      <w:tblStyleRowBandSize w:val="1"/>
      <w:tblStyleColBandSize w:val="1"/>
      <w:tblBorders>
        <w:top w:val="single" w:sz="8" w:space="0" w:color="00283E" w:themeColor="accent2"/>
        <w:left w:val="single" w:sz="8" w:space="0" w:color="00283E" w:themeColor="accent2"/>
        <w:bottom w:val="single" w:sz="8" w:space="0" w:color="00283E" w:themeColor="accent2"/>
        <w:right w:val="single" w:sz="8" w:space="0" w:color="00283E" w:themeColor="accent2"/>
      </w:tblBorders>
    </w:tblPr>
    <w:tblStylePr w:type="firstRow">
      <w:pPr>
        <w:spacing w:before="0" w:after="0" w:line="240" w:lineRule="auto"/>
      </w:pPr>
      <w:rPr>
        <w:b/>
        <w:bCs/>
        <w:color w:val="FFFFFF" w:themeColor="background1"/>
      </w:rPr>
      <w:tblPr/>
      <w:tcPr>
        <w:shd w:val="clear" w:color="auto" w:fill="00283E" w:themeFill="accent2"/>
      </w:tcPr>
    </w:tblStylePr>
    <w:tblStylePr w:type="lastRow">
      <w:pPr>
        <w:spacing w:before="0" w:after="0" w:line="240" w:lineRule="auto"/>
      </w:pPr>
      <w:rPr>
        <w:b/>
        <w:bCs/>
      </w:rPr>
      <w:tblPr/>
      <w:tcPr>
        <w:tcBorders>
          <w:top w:val="double" w:sz="6" w:space="0" w:color="00283E" w:themeColor="accent2"/>
          <w:left w:val="single" w:sz="8" w:space="0" w:color="00283E" w:themeColor="accent2"/>
          <w:bottom w:val="single" w:sz="8" w:space="0" w:color="00283E" w:themeColor="accent2"/>
          <w:right w:val="single" w:sz="8" w:space="0" w:color="00283E" w:themeColor="accent2"/>
        </w:tcBorders>
      </w:tcPr>
    </w:tblStylePr>
    <w:tblStylePr w:type="firstCol">
      <w:rPr>
        <w:b/>
        <w:bCs/>
      </w:rPr>
    </w:tblStylePr>
    <w:tblStylePr w:type="lastCol">
      <w:rPr>
        <w:b/>
        <w:bCs/>
      </w:rPr>
    </w:tblStylePr>
    <w:tblStylePr w:type="band1Vert">
      <w:tblPr/>
      <w:tcPr>
        <w:tcBorders>
          <w:top w:val="single" w:sz="8" w:space="0" w:color="00283E" w:themeColor="accent2"/>
          <w:left w:val="single" w:sz="8" w:space="0" w:color="00283E" w:themeColor="accent2"/>
          <w:bottom w:val="single" w:sz="8" w:space="0" w:color="00283E" w:themeColor="accent2"/>
          <w:right w:val="single" w:sz="8" w:space="0" w:color="00283E" w:themeColor="accent2"/>
        </w:tcBorders>
      </w:tcPr>
    </w:tblStylePr>
    <w:tblStylePr w:type="band1Horz">
      <w:tblPr/>
      <w:tcPr>
        <w:tcBorders>
          <w:top w:val="single" w:sz="8" w:space="0" w:color="00283E" w:themeColor="accent2"/>
          <w:left w:val="single" w:sz="8" w:space="0" w:color="00283E" w:themeColor="accent2"/>
          <w:bottom w:val="single" w:sz="8" w:space="0" w:color="00283E" w:themeColor="accent2"/>
          <w:right w:val="single" w:sz="8" w:space="0" w:color="00283E" w:themeColor="accent2"/>
        </w:tcBorders>
      </w:tcPr>
    </w:tblStylePr>
  </w:style>
  <w:style w:type="table" w:styleId="LightList-Accent3">
    <w:name w:val="Light List Accent 3"/>
    <w:basedOn w:val="TableNormal"/>
    <w:uiPriority w:val="61"/>
    <w:rsid w:val="00822068"/>
    <w:pPr>
      <w:spacing w:after="0" w:line="240" w:lineRule="auto"/>
    </w:pPr>
    <w:tblPr>
      <w:tblStyleRowBandSize w:val="1"/>
      <w:tblStyleColBandSize w:val="1"/>
      <w:tblBorders>
        <w:top w:val="single" w:sz="8" w:space="0" w:color="1B9590" w:themeColor="accent3"/>
        <w:left w:val="single" w:sz="8" w:space="0" w:color="1B9590" w:themeColor="accent3"/>
        <w:bottom w:val="single" w:sz="8" w:space="0" w:color="1B9590" w:themeColor="accent3"/>
        <w:right w:val="single" w:sz="8" w:space="0" w:color="1B9590" w:themeColor="accent3"/>
      </w:tblBorders>
    </w:tblPr>
    <w:tblStylePr w:type="firstRow">
      <w:pPr>
        <w:spacing w:before="0" w:after="0" w:line="240" w:lineRule="auto"/>
      </w:pPr>
      <w:rPr>
        <w:b/>
        <w:bCs/>
        <w:color w:val="FFFFFF" w:themeColor="background1"/>
      </w:rPr>
      <w:tblPr/>
      <w:tcPr>
        <w:shd w:val="clear" w:color="auto" w:fill="1B9590" w:themeFill="accent3"/>
      </w:tcPr>
    </w:tblStylePr>
    <w:tblStylePr w:type="lastRow">
      <w:pPr>
        <w:spacing w:before="0" w:after="0" w:line="240" w:lineRule="auto"/>
      </w:pPr>
      <w:rPr>
        <w:b/>
        <w:bCs/>
      </w:rPr>
      <w:tblPr/>
      <w:tcPr>
        <w:tcBorders>
          <w:top w:val="double" w:sz="6" w:space="0" w:color="1B9590" w:themeColor="accent3"/>
          <w:left w:val="single" w:sz="8" w:space="0" w:color="1B9590" w:themeColor="accent3"/>
          <w:bottom w:val="single" w:sz="8" w:space="0" w:color="1B9590" w:themeColor="accent3"/>
          <w:right w:val="single" w:sz="8" w:space="0" w:color="1B9590" w:themeColor="accent3"/>
        </w:tcBorders>
      </w:tcPr>
    </w:tblStylePr>
    <w:tblStylePr w:type="firstCol">
      <w:rPr>
        <w:b/>
        <w:bCs/>
      </w:rPr>
    </w:tblStylePr>
    <w:tblStylePr w:type="lastCol">
      <w:rPr>
        <w:b/>
        <w:bCs/>
      </w:rPr>
    </w:tblStylePr>
    <w:tblStylePr w:type="band1Vert">
      <w:tblPr/>
      <w:tcPr>
        <w:tcBorders>
          <w:top w:val="single" w:sz="8" w:space="0" w:color="1B9590" w:themeColor="accent3"/>
          <w:left w:val="single" w:sz="8" w:space="0" w:color="1B9590" w:themeColor="accent3"/>
          <w:bottom w:val="single" w:sz="8" w:space="0" w:color="1B9590" w:themeColor="accent3"/>
          <w:right w:val="single" w:sz="8" w:space="0" w:color="1B9590" w:themeColor="accent3"/>
        </w:tcBorders>
      </w:tcPr>
    </w:tblStylePr>
    <w:tblStylePr w:type="band1Horz">
      <w:tblPr/>
      <w:tcPr>
        <w:tcBorders>
          <w:top w:val="single" w:sz="8" w:space="0" w:color="1B9590" w:themeColor="accent3"/>
          <w:left w:val="single" w:sz="8" w:space="0" w:color="1B9590" w:themeColor="accent3"/>
          <w:bottom w:val="single" w:sz="8" w:space="0" w:color="1B9590" w:themeColor="accent3"/>
          <w:right w:val="single" w:sz="8" w:space="0" w:color="1B9590" w:themeColor="accent3"/>
        </w:tcBorders>
      </w:tcPr>
    </w:tblStylePr>
  </w:style>
  <w:style w:type="table" w:styleId="LightList-Accent4">
    <w:name w:val="Light List Accent 4"/>
    <w:basedOn w:val="TableNormal"/>
    <w:uiPriority w:val="61"/>
    <w:rsid w:val="00822068"/>
    <w:pPr>
      <w:spacing w:after="0" w:line="240" w:lineRule="auto"/>
    </w:pPr>
    <w:tblPr>
      <w:tblStyleRowBandSize w:val="1"/>
      <w:tblStyleColBandSize w:val="1"/>
      <w:tblBorders>
        <w:top w:val="single" w:sz="8" w:space="0" w:color="61C6C6" w:themeColor="accent4"/>
        <w:left w:val="single" w:sz="8" w:space="0" w:color="61C6C6" w:themeColor="accent4"/>
        <w:bottom w:val="single" w:sz="8" w:space="0" w:color="61C6C6" w:themeColor="accent4"/>
        <w:right w:val="single" w:sz="8" w:space="0" w:color="61C6C6" w:themeColor="accent4"/>
      </w:tblBorders>
    </w:tblPr>
    <w:tblStylePr w:type="firstRow">
      <w:pPr>
        <w:spacing w:before="0" w:after="0" w:line="240" w:lineRule="auto"/>
      </w:pPr>
      <w:rPr>
        <w:b/>
        <w:bCs/>
        <w:color w:val="FFFFFF" w:themeColor="background1"/>
      </w:rPr>
      <w:tblPr/>
      <w:tcPr>
        <w:shd w:val="clear" w:color="auto" w:fill="61C6C6" w:themeFill="accent4"/>
      </w:tcPr>
    </w:tblStylePr>
    <w:tblStylePr w:type="lastRow">
      <w:pPr>
        <w:spacing w:before="0" w:after="0" w:line="240" w:lineRule="auto"/>
      </w:pPr>
      <w:rPr>
        <w:b/>
        <w:bCs/>
      </w:rPr>
      <w:tblPr/>
      <w:tcPr>
        <w:tcBorders>
          <w:top w:val="double" w:sz="6" w:space="0" w:color="61C6C6" w:themeColor="accent4"/>
          <w:left w:val="single" w:sz="8" w:space="0" w:color="61C6C6" w:themeColor="accent4"/>
          <w:bottom w:val="single" w:sz="8" w:space="0" w:color="61C6C6" w:themeColor="accent4"/>
          <w:right w:val="single" w:sz="8" w:space="0" w:color="61C6C6" w:themeColor="accent4"/>
        </w:tcBorders>
      </w:tcPr>
    </w:tblStylePr>
    <w:tblStylePr w:type="firstCol">
      <w:rPr>
        <w:b/>
        <w:bCs/>
      </w:rPr>
    </w:tblStylePr>
    <w:tblStylePr w:type="lastCol">
      <w:rPr>
        <w:b/>
        <w:bCs/>
      </w:rPr>
    </w:tblStylePr>
    <w:tblStylePr w:type="band1Vert">
      <w:tblPr/>
      <w:tcPr>
        <w:tcBorders>
          <w:top w:val="single" w:sz="8" w:space="0" w:color="61C6C6" w:themeColor="accent4"/>
          <w:left w:val="single" w:sz="8" w:space="0" w:color="61C6C6" w:themeColor="accent4"/>
          <w:bottom w:val="single" w:sz="8" w:space="0" w:color="61C6C6" w:themeColor="accent4"/>
          <w:right w:val="single" w:sz="8" w:space="0" w:color="61C6C6" w:themeColor="accent4"/>
        </w:tcBorders>
      </w:tcPr>
    </w:tblStylePr>
    <w:tblStylePr w:type="band1Horz">
      <w:tblPr/>
      <w:tcPr>
        <w:tcBorders>
          <w:top w:val="single" w:sz="8" w:space="0" w:color="61C6C6" w:themeColor="accent4"/>
          <w:left w:val="single" w:sz="8" w:space="0" w:color="61C6C6" w:themeColor="accent4"/>
          <w:bottom w:val="single" w:sz="8" w:space="0" w:color="61C6C6" w:themeColor="accent4"/>
          <w:right w:val="single" w:sz="8" w:space="0" w:color="61C6C6" w:themeColor="accent4"/>
        </w:tcBorders>
      </w:tcPr>
    </w:tblStylePr>
  </w:style>
  <w:style w:type="table" w:customStyle="1" w:styleId="Style1">
    <w:name w:val="Style1"/>
    <w:basedOn w:val="TableNormal"/>
    <w:uiPriority w:val="99"/>
    <w:rsid w:val="002E14EA"/>
    <w:pPr>
      <w:spacing w:after="0" w:line="240" w:lineRule="auto"/>
    </w:pPr>
    <w:rPr>
      <w:rFonts w:ascii="Arial" w:hAnsi="Arial"/>
      <w:color w:val="000000" w:themeColor="text1"/>
      <w:sz w:val="20"/>
    </w:rPr>
    <w:tblPr>
      <w:tblBorders>
        <w:bottom w:val="single" w:sz="2" w:space="0" w:color="005677" w:themeColor="accent1"/>
        <w:insideH w:val="single" w:sz="2" w:space="0" w:color="005677" w:themeColor="accent1"/>
      </w:tblBorders>
      <w:tblCellMar>
        <w:top w:w="85" w:type="dxa"/>
        <w:bottom w:w="85" w:type="dxa"/>
      </w:tblCellMar>
    </w:tblPr>
    <w:tcPr>
      <w:shd w:val="clear" w:color="auto" w:fill="auto"/>
      <w:vAlign w:val="center"/>
    </w:tcPr>
    <w:tblStylePr w:type="firstRow">
      <w:pPr>
        <w:jc w:val="left"/>
      </w:pPr>
      <w:rPr>
        <w:rFonts w:ascii="Arial" w:hAnsi="Arial"/>
        <w:b/>
        <w:color w:val="FFFFFF" w:themeColor="background1"/>
        <w:sz w:val="20"/>
      </w:rPr>
      <w:tblPr/>
      <w:tcPr>
        <w:shd w:val="clear" w:color="auto" w:fill="005677" w:themeFill="accent1"/>
      </w:tcPr>
    </w:tblStylePr>
    <w:tblStylePr w:type="lastRow">
      <w:pPr>
        <w:jc w:val="left"/>
      </w:pPr>
      <w:rPr>
        <w:rFonts w:ascii="Arial" w:hAnsi="Arial"/>
        <w:b/>
      </w:rPr>
    </w:tblStylePr>
    <w:tblStylePr w:type="firstCol">
      <w:rPr>
        <w:b/>
      </w:rPr>
    </w:tblStylePr>
  </w:style>
  <w:style w:type="paragraph" w:styleId="TOCHeading">
    <w:name w:val="TOC Heading"/>
    <w:basedOn w:val="Heading1"/>
    <w:next w:val="Normal"/>
    <w:uiPriority w:val="39"/>
    <w:unhideWhenUsed/>
    <w:qFormat/>
    <w:rsid w:val="00CB2680"/>
    <w:pPr>
      <w:spacing w:before="0" w:after="240"/>
      <w:outlineLvl w:val="9"/>
    </w:pPr>
    <w:rPr>
      <w:lang w:val="en-US" w:eastAsia="ja-JP"/>
    </w:rPr>
  </w:style>
  <w:style w:type="paragraph" w:styleId="TOC1">
    <w:name w:val="toc 1"/>
    <w:basedOn w:val="Normal"/>
    <w:next w:val="Normal"/>
    <w:autoRedefine/>
    <w:uiPriority w:val="39"/>
    <w:unhideWhenUsed/>
    <w:qFormat/>
    <w:rsid w:val="00163B54"/>
    <w:pPr>
      <w:spacing w:after="100"/>
    </w:pPr>
    <w:rPr>
      <w:sz w:val="24"/>
    </w:rPr>
  </w:style>
  <w:style w:type="paragraph" w:styleId="TOC2">
    <w:name w:val="toc 2"/>
    <w:basedOn w:val="Normal"/>
    <w:next w:val="Normal"/>
    <w:autoRedefine/>
    <w:uiPriority w:val="39"/>
    <w:unhideWhenUsed/>
    <w:qFormat/>
    <w:rsid w:val="00163B54"/>
    <w:pPr>
      <w:spacing w:after="100"/>
      <w:ind w:left="200"/>
    </w:pPr>
    <w:rPr>
      <w:color w:val="58595B" w:themeColor="text2"/>
    </w:rPr>
  </w:style>
  <w:style w:type="paragraph" w:styleId="TOC3">
    <w:name w:val="toc 3"/>
    <w:basedOn w:val="Normal"/>
    <w:next w:val="Normal"/>
    <w:autoRedefine/>
    <w:uiPriority w:val="39"/>
    <w:unhideWhenUsed/>
    <w:qFormat/>
    <w:rsid w:val="002E14EA"/>
    <w:pPr>
      <w:spacing w:after="100"/>
      <w:ind w:left="400"/>
    </w:pPr>
  </w:style>
  <w:style w:type="paragraph" w:styleId="BalloonText">
    <w:name w:val="Balloon Text"/>
    <w:basedOn w:val="Normal"/>
    <w:link w:val="BalloonTextChar"/>
    <w:uiPriority w:val="99"/>
    <w:semiHidden/>
    <w:unhideWhenUsed/>
    <w:rsid w:val="002E1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4EA"/>
    <w:rPr>
      <w:rFonts w:ascii="Tahoma" w:hAnsi="Tahoma" w:cs="Tahoma"/>
      <w:sz w:val="16"/>
      <w:szCs w:val="16"/>
    </w:rPr>
  </w:style>
  <w:style w:type="paragraph" w:styleId="ListBullet">
    <w:name w:val="List Bullet"/>
    <w:basedOn w:val="Normal"/>
    <w:uiPriority w:val="99"/>
    <w:unhideWhenUsed/>
    <w:rsid w:val="009D7BB6"/>
    <w:pPr>
      <w:numPr>
        <w:numId w:val="1"/>
      </w:numPr>
      <w:ind w:left="284" w:hanging="284"/>
      <w:contextualSpacing/>
    </w:pPr>
  </w:style>
  <w:style w:type="paragraph" w:styleId="ListBullet2">
    <w:name w:val="List Bullet 2"/>
    <w:basedOn w:val="Normal"/>
    <w:uiPriority w:val="99"/>
    <w:unhideWhenUsed/>
    <w:rsid w:val="002F65AF"/>
    <w:pPr>
      <w:numPr>
        <w:numId w:val="2"/>
      </w:numPr>
      <w:contextualSpacing/>
    </w:pPr>
  </w:style>
  <w:style w:type="paragraph" w:styleId="Quote">
    <w:name w:val="Quote"/>
    <w:basedOn w:val="Normal"/>
    <w:next w:val="Normal"/>
    <w:link w:val="QuoteChar"/>
    <w:uiPriority w:val="29"/>
    <w:qFormat/>
    <w:rsid w:val="009D7BB6"/>
    <w:pPr>
      <w:pBdr>
        <w:top w:val="single" w:sz="4" w:space="1" w:color="1B9590" w:themeColor="accent3"/>
        <w:bottom w:val="single" w:sz="4" w:space="1" w:color="1B9590" w:themeColor="accent3"/>
      </w:pBdr>
      <w:spacing w:before="240" w:after="240"/>
    </w:pPr>
    <w:rPr>
      <w:i/>
      <w:iCs/>
      <w:color w:val="005677" w:themeColor="accent1"/>
      <w:sz w:val="24"/>
    </w:rPr>
  </w:style>
  <w:style w:type="character" w:customStyle="1" w:styleId="QuoteChar">
    <w:name w:val="Quote Char"/>
    <w:basedOn w:val="DefaultParagraphFont"/>
    <w:link w:val="Quote"/>
    <w:uiPriority w:val="29"/>
    <w:rsid w:val="009D7BB6"/>
    <w:rPr>
      <w:i/>
      <w:iCs/>
      <w:color w:val="005677" w:themeColor="accent1"/>
      <w:sz w:val="24"/>
    </w:rPr>
  </w:style>
  <w:style w:type="character" w:styleId="SubtleEmphasis">
    <w:name w:val="Subtle Emphasis"/>
    <w:basedOn w:val="DefaultParagraphFont"/>
    <w:uiPriority w:val="19"/>
    <w:rsid w:val="005D0228"/>
    <w:rPr>
      <w:i/>
      <w:iCs/>
      <w:color w:val="808080" w:themeColor="text1" w:themeTint="7F"/>
      <w:sz w:val="28"/>
    </w:rPr>
  </w:style>
  <w:style w:type="character" w:styleId="IntenseEmphasis">
    <w:name w:val="Intense Emphasis"/>
    <w:basedOn w:val="DefaultParagraphFont"/>
    <w:uiPriority w:val="21"/>
    <w:qFormat/>
    <w:rsid w:val="005D0228"/>
    <w:rPr>
      <w:b/>
      <w:bCs/>
      <w:i/>
      <w:iCs/>
      <w:color w:val="005677" w:themeColor="accent1"/>
    </w:rPr>
  </w:style>
  <w:style w:type="paragraph" w:styleId="Caption">
    <w:name w:val="caption"/>
    <w:basedOn w:val="Normal"/>
    <w:next w:val="Normal"/>
    <w:uiPriority w:val="35"/>
    <w:unhideWhenUsed/>
    <w:qFormat/>
    <w:rsid w:val="00B526AB"/>
    <w:pPr>
      <w:spacing w:after="360" w:line="240" w:lineRule="auto"/>
    </w:pPr>
    <w:rPr>
      <w:bCs/>
      <w:color w:val="005677" w:themeColor="accent1"/>
      <w:sz w:val="18"/>
      <w:szCs w:val="18"/>
    </w:rPr>
  </w:style>
  <w:style w:type="character" w:customStyle="1" w:styleId="Tabletitle">
    <w:name w:val="Table title"/>
    <w:basedOn w:val="DefaultParagraphFont"/>
    <w:uiPriority w:val="1"/>
    <w:qFormat/>
    <w:rsid w:val="00D87BC8"/>
    <w:rPr>
      <w:b/>
      <w:color w:val="005677" w:themeColor="accent1"/>
    </w:rPr>
  </w:style>
  <w:style w:type="character" w:customStyle="1" w:styleId="Figuretitle">
    <w:name w:val="Figure title"/>
    <w:basedOn w:val="Tabletitle"/>
    <w:uiPriority w:val="1"/>
    <w:qFormat/>
    <w:rsid w:val="00D87BC8"/>
    <w:rPr>
      <w:b/>
      <w:color w:val="005677" w:themeColor="accent1"/>
    </w:rPr>
  </w:style>
  <w:style w:type="paragraph" w:customStyle="1" w:styleId="Credit">
    <w:name w:val="Credit"/>
    <w:basedOn w:val="Caption"/>
    <w:qFormat/>
    <w:rsid w:val="00A51E16"/>
    <w:rPr>
      <w:color w:val="58595B" w:themeColor="text2"/>
    </w:rPr>
  </w:style>
  <w:style w:type="paragraph" w:styleId="EndnoteText">
    <w:name w:val="endnote text"/>
    <w:basedOn w:val="Normal"/>
    <w:link w:val="EndnoteTextChar"/>
    <w:uiPriority w:val="99"/>
    <w:semiHidden/>
    <w:unhideWhenUsed/>
    <w:rsid w:val="00B526AB"/>
    <w:pPr>
      <w:spacing w:after="0" w:line="240" w:lineRule="auto"/>
    </w:pPr>
    <w:rPr>
      <w:szCs w:val="20"/>
    </w:rPr>
  </w:style>
  <w:style w:type="character" w:customStyle="1" w:styleId="EndnoteTextChar">
    <w:name w:val="Endnote Text Char"/>
    <w:basedOn w:val="DefaultParagraphFont"/>
    <w:link w:val="EndnoteText"/>
    <w:uiPriority w:val="99"/>
    <w:semiHidden/>
    <w:rsid w:val="00B526AB"/>
    <w:rPr>
      <w:sz w:val="20"/>
      <w:szCs w:val="20"/>
    </w:rPr>
  </w:style>
  <w:style w:type="character" w:styleId="EndnoteReference">
    <w:name w:val="endnote reference"/>
    <w:basedOn w:val="DefaultParagraphFont"/>
    <w:uiPriority w:val="99"/>
    <w:semiHidden/>
    <w:unhideWhenUsed/>
    <w:rsid w:val="00B526AB"/>
    <w:rPr>
      <w:vertAlign w:val="superscript"/>
    </w:rPr>
  </w:style>
  <w:style w:type="paragraph" w:styleId="FootnoteText">
    <w:name w:val="footnote text"/>
    <w:basedOn w:val="Normal"/>
    <w:link w:val="FootnoteTextChar"/>
    <w:uiPriority w:val="99"/>
    <w:unhideWhenUsed/>
    <w:rsid w:val="00B526AB"/>
    <w:pPr>
      <w:spacing w:after="60" w:line="240" w:lineRule="auto"/>
    </w:pPr>
    <w:rPr>
      <w:sz w:val="16"/>
      <w:szCs w:val="20"/>
    </w:rPr>
  </w:style>
  <w:style w:type="character" w:customStyle="1" w:styleId="FootnoteTextChar">
    <w:name w:val="Footnote Text Char"/>
    <w:basedOn w:val="DefaultParagraphFont"/>
    <w:link w:val="FootnoteText"/>
    <w:uiPriority w:val="99"/>
    <w:rsid w:val="00B526AB"/>
    <w:rPr>
      <w:sz w:val="16"/>
      <w:szCs w:val="20"/>
    </w:rPr>
  </w:style>
  <w:style w:type="character" w:styleId="FootnoteReference">
    <w:name w:val="footnote reference"/>
    <w:basedOn w:val="DefaultParagraphFont"/>
    <w:uiPriority w:val="99"/>
    <w:semiHidden/>
    <w:unhideWhenUsed/>
    <w:rsid w:val="00B526AB"/>
    <w:rPr>
      <w:vertAlign w:val="superscript"/>
    </w:rPr>
  </w:style>
  <w:style w:type="paragraph" w:customStyle="1" w:styleId="Casestudy">
    <w:name w:val="Case study"/>
    <w:basedOn w:val="Normal"/>
    <w:qFormat/>
    <w:rsid w:val="00244596"/>
    <w:pPr>
      <w:pBdr>
        <w:top w:val="single" w:sz="4" w:space="4" w:color="00283E" w:themeColor="accent2"/>
        <w:left w:val="single" w:sz="4" w:space="4" w:color="00283E" w:themeColor="accent2"/>
        <w:bottom w:val="single" w:sz="4" w:space="4" w:color="00283E" w:themeColor="accent2"/>
        <w:right w:val="single" w:sz="4" w:space="4" w:color="00283E" w:themeColor="accent2"/>
      </w:pBdr>
      <w:shd w:val="clear" w:color="auto" w:fill="D1EEFF" w:themeFill="accent2" w:themeFillTint="1A"/>
      <w:ind w:left="113" w:right="113"/>
    </w:pPr>
  </w:style>
  <w:style w:type="paragraph" w:customStyle="1" w:styleId="Casestudytitle">
    <w:name w:val="Case study title"/>
    <w:basedOn w:val="Casestudy"/>
    <w:qFormat/>
    <w:rsid w:val="002D3954"/>
    <w:pPr>
      <w:spacing w:before="360"/>
    </w:pPr>
    <w:rPr>
      <w:color w:val="00283E" w:themeColor="accent2"/>
      <w:sz w:val="28"/>
    </w:rPr>
  </w:style>
  <w:style w:type="paragraph" w:customStyle="1" w:styleId="Casestudysource">
    <w:name w:val="Case study source"/>
    <w:basedOn w:val="Casestudy"/>
    <w:qFormat/>
    <w:rsid w:val="00F25F29"/>
    <w:pPr>
      <w:spacing w:before="240" w:after="480"/>
    </w:pPr>
    <w:rPr>
      <w:color w:val="00283E" w:themeColor="accent2"/>
      <w:sz w:val="16"/>
    </w:rPr>
  </w:style>
  <w:style w:type="paragraph" w:styleId="Header">
    <w:name w:val="header"/>
    <w:basedOn w:val="Normal"/>
    <w:link w:val="HeaderChar"/>
    <w:uiPriority w:val="99"/>
    <w:unhideWhenUsed/>
    <w:rsid w:val="00991FDD"/>
    <w:pPr>
      <w:tabs>
        <w:tab w:val="center" w:pos="4320"/>
        <w:tab w:val="right" w:pos="8640"/>
      </w:tabs>
      <w:spacing w:after="0" w:line="240" w:lineRule="auto"/>
    </w:pPr>
  </w:style>
  <w:style w:type="character" w:customStyle="1" w:styleId="HeaderChar">
    <w:name w:val="Header Char"/>
    <w:basedOn w:val="DefaultParagraphFont"/>
    <w:link w:val="Header"/>
    <w:uiPriority w:val="99"/>
    <w:rsid w:val="00991FDD"/>
    <w:rPr>
      <w:sz w:val="20"/>
    </w:rPr>
  </w:style>
  <w:style w:type="paragraph" w:styleId="Footer">
    <w:name w:val="footer"/>
    <w:basedOn w:val="Normal"/>
    <w:link w:val="FooterChar"/>
    <w:uiPriority w:val="99"/>
    <w:unhideWhenUsed/>
    <w:rsid w:val="00991FDD"/>
    <w:pPr>
      <w:tabs>
        <w:tab w:val="center" w:pos="4320"/>
        <w:tab w:val="right" w:pos="8640"/>
      </w:tabs>
      <w:spacing w:after="0" w:line="240" w:lineRule="auto"/>
    </w:pPr>
  </w:style>
  <w:style w:type="character" w:customStyle="1" w:styleId="FooterChar">
    <w:name w:val="Footer Char"/>
    <w:basedOn w:val="DefaultParagraphFont"/>
    <w:link w:val="Footer"/>
    <w:uiPriority w:val="99"/>
    <w:rsid w:val="00991FDD"/>
    <w:rPr>
      <w:sz w:val="20"/>
    </w:rPr>
  </w:style>
  <w:style w:type="character" w:styleId="PageNumber">
    <w:name w:val="page number"/>
    <w:basedOn w:val="DefaultParagraphFont"/>
    <w:uiPriority w:val="99"/>
    <w:semiHidden/>
    <w:unhideWhenUsed/>
    <w:rsid w:val="0031658C"/>
  </w:style>
  <w:style w:type="character" w:customStyle="1" w:styleId="Heading6Char">
    <w:name w:val="Heading 6 Char"/>
    <w:basedOn w:val="DefaultParagraphFont"/>
    <w:link w:val="Heading6"/>
    <w:uiPriority w:val="9"/>
    <w:rsid w:val="00B37916"/>
    <w:rPr>
      <w:rFonts w:asciiTheme="majorHAnsi" w:eastAsiaTheme="majorEastAsia" w:hAnsiTheme="majorHAnsi" w:cstheme="majorBidi"/>
      <w:b/>
      <w:i/>
      <w:iCs/>
      <w:color w:val="002A3B" w:themeColor="accent1" w:themeShade="7F"/>
      <w:sz w:val="20"/>
    </w:rPr>
  </w:style>
  <w:style w:type="character" w:customStyle="1" w:styleId="Heading7Char">
    <w:name w:val="Heading 7 Char"/>
    <w:basedOn w:val="DefaultParagraphFont"/>
    <w:link w:val="Heading7"/>
    <w:uiPriority w:val="9"/>
    <w:rsid w:val="003630F9"/>
    <w:rPr>
      <w:rFonts w:asciiTheme="majorHAnsi" w:eastAsiaTheme="majorEastAsia" w:hAnsiTheme="majorHAnsi" w:cstheme="majorBidi"/>
      <w:i/>
      <w:iCs/>
      <w:color w:val="404040" w:themeColor="text1" w:themeTint="BF"/>
      <w:sz w:val="20"/>
    </w:rPr>
  </w:style>
  <w:style w:type="paragraph" w:styleId="TOC4">
    <w:name w:val="toc 4"/>
    <w:basedOn w:val="Normal"/>
    <w:next w:val="Normal"/>
    <w:autoRedefine/>
    <w:uiPriority w:val="39"/>
    <w:unhideWhenUsed/>
    <w:rsid w:val="00B37916"/>
    <w:pPr>
      <w:ind w:left="600"/>
    </w:pPr>
  </w:style>
  <w:style w:type="paragraph" w:styleId="TOC5">
    <w:name w:val="toc 5"/>
    <w:basedOn w:val="Normal"/>
    <w:next w:val="Normal"/>
    <w:autoRedefine/>
    <w:uiPriority w:val="39"/>
    <w:unhideWhenUsed/>
    <w:rsid w:val="00B37916"/>
    <w:pPr>
      <w:ind w:left="800"/>
    </w:pPr>
  </w:style>
  <w:style w:type="paragraph" w:styleId="TOC6">
    <w:name w:val="toc 6"/>
    <w:basedOn w:val="Normal"/>
    <w:next w:val="Normal"/>
    <w:autoRedefine/>
    <w:uiPriority w:val="39"/>
    <w:unhideWhenUsed/>
    <w:rsid w:val="00B37916"/>
    <w:pPr>
      <w:ind w:left="1000"/>
    </w:pPr>
  </w:style>
  <w:style w:type="paragraph" w:styleId="TOC7">
    <w:name w:val="toc 7"/>
    <w:basedOn w:val="Normal"/>
    <w:next w:val="Normal"/>
    <w:autoRedefine/>
    <w:uiPriority w:val="39"/>
    <w:unhideWhenUsed/>
    <w:rsid w:val="00B37916"/>
    <w:pPr>
      <w:ind w:left="1200"/>
    </w:pPr>
  </w:style>
  <w:style w:type="paragraph" w:styleId="TOC8">
    <w:name w:val="toc 8"/>
    <w:basedOn w:val="Normal"/>
    <w:next w:val="Normal"/>
    <w:autoRedefine/>
    <w:uiPriority w:val="39"/>
    <w:unhideWhenUsed/>
    <w:rsid w:val="00B37916"/>
    <w:pPr>
      <w:ind w:left="1400"/>
    </w:pPr>
  </w:style>
  <w:style w:type="paragraph" w:styleId="TOC9">
    <w:name w:val="toc 9"/>
    <w:basedOn w:val="Normal"/>
    <w:next w:val="Normal"/>
    <w:autoRedefine/>
    <w:uiPriority w:val="39"/>
    <w:unhideWhenUsed/>
    <w:rsid w:val="00B37916"/>
    <w:pPr>
      <w:ind w:left="1600"/>
    </w:pPr>
  </w:style>
  <w:style w:type="paragraph" w:styleId="ListParagraph">
    <w:name w:val="List Paragraph"/>
    <w:basedOn w:val="Normal"/>
    <w:uiPriority w:val="34"/>
    <w:qFormat/>
    <w:rsid w:val="008D6453"/>
    <w:pPr>
      <w:spacing w:after="240"/>
      <w:ind w:left="720"/>
      <w:contextualSpacing/>
    </w:pPr>
    <w:rPr>
      <w:sz w:val="22"/>
    </w:rPr>
  </w:style>
  <w:style w:type="paragraph" w:styleId="BodyText">
    <w:name w:val="Body Text"/>
    <w:basedOn w:val="Normal"/>
    <w:link w:val="BodyTextChar"/>
    <w:unhideWhenUsed/>
    <w:rsid w:val="004A582B"/>
    <w:pPr>
      <w:spacing w:before="120" w:line="240" w:lineRule="atLeast"/>
      <w:ind w:right="68"/>
    </w:pPr>
    <w:rPr>
      <w:rFonts w:ascii="Calibri" w:eastAsia="Cambria" w:hAnsi="Calibri" w:cs="Times New Roman"/>
      <w:sz w:val="22"/>
    </w:rPr>
  </w:style>
  <w:style w:type="character" w:customStyle="1" w:styleId="BodyTextChar">
    <w:name w:val="Body Text Char"/>
    <w:basedOn w:val="DefaultParagraphFont"/>
    <w:link w:val="BodyText"/>
    <w:rsid w:val="004A582B"/>
    <w:rPr>
      <w:rFonts w:ascii="Calibri" w:eastAsia="Cambria" w:hAnsi="Calibri" w:cs="Times New Roman"/>
    </w:rPr>
  </w:style>
  <w:style w:type="paragraph" w:styleId="NormalWeb">
    <w:name w:val="Normal (Web)"/>
    <w:basedOn w:val="Normal"/>
    <w:uiPriority w:val="99"/>
    <w:unhideWhenUsed/>
    <w:rsid w:val="00405F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CommentText">
    <w:name w:val="annotation text"/>
    <w:basedOn w:val="Normal"/>
    <w:link w:val="CommentTextChar"/>
    <w:uiPriority w:val="99"/>
    <w:unhideWhenUsed/>
    <w:rsid w:val="00405FBB"/>
    <w:pPr>
      <w:spacing w:after="200" w:line="240" w:lineRule="auto"/>
    </w:pPr>
    <w:rPr>
      <w:szCs w:val="20"/>
    </w:rPr>
  </w:style>
  <w:style w:type="character" w:customStyle="1" w:styleId="CommentTextChar">
    <w:name w:val="Comment Text Char"/>
    <w:basedOn w:val="DefaultParagraphFont"/>
    <w:link w:val="CommentText"/>
    <w:uiPriority w:val="99"/>
    <w:rsid w:val="00405FBB"/>
    <w:rPr>
      <w:sz w:val="20"/>
      <w:szCs w:val="20"/>
    </w:rPr>
  </w:style>
  <w:style w:type="paragraph" w:customStyle="1" w:styleId="Default">
    <w:name w:val="Default"/>
    <w:rsid w:val="00405FB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dpmc.gov.au/regulation/commonwealth-regulators/regulation-performance-framewor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nopta.gov.au/ja_protocol.html" TargetMode="External"/><Relationship Id="rId22"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Corporate Test">
      <a:dk1>
        <a:sysClr val="windowText" lastClr="000000"/>
      </a:dk1>
      <a:lt1>
        <a:sysClr val="window" lastClr="FFFFFF"/>
      </a:lt1>
      <a:dk2>
        <a:srgbClr val="58595B"/>
      </a:dk2>
      <a:lt2>
        <a:srgbClr val="939598"/>
      </a:lt2>
      <a:accent1>
        <a:srgbClr val="005677"/>
      </a:accent1>
      <a:accent2>
        <a:srgbClr val="00283E"/>
      </a:accent2>
      <a:accent3>
        <a:srgbClr val="1B9590"/>
      </a:accent3>
      <a:accent4>
        <a:srgbClr val="61C6C6"/>
      </a:accent4>
      <a:accent5>
        <a:srgbClr val="9CD9E0"/>
      </a:accent5>
      <a:accent6>
        <a:srgbClr val="C973AF"/>
      </a:accent6>
      <a:hlink>
        <a:srgbClr val="005677"/>
      </a:hlink>
      <a:folHlink>
        <a:srgbClr val="C973A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orePublishingDocumentCategory xmlns="c0b4bd0a-f6ac-422c-a0b2-ddc3a705a698" xsi:nil="true"/>
    <IncludeInNotificationsAndUpdates xmlns="a0ca9f47-0bbb-4d70-97bd-db366ea26c83">true</IncludeInNotificationsAndUpdates>
    <KeywordsLookupField xmlns="c0b4bd0a-f6ac-422c-a0b2-ddc3a705a698"/>
    <CorePublishingFileReference xmlns="a0ca9f47-0bbb-4d70-97bd-db366ea26c83" xsi:nil="true"/>
    <IPSCategory xmlns="a0ca9f47-0bbb-4d70-97bd-db366ea26c83" xsi:nil="true"/>
    <CorePublishingComments xmlns="a0ca9f47-0bbb-4d70-97bd-db366ea26c83" xsi:nil="true"/>
    <CorePublishingDocumentChangeDescription xmlns="a0ca9f47-0bbb-4d70-97bd-db366ea26c83" xsi:nil="true"/>
    <SubjectLookupField xmlns="c0b4bd0a-f6ac-422c-a0b2-ddc3a705a698"/>
    <PublishingExpirationDate xmlns="http://schemas.microsoft.com/sharepoint/v3" xsi:nil="true"/>
    <CorePublishingDocumentContact xmlns="a0ca9f47-0bbb-4d70-97bd-db366ea26c83">
      <UserInfo>
        <DisplayName/>
        <AccountId xsi:nil="true"/>
        <AccountType/>
      </UserInfo>
    </CorePublishingDocumentContact>
    <PublishingStartDate xmlns="http://schemas.microsoft.com/sharepoint/v3" xsi:nil="true"/>
    <IncludeInRSSFeeds xmlns="a0ca9f47-0bbb-4d70-97bd-db366ea26c83">false</IncludeInRSSFeeds>
    <DocumentRollupCategory xmlns="c0b4bd0a-f6ac-422c-a0b2-ddc3a705a698"/>
    <IncludeInContentRollups xmlns="a0ca9f47-0bbb-4d70-97bd-db366ea26c83">false</IncludeInContentRollup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15CD591FA6F6A4DBFD83F3EC2D44AED" ma:contentTypeVersion="37" ma:contentTypeDescription="Create a new document." ma:contentTypeScope="" ma:versionID="dadeefe19bda441f3589f88d80cc279d">
  <xsd:schema xmlns:xsd="http://www.w3.org/2001/XMLSchema" xmlns:xs="http://www.w3.org/2001/XMLSchema" xmlns:p="http://schemas.microsoft.com/office/2006/metadata/properties" xmlns:ns1="http://schemas.microsoft.com/sharepoint/v3" xmlns:ns2="76c08405-89e9-4c57-a585-b31d7bded94b" targetNamespace="http://schemas.microsoft.com/office/2006/metadata/properties" ma:root="true" ma:fieldsID="7521ded9aedd6049bd64f81018724a13" ns1:_="" ns2:_="">
    <xsd:import namespace="http://schemas.microsoft.com/sharepoint/v3"/>
    <xsd:import namespace="76c08405-89e9-4c57-a585-b31d7bded94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h562caa41cd8435eb8b6f0bdc23e20a9" minOccurs="0"/>
                <xsd:element ref="ns2:DocHub_CorrespondentNames" minOccurs="0"/>
                <xsd:element ref="ns2:DocHub_DateReceived" minOccurs="0"/>
                <xsd:element ref="ns2:g04c65e7758e4a9bb076ed3b2f3b54e3" minOccurs="0"/>
                <xsd:element ref="ns2:g7cee4c3f49f4a8d957fe196d6fcc5b5" minOccurs="0"/>
                <xsd:element ref="ns2:d34056e35d444dee82a795b7b19350c2" minOccurs="0"/>
                <xsd:element ref="ns2:DocHub_PDMSNumber" minOccurs="0"/>
                <xsd:element ref="ns2:k34f87f5f1f24dafa503ace013459550" minOccurs="0"/>
                <xsd:element ref="ns2:DocHub_TRIMNumber" minOccurs="0"/>
                <xsd:element ref="ns2:f26de360fc5e40c78d93b560b6cc664b" minOccurs="0"/>
                <xsd:element ref="ns2:e63cd534a94446d68abe1904a0bcdfb2" minOccurs="0"/>
                <xsd:element ref="ns2:DocHub_RSWorkStream" minOccurs="0"/>
                <xsd:element ref="ns2:h3ad55ca757a400184b05bd23645cc54" minOccurs="0"/>
                <xsd:element ref="ns2:d8e408ae2551469fa177069ace196e9c" minOccurs="0"/>
                <xsd:element ref="ns2:DocHub_EngagementScope" minOccurs="0"/>
                <xsd:element ref="ns2:DocHub_PDTSWorkStr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c08405-89e9-4c57-a585-b31d7bded94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6247be60-eff2-4727-b089-eeeb92cab0a1}" ma:internalName="TaxCatchAll" ma:showField="CatchAllData" ma:web="76c08405-89e9-4c57-a585-b31d7bded94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default="" ma:fieldId="{9e2555c8-1638-466f-9eb6-14edb9ecde52}" ma:sspId="fb0313f7-9433-48c0-866e-9e0bbee59a50" ma:termSetId="0e4c18c5-28eb-4f9e-8056-b3cddd4b5d9b" ma:anchorId="00000000-0000-0000-0000-000000000000" ma:open="tru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default="" ma:fieldId="{07bcb40b-a232-49a7-8edc-a7d43a67c1c9}" ma:sspId="fb0313f7-9433-48c0-866e-9e0bbee59a50" ma:termSetId="6713ebbd-194a-499f-ab84-a4d70e145fb7" ma:anchorId="00000000-0000-0000-0000-000000000000" ma:open="tru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3c5ba17a-3f2a-4545-afd8-a313ff44f94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h562caa41cd8435eb8b6f0bdc23e20a9" ma:index="24" nillable="true" ma:taxonomy="true" ma:internalName="h562caa41cd8435eb8b6f0bdc23e20a9" ma:taxonomyFieldName="DocHub_BriefingCorrespondenceType" ma:displayName="Briefing / Correspondence Type" ma:default="" ma:fieldId="{1562caa4-1cd8-435e-b8b6-f0bdc23e20a9}" ma:sspId="fb0313f7-9433-48c0-866e-9e0bbee59a50" ma:termSetId="caaae84e-cb57-45e4-b635-a2aae71a9e6c" ma:anchorId="00000000-0000-0000-0000-000000000000" ma:open="true" ma:isKeyword="false">
      <xsd:complexType>
        <xsd:sequence>
          <xsd:element ref="pc:Terms" minOccurs="0" maxOccurs="1"/>
        </xsd:sequence>
      </xsd:complexType>
    </xsd:element>
    <xsd:element name="DocHub_CorrespondentNames" ma:index="25" nillable="true" ma:displayName="Correspondent Name(s)" ma:description="Name(s) of the Correspondent(s) (Firstname Lastname) to which the item relates, one per line" ma:internalName="DocHub_CorrespondentNames">
      <xsd:simpleType>
        <xsd:restriction base="dms:Note">
          <xsd:maxLength value="255"/>
        </xsd:restriction>
      </xsd:simpleType>
    </xsd:element>
    <xsd:element name="DocHub_DateReceived" ma:index="26" nillable="true" ma:displayName="Date Received" ma:default="[today]" ma:description="Date the item was received (DD/MM/YYYY)" ma:format="DateOnly" ma:internalName="DocHub_DateReceived">
      <xsd:simpleType>
        <xsd:restriction base="dms:DateTime"/>
      </xsd:simpleType>
    </xsd:element>
    <xsd:element name="g04c65e7758e4a9bb076ed3b2f3b54e3" ma:index="28" nillable="true" ma:taxonomy="true" ma:internalName="g04c65e7758e4a9bb076ed3b2f3b54e3" ma:taxonomyFieldName="DocHub_EnergyMineralResources" ma:displayName="Energy / Mineral Resources" ma:fieldId="{004c65e7-758e-4a9b-b076-ed3b2f3b54e3}" ma:taxonomyMulti="true" ma:sspId="fb0313f7-9433-48c0-866e-9e0bbee59a50" ma:termSetId="04ad5cb7-9a30-443d-bd7a-a524a8ff2361" ma:anchorId="00000000-0000-0000-0000-000000000000" ma:open="true" ma:isKeyword="false">
      <xsd:complexType>
        <xsd:sequence>
          <xsd:element ref="pc:Terms" minOccurs="0" maxOccurs="1"/>
        </xsd:sequence>
      </xsd:complexType>
    </xsd:element>
    <xsd:element name="g7cee4c3f49f4a8d957fe196d6fcc5b5" ma:index="30" nillable="true" ma:taxonomy="true" ma:internalName="g7cee4c3f49f4a8d957fe196d6fcc5b5" ma:taxonomyFieldName="DocHub_GovernmentEntities" ma:displayName="Government Entities" ma:default=""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d34056e35d444dee82a795b7b19350c2" ma:index="32" nillable="true" ma:taxonomy="true" ma:internalName="d34056e35d444dee82a795b7b19350c2" ma:taxonomyFieldName="DocHub_OrganisationEntities" ma:displayName="Organisation Entities" ma:fieldId="{d34056e3-5d44-4dee-82a7-95b7b19350c2}" ma:sspId="fb0313f7-9433-48c0-866e-9e0bbee59a50" ma:termSetId="a4b4b0a1-b156-43d0-a6ff-63127fcc2317" ma:anchorId="00000000-0000-0000-0000-000000000000" ma:open="true" ma:isKeyword="false">
      <xsd:complexType>
        <xsd:sequence>
          <xsd:element ref="pc:Terms" minOccurs="0" maxOccurs="1"/>
        </xsd:sequence>
      </xsd:complexType>
    </xsd:element>
    <xsd:element name="DocHub_PDMSNumber" ma:index="33" nillable="true" ma:displayName="PDMS Number" ma:description="Parliamentary Document Management System (PDMS) Reference Number" ma:internalName="DocHub_PDMSNumber">
      <xsd:simpleType>
        <xsd:restriction base="dms:Text"/>
      </xsd:simpleType>
    </xsd:element>
    <xsd:element name="k34f87f5f1f24dafa503ace013459550" ma:index="35" nillable="true" ma:taxonomy="true" ma:internalName="k34f87f5f1f24dafa503ace013459550" ma:taxonomyFieldName="DocHub_State" ma:displayName="State" ma:fieldId="{434f87f5-f1f2-4daf-a503-ace013459550}" ma:sspId="fb0313f7-9433-48c0-866e-9e0bbee59a50" ma:termSetId="02c17606-9a55-462b-9271-46ecf30c2934" ma:anchorId="00000000-0000-0000-0000-000000000000" ma:open="false" ma:isKeyword="false">
      <xsd:complexType>
        <xsd:sequence>
          <xsd:element ref="pc:Terms" minOccurs="0" maxOccurs="1"/>
        </xsd:sequence>
      </xsd:complexType>
    </xsd:element>
    <xsd:element name="DocHub_TRIMNumber" ma:index="36" nillable="true" ma:displayName="TRIM Number" ma:description="Records Manager System (TRIM) Reference Number" ma:internalName="DocHub_TRIMNumber">
      <xsd:simpleType>
        <xsd:restriction base="dms:Text"/>
      </xsd:simpleType>
    </xsd:element>
    <xsd:element name="f26de360fc5e40c78d93b560b6cc664b" ma:index="38" nillable="true" ma:taxonomy="true" ma:internalName="f26de360fc5e40c78d93b560b6cc664b" ma:taxonomyFieldName="DocHub_GroupsOtherEntities" ma:displayName="Groups / Other Entities" ma:fieldId="{f26de360-fc5e-40c7-8d93-b560b6cc664b}" ma:taxonomyMulti="true" ma:sspId="fb0313f7-9433-48c0-866e-9e0bbee59a50" ma:termSetId="a019fd78-46ff-411c-95b3-78e7427bf7f0" ma:anchorId="00000000-0000-0000-0000-000000000000" ma:open="true" ma:isKeyword="false">
      <xsd:complexType>
        <xsd:sequence>
          <xsd:element ref="pc:Terms" minOccurs="0" maxOccurs="1"/>
        </xsd:sequence>
      </xsd:complexType>
    </xsd:element>
    <xsd:element name="e63cd534a94446d68abe1904a0bcdfb2" ma:index="40" nillable="true" ma:taxonomy="true" ma:internalName="e63cd534a94446d68abe1904a0bcdfb2" ma:taxonomyFieldName="DocHub_WorkTopic" ma:displayName="Work Topic" ma:fieldId="{e63cd534-a944-46d6-8abe-1904a0bcdfb2}" ma:sspId="fb0313f7-9433-48c0-866e-9e0bbee59a50" ma:termSetId="37b9fd67-2409-4a5b-9020-65d45193cadc" ma:anchorId="00000000-0000-0000-0000-000000000000" ma:open="true" ma:isKeyword="false">
      <xsd:complexType>
        <xsd:sequence>
          <xsd:element ref="pc:Terms" minOccurs="0" maxOccurs="1"/>
        </xsd:sequence>
      </xsd:complexType>
    </xsd:element>
    <xsd:element name="DocHub_RSWorkStream" ma:index="41" nillable="true" ma:displayName="RS Work Stream" ma:description="Type of RS Work Stream" ma:format="Dropdown" ma:internalName="DocHub_RSWorkStream">
      <xsd:simpleType>
        <xsd:restriction base="dms:Choice">
          <xsd:enumeration value="Conferral"/>
          <xsd:enumeration value="Consultation &amp; Transparency"/>
          <xsd:enumeration value="Regulatory Impact Statement"/>
          <xsd:enumeration value="Strategic Assessment"/>
        </xsd:restriction>
      </xsd:simpleType>
    </xsd:element>
    <xsd:element name="h3ad55ca757a400184b05bd23645cc54" ma:index="43" nillable="true" ma:taxonomy="true" ma:internalName="h3ad55ca757a400184b05bd23645cc54" ma:taxonomyFieldName="DocHub_MineName" ma:displayName="Mine Name" ma:fieldId="{13ad55ca-757a-4001-84b0-5bd23645cc54}" ma:sspId="fb0313f7-9433-48c0-866e-9e0bbee59a50" ma:termSetId="40dfaf15-1c4d-49cd-b9bc-5bf7457e66d7" ma:anchorId="00000000-0000-0000-0000-000000000000" ma:open="true" ma:isKeyword="false">
      <xsd:complexType>
        <xsd:sequence>
          <xsd:element ref="pc:Terms" minOccurs="0" maxOccurs="1"/>
        </xsd:sequence>
      </xsd:complexType>
    </xsd:element>
    <xsd:element name="d8e408ae2551469fa177069ace196e9c" ma:index="45" nillable="true" ma:taxonomy="true" ma:internalName="d8e408ae2551469fa177069ace196e9c" ma:taxonomyFieldName="DocHub_RegionCountry" ma:displayName="Region / Country" ma:default="" ma:fieldId="{d8e408ae-2551-469f-a177-069ace196e9c}" ma:sspId="fb0313f7-9433-48c0-866e-9e0bbee59a50" ma:termSetId="dfb3c815-0d58-4d79-855d-8ebb6c91cf6d" ma:anchorId="00000000-0000-0000-0000-000000000000" ma:open="true" ma:isKeyword="false">
      <xsd:complexType>
        <xsd:sequence>
          <xsd:element ref="pc:Terms" minOccurs="0" maxOccurs="1"/>
        </xsd:sequence>
      </xsd:complexType>
    </xsd:element>
    <xsd:element name="DocHub_EngagementScope" ma:index="46" nillable="true" ma:displayName="Engagement Scope" ma:description="Level (scope) of engagement (Bilateral / Multilateral)" ma:format="Dropdown" ma:internalName="DocHub_EngagementScope">
      <xsd:simpleType>
        <xsd:restriction base="dms:Choice">
          <xsd:enumeration value="Bilateral"/>
          <xsd:enumeration value="Multilateral"/>
        </xsd:restriction>
      </xsd:simpleType>
    </xsd:element>
    <xsd:element name="DocHub_PDTSWorkStream" ma:index="47" nillable="true" ma:displayName="PDTS Work Stream" ma:description="Petroleum Development and East Timor Section Work Stream" ma:format="Dropdown" ma:internalName="DocHub_PDTSWorkStream">
      <xsd:simpleType>
        <xsd:restriction base="dms:Choice">
          <xsd:enumeration value="Petroleum Development"/>
          <xsd:enumeration value="Timor Se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C1775534249D0942B1A68B6171242DC3" ma:contentTypeVersion="77" ma:contentTypeDescription="Core Publishing Document, inherited from OOTB document." ma:contentTypeScope="" ma:versionID="99bd5c4742a2427271156ac201da1377">
  <xsd:schema xmlns:xsd="http://www.w3.org/2001/XMLSchema" xmlns:xs="http://www.w3.org/2001/XMLSchema" xmlns:p="http://schemas.microsoft.com/office/2006/metadata/properties" xmlns:ns1="http://schemas.microsoft.com/sharepoint/v3" xmlns:ns2="a0ca9f47-0bbb-4d70-97bd-db366ea26c83" xmlns:ns3="c0b4bd0a-f6ac-422c-a0b2-ddc3a705a698" targetNamespace="http://schemas.microsoft.com/office/2006/metadata/properties" ma:root="true" ma:fieldsID="cdb32ea6a5c4700513053831719e9180" ns1:_="" ns2:_="" ns3:_="">
    <xsd:import namespace="http://schemas.microsoft.com/sharepoint/v3"/>
    <xsd:import namespace="a0ca9f47-0bbb-4d70-97bd-db366ea26c83"/>
    <xsd:import namespace="c0b4bd0a-f6ac-422c-a0b2-ddc3a705a698"/>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minOccurs="0"/>
                <xsd:element ref="ns3:SubjectLookupField" minOccurs="0"/>
                <xsd:element ref="ns3:KeywordsLookupField" minOccurs="0"/>
                <xsd:element ref="ns3:CorePublishingDocumentCategory" minOccurs="0"/>
                <xsd:element ref="ns2:IPSCategory" minOccurs="0"/>
                <xsd:element ref="ns2:CorePublishingFileReference" minOccurs="0"/>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ca9f47-0bbb-4d70-97bd-db366ea26c83"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nillable="true" ma:displayName="Document Contact" ma:list="UserInfo" ma:internalName="CorePublishingDocument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nillable="true" ma:displayName="File Reference" ma:description="Audit Requirement." ma:internalName="CorePublishingFileReference" ma:readOnly="fals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4bd0a-f6ac-422c-a0b2-ddc3a705a698" elementFormDefault="qualified">
    <xsd:import namespace="http://schemas.microsoft.com/office/2006/documentManagement/types"/>
    <xsd:import namespace="http://schemas.microsoft.com/office/infopath/2007/PartnerControls"/>
    <xsd:element name="SubjectLookupField" ma:index="12" nillable="true" ma:displayName="Subject" ma:list="4a441248-04bf-4c62-8747-8bfb61e5e21c" ma:internalName="Subject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fbec0be5-db93-4c03-a796-ce5d02f374a3" ma:internalName="Keywords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233fae74-8b6e-4f87-8db3-5052d625541f}" ma:internalName="CorePublishingDocumentCategory" ma:showField="Title" ma:web="{c0b4bd0a-f6ac-422c-a0b2-ddc3a705a698}">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6ca4ea36-3739-485e-8e04-ddf89b384e56}" ma:internalName="DocumentRollupCategory"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3A291D-0139-47CC-904B-01C6A7DF18F3}"/>
</file>

<file path=customXml/itemProps2.xml><?xml version="1.0" encoding="utf-8"?>
<ds:datastoreItem xmlns:ds="http://schemas.openxmlformats.org/officeDocument/2006/customXml" ds:itemID="{10CB03CF-F909-4470-9811-77DC3758603E}"/>
</file>

<file path=customXml/itemProps3.xml><?xml version="1.0" encoding="utf-8"?>
<ds:datastoreItem xmlns:ds="http://schemas.openxmlformats.org/officeDocument/2006/customXml" ds:itemID="{88B75189-9294-425E-A6D2-D11DB323495F}"/>
</file>

<file path=customXml/itemProps4.xml><?xml version="1.0" encoding="utf-8"?>
<ds:datastoreItem xmlns:ds="http://schemas.openxmlformats.org/officeDocument/2006/customXml" ds:itemID="{B0DC4169-3281-4212-8EF0-16700E240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c08405-89e9-4c57-a585-b31d7bded9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DB18C3-1D48-4B56-8C06-76199B49A891}"/>
</file>

<file path=docProps/app.xml><?xml version="1.0" encoding="utf-8"?>
<Properties xmlns="http://schemas.openxmlformats.org/officeDocument/2006/extended-properties" xmlns:vt="http://schemas.openxmlformats.org/officeDocument/2006/docPropsVTypes">
  <Template>Normal</Template>
  <TotalTime>3</TotalTime>
  <Pages>6</Pages>
  <Words>1498</Words>
  <Characters>8543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Operational Review Progress Report on departmental template - NOPSEMA</vt:lpstr>
    </vt:vector>
  </TitlesOfParts>
  <Manager/>
  <Company>Australian Government | Department of Industry, Innovation and Science</Company>
  <LinksUpToDate>false</LinksUpToDate>
  <CharactersWithSpaces>10021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Operational Review Progress Report on departmental template - NOPSEMA</dc:title>
  <dc:subject/>
  <dc:creator>Diaz, Emanuela</dc:creator>
  <cp:keywords>Report template</cp:keywords>
  <dc:description/>
  <cp:lastModifiedBy>McIntyre, Andrew</cp:lastModifiedBy>
  <cp:revision>4</cp:revision>
  <cp:lastPrinted>2015-09-21T00:08:00Z</cp:lastPrinted>
  <dcterms:created xsi:type="dcterms:W3CDTF">2016-09-06T01:02:00Z</dcterms:created>
  <dcterms:modified xsi:type="dcterms:W3CDTF">2016-10-11T03:44:00Z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0x01010097F86F0C24D64525B252BB20BD9D45A700C1775534249D0942B1A68B6171242DC3</vt:lpwstr>
  </property>
  <property fmtid="{D5CDD505-2E9C-101B-9397-08002B2CF9AE}" pid="7" name="_dlc_DocIdItemGuid">
    <vt:lpwstr>622d43b0-a108-48cd-aaf3-12ee8baa6aa6</vt:lpwstr>
  </property>
  <property fmtid="{D5CDD505-2E9C-101B-9397-08002B2CF9AE}" pid="8" name="DocHub_RegionCountry">
    <vt:lpwstr/>
  </property>
  <property fmtid="{D5CDD505-2E9C-101B-9397-08002B2CF9AE}" pid="9" name="DocHub_DocumentType">
    <vt:lpwstr>54;#Report|116a9244-cef6-47ce-a9a5-088c9cf21292</vt:lpwstr>
  </property>
  <property fmtid="{D5CDD505-2E9C-101B-9397-08002B2CF9AE}" pid="10" name="DocHub_MineName">
    <vt:lpwstr/>
  </property>
  <property fmtid="{D5CDD505-2E9C-101B-9397-08002B2CF9AE}" pid="11" name="DocHub_GroupsOtherEntities">
    <vt:lpwstr/>
  </property>
  <property fmtid="{D5CDD505-2E9C-101B-9397-08002B2CF9AE}" pid="12" name="DocHub_SecurityClassification">
    <vt:lpwstr>1;#UNCLASSIFIED|6106d03b-a1a0-4e30-9d91-d5e9fb4314f9</vt:lpwstr>
  </property>
  <property fmtid="{D5CDD505-2E9C-101B-9397-08002B2CF9AE}" pid="13" name="DocHub_GovernmentEntities">
    <vt:lpwstr/>
  </property>
  <property fmtid="{D5CDD505-2E9C-101B-9397-08002B2CF9AE}" pid="14" name="DocHub_OrganisationEntities">
    <vt:lpwstr/>
  </property>
  <property fmtid="{D5CDD505-2E9C-101B-9397-08002B2CF9AE}" pid="15" name="DocHub_BriefingCorrespondenceType">
    <vt:lpwstr/>
  </property>
  <property fmtid="{D5CDD505-2E9C-101B-9397-08002B2CF9AE}" pid="16" name="DocHub_WorkActivity">
    <vt:lpwstr>61;#Reporting|12af97d0-e555-43d0-b3d2-0f0b8e33cc04</vt:lpwstr>
  </property>
  <property fmtid="{D5CDD505-2E9C-101B-9397-08002B2CF9AE}" pid="17" name="DocHub_WorkTopic">
    <vt:lpwstr>431;#Environment, Safety and Security|0f84a03e-9e91-4750-9217-02fcfb48713b</vt:lpwstr>
  </property>
  <property fmtid="{D5CDD505-2E9C-101B-9397-08002B2CF9AE}" pid="18" name="DocHub_EnergyMineralResources">
    <vt:lpwstr/>
  </property>
  <property fmtid="{D5CDD505-2E9C-101B-9397-08002B2CF9AE}" pid="19" name="DocHub_State">
    <vt:lpwstr/>
  </property>
  <property fmtid="{D5CDD505-2E9C-101B-9397-08002B2CF9AE}" pid="20" name="DocHub_Keywords">
    <vt:lpwstr>404;#NOPSEMA|6d8c7c7c-4713-4ca3-b007-0e125589fd27;#440;#NOPTA|8514da96-1a5f-4ccc-9c8a-7028c25c35b5</vt:lpwstr>
  </property>
  <property fmtid="{D5CDD505-2E9C-101B-9397-08002B2CF9AE}" pid="21" name="DocHub_Year">
    <vt:lpwstr>10;#2016|347bf2b7-de81-4b02-8cb4-592c5983d8a2</vt:lpwstr>
  </property>
</Properties>
</file>