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29" w:rsidRDefault="000D1229" w:rsidP="000D1229">
      <w:pPr>
        <w:pStyle w:val="Heading1"/>
        <w:spacing w:before="0"/>
      </w:pPr>
      <w:bookmarkStart w:id="0" w:name="_Toc428439380"/>
      <w:bookmarkStart w:id="1" w:name="_Toc428443483"/>
      <w:bookmarkStart w:id="2" w:name="_Toc419991345"/>
      <w:r>
        <w:rPr>
          <w:noProof/>
          <w:lang w:eastAsia="en-AU"/>
        </w:rPr>
        <w:drawing>
          <wp:inline distT="0" distB="0" distL="0" distR="0">
            <wp:extent cx="2628000" cy="63797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jpg"/>
                    <pic:cNvPicPr/>
                  </pic:nvPicPr>
                  <pic:blipFill>
                    <a:blip r:embed="rId12">
                      <a:extLst>
                        <a:ext uri="{28A0092B-C50C-407E-A947-70E740481C1C}">
                          <a14:useLocalDpi xmlns:a14="http://schemas.microsoft.com/office/drawing/2010/main" val="0"/>
                        </a:ext>
                      </a:extLst>
                    </a:blip>
                    <a:stretch>
                      <a:fillRect/>
                    </a:stretch>
                  </pic:blipFill>
                  <pic:spPr>
                    <a:xfrm>
                      <a:off x="0" y="0"/>
                      <a:ext cx="2628000" cy="637971"/>
                    </a:xfrm>
                    <a:prstGeom prst="rect">
                      <a:avLst/>
                    </a:prstGeom>
                  </pic:spPr>
                </pic:pic>
              </a:graphicData>
            </a:graphic>
          </wp:inline>
        </w:drawing>
      </w:r>
    </w:p>
    <w:p w:rsidR="00DA4FD6" w:rsidRDefault="00DA4FD6" w:rsidP="000D1229">
      <w:pPr>
        <w:pStyle w:val="Heading1"/>
        <w:spacing w:before="1200"/>
      </w:pPr>
      <w:r>
        <w:t>2015 O</w:t>
      </w:r>
      <w:r w:rsidR="0003185C">
        <w:t>PERATIONAL REVIEW OF THE NATIONAL OFFSHORE PETROLEUM TITLES ADMINISTRATOR</w:t>
      </w:r>
      <w:bookmarkEnd w:id="0"/>
      <w:bookmarkEnd w:id="1"/>
      <w:r>
        <w:t xml:space="preserve"> </w:t>
      </w:r>
    </w:p>
    <w:p w:rsidR="00DA4FD6" w:rsidRPr="00C36229" w:rsidRDefault="00D268BE" w:rsidP="00F85CA6">
      <w:pPr>
        <w:pStyle w:val="Heading1"/>
        <w:spacing w:after="100" w:afterAutospacing="1"/>
        <w:rPr>
          <w:i/>
        </w:rPr>
      </w:pPr>
      <w:bookmarkStart w:id="3" w:name="_Toc428439381"/>
      <w:bookmarkStart w:id="4" w:name="_Toc428443484"/>
      <w:r w:rsidRPr="00C36229">
        <w:rPr>
          <w:i/>
        </w:rPr>
        <w:t>A</w:t>
      </w:r>
      <w:r w:rsidR="0003185C">
        <w:rPr>
          <w:i/>
        </w:rPr>
        <w:t>ustralian Government Response</w:t>
      </w:r>
      <w:bookmarkEnd w:id="3"/>
      <w:bookmarkEnd w:id="4"/>
    </w:p>
    <w:p w:rsidR="00163B54" w:rsidRPr="00560417" w:rsidRDefault="00310776" w:rsidP="00560417">
      <w:pPr>
        <w:rPr>
          <w:b/>
          <w:color w:val="9B3318" w:themeColor="accent1" w:themeShade="BF"/>
          <w:sz w:val="28"/>
        </w:rPr>
      </w:pPr>
      <w:r>
        <w:rPr>
          <w:b/>
          <w:color w:val="9B3318" w:themeColor="accent1" w:themeShade="BF"/>
          <w:sz w:val="28"/>
        </w:rPr>
        <w:t>December</w:t>
      </w:r>
      <w:r w:rsidR="00704D03">
        <w:rPr>
          <w:b/>
          <w:color w:val="9B3318" w:themeColor="accent1" w:themeShade="BF"/>
          <w:sz w:val="28"/>
        </w:rPr>
        <w:t xml:space="preserve"> </w:t>
      </w:r>
      <w:r w:rsidR="00DA4FD6" w:rsidRPr="00560417">
        <w:rPr>
          <w:b/>
          <w:color w:val="9B3318" w:themeColor="accent1" w:themeShade="BF"/>
          <w:sz w:val="28"/>
        </w:rPr>
        <w:t>2015</w:t>
      </w:r>
    </w:p>
    <w:p w:rsidR="00C36229" w:rsidRDefault="00C36229">
      <w:pPr>
        <w:spacing w:after="200"/>
      </w:pPr>
      <w:r>
        <w:rPr>
          <w:b/>
          <w:bCs/>
        </w:rPr>
        <w:br w:type="page"/>
      </w:r>
    </w:p>
    <w:p w:rsidR="00C36229" w:rsidRPr="00567D1A" w:rsidRDefault="00C36229">
      <w:pPr>
        <w:spacing w:after="200"/>
        <w:rPr>
          <w:rFonts w:eastAsiaTheme="majorEastAsia" w:cstheme="minorHAnsi"/>
          <w:b/>
          <w:bCs/>
          <w:color w:val="9B3318" w:themeColor="accent1" w:themeShade="BF"/>
          <w:sz w:val="28"/>
          <w:szCs w:val="28"/>
        </w:rPr>
      </w:pPr>
      <w:r w:rsidRPr="00567D1A">
        <w:rPr>
          <w:rFonts w:cstheme="minorHAnsi"/>
          <w:color w:val="2B2E2F"/>
          <w:szCs w:val="21"/>
        </w:rPr>
        <w:lastRenderedPageBreak/>
        <w:t>This report was prepared by the Department of Industry</w:t>
      </w:r>
      <w:r w:rsidR="00462935" w:rsidRPr="00567D1A">
        <w:rPr>
          <w:rFonts w:cstheme="minorHAnsi"/>
          <w:color w:val="2B2E2F"/>
          <w:szCs w:val="21"/>
        </w:rPr>
        <w:t>, Innovation</w:t>
      </w:r>
      <w:r w:rsidRPr="00567D1A">
        <w:rPr>
          <w:rFonts w:cstheme="minorHAnsi"/>
          <w:color w:val="2B2E2F"/>
          <w:szCs w:val="21"/>
        </w:rPr>
        <w:t xml:space="preserve"> and Science </w:t>
      </w:r>
      <w:r w:rsidRPr="00567D1A">
        <w:rPr>
          <w:rFonts w:cstheme="minorHAnsi"/>
        </w:rPr>
        <w:br w:type="page"/>
      </w:r>
    </w:p>
    <w:p w:rsidR="00EA19AB" w:rsidRDefault="00EA19AB" w:rsidP="00EA19AB">
      <w:pPr>
        <w:pStyle w:val="Heading1"/>
        <w:spacing w:after="480"/>
      </w:pPr>
      <w:r>
        <w:lastRenderedPageBreak/>
        <w:t>Contents</w:t>
      </w:r>
    </w:p>
    <w:p w:rsidR="0003185C" w:rsidRDefault="005F0184">
      <w:pPr>
        <w:pStyle w:val="TOC1"/>
        <w:tabs>
          <w:tab w:val="right" w:leader="dot" w:pos="9016"/>
        </w:tabs>
        <w:rPr>
          <w:rFonts w:eastAsiaTheme="minorEastAsia"/>
          <w:noProof/>
          <w:sz w:val="22"/>
          <w:lang w:eastAsia="en-AU"/>
        </w:rPr>
      </w:pPr>
      <w:r>
        <w:rPr>
          <w:b/>
          <w:color w:val="808080"/>
        </w:rPr>
        <w:fldChar w:fldCharType="begin"/>
      </w:r>
      <w:r>
        <w:rPr>
          <w:b/>
          <w:color w:val="808080"/>
        </w:rPr>
        <w:instrText xml:space="preserve"> TOC \h \z \u \t "Heading 2,1,Heading 3,2" </w:instrText>
      </w:r>
      <w:r>
        <w:rPr>
          <w:b/>
          <w:color w:val="808080"/>
        </w:rPr>
        <w:fldChar w:fldCharType="separate"/>
      </w:r>
      <w:hyperlink w:anchor="_Toc429659488" w:history="1">
        <w:r w:rsidR="0003185C" w:rsidRPr="003864BF">
          <w:rPr>
            <w:rStyle w:val="Hyperlink"/>
            <w:noProof/>
          </w:rPr>
          <w:t>Executive Summary</w:t>
        </w:r>
        <w:r w:rsidR="0003185C">
          <w:rPr>
            <w:noProof/>
            <w:webHidden/>
          </w:rPr>
          <w:tab/>
        </w:r>
        <w:r w:rsidR="0003185C">
          <w:rPr>
            <w:noProof/>
            <w:webHidden/>
          </w:rPr>
          <w:fldChar w:fldCharType="begin"/>
        </w:r>
        <w:r w:rsidR="0003185C">
          <w:rPr>
            <w:noProof/>
            <w:webHidden/>
          </w:rPr>
          <w:instrText xml:space="preserve"> PAGEREF _Toc429659488 \h </w:instrText>
        </w:r>
        <w:r w:rsidR="0003185C">
          <w:rPr>
            <w:noProof/>
            <w:webHidden/>
          </w:rPr>
        </w:r>
        <w:r w:rsidR="0003185C">
          <w:rPr>
            <w:noProof/>
            <w:webHidden/>
          </w:rPr>
          <w:fldChar w:fldCharType="separate"/>
        </w:r>
        <w:r w:rsidR="0003185C">
          <w:rPr>
            <w:noProof/>
            <w:webHidden/>
          </w:rPr>
          <w:t>4</w:t>
        </w:r>
        <w:r w:rsidR="0003185C">
          <w:rPr>
            <w:noProof/>
            <w:webHidden/>
          </w:rPr>
          <w:fldChar w:fldCharType="end"/>
        </w:r>
      </w:hyperlink>
    </w:p>
    <w:p w:rsidR="0003185C" w:rsidRDefault="00EB6297">
      <w:pPr>
        <w:pStyle w:val="TOC1"/>
        <w:tabs>
          <w:tab w:val="right" w:leader="dot" w:pos="9016"/>
        </w:tabs>
        <w:rPr>
          <w:rFonts w:eastAsiaTheme="minorEastAsia"/>
          <w:noProof/>
          <w:sz w:val="22"/>
          <w:lang w:eastAsia="en-AU"/>
        </w:rPr>
      </w:pPr>
      <w:hyperlink w:anchor="_Toc429659489" w:history="1">
        <w:r w:rsidR="0003185C" w:rsidRPr="003864BF">
          <w:rPr>
            <w:rStyle w:val="Hyperlink"/>
            <w:noProof/>
          </w:rPr>
          <w:t>Introduction</w:t>
        </w:r>
        <w:r w:rsidR="0003185C">
          <w:rPr>
            <w:noProof/>
            <w:webHidden/>
          </w:rPr>
          <w:tab/>
        </w:r>
        <w:r w:rsidR="0003185C">
          <w:rPr>
            <w:noProof/>
            <w:webHidden/>
          </w:rPr>
          <w:fldChar w:fldCharType="begin"/>
        </w:r>
        <w:r w:rsidR="0003185C">
          <w:rPr>
            <w:noProof/>
            <w:webHidden/>
          </w:rPr>
          <w:instrText xml:space="preserve"> PAGEREF _Toc429659489 \h </w:instrText>
        </w:r>
        <w:r w:rsidR="0003185C">
          <w:rPr>
            <w:noProof/>
            <w:webHidden/>
          </w:rPr>
        </w:r>
        <w:r w:rsidR="0003185C">
          <w:rPr>
            <w:noProof/>
            <w:webHidden/>
          </w:rPr>
          <w:fldChar w:fldCharType="separate"/>
        </w:r>
        <w:r w:rsidR="0003185C">
          <w:rPr>
            <w:noProof/>
            <w:webHidden/>
          </w:rPr>
          <w:t>5</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0" w:history="1">
        <w:r w:rsidR="0003185C" w:rsidRPr="003864BF">
          <w:rPr>
            <w:rStyle w:val="Hyperlink"/>
            <w:noProof/>
          </w:rPr>
          <w:t>Regulatory regime</w:t>
        </w:r>
        <w:r w:rsidR="0003185C">
          <w:rPr>
            <w:noProof/>
            <w:webHidden/>
          </w:rPr>
          <w:tab/>
        </w:r>
        <w:r w:rsidR="0003185C">
          <w:rPr>
            <w:noProof/>
            <w:webHidden/>
          </w:rPr>
          <w:fldChar w:fldCharType="begin"/>
        </w:r>
        <w:r w:rsidR="0003185C">
          <w:rPr>
            <w:noProof/>
            <w:webHidden/>
          </w:rPr>
          <w:instrText xml:space="preserve"> PAGEREF _Toc429659490 \h </w:instrText>
        </w:r>
        <w:r w:rsidR="0003185C">
          <w:rPr>
            <w:noProof/>
            <w:webHidden/>
          </w:rPr>
        </w:r>
        <w:r w:rsidR="0003185C">
          <w:rPr>
            <w:noProof/>
            <w:webHidden/>
          </w:rPr>
          <w:fldChar w:fldCharType="separate"/>
        </w:r>
        <w:r w:rsidR="0003185C">
          <w:rPr>
            <w:noProof/>
            <w:webHidden/>
          </w:rPr>
          <w:t>5</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1" w:history="1">
        <w:r w:rsidR="0003185C" w:rsidRPr="003864BF">
          <w:rPr>
            <w:rStyle w:val="Hyperlink"/>
            <w:noProof/>
          </w:rPr>
          <w:t>Role of NOPTA</w:t>
        </w:r>
        <w:r w:rsidR="0003185C">
          <w:rPr>
            <w:noProof/>
            <w:webHidden/>
          </w:rPr>
          <w:tab/>
        </w:r>
        <w:r w:rsidR="0003185C">
          <w:rPr>
            <w:noProof/>
            <w:webHidden/>
          </w:rPr>
          <w:fldChar w:fldCharType="begin"/>
        </w:r>
        <w:r w:rsidR="0003185C">
          <w:rPr>
            <w:noProof/>
            <w:webHidden/>
          </w:rPr>
          <w:instrText xml:space="preserve"> PAGEREF _Toc429659491 \h </w:instrText>
        </w:r>
        <w:r w:rsidR="0003185C">
          <w:rPr>
            <w:noProof/>
            <w:webHidden/>
          </w:rPr>
        </w:r>
        <w:r w:rsidR="0003185C">
          <w:rPr>
            <w:noProof/>
            <w:webHidden/>
          </w:rPr>
          <w:fldChar w:fldCharType="separate"/>
        </w:r>
        <w:r w:rsidR="0003185C">
          <w:rPr>
            <w:noProof/>
            <w:webHidden/>
          </w:rPr>
          <w:t>5</w:t>
        </w:r>
        <w:r w:rsidR="0003185C">
          <w:rPr>
            <w:noProof/>
            <w:webHidden/>
          </w:rPr>
          <w:fldChar w:fldCharType="end"/>
        </w:r>
      </w:hyperlink>
    </w:p>
    <w:p w:rsidR="0003185C" w:rsidRDefault="00EB6297">
      <w:pPr>
        <w:pStyle w:val="TOC1"/>
        <w:tabs>
          <w:tab w:val="right" w:leader="dot" w:pos="9016"/>
        </w:tabs>
        <w:rPr>
          <w:rFonts w:eastAsiaTheme="minorEastAsia"/>
          <w:noProof/>
          <w:sz w:val="22"/>
          <w:lang w:eastAsia="en-AU"/>
        </w:rPr>
      </w:pPr>
      <w:hyperlink w:anchor="_Toc429659492" w:history="1">
        <w:r w:rsidR="0003185C" w:rsidRPr="003864BF">
          <w:rPr>
            <w:rStyle w:val="Hyperlink"/>
            <w:noProof/>
          </w:rPr>
          <w:t>Australian Government Response</w:t>
        </w:r>
        <w:r w:rsidR="0003185C">
          <w:rPr>
            <w:noProof/>
            <w:webHidden/>
          </w:rPr>
          <w:tab/>
        </w:r>
        <w:r w:rsidR="0003185C">
          <w:rPr>
            <w:noProof/>
            <w:webHidden/>
          </w:rPr>
          <w:fldChar w:fldCharType="begin"/>
        </w:r>
        <w:r w:rsidR="0003185C">
          <w:rPr>
            <w:noProof/>
            <w:webHidden/>
          </w:rPr>
          <w:instrText xml:space="preserve"> PAGEREF _Toc429659492 \h </w:instrText>
        </w:r>
        <w:r w:rsidR="0003185C">
          <w:rPr>
            <w:noProof/>
            <w:webHidden/>
          </w:rPr>
        </w:r>
        <w:r w:rsidR="0003185C">
          <w:rPr>
            <w:noProof/>
            <w:webHidden/>
          </w:rPr>
          <w:fldChar w:fldCharType="separate"/>
        </w:r>
        <w:r w:rsidR="0003185C">
          <w:rPr>
            <w:noProof/>
            <w:webHidden/>
          </w:rPr>
          <w:t>7</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3" w:history="1">
        <w:r w:rsidR="0003185C" w:rsidRPr="003864BF">
          <w:rPr>
            <w:rStyle w:val="Hyperlink"/>
            <w:noProof/>
          </w:rPr>
          <w:t>Joint Authority Decision Making</w:t>
        </w:r>
        <w:r w:rsidR="0003185C">
          <w:rPr>
            <w:noProof/>
            <w:webHidden/>
          </w:rPr>
          <w:tab/>
        </w:r>
        <w:r w:rsidR="0003185C">
          <w:rPr>
            <w:noProof/>
            <w:webHidden/>
          </w:rPr>
          <w:fldChar w:fldCharType="begin"/>
        </w:r>
        <w:r w:rsidR="0003185C">
          <w:rPr>
            <w:noProof/>
            <w:webHidden/>
          </w:rPr>
          <w:instrText xml:space="preserve"> PAGEREF _Toc429659493 \h </w:instrText>
        </w:r>
        <w:r w:rsidR="0003185C">
          <w:rPr>
            <w:noProof/>
            <w:webHidden/>
          </w:rPr>
        </w:r>
        <w:r w:rsidR="0003185C">
          <w:rPr>
            <w:noProof/>
            <w:webHidden/>
          </w:rPr>
          <w:fldChar w:fldCharType="separate"/>
        </w:r>
        <w:r w:rsidR="0003185C">
          <w:rPr>
            <w:noProof/>
            <w:webHidden/>
          </w:rPr>
          <w:t>7</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4" w:history="1">
        <w:r w:rsidR="0003185C" w:rsidRPr="003864BF">
          <w:rPr>
            <w:rStyle w:val="Hyperlink"/>
            <w:noProof/>
          </w:rPr>
          <w:t>Titles Information</w:t>
        </w:r>
        <w:r w:rsidR="0003185C">
          <w:rPr>
            <w:noProof/>
            <w:webHidden/>
          </w:rPr>
          <w:tab/>
        </w:r>
        <w:r w:rsidR="0003185C">
          <w:rPr>
            <w:noProof/>
            <w:webHidden/>
          </w:rPr>
          <w:fldChar w:fldCharType="begin"/>
        </w:r>
        <w:r w:rsidR="0003185C">
          <w:rPr>
            <w:noProof/>
            <w:webHidden/>
          </w:rPr>
          <w:instrText xml:space="preserve"> PAGEREF _Toc429659494 \h </w:instrText>
        </w:r>
        <w:r w:rsidR="0003185C">
          <w:rPr>
            <w:noProof/>
            <w:webHidden/>
          </w:rPr>
        </w:r>
        <w:r w:rsidR="0003185C">
          <w:rPr>
            <w:noProof/>
            <w:webHidden/>
          </w:rPr>
          <w:fldChar w:fldCharType="separate"/>
        </w:r>
        <w:r w:rsidR="0003185C">
          <w:rPr>
            <w:noProof/>
            <w:webHidden/>
          </w:rPr>
          <w:t>8</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5" w:history="1">
        <w:r w:rsidR="0003185C" w:rsidRPr="003864BF">
          <w:rPr>
            <w:rStyle w:val="Hyperlink"/>
            <w:noProof/>
          </w:rPr>
          <w:t>Compliance</w:t>
        </w:r>
        <w:r w:rsidR="0003185C">
          <w:rPr>
            <w:noProof/>
            <w:webHidden/>
          </w:rPr>
          <w:tab/>
        </w:r>
        <w:r w:rsidR="0003185C">
          <w:rPr>
            <w:noProof/>
            <w:webHidden/>
          </w:rPr>
          <w:fldChar w:fldCharType="begin"/>
        </w:r>
        <w:r w:rsidR="0003185C">
          <w:rPr>
            <w:noProof/>
            <w:webHidden/>
          </w:rPr>
          <w:instrText xml:space="preserve"> PAGEREF _Toc429659495 \h </w:instrText>
        </w:r>
        <w:r w:rsidR="0003185C">
          <w:rPr>
            <w:noProof/>
            <w:webHidden/>
          </w:rPr>
        </w:r>
        <w:r w:rsidR="0003185C">
          <w:rPr>
            <w:noProof/>
            <w:webHidden/>
          </w:rPr>
          <w:fldChar w:fldCharType="separate"/>
        </w:r>
        <w:r w:rsidR="0003185C">
          <w:rPr>
            <w:noProof/>
            <w:webHidden/>
          </w:rPr>
          <w:t>9</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6" w:history="1">
        <w:r w:rsidR="0003185C" w:rsidRPr="003864BF">
          <w:rPr>
            <w:rStyle w:val="Hyperlink"/>
            <w:noProof/>
          </w:rPr>
          <w:t>Resource Management</w:t>
        </w:r>
        <w:r w:rsidR="0003185C">
          <w:rPr>
            <w:noProof/>
            <w:webHidden/>
          </w:rPr>
          <w:tab/>
        </w:r>
        <w:r w:rsidR="0003185C">
          <w:rPr>
            <w:noProof/>
            <w:webHidden/>
          </w:rPr>
          <w:fldChar w:fldCharType="begin"/>
        </w:r>
        <w:r w:rsidR="0003185C">
          <w:rPr>
            <w:noProof/>
            <w:webHidden/>
          </w:rPr>
          <w:instrText xml:space="preserve"> PAGEREF _Toc429659496 \h </w:instrText>
        </w:r>
        <w:r w:rsidR="0003185C">
          <w:rPr>
            <w:noProof/>
            <w:webHidden/>
          </w:rPr>
        </w:r>
        <w:r w:rsidR="0003185C">
          <w:rPr>
            <w:noProof/>
            <w:webHidden/>
          </w:rPr>
          <w:fldChar w:fldCharType="separate"/>
        </w:r>
        <w:r w:rsidR="0003185C">
          <w:rPr>
            <w:noProof/>
            <w:webHidden/>
          </w:rPr>
          <w:t>10</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7" w:history="1">
        <w:r w:rsidR="0003185C" w:rsidRPr="003864BF">
          <w:rPr>
            <w:rStyle w:val="Hyperlink"/>
            <w:noProof/>
          </w:rPr>
          <w:t>Internal Operations</w:t>
        </w:r>
        <w:r w:rsidR="0003185C">
          <w:rPr>
            <w:noProof/>
            <w:webHidden/>
          </w:rPr>
          <w:tab/>
        </w:r>
        <w:r w:rsidR="0003185C">
          <w:rPr>
            <w:noProof/>
            <w:webHidden/>
          </w:rPr>
          <w:fldChar w:fldCharType="begin"/>
        </w:r>
        <w:r w:rsidR="0003185C">
          <w:rPr>
            <w:noProof/>
            <w:webHidden/>
          </w:rPr>
          <w:instrText xml:space="preserve"> PAGEREF _Toc429659497 \h </w:instrText>
        </w:r>
        <w:r w:rsidR="0003185C">
          <w:rPr>
            <w:noProof/>
            <w:webHidden/>
          </w:rPr>
        </w:r>
        <w:r w:rsidR="0003185C">
          <w:rPr>
            <w:noProof/>
            <w:webHidden/>
          </w:rPr>
          <w:fldChar w:fldCharType="separate"/>
        </w:r>
        <w:r w:rsidR="0003185C">
          <w:rPr>
            <w:noProof/>
            <w:webHidden/>
          </w:rPr>
          <w:t>10</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8" w:history="1">
        <w:r w:rsidR="0003185C" w:rsidRPr="003864BF">
          <w:rPr>
            <w:rStyle w:val="Hyperlink"/>
            <w:noProof/>
          </w:rPr>
          <w:t>Relationships with Stakeholders</w:t>
        </w:r>
        <w:r w:rsidR="0003185C">
          <w:rPr>
            <w:noProof/>
            <w:webHidden/>
          </w:rPr>
          <w:tab/>
        </w:r>
        <w:r w:rsidR="0003185C">
          <w:rPr>
            <w:noProof/>
            <w:webHidden/>
          </w:rPr>
          <w:fldChar w:fldCharType="begin"/>
        </w:r>
        <w:r w:rsidR="0003185C">
          <w:rPr>
            <w:noProof/>
            <w:webHidden/>
          </w:rPr>
          <w:instrText xml:space="preserve"> PAGEREF _Toc429659498 \h </w:instrText>
        </w:r>
        <w:r w:rsidR="0003185C">
          <w:rPr>
            <w:noProof/>
            <w:webHidden/>
          </w:rPr>
        </w:r>
        <w:r w:rsidR="0003185C">
          <w:rPr>
            <w:noProof/>
            <w:webHidden/>
          </w:rPr>
          <w:fldChar w:fldCharType="separate"/>
        </w:r>
        <w:r w:rsidR="0003185C">
          <w:rPr>
            <w:noProof/>
            <w:webHidden/>
          </w:rPr>
          <w:t>11</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499" w:history="1">
        <w:r w:rsidR="0003185C" w:rsidRPr="003864BF">
          <w:rPr>
            <w:rStyle w:val="Hyperlink"/>
            <w:noProof/>
          </w:rPr>
          <w:t>Data Management</w:t>
        </w:r>
        <w:r w:rsidR="0003185C">
          <w:rPr>
            <w:noProof/>
            <w:webHidden/>
          </w:rPr>
          <w:tab/>
        </w:r>
        <w:r w:rsidR="0003185C">
          <w:rPr>
            <w:noProof/>
            <w:webHidden/>
          </w:rPr>
          <w:fldChar w:fldCharType="begin"/>
        </w:r>
        <w:r w:rsidR="0003185C">
          <w:rPr>
            <w:noProof/>
            <w:webHidden/>
          </w:rPr>
          <w:instrText xml:space="preserve"> PAGEREF _Toc429659499 \h </w:instrText>
        </w:r>
        <w:r w:rsidR="0003185C">
          <w:rPr>
            <w:noProof/>
            <w:webHidden/>
          </w:rPr>
        </w:r>
        <w:r w:rsidR="0003185C">
          <w:rPr>
            <w:noProof/>
            <w:webHidden/>
          </w:rPr>
          <w:fldChar w:fldCharType="separate"/>
        </w:r>
        <w:r w:rsidR="0003185C">
          <w:rPr>
            <w:noProof/>
            <w:webHidden/>
          </w:rPr>
          <w:t>11</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500" w:history="1">
        <w:r w:rsidR="0003185C" w:rsidRPr="003864BF">
          <w:rPr>
            <w:rStyle w:val="Hyperlink"/>
            <w:noProof/>
          </w:rPr>
          <w:t>Greenhouse Gas Storage</w:t>
        </w:r>
        <w:r w:rsidR="0003185C">
          <w:rPr>
            <w:noProof/>
            <w:webHidden/>
          </w:rPr>
          <w:tab/>
        </w:r>
        <w:r w:rsidR="0003185C">
          <w:rPr>
            <w:noProof/>
            <w:webHidden/>
          </w:rPr>
          <w:fldChar w:fldCharType="begin"/>
        </w:r>
        <w:r w:rsidR="0003185C">
          <w:rPr>
            <w:noProof/>
            <w:webHidden/>
          </w:rPr>
          <w:instrText xml:space="preserve"> PAGEREF _Toc429659500 \h </w:instrText>
        </w:r>
        <w:r w:rsidR="0003185C">
          <w:rPr>
            <w:noProof/>
            <w:webHidden/>
          </w:rPr>
        </w:r>
        <w:r w:rsidR="0003185C">
          <w:rPr>
            <w:noProof/>
            <w:webHidden/>
          </w:rPr>
          <w:fldChar w:fldCharType="separate"/>
        </w:r>
        <w:r w:rsidR="0003185C">
          <w:rPr>
            <w:noProof/>
            <w:webHidden/>
          </w:rPr>
          <w:t>12</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501" w:history="1">
        <w:r w:rsidR="0003185C" w:rsidRPr="003864BF">
          <w:rPr>
            <w:rStyle w:val="Hyperlink"/>
            <w:noProof/>
          </w:rPr>
          <w:t>NOPTA’s Insight</w:t>
        </w:r>
        <w:r w:rsidR="0003185C">
          <w:rPr>
            <w:noProof/>
            <w:webHidden/>
          </w:rPr>
          <w:tab/>
        </w:r>
        <w:r w:rsidR="0003185C">
          <w:rPr>
            <w:noProof/>
            <w:webHidden/>
          </w:rPr>
          <w:fldChar w:fldCharType="begin"/>
        </w:r>
        <w:r w:rsidR="0003185C">
          <w:rPr>
            <w:noProof/>
            <w:webHidden/>
          </w:rPr>
          <w:instrText xml:space="preserve"> PAGEREF _Toc429659501 \h </w:instrText>
        </w:r>
        <w:r w:rsidR="0003185C">
          <w:rPr>
            <w:noProof/>
            <w:webHidden/>
          </w:rPr>
        </w:r>
        <w:r w:rsidR="0003185C">
          <w:rPr>
            <w:noProof/>
            <w:webHidden/>
          </w:rPr>
          <w:fldChar w:fldCharType="separate"/>
        </w:r>
        <w:r w:rsidR="0003185C">
          <w:rPr>
            <w:noProof/>
            <w:webHidden/>
          </w:rPr>
          <w:t>13</w:t>
        </w:r>
        <w:r w:rsidR="0003185C">
          <w:rPr>
            <w:noProof/>
            <w:webHidden/>
          </w:rPr>
          <w:fldChar w:fldCharType="end"/>
        </w:r>
      </w:hyperlink>
    </w:p>
    <w:p w:rsidR="0003185C" w:rsidRDefault="00EB6297">
      <w:pPr>
        <w:pStyle w:val="TOC2"/>
        <w:tabs>
          <w:tab w:val="right" w:leader="dot" w:pos="9016"/>
        </w:tabs>
        <w:rPr>
          <w:rFonts w:eastAsiaTheme="minorEastAsia"/>
          <w:noProof/>
          <w:color w:val="auto"/>
          <w:sz w:val="22"/>
          <w:lang w:eastAsia="en-AU"/>
        </w:rPr>
      </w:pPr>
      <w:hyperlink w:anchor="_Toc429659502" w:history="1">
        <w:r w:rsidR="0003185C" w:rsidRPr="003864BF">
          <w:rPr>
            <w:rStyle w:val="Hyperlink"/>
            <w:noProof/>
          </w:rPr>
          <w:t>Government’s Deregulation Agenda</w:t>
        </w:r>
        <w:r w:rsidR="0003185C">
          <w:rPr>
            <w:noProof/>
            <w:webHidden/>
          </w:rPr>
          <w:tab/>
        </w:r>
        <w:r w:rsidR="0003185C">
          <w:rPr>
            <w:noProof/>
            <w:webHidden/>
          </w:rPr>
          <w:fldChar w:fldCharType="begin"/>
        </w:r>
        <w:r w:rsidR="0003185C">
          <w:rPr>
            <w:noProof/>
            <w:webHidden/>
          </w:rPr>
          <w:instrText xml:space="preserve"> PAGEREF _Toc429659502 \h </w:instrText>
        </w:r>
        <w:r w:rsidR="0003185C">
          <w:rPr>
            <w:noProof/>
            <w:webHidden/>
          </w:rPr>
        </w:r>
        <w:r w:rsidR="0003185C">
          <w:rPr>
            <w:noProof/>
            <w:webHidden/>
          </w:rPr>
          <w:fldChar w:fldCharType="separate"/>
        </w:r>
        <w:r w:rsidR="0003185C">
          <w:rPr>
            <w:noProof/>
            <w:webHidden/>
          </w:rPr>
          <w:t>13</w:t>
        </w:r>
        <w:r w:rsidR="0003185C">
          <w:rPr>
            <w:noProof/>
            <w:webHidden/>
          </w:rPr>
          <w:fldChar w:fldCharType="end"/>
        </w:r>
      </w:hyperlink>
    </w:p>
    <w:p w:rsidR="0003185C" w:rsidRDefault="00EB6297">
      <w:pPr>
        <w:pStyle w:val="TOC1"/>
        <w:tabs>
          <w:tab w:val="right" w:leader="dot" w:pos="9016"/>
        </w:tabs>
        <w:rPr>
          <w:rFonts w:eastAsiaTheme="minorEastAsia"/>
          <w:noProof/>
          <w:sz w:val="22"/>
          <w:lang w:eastAsia="en-AU"/>
        </w:rPr>
      </w:pPr>
      <w:hyperlink w:anchor="_Toc429659503" w:history="1">
        <w:r w:rsidR="0003185C" w:rsidRPr="003864BF">
          <w:rPr>
            <w:rStyle w:val="Hyperlink"/>
            <w:noProof/>
          </w:rPr>
          <w:t>Appendix A: Terms of Reference</w:t>
        </w:r>
        <w:r w:rsidR="0003185C">
          <w:rPr>
            <w:noProof/>
            <w:webHidden/>
          </w:rPr>
          <w:tab/>
        </w:r>
        <w:r w:rsidR="0003185C">
          <w:rPr>
            <w:noProof/>
            <w:webHidden/>
          </w:rPr>
          <w:fldChar w:fldCharType="begin"/>
        </w:r>
        <w:r w:rsidR="0003185C">
          <w:rPr>
            <w:noProof/>
            <w:webHidden/>
          </w:rPr>
          <w:instrText xml:space="preserve"> PAGEREF _Toc429659503 \h </w:instrText>
        </w:r>
        <w:r w:rsidR="0003185C">
          <w:rPr>
            <w:noProof/>
            <w:webHidden/>
          </w:rPr>
        </w:r>
        <w:r w:rsidR="0003185C">
          <w:rPr>
            <w:noProof/>
            <w:webHidden/>
          </w:rPr>
          <w:fldChar w:fldCharType="separate"/>
        </w:r>
        <w:r w:rsidR="0003185C">
          <w:rPr>
            <w:noProof/>
            <w:webHidden/>
          </w:rPr>
          <w:t>15</w:t>
        </w:r>
        <w:r w:rsidR="0003185C">
          <w:rPr>
            <w:noProof/>
            <w:webHidden/>
          </w:rPr>
          <w:fldChar w:fldCharType="end"/>
        </w:r>
      </w:hyperlink>
    </w:p>
    <w:p w:rsidR="0003185C" w:rsidRDefault="00EB6297">
      <w:pPr>
        <w:pStyle w:val="TOC1"/>
        <w:tabs>
          <w:tab w:val="right" w:leader="dot" w:pos="9016"/>
        </w:tabs>
        <w:rPr>
          <w:rFonts w:eastAsiaTheme="minorEastAsia"/>
          <w:noProof/>
          <w:sz w:val="22"/>
          <w:lang w:eastAsia="en-AU"/>
        </w:rPr>
      </w:pPr>
      <w:hyperlink w:anchor="_Toc429659504" w:history="1">
        <w:r w:rsidR="0003185C" w:rsidRPr="003864BF">
          <w:rPr>
            <w:rStyle w:val="Hyperlink"/>
            <w:noProof/>
          </w:rPr>
          <w:t>Appendix B: Implementation Plan</w:t>
        </w:r>
        <w:r w:rsidR="0003185C">
          <w:rPr>
            <w:noProof/>
            <w:webHidden/>
          </w:rPr>
          <w:tab/>
        </w:r>
        <w:r w:rsidR="0003185C">
          <w:rPr>
            <w:noProof/>
            <w:webHidden/>
          </w:rPr>
          <w:fldChar w:fldCharType="begin"/>
        </w:r>
        <w:r w:rsidR="0003185C">
          <w:rPr>
            <w:noProof/>
            <w:webHidden/>
          </w:rPr>
          <w:instrText xml:space="preserve"> PAGEREF _Toc429659504 \h </w:instrText>
        </w:r>
        <w:r w:rsidR="0003185C">
          <w:rPr>
            <w:noProof/>
            <w:webHidden/>
          </w:rPr>
        </w:r>
        <w:r w:rsidR="0003185C">
          <w:rPr>
            <w:noProof/>
            <w:webHidden/>
          </w:rPr>
          <w:fldChar w:fldCharType="separate"/>
        </w:r>
        <w:r w:rsidR="0003185C">
          <w:rPr>
            <w:noProof/>
            <w:webHidden/>
          </w:rPr>
          <w:t>16</w:t>
        </w:r>
        <w:r w:rsidR="0003185C">
          <w:rPr>
            <w:noProof/>
            <w:webHidden/>
          </w:rPr>
          <w:fldChar w:fldCharType="end"/>
        </w:r>
      </w:hyperlink>
    </w:p>
    <w:p w:rsidR="0003256E" w:rsidRPr="00EA19AB" w:rsidRDefault="005F0184">
      <w:pPr>
        <w:spacing w:after="200"/>
        <w:rPr>
          <w:b/>
          <w:color w:val="808080"/>
        </w:rPr>
      </w:pPr>
      <w:r>
        <w:rPr>
          <w:b/>
          <w:color w:val="808080"/>
        </w:rPr>
        <w:fldChar w:fldCharType="end"/>
      </w:r>
      <w:r w:rsidR="00B05318">
        <w:rPr>
          <w:b/>
          <w:color w:val="808080"/>
        </w:rPr>
        <w:br w:type="page"/>
      </w:r>
    </w:p>
    <w:p w:rsidR="008F44DD" w:rsidRDefault="008F44DD" w:rsidP="00916A64">
      <w:pPr>
        <w:pStyle w:val="Heading2"/>
        <w:spacing w:after="240"/>
      </w:pPr>
      <w:bookmarkStart w:id="5" w:name="_Toc428443485"/>
      <w:bookmarkStart w:id="6" w:name="_Toc429659488"/>
      <w:r w:rsidRPr="007E199E">
        <w:lastRenderedPageBreak/>
        <w:t>Executive Summary</w:t>
      </w:r>
      <w:bookmarkEnd w:id="5"/>
      <w:bookmarkEnd w:id="6"/>
    </w:p>
    <w:p w:rsidR="0003256E" w:rsidRDefault="008F44DD" w:rsidP="008F44DD">
      <w:r w:rsidRPr="004F60F7">
        <w:t xml:space="preserve">The </w:t>
      </w:r>
      <w:r w:rsidR="00997A5A">
        <w:t xml:space="preserve">then </w:t>
      </w:r>
      <w:r w:rsidRPr="004F60F7">
        <w:t xml:space="preserve">Minister for </w:t>
      </w:r>
      <w:r w:rsidR="00997A5A">
        <w:t xml:space="preserve">the </w:t>
      </w:r>
      <w:r w:rsidRPr="004F60F7">
        <w:t>Industry and Science</w:t>
      </w:r>
      <w:r w:rsidR="00997A5A">
        <w:t xml:space="preserve"> portfolio</w:t>
      </w:r>
      <w:r w:rsidRPr="004F60F7">
        <w:t>, the Hon Ian M</w:t>
      </w:r>
      <w:r>
        <w:t>a</w:t>
      </w:r>
      <w:r w:rsidRPr="004F60F7">
        <w:t>c</w:t>
      </w:r>
      <w:r>
        <w:t>f</w:t>
      </w:r>
      <w:r w:rsidRPr="004F60F7">
        <w:t xml:space="preserve">arlane MP, commissioned the 2015 </w:t>
      </w:r>
      <w:r>
        <w:t>Operational Review</w:t>
      </w:r>
      <w:r w:rsidR="00E603B3">
        <w:t xml:space="preserve"> </w:t>
      </w:r>
      <w:r>
        <w:t xml:space="preserve">of the </w:t>
      </w:r>
      <w:r w:rsidRPr="004F60F7">
        <w:t>National Offshore</w:t>
      </w:r>
      <w:r w:rsidR="001F6654">
        <w:t xml:space="preserve"> Petroleum</w:t>
      </w:r>
      <w:r w:rsidRPr="004F60F7">
        <w:t xml:space="preserve"> </w:t>
      </w:r>
      <w:r>
        <w:t xml:space="preserve">Titles Administrator (NOPTA) </w:t>
      </w:r>
      <w:r w:rsidRPr="004F60F7">
        <w:t>in accordance wit</w:t>
      </w:r>
      <w:r w:rsidRPr="00722429">
        <w:t xml:space="preserve">h </w:t>
      </w:r>
      <w:r w:rsidRPr="00A26954">
        <w:rPr>
          <w:rStyle w:val="Emphasis"/>
        </w:rPr>
        <w:t>the Offshore Petroleum and Greenhouse Gas Storage Act 2006</w:t>
      </w:r>
      <w:r w:rsidRPr="00722429">
        <w:t xml:space="preserve"> (OPGGS</w:t>
      </w:r>
      <w:r w:rsidR="00E06FB0">
        <w:t xml:space="preserve"> </w:t>
      </w:r>
      <w:r w:rsidRPr="00722429">
        <w:t>A</w:t>
      </w:r>
      <w:r w:rsidR="00E06FB0">
        <w:t>ct</w:t>
      </w:r>
      <w:r w:rsidRPr="00722429">
        <w:t>).</w:t>
      </w:r>
    </w:p>
    <w:p w:rsidR="0003256E" w:rsidRDefault="00A26954" w:rsidP="0003256E">
      <w:r w:rsidRPr="004F60F7">
        <w:t>Under section 695</w:t>
      </w:r>
      <w:r>
        <w:t xml:space="preserve">P </w:t>
      </w:r>
      <w:r w:rsidRPr="004F60F7">
        <w:t>of the OPGGS</w:t>
      </w:r>
      <w:r>
        <w:t xml:space="preserve"> </w:t>
      </w:r>
      <w:r w:rsidRPr="004F60F7">
        <w:t>A</w:t>
      </w:r>
      <w:r>
        <w:t>ct</w:t>
      </w:r>
      <w:r w:rsidRPr="004F60F7">
        <w:t xml:space="preserve">, the Minister is required to initiate </w:t>
      </w:r>
      <w:r>
        <w:t xml:space="preserve">the first </w:t>
      </w:r>
      <w:r w:rsidRPr="004F60F7">
        <w:t>review of NOP</w:t>
      </w:r>
      <w:r>
        <w:t>TA</w:t>
      </w:r>
      <w:r w:rsidRPr="004F60F7">
        <w:t xml:space="preserve"> </w:t>
      </w:r>
      <w:r>
        <w:t xml:space="preserve">three years after its commencement. </w:t>
      </w:r>
      <w:r w:rsidR="00A26964" w:rsidRPr="004F60F7">
        <w:t>Th</w:t>
      </w:r>
      <w:r w:rsidR="00A26964">
        <w:t xml:space="preserve">is </w:t>
      </w:r>
      <w:r w:rsidR="00136063">
        <w:t xml:space="preserve">first operational </w:t>
      </w:r>
      <w:r w:rsidR="00A26964">
        <w:t>review marks a milestone for NOPTA, cover</w:t>
      </w:r>
      <w:r w:rsidR="00136063">
        <w:t>ing</w:t>
      </w:r>
      <w:r w:rsidR="00A26964">
        <w:t xml:space="preserve"> the period from its establishment, on 1 January 2012 to 31 December 2014. </w:t>
      </w:r>
      <w:r w:rsidR="0003256E">
        <w:t xml:space="preserve">Subsequent </w:t>
      </w:r>
      <w:r w:rsidR="00C32BAB">
        <w:t>operational r</w:t>
      </w:r>
      <w:r w:rsidR="0003256E">
        <w:t xml:space="preserve">eviews </w:t>
      </w:r>
      <w:r w:rsidR="00C32BAB">
        <w:t xml:space="preserve">will relate to </w:t>
      </w:r>
      <w:r w:rsidR="0003256E">
        <w:t xml:space="preserve">successive </w:t>
      </w:r>
      <w:r w:rsidR="008831FC">
        <w:t>five</w:t>
      </w:r>
      <w:r w:rsidR="0003256E">
        <w:t>-year periods.</w:t>
      </w:r>
    </w:p>
    <w:p w:rsidR="00E603B3" w:rsidRDefault="00E603B3" w:rsidP="00E603B3">
      <w:r>
        <w:t xml:space="preserve">The </w:t>
      </w:r>
      <w:r w:rsidRPr="0019380B">
        <w:t>2015 Operational Review of NO</w:t>
      </w:r>
      <w:r w:rsidR="00502FF5">
        <w:t>P</w:t>
      </w:r>
      <w:r w:rsidRPr="0019380B">
        <w:t>TA</w:t>
      </w:r>
      <w:r>
        <w:rPr>
          <w:i/>
        </w:rPr>
        <w:t xml:space="preserve"> </w:t>
      </w:r>
      <w:r w:rsidRPr="007A3D71">
        <w:t xml:space="preserve">(the </w:t>
      </w:r>
      <w:r>
        <w:t xml:space="preserve">2015 </w:t>
      </w:r>
      <w:r w:rsidRPr="007A3D71">
        <w:t>Review)</w:t>
      </w:r>
      <w:r>
        <w:rPr>
          <w:i/>
        </w:rPr>
        <w:t xml:space="preserve"> </w:t>
      </w:r>
      <w:r>
        <w:t xml:space="preserve">commenced on 6 March 2015 and was conducted by Noetic Solutions Pty Limited. The 2015 Review was presented to </w:t>
      </w:r>
      <w:r w:rsidR="00364C58">
        <w:t xml:space="preserve">then </w:t>
      </w:r>
      <w:r>
        <w:t>Minister Macfarlane on 30 June 2015.</w:t>
      </w:r>
    </w:p>
    <w:p w:rsidR="00916A64" w:rsidRDefault="00916A64" w:rsidP="008F44DD">
      <w:r>
        <w:t>The</w:t>
      </w:r>
      <w:r w:rsidR="00E603B3">
        <w:t xml:space="preserve"> 2015</w:t>
      </w:r>
      <w:r>
        <w:t xml:space="preserve"> Review was informed by consultation with the offshore petroleum sector, government</w:t>
      </w:r>
      <w:r w:rsidR="00136063">
        <w:t xml:space="preserve"> agencie</w:t>
      </w:r>
      <w:r>
        <w:t>s, and stakeholders</w:t>
      </w:r>
      <w:r w:rsidR="00136063">
        <w:t>.</w:t>
      </w:r>
      <w:r w:rsidR="00F66ADB">
        <w:t xml:space="preserve"> Stakeholder</w:t>
      </w:r>
      <w:r w:rsidR="00E03F78">
        <w:t xml:space="preserve"> groups</w:t>
      </w:r>
      <w:r w:rsidR="00F66ADB">
        <w:t xml:space="preserve"> includ</w:t>
      </w:r>
      <w:r w:rsidR="00E03F78">
        <w:t>ed</w:t>
      </w:r>
      <w:r w:rsidR="00F66ADB">
        <w:t xml:space="preserve"> </w:t>
      </w:r>
      <w:r w:rsidR="00D268BE">
        <w:t xml:space="preserve">state, territory and </w:t>
      </w:r>
      <w:r w:rsidR="00A90A36">
        <w:t>C</w:t>
      </w:r>
      <w:r w:rsidR="009C5D65">
        <w:t>ommonwealth government</w:t>
      </w:r>
      <w:r w:rsidR="00F66ADB">
        <w:t xml:space="preserve"> agencies,</w:t>
      </w:r>
      <w:r w:rsidR="00E03F78">
        <w:t xml:space="preserve"> industry peak bodies, industry</w:t>
      </w:r>
      <w:r w:rsidR="00173CB5">
        <w:t xml:space="preserve"> members</w:t>
      </w:r>
      <w:r w:rsidR="00D268BE">
        <w:t xml:space="preserve">, </w:t>
      </w:r>
      <w:r w:rsidR="00E03F78">
        <w:t>greenhouse gas storage stakeholders</w:t>
      </w:r>
      <w:r w:rsidR="00D268BE">
        <w:t xml:space="preserve"> and NOPTA personnel</w:t>
      </w:r>
      <w:r w:rsidR="00E03F78">
        <w:t xml:space="preserve">. </w:t>
      </w:r>
      <w:r w:rsidR="00136063">
        <w:t>It</w:t>
      </w:r>
      <w:r w:rsidR="008831FC">
        <w:t xml:space="preserve"> considered NOPTA’s effectiveness, including the quality of advice to Joint Authorities and </w:t>
      </w:r>
      <w:r w:rsidR="00136063">
        <w:t xml:space="preserve">the </w:t>
      </w:r>
      <w:r w:rsidR="008831FC">
        <w:t>manag</w:t>
      </w:r>
      <w:r w:rsidR="00136063">
        <w:t xml:space="preserve">ement of </w:t>
      </w:r>
      <w:r w:rsidR="008831FC">
        <w:t>offshore petroleum data</w:t>
      </w:r>
      <w:r w:rsidR="008F4913">
        <w:t xml:space="preserve">. </w:t>
      </w:r>
      <w:r w:rsidR="008831FC">
        <w:t xml:space="preserve">The </w:t>
      </w:r>
      <w:r w:rsidR="00E603B3">
        <w:t xml:space="preserve">2015 </w:t>
      </w:r>
      <w:r w:rsidR="008831FC">
        <w:t xml:space="preserve">Review also </w:t>
      </w:r>
      <w:r w:rsidR="00FD0D18">
        <w:t>considered the</w:t>
      </w:r>
      <w:r w:rsidR="008831FC">
        <w:t xml:space="preserve"> quality of relationships with stakeholders and the extent to which NOPTA’s establishment and operation ha</w:t>
      </w:r>
      <w:r w:rsidR="00136063">
        <w:t>ve</w:t>
      </w:r>
      <w:r w:rsidR="008831FC">
        <w:t xml:space="preserve"> met the objectives of the </w:t>
      </w:r>
      <w:r w:rsidRPr="001B02D7">
        <w:t xml:space="preserve">Australian Government’s response to the </w:t>
      </w:r>
      <w:r>
        <w:t>2009 Productivity Commission Review of the Regulatory Burden on the Upstream Petroleum (Oil and Gas)</w:t>
      </w:r>
      <w:r w:rsidR="00EA19AB">
        <w:t>.</w:t>
      </w:r>
    </w:p>
    <w:p w:rsidR="008F44DD" w:rsidRDefault="008831FC" w:rsidP="008F44DD">
      <w:r>
        <w:t xml:space="preserve">The </w:t>
      </w:r>
      <w:r w:rsidR="008F44DD">
        <w:t xml:space="preserve">Terms of Reference </w:t>
      </w:r>
      <w:r w:rsidR="00A26954">
        <w:t xml:space="preserve">for the </w:t>
      </w:r>
      <w:r w:rsidR="00E603B3">
        <w:t xml:space="preserve">2015 </w:t>
      </w:r>
      <w:r w:rsidR="00A26954">
        <w:t xml:space="preserve">Review </w:t>
      </w:r>
      <w:r w:rsidR="0003256E">
        <w:t>are a</w:t>
      </w:r>
      <w:r w:rsidR="0080354E">
        <w:t xml:space="preserve">t </w:t>
      </w:r>
      <w:r w:rsidR="0080354E" w:rsidRPr="0080354E">
        <w:rPr>
          <w:b/>
        </w:rPr>
        <w:t>Appendix A</w:t>
      </w:r>
      <w:r>
        <w:rPr>
          <w:b/>
        </w:rPr>
        <w:t>.</w:t>
      </w:r>
    </w:p>
    <w:p w:rsidR="00C32BAB" w:rsidRDefault="00C32BAB" w:rsidP="00667111">
      <w:pPr>
        <w:ind w:right="-188"/>
      </w:pPr>
      <w:r>
        <w:t xml:space="preserve">The 2015 Review made 12 recommendations that increase transparency of the decision </w:t>
      </w:r>
      <w:r w:rsidR="00364C58">
        <w:t xml:space="preserve">making </w:t>
      </w:r>
      <w:r>
        <w:t>process of the Joint Authority including timing on title related matters; building on the effectiveness of the National Electronic Approvals Tracking system (NEATS) system and expanding its functionality</w:t>
      </w:r>
      <w:r w:rsidR="00667111">
        <w:t>;</w:t>
      </w:r>
      <w:r w:rsidRPr="004170DD">
        <w:t xml:space="preserve"> </w:t>
      </w:r>
      <w:r w:rsidRPr="00FD0D18">
        <w:t>formalis</w:t>
      </w:r>
      <w:r>
        <w:t xml:space="preserve">ation of </w:t>
      </w:r>
      <w:r w:rsidRPr="00FD0D18">
        <w:t xml:space="preserve">communications with the industry regulatory body </w:t>
      </w:r>
      <w:r>
        <w:t xml:space="preserve">National Offshore Petroleum Safety and Environmental Management Authority (NOPSEMA); and </w:t>
      </w:r>
      <w:r w:rsidR="00DF6957">
        <w:t>the establishment of a single offshore titles administrative framework</w:t>
      </w:r>
      <w:r>
        <w:t>.</w:t>
      </w:r>
    </w:p>
    <w:p w:rsidR="00667111" w:rsidRDefault="006B7D28" w:rsidP="004B7752">
      <w:r>
        <w:t xml:space="preserve">Overall the </w:t>
      </w:r>
      <w:r w:rsidR="00E603B3">
        <w:t xml:space="preserve">2015 </w:t>
      </w:r>
      <w:r>
        <w:t xml:space="preserve">Review </w:t>
      </w:r>
      <w:r w:rsidR="005F4E65">
        <w:t xml:space="preserve">found </w:t>
      </w:r>
      <w:r w:rsidR="008831FC">
        <w:t>th</w:t>
      </w:r>
      <w:r w:rsidR="007632B1">
        <w:t>at</w:t>
      </w:r>
      <w:r w:rsidR="008831FC">
        <w:t xml:space="preserve"> </w:t>
      </w:r>
      <w:r w:rsidR="005F4E65">
        <w:t>NOPTA is</w:t>
      </w:r>
      <w:r w:rsidR="005F4E65" w:rsidRPr="001B02D7">
        <w:t xml:space="preserve"> contributing to the efficiency of the decision making by </w:t>
      </w:r>
      <w:r>
        <w:t xml:space="preserve">the </w:t>
      </w:r>
      <w:r w:rsidR="005F4E65" w:rsidRPr="001B02D7">
        <w:t>Joint Authority</w:t>
      </w:r>
      <w:r>
        <w:t xml:space="preserve"> and concluded that</w:t>
      </w:r>
      <w:r w:rsidR="00FD0D18">
        <w:t xml:space="preserve"> its establishment and </w:t>
      </w:r>
      <w:r w:rsidR="004B7752" w:rsidRPr="001B02D7">
        <w:t>subsequent operations have</w:t>
      </w:r>
      <w:r>
        <w:t>,</w:t>
      </w:r>
      <w:r w:rsidR="004B7752" w:rsidRPr="001B02D7">
        <w:t xml:space="preserve"> to a large extent</w:t>
      </w:r>
      <w:r>
        <w:t>,</w:t>
      </w:r>
      <w:r w:rsidR="004B7752" w:rsidRPr="001B02D7">
        <w:t xml:space="preserve"> met the Australian Government’s response to the </w:t>
      </w:r>
      <w:r w:rsidR="005050FD">
        <w:t>2009 Productivity Commission Review</w:t>
      </w:r>
      <w:r w:rsidR="00D43E8D">
        <w:t>.</w:t>
      </w:r>
      <w:r w:rsidR="005050FD" w:rsidRPr="005050FD">
        <w:t xml:space="preserve"> </w:t>
      </w:r>
      <w:r w:rsidR="00BB1248">
        <w:t xml:space="preserve">It also found that, as a cost recovery agency, NOPTA provides its </w:t>
      </w:r>
      <w:r w:rsidR="00BB1248" w:rsidRPr="002C6B06">
        <w:t>function</w:t>
      </w:r>
      <w:r w:rsidR="00BB1248">
        <w:t>s</w:t>
      </w:r>
      <w:r w:rsidR="00BB1248" w:rsidRPr="002C6B06">
        <w:t xml:space="preserve"> at a reasonable cost</w:t>
      </w:r>
      <w:r w:rsidR="00BB1248">
        <w:t xml:space="preserve"> and that </w:t>
      </w:r>
      <w:r w:rsidR="00BB1248" w:rsidRPr="002C6B06">
        <w:t>its fee structure is appropriate</w:t>
      </w:r>
      <w:r w:rsidR="00BB1248">
        <w:t>,</w:t>
      </w:r>
      <w:r w:rsidR="00BB1248" w:rsidRPr="002C6B06">
        <w:t xml:space="preserve"> and not a barrier to the offshore petroleum industry entering or exiting </w:t>
      </w:r>
      <w:r w:rsidR="00667111" w:rsidRPr="002C6B06">
        <w:t>Australia</w:t>
      </w:r>
      <w:r w:rsidR="00667111">
        <w:t>.</w:t>
      </w:r>
    </w:p>
    <w:p w:rsidR="004B7752" w:rsidRDefault="00667111" w:rsidP="004B7752">
      <w:r>
        <w:t>The</w:t>
      </w:r>
      <w:r w:rsidR="004C36D0">
        <w:t xml:space="preserve"> </w:t>
      </w:r>
      <w:r w:rsidR="007632B1">
        <w:t xml:space="preserve">Australian </w:t>
      </w:r>
      <w:r w:rsidR="00D43E8D">
        <w:t>Government</w:t>
      </w:r>
      <w:r w:rsidR="007632B1">
        <w:t xml:space="preserve"> </w:t>
      </w:r>
      <w:r w:rsidR="00D268BE">
        <w:t>is</w:t>
      </w:r>
      <w:r w:rsidR="004C36D0">
        <w:t xml:space="preserve"> commit</w:t>
      </w:r>
      <w:r w:rsidR="007632B1">
        <w:t>ted</w:t>
      </w:r>
      <w:r w:rsidR="004C36D0">
        <w:t xml:space="preserve"> to</w:t>
      </w:r>
      <w:r w:rsidR="00D43E8D">
        <w:t xml:space="preserve"> the leading-practice approach which separates policy and regulatory administration</w:t>
      </w:r>
      <w:r w:rsidR="00726704">
        <w:t xml:space="preserve"> </w:t>
      </w:r>
      <w:r w:rsidR="007632B1">
        <w:t xml:space="preserve">which is reflected in a </w:t>
      </w:r>
      <w:r w:rsidR="00D43E8D">
        <w:t xml:space="preserve">sound governance model for the administration of titles. </w:t>
      </w:r>
      <w:r w:rsidR="007632B1">
        <w:t xml:space="preserve">NOPTA’s </w:t>
      </w:r>
      <w:r w:rsidR="00136063">
        <w:t>capacity as a</w:t>
      </w:r>
      <w:r w:rsidR="007632B1">
        <w:t xml:space="preserve"> titles administrat</w:t>
      </w:r>
      <w:r w:rsidR="00136063">
        <w:t>or</w:t>
      </w:r>
      <w:r w:rsidR="007632B1">
        <w:t xml:space="preserve"> is reflected in its strong relationships with stakeholders</w:t>
      </w:r>
      <w:r w:rsidR="00C409AB">
        <w:t xml:space="preserve">. Strengthening the relationship with NOPSEMA provides </w:t>
      </w:r>
      <w:r w:rsidR="008520B0">
        <w:t xml:space="preserve">an </w:t>
      </w:r>
      <w:r w:rsidR="00C409AB">
        <w:t>opportunit</w:t>
      </w:r>
      <w:r w:rsidR="008520B0">
        <w:t>y</w:t>
      </w:r>
      <w:r w:rsidR="00C409AB">
        <w:t xml:space="preserve"> to share information which might be beneficial to improv</w:t>
      </w:r>
      <w:r w:rsidR="008520B0">
        <w:t>ing</w:t>
      </w:r>
      <w:r w:rsidR="00C409AB">
        <w:t xml:space="preserve"> delivery of services to industry and reduc</w:t>
      </w:r>
      <w:r w:rsidR="00D92F9A">
        <w:t>e</w:t>
      </w:r>
      <w:r w:rsidR="00C409AB">
        <w:t xml:space="preserve"> the regulatory burden for the sector without compromising the independence of </w:t>
      </w:r>
      <w:r w:rsidR="001354BB">
        <w:t>either</w:t>
      </w:r>
      <w:r w:rsidR="00C409AB">
        <w:t xml:space="preserve"> organisation. </w:t>
      </w:r>
    </w:p>
    <w:p w:rsidR="00286B3F" w:rsidRPr="00D538E3" w:rsidRDefault="001E128B" w:rsidP="00CB6384">
      <w:r>
        <w:t xml:space="preserve">The Government has examined each of the 12 recommendations </w:t>
      </w:r>
      <w:r w:rsidR="009F7F05">
        <w:t>and</w:t>
      </w:r>
      <w:r w:rsidR="00531FA7">
        <w:t xml:space="preserve"> has </w:t>
      </w:r>
      <w:r w:rsidR="00E1502F">
        <w:t xml:space="preserve">noted </w:t>
      </w:r>
      <w:r w:rsidR="00AC04B3">
        <w:t>s</w:t>
      </w:r>
      <w:r w:rsidR="008520B0">
        <w:t>ix,</w:t>
      </w:r>
      <w:r w:rsidR="00E1502F">
        <w:t xml:space="preserve"> </w:t>
      </w:r>
      <w:r w:rsidR="00531FA7">
        <w:t xml:space="preserve">accepted </w:t>
      </w:r>
      <w:r w:rsidR="00AC04B3">
        <w:t>five</w:t>
      </w:r>
      <w:r w:rsidR="008520B0">
        <w:t xml:space="preserve"> and agreed in principle with one</w:t>
      </w:r>
      <w:r w:rsidR="00586B8F">
        <w:t>.</w:t>
      </w:r>
      <w:r w:rsidR="00CB6384" w:rsidRPr="00CB6384">
        <w:t xml:space="preserve"> </w:t>
      </w:r>
      <w:r w:rsidR="003F29E2" w:rsidRPr="003F29E2">
        <w:t xml:space="preserve">Implementing </w:t>
      </w:r>
      <w:r w:rsidR="00286B3F">
        <w:t xml:space="preserve">eight </w:t>
      </w:r>
      <w:r w:rsidR="008409DA">
        <w:t xml:space="preserve">of the recommendations </w:t>
      </w:r>
      <w:r w:rsidR="003F29E2" w:rsidRPr="003F29E2">
        <w:t xml:space="preserve">is the responsibility </w:t>
      </w:r>
      <w:r w:rsidR="003F29E2">
        <w:t>of Resources Division in the Department of Industry</w:t>
      </w:r>
      <w:r w:rsidR="00462935">
        <w:t>, Innovation</w:t>
      </w:r>
      <w:r w:rsidR="003F29E2">
        <w:t xml:space="preserve"> and Science</w:t>
      </w:r>
      <w:r w:rsidR="00286B3F">
        <w:t>,</w:t>
      </w:r>
      <w:r w:rsidR="008409DA">
        <w:t xml:space="preserve"> </w:t>
      </w:r>
      <w:r w:rsidR="00286B3F">
        <w:t>two</w:t>
      </w:r>
      <w:r w:rsidR="008409DA">
        <w:t xml:space="preserve"> </w:t>
      </w:r>
      <w:r w:rsidR="00286B3F">
        <w:t>are</w:t>
      </w:r>
      <w:r w:rsidR="008409DA">
        <w:t xml:space="preserve"> the responsibility of the Titles Administrator </w:t>
      </w:r>
      <w:r w:rsidR="00286B3F">
        <w:t xml:space="preserve">and one is the responsibility of the Titles Administrator </w:t>
      </w:r>
      <w:r w:rsidR="008409DA">
        <w:t>working with the Chief Executive Officer of NOPSEMA</w:t>
      </w:r>
      <w:r w:rsidR="008F4913">
        <w:t xml:space="preserve">. </w:t>
      </w:r>
      <w:r w:rsidR="00286B3F">
        <w:t xml:space="preserve">One recommendation is not being pursued by the Government at this time. </w:t>
      </w:r>
      <w:r w:rsidR="00DE18BF">
        <w:t xml:space="preserve">Where </w:t>
      </w:r>
      <w:r w:rsidR="00DE18BF" w:rsidRPr="00D538E3">
        <w:t xml:space="preserve">appropriate, recommendations will be progressed in consultation with </w:t>
      </w:r>
      <w:r w:rsidR="00D538E3" w:rsidRPr="00D538E3">
        <w:t xml:space="preserve">relevant </w:t>
      </w:r>
      <w:r w:rsidR="00DE18BF" w:rsidRPr="00D538E3">
        <w:t>states and the Northern Territory.</w:t>
      </w:r>
    </w:p>
    <w:p w:rsidR="00CB6384" w:rsidRDefault="003F29E2" w:rsidP="00CB6384">
      <w:r>
        <w:t xml:space="preserve">A progress report on implementation of the Government’s response to the 2015 Review will be provided to the responsible Commonwealth Minister by 31 August 2016. </w:t>
      </w:r>
      <w:r w:rsidR="00CB6384">
        <w:t>A</w:t>
      </w:r>
      <w:r w:rsidR="00CB6384" w:rsidRPr="004F60F7">
        <w:t xml:space="preserve">n implementation plan to progress the accepted </w:t>
      </w:r>
      <w:r w:rsidR="00CB6384">
        <w:t xml:space="preserve">recommendations is at </w:t>
      </w:r>
      <w:r w:rsidR="00CB6384" w:rsidRPr="0046243E">
        <w:rPr>
          <w:b/>
        </w:rPr>
        <w:t xml:space="preserve">Appendix </w:t>
      </w:r>
      <w:r w:rsidR="008409DA">
        <w:rPr>
          <w:b/>
        </w:rPr>
        <w:t>B</w:t>
      </w:r>
      <w:r w:rsidR="000A5FCC">
        <w:rPr>
          <w:b/>
        </w:rPr>
        <w:t>.</w:t>
      </w:r>
    </w:p>
    <w:p w:rsidR="008F44DD" w:rsidRDefault="004F6449" w:rsidP="008F44DD">
      <w:pPr>
        <w:pStyle w:val="Heading2"/>
      </w:pPr>
      <w:bookmarkStart w:id="7" w:name="_Toc428443486"/>
      <w:bookmarkStart w:id="8" w:name="_Toc429659489"/>
      <w:r>
        <w:lastRenderedPageBreak/>
        <w:t>Introd</w:t>
      </w:r>
      <w:r w:rsidR="008F44DD">
        <w:t>uction</w:t>
      </w:r>
      <w:bookmarkEnd w:id="7"/>
      <w:bookmarkEnd w:id="8"/>
    </w:p>
    <w:p w:rsidR="004F6449" w:rsidRPr="00B42381" w:rsidRDefault="004F6449" w:rsidP="00B42381">
      <w:pPr>
        <w:pStyle w:val="Heading3"/>
      </w:pPr>
      <w:bookmarkStart w:id="9" w:name="_Toc428443487"/>
      <w:bookmarkStart w:id="10" w:name="_Toc429659490"/>
      <w:r w:rsidRPr="00B42381">
        <w:t>Regulatory regime</w:t>
      </w:r>
      <w:bookmarkEnd w:id="9"/>
      <w:bookmarkEnd w:id="10"/>
    </w:p>
    <w:p w:rsidR="00283022" w:rsidRDefault="008F44DD" w:rsidP="00283022">
      <w:r>
        <w:t xml:space="preserve">Offshore petroleum operations in Commonwealth waters are governed by the </w:t>
      </w:r>
      <w:r w:rsidR="00283022" w:rsidRPr="00A26954">
        <w:rPr>
          <w:rStyle w:val="Emphasis"/>
        </w:rPr>
        <w:t>Offshore Petroleum and Greenhouse Gas Storage Act 2006</w:t>
      </w:r>
      <w:r w:rsidR="00283022" w:rsidRPr="00722429">
        <w:t xml:space="preserve"> (OPGGS</w:t>
      </w:r>
      <w:r w:rsidR="00283022">
        <w:t xml:space="preserve"> </w:t>
      </w:r>
      <w:r w:rsidR="00283022" w:rsidRPr="00722429">
        <w:t>A</w:t>
      </w:r>
      <w:r w:rsidR="00283022">
        <w:t>ct</w:t>
      </w:r>
      <w:r w:rsidR="00283022" w:rsidRPr="00722429">
        <w:t>)</w:t>
      </w:r>
      <w:r w:rsidR="00283022">
        <w:t xml:space="preserve"> </w:t>
      </w:r>
      <w:r>
        <w:t>an</w:t>
      </w:r>
      <w:r w:rsidR="00EA19AB">
        <w:t>d related Acts and Regulations.</w:t>
      </w:r>
    </w:p>
    <w:p w:rsidR="00283022" w:rsidRDefault="00283022" w:rsidP="00283022">
      <w:r>
        <w:t>Australia’s offshore petroleum and greenhouse gas legislation, regulations and guidelines provide for the orderly exploration for</w:t>
      </w:r>
      <w:r w:rsidR="00A26964">
        <w:t>,</w:t>
      </w:r>
      <w:r>
        <w:t xml:space="preserve"> and production of</w:t>
      </w:r>
      <w:r w:rsidR="00A26964">
        <w:t>,</w:t>
      </w:r>
      <w:r>
        <w:t xml:space="preserve"> petroleum and greenhouse gas resources, and sets out a framework of rights, entitlements and responsibilities of government and industry.</w:t>
      </w:r>
    </w:p>
    <w:p w:rsidR="00C409AB" w:rsidRDefault="00283022" w:rsidP="00283022">
      <w:r>
        <w:t>Ultimate responsibility for Australia's offshore areas, beyond three nautical miles from the territorial sea baseline, rests with the Commonwealth</w:t>
      </w:r>
      <w:r w:rsidR="00D268BE">
        <w:t>.</w:t>
      </w:r>
      <w:r w:rsidR="00D92F9A">
        <w:t xml:space="preserve"> Responsibility for petroleum operations </w:t>
      </w:r>
      <w:r>
        <w:t>onshore</w:t>
      </w:r>
      <w:r w:rsidR="00D92F9A">
        <w:t>,</w:t>
      </w:r>
      <w:r>
        <w:t xml:space="preserve"> and as far as three nautical miles seaward of the baseline (referred to as 'coastal waters')</w:t>
      </w:r>
      <w:r w:rsidR="00D92F9A">
        <w:t>,</w:t>
      </w:r>
      <w:r>
        <w:t xml:space="preserve"> </w:t>
      </w:r>
      <w:r w:rsidR="00D92F9A">
        <w:t>rests with</w:t>
      </w:r>
      <w:r>
        <w:t xml:space="preserve"> the individual state and territory governments.</w:t>
      </w:r>
    </w:p>
    <w:p w:rsidR="00283022" w:rsidRPr="006A2E85" w:rsidRDefault="008F44DD" w:rsidP="00283022">
      <w:r>
        <w:t>Within this legal framework, Australian Government entities administer the regulatory regime together with state and Northern Territory government</w:t>
      </w:r>
      <w:r w:rsidR="009F7F05">
        <w:t>s</w:t>
      </w:r>
      <w:r>
        <w:t xml:space="preserve"> through Joint Authority arrangements.</w:t>
      </w:r>
      <w:r w:rsidR="00283022" w:rsidRPr="00283022">
        <w:t xml:space="preserve"> </w:t>
      </w:r>
      <w:r w:rsidR="00283022" w:rsidRPr="001F6BF1">
        <w:t>The Joint Authorities for the offshore area of each state</w:t>
      </w:r>
      <w:r w:rsidR="001F6654">
        <w:t xml:space="preserve"> (except Tasmania)</w:t>
      </w:r>
      <w:r w:rsidR="00283022" w:rsidRPr="001F6BF1">
        <w:t xml:space="preserve"> and the Northern Territory comprise the </w:t>
      </w:r>
      <w:r w:rsidR="00364C58">
        <w:t>r</w:t>
      </w:r>
      <w:r w:rsidR="00283022" w:rsidRPr="001F6BF1">
        <w:t xml:space="preserve">esponsible Commonwealth Minister and the relevant state and Northern Territory Minister. The </w:t>
      </w:r>
      <w:r w:rsidR="00364C58">
        <w:t>re</w:t>
      </w:r>
      <w:r w:rsidR="00283022" w:rsidRPr="001F6BF1">
        <w:t xml:space="preserve">sponsible Commonwealth Minister is the Joint Authority for the offshore areas of the External Territories and </w:t>
      </w:r>
      <w:r w:rsidR="00283022" w:rsidRPr="006A2E85">
        <w:t>Eastern Greater Sunrise.</w:t>
      </w:r>
    </w:p>
    <w:p w:rsidR="00854E89" w:rsidRPr="00234CED" w:rsidRDefault="002D037D" w:rsidP="00283022">
      <w:r w:rsidRPr="00234CED">
        <w:t>During the 2011 offshore regulatory reform process</w:t>
      </w:r>
      <w:r w:rsidR="00854E89" w:rsidRPr="00234CED">
        <w:t xml:space="preserve"> Tasmania </w:t>
      </w:r>
      <w:r w:rsidRPr="00234CED">
        <w:t xml:space="preserve">chose to </w:t>
      </w:r>
      <w:r w:rsidR="00854E89" w:rsidRPr="00234CED">
        <w:t>opt out of the Joint Authority arrangements for the offshore Tasmanian area</w:t>
      </w:r>
      <w:r w:rsidR="008F4913">
        <w:t xml:space="preserve">. </w:t>
      </w:r>
      <w:r w:rsidRPr="00234CED">
        <w:t xml:space="preserve">As a result the </w:t>
      </w:r>
      <w:r w:rsidR="00364C58">
        <w:t>r</w:t>
      </w:r>
      <w:r w:rsidR="00854E89" w:rsidRPr="00234CED">
        <w:t>esponsible Commonwealth Minister now solely constitutes the Joint Authority for the purposes of making decisions for the offshore Tasmanian area.</w:t>
      </w:r>
    </w:p>
    <w:p w:rsidR="00283022" w:rsidRDefault="00283022" w:rsidP="00283022">
      <w:r>
        <w:t>The Joint Authority makes the major decisions under the OPGGS Act concerning offshore petroleum titles</w:t>
      </w:r>
      <w:r w:rsidR="004F4138">
        <w:t>,</w:t>
      </w:r>
      <w:r>
        <w:t xml:space="preserve"> resource management and resource security. Key functions and powers </w:t>
      </w:r>
      <w:r w:rsidR="00EA19AB">
        <w:t>of the Joint Authority include:</w:t>
      </w:r>
    </w:p>
    <w:p w:rsidR="00283022" w:rsidRDefault="00283022" w:rsidP="00A26964">
      <w:pPr>
        <w:pStyle w:val="ListParagraph"/>
        <w:numPr>
          <w:ilvl w:val="0"/>
          <w:numId w:val="46"/>
        </w:numPr>
      </w:pPr>
      <w:r>
        <w:t>the release of offshore petroleum exploration areas</w:t>
      </w:r>
    </w:p>
    <w:p w:rsidR="00283022" w:rsidRDefault="004F4138" w:rsidP="00A26964">
      <w:pPr>
        <w:pStyle w:val="ListParagraph"/>
        <w:numPr>
          <w:ilvl w:val="0"/>
          <w:numId w:val="46"/>
        </w:numPr>
      </w:pPr>
      <w:r>
        <w:t>decisions relating to</w:t>
      </w:r>
      <w:r w:rsidR="00283022">
        <w:t xml:space="preserve"> industry bids for these areas</w:t>
      </w:r>
    </w:p>
    <w:p w:rsidR="00283022" w:rsidRDefault="00283022" w:rsidP="00A26964">
      <w:pPr>
        <w:pStyle w:val="ListParagraph"/>
        <w:numPr>
          <w:ilvl w:val="0"/>
          <w:numId w:val="46"/>
        </w:numPr>
      </w:pPr>
      <w:r>
        <w:t>granting (or refusal) and renewal of offshore petroleum titles</w:t>
      </w:r>
    </w:p>
    <w:p w:rsidR="00283022" w:rsidRDefault="00283022" w:rsidP="00A26964">
      <w:pPr>
        <w:pStyle w:val="ListParagraph"/>
        <w:numPr>
          <w:ilvl w:val="0"/>
          <w:numId w:val="46"/>
        </w:numPr>
      </w:pPr>
      <w:r>
        <w:t>variation of title conditions</w:t>
      </w:r>
    </w:p>
    <w:p w:rsidR="00283022" w:rsidRDefault="00283022" w:rsidP="00A26964">
      <w:pPr>
        <w:pStyle w:val="ListParagraph"/>
        <w:numPr>
          <w:ilvl w:val="0"/>
          <w:numId w:val="46"/>
        </w:numPr>
      </w:pPr>
      <w:r>
        <w:t>suspension and extension to title terms</w:t>
      </w:r>
    </w:p>
    <w:p w:rsidR="00283022" w:rsidRDefault="00283022" w:rsidP="00A26964">
      <w:pPr>
        <w:pStyle w:val="ListParagraph"/>
        <w:numPr>
          <w:ilvl w:val="0"/>
          <w:numId w:val="46"/>
        </w:numPr>
      </w:pPr>
      <w:proofErr w:type="gramStart"/>
      <w:r>
        <w:t>cancellation</w:t>
      </w:r>
      <w:proofErr w:type="gramEnd"/>
      <w:r>
        <w:t xml:space="preserve"> of titles.</w:t>
      </w:r>
    </w:p>
    <w:p w:rsidR="00283022" w:rsidRDefault="00283022" w:rsidP="00283022">
      <w:r>
        <w:t xml:space="preserve">Up until 1 January 2012, the day to day administration of Australia’s offshore petroleum regime </w:t>
      </w:r>
      <w:r w:rsidR="00672E50">
        <w:t xml:space="preserve">was </w:t>
      </w:r>
      <w:r w:rsidR="00233269">
        <w:t xml:space="preserve">overseen </w:t>
      </w:r>
      <w:r w:rsidR="00672E50">
        <w:t>by</w:t>
      </w:r>
      <w:r w:rsidR="00D268BE">
        <w:t xml:space="preserve"> </w:t>
      </w:r>
      <w:r w:rsidR="00A90A36">
        <w:t>the relevant s</w:t>
      </w:r>
      <w:r>
        <w:t xml:space="preserve">tate/Territory government for each </w:t>
      </w:r>
      <w:r w:rsidR="00854E89">
        <w:t xml:space="preserve">of the seven </w:t>
      </w:r>
      <w:r>
        <w:t>offshore area</w:t>
      </w:r>
      <w:r w:rsidR="00854E89">
        <w:t>s</w:t>
      </w:r>
      <w:r w:rsidR="00233269">
        <w:t xml:space="preserve">, known as </w:t>
      </w:r>
      <w:r w:rsidR="004F4138">
        <w:t xml:space="preserve">the </w:t>
      </w:r>
      <w:r w:rsidR="00233269">
        <w:t>Designated</w:t>
      </w:r>
      <w:r w:rsidR="004F4138">
        <w:t xml:space="preserve"> Authority</w:t>
      </w:r>
      <w:r w:rsidR="00C6500F">
        <w:t xml:space="preserve"> for each of those areas</w:t>
      </w:r>
      <w:r>
        <w:t>. However, in response to the 2009 Productivity Commission Review of the Regulatory Burden on the Upstream Petroleum (Oil and Gas) Sector,</w:t>
      </w:r>
      <w:r w:rsidR="00233269">
        <w:t xml:space="preserve"> </w:t>
      </w:r>
      <w:r w:rsidR="00C6500F">
        <w:t xml:space="preserve">and </w:t>
      </w:r>
      <w:r w:rsidR="00233269">
        <w:t xml:space="preserve">given further impetus from </w:t>
      </w:r>
      <w:r>
        <w:t xml:space="preserve">the </w:t>
      </w:r>
      <w:r w:rsidR="00233269">
        <w:t xml:space="preserve">findings of the </w:t>
      </w:r>
      <w:r>
        <w:t>2010 Report of the Montara Commission of Inquiry</w:t>
      </w:r>
      <w:r w:rsidR="00233269">
        <w:t>,</w:t>
      </w:r>
      <w:r>
        <w:t xml:space="preserve"> the Australian Government implemented a range of regulatory and administrative reforms to Australi</w:t>
      </w:r>
      <w:r w:rsidR="000A5FCC">
        <w:t>a’s offshore petroleum regime.</w:t>
      </w:r>
    </w:p>
    <w:p w:rsidR="00D268BE" w:rsidRDefault="00D268BE" w:rsidP="00D268BE">
      <w:r>
        <w:t>The changes, which came into effect on 1 January 2012, included the establishment of National Offshore Petroleum Titles Administrator (NOPTA), responsible for the administration of all petroleum titles in Commonwealth waters</w:t>
      </w:r>
      <w:r w:rsidR="00C6500F">
        <w:t xml:space="preserve"> and the consequent abolition of the seven Designated Authorities</w:t>
      </w:r>
      <w:r>
        <w:t>, and the expansion of the National Offshore Petroleum Safety Authority to the National Offshore Petroleum Safety and Environmental Management Authority (NOPSEMA) with responsibility for occupational health and safety; integrity of facilities; environmental management; and day-to-day petroleum operations in Commonwealth offshore areas.</w:t>
      </w:r>
    </w:p>
    <w:p w:rsidR="004F6449" w:rsidRDefault="004F6449" w:rsidP="00B42381">
      <w:pPr>
        <w:pStyle w:val="Heading3"/>
      </w:pPr>
      <w:bookmarkStart w:id="11" w:name="_Toc428443488"/>
      <w:bookmarkStart w:id="12" w:name="_Toc429659491"/>
      <w:r>
        <w:t>Role of NOPTA</w:t>
      </w:r>
      <w:bookmarkEnd w:id="11"/>
      <w:bookmarkEnd w:id="12"/>
    </w:p>
    <w:p w:rsidR="008F44DD" w:rsidRDefault="00EF06E0" w:rsidP="008F44DD">
      <w:r>
        <w:t xml:space="preserve">Established under the OPGGS Act, NOPTA </w:t>
      </w:r>
      <w:r w:rsidR="008F44DD">
        <w:t>is responsible for the day-to-day administration of petroleum and greenhouse gas titles in Co</w:t>
      </w:r>
      <w:r w:rsidR="004F6449">
        <w:t>mmonwealth waters in Australia.</w:t>
      </w:r>
      <w:r w:rsidR="00396B9C" w:rsidRPr="00396B9C">
        <w:t xml:space="preserve"> </w:t>
      </w:r>
      <w:r w:rsidR="00396B9C">
        <w:t xml:space="preserve">The Titles Administrator is </w:t>
      </w:r>
      <w:r w:rsidR="00396B9C">
        <w:lastRenderedPageBreak/>
        <w:t>a statutory appointment which also holds the role of General Manager in the Department of Industry</w:t>
      </w:r>
      <w:r w:rsidR="00462935">
        <w:t>, Innovation</w:t>
      </w:r>
      <w:r w:rsidR="00396B9C">
        <w:t xml:space="preserve"> and Science.</w:t>
      </w:r>
    </w:p>
    <w:p w:rsidR="008F44DD" w:rsidRDefault="008F44DD" w:rsidP="008F44DD">
      <w:r>
        <w:t>NOPTA's key functions are to:</w:t>
      </w:r>
    </w:p>
    <w:p w:rsidR="008F44DD" w:rsidRPr="00DF6957" w:rsidRDefault="008F44DD" w:rsidP="00C409AB">
      <w:pPr>
        <w:pStyle w:val="ListParagraph"/>
        <w:numPr>
          <w:ilvl w:val="0"/>
          <w:numId w:val="23"/>
        </w:numPr>
        <w:ind w:left="714" w:hanging="357"/>
        <w:contextualSpacing w:val="0"/>
      </w:pPr>
      <w:r w:rsidRPr="00DF6957">
        <w:t xml:space="preserve">provide information, assessments, analysis, reports, advice and recommendations to </w:t>
      </w:r>
      <w:r w:rsidR="00A90A36">
        <w:t>the responsible s</w:t>
      </w:r>
      <w:r w:rsidR="00C6500F" w:rsidRPr="00DF6957">
        <w:t xml:space="preserve">tate or Northern Territory Minister, of a Joint Authority, </w:t>
      </w:r>
      <w:r w:rsidRPr="00DF6957">
        <w:t xml:space="preserve">and the responsible Commonwealth Minister </w:t>
      </w:r>
      <w:r w:rsidR="00C6500F" w:rsidRPr="00DF6957">
        <w:t>in relation to the performance of the functions, or exercise of the powers, of the Joint Authority; and to the responsible Commonwealth Minister under the OPGGS Act or regulation other than in his or her capacity as, or as a member of a Joint Authority.</w:t>
      </w:r>
    </w:p>
    <w:p w:rsidR="008F44DD" w:rsidRPr="00DF6957" w:rsidRDefault="008F44DD" w:rsidP="00C409AB">
      <w:pPr>
        <w:pStyle w:val="ListParagraph"/>
        <w:numPr>
          <w:ilvl w:val="0"/>
          <w:numId w:val="23"/>
        </w:numPr>
        <w:ind w:left="714" w:hanging="357"/>
        <w:contextualSpacing w:val="0"/>
      </w:pPr>
      <w:r w:rsidRPr="00DF6957">
        <w:t>facilitate life of title administration, including but not limited to Joint Authority consideration of changes to permit conditions, and approval and registration of transfers and dealings associated with offshore petroleum titles</w:t>
      </w:r>
    </w:p>
    <w:p w:rsidR="008F44DD" w:rsidRPr="00DF6957" w:rsidRDefault="008F44DD" w:rsidP="00C409AB">
      <w:pPr>
        <w:pStyle w:val="ListParagraph"/>
        <w:numPr>
          <w:ilvl w:val="0"/>
          <w:numId w:val="23"/>
        </w:numPr>
        <w:ind w:left="714" w:hanging="357"/>
        <w:contextualSpacing w:val="0"/>
      </w:pPr>
      <w:r w:rsidRPr="00DF6957">
        <w:t>manage the collection, management and release of data</w:t>
      </w:r>
    </w:p>
    <w:p w:rsidR="008F44DD" w:rsidRPr="00DF6957" w:rsidRDefault="008F44DD" w:rsidP="004B5AAE">
      <w:pPr>
        <w:pStyle w:val="ListParagraph"/>
        <w:numPr>
          <w:ilvl w:val="0"/>
          <w:numId w:val="23"/>
        </w:numPr>
      </w:pPr>
      <w:proofErr w:type="gramStart"/>
      <w:r w:rsidRPr="00DF6957">
        <w:t>oversee</w:t>
      </w:r>
      <w:proofErr w:type="gramEnd"/>
      <w:r w:rsidRPr="00DF6957">
        <w:t xml:space="preserve"> the keeping of the registers of petroleum and greenhouse gas storage titles.</w:t>
      </w:r>
    </w:p>
    <w:p w:rsidR="008F44DD" w:rsidRDefault="00CC1251" w:rsidP="008F44DD">
      <w:r>
        <w:t xml:space="preserve">NOPTA’s </w:t>
      </w:r>
      <w:r w:rsidR="008F44DD">
        <w:t xml:space="preserve">operating costs </w:t>
      </w:r>
      <w:r>
        <w:t xml:space="preserve">are </w:t>
      </w:r>
      <w:r w:rsidR="008F44DD">
        <w:t>recovered through a range of levies and fees imposed on the offshore petroleum and greenhouse gas storage industries.</w:t>
      </w:r>
    </w:p>
    <w:p w:rsidR="00CC1251" w:rsidRDefault="00CC1251" w:rsidP="00CC1251">
      <w:r>
        <w:t xml:space="preserve">NOPTA is the technical advisor to </w:t>
      </w:r>
      <w:r w:rsidR="003B2AD4">
        <w:t>both the Commonwealth and state/t</w:t>
      </w:r>
      <w:r>
        <w:t>erritory Ministers and their respective delegates</w:t>
      </w:r>
      <w:r w:rsidR="00396B9C">
        <w:t xml:space="preserve"> and provides that advice</w:t>
      </w:r>
      <w:r>
        <w:t xml:space="preserve"> consistent w</w:t>
      </w:r>
      <w:r w:rsidR="004F6449">
        <w:t xml:space="preserve">ith its statutory obligations. The Joint Authority is not compelled to accept NOPTA’s advice. </w:t>
      </w:r>
      <w:r w:rsidR="00276AC1">
        <w:t xml:space="preserve">NOPTA also advises the Joint Authority in relation to resource management issues and monitors titleholders’ compliance with regulatory obligations. </w:t>
      </w:r>
      <w:r>
        <w:t>NOPTA is also responsible for the receipt and management of confidential data from th</w:t>
      </w:r>
      <w:r w:rsidR="004F6449">
        <w:t xml:space="preserve">e offshore petroleum </w:t>
      </w:r>
      <w:r w:rsidR="00B26FB2">
        <w:t>sector</w:t>
      </w:r>
      <w:r w:rsidR="004F6449">
        <w:t>.</w:t>
      </w:r>
    </w:p>
    <w:p w:rsidR="00B42381" w:rsidRPr="00EA19AB" w:rsidRDefault="00B42381">
      <w:pPr>
        <w:spacing w:after="200"/>
      </w:pPr>
      <w:r>
        <w:br w:type="page"/>
      </w:r>
      <w:bookmarkStart w:id="13" w:name="_GoBack"/>
      <w:bookmarkEnd w:id="13"/>
    </w:p>
    <w:p w:rsidR="0052754B" w:rsidRDefault="0052754B" w:rsidP="0052754B">
      <w:pPr>
        <w:pStyle w:val="Heading2"/>
      </w:pPr>
      <w:bookmarkStart w:id="14" w:name="_Toc428443489"/>
      <w:bookmarkStart w:id="15" w:name="_Toc429659492"/>
      <w:r>
        <w:lastRenderedPageBreak/>
        <w:t>Australian Government Response</w:t>
      </w:r>
      <w:bookmarkEnd w:id="14"/>
      <w:bookmarkEnd w:id="15"/>
    </w:p>
    <w:p w:rsidR="0046243E" w:rsidRDefault="0046243E" w:rsidP="00B42381">
      <w:pPr>
        <w:pStyle w:val="Heading3"/>
      </w:pPr>
      <w:bookmarkStart w:id="16" w:name="_Toc428443490"/>
      <w:bookmarkStart w:id="17" w:name="_Toc429659493"/>
      <w:r w:rsidRPr="00917294">
        <w:t>Joint Authority Decision Making</w:t>
      </w:r>
      <w:bookmarkEnd w:id="16"/>
      <w:bookmarkEnd w:id="17"/>
    </w:p>
    <w:p w:rsidR="00B26FB2" w:rsidRPr="005F0184" w:rsidRDefault="00E035F9" w:rsidP="005F0184">
      <w:pPr>
        <w:pStyle w:val="Heading4"/>
      </w:pPr>
      <w:r w:rsidRPr="005F0184">
        <w:t>Recommendation 1</w:t>
      </w:r>
      <w:r w:rsidR="00955F53" w:rsidRPr="005F0184">
        <w:t xml:space="preserve">: </w:t>
      </w:r>
      <w:r w:rsidRPr="005F0184">
        <w:t>That timeframes for the consideration of, and decision making for, all titles related matters by Joint Authorities is agreed with jurisdictions and implemented.</w:t>
      </w:r>
    </w:p>
    <w:p w:rsidR="00905F2E" w:rsidRPr="005F0184" w:rsidRDefault="00E035F9" w:rsidP="005F0184">
      <w:pPr>
        <w:pStyle w:val="Heading4"/>
      </w:pPr>
      <w:r w:rsidRPr="005F0184">
        <w:t>Response</w:t>
      </w:r>
      <w:r w:rsidR="00C47BE8" w:rsidRPr="005F0184">
        <w:t>:</w:t>
      </w:r>
      <w:r w:rsidR="00276AC1" w:rsidRPr="005F0184">
        <w:t xml:space="preserve"> </w:t>
      </w:r>
      <w:r w:rsidR="006B2C1B" w:rsidRPr="005F0184">
        <w:t>Noted</w:t>
      </w:r>
    </w:p>
    <w:p w:rsidR="00E035F9" w:rsidRPr="00E035F9" w:rsidRDefault="00E035F9" w:rsidP="005050FD">
      <w:pPr>
        <w:rPr>
          <w:rFonts w:cstheme="minorHAnsi"/>
          <w:szCs w:val="20"/>
        </w:rPr>
      </w:pPr>
      <w:r w:rsidRPr="00905F2E">
        <w:rPr>
          <w:rFonts w:cstheme="minorHAnsi"/>
          <w:szCs w:val="20"/>
        </w:rPr>
        <w:t xml:space="preserve">The </w:t>
      </w:r>
      <w:r w:rsidR="00DF6957">
        <w:rPr>
          <w:rFonts w:cstheme="minorHAnsi"/>
          <w:szCs w:val="20"/>
        </w:rPr>
        <w:t xml:space="preserve">Australian </w:t>
      </w:r>
      <w:r w:rsidRPr="00905F2E">
        <w:rPr>
          <w:rFonts w:cstheme="minorHAnsi"/>
          <w:szCs w:val="20"/>
        </w:rPr>
        <w:t xml:space="preserve">Government </w:t>
      </w:r>
      <w:r w:rsidRPr="00C47BE8">
        <w:rPr>
          <w:rFonts w:cstheme="minorHAnsi"/>
          <w:szCs w:val="20"/>
        </w:rPr>
        <w:t>notes</w:t>
      </w:r>
      <w:r w:rsidRPr="00E035F9">
        <w:rPr>
          <w:rFonts w:cstheme="minorHAnsi"/>
          <w:szCs w:val="20"/>
        </w:rPr>
        <w:t xml:space="preserve"> </w:t>
      </w:r>
      <w:r w:rsidR="00D268BE">
        <w:rPr>
          <w:rFonts w:cstheme="minorHAnsi"/>
          <w:szCs w:val="20"/>
        </w:rPr>
        <w:t xml:space="preserve">the Review comments that some </w:t>
      </w:r>
      <w:r w:rsidRPr="00E035F9">
        <w:rPr>
          <w:rFonts w:cstheme="minorHAnsi"/>
          <w:szCs w:val="20"/>
        </w:rPr>
        <w:t xml:space="preserve">titleholders’ </w:t>
      </w:r>
      <w:r w:rsidR="00D268BE">
        <w:rPr>
          <w:rFonts w:cstheme="minorHAnsi"/>
          <w:szCs w:val="20"/>
        </w:rPr>
        <w:t xml:space="preserve">raised </w:t>
      </w:r>
      <w:r w:rsidRPr="00E035F9">
        <w:rPr>
          <w:rFonts w:cstheme="minorHAnsi"/>
          <w:szCs w:val="20"/>
        </w:rPr>
        <w:t xml:space="preserve">concerns </w:t>
      </w:r>
      <w:r w:rsidR="008D0EAF">
        <w:rPr>
          <w:rFonts w:cstheme="minorHAnsi"/>
          <w:szCs w:val="20"/>
        </w:rPr>
        <w:t xml:space="preserve">regarding </w:t>
      </w:r>
      <w:r w:rsidRPr="00E035F9">
        <w:rPr>
          <w:rFonts w:cstheme="minorHAnsi"/>
          <w:szCs w:val="20"/>
        </w:rPr>
        <w:t>transparency and timeline</w:t>
      </w:r>
      <w:r w:rsidR="000741FB">
        <w:rPr>
          <w:rFonts w:cstheme="minorHAnsi"/>
          <w:szCs w:val="20"/>
        </w:rPr>
        <w:t>s</w:t>
      </w:r>
      <w:r w:rsidRPr="00E035F9">
        <w:rPr>
          <w:rFonts w:cstheme="minorHAnsi"/>
          <w:szCs w:val="20"/>
        </w:rPr>
        <w:t xml:space="preserve">s </w:t>
      </w:r>
      <w:r w:rsidR="000741FB">
        <w:rPr>
          <w:rFonts w:cstheme="minorHAnsi"/>
          <w:szCs w:val="20"/>
        </w:rPr>
        <w:t>of</w:t>
      </w:r>
      <w:r w:rsidRPr="00E035F9">
        <w:rPr>
          <w:rFonts w:cstheme="minorHAnsi"/>
          <w:szCs w:val="20"/>
        </w:rPr>
        <w:t xml:space="preserve"> decision</w:t>
      </w:r>
      <w:r w:rsidR="000741FB">
        <w:rPr>
          <w:rFonts w:cstheme="minorHAnsi"/>
          <w:szCs w:val="20"/>
        </w:rPr>
        <w:t>-</w:t>
      </w:r>
      <w:r w:rsidRPr="00E035F9">
        <w:rPr>
          <w:rFonts w:cstheme="minorHAnsi"/>
          <w:szCs w:val="20"/>
        </w:rPr>
        <w:t>making by Joint Authorities</w:t>
      </w:r>
      <w:r w:rsidR="00C47BE8" w:rsidRPr="00905F2E">
        <w:rPr>
          <w:rFonts w:cstheme="minorHAnsi"/>
          <w:szCs w:val="20"/>
        </w:rPr>
        <w:t xml:space="preserve"> and </w:t>
      </w:r>
      <w:r w:rsidR="00C47BE8" w:rsidRPr="00C47BE8">
        <w:rPr>
          <w:rFonts w:cstheme="minorHAnsi"/>
          <w:szCs w:val="20"/>
        </w:rPr>
        <w:t>recognise</w:t>
      </w:r>
      <w:r w:rsidR="00C47BE8">
        <w:rPr>
          <w:rFonts w:cstheme="minorHAnsi"/>
          <w:szCs w:val="20"/>
        </w:rPr>
        <w:t>s</w:t>
      </w:r>
      <w:r w:rsidR="00C47BE8" w:rsidRPr="00905F2E">
        <w:rPr>
          <w:rFonts w:cstheme="minorHAnsi"/>
          <w:szCs w:val="20"/>
        </w:rPr>
        <w:t xml:space="preserve"> that </w:t>
      </w:r>
      <w:r w:rsidR="000741FB">
        <w:rPr>
          <w:rFonts w:cstheme="minorHAnsi"/>
          <w:szCs w:val="20"/>
        </w:rPr>
        <w:t>clarity on these issues contributes to project</w:t>
      </w:r>
      <w:r w:rsidR="00837A15">
        <w:rPr>
          <w:rFonts w:cstheme="minorHAnsi"/>
          <w:szCs w:val="20"/>
        </w:rPr>
        <w:t xml:space="preserve"> certainty and risk management.</w:t>
      </w:r>
    </w:p>
    <w:p w:rsidR="00D268BE" w:rsidRDefault="002D037D" w:rsidP="00D268BE">
      <w:pPr>
        <w:rPr>
          <w:rFonts w:cstheme="minorHAnsi"/>
          <w:szCs w:val="20"/>
        </w:rPr>
      </w:pPr>
      <w:r>
        <w:t>The OPGGS Act does not pre</w:t>
      </w:r>
      <w:r w:rsidR="00A4154A">
        <w:t xml:space="preserve">clude statutory timeframes being provided. </w:t>
      </w:r>
      <w:r w:rsidR="00A4154A">
        <w:rPr>
          <w:rFonts w:cstheme="minorHAnsi"/>
          <w:szCs w:val="20"/>
        </w:rPr>
        <w:t xml:space="preserve">A </w:t>
      </w:r>
      <w:r w:rsidR="001F6654">
        <w:rPr>
          <w:rFonts w:cstheme="minorHAnsi"/>
          <w:szCs w:val="20"/>
        </w:rPr>
        <w:t>p</w:t>
      </w:r>
      <w:r w:rsidR="00A4154A">
        <w:rPr>
          <w:rFonts w:cstheme="minorHAnsi"/>
          <w:szCs w:val="20"/>
        </w:rPr>
        <w:t>rot</w:t>
      </w:r>
      <w:r w:rsidR="00A4496D">
        <w:rPr>
          <w:rFonts w:cstheme="minorHAnsi"/>
          <w:szCs w:val="20"/>
        </w:rPr>
        <w:t xml:space="preserve">ocol has been established that </w:t>
      </w:r>
      <w:r w:rsidR="00A4154A">
        <w:rPr>
          <w:rFonts w:cstheme="minorHAnsi"/>
          <w:szCs w:val="20"/>
        </w:rPr>
        <w:t>provides an agreed framework for decision making by the Joint Authority.</w:t>
      </w:r>
    </w:p>
    <w:p w:rsidR="00915565" w:rsidRDefault="001F6654" w:rsidP="005050FD">
      <w:pPr>
        <w:rPr>
          <w:rFonts w:cstheme="minorHAnsi"/>
          <w:szCs w:val="20"/>
        </w:rPr>
      </w:pPr>
      <w:r>
        <w:rPr>
          <w:rFonts w:cstheme="minorHAnsi"/>
          <w:szCs w:val="20"/>
        </w:rPr>
        <w:t>The</w:t>
      </w:r>
      <w:r w:rsidR="00C47BE8" w:rsidRPr="00C47BE8">
        <w:rPr>
          <w:rFonts w:cstheme="minorHAnsi"/>
          <w:szCs w:val="20"/>
        </w:rPr>
        <w:t xml:space="preserve"> ‘</w:t>
      </w:r>
      <w:r w:rsidR="00C47BE8" w:rsidRPr="00905F2E">
        <w:rPr>
          <w:rFonts w:cstheme="minorHAnsi"/>
          <w:i/>
          <w:szCs w:val="20"/>
        </w:rPr>
        <w:t>Operating Protocol for Offshore Petroleum Joint Authorities and Supporting Institution</w:t>
      </w:r>
      <w:r w:rsidR="00C47BE8" w:rsidRPr="00C47BE8">
        <w:rPr>
          <w:rFonts w:cstheme="minorHAnsi"/>
          <w:szCs w:val="20"/>
        </w:rPr>
        <w:t>s’</w:t>
      </w:r>
      <w:r>
        <w:rPr>
          <w:rFonts w:cstheme="minorHAnsi"/>
          <w:szCs w:val="20"/>
        </w:rPr>
        <w:t xml:space="preserve"> (the Protocol)</w:t>
      </w:r>
      <w:r w:rsidR="002E5A77">
        <w:rPr>
          <w:rFonts w:cstheme="minorHAnsi"/>
          <w:szCs w:val="20"/>
        </w:rPr>
        <w:t xml:space="preserve"> </w:t>
      </w:r>
      <w:r w:rsidR="00942AEB">
        <w:rPr>
          <w:rFonts w:cstheme="minorHAnsi"/>
          <w:szCs w:val="20"/>
        </w:rPr>
        <w:t>provide</w:t>
      </w:r>
      <w:r w:rsidR="00703DB6">
        <w:rPr>
          <w:rFonts w:cstheme="minorHAnsi"/>
          <w:szCs w:val="20"/>
        </w:rPr>
        <w:t>s</w:t>
      </w:r>
      <w:r w:rsidR="00942AEB">
        <w:rPr>
          <w:rFonts w:cstheme="minorHAnsi"/>
          <w:szCs w:val="20"/>
        </w:rPr>
        <w:t xml:space="preserve"> i</w:t>
      </w:r>
      <w:r w:rsidR="001E6CCD" w:rsidRPr="001E6CCD">
        <w:rPr>
          <w:rFonts w:cstheme="minorHAnsi"/>
          <w:szCs w:val="20"/>
        </w:rPr>
        <w:t>ndicative timeframes for NOPTA assessment and J</w:t>
      </w:r>
      <w:r w:rsidR="001E6CCD">
        <w:rPr>
          <w:rFonts w:cstheme="minorHAnsi"/>
          <w:szCs w:val="20"/>
        </w:rPr>
        <w:t xml:space="preserve">oint Authority </w:t>
      </w:r>
      <w:r w:rsidR="001E6CCD" w:rsidRPr="001E6CCD">
        <w:rPr>
          <w:rFonts w:cstheme="minorHAnsi"/>
          <w:szCs w:val="20"/>
        </w:rPr>
        <w:t>decision</w:t>
      </w:r>
      <w:r w:rsidR="00942AEB">
        <w:rPr>
          <w:rFonts w:cstheme="minorHAnsi"/>
          <w:szCs w:val="20"/>
        </w:rPr>
        <w:t>s</w:t>
      </w:r>
      <w:r w:rsidR="001E6CCD" w:rsidRPr="001E6CCD">
        <w:rPr>
          <w:rFonts w:cstheme="minorHAnsi"/>
          <w:szCs w:val="20"/>
        </w:rPr>
        <w:t xml:space="preserve"> (</w:t>
      </w:r>
      <w:r w:rsidR="00DE32BC">
        <w:rPr>
          <w:rFonts w:cstheme="minorHAnsi"/>
          <w:szCs w:val="20"/>
        </w:rPr>
        <w:t xml:space="preserve">which </w:t>
      </w:r>
      <w:r w:rsidR="001E6CCD" w:rsidRPr="001E6CCD">
        <w:rPr>
          <w:rFonts w:cstheme="minorHAnsi"/>
          <w:szCs w:val="20"/>
        </w:rPr>
        <w:t xml:space="preserve">differs if the decision is taken by members or </w:t>
      </w:r>
      <w:r w:rsidR="00B26FB2">
        <w:rPr>
          <w:rFonts w:cstheme="minorHAnsi"/>
          <w:szCs w:val="20"/>
        </w:rPr>
        <w:t xml:space="preserve">by </w:t>
      </w:r>
      <w:r w:rsidR="001E6CCD" w:rsidRPr="001E6CCD">
        <w:rPr>
          <w:rFonts w:cstheme="minorHAnsi"/>
          <w:szCs w:val="20"/>
        </w:rPr>
        <w:t>their delegates)</w:t>
      </w:r>
      <w:r w:rsidR="002E5A77">
        <w:rPr>
          <w:rFonts w:cstheme="minorHAnsi"/>
          <w:szCs w:val="20"/>
        </w:rPr>
        <w:t xml:space="preserve">. </w:t>
      </w:r>
      <w:r>
        <w:rPr>
          <w:rFonts w:cstheme="minorHAnsi"/>
          <w:szCs w:val="20"/>
        </w:rPr>
        <w:t>A p</w:t>
      </w:r>
      <w:r w:rsidR="002E5A77">
        <w:rPr>
          <w:rFonts w:cstheme="minorHAnsi"/>
          <w:szCs w:val="20"/>
        </w:rPr>
        <w:t xml:space="preserve">rotocol </w:t>
      </w:r>
      <w:r w:rsidR="00703DB6">
        <w:rPr>
          <w:rFonts w:cstheme="minorHAnsi"/>
          <w:szCs w:val="20"/>
        </w:rPr>
        <w:t>ha</w:t>
      </w:r>
      <w:r>
        <w:rPr>
          <w:rFonts w:cstheme="minorHAnsi"/>
          <w:szCs w:val="20"/>
        </w:rPr>
        <w:t>s</w:t>
      </w:r>
      <w:r w:rsidR="00703DB6">
        <w:rPr>
          <w:rFonts w:cstheme="minorHAnsi"/>
          <w:szCs w:val="20"/>
        </w:rPr>
        <w:t xml:space="preserve"> been in place</w:t>
      </w:r>
      <w:r w:rsidR="001E6CCD" w:rsidRPr="001E6CCD">
        <w:rPr>
          <w:rFonts w:cstheme="minorHAnsi"/>
          <w:szCs w:val="20"/>
        </w:rPr>
        <w:t xml:space="preserve"> </w:t>
      </w:r>
      <w:r w:rsidR="00942AEB">
        <w:rPr>
          <w:rFonts w:cstheme="minorHAnsi"/>
          <w:szCs w:val="20"/>
        </w:rPr>
        <w:t xml:space="preserve">since the establishment of </w:t>
      </w:r>
      <w:r w:rsidR="002743EE">
        <w:rPr>
          <w:rFonts w:cstheme="minorHAnsi"/>
          <w:szCs w:val="20"/>
        </w:rPr>
        <w:t>NOPTA</w:t>
      </w:r>
      <w:r w:rsidR="00942AEB">
        <w:rPr>
          <w:rFonts w:cstheme="minorHAnsi"/>
          <w:szCs w:val="20"/>
        </w:rPr>
        <w:t xml:space="preserve">. </w:t>
      </w:r>
      <w:r w:rsidR="00915565">
        <w:rPr>
          <w:rFonts w:cstheme="minorHAnsi"/>
          <w:szCs w:val="20"/>
        </w:rPr>
        <w:t xml:space="preserve">The </w:t>
      </w:r>
      <w:r>
        <w:rPr>
          <w:rFonts w:cstheme="minorHAnsi"/>
          <w:szCs w:val="20"/>
        </w:rPr>
        <w:t>P</w:t>
      </w:r>
      <w:r w:rsidR="00915565">
        <w:rPr>
          <w:rFonts w:cstheme="minorHAnsi"/>
          <w:szCs w:val="20"/>
        </w:rPr>
        <w:t xml:space="preserve">rotocol requires every jurisdiction </w:t>
      </w:r>
      <w:r w:rsidR="00915565" w:rsidRPr="001E6CCD">
        <w:rPr>
          <w:rFonts w:cstheme="minorHAnsi"/>
          <w:szCs w:val="20"/>
        </w:rPr>
        <w:t>to use ‘best endeavours’ to meet the</w:t>
      </w:r>
      <w:r w:rsidR="00915565">
        <w:rPr>
          <w:rFonts w:cstheme="minorHAnsi"/>
          <w:szCs w:val="20"/>
        </w:rPr>
        <w:t>se timelines</w:t>
      </w:r>
      <w:r w:rsidR="00915565" w:rsidRPr="001E6CCD">
        <w:rPr>
          <w:rFonts w:cstheme="minorHAnsi"/>
          <w:szCs w:val="20"/>
        </w:rPr>
        <w:t xml:space="preserve">. </w:t>
      </w:r>
      <w:r w:rsidR="00915565">
        <w:rPr>
          <w:rFonts w:cstheme="minorHAnsi"/>
          <w:szCs w:val="20"/>
        </w:rPr>
        <w:t xml:space="preserve">A revised </w:t>
      </w:r>
      <w:r>
        <w:rPr>
          <w:rFonts w:cstheme="minorHAnsi"/>
          <w:szCs w:val="20"/>
        </w:rPr>
        <w:t>P</w:t>
      </w:r>
      <w:r w:rsidR="00915565">
        <w:rPr>
          <w:rFonts w:cstheme="minorHAnsi"/>
          <w:szCs w:val="20"/>
        </w:rPr>
        <w:t>rotocol was agreed by all members of the Joint Authority in July</w:t>
      </w:r>
      <w:r w:rsidR="008864A1">
        <w:rPr>
          <w:rFonts w:cstheme="minorHAnsi"/>
          <w:szCs w:val="20"/>
        </w:rPr>
        <w:t> </w:t>
      </w:r>
      <w:r w:rsidR="00915565">
        <w:rPr>
          <w:rFonts w:cstheme="minorHAnsi"/>
          <w:szCs w:val="20"/>
        </w:rPr>
        <w:t xml:space="preserve">2015. </w:t>
      </w:r>
      <w:r w:rsidR="00915565" w:rsidRPr="001E6CCD">
        <w:rPr>
          <w:rFonts w:cstheme="minorHAnsi"/>
          <w:szCs w:val="20"/>
        </w:rPr>
        <w:t xml:space="preserve">NOPTA </w:t>
      </w:r>
      <w:r w:rsidR="00C268F8">
        <w:rPr>
          <w:rFonts w:cstheme="minorHAnsi"/>
          <w:szCs w:val="20"/>
        </w:rPr>
        <w:t xml:space="preserve">has </w:t>
      </w:r>
      <w:r w:rsidR="00915565">
        <w:rPr>
          <w:rFonts w:cstheme="minorHAnsi"/>
          <w:szCs w:val="20"/>
        </w:rPr>
        <w:t xml:space="preserve">amended </w:t>
      </w:r>
      <w:r w:rsidR="00915565" w:rsidRPr="001E6CCD">
        <w:rPr>
          <w:rFonts w:cstheme="minorHAnsi"/>
          <w:szCs w:val="20"/>
        </w:rPr>
        <w:t>its performance measures under the Government’s Regulators’ Performance Framework</w:t>
      </w:r>
      <w:r w:rsidR="00C268F8" w:rsidRPr="00C268F8">
        <w:rPr>
          <w:rFonts w:cstheme="minorHAnsi"/>
          <w:szCs w:val="20"/>
        </w:rPr>
        <w:t xml:space="preserve"> </w:t>
      </w:r>
      <w:r w:rsidR="00C268F8">
        <w:rPr>
          <w:rFonts w:cstheme="minorHAnsi"/>
          <w:szCs w:val="20"/>
        </w:rPr>
        <w:t>to reflect these indicative</w:t>
      </w:r>
      <w:r w:rsidR="00C268F8" w:rsidRPr="001E6CCD">
        <w:rPr>
          <w:rFonts w:cstheme="minorHAnsi"/>
          <w:szCs w:val="20"/>
        </w:rPr>
        <w:t xml:space="preserve"> timeframes</w:t>
      </w:r>
      <w:r w:rsidR="00915565" w:rsidRPr="001E6CCD">
        <w:rPr>
          <w:rFonts w:cstheme="minorHAnsi"/>
          <w:szCs w:val="20"/>
        </w:rPr>
        <w:t xml:space="preserve">. </w:t>
      </w:r>
      <w:r w:rsidR="00915565" w:rsidRPr="00C47BE8">
        <w:rPr>
          <w:rFonts w:cstheme="minorHAnsi"/>
          <w:szCs w:val="20"/>
        </w:rPr>
        <w:t>Th</w:t>
      </w:r>
      <w:r w:rsidR="00915565">
        <w:rPr>
          <w:rFonts w:cstheme="minorHAnsi"/>
          <w:szCs w:val="20"/>
        </w:rPr>
        <w:t>e</w:t>
      </w:r>
      <w:r w:rsidR="00915565" w:rsidRPr="00C47BE8">
        <w:rPr>
          <w:rFonts w:cstheme="minorHAnsi"/>
          <w:szCs w:val="20"/>
        </w:rPr>
        <w:t xml:space="preserve"> Protocol is </w:t>
      </w:r>
      <w:r w:rsidR="00BB1248">
        <w:rPr>
          <w:rFonts w:cstheme="minorHAnsi"/>
          <w:szCs w:val="20"/>
        </w:rPr>
        <w:t>an internal guidance document for governments.</w:t>
      </w:r>
    </w:p>
    <w:p w:rsidR="00EC306E" w:rsidRDefault="00B26FB2" w:rsidP="00915565">
      <w:pPr>
        <w:rPr>
          <w:rFonts w:ascii="Arial" w:eastAsia="Times New Roman" w:hAnsi="Arial" w:cs="Arial"/>
          <w:color w:val="000000"/>
          <w:szCs w:val="20"/>
        </w:rPr>
      </w:pPr>
      <w:r w:rsidRPr="005050FD">
        <w:rPr>
          <w:rFonts w:ascii="Arial" w:hAnsi="Arial" w:cs="Arial"/>
          <w:szCs w:val="20"/>
        </w:rPr>
        <w:t>The Government notes that the Offshore Petroleum Resource Management Review has proposed an Action that a</w:t>
      </w:r>
      <w:r w:rsidRPr="005050FD">
        <w:rPr>
          <w:rFonts w:ascii="Arial" w:eastAsia="Times New Roman" w:hAnsi="Arial" w:cs="Arial"/>
          <w:color w:val="000000"/>
          <w:szCs w:val="20"/>
        </w:rPr>
        <w:t xml:space="preserve">greement </w:t>
      </w:r>
      <w:proofErr w:type="gramStart"/>
      <w:r w:rsidRPr="005050FD">
        <w:rPr>
          <w:rFonts w:ascii="Arial" w:eastAsia="Times New Roman" w:hAnsi="Arial" w:cs="Arial"/>
          <w:color w:val="000000"/>
          <w:szCs w:val="20"/>
        </w:rPr>
        <w:t>be</w:t>
      </w:r>
      <w:proofErr w:type="gramEnd"/>
      <w:r w:rsidRPr="005050FD">
        <w:rPr>
          <w:rFonts w:ascii="Arial" w:eastAsia="Times New Roman" w:hAnsi="Arial" w:cs="Arial"/>
          <w:color w:val="000000"/>
          <w:szCs w:val="20"/>
        </w:rPr>
        <w:t xml:space="preserve"> obtained from the Joint Authorities to make public the indicative timeframes for title decisions as provided in the</w:t>
      </w:r>
      <w:r w:rsidR="001F6654">
        <w:rPr>
          <w:rFonts w:ascii="Arial" w:eastAsia="Times New Roman" w:hAnsi="Arial" w:cs="Arial"/>
          <w:color w:val="000000"/>
          <w:szCs w:val="20"/>
        </w:rPr>
        <w:t xml:space="preserve"> Protocol </w:t>
      </w:r>
      <w:r w:rsidR="00837A15">
        <w:rPr>
          <w:rFonts w:ascii="Arial" w:eastAsia="Times New Roman" w:hAnsi="Arial" w:cs="Arial"/>
          <w:color w:val="000000"/>
          <w:szCs w:val="20"/>
        </w:rPr>
        <w:t>on the NOPTA website.</w:t>
      </w:r>
    </w:p>
    <w:p w:rsidR="002E5A77" w:rsidRDefault="002E5A77" w:rsidP="002E5A77">
      <w:pPr>
        <w:rPr>
          <w:rFonts w:cstheme="minorHAnsi"/>
          <w:szCs w:val="20"/>
        </w:rPr>
      </w:pPr>
      <w:r>
        <w:rPr>
          <w:rFonts w:cstheme="minorHAnsi"/>
          <w:szCs w:val="20"/>
        </w:rPr>
        <w:t>To satisfy the recommendations of both reviews, t</w:t>
      </w:r>
      <w:r w:rsidRPr="00E035F9">
        <w:rPr>
          <w:rFonts w:cstheme="minorHAnsi"/>
          <w:szCs w:val="20"/>
        </w:rPr>
        <w:t xml:space="preserve">he Government </w:t>
      </w:r>
      <w:r>
        <w:rPr>
          <w:rFonts w:cstheme="minorHAnsi"/>
          <w:szCs w:val="20"/>
        </w:rPr>
        <w:t xml:space="preserve">will seek agreement from all jurisdictions </w:t>
      </w:r>
      <w:r w:rsidR="00F03954">
        <w:rPr>
          <w:rFonts w:cstheme="minorHAnsi"/>
          <w:szCs w:val="20"/>
        </w:rPr>
        <w:t xml:space="preserve">through the </w:t>
      </w:r>
      <w:r w:rsidR="00F03954">
        <w:rPr>
          <w:rFonts w:cstheme="minorHAnsi"/>
          <w:szCs w:val="20"/>
          <w:lang w:eastAsia="zh-CN"/>
        </w:rPr>
        <w:t>Upstream Petroleum Resources Working Group (UPR), a sub-committee of the Council of Australian Governments (COAG) Energy Council</w:t>
      </w:r>
      <w:r w:rsidR="00FA2F7D">
        <w:rPr>
          <w:rFonts w:cstheme="minorHAnsi"/>
          <w:szCs w:val="20"/>
          <w:lang w:eastAsia="zh-CN"/>
        </w:rPr>
        <w:t>,</w:t>
      </w:r>
      <w:r w:rsidR="00F03954">
        <w:rPr>
          <w:rFonts w:cstheme="minorHAnsi"/>
          <w:szCs w:val="20"/>
        </w:rPr>
        <w:t xml:space="preserve"> </w:t>
      </w:r>
      <w:r>
        <w:rPr>
          <w:rFonts w:cstheme="minorHAnsi"/>
          <w:szCs w:val="20"/>
        </w:rPr>
        <w:t>to make the Protocol publicly available</w:t>
      </w:r>
      <w:r w:rsidRPr="00E035F9">
        <w:rPr>
          <w:rFonts w:cstheme="minorHAnsi"/>
          <w:szCs w:val="20"/>
        </w:rPr>
        <w:t xml:space="preserve"> to increase transparency</w:t>
      </w:r>
      <w:r>
        <w:rPr>
          <w:rFonts w:cstheme="minorHAnsi"/>
          <w:szCs w:val="20"/>
        </w:rPr>
        <w:t xml:space="preserve"> and support timely decisions</w:t>
      </w:r>
      <w:r w:rsidRPr="00E035F9">
        <w:rPr>
          <w:rFonts w:cstheme="minorHAnsi"/>
          <w:szCs w:val="20"/>
        </w:rPr>
        <w:t>.</w:t>
      </w:r>
    </w:p>
    <w:p w:rsidR="0019380B" w:rsidRPr="00111262" w:rsidRDefault="0019380B" w:rsidP="002E5A77">
      <w:pPr>
        <w:rPr>
          <w:rFonts w:cstheme="minorHAnsi"/>
          <w:szCs w:val="20"/>
        </w:rPr>
      </w:pPr>
      <w:r>
        <w:t>Implementation of this recommendation is the responsibility of the Department of Industry</w:t>
      </w:r>
      <w:r w:rsidR="00997A5A">
        <w:t>, Innovation</w:t>
      </w:r>
      <w:r>
        <w:t xml:space="preserve"> and Science.</w:t>
      </w:r>
    </w:p>
    <w:p w:rsidR="007E298F" w:rsidRPr="008F4913" w:rsidRDefault="007E298F" w:rsidP="005F0184">
      <w:pPr>
        <w:pStyle w:val="Heading4"/>
      </w:pPr>
      <w:r w:rsidRPr="008F4913">
        <w:t>Recommendation 2</w:t>
      </w:r>
      <w:r w:rsidR="00955F53" w:rsidRPr="008F4913">
        <w:t xml:space="preserve">: </w:t>
      </w:r>
      <w:r w:rsidRPr="008F4913">
        <w:t xml:space="preserve">The </w:t>
      </w:r>
      <w:r w:rsidR="005F296E" w:rsidRPr="008F4913">
        <w:t>adherence of the Titles Administrator and Joint Authorities against the agreed timeframes is</w:t>
      </w:r>
      <w:r w:rsidRPr="008F4913">
        <w:t xml:space="preserve"> reported as part of NOPTA’s annual report.</w:t>
      </w:r>
    </w:p>
    <w:p w:rsidR="007E298F" w:rsidRPr="008F4913" w:rsidRDefault="007E298F" w:rsidP="005F0184">
      <w:pPr>
        <w:pStyle w:val="Heading4"/>
      </w:pPr>
      <w:r w:rsidRPr="008F4913">
        <w:t>Response</w:t>
      </w:r>
      <w:r w:rsidR="005F296E" w:rsidRPr="008F4913">
        <w:t>:</w:t>
      </w:r>
      <w:r w:rsidR="006B2C1B" w:rsidRPr="008F4913">
        <w:t xml:space="preserve"> </w:t>
      </w:r>
      <w:r w:rsidR="00F8367D">
        <w:t xml:space="preserve">Agreed in </w:t>
      </w:r>
      <w:r w:rsidR="005050FD" w:rsidRPr="008F4913">
        <w:t>principle</w:t>
      </w:r>
    </w:p>
    <w:p w:rsidR="006F6EE5" w:rsidRDefault="002E5A77" w:rsidP="005E3790">
      <w:pPr>
        <w:rPr>
          <w:rFonts w:cstheme="minorHAnsi"/>
          <w:szCs w:val="20"/>
          <w:lang w:eastAsia="zh-CN"/>
        </w:rPr>
      </w:pPr>
      <w:r w:rsidRPr="008552EF">
        <w:rPr>
          <w:rFonts w:cstheme="minorHAnsi"/>
          <w:szCs w:val="20"/>
          <w:lang w:eastAsia="zh-CN"/>
        </w:rPr>
        <w:t>The</w:t>
      </w:r>
      <w:r>
        <w:rPr>
          <w:rFonts w:cstheme="minorHAnsi"/>
          <w:szCs w:val="20"/>
          <w:lang w:eastAsia="zh-CN"/>
        </w:rPr>
        <w:t xml:space="preserve"> Government agrees that timeliness</w:t>
      </w:r>
      <w:r w:rsidRPr="008552EF">
        <w:rPr>
          <w:rFonts w:cstheme="minorHAnsi"/>
          <w:szCs w:val="20"/>
          <w:lang w:eastAsia="zh-CN"/>
        </w:rPr>
        <w:t xml:space="preserve"> </w:t>
      </w:r>
      <w:r>
        <w:rPr>
          <w:rFonts w:cstheme="minorHAnsi"/>
          <w:szCs w:val="20"/>
          <w:lang w:eastAsia="zh-CN"/>
        </w:rPr>
        <w:t>in decision making delivers improved certainty for</w:t>
      </w:r>
      <w:r w:rsidRPr="008552EF">
        <w:rPr>
          <w:rFonts w:cstheme="minorHAnsi"/>
          <w:szCs w:val="20"/>
          <w:lang w:eastAsia="zh-CN"/>
        </w:rPr>
        <w:t xml:space="preserve"> </w:t>
      </w:r>
      <w:r w:rsidR="00F03954">
        <w:rPr>
          <w:rFonts w:cstheme="minorHAnsi"/>
          <w:szCs w:val="20"/>
          <w:lang w:eastAsia="zh-CN"/>
        </w:rPr>
        <w:t>t</w:t>
      </w:r>
      <w:r w:rsidRPr="008552EF">
        <w:rPr>
          <w:rFonts w:cstheme="minorHAnsi"/>
          <w:szCs w:val="20"/>
          <w:lang w:eastAsia="zh-CN"/>
        </w:rPr>
        <w:t xml:space="preserve">itleholders. </w:t>
      </w:r>
      <w:r>
        <w:rPr>
          <w:rFonts w:cstheme="minorHAnsi"/>
          <w:szCs w:val="20"/>
          <w:lang w:eastAsia="zh-CN"/>
        </w:rPr>
        <w:t>While existing guidelines available on NOPTA’s website include indicative timing for some Joint Authority decisions, such as retention lease applications, the Government considers that making public the indicative timeframes in the Protocol will further encourage timely decision making.</w:t>
      </w:r>
      <w:r w:rsidR="002115BB">
        <w:rPr>
          <w:rFonts w:cstheme="minorHAnsi"/>
          <w:szCs w:val="20"/>
          <w:lang w:eastAsia="zh-CN"/>
        </w:rPr>
        <w:t xml:space="preserve"> In addition, NOPTA currently provides dashboard reports on the NOPTA website which provides aggregated information on the status of applications.</w:t>
      </w:r>
    </w:p>
    <w:p w:rsidR="006F6EE5" w:rsidRDefault="006F6EE5" w:rsidP="006F6EE5">
      <w:pPr>
        <w:rPr>
          <w:rFonts w:cstheme="minorHAnsi"/>
          <w:szCs w:val="20"/>
          <w:lang w:eastAsia="zh-CN"/>
        </w:rPr>
      </w:pPr>
      <w:r>
        <w:rPr>
          <w:rFonts w:cstheme="minorHAnsi"/>
          <w:szCs w:val="20"/>
          <w:lang w:eastAsia="zh-CN"/>
        </w:rPr>
        <w:t>This recommendation is agreed in principle, as any decisions to make Protocols and or performance against indicative timeframes public must be agreed by the Upstream Petroleum Resources Working Group (UPR).</w:t>
      </w:r>
      <w:r w:rsidR="00DA22F4">
        <w:rPr>
          <w:rFonts w:cstheme="minorHAnsi"/>
          <w:szCs w:val="20"/>
          <w:lang w:eastAsia="zh-CN"/>
        </w:rPr>
        <w:t xml:space="preserve"> The reporting mechanism will be considered following discussion with the UPR.</w:t>
      </w:r>
    </w:p>
    <w:p w:rsidR="0019380B" w:rsidRDefault="0019380B" w:rsidP="006F6EE5">
      <w:pPr>
        <w:rPr>
          <w:rFonts w:cstheme="minorHAnsi"/>
          <w:szCs w:val="20"/>
          <w:lang w:eastAsia="zh-CN"/>
        </w:rPr>
      </w:pPr>
      <w:r>
        <w:t>Implementation of this recommendation is the responsibility of the Department of Industry</w:t>
      </w:r>
      <w:r w:rsidR="00997A5A">
        <w:t>, Innovation</w:t>
      </w:r>
      <w:r>
        <w:t xml:space="preserve"> and Science.</w:t>
      </w:r>
    </w:p>
    <w:p w:rsidR="007E298F" w:rsidRPr="008F4913" w:rsidRDefault="007E298F" w:rsidP="005F0184">
      <w:pPr>
        <w:pStyle w:val="Heading4"/>
      </w:pPr>
      <w:r w:rsidRPr="008F4913">
        <w:lastRenderedPageBreak/>
        <w:t>Recommendation 3</w:t>
      </w:r>
      <w:r w:rsidR="00955F53" w:rsidRPr="008F4913">
        <w:t xml:space="preserve">: </w:t>
      </w:r>
      <w:r w:rsidRPr="008F4913">
        <w:t>That the feasibility of delegating simple decisions to the Titles Administrator is investigated.</w:t>
      </w:r>
    </w:p>
    <w:p w:rsidR="005F296E" w:rsidRPr="008F4913" w:rsidRDefault="007E298F" w:rsidP="005F0184">
      <w:pPr>
        <w:pStyle w:val="Heading4"/>
      </w:pPr>
      <w:r w:rsidRPr="008F4913">
        <w:t>Response</w:t>
      </w:r>
      <w:r w:rsidR="005F296E" w:rsidRPr="008F4913">
        <w:t>: Accepted</w:t>
      </w:r>
    </w:p>
    <w:p w:rsidR="007E298F" w:rsidRPr="00837A15" w:rsidRDefault="007E298F" w:rsidP="00837A15">
      <w:pPr>
        <w:rPr>
          <w:rFonts w:cstheme="minorHAnsi"/>
          <w:szCs w:val="20"/>
          <w:lang w:val="en" w:eastAsia="zh-CN"/>
        </w:rPr>
      </w:pPr>
      <w:r w:rsidRPr="00837A15">
        <w:rPr>
          <w:rFonts w:cstheme="minorHAnsi"/>
          <w:szCs w:val="20"/>
          <w:lang w:val="en" w:eastAsia="zh-CN"/>
        </w:rPr>
        <w:t>The</w:t>
      </w:r>
      <w:r w:rsidR="005F296E" w:rsidRPr="00837A15">
        <w:rPr>
          <w:rFonts w:cstheme="minorHAnsi"/>
          <w:szCs w:val="20"/>
          <w:lang w:val="en" w:eastAsia="zh-CN"/>
        </w:rPr>
        <w:t xml:space="preserve"> Government notes that </w:t>
      </w:r>
      <w:r w:rsidR="002E1DA6" w:rsidRPr="00837A15">
        <w:rPr>
          <w:rFonts w:cstheme="minorHAnsi"/>
          <w:szCs w:val="20"/>
          <w:lang w:val="en" w:eastAsia="zh-CN"/>
        </w:rPr>
        <w:t>th</w:t>
      </w:r>
      <w:r w:rsidR="00B25949" w:rsidRPr="00837A15">
        <w:rPr>
          <w:rFonts w:cstheme="minorHAnsi"/>
          <w:szCs w:val="20"/>
          <w:lang w:val="en" w:eastAsia="zh-CN"/>
        </w:rPr>
        <w:t xml:space="preserve">is recommendation is consistent with </w:t>
      </w:r>
      <w:r w:rsidR="004B7B6F" w:rsidRPr="00837A15">
        <w:rPr>
          <w:rFonts w:cstheme="minorHAnsi"/>
          <w:szCs w:val="20"/>
          <w:lang w:val="en" w:eastAsia="zh-CN"/>
        </w:rPr>
        <w:t>an</w:t>
      </w:r>
      <w:r w:rsidR="00B25949" w:rsidRPr="00837A15">
        <w:rPr>
          <w:rFonts w:cstheme="minorHAnsi"/>
          <w:szCs w:val="20"/>
          <w:lang w:val="en" w:eastAsia="zh-CN"/>
        </w:rPr>
        <w:t xml:space="preserve"> </w:t>
      </w:r>
      <w:r w:rsidR="004B7B6F" w:rsidRPr="00837A15">
        <w:rPr>
          <w:rFonts w:cstheme="minorHAnsi"/>
          <w:szCs w:val="20"/>
          <w:lang w:val="en" w:eastAsia="zh-CN"/>
        </w:rPr>
        <w:t>a</w:t>
      </w:r>
      <w:r w:rsidR="00B25949" w:rsidRPr="00837A15">
        <w:rPr>
          <w:rFonts w:cstheme="minorHAnsi"/>
          <w:szCs w:val="20"/>
          <w:lang w:val="en" w:eastAsia="zh-CN"/>
        </w:rPr>
        <w:t>ct</w:t>
      </w:r>
      <w:r w:rsidR="00DA417B" w:rsidRPr="00837A15">
        <w:rPr>
          <w:rFonts w:cstheme="minorHAnsi"/>
          <w:szCs w:val="20"/>
          <w:lang w:val="en" w:eastAsia="zh-CN"/>
        </w:rPr>
        <w:t>ion</w:t>
      </w:r>
      <w:r w:rsidR="00B25949" w:rsidRPr="00837A15">
        <w:rPr>
          <w:rFonts w:cstheme="minorHAnsi"/>
          <w:szCs w:val="20"/>
          <w:lang w:val="en" w:eastAsia="zh-CN"/>
        </w:rPr>
        <w:t xml:space="preserve"> proposed in the </w:t>
      </w:r>
      <w:r w:rsidRPr="00837A15">
        <w:rPr>
          <w:rFonts w:cstheme="minorHAnsi"/>
          <w:szCs w:val="20"/>
          <w:lang w:val="en" w:eastAsia="zh-CN"/>
        </w:rPr>
        <w:t>Offshore Petroleum Resource Management Review</w:t>
      </w:r>
      <w:r w:rsidR="004B7B6F" w:rsidRPr="00837A15">
        <w:rPr>
          <w:rFonts w:cstheme="minorHAnsi"/>
          <w:szCs w:val="20"/>
          <w:lang w:val="en" w:eastAsia="zh-CN"/>
        </w:rPr>
        <w:t>. Th</w:t>
      </w:r>
      <w:r w:rsidR="004F4138" w:rsidRPr="00837A15">
        <w:rPr>
          <w:rFonts w:cstheme="minorHAnsi"/>
          <w:szCs w:val="20"/>
          <w:lang w:val="en" w:eastAsia="zh-CN"/>
        </w:rPr>
        <w:t>e Resource Management Review</w:t>
      </w:r>
      <w:r w:rsidR="004B7B6F" w:rsidRPr="00837A15">
        <w:rPr>
          <w:rFonts w:cstheme="minorHAnsi"/>
          <w:szCs w:val="20"/>
          <w:lang w:val="en" w:eastAsia="zh-CN"/>
        </w:rPr>
        <w:t xml:space="preserve"> recommends</w:t>
      </w:r>
      <w:r w:rsidR="00B25949" w:rsidRPr="00837A15">
        <w:rPr>
          <w:rFonts w:cstheme="minorHAnsi"/>
          <w:szCs w:val="20"/>
          <w:lang w:val="en" w:eastAsia="zh-CN"/>
        </w:rPr>
        <w:t xml:space="preserve"> that </w:t>
      </w:r>
      <w:r w:rsidR="000F0A66" w:rsidRPr="00837A15">
        <w:rPr>
          <w:rFonts w:cstheme="minorHAnsi"/>
          <w:szCs w:val="20"/>
          <w:lang w:val="en" w:eastAsia="zh-CN"/>
        </w:rPr>
        <w:t xml:space="preserve">the Offshore Petroleum Joint Authorities consider options for further streamlining decision points across the offshore petroleum regime, including devolving </w:t>
      </w:r>
      <w:r w:rsidR="00EC306E" w:rsidRPr="00837A15">
        <w:rPr>
          <w:rFonts w:cstheme="minorHAnsi"/>
          <w:szCs w:val="20"/>
          <w:lang w:val="en" w:eastAsia="zh-CN"/>
        </w:rPr>
        <w:t xml:space="preserve">some </w:t>
      </w:r>
      <w:r w:rsidR="000F0A66" w:rsidRPr="00837A15">
        <w:rPr>
          <w:rFonts w:cstheme="minorHAnsi"/>
          <w:szCs w:val="20"/>
          <w:lang w:val="en" w:eastAsia="zh-CN"/>
        </w:rPr>
        <w:t>decisions to the titles administrator and</w:t>
      </w:r>
      <w:r w:rsidR="00DA417B" w:rsidRPr="00837A15">
        <w:rPr>
          <w:rFonts w:cstheme="minorHAnsi"/>
          <w:szCs w:val="20"/>
          <w:lang w:val="en" w:eastAsia="zh-CN"/>
        </w:rPr>
        <w:t>/or</w:t>
      </w:r>
      <w:r w:rsidR="000F0A66" w:rsidRPr="00837A15">
        <w:rPr>
          <w:rFonts w:cstheme="minorHAnsi"/>
          <w:szCs w:val="20"/>
          <w:lang w:val="en" w:eastAsia="zh-CN"/>
        </w:rPr>
        <w:t xml:space="preserve"> the </w:t>
      </w:r>
      <w:r w:rsidR="00DA417B" w:rsidRPr="00837A15">
        <w:rPr>
          <w:rFonts w:cstheme="minorHAnsi"/>
          <w:szCs w:val="20"/>
          <w:lang w:val="en" w:eastAsia="zh-CN"/>
        </w:rPr>
        <w:t xml:space="preserve">responsible </w:t>
      </w:r>
      <w:r w:rsidR="000F0A66" w:rsidRPr="00837A15">
        <w:rPr>
          <w:rFonts w:cstheme="minorHAnsi"/>
          <w:szCs w:val="20"/>
          <w:lang w:val="en" w:eastAsia="zh-CN"/>
        </w:rPr>
        <w:t xml:space="preserve">Commonwealth </w:t>
      </w:r>
      <w:r w:rsidR="00DA417B" w:rsidRPr="00837A15">
        <w:rPr>
          <w:rFonts w:cstheme="minorHAnsi"/>
          <w:szCs w:val="20"/>
          <w:lang w:val="en" w:eastAsia="zh-CN"/>
        </w:rPr>
        <w:t>Minister</w:t>
      </w:r>
      <w:r w:rsidR="00837A15" w:rsidRPr="00837A15">
        <w:rPr>
          <w:rFonts w:cstheme="minorHAnsi"/>
          <w:szCs w:val="20"/>
          <w:lang w:val="en" w:eastAsia="zh-CN"/>
        </w:rPr>
        <w:t>.</w:t>
      </w:r>
    </w:p>
    <w:p w:rsidR="007E298F" w:rsidRPr="00837A15" w:rsidRDefault="000F0A66" w:rsidP="00837A15">
      <w:pPr>
        <w:rPr>
          <w:rFonts w:cstheme="minorHAnsi"/>
          <w:szCs w:val="20"/>
          <w:lang w:val="en" w:eastAsia="zh-CN"/>
        </w:rPr>
      </w:pPr>
      <w:r w:rsidRPr="00837A15">
        <w:rPr>
          <w:rFonts w:cstheme="minorHAnsi"/>
          <w:szCs w:val="20"/>
          <w:lang w:val="en" w:eastAsia="zh-CN"/>
        </w:rPr>
        <w:t xml:space="preserve">Implementation will be informed by the areas identified and agreed to by the </w:t>
      </w:r>
      <w:r w:rsidR="00EC306E" w:rsidRPr="00837A15">
        <w:rPr>
          <w:rFonts w:cstheme="minorHAnsi"/>
          <w:szCs w:val="20"/>
          <w:lang w:val="en" w:eastAsia="zh-CN"/>
        </w:rPr>
        <w:t xml:space="preserve">members of the </w:t>
      </w:r>
      <w:r w:rsidRPr="00837A15">
        <w:rPr>
          <w:rFonts w:cstheme="minorHAnsi"/>
          <w:szCs w:val="20"/>
          <w:lang w:val="en" w:eastAsia="zh-CN"/>
        </w:rPr>
        <w:t>Joint Authorities</w:t>
      </w:r>
      <w:r w:rsidR="0019380B" w:rsidRPr="00837A15">
        <w:rPr>
          <w:rFonts w:cstheme="minorHAnsi"/>
          <w:szCs w:val="20"/>
          <w:lang w:val="en" w:eastAsia="zh-CN"/>
        </w:rPr>
        <w:t xml:space="preserve"> and is the responsibility of the Department of Industry</w:t>
      </w:r>
      <w:r w:rsidR="00997A5A">
        <w:rPr>
          <w:rFonts w:cstheme="minorHAnsi"/>
          <w:szCs w:val="20"/>
          <w:lang w:val="en" w:eastAsia="zh-CN"/>
        </w:rPr>
        <w:t>, Innovation</w:t>
      </w:r>
      <w:r w:rsidR="0019380B" w:rsidRPr="00837A15">
        <w:rPr>
          <w:rFonts w:cstheme="minorHAnsi"/>
          <w:szCs w:val="20"/>
          <w:lang w:val="en" w:eastAsia="zh-CN"/>
        </w:rPr>
        <w:t xml:space="preserve"> and Science.</w:t>
      </w:r>
    </w:p>
    <w:p w:rsidR="0046243E" w:rsidRPr="00085594" w:rsidRDefault="0046243E" w:rsidP="00B42381">
      <w:pPr>
        <w:pStyle w:val="Heading3"/>
      </w:pPr>
      <w:bookmarkStart w:id="18" w:name="_Toc428443491"/>
      <w:bookmarkStart w:id="19" w:name="_Toc429659494"/>
      <w:r w:rsidRPr="00085594">
        <w:t>Titles Information</w:t>
      </w:r>
      <w:bookmarkEnd w:id="18"/>
      <w:bookmarkEnd w:id="19"/>
    </w:p>
    <w:p w:rsidR="007E298F" w:rsidRPr="008F4913" w:rsidRDefault="007E298F" w:rsidP="005F0184">
      <w:pPr>
        <w:pStyle w:val="Heading4"/>
      </w:pPr>
      <w:r w:rsidRPr="008F4913">
        <w:t>Recommendation 4</w:t>
      </w:r>
      <w:r w:rsidR="00955F53" w:rsidRPr="008F4913">
        <w:t xml:space="preserve">: </w:t>
      </w:r>
      <w:r w:rsidRPr="008F4913">
        <w:t>That NOPTA, in conjunction with stakeholders, develop and implement short and long term plans to enhance the NEATS system to improve the efficiency and access to titles information.</w:t>
      </w:r>
    </w:p>
    <w:p w:rsidR="001A4EBC" w:rsidRPr="008F4913" w:rsidRDefault="007E298F" w:rsidP="005F0184">
      <w:pPr>
        <w:pStyle w:val="Heading4"/>
      </w:pPr>
      <w:r w:rsidRPr="008F4913">
        <w:t>Response</w:t>
      </w:r>
      <w:r w:rsidR="00F776D2" w:rsidRPr="008F4913">
        <w:t>: Accepted</w:t>
      </w:r>
    </w:p>
    <w:p w:rsidR="004F4138" w:rsidRDefault="00DA417B" w:rsidP="004F4138">
      <w:pPr>
        <w:rPr>
          <w:rFonts w:ascii="Arial" w:hAnsi="Arial" w:cs="Arial"/>
          <w:szCs w:val="20"/>
          <w:lang w:eastAsia="zh-CN"/>
        </w:rPr>
      </w:pPr>
      <w:r>
        <w:rPr>
          <w:rFonts w:cstheme="minorHAnsi"/>
          <w:szCs w:val="20"/>
          <w:lang w:val="en" w:eastAsia="zh-CN"/>
        </w:rPr>
        <w:t>T</w:t>
      </w:r>
      <w:r w:rsidR="00B25949" w:rsidRPr="00B25949">
        <w:rPr>
          <w:rFonts w:cstheme="minorHAnsi"/>
          <w:szCs w:val="20"/>
          <w:lang w:val="en" w:eastAsia="zh-CN"/>
        </w:rPr>
        <w:t>he National Electronic Approvals Tracking System (NEATS)</w:t>
      </w:r>
      <w:r>
        <w:rPr>
          <w:rFonts w:cstheme="minorHAnsi"/>
          <w:szCs w:val="20"/>
          <w:lang w:val="en" w:eastAsia="zh-CN"/>
        </w:rPr>
        <w:t xml:space="preserve"> was established by NOPTA and</w:t>
      </w:r>
      <w:r w:rsidR="00B25949">
        <w:rPr>
          <w:rFonts w:cstheme="minorHAnsi"/>
          <w:szCs w:val="20"/>
          <w:lang w:val="en" w:eastAsia="zh-CN"/>
        </w:rPr>
        <w:t xml:space="preserve"> </w:t>
      </w:r>
      <w:r w:rsidR="007E298F" w:rsidRPr="008552EF">
        <w:rPr>
          <w:rFonts w:cstheme="minorHAnsi"/>
          <w:szCs w:val="20"/>
          <w:lang w:eastAsia="zh-CN"/>
        </w:rPr>
        <w:t xml:space="preserve">provides access to publicly available information concerning offshore petroleum titles and applications. </w:t>
      </w:r>
      <w:r w:rsidR="00B25949">
        <w:rPr>
          <w:rFonts w:cstheme="minorHAnsi"/>
          <w:szCs w:val="20"/>
          <w:lang w:eastAsia="zh-CN"/>
        </w:rPr>
        <w:t>NEATS has a</w:t>
      </w:r>
      <w:r w:rsidR="007E298F" w:rsidRPr="008552EF">
        <w:rPr>
          <w:rFonts w:cstheme="minorHAnsi"/>
          <w:szCs w:val="20"/>
          <w:lang w:eastAsia="zh-CN"/>
        </w:rPr>
        <w:t xml:space="preserve"> level of </w:t>
      </w:r>
      <w:r>
        <w:rPr>
          <w:rFonts w:cstheme="minorHAnsi"/>
          <w:szCs w:val="20"/>
          <w:lang w:eastAsia="zh-CN"/>
        </w:rPr>
        <w:t>access for</w:t>
      </w:r>
      <w:r w:rsidR="007E298F" w:rsidRPr="008552EF">
        <w:rPr>
          <w:rFonts w:cstheme="minorHAnsi"/>
          <w:szCs w:val="20"/>
          <w:lang w:eastAsia="zh-CN"/>
        </w:rPr>
        <w:t xml:space="preserve"> both industry and the public, </w:t>
      </w:r>
      <w:r>
        <w:rPr>
          <w:rFonts w:cstheme="minorHAnsi"/>
          <w:szCs w:val="20"/>
          <w:lang w:eastAsia="zh-CN"/>
        </w:rPr>
        <w:t>and is</w:t>
      </w:r>
      <w:r w:rsidR="007E298F" w:rsidRPr="008552EF">
        <w:rPr>
          <w:rFonts w:cstheme="minorHAnsi"/>
          <w:szCs w:val="20"/>
          <w:lang w:eastAsia="zh-CN"/>
        </w:rPr>
        <w:t xml:space="preserve"> a single source of up to date information on offshore petroleum titles and </w:t>
      </w:r>
      <w:r w:rsidR="007E298F" w:rsidRPr="00353618">
        <w:rPr>
          <w:rFonts w:ascii="Arial" w:hAnsi="Arial" w:cs="Arial"/>
          <w:szCs w:val="20"/>
          <w:lang w:eastAsia="zh-CN"/>
        </w:rPr>
        <w:t>applications.</w:t>
      </w:r>
      <w:r w:rsidR="00B25949" w:rsidRPr="00353618">
        <w:rPr>
          <w:rFonts w:ascii="Arial" w:eastAsia="Calibri" w:hAnsi="Arial" w:cs="Arial"/>
          <w:color w:val="000000"/>
          <w:szCs w:val="20"/>
          <w:lang w:val="en-US"/>
        </w:rPr>
        <w:t xml:space="preserve"> </w:t>
      </w:r>
      <w:r w:rsidR="00353618" w:rsidRPr="00353618">
        <w:rPr>
          <w:rFonts w:ascii="Arial" w:eastAsia="Calibri" w:hAnsi="Arial" w:cs="Arial"/>
          <w:color w:val="000000"/>
          <w:szCs w:val="20"/>
          <w:lang w:val="en-US"/>
        </w:rPr>
        <w:t>NEATS can be accessed through</w:t>
      </w:r>
      <w:r w:rsidR="00CB6384" w:rsidRPr="00353618">
        <w:rPr>
          <w:rFonts w:ascii="Arial" w:hAnsi="Arial" w:cs="Arial"/>
          <w:szCs w:val="20"/>
          <w:lang w:eastAsia="zh-CN"/>
        </w:rPr>
        <w:t xml:space="preserve"> </w:t>
      </w:r>
      <w:r w:rsidR="00CB6384" w:rsidRPr="000118B2">
        <w:rPr>
          <w:rFonts w:ascii="Arial" w:hAnsi="Arial" w:cs="Arial"/>
          <w:szCs w:val="20"/>
          <w:lang w:eastAsia="zh-CN"/>
        </w:rPr>
        <w:t>NEATS online</w:t>
      </w:r>
      <w:r w:rsidR="00CB6384" w:rsidRPr="00353618">
        <w:rPr>
          <w:rFonts w:ascii="Arial" w:hAnsi="Arial" w:cs="Arial"/>
          <w:szCs w:val="20"/>
          <w:lang w:eastAsia="zh-CN"/>
        </w:rPr>
        <w:t xml:space="preserve"> </w:t>
      </w:r>
      <w:r w:rsidR="00353618">
        <w:rPr>
          <w:rFonts w:ascii="Arial" w:hAnsi="Arial" w:cs="Arial"/>
          <w:szCs w:val="20"/>
          <w:lang w:eastAsia="zh-CN"/>
        </w:rPr>
        <w:t>(</w:t>
      </w:r>
      <w:r w:rsidR="00CB6384" w:rsidRPr="00353618">
        <w:rPr>
          <w:rFonts w:ascii="Arial" w:hAnsi="Arial" w:cs="Arial"/>
          <w:szCs w:val="20"/>
          <w:lang w:eastAsia="zh-CN"/>
        </w:rPr>
        <w:t>www.neats.nopta.gov.au</w:t>
      </w:r>
      <w:r w:rsidR="00353618">
        <w:rPr>
          <w:rFonts w:ascii="Arial" w:hAnsi="Arial" w:cs="Arial"/>
          <w:szCs w:val="20"/>
          <w:lang w:eastAsia="zh-CN"/>
        </w:rPr>
        <w:t>).</w:t>
      </w:r>
    </w:p>
    <w:p w:rsidR="004F4138" w:rsidRDefault="004F4138" w:rsidP="004F4138">
      <w:pPr>
        <w:rPr>
          <w:rFonts w:cstheme="minorHAnsi"/>
          <w:szCs w:val="20"/>
          <w:lang w:eastAsia="zh-CN"/>
        </w:rPr>
      </w:pPr>
      <w:r>
        <w:rPr>
          <w:rFonts w:cstheme="minorHAnsi"/>
          <w:szCs w:val="20"/>
          <w:lang w:eastAsia="zh-CN"/>
        </w:rPr>
        <w:t xml:space="preserve">The public portal in </w:t>
      </w:r>
      <w:r w:rsidRPr="008552EF">
        <w:rPr>
          <w:rFonts w:cstheme="minorHAnsi"/>
          <w:szCs w:val="20"/>
          <w:lang w:eastAsia="zh-CN"/>
        </w:rPr>
        <w:t>NEATS provides access to information held within the title</w:t>
      </w:r>
      <w:r>
        <w:rPr>
          <w:rFonts w:cstheme="minorHAnsi"/>
          <w:szCs w:val="20"/>
          <w:lang w:eastAsia="zh-CN"/>
        </w:rPr>
        <w:t>s</w:t>
      </w:r>
      <w:r w:rsidRPr="008552EF">
        <w:rPr>
          <w:rFonts w:cstheme="minorHAnsi"/>
          <w:szCs w:val="20"/>
          <w:lang w:eastAsia="zh-CN"/>
        </w:rPr>
        <w:t xml:space="preserve"> register, application tracking and the electronic lodg</w:t>
      </w:r>
      <w:r>
        <w:rPr>
          <w:rFonts w:cstheme="minorHAnsi"/>
          <w:szCs w:val="20"/>
          <w:lang w:eastAsia="zh-CN"/>
        </w:rPr>
        <w:t>e</w:t>
      </w:r>
      <w:r w:rsidRPr="008552EF">
        <w:rPr>
          <w:rFonts w:cstheme="minorHAnsi"/>
          <w:szCs w:val="20"/>
          <w:lang w:eastAsia="zh-CN"/>
        </w:rPr>
        <w:t xml:space="preserve">ment of applications. </w:t>
      </w:r>
      <w:r>
        <w:rPr>
          <w:rFonts w:cstheme="minorHAnsi"/>
          <w:szCs w:val="20"/>
          <w:lang w:eastAsia="zh-CN"/>
        </w:rPr>
        <w:t>It also enables titleholder specific (confidential) information to be viewed by T</w:t>
      </w:r>
      <w:r w:rsidRPr="008552EF">
        <w:rPr>
          <w:rFonts w:cstheme="minorHAnsi"/>
          <w:szCs w:val="20"/>
          <w:lang w:eastAsia="zh-CN"/>
        </w:rPr>
        <w:t xml:space="preserve">itleholders </w:t>
      </w:r>
      <w:r>
        <w:rPr>
          <w:rFonts w:cstheme="minorHAnsi"/>
          <w:szCs w:val="20"/>
          <w:lang w:eastAsia="zh-CN"/>
        </w:rPr>
        <w:t xml:space="preserve">through </w:t>
      </w:r>
      <w:r w:rsidRPr="008552EF">
        <w:rPr>
          <w:rFonts w:cstheme="minorHAnsi"/>
          <w:szCs w:val="20"/>
          <w:lang w:eastAsia="zh-CN"/>
        </w:rPr>
        <w:t>an industry porta</w:t>
      </w:r>
      <w:r>
        <w:rPr>
          <w:rFonts w:cstheme="minorHAnsi"/>
          <w:szCs w:val="20"/>
          <w:lang w:eastAsia="zh-CN"/>
        </w:rPr>
        <w:t>l</w:t>
      </w:r>
      <w:r w:rsidR="008F4913">
        <w:rPr>
          <w:rFonts w:cstheme="minorHAnsi"/>
          <w:szCs w:val="20"/>
          <w:lang w:eastAsia="zh-CN"/>
        </w:rPr>
        <w:t xml:space="preserve">. </w:t>
      </w:r>
      <w:r>
        <w:rPr>
          <w:rFonts w:cstheme="minorHAnsi"/>
          <w:szCs w:val="20"/>
          <w:lang w:eastAsia="zh-CN"/>
        </w:rPr>
        <w:t xml:space="preserve">In this regard, a Titleholder is able to have a </w:t>
      </w:r>
      <w:r w:rsidRPr="008552EF">
        <w:rPr>
          <w:rFonts w:cstheme="minorHAnsi"/>
          <w:szCs w:val="20"/>
          <w:lang w:eastAsia="zh-CN"/>
        </w:rPr>
        <w:t xml:space="preserve">consolidated view of the titles in which they participate </w:t>
      </w:r>
      <w:r>
        <w:rPr>
          <w:rFonts w:cstheme="minorHAnsi"/>
          <w:szCs w:val="20"/>
          <w:lang w:eastAsia="zh-CN"/>
        </w:rPr>
        <w:t>a</w:t>
      </w:r>
      <w:r w:rsidRPr="008552EF">
        <w:rPr>
          <w:rFonts w:cstheme="minorHAnsi"/>
          <w:szCs w:val="20"/>
          <w:lang w:eastAsia="zh-CN"/>
        </w:rPr>
        <w:t xml:space="preserve">nd </w:t>
      </w:r>
      <w:r>
        <w:rPr>
          <w:rFonts w:cstheme="minorHAnsi"/>
          <w:szCs w:val="20"/>
          <w:lang w:eastAsia="zh-CN"/>
        </w:rPr>
        <w:t xml:space="preserve">is able to </w:t>
      </w:r>
      <w:r w:rsidRPr="008552EF">
        <w:rPr>
          <w:rFonts w:cstheme="minorHAnsi"/>
          <w:szCs w:val="20"/>
          <w:lang w:eastAsia="zh-CN"/>
        </w:rPr>
        <w:t>lodg</w:t>
      </w:r>
      <w:r>
        <w:rPr>
          <w:rFonts w:cstheme="minorHAnsi"/>
          <w:szCs w:val="20"/>
          <w:lang w:eastAsia="zh-CN"/>
        </w:rPr>
        <w:t xml:space="preserve">e </w:t>
      </w:r>
      <w:r w:rsidRPr="008552EF">
        <w:rPr>
          <w:rFonts w:cstheme="minorHAnsi"/>
          <w:szCs w:val="20"/>
          <w:lang w:eastAsia="zh-CN"/>
        </w:rPr>
        <w:t>selected applications</w:t>
      </w:r>
      <w:r>
        <w:rPr>
          <w:rFonts w:cstheme="minorHAnsi"/>
          <w:szCs w:val="20"/>
          <w:lang w:eastAsia="zh-CN"/>
        </w:rPr>
        <w:t xml:space="preserve">, including payment of </w:t>
      </w:r>
      <w:r w:rsidRPr="008552EF">
        <w:rPr>
          <w:rFonts w:cstheme="minorHAnsi"/>
          <w:szCs w:val="20"/>
          <w:lang w:eastAsia="zh-CN"/>
        </w:rPr>
        <w:t>fee</w:t>
      </w:r>
      <w:r>
        <w:rPr>
          <w:rFonts w:cstheme="minorHAnsi"/>
          <w:szCs w:val="20"/>
          <w:lang w:eastAsia="zh-CN"/>
        </w:rPr>
        <w:t>s</w:t>
      </w:r>
      <w:r w:rsidR="00837A15">
        <w:rPr>
          <w:rFonts w:cstheme="minorHAnsi"/>
          <w:szCs w:val="20"/>
          <w:lang w:eastAsia="zh-CN"/>
        </w:rPr>
        <w:t>.</w:t>
      </w:r>
    </w:p>
    <w:p w:rsidR="004F4138" w:rsidRPr="008552EF" w:rsidRDefault="004F4138" w:rsidP="004F4138">
      <w:pPr>
        <w:rPr>
          <w:lang w:eastAsia="zh-CN"/>
        </w:rPr>
      </w:pPr>
      <w:r w:rsidRPr="008552EF">
        <w:rPr>
          <w:lang w:eastAsia="zh-CN"/>
        </w:rPr>
        <w:t>The key features included in NEATS are:</w:t>
      </w:r>
    </w:p>
    <w:p w:rsidR="004F4138" w:rsidRPr="008552EF" w:rsidRDefault="004F4138" w:rsidP="004F4138">
      <w:pPr>
        <w:pStyle w:val="ListParagraph"/>
        <w:numPr>
          <w:ilvl w:val="0"/>
          <w:numId w:val="28"/>
        </w:numPr>
        <w:rPr>
          <w:lang w:eastAsia="zh-CN"/>
        </w:rPr>
      </w:pPr>
      <w:r w:rsidRPr="008552EF">
        <w:rPr>
          <w:lang w:eastAsia="zh-CN"/>
        </w:rPr>
        <w:t>the ability to search the title register using a range of criteria</w:t>
      </w:r>
    </w:p>
    <w:p w:rsidR="004F4138" w:rsidRPr="008552EF" w:rsidRDefault="004F4138" w:rsidP="004F4138">
      <w:pPr>
        <w:pStyle w:val="ListParagraph"/>
        <w:numPr>
          <w:ilvl w:val="0"/>
          <w:numId w:val="28"/>
        </w:numPr>
        <w:rPr>
          <w:lang w:eastAsia="zh-CN"/>
        </w:rPr>
      </w:pPr>
      <w:r w:rsidRPr="008552EF">
        <w:rPr>
          <w:lang w:eastAsia="zh-CN"/>
        </w:rPr>
        <w:t>the ability to view details of a title, including relevant title instruments</w:t>
      </w:r>
    </w:p>
    <w:p w:rsidR="004F4138" w:rsidRPr="008552EF" w:rsidRDefault="004F4138" w:rsidP="004F4138">
      <w:pPr>
        <w:pStyle w:val="ListParagraph"/>
        <w:numPr>
          <w:ilvl w:val="0"/>
          <w:numId w:val="28"/>
        </w:numPr>
        <w:rPr>
          <w:lang w:eastAsia="zh-CN"/>
        </w:rPr>
      </w:pPr>
      <w:proofErr w:type="gramStart"/>
      <w:r w:rsidRPr="008552EF">
        <w:rPr>
          <w:lang w:eastAsia="zh-CN"/>
        </w:rPr>
        <w:t>a</w:t>
      </w:r>
      <w:proofErr w:type="gramEnd"/>
      <w:r w:rsidRPr="008552EF">
        <w:rPr>
          <w:lang w:eastAsia="zh-CN"/>
        </w:rPr>
        <w:t xml:space="preserve"> geospatial view of titles providing summary details and interactive maps to identify surrounding titles.</w:t>
      </w:r>
    </w:p>
    <w:p w:rsidR="004F4138" w:rsidRPr="008552EF" w:rsidRDefault="004F4138" w:rsidP="00FE39D3">
      <w:pPr>
        <w:rPr>
          <w:lang w:eastAsia="zh-CN"/>
        </w:rPr>
      </w:pPr>
      <w:r w:rsidRPr="008552EF">
        <w:rPr>
          <w:lang w:eastAsia="zh-CN"/>
        </w:rPr>
        <w:t>The key features of</w:t>
      </w:r>
      <w:r w:rsidR="00837A15">
        <w:rPr>
          <w:lang w:eastAsia="zh-CN"/>
        </w:rPr>
        <w:t xml:space="preserve"> the NEATS Industry Portal are:</w:t>
      </w:r>
    </w:p>
    <w:p w:rsidR="004F4138" w:rsidRPr="008552EF" w:rsidRDefault="004F4138" w:rsidP="004F4138">
      <w:pPr>
        <w:pStyle w:val="ListParagraph"/>
        <w:numPr>
          <w:ilvl w:val="0"/>
          <w:numId w:val="28"/>
        </w:numPr>
        <w:rPr>
          <w:lang w:eastAsia="zh-CN"/>
        </w:rPr>
      </w:pPr>
      <w:r w:rsidRPr="008552EF">
        <w:rPr>
          <w:lang w:eastAsia="zh-CN"/>
        </w:rPr>
        <w:t>application</w:t>
      </w:r>
      <w:r w:rsidR="00837A15">
        <w:rPr>
          <w:lang w:eastAsia="zh-CN"/>
        </w:rPr>
        <w:t xml:space="preserve"> tracking and search facilities</w:t>
      </w:r>
    </w:p>
    <w:p w:rsidR="004F4138" w:rsidRPr="008552EF" w:rsidRDefault="004F4138" w:rsidP="004F4138">
      <w:pPr>
        <w:pStyle w:val="ListParagraph"/>
        <w:numPr>
          <w:ilvl w:val="0"/>
          <w:numId w:val="28"/>
        </w:numPr>
        <w:rPr>
          <w:lang w:eastAsia="zh-CN"/>
        </w:rPr>
      </w:pPr>
      <w:r w:rsidRPr="008552EF">
        <w:rPr>
          <w:lang w:eastAsia="zh-CN"/>
        </w:rPr>
        <w:t>online fee payment facilities</w:t>
      </w:r>
    </w:p>
    <w:p w:rsidR="004F4138" w:rsidRPr="008552EF" w:rsidRDefault="004F4138" w:rsidP="004F4138">
      <w:pPr>
        <w:pStyle w:val="ListParagraph"/>
        <w:numPr>
          <w:ilvl w:val="0"/>
          <w:numId w:val="28"/>
        </w:numPr>
        <w:rPr>
          <w:lang w:eastAsia="zh-CN"/>
        </w:rPr>
      </w:pPr>
      <w:r w:rsidRPr="008552EF">
        <w:rPr>
          <w:lang w:eastAsia="zh-CN"/>
        </w:rPr>
        <w:t>online lodg</w:t>
      </w:r>
      <w:r>
        <w:rPr>
          <w:lang w:eastAsia="zh-CN"/>
        </w:rPr>
        <w:t>e</w:t>
      </w:r>
      <w:r w:rsidRPr="008552EF">
        <w:rPr>
          <w:lang w:eastAsia="zh-CN"/>
        </w:rPr>
        <w:t xml:space="preserve">ment of </w:t>
      </w:r>
      <w:r>
        <w:rPr>
          <w:lang w:eastAsia="zh-CN"/>
        </w:rPr>
        <w:t xml:space="preserve">selected </w:t>
      </w:r>
      <w:r w:rsidRPr="008552EF">
        <w:rPr>
          <w:lang w:eastAsia="zh-CN"/>
        </w:rPr>
        <w:t>applications</w:t>
      </w:r>
    </w:p>
    <w:p w:rsidR="004F4138" w:rsidRPr="008552EF" w:rsidRDefault="004F4138" w:rsidP="004F4138">
      <w:pPr>
        <w:pStyle w:val="ListParagraph"/>
        <w:numPr>
          <w:ilvl w:val="0"/>
          <w:numId w:val="28"/>
        </w:numPr>
        <w:rPr>
          <w:lang w:eastAsia="zh-CN"/>
        </w:rPr>
      </w:pPr>
      <w:r w:rsidRPr="008552EF">
        <w:rPr>
          <w:lang w:eastAsia="zh-CN"/>
        </w:rPr>
        <w:t>industry log-on with roles based user management</w:t>
      </w:r>
    </w:p>
    <w:p w:rsidR="004F4138" w:rsidRPr="008552EF" w:rsidRDefault="004F4138" w:rsidP="004F4138">
      <w:pPr>
        <w:pStyle w:val="ListParagraph"/>
        <w:numPr>
          <w:ilvl w:val="0"/>
          <w:numId w:val="28"/>
        </w:numPr>
        <w:rPr>
          <w:lang w:eastAsia="zh-CN"/>
        </w:rPr>
      </w:pPr>
      <w:r w:rsidRPr="008552EF">
        <w:rPr>
          <w:lang w:eastAsia="zh-CN"/>
        </w:rPr>
        <w:t>application tracking in greater detail for applicants</w:t>
      </w:r>
    </w:p>
    <w:p w:rsidR="004F4138" w:rsidRPr="008552EF" w:rsidRDefault="004F4138" w:rsidP="004F4138">
      <w:pPr>
        <w:pStyle w:val="ListParagraph"/>
        <w:numPr>
          <w:ilvl w:val="0"/>
          <w:numId w:val="28"/>
        </w:numPr>
        <w:rPr>
          <w:lang w:eastAsia="zh-CN"/>
        </w:rPr>
      </w:pPr>
      <w:r w:rsidRPr="008552EF">
        <w:rPr>
          <w:lang w:eastAsia="zh-CN"/>
        </w:rPr>
        <w:t>company based task lists of applications in progress and actions required</w:t>
      </w:r>
    </w:p>
    <w:p w:rsidR="004F4138" w:rsidRPr="008552EF" w:rsidRDefault="004F4138" w:rsidP="00837A15">
      <w:pPr>
        <w:pStyle w:val="ListParagraph"/>
        <w:numPr>
          <w:ilvl w:val="0"/>
          <w:numId w:val="28"/>
        </w:numPr>
        <w:rPr>
          <w:lang w:eastAsia="zh-CN"/>
        </w:rPr>
      </w:pPr>
      <w:proofErr w:type="gramStart"/>
      <w:r w:rsidRPr="008552EF">
        <w:rPr>
          <w:lang w:eastAsia="zh-CN"/>
        </w:rPr>
        <w:t>the</w:t>
      </w:r>
      <w:proofErr w:type="gramEnd"/>
      <w:r w:rsidRPr="008552EF">
        <w:rPr>
          <w:lang w:eastAsia="zh-CN"/>
        </w:rPr>
        <w:t xml:space="preserve"> ability to produce reports from the title register using a range of criteria.</w:t>
      </w:r>
    </w:p>
    <w:p w:rsidR="004F4138" w:rsidRDefault="004F4138" w:rsidP="004F4138">
      <w:pPr>
        <w:rPr>
          <w:rFonts w:ascii="Arial" w:hAnsi="Arial" w:cs="Arial"/>
          <w:szCs w:val="20"/>
          <w:lang w:eastAsia="zh-CN"/>
        </w:rPr>
      </w:pPr>
      <w:r w:rsidRPr="004F4138">
        <w:rPr>
          <w:rFonts w:ascii="Arial" w:hAnsi="Arial" w:cs="Arial"/>
          <w:szCs w:val="20"/>
          <w:lang w:eastAsia="zh-CN"/>
        </w:rPr>
        <w:t xml:space="preserve">The </w:t>
      </w:r>
      <w:r>
        <w:rPr>
          <w:rFonts w:ascii="Arial" w:hAnsi="Arial" w:cs="Arial"/>
          <w:szCs w:val="20"/>
          <w:lang w:eastAsia="zh-CN"/>
        </w:rPr>
        <w:t xml:space="preserve">Government notes that the </w:t>
      </w:r>
      <w:r w:rsidRPr="004F4138">
        <w:rPr>
          <w:rFonts w:ascii="Arial" w:hAnsi="Arial" w:cs="Arial"/>
          <w:szCs w:val="20"/>
          <w:lang w:eastAsia="zh-CN"/>
        </w:rPr>
        <w:t>current development cycle of NEATS is due to conclude in October, 2015 with the last major upgrade/roll ou</w:t>
      </w:r>
      <w:r w:rsidR="00837A15">
        <w:rPr>
          <w:rFonts w:ascii="Arial" w:hAnsi="Arial" w:cs="Arial"/>
          <w:szCs w:val="20"/>
          <w:lang w:eastAsia="zh-CN"/>
        </w:rPr>
        <w:t>t.</w:t>
      </w:r>
    </w:p>
    <w:p w:rsidR="004F4138" w:rsidRDefault="004F4138" w:rsidP="004F4138">
      <w:pPr>
        <w:rPr>
          <w:rFonts w:ascii="Arial" w:hAnsi="Arial" w:cs="Arial"/>
          <w:szCs w:val="20"/>
          <w:lang w:eastAsia="zh-CN"/>
        </w:rPr>
      </w:pPr>
      <w:r w:rsidRPr="004F4138">
        <w:rPr>
          <w:rFonts w:ascii="Arial" w:hAnsi="Arial" w:cs="Arial"/>
          <w:szCs w:val="20"/>
          <w:lang w:eastAsia="zh-CN"/>
        </w:rPr>
        <w:t xml:space="preserve">The next </w:t>
      </w:r>
      <w:r>
        <w:rPr>
          <w:rFonts w:ascii="Arial" w:hAnsi="Arial" w:cs="Arial"/>
          <w:szCs w:val="20"/>
          <w:lang w:eastAsia="zh-CN"/>
        </w:rPr>
        <w:t xml:space="preserve">phase of development for NEATS will consider increased </w:t>
      </w:r>
      <w:r w:rsidRPr="004F4138">
        <w:rPr>
          <w:rFonts w:ascii="Arial" w:hAnsi="Arial" w:cs="Arial"/>
          <w:szCs w:val="20"/>
          <w:lang w:eastAsia="zh-CN"/>
        </w:rPr>
        <w:t>functionalit</w:t>
      </w:r>
      <w:r>
        <w:rPr>
          <w:rFonts w:ascii="Arial" w:hAnsi="Arial" w:cs="Arial"/>
          <w:szCs w:val="20"/>
          <w:lang w:eastAsia="zh-CN"/>
        </w:rPr>
        <w:t>y in respect of the titles activ</w:t>
      </w:r>
      <w:r w:rsidR="00EC306E">
        <w:rPr>
          <w:rFonts w:ascii="Arial" w:hAnsi="Arial" w:cs="Arial"/>
          <w:szCs w:val="20"/>
          <w:lang w:eastAsia="zh-CN"/>
        </w:rPr>
        <w:t>i</w:t>
      </w:r>
      <w:r>
        <w:rPr>
          <w:rFonts w:ascii="Arial" w:hAnsi="Arial" w:cs="Arial"/>
          <w:szCs w:val="20"/>
          <w:lang w:eastAsia="zh-CN"/>
        </w:rPr>
        <w:t>t</w:t>
      </w:r>
      <w:r w:rsidR="00EC306E">
        <w:rPr>
          <w:rFonts w:ascii="Arial" w:hAnsi="Arial" w:cs="Arial"/>
          <w:szCs w:val="20"/>
          <w:lang w:eastAsia="zh-CN"/>
        </w:rPr>
        <w:t>i</w:t>
      </w:r>
      <w:r>
        <w:rPr>
          <w:rFonts w:ascii="Arial" w:hAnsi="Arial" w:cs="Arial"/>
          <w:szCs w:val="20"/>
          <w:lang w:eastAsia="zh-CN"/>
        </w:rPr>
        <w:t xml:space="preserve">es and useability in relation to the information that can be accessed through the </w:t>
      </w:r>
      <w:r w:rsidR="00EC306E">
        <w:rPr>
          <w:rFonts w:ascii="Arial" w:hAnsi="Arial" w:cs="Arial"/>
          <w:szCs w:val="20"/>
          <w:lang w:eastAsia="zh-CN"/>
        </w:rPr>
        <w:t>g</w:t>
      </w:r>
      <w:r>
        <w:rPr>
          <w:rFonts w:ascii="Arial" w:hAnsi="Arial" w:cs="Arial"/>
          <w:szCs w:val="20"/>
          <w:lang w:eastAsia="zh-CN"/>
        </w:rPr>
        <w:t xml:space="preserve">eospatial/mapping capability, such as Special Prospecting and Access Authorities, and titles register, further contributing to transparency of offshore petroleum titles. Consideration of the development requirements will commence in early 2016 and will include providing </w:t>
      </w:r>
      <w:r w:rsidRPr="004F4138">
        <w:rPr>
          <w:rFonts w:ascii="Arial" w:hAnsi="Arial" w:cs="Arial"/>
          <w:szCs w:val="20"/>
          <w:lang w:eastAsia="zh-CN"/>
        </w:rPr>
        <w:t xml:space="preserve">higher levels of automation and </w:t>
      </w:r>
      <w:r>
        <w:rPr>
          <w:rFonts w:ascii="Arial" w:hAnsi="Arial" w:cs="Arial"/>
          <w:szCs w:val="20"/>
          <w:lang w:eastAsia="zh-CN"/>
        </w:rPr>
        <w:t>increased</w:t>
      </w:r>
      <w:r w:rsidRPr="004F4138">
        <w:rPr>
          <w:rFonts w:ascii="Arial" w:hAnsi="Arial" w:cs="Arial"/>
          <w:szCs w:val="20"/>
          <w:lang w:eastAsia="zh-CN"/>
        </w:rPr>
        <w:t xml:space="preserve"> use of on-line submission of applications, and related work flows</w:t>
      </w:r>
      <w:r>
        <w:rPr>
          <w:rFonts w:ascii="Arial" w:hAnsi="Arial" w:cs="Arial"/>
          <w:szCs w:val="20"/>
          <w:lang w:eastAsia="zh-CN"/>
        </w:rPr>
        <w:t xml:space="preserve">. </w:t>
      </w:r>
      <w:r w:rsidRPr="004F4138">
        <w:rPr>
          <w:rFonts w:ascii="Arial" w:hAnsi="Arial" w:cs="Arial"/>
          <w:szCs w:val="20"/>
          <w:lang w:eastAsia="zh-CN"/>
        </w:rPr>
        <w:t xml:space="preserve">It is </w:t>
      </w:r>
      <w:r w:rsidRPr="004F4138">
        <w:rPr>
          <w:rFonts w:ascii="Arial" w:hAnsi="Arial" w:cs="Arial"/>
          <w:szCs w:val="20"/>
          <w:lang w:eastAsia="zh-CN"/>
        </w:rPr>
        <w:lastRenderedPageBreak/>
        <w:t xml:space="preserve">estimated that the planning and development program will be over </w:t>
      </w:r>
      <w:r>
        <w:rPr>
          <w:rFonts w:ascii="Arial" w:hAnsi="Arial" w:cs="Arial"/>
          <w:szCs w:val="20"/>
          <w:lang w:eastAsia="zh-CN"/>
        </w:rPr>
        <w:t>three years (12 months planning/scoping followed by specification and design followed by up to two years development, testing and implementation)</w:t>
      </w:r>
      <w:r w:rsidR="00EC306E">
        <w:rPr>
          <w:rFonts w:ascii="Arial" w:hAnsi="Arial" w:cs="Arial"/>
          <w:szCs w:val="20"/>
          <w:lang w:eastAsia="zh-CN"/>
        </w:rPr>
        <w:t>.</w:t>
      </w:r>
    </w:p>
    <w:p w:rsidR="0019380B" w:rsidRPr="004F4138" w:rsidRDefault="0019380B" w:rsidP="004F4138">
      <w:pPr>
        <w:rPr>
          <w:rFonts w:ascii="Arial" w:hAnsi="Arial" w:cs="Arial"/>
          <w:szCs w:val="20"/>
          <w:lang w:eastAsia="zh-CN"/>
        </w:rPr>
      </w:pPr>
      <w:r>
        <w:t>Implementation of this recommendation is the responsibility of the Department of Industry</w:t>
      </w:r>
      <w:r w:rsidR="00997A5A">
        <w:t>, Innovation</w:t>
      </w:r>
      <w:r>
        <w:t xml:space="preserve"> and Science.</w:t>
      </w:r>
    </w:p>
    <w:p w:rsidR="007E298F" w:rsidRPr="008F4913" w:rsidRDefault="007E298F" w:rsidP="005F0184">
      <w:pPr>
        <w:pStyle w:val="Heading4"/>
      </w:pPr>
      <w:r w:rsidRPr="008F4913">
        <w:t>Recommendation 5</w:t>
      </w:r>
      <w:r w:rsidR="00955F53" w:rsidRPr="008F4913">
        <w:t xml:space="preserve">: </w:t>
      </w:r>
      <w:r w:rsidRPr="008F4913">
        <w:t>That NEATS functionality is extended to include more information on the progress of applications through the Joint Authority process.</w:t>
      </w:r>
    </w:p>
    <w:p w:rsidR="001A4EBC" w:rsidRPr="008F4913" w:rsidRDefault="007E298F" w:rsidP="005F0184">
      <w:pPr>
        <w:pStyle w:val="Heading4"/>
      </w:pPr>
      <w:r w:rsidRPr="008F4913">
        <w:t>Response</w:t>
      </w:r>
      <w:r w:rsidR="006B2C1B" w:rsidRPr="008F4913">
        <w:t xml:space="preserve">: </w:t>
      </w:r>
      <w:r w:rsidR="00F0591B" w:rsidRPr="008F4913">
        <w:t>Accepted</w:t>
      </w:r>
    </w:p>
    <w:p w:rsidR="002115BB" w:rsidRPr="009B7B5F" w:rsidRDefault="004F4138" w:rsidP="002115BB">
      <w:pPr>
        <w:rPr>
          <w:rFonts w:cstheme="minorHAnsi"/>
          <w:szCs w:val="20"/>
          <w:lang w:eastAsia="zh-CN"/>
        </w:rPr>
      </w:pPr>
      <w:r w:rsidRPr="004C646E">
        <w:rPr>
          <w:rFonts w:ascii="Arial" w:hAnsi="Arial" w:cs="Arial"/>
          <w:szCs w:val="20"/>
          <w:lang w:eastAsia="zh-CN"/>
        </w:rPr>
        <w:t>NEATS has a proven and established platform and framework for titleholders to be able to track their individual title applications through the confidential industry portal</w:t>
      </w:r>
      <w:r w:rsidRPr="009B7B5F">
        <w:rPr>
          <w:rFonts w:ascii="Arial" w:hAnsi="Arial" w:cs="Arial"/>
          <w:szCs w:val="20"/>
          <w:lang w:eastAsia="zh-CN"/>
        </w:rPr>
        <w:t>.</w:t>
      </w:r>
      <w:r w:rsidR="002115BB" w:rsidRPr="009B7B5F">
        <w:rPr>
          <w:rFonts w:ascii="Arial" w:hAnsi="Arial" w:cs="Arial"/>
          <w:szCs w:val="20"/>
          <w:lang w:eastAsia="zh-CN"/>
        </w:rPr>
        <w:t xml:space="preserve"> T</w:t>
      </w:r>
      <w:r w:rsidR="002115BB" w:rsidRPr="009B7B5F">
        <w:rPr>
          <w:rFonts w:cstheme="minorHAnsi"/>
          <w:szCs w:val="20"/>
          <w:lang w:eastAsia="zh-CN"/>
        </w:rPr>
        <w:t xml:space="preserve">he publically visible </w:t>
      </w:r>
      <w:r w:rsidR="002115BB" w:rsidRPr="000118B2">
        <w:rPr>
          <w:rFonts w:cstheme="minorHAnsi"/>
          <w:szCs w:val="20"/>
          <w:lang w:eastAsia="zh-CN"/>
        </w:rPr>
        <w:t>Approvals Tracking</w:t>
      </w:r>
      <w:r w:rsidR="002115BB" w:rsidRPr="009B7B5F">
        <w:rPr>
          <w:rFonts w:cstheme="minorHAnsi"/>
          <w:szCs w:val="20"/>
          <w:lang w:eastAsia="zh-CN"/>
        </w:rPr>
        <w:t xml:space="preserve"> page on NEATS provides aggregated information on total numbers of applications at milestone stages</w:t>
      </w:r>
      <w:r w:rsidR="00591AEC">
        <w:rPr>
          <w:rFonts w:cstheme="minorHAnsi"/>
          <w:szCs w:val="20"/>
          <w:lang w:eastAsia="zh-CN"/>
        </w:rPr>
        <w:t>.</w:t>
      </w:r>
      <w:r w:rsidR="002115BB" w:rsidRPr="009B7B5F">
        <w:rPr>
          <w:rFonts w:cstheme="minorHAnsi"/>
          <w:szCs w:val="20"/>
          <w:lang w:eastAsia="zh-CN"/>
        </w:rPr>
        <w:t xml:space="preserve"> NEATS also offers an additional</w:t>
      </w:r>
      <w:r w:rsidR="009B7B5F">
        <w:rPr>
          <w:rFonts w:cstheme="minorHAnsi"/>
          <w:szCs w:val="20"/>
          <w:lang w:eastAsia="zh-CN"/>
        </w:rPr>
        <w:t xml:space="preserve">, confidential </w:t>
      </w:r>
      <w:r w:rsidR="002115BB" w:rsidRPr="009B7B5F">
        <w:rPr>
          <w:rFonts w:cstheme="minorHAnsi"/>
          <w:szCs w:val="20"/>
          <w:lang w:eastAsia="zh-CN"/>
        </w:rPr>
        <w:t>level of detail for registered titleholders to log-in and see what stage their individual application is up to, including which member of the Joint Authority is currently considering the matter.</w:t>
      </w:r>
      <w:r w:rsidR="001624EB" w:rsidRPr="009B7B5F">
        <w:rPr>
          <w:rFonts w:cstheme="minorHAnsi"/>
          <w:szCs w:val="20"/>
          <w:lang w:eastAsia="zh-CN"/>
        </w:rPr>
        <w:t xml:space="preserve"> The Government notes that this function of NEATS does not appear to be known broadly, and as such NOPTA will further communicate and promote this function with titleholders to en</w:t>
      </w:r>
      <w:r w:rsidR="00837A15">
        <w:rPr>
          <w:rFonts w:cstheme="minorHAnsi"/>
          <w:szCs w:val="20"/>
          <w:lang w:eastAsia="zh-CN"/>
        </w:rPr>
        <w:t>sure its effective utilisation.</w:t>
      </w:r>
    </w:p>
    <w:p w:rsidR="004F4138" w:rsidRDefault="001624EB" w:rsidP="00EF6140">
      <w:pPr>
        <w:rPr>
          <w:rFonts w:ascii="Arial" w:hAnsi="Arial" w:cs="Arial"/>
          <w:szCs w:val="20"/>
          <w:lang w:eastAsia="zh-CN"/>
        </w:rPr>
      </w:pPr>
      <w:r w:rsidRPr="009B7B5F">
        <w:rPr>
          <w:rFonts w:ascii="Arial" w:hAnsi="Arial" w:cs="Arial"/>
          <w:szCs w:val="20"/>
          <w:lang w:eastAsia="zh-CN"/>
        </w:rPr>
        <w:t>In addition</w:t>
      </w:r>
      <w:r w:rsidR="007906D0">
        <w:rPr>
          <w:rFonts w:ascii="Arial" w:hAnsi="Arial" w:cs="Arial"/>
          <w:szCs w:val="20"/>
          <w:lang w:eastAsia="zh-CN"/>
        </w:rPr>
        <w:t>,</w:t>
      </w:r>
      <w:r w:rsidRPr="009B7B5F">
        <w:rPr>
          <w:rFonts w:ascii="Arial" w:hAnsi="Arial" w:cs="Arial"/>
          <w:szCs w:val="20"/>
          <w:lang w:eastAsia="zh-CN"/>
        </w:rPr>
        <w:t xml:space="preserve"> the f</w:t>
      </w:r>
      <w:r w:rsidR="004F4138" w:rsidRPr="009B7B5F">
        <w:rPr>
          <w:rFonts w:ascii="Arial" w:hAnsi="Arial" w:cs="Arial"/>
          <w:szCs w:val="20"/>
          <w:lang w:eastAsia="zh-CN"/>
        </w:rPr>
        <w:t xml:space="preserve">urther development </w:t>
      </w:r>
      <w:r w:rsidRPr="009B7B5F">
        <w:rPr>
          <w:rFonts w:ascii="Arial" w:hAnsi="Arial" w:cs="Arial"/>
          <w:szCs w:val="20"/>
          <w:lang w:eastAsia="zh-CN"/>
        </w:rPr>
        <w:t>and implementation of</w:t>
      </w:r>
      <w:r w:rsidR="00B8037C" w:rsidRPr="009B7B5F">
        <w:rPr>
          <w:rFonts w:ascii="Arial" w:hAnsi="Arial" w:cs="Arial"/>
          <w:szCs w:val="20"/>
          <w:lang w:eastAsia="zh-CN"/>
        </w:rPr>
        <w:t xml:space="preserve"> electronic workflows by NOPTA will contribute to increasing the timeliness of information that can be made available to applicants, particular in relation t</w:t>
      </w:r>
      <w:r w:rsidR="00837A15">
        <w:rPr>
          <w:rFonts w:ascii="Arial" w:hAnsi="Arial" w:cs="Arial"/>
          <w:szCs w:val="20"/>
          <w:lang w:eastAsia="zh-CN"/>
        </w:rPr>
        <w:t>o the progress of applications.</w:t>
      </w:r>
    </w:p>
    <w:p w:rsidR="0019380B" w:rsidRPr="00EF6140" w:rsidRDefault="0019380B" w:rsidP="00EF6140">
      <w:pPr>
        <w:rPr>
          <w:rFonts w:ascii="Arial" w:hAnsi="Arial" w:cs="Arial"/>
          <w:szCs w:val="20"/>
          <w:lang w:eastAsia="zh-CN"/>
        </w:rPr>
      </w:pPr>
      <w:r>
        <w:t>Implementation of this recommendation is the responsibility of the Department of Industry</w:t>
      </w:r>
      <w:r w:rsidR="00997A5A">
        <w:t xml:space="preserve">, Innovation </w:t>
      </w:r>
      <w:r>
        <w:t>and Science.</w:t>
      </w:r>
    </w:p>
    <w:p w:rsidR="0046243E" w:rsidRPr="00917294" w:rsidRDefault="0046243E" w:rsidP="00B42381">
      <w:pPr>
        <w:pStyle w:val="Heading3"/>
      </w:pPr>
      <w:bookmarkStart w:id="20" w:name="_Toc428443492"/>
      <w:bookmarkStart w:id="21" w:name="_Toc429659495"/>
      <w:r w:rsidRPr="00917294">
        <w:t>Compliance</w:t>
      </w:r>
      <w:bookmarkEnd w:id="20"/>
      <w:bookmarkEnd w:id="21"/>
    </w:p>
    <w:p w:rsidR="00565B56" w:rsidRPr="009B7B5F" w:rsidRDefault="00565B56" w:rsidP="006C18CB">
      <w:r w:rsidRPr="009B7B5F">
        <w:t xml:space="preserve">Australia’s offshore petroleum and greenhouse gas legislative and supporting administrative regime provides a range of monitoring and enforcement mechanisms and triggers which support and ensure the timely and optimal development of Australia’s oil and gas resources. They include ongoing assessment and scrutiny of the titleholder in meeting these requirements; the Annual </w:t>
      </w:r>
      <w:r w:rsidR="006D54E6" w:rsidRPr="009B7B5F">
        <w:t>T</w:t>
      </w:r>
      <w:r w:rsidRPr="009B7B5F">
        <w:t>itles Assessment Report (ATAR), and ultimately the decision of the Joint Authority on whether to grant, renew, refuse, revoke and/or cancel a title.</w:t>
      </w:r>
    </w:p>
    <w:p w:rsidR="00565B56" w:rsidRPr="009B7B5F" w:rsidRDefault="00565B56" w:rsidP="00565B56">
      <w:pPr>
        <w:rPr>
          <w:rFonts w:ascii="Arial" w:eastAsia="Arial" w:hAnsi="Arial" w:cs="Times New Roman"/>
          <w:iCs/>
        </w:rPr>
      </w:pPr>
      <w:r w:rsidRPr="009B7B5F">
        <w:rPr>
          <w:rFonts w:ascii="Arial" w:eastAsia="Arial" w:hAnsi="Arial" w:cs="Times New Roman"/>
          <w:iCs/>
        </w:rPr>
        <w:t>NOPTA is responsible for undertaking compliance activities given it receives an array of reports and data, and has information seeking powers and as a result provide timely advice to the Joint Authority where the titleholder has not met the requirements of the legislation, regul</w:t>
      </w:r>
      <w:r w:rsidR="00837A15">
        <w:rPr>
          <w:rFonts w:ascii="Arial" w:eastAsia="Arial" w:hAnsi="Arial" w:cs="Times New Roman"/>
          <w:iCs/>
        </w:rPr>
        <w:t>ations or conditions of title.</w:t>
      </w:r>
    </w:p>
    <w:p w:rsidR="00565B56" w:rsidRPr="009B7B5F" w:rsidRDefault="00565B56" w:rsidP="00565B56">
      <w:pPr>
        <w:rPr>
          <w:rFonts w:ascii="Arial" w:eastAsia="Arial" w:hAnsi="Arial" w:cs="Times New Roman"/>
        </w:rPr>
      </w:pPr>
      <w:r w:rsidRPr="009B7B5F">
        <w:rPr>
          <w:rFonts w:ascii="Arial" w:eastAsia="Arial" w:hAnsi="Arial" w:cs="Times New Roman"/>
        </w:rPr>
        <w:t xml:space="preserve">The Government notes industry comments in relation to </w:t>
      </w:r>
      <w:r w:rsidR="006D54E6" w:rsidRPr="009B7B5F">
        <w:rPr>
          <w:rFonts w:ascii="Arial" w:eastAsia="Arial" w:hAnsi="Arial" w:cs="Times New Roman"/>
        </w:rPr>
        <w:t xml:space="preserve">a perceived </w:t>
      </w:r>
      <w:r w:rsidRPr="009B7B5F">
        <w:rPr>
          <w:rFonts w:ascii="Arial" w:eastAsia="Arial" w:hAnsi="Arial" w:cs="Times New Roman"/>
        </w:rPr>
        <w:t xml:space="preserve">lack of flexibility shown by NOPTA in undertaking compliance activities and in response, Government considers NOPTA’s approach accurately reflects the current legislative framework as well as the expectations of the Joint Authority. The </w:t>
      </w:r>
      <w:r w:rsidRPr="009B7B5F">
        <w:rPr>
          <w:rFonts w:ascii="Arial" w:eastAsia="Arial" w:hAnsi="Arial" w:cs="Times New Roman"/>
          <w:iCs/>
        </w:rPr>
        <w:t xml:space="preserve">Joint </w:t>
      </w:r>
      <w:r w:rsidR="006D54E6" w:rsidRPr="009B7B5F">
        <w:rPr>
          <w:rFonts w:ascii="Arial" w:eastAsia="Arial" w:hAnsi="Arial" w:cs="Times New Roman"/>
          <w:iCs/>
        </w:rPr>
        <w:t>Authorities and</w:t>
      </w:r>
      <w:r w:rsidRPr="009B7B5F">
        <w:rPr>
          <w:rFonts w:ascii="Arial" w:eastAsia="Arial" w:hAnsi="Arial" w:cs="Times New Roman"/>
          <w:iCs/>
        </w:rPr>
        <w:t xml:space="preserve"> NOPTA will continue to discuss appropriate and effective methods for the identification and management of instances of non-compliance by titleholders.</w:t>
      </w:r>
    </w:p>
    <w:p w:rsidR="00565B56" w:rsidRPr="009B7B5F" w:rsidRDefault="00565B56" w:rsidP="00565B56">
      <w:pPr>
        <w:rPr>
          <w:rFonts w:ascii="Arial" w:eastAsia="Arial" w:hAnsi="Arial" w:cs="Times New Roman"/>
          <w:iCs/>
        </w:rPr>
      </w:pPr>
      <w:r w:rsidRPr="009B7B5F">
        <w:rPr>
          <w:rFonts w:ascii="Arial" w:eastAsia="Arial" w:hAnsi="Arial" w:cs="Times New Roman"/>
          <w:iCs/>
        </w:rPr>
        <w:t>In addition the Offshore Petroleum Resource Management Review has proposed a number of actions across the petroleum life cycle which will increase flexibility for both the Joi</w:t>
      </w:r>
      <w:r w:rsidR="00837A15">
        <w:rPr>
          <w:rFonts w:ascii="Arial" w:eastAsia="Arial" w:hAnsi="Arial" w:cs="Times New Roman"/>
          <w:iCs/>
        </w:rPr>
        <w:t xml:space="preserve">nt Authority and industry. </w:t>
      </w:r>
      <w:r w:rsidRPr="009B7B5F">
        <w:rPr>
          <w:rFonts w:ascii="Arial" w:eastAsia="Arial" w:hAnsi="Arial" w:cs="Times New Roman"/>
          <w:iCs/>
        </w:rPr>
        <w:t>These actions recognise the tools available for monitoring compliance on title related activities. The Department of Industry</w:t>
      </w:r>
      <w:r w:rsidR="00997A5A">
        <w:rPr>
          <w:rFonts w:ascii="Arial" w:eastAsia="Arial" w:hAnsi="Arial" w:cs="Times New Roman"/>
          <w:iCs/>
        </w:rPr>
        <w:t>, Innovation</w:t>
      </w:r>
      <w:r w:rsidRPr="009B7B5F">
        <w:rPr>
          <w:rFonts w:ascii="Arial" w:eastAsia="Arial" w:hAnsi="Arial" w:cs="Times New Roman"/>
          <w:iCs/>
        </w:rPr>
        <w:t xml:space="preserve"> and Science will consult with NOPTA on the ongoing appropriateness and robustness of the compliance tools available in particular the contents of the A</w:t>
      </w:r>
      <w:r w:rsidR="00837A15">
        <w:rPr>
          <w:rFonts w:ascii="Arial" w:eastAsia="Arial" w:hAnsi="Arial" w:cs="Times New Roman"/>
          <w:iCs/>
        </w:rPr>
        <w:t>nnual Titles Assessment Report.</w:t>
      </w:r>
    </w:p>
    <w:p w:rsidR="00565B56" w:rsidRPr="009B7B5F" w:rsidRDefault="00565B56" w:rsidP="00565B56">
      <w:pPr>
        <w:rPr>
          <w:rFonts w:ascii="Arial" w:eastAsia="Arial" w:hAnsi="Arial" w:cs="Times New Roman"/>
        </w:rPr>
      </w:pPr>
      <w:r w:rsidRPr="009B7B5F">
        <w:rPr>
          <w:rFonts w:ascii="Arial" w:eastAsia="Arial" w:hAnsi="Arial" w:cs="Times New Roman"/>
          <w:iCs/>
        </w:rPr>
        <w:t xml:space="preserve">While the 2015 Review did not provide any recommendations on compliance, the Australian Government believes there is an opportunity to enhance NOPTA’s compliance activities. These may include formal monitoring and more regular reporting on compliance </w:t>
      </w:r>
      <w:r w:rsidR="00837A15">
        <w:rPr>
          <w:rFonts w:ascii="Arial" w:eastAsia="Arial" w:hAnsi="Arial" w:cs="Times New Roman"/>
          <w:iCs/>
        </w:rPr>
        <w:t>matters to the Joint Authority.</w:t>
      </w:r>
    </w:p>
    <w:p w:rsidR="00565B56" w:rsidRPr="009B7B5F" w:rsidRDefault="00565B56" w:rsidP="00565B56">
      <w:pPr>
        <w:rPr>
          <w:rFonts w:ascii="Arial" w:eastAsia="Arial" w:hAnsi="Arial" w:cs="Times New Roman"/>
        </w:rPr>
      </w:pPr>
      <w:r w:rsidRPr="009B7B5F">
        <w:rPr>
          <w:rFonts w:ascii="Arial" w:eastAsia="Arial" w:hAnsi="Arial" w:cs="Times New Roman"/>
          <w:iCs/>
        </w:rPr>
        <w:t xml:space="preserve">Furthermore </w:t>
      </w:r>
      <w:r w:rsidR="008443BC" w:rsidRPr="009B7B5F">
        <w:rPr>
          <w:rFonts w:ascii="Arial" w:eastAsia="Arial" w:hAnsi="Arial" w:cs="Times New Roman"/>
          <w:iCs/>
        </w:rPr>
        <w:t>t</w:t>
      </w:r>
      <w:r w:rsidRPr="009B7B5F">
        <w:rPr>
          <w:rFonts w:ascii="Arial" w:eastAsia="Arial" w:hAnsi="Arial" w:cs="Times New Roman"/>
          <w:iCs/>
        </w:rPr>
        <w:t xml:space="preserve">he Government notes that the 2015 Review also identified that NOPTA has established internal improvement plans and that once fully implemented it will further assist NOPTA in enhancing its capability in this area. NOPTA has </w:t>
      </w:r>
      <w:r w:rsidRPr="009B7B5F">
        <w:rPr>
          <w:rFonts w:ascii="Arial" w:eastAsia="Arial" w:hAnsi="Arial" w:cs="Times New Roman"/>
        </w:rPr>
        <w:t xml:space="preserve">implemented a compliance programme in line with its Corporate </w:t>
      </w:r>
      <w:r w:rsidRPr="009B7B5F">
        <w:rPr>
          <w:rFonts w:ascii="Arial" w:eastAsia="Arial" w:hAnsi="Arial" w:cs="Times New Roman"/>
        </w:rPr>
        <w:lastRenderedPageBreak/>
        <w:t>Plan, noting the relationship between titleholder compliance and the effective stewardship of Australia’s offshore petroleum resources.</w:t>
      </w:r>
    </w:p>
    <w:p w:rsidR="00565B56" w:rsidRPr="005528B3" w:rsidRDefault="00565B56" w:rsidP="00565B56">
      <w:pPr>
        <w:rPr>
          <w:rFonts w:ascii="Arial" w:eastAsia="Arial" w:hAnsi="Arial" w:cs="Times New Roman"/>
          <w:highlight w:val="yellow"/>
        </w:rPr>
      </w:pPr>
      <w:r w:rsidRPr="009B7B5F">
        <w:rPr>
          <w:rFonts w:ascii="Arial" w:eastAsia="Arial" w:hAnsi="Arial" w:cs="Times New Roman"/>
        </w:rPr>
        <w:t>The Government also recognises that with the</w:t>
      </w:r>
      <w:r w:rsidRPr="009B7B5F">
        <w:t xml:space="preserve"> </w:t>
      </w:r>
      <w:r w:rsidR="000118B2" w:rsidRPr="009B7B5F">
        <w:rPr>
          <w:rFonts w:ascii="Arial" w:eastAsia="Arial" w:hAnsi="Arial" w:cs="Times New Roman"/>
        </w:rPr>
        <w:t>abolish</w:t>
      </w:r>
      <w:r w:rsidR="000118B2">
        <w:rPr>
          <w:rFonts w:ascii="Arial" w:eastAsia="Arial" w:hAnsi="Arial" w:cs="Times New Roman"/>
        </w:rPr>
        <w:t>ment</w:t>
      </w:r>
      <w:r w:rsidRPr="009B7B5F">
        <w:rPr>
          <w:rFonts w:ascii="Arial" w:eastAsia="Arial" w:hAnsi="Arial" w:cs="Times New Roman"/>
        </w:rPr>
        <w:t xml:space="preserve"> of the Designated Authorities and the establishment of NOPTA on 1 January 2012, the Australian Government, through the Joint Authorit</w:t>
      </w:r>
      <w:r w:rsidR="006D54E6" w:rsidRPr="009B7B5F">
        <w:rPr>
          <w:rFonts w:ascii="Arial" w:eastAsia="Arial" w:hAnsi="Arial" w:cs="Times New Roman"/>
        </w:rPr>
        <w:t>y</w:t>
      </w:r>
      <w:r w:rsidRPr="009B7B5F">
        <w:rPr>
          <w:rFonts w:ascii="Arial" w:eastAsia="Arial" w:hAnsi="Arial" w:cs="Times New Roman"/>
        </w:rPr>
        <w:t xml:space="preserve"> arrangement</w:t>
      </w:r>
      <w:r w:rsidR="006D54E6" w:rsidRPr="009B7B5F">
        <w:rPr>
          <w:rFonts w:ascii="Arial" w:eastAsia="Arial" w:hAnsi="Arial" w:cs="Times New Roman"/>
        </w:rPr>
        <w:t>s</w:t>
      </w:r>
      <w:r w:rsidRPr="009B7B5F">
        <w:rPr>
          <w:rFonts w:ascii="Arial" w:eastAsia="Arial" w:hAnsi="Arial" w:cs="Times New Roman"/>
        </w:rPr>
        <w:t>, has a direct line of sight to the management of Australia’s offshore resources</w:t>
      </w:r>
      <w:r w:rsidR="008F4913">
        <w:rPr>
          <w:rFonts w:ascii="Arial" w:eastAsia="Arial" w:hAnsi="Arial" w:cs="Times New Roman"/>
        </w:rPr>
        <w:t xml:space="preserve">. </w:t>
      </w:r>
      <w:r w:rsidRPr="009B7B5F">
        <w:rPr>
          <w:rFonts w:ascii="Arial" w:eastAsia="Arial" w:hAnsi="Arial" w:cs="Times New Roman"/>
        </w:rPr>
        <w:t>Since 2012 there has been a central and consistent approach to the management and administration of all offshore petroleum titles in Commonwealth waters. Over the past three years NOPTA has obtained consistent information and data relating to investment and activities across all stages of the petroleum life cycle occurring in Commonwealth waters</w:t>
      </w:r>
      <w:r w:rsidR="008F4913">
        <w:rPr>
          <w:rFonts w:ascii="Arial" w:eastAsia="Arial" w:hAnsi="Arial" w:cs="Times New Roman"/>
        </w:rPr>
        <w:t xml:space="preserve">. </w:t>
      </w:r>
      <w:r w:rsidRPr="009B7B5F">
        <w:rPr>
          <w:rFonts w:ascii="Arial" w:eastAsia="Arial" w:hAnsi="Arial" w:cs="Times New Roman"/>
        </w:rPr>
        <w:t>The</w:t>
      </w:r>
      <w:r w:rsidR="00C14133">
        <w:rPr>
          <w:rFonts w:ascii="Arial" w:eastAsia="Arial" w:hAnsi="Arial" w:cs="Times New Roman"/>
        </w:rPr>
        <w:t xml:space="preserve"> application of</w:t>
      </w:r>
      <w:r w:rsidRPr="009B7B5F">
        <w:rPr>
          <w:rFonts w:ascii="Arial" w:eastAsia="Arial" w:hAnsi="Arial" w:cs="Times New Roman"/>
        </w:rPr>
        <w:t xml:space="preserve"> technical knowledge and intelligence </w:t>
      </w:r>
      <w:r w:rsidR="00C14133">
        <w:rPr>
          <w:rFonts w:ascii="Arial" w:eastAsia="Arial" w:hAnsi="Arial" w:cs="Times New Roman"/>
        </w:rPr>
        <w:t>re</w:t>
      </w:r>
      <w:r w:rsidRPr="009B7B5F">
        <w:rPr>
          <w:rFonts w:ascii="Arial" w:eastAsia="Arial" w:hAnsi="Arial" w:cs="Times New Roman"/>
        </w:rPr>
        <w:t>tained by NOPTA is also an important element of compliance</w:t>
      </w:r>
      <w:r w:rsidR="008F4913">
        <w:rPr>
          <w:rFonts w:ascii="Arial" w:eastAsia="Arial" w:hAnsi="Arial" w:cs="Times New Roman"/>
        </w:rPr>
        <w:t xml:space="preserve">. </w:t>
      </w:r>
      <w:r w:rsidRPr="009B7B5F">
        <w:rPr>
          <w:rFonts w:ascii="Arial" w:eastAsia="Arial" w:hAnsi="Arial" w:cs="Times New Roman"/>
        </w:rPr>
        <w:t>It is also a critical component to supporting informed and responsible decision making by the Joint Authority, ensuring the exploitation and development of Australia’s offshore resources is to the benefit of Australia.</w:t>
      </w:r>
    </w:p>
    <w:p w:rsidR="00F42F2D" w:rsidRDefault="00F42F2D" w:rsidP="00B42381">
      <w:pPr>
        <w:pStyle w:val="Heading3"/>
      </w:pPr>
      <w:bookmarkStart w:id="22" w:name="_Toc428443493"/>
      <w:bookmarkStart w:id="23" w:name="_Toc429659496"/>
      <w:r w:rsidRPr="00085594">
        <w:t>Resource Management</w:t>
      </w:r>
      <w:bookmarkEnd w:id="22"/>
      <w:bookmarkEnd w:id="23"/>
    </w:p>
    <w:p w:rsidR="00F42F2D" w:rsidRPr="008F4913" w:rsidRDefault="00F42F2D" w:rsidP="005F0184">
      <w:pPr>
        <w:pStyle w:val="Heading4"/>
      </w:pPr>
      <w:r w:rsidRPr="008F4913">
        <w:t>Recommendation 6</w:t>
      </w:r>
      <w:r w:rsidR="00955F53" w:rsidRPr="008F4913">
        <w:t xml:space="preserve">: </w:t>
      </w:r>
      <w:r w:rsidRPr="008F4913">
        <w:t>That, depending on the outcomes of the Department of Industry</w:t>
      </w:r>
      <w:r w:rsidR="00C55BC5">
        <w:t xml:space="preserve"> </w:t>
      </w:r>
      <w:r w:rsidRPr="008F4913">
        <w:t xml:space="preserve">and Science’s </w:t>
      </w:r>
      <w:r w:rsidR="007C1FDF">
        <w:t xml:space="preserve">(now the Department of Industry, Innovation and Science) </w:t>
      </w:r>
      <w:r w:rsidRPr="008F4913">
        <w:t>report on the Management of Offshore Resources, the Minister consider an enhancement to NOPTA’s capability and capacity to enable it to more effectively contribute to the management of Australia’s offshore resources.</w:t>
      </w:r>
    </w:p>
    <w:p w:rsidR="009B7B5F" w:rsidRPr="008F4913" w:rsidRDefault="00F42F2D" w:rsidP="005F0184">
      <w:pPr>
        <w:pStyle w:val="Heading4"/>
      </w:pPr>
      <w:r w:rsidRPr="008F4913">
        <w:t>Response</w:t>
      </w:r>
      <w:r w:rsidR="001A4EBC" w:rsidRPr="008F4913">
        <w:t xml:space="preserve">: </w:t>
      </w:r>
      <w:r w:rsidR="006B2C1B" w:rsidRPr="008F4913">
        <w:t>Noted</w:t>
      </w:r>
    </w:p>
    <w:p w:rsidR="00476FDD" w:rsidRDefault="00476FDD" w:rsidP="00E603B3">
      <w:r>
        <w:t xml:space="preserve">The Government acknowledges the 2015 Review’s finding that NOPTA has developed the necessary skills and capability to deliver high quality advice to the Joint Authorities and </w:t>
      </w:r>
      <w:r w:rsidR="00CE2597">
        <w:t xml:space="preserve">to </w:t>
      </w:r>
      <w:r>
        <w:t>m</w:t>
      </w:r>
      <w:r w:rsidR="00837A15">
        <w:t>eet its legislative functions.</w:t>
      </w:r>
    </w:p>
    <w:p w:rsidR="00D569D2" w:rsidRDefault="007F5C08" w:rsidP="00E603B3">
      <w:r>
        <w:t>However</w:t>
      </w:r>
      <w:r w:rsidR="00C14133">
        <w:t xml:space="preserve">, in relation to </w:t>
      </w:r>
      <w:r>
        <w:t xml:space="preserve">resource management, </w:t>
      </w:r>
      <w:r w:rsidR="00C14133">
        <w:t>the Report</w:t>
      </w:r>
      <w:r>
        <w:t xml:space="preserve"> has </w:t>
      </w:r>
      <w:r w:rsidR="00C14133">
        <w:t>noted</w:t>
      </w:r>
      <w:r>
        <w:t xml:space="preserve"> that </w:t>
      </w:r>
      <w:r w:rsidR="00A57AAB">
        <w:t>NOPTA requires staff with the technical skills, knowledge and experience to undertake review of development plans and the ongoing implementation of these plans to ensure the exploitation of the resource is in the national interest.</w:t>
      </w:r>
      <w:r w:rsidR="00CE2597">
        <w:t xml:space="preserve"> </w:t>
      </w:r>
      <w:r w:rsidR="00A57AAB">
        <w:t xml:space="preserve">The Review recommends an increase in NOPTA’s </w:t>
      </w:r>
      <w:r w:rsidR="00D569D2">
        <w:t xml:space="preserve">technical capabilities whilst noting the difficulties in attracting and retaining these staff in a </w:t>
      </w:r>
      <w:bookmarkStart w:id="24" w:name="CursorPositionBM"/>
      <w:bookmarkEnd w:id="24"/>
      <w:r w:rsidR="00D569D2">
        <w:t>competitive market.</w:t>
      </w:r>
    </w:p>
    <w:p w:rsidR="001A4EBC" w:rsidRDefault="001A4EBC" w:rsidP="00905F2E">
      <w:pPr>
        <w:rPr>
          <w:rFonts w:ascii="Arial" w:hAnsi="Arial" w:cs="Arial"/>
          <w:szCs w:val="20"/>
        </w:rPr>
      </w:pPr>
      <w:r w:rsidRPr="008D0EF0">
        <w:rPr>
          <w:rFonts w:ascii="Arial" w:hAnsi="Arial" w:cs="Arial"/>
          <w:szCs w:val="20"/>
        </w:rPr>
        <w:t xml:space="preserve">The Government notes that </w:t>
      </w:r>
      <w:r w:rsidR="00DB50AC" w:rsidRPr="008D0EF0">
        <w:rPr>
          <w:rFonts w:ascii="Arial" w:hAnsi="Arial" w:cs="Arial"/>
          <w:szCs w:val="20"/>
        </w:rPr>
        <w:t xml:space="preserve">consistent with this recommendation, the Offshore Petroleum Resource Management Review </w:t>
      </w:r>
      <w:r w:rsidRPr="008D0EF0">
        <w:rPr>
          <w:rFonts w:ascii="Arial" w:hAnsi="Arial" w:cs="Arial"/>
          <w:szCs w:val="20"/>
        </w:rPr>
        <w:t>identified th</w:t>
      </w:r>
      <w:r w:rsidR="008D0EF0" w:rsidRPr="008D0EF0">
        <w:rPr>
          <w:rFonts w:ascii="Arial" w:hAnsi="Arial" w:cs="Arial"/>
          <w:szCs w:val="20"/>
        </w:rPr>
        <w:t>e need to</w:t>
      </w:r>
      <w:r w:rsidRPr="008D0EF0">
        <w:rPr>
          <w:rFonts w:ascii="Arial" w:hAnsi="Arial" w:cs="Arial"/>
          <w:szCs w:val="20"/>
        </w:rPr>
        <w:t xml:space="preserve"> hav</w:t>
      </w:r>
      <w:r w:rsidR="008D0EF0" w:rsidRPr="008D0EF0">
        <w:rPr>
          <w:rFonts w:ascii="Arial" w:hAnsi="Arial" w:cs="Arial"/>
          <w:szCs w:val="20"/>
        </w:rPr>
        <w:t>e</w:t>
      </w:r>
      <w:r w:rsidRPr="008D0EF0">
        <w:rPr>
          <w:rFonts w:ascii="Arial" w:hAnsi="Arial" w:cs="Arial"/>
          <w:szCs w:val="20"/>
        </w:rPr>
        <w:t xml:space="preserve"> the right skill sets and technical capacit</w:t>
      </w:r>
      <w:r w:rsidR="00CE2597">
        <w:rPr>
          <w:rFonts w:ascii="Arial" w:hAnsi="Arial" w:cs="Arial"/>
          <w:szCs w:val="20"/>
        </w:rPr>
        <w:t>y</w:t>
      </w:r>
      <w:r w:rsidRPr="008D0EF0">
        <w:rPr>
          <w:rFonts w:ascii="Arial" w:hAnsi="Arial" w:cs="Arial"/>
          <w:szCs w:val="20"/>
        </w:rPr>
        <w:t xml:space="preserve"> in the administration and management of Australia’s offshore petroleum resources</w:t>
      </w:r>
      <w:r w:rsidR="008F4913">
        <w:rPr>
          <w:rFonts w:ascii="Arial" w:hAnsi="Arial" w:cs="Arial"/>
          <w:szCs w:val="20"/>
        </w:rPr>
        <w:t xml:space="preserve">. </w:t>
      </w:r>
      <w:r w:rsidR="00CE2597">
        <w:rPr>
          <w:rFonts w:ascii="Arial" w:hAnsi="Arial" w:cs="Arial"/>
          <w:szCs w:val="20"/>
        </w:rPr>
        <w:t xml:space="preserve">The </w:t>
      </w:r>
      <w:r w:rsidR="00CE2597" w:rsidRPr="008D0EF0">
        <w:rPr>
          <w:rFonts w:ascii="Arial" w:hAnsi="Arial" w:cs="Arial"/>
          <w:szCs w:val="20"/>
        </w:rPr>
        <w:t xml:space="preserve">Offshore Petroleum Resource Management </w:t>
      </w:r>
      <w:r w:rsidR="00234CED" w:rsidRPr="008D0EF0">
        <w:rPr>
          <w:rFonts w:ascii="Arial" w:hAnsi="Arial" w:cs="Arial"/>
          <w:szCs w:val="20"/>
        </w:rPr>
        <w:t>Review acknowledged</w:t>
      </w:r>
      <w:r w:rsidRPr="008D0EF0">
        <w:rPr>
          <w:rFonts w:ascii="Arial" w:hAnsi="Arial" w:cs="Arial"/>
          <w:szCs w:val="20"/>
        </w:rPr>
        <w:t xml:space="preserve"> that there could be improvements in some of NOPTA’s technical cap</w:t>
      </w:r>
      <w:r w:rsidR="00DB50AC" w:rsidRPr="008D0EF0">
        <w:rPr>
          <w:rFonts w:ascii="Arial" w:hAnsi="Arial" w:cs="Arial"/>
          <w:szCs w:val="20"/>
        </w:rPr>
        <w:t>a</w:t>
      </w:r>
      <w:r w:rsidRPr="008D0EF0">
        <w:rPr>
          <w:rFonts w:ascii="Arial" w:hAnsi="Arial" w:cs="Arial"/>
          <w:szCs w:val="20"/>
        </w:rPr>
        <w:t>cit</w:t>
      </w:r>
      <w:r w:rsidR="00CE2597">
        <w:rPr>
          <w:rFonts w:ascii="Arial" w:hAnsi="Arial" w:cs="Arial"/>
          <w:szCs w:val="20"/>
        </w:rPr>
        <w:t>y</w:t>
      </w:r>
      <w:r w:rsidR="00DB50AC" w:rsidRPr="008D0EF0">
        <w:rPr>
          <w:rFonts w:ascii="Arial" w:hAnsi="Arial" w:cs="Arial"/>
          <w:szCs w:val="20"/>
        </w:rPr>
        <w:t xml:space="preserve"> with an Action for </w:t>
      </w:r>
      <w:r w:rsidRPr="008D0EF0">
        <w:rPr>
          <w:rFonts w:ascii="Arial" w:hAnsi="Arial" w:cs="Arial"/>
          <w:szCs w:val="20"/>
        </w:rPr>
        <w:t xml:space="preserve">NOPTA </w:t>
      </w:r>
      <w:r w:rsidR="00DB50AC" w:rsidRPr="008D0EF0">
        <w:rPr>
          <w:rFonts w:ascii="Arial" w:hAnsi="Arial" w:cs="Arial"/>
          <w:szCs w:val="20"/>
        </w:rPr>
        <w:t xml:space="preserve">to </w:t>
      </w:r>
      <w:r w:rsidR="00DB50AC" w:rsidRPr="008D0EF0">
        <w:rPr>
          <w:rFonts w:ascii="Arial" w:eastAsia="Calibri" w:hAnsi="Arial" w:cs="Arial"/>
          <w:szCs w:val="20"/>
        </w:rPr>
        <w:t xml:space="preserve">work with relevant government agencies and industry </w:t>
      </w:r>
      <w:r w:rsidR="00DB50AC" w:rsidRPr="008D0EF0">
        <w:rPr>
          <w:rFonts w:ascii="Arial" w:hAnsi="Arial" w:cs="Arial"/>
          <w:szCs w:val="20"/>
        </w:rPr>
        <w:t xml:space="preserve">to </w:t>
      </w:r>
      <w:r w:rsidRPr="008D0EF0">
        <w:rPr>
          <w:rFonts w:ascii="Arial" w:hAnsi="Arial" w:cs="Arial"/>
          <w:szCs w:val="20"/>
        </w:rPr>
        <w:t>assess it</w:t>
      </w:r>
      <w:r w:rsidR="008D0EF0" w:rsidRPr="008D0EF0">
        <w:rPr>
          <w:rFonts w:ascii="Arial" w:hAnsi="Arial" w:cs="Arial"/>
          <w:szCs w:val="20"/>
        </w:rPr>
        <w:t>s</w:t>
      </w:r>
      <w:r w:rsidRPr="008D0EF0">
        <w:rPr>
          <w:rFonts w:ascii="Arial" w:hAnsi="Arial" w:cs="Arial"/>
          <w:szCs w:val="20"/>
        </w:rPr>
        <w:t xml:space="preserve"> technical needs against identified resource management requirements and develop a medium term plan to address any deficie</w:t>
      </w:r>
      <w:r w:rsidR="00837A15">
        <w:rPr>
          <w:rFonts w:ascii="Arial" w:hAnsi="Arial" w:cs="Arial"/>
          <w:szCs w:val="20"/>
        </w:rPr>
        <w:t>ncies or areas of new capacity.</w:t>
      </w:r>
    </w:p>
    <w:p w:rsidR="0019380B" w:rsidRPr="008D0EF0" w:rsidRDefault="0019380B" w:rsidP="00905F2E">
      <w:pPr>
        <w:rPr>
          <w:rFonts w:ascii="Arial" w:hAnsi="Arial" w:cs="Arial"/>
          <w:szCs w:val="20"/>
        </w:rPr>
      </w:pPr>
      <w:r>
        <w:t>Implementation of this recommendation is the responsibility of the Department of Industry</w:t>
      </w:r>
      <w:r w:rsidR="00997A5A">
        <w:t>, Innovation</w:t>
      </w:r>
      <w:r>
        <w:t xml:space="preserve"> and Science.</w:t>
      </w:r>
    </w:p>
    <w:p w:rsidR="006B1536" w:rsidRDefault="006B1536" w:rsidP="00B42381">
      <w:pPr>
        <w:pStyle w:val="Heading3"/>
      </w:pPr>
      <w:bookmarkStart w:id="25" w:name="_Toc428443494"/>
      <w:bookmarkStart w:id="26" w:name="_Toc429659497"/>
      <w:r w:rsidRPr="00085594">
        <w:t>Internal Operations</w:t>
      </w:r>
      <w:bookmarkEnd w:id="25"/>
      <w:bookmarkEnd w:id="26"/>
    </w:p>
    <w:p w:rsidR="00F42F2D" w:rsidRPr="008F4913" w:rsidRDefault="00F42F2D" w:rsidP="005F0184">
      <w:pPr>
        <w:pStyle w:val="Heading4"/>
      </w:pPr>
      <w:r w:rsidRPr="008F4913">
        <w:t>Recommendation 7</w:t>
      </w:r>
      <w:r w:rsidR="00955F53" w:rsidRPr="008F4913">
        <w:t>: T</w:t>
      </w:r>
      <w:r w:rsidRPr="008F4913">
        <w:t>hat NOPTA develop and implement plans to facilitate Recommendations 3 and 6 (if accepted).</w:t>
      </w:r>
    </w:p>
    <w:p w:rsidR="00DB50AC" w:rsidRPr="008F4913" w:rsidRDefault="00F42F2D" w:rsidP="005F0184">
      <w:pPr>
        <w:pStyle w:val="Heading4"/>
      </w:pPr>
      <w:r w:rsidRPr="008F4913">
        <w:t>Response</w:t>
      </w:r>
      <w:r w:rsidR="00DB50AC" w:rsidRPr="008F4913">
        <w:t xml:space="preserve">: </w:t>
      </w:r>
      <w:r w:rsidR="006B2C1B" w:rsidRPr="008F4913">
        <w:t>Noted</w:t>
      </w:r>
    </w:p>
    <w:p w:rsidR="00DB50AC" w:rsidRDefault="00DB50AC" w:rsidP="001E6D8D">
      <w:pPr>
        <w:rPr>
          <w:rFonts w:ascii="Arial" w:eastAsia="Arial" w:hAnsi="Arial" w:cs="Times New Roman"/>
          <w:iCs/>
        </w:rPr>
      </w:pPr>
      <w:r w:rsidRPr="00905F2E">
        <w:rPr>
          <w:rFonts w:ascii="Arial" w:eastAsia="Arial" w:hAnsi="Arial" w:cs="Times New Roman"/>
          <w:iCs/>
        </w:rPr>
        <w:t>The Government notes that implementation of recommendation 3 will be informed by the areas identified and agreed to for streamlining by the Joint Authorities</w:t>
      </w:r>
      <w:r w:rsidR="00CE2597">
        <w:rPr>
          <w:rFonts w:ascii="Arial" w:eastAsia="Arial" w:hAnsi="Arial" w:cs="Times New Roman"/>
          <w:iCs/>
        </w:rPr>
        <w:t>. A</w:t>
      </w:r>
      <w:r w:rsidRPr="00905F2E">
        <w:rPr>
          <w:rFonts w:ascii="Arial" w:eastAsia="Arial" w:hAnsi="Arial" w:cs="Times New Roman"/>
          <w:iCs/>
        </w:rPr>
        <w:t xml:space="preserve">ny legislative changes that may be required to the OPGGS Act and its supporting </w:t>
      </w:r>
      <w:r w:rsidR="00DB36B7" w:rsidRPr="001E6D8D">
        <w:rPr>
          <w:rFonts w:ascii="Arial" w:eastAsia="Arial" w:hAnsi="Arial" w:cs="Times New Roman"/>
          <w:iCs/>
        </w:rPr>
        <w:t>regulations</w:t>
      </w:r>
      <w:r w:rsidRPr="00905F2E">
        <w:rPr>
          <w:rFonts w:ascii="Arial" w:eastAsia="Arial" w:hAnsi="Arial" w:cs="Times New Roman"/>
          <w:iCs/>
        </w:rPr>
        <w:t xml:space="preserve"> will be made in accordance with the Australian Gove</w:t>
      </w:r>
      <w:r w:rsidR="00837A15">
        <w:rPr>
          <w:rFonts w:ascii="Arial" w:eastAsia="Arial" w:hAnsi="Arial" w:cs="Times New Roman"/>
          <w:iCs/>
        </w:rPr>
        <w:t>rnment’s legislative timetable.</w:t>
      </w:r>
    </w:p>
    <w:p w:rsidR="0019380B" w:rsidRDefault="0019380B" w:rsidP="001E6D8D">
      <w:pPr>
        <w:rPr>
          <w:rFonts w:ascii="Arial" w:eastAsia="Arial" w:hAnsi="Arial" w:cs="Times New Roman"/>
          <w:iCs/>
        </w:rPr>
      </w:pPr>
      <w:r>
        <w:t>Implementation of this recommendation is the responsibility of the Department of Industry</w:t>
      </w:r>
      <w:r w:rsidR="00997A5A">
        <w:t>, Innovation</w:t>
      </w:r>
      <w:r>
        <w:t xml:space="preserve"> and Science.</w:t>
      </w:r>
    </w:p>
    <w:p w:rsidR="006B1536" w:rsidRPr="008F4913" w:rsidRDefault="00FE37A3" w:rsidP="005F0184">
      <w:pPr>
        <w:pStyle w:val="Heading4"/>
      </w:pPr>
      <w:r w:rsidRPr="008F4913">
        <w:lastRenderedPageBreak/>
        <w:t>Recommendation</w:t>
      </w:r>
      <w:r w:rsidR="00E96C66" w:rsidRPr="008F4913">
        <w:t xml:space="preserve"> </w:t>
      </w:r>
      <w:r w:rsidR="00955F53" w:rsidRPr="008F4913">
        <w:t>8</w:t>
      </w:r>
      <w:r w:rsidR="00E96C66" w:rsidRPr="008F4913">
        <w:t xml:space="preserve">: </w:t>
      </w:r>
      <w:r w:rsidR="006B1536" w:rsidRPr="008F4913">
        <w:t>That NOPTA prepare and issue its own annual report.</w:t>
      </w:r>
    </w:p>
    <w:p w:rsidR="001354BB" w:rsidRPr="008F4913" w:rsidRDefault="006B1536" w:rsidP="005F0184">
      <w:pPr>
        <w:pStyle w:val="Heading4"/>
      </w:pPr>
      <w:r w:rsidRPr="008F4913">
        <w:t>Response</w:t>
      </w:r>
      <w:r w:rsidR="0028608C" w:rsidRPr="008F4913">
        <w:t xml:space="preserve">: </w:t>
      </w:r>
      <w:r w:rsidR="006B2C1B" w:rsidRPr="008F4913">
        <w:t>Noted</w:t>
      </w:r>
    </w:p>
    <w:p w:rsidR="006B1536" w:rsidRPr="00DF6957" w:rsidRDefault="006B1536" w:rsidP="004A4D9C">
      <w:pPr>
        <w:rPr>
          <w:lang w:eastAsia="zh-CN"/>
        </w:rPr>
      </w:pPr>
      <w:r w:rsidRPr="00DF6957">
        <w:rPr>
          <w:lang w:eastAsia="zh-CN"/>
        </w:rPr>
        <w:t xml:space="preserve">The </w:t>
      </w:r>
      <w:r w:rsidR="00E603B3" w:rsidRPr="00DF6957">
        <w:rPr>
          <w:lang w:eastAsia="zh-CN"/>
        </w:rPr>
        <w:t>2015</w:t>
      </w:r>
      <w:r w:rsidR="0028608C" w:rsidRPr="00DF6957">
        <w:rPr>
          <w:lang w:eastAsia="zh-CN"/>
        </w:rPr>
        <w:t xml:space="preserve"> R</w:t>
      </w:r>
      <w:r w:rsidRPr="00DF6957">
        <w:rPr>
          <w:lang w:eastAsia="zh-CN"/>
        </w:rPr>
        <w:t>eview considered the case for NOPTA to operate as a standalone statutory authority. The rationale for this was the need to be, and be perceived to be, impartial</w:t>
      </w:r>
      <w:r w:rsidR="005155B8" w:rsidRPr="00DF6957">
        <w:rPr>
          <w:lang w:eastAsia="zh-CN"/>
        </w:rPr>
        <w:t xml:space="preserve"> or independent</w:t>
      </w:r>
      <w:r w:rsidRPr="00DF6957">
        <w:rPr>
          <w:lang w:eastAsia="zh-CN"/>
        </w:rPr>
        <w:t>.</w:t>
      </w:r>
      <w:r w:rsidR="0028608C" w:rsidRPr="00DF6957">
        <w:rPr>
          <w:lang w:eastAsia="zh-CN"/>
        </w:rPr>
        <w:t xml:space="preserve"> </w:t>
      </w:r>
      <w:r w:rsidR="005155B8" w:rsidRPr="00DF6957">
        <w:rPr>
          <w:lang w:eastAsia="zh-CN"/>
        </w:rPr>
        <w:t>I</w:t>
      </w:r>
      <w:r w:rsidR="0028608C" w:rsidRPr="00DF6957">
        <w:rPr>
          <w:lang w:eastAsia="zh-CN"/>
        </w:rPr>
        <w:t xml:space="preserve">n its consideration the </w:t>
      </w:r>
      <w:r w:rsidR="00E603B3" w:rsidRPr="00DF6957">
        <w:rPr>
          <w:lang w:eastAsia="zh-CN"/>
        </w:rPr>
        <w:t>2015 R</w:t>
      </w:r>
      <w:r w:rsidRPr="00DF6957">
        <w:rPr>
          <w:lang w:eastAsia="zh-CN"/>
        </w:rPr>
        <w:t>eview did not find any compelling evidence that NOPTA’s functions would best be performed outside of the Department</w:t>
      </w:r>
      <w:r w:rsidR="001354BB" w:rsidRPr="00DF6957">
        <w:rPr>
          <w:lang w:eastAsia="zh-CN"/>
        </w:rPr>
        <w:t xml:space="preserve"> of Industry</w:t>
      </w:r>
      <w:r w:rsidR="00DE18BF">
        <w:rPr>
          <w:lang w:eastAsia="zh-CN"/>
        </w:rPr>
        <w:t>, Innovation</w:t>
      </w:r>
      <w:r w:rsidR="001354BB" w:rsidRPr="00DF6957">
        <w:rPr>
          <w:lang w:eastAsia="zh-CN"/>
        </w:rPr>
        <w:t xml:space="preserve"> and Science</w:t>
      </w:r>
      <w:r w:rsidRPr="00DF6957">
        <w:rPr>
          <w:lang w:eastAsia="zh-CN"/>
        </w:rPr>
        <w:t>.</w:t>
      </w:r>
      <w:r w:rsidR="005155B8" w:rsidRPr="00DF6957">
        <w:rPr>
          <w:lang w:eastAsia="zh-CN"/>
        </w:rPr>
        <w:t xml:space="preserve"> Further</w:t>
      </w:r>
      <w:r w:rsidR="00BB28AB" w:rsidRPr="00DF6957">
        <w:rPr>
          <w:lang w:eastAsia="zh-CN"/>
        </w:rPr>
        <w:t xml:space="preserve"> as an </w:t>
      </w:r>
      <w:r w:rsidR="005155B8" w:rsidRPr="00DF6957">
        <w:rPr>
          <w:lang w:eastAsia="zh-CN"/>
        </w:rPr>
        <w:t xml:space="preserve">administrator and in some cases </w:t>
      </w:r>
      <w:r w:rsidR="00BB28AB" w:rsidRPr="00DF6957">
        <w:rPr>
          <w:lang w:eastAsia="zh-CN"/>
        </w:rPr>
        <w:t xml:space="preserve">the </w:t>
      </w:r>
      <w:r w:rsidR="005155B8" w:rsidRPr="00DF6957">
        <w:rPr>
          <w:lang w:eastAsia="zh-CN"/>
        </w:rPr>
        <w:t>administrative decision maker</w:t>
      </w:r>
      <w:r w:rsidR="00CE2597" w:rsidRPr="00DF6957">
        <w:rPr>
          <w:lang w:eastAsia="zh-CN"/>
        </w:rPr>
        <w:t>,</w:t>
      </w:r>
      <w:r w:rsidR="00BB28AB" w:rsidRPr="00DF6957">
        <w:rPr>
          <w:lang w:eastAsia="zh-CN"/>
        </w:rPr>
        <w:t xml:space="preserve"> NOPTA’s</w:t>
      </w:r>
      <w:r w:rsidR="005155B8" w:rsidRPr="00DF6957">
        <w:rPr>
          <w:lang w:eastAsia="zh-CN"/>
        </w:rPr>
        <w:t xml:space="preserve"> position in the Department </w:t>
      </w:r>
      <w:r w:rsidR="00BB28AB" w:rsidRPr="00DF6957">
        <w:rPr>
          <w:lang w:eastAsia="zh-CN"/>
        </w:rPr>
        <w:t xml:space="preserve">further </w:t>
      </w:r>
      <w:r w:rsidR="005155B8" w:rsidRPr="00DF6957">
        <w:rPr>
          <w:lang w:eastAsia="zh-CN"/>
        </w:rPr>
        <w:t>supports its independence from industry.</w:t>
      </w:r>
    </w:p>
    <w:p w:rsidR="006B1536" w:rsidRPr="00DF6957" w:rsidRDefault="0028608C" w:rsidP="004A4D9C">
      <w:pPr>
        <w:rPr>
          <w:lang w:eastAsia="zh-CN"/>
        </w:rPr>
      </w:pPr>
      <w:r w:rsidRPr="00DF6957">
        <w:rPr>
          <w:lang w:eastAsia="zh-CN"/>
        </w:rPr>
        <w:t xml:space="preserve">The Titles Administrator has a statutory responsibility to “prepare and give to the responsible Commonwealth Minister, for presentation to the Parliament, a report on the Titles Administrator’s activities during that year. </w:t>
      </w:r>
      <w:proofErr w:type="gramStart"/>
      <w:r w:rsidRPr="00DF6957">
        <w:rPr>
          <w:lang w:eastAsia="zh-CN"/>
        </w:rPr>
        <w:t>(</w:t>
      </w:r>
      <w:r w:rsidR="00234CED" w:rsidRPr="00DF6957">
        <w:rPr>
          <w:lang w:eastAsia="zh-CN"/>
        </w:rPr>
        <w:t>s695N (</w:t>
      </w:r>
      <w:r w:rsidR="006B1536" w:rsidRPr="00DF6957">
        <w:rPr>
          <w:lang w:eastAsia="zh-CN"/>
        </w:rPr>
        <w:t>1) of the OP</w:t>
      </w:r>
      <w:r w:rsidR="008814A4" w:rsidRPr="00DF6957">
        <w:rPr>
          <w:lang w:eastAsia="zh-CN"/>
        </w:rPr>
        <w:t>G</w:t>
      </w:r>
      <w:r w:rsidR="006B1536" w:rsidRPr="00DF6957">
        <w:rPr>
          <w:lang w:eastAsia="zh-CN"/>
        </w:rPr>
        <w:t>GS</w:t>
      </w:r>
      <w:r w:rsidRPr="00DF6957">
        <w:rPr>
          <w:lang w:eastAsia="zh-CN"/>
        </w:rPr>
        <w:t xml:space="preserve"> Act)</w:t>
      </w:r>
      <w:r w:rsidR="008F4913">
        <w:rPr>
          <w:lang w:eastAsia="zh-CN"/>
        </w:rPr>
        <w:t>.</w:t>
      </w:r>
      <w:proofErr w:type="gramEnd"/>
      <w:r w:rsidR="008F4913">
        <w:rPr>
          <w:lang w:eastAsia="zh-CN"/>
        </w:rPr>
        <w:t xml:space="preserve"> </w:t>
      </w:r>
      <w:r w:rsidR="006B1536" w:rsidRPr="00DF6957">
        <w:rPr>
          <w:lang w:eastAsia="zh-CN"/>
        </w:rPr>
        <w:t>In the 2013</w:t>
      </w:r>
      <w:r w:rsidR="004F4138" w:rsidRPr="00DF6957">
        <w:rPr>
          <w:lang w:eastAsia="zh-CN"/>
        </w:rPr>
        <w:t>-</w:t>
      </w:r>
      <w:r w:rsidR="006B1536" w:rsidRPr="00DF6957">
        <w:rPr>
          <w:lang w:eastAsia="zh-CN"/>
        </w:rPr>
        <w:t>14 reporting period the Title Administrator</w:t>
      </w:r>
      <w:r w:rsidRPr="00DF6957">
        <w:rPr>
          <w:lang w:eastAsia="zh-CN"/>
        </w:rPr>
        <w:t xml:space="preserve"> discharged this responsibility </w:t>
      </w:r>
      <w:r w:rsidR="006B1536" w:rsidRPr="00DF6957">
        <w:rPr>
          <w:lang w:eastAsia="zh-CN"/>
        </w:rPr>
        <w:t xml:space="preserve">as </w:t>
      </w:r>
      <w:r w:rsidRPr="00DF6957">
        <w:rPr>
          <w:lang w:eastAsia="zh-CN"/>
        </w:rPr>
        <w:t xml:space="preserve">part of the 2013-14 </w:t>
      </w:r>
      <w:r w:rsidR="00DE18BF">
        <w:rPr>
          <w:lang w:eastAsia="zh-CN"/>
        </w:rPr>
        <w:t xml:space="preserve">(then) </w:t>
      </w:r>
      <w:r w:rsidR="006B1536" w:rsidRPr="00DF6957">
        <w:rPr>
          <w:lang w:eastAsia="zh-CN"/>
        </w:rPr>
        <w:t>Department</w:t>
      </w:r>
      <w:r w:rsidRPr="00DF6957">
        <w:rPr>
          <w:lang w:eastAsia="zh-CN"/>
        </w:rPr>
        <w:t xml:space="preserve"> of Industry and Science </w:t>
      </w:r>
      <w:r w:rsidR="006B1536" w:rsidRPr="00DF6957">
        <w:rPr>
          <w:lang w:eastAsia="zh-CN"/>
        </w:rPr>
        <w:t>Annual Repor</w:t>
      </w:r>
      <w:r w:rsidRPr="00DF6957">
        <w:rPr>
          <w:lang w:eastAsia="zh-CN"/>
        </w:rPr>
        <w:t>t</w:t>
      </w:r>
      <w:r w:rsidR="00837A15">
        <w:rPr>
          <w:lang w:eastAsia="zh-CN"/>
        </w:rPr>
        <w:t>.</w:t>
      </w:r>
    </w:p>
    <w:p w:rsidR="004F4138" w:rsidRPr="00DF6957" w:rsidRDefault="004F4138" w:rsidP="004A4D9C">
      <w:pPr>
        <w:rPr>
          <w:lang w:eastAsia="zh-CN"/>
        </w:rPr>
      </w:pPr>
      <w:r w:rsidRPr="00DF6957">
        <w:rPr>
          <w:lang w:eastAsia="zh-CN"/>
        </w:rPr>
        <w:t xml:space="preserve">However the Government notes that NOPTA intends to provide a </w:t>
      </w:r>
      <w:r w:rsidR="00CE2597" w:rsidRPr="00DF6957">
        <w:rPr>
          <w:lang w:eastAsia="zh-CN"/>
        </w:rPr>
        <w:t xml:space="preserve">separate </w:t>
      </w:r>
      <w:r w:rsidRPr="00DF6957">
        <w:rPr>
          <w:lang w:eastAsia="zh-CN"/>
        </w:rPr>
        <w:t xml:space="preserve">report detailing </w:t>
      </w:r>
      <w:r w:rsidR="001E1A82" w:rsidRPr="00DF6957">
        <w:rPr>
          <w:lang w:eastAsia="zh-CN"/>
        </w:rPr>
        <w:t>the</w:t>
      </w:r>
      <w:r w:rsidRPr="00DF6957">
        <w:rPr>
          <w:lang w:eastAsia="zh-CN"/>
        </w:rPr>
        <w:t xml:space="preserve"> title administration, management and advisory activities it undertook for the Joint Authority and as the Title Administrator</w:t>
      </w:r>
      <w:r w:rsidR="008F4913">
        <w:rPr>
          <w:lang w:eastAsia="zh-CN"/>
        </w:rPr>
        <w:t xml:space="preserve">. </w:t>
      </w:r>
      <w:r w:rsidRPr="00DF6957">
        <w:rPr>
          <w:lang w:eastAsia="zh-CN"/>
        </w:rPr>
        <w:t xml:space="preserve">This will also be consistent with the reporting requirements of the Australian Government’s Regulator Performance Framework which came into effect on 1 July 2015. </w:t>
      </w:r>
      <w:r w:rsidR="00234CED" w:rsidRPr="00DF6957">
        <w:rPr>
          <w:lang w:eastAsia="zh-CN"/>
        </w:rPr>
        <w:t>The Regulator</w:t>
      </w:r>
      <w:r w:rsidR="001E1A82" w:rsidRPr="00DF6957">
        <w:rPr>
          <w:lang w:eastAsia="zh-CN"/>
        </w:rPr>
        <w:t xml:space="preserve"> Performance Framework</w:t>
      </w:r>
      <w:r w:rsidRPr="00DF6957">
        <w:rPr>
          <w:lang w:eastAsia="zh-CN"/>
        </w:rPr>
        <w:t xml:space="preserve"> is an important part of the Australian Government’s commitment to reducing the cost of unnecessary or inefficient regulation imposed on individuals, busine</w:t>
      </w:r>
      <w:r w:rsidR="00837A15">
        <w:rPr>
          <w:lang w:eastAsia="zh-CN"/>
        </w:rPr>
        <w:t>ss and community organisations.</w:t>
      </w:r>
    </w:p>
    <w:p w:rsidR="004F4138" w:rsidRDefault="004F4138" w:rsidP="004A4D9C">
      <w:pPr>
        <w:rPr>
          <w:lang w:eastAsia="zh-CN"/>
        </w:rPr>
      </w:pPr>
      <w:r w:rsidRPr="00DF6957">
        <w:rPr>
          <w:lang w:eastAsia="zh-CN"/>
        </w:rPr>
        <w:t xml:space="preserve">This report will </w:t>
      </w:r>
      <w:r w:rsidR="00B8037C" w:rsidRPr="00DF6957">
        <w:rPr>
          <w:lang w:eastAsia="zh-CN"/>
        </w:rPr>
        <w:t xml:space="preserve">also </w:t>
      </w:r>
      <w:r w:rsidRPr="00DF6957">
        <w:rPr>
          <w:lang w:eastAsia="zh-CN"/>
        </w:rPr>
        <w:t xml:space="preserve">be published on NOPTA’s web site in </w:t>
      </w:r>
      <w:r w:rsidR="004A4D9C" w:rsidRPr="00DF6957">
        <w:rPr>
          <w:lang w:eastAsia="zh-CN"/>
        </w:rPr>
        <w:t xml:space="preserve">the </w:t>
      </w:r>
      <w:r w:rsidR="00F94B71" w:rsidRPr="00DF6957">
        <w:rPr>
          <w:lang w:eastAsia="zh-CN"/>
        </w:rPr>
        <w:t xml:space="preserve">fourth </w:t>
      </w:r>
      <w:r w:rsidR="004A4D9C" w:rsidRPr="00DF6957">
        <w:rPr>
          <w:lang w:eastAsia="zh-CN"/>
        </w:rPr>
        <w:t xml:space="preserve">quarter </w:t>
      </w:r>
      <w:r w:rsidRPr="00DF6957">
        <w:rPr>
          <w:lang w:eastAsia="zh-CN"/>
        </w:rPr>
        <w:t xml:space="preserve">of 2016 </w:t>
      </w:r>
      <w:r w:rsidR="004A4D9C" w:rsidRPr="00DF6957">
        <w:rPr>
          <w:lang w:eastAsia="zh-CN"/>
        </w:rPr>
        <w:t xml:space="preserve">in relation to the </w:t>
      </w:r>
      <w:r w:rsidRPr="00DF6957">
        <w:rPr>
          <w:lang w:eastAsia="zh-CN"/>
        </w:rPr>
        <w:t>2015</w:t>
      </w:r>
      <w:r w:rsidR="001E1A82" w:rsidRPr="00DF6957">
        <w:rPr>
          <w:lang w:eastAsia="zh-CN"/>
        </w:rPr>
        <w:t>-</w:t>
      </w:r>
      <w:r w:rsidRPr="00DF6957">
        <w:rPr>
          <w:lang w:eastAsia="zh-CN"/>
        </w:rPr>
        <w:t>16 reporting period.</w:t>
      </w:r>
    </w:p>
    <w:p w:rsidR="0019380B" w:rsidRPr="004A4D9C" w:rsidRDefault="0019380B" w:rsidP="004A4D9C">
      <w:pPr>
        <w:rPr>
          <w:lang w:eastAsia="zh-CN"/>
        </w:rPr>
      </w:pPr>
      <w:r>
        <w:t>Implementation of this recommendation is the responsibility of the Titles Administrator.</w:t>
      </w:r>
    </w:p>
    <w:p w:rsidR="0046243E" w:rsidRDefault="0046243E" w:rsidP="00B42381">
      <w:pPr>
        <w:pStyle w:val="Heading3"/>
      </w:pPr>
      <w:bookmarkStart w:id="27" w:name="_Toc428443495"/>
      <w:bookmarkStart w:id="28" w:name="_Toc429659498"/>
      <w:r w:rsidRPr="00085594">
        <w:t>Relationships with Stakeholders</w:t>
      </w:r>
      <w:bookmarkEnd w:id="27"/>
      <w:bookmarkEnd w:id="28"/>
    </w:p>
    <w:p w:rsidR="00E96C66" w:rsidRPr="008F4913" w:rsidRDefault="00E96C66" w:rsidP="005F0184">
      <w:pPr>
        <w:pStyle w:val="Heading4"/>
      </w:pPr>
      <w:r w:rsidRPr="008F4913">
        <w:t>Recommendation 9</w:t>
      </w:r>
      <w:r w:rsidR="00955F53" w:rsidRPr="008F4913">
        <w:t xml:space="preserve">: That </w:t>
      </w:r>
      <w:r w:rsidRPr="008F4913">
        <w:t>NOPTA and NOPSEMA should establish an instrument (such as a Memorandum of Understanding or Charter of Engagement) to clarify the interaction between the agencies.</w:t>
      </w:r>
    </w:p>
    <w:p w:rsidR="001E1A82" w:rsidRPr="008F4913" w:rsidRDefault="00E96C66" w:rsidP="005F0184">
      <w:pPr>
        <w:pStyle w:val="Heading4"/>
      </w:pPr>
      <w:r w:rsidRPr="008F4913">
        <w:t>Response</w:t>
      </w:r>
      <w:r w:rsidR="00DB45BE" w:rsidRPr="008F4913">
        <w:t>: Noted</w:t>
      </w:r>
    </w:p>
    <w:p w:rsidR="00AA163A" w:rsidRPr="00DF6957" w:rsidRDefault="00E96C66" w:rsidP="00E96C66">
      <w:pPr>
        <w:rPr>
          <w:lang w:eastAsia="zh-CN"/>
        </w:rPr>
      </w:pPr>
      <w:r w:rsidRPr="00DF6957">
        <w:rPr>
          <w:lang w:eastAsia="zh-CN"/>
        </w:rPr>
        <w:t>Th</w:t>
      </w:r>
      <w:r w:rsidR="001E6D8D" w:rsidRPr="00DF6957">
        <w:rPr>
          <w:lang w:eastAsia="zh-CN"/>
        </w:rPr>
        <w:t xml:space="preserve">e Government notes that the </w:t>
      </w:r>
      <w:r w:rsidR="00E603B3" w:rsidRPr="00DF6957">
        <w:rPr>
          <w:lang w:eastAsia="zh-CN"/>
        </w:rPr>
        <w:t xml:space="preserve">2015 </w:t>
      </w:r>
      <w:r w:rsidR="001E6D8D" w:rsidRPr="00DF6957">
        <w:rPr>
          <w:lang w:eastAsia="zh-CN"/>
        </w:rPr>
        <w:t>Review highlight</w:t>
      </w:r>
      <w:r w:rsidR="001354BB" w:rsidRPr="00DF6957">
        <w:rPr>
          <w:lang w:eastAsia="zh-CN"/>
        </w:rPr>
        <w:t>ed</w:t>
      </w:r>
      <w:r w:rsidR="001E6D8D" w:rsidRPr="00DF6957">
        <w:rPr>
          <w:lang w:eastAsia="zh-CN"/>
        </w:rPr>
        <w:t xml:space="preserve"> the </w:t>
      </w:r>
      <w:r w:rsidR="00C45836" w:rsidRPr="00DF6957">
        <w:rPr>
          <w:lang w:eastAsia="zh-CN"/>
        </w:rPr>
        <w:t>relation</w:t>
      </w:r>
      <w:r w:rsidR="001354BB" w:rsidRPr="00DF6957">
        <w:rPr>
          <w:lang w:eastAsia="zh-CN"/>
        </w:rPr>
        <w:t>ship</w:t>
      </w:r>
      <w:r w:rsidR="001E6D8D" w:rsidRPr="00DF6957">
        <w:rPr>
          <w:lang w:eastAsia="zh-CN"/>
        </w:rPr>
        <w:t xml:space="preserve"> between NOPTA and NOPSEMA as being pivotal in the effective oversight of the offshore petroleum </w:t>
      </w:r>
      <w:r w:rsidR="00B26FB2" w:rsidRPr="00DF6957">
        <w:rPr>
          <w:lang w:eastAsia="zh-CN"/>
        </w:rPr>
        <w:t xml:space="preserve">sector </w:t>
      </w:r>
      <w:r w:rsidR="001E6D8D" w:rsidRPr="00DF6957">
        <w:rPr>
          <w:lang w:eastAsia="zh-CN"/>
        </w:rPr>
        <w:t xml:space="preserve">and that this relationship </w:t>
      </w:r>
      <w:r w:rsidR="00C45836" w:rsidRPr="00DF6957">
        <w:rPr>
          <w:lang w:eastAsia="zh-CN"/>
        </w:rPr>
        <w:t>could</w:t>
      </w:r>
      <w:r w:rsidR="001E6D8D" w:rsidRPr="00DF6957">
        <w:rPr>
          <w:lang w:eastAsia="zh-CN"/>
        </w:rPr>
        <w:t xml:space="preserve"> be made more effective through a formal agreement</w:t>
      </w:r>
      <w:r w:rsidR="008F4913">
        <w:rPr>
          <w:lang w:eastAsia="zh-CN"/>
        </w:rPr>
        <w:t xml:space="preserve">. </w:t>
      </w:r>
      <w:r w:rsidR="00AA163A" w:rsidRPr="00DF6957">
        <w:rPr>
          <w:lang w:eastAsia="zh-CN"/>
        </w:rPr>
        <w:t>NOPSEMA and NOPTA have improved their inter-agency cooperation since the initial period of operations when engagement was almost by necessity focused on discharging their new responsibilities. Legislative change has since enabled better sharing of information which provides opportunities for further cooperation.</w:t>
      </w:r>
    </w:p>
    <w:p w:rsidR="00AA163A" w:rsidRPr="00DF6957" w:rsidRDefault="00AA163A" w:rsidP="00AA163A">
      <w:pPr>
        <w:rPr>
          <w:rFonts w:cstheme="minorHAnsi"/>
          <w:szCs w:val="20"/>
          <w:lang w:eastAsia="zh-CN"/>
        </w:rPr>
      </w:pPr>
      <w:r w:rsidRPr="00DF6957">
        <w:rPr>
          <w:rFonts w:cstheme="minorHAnsi"/>
          <w:szCs w:val="20"/>
          <w:lang w:eastAsia="zh-CN"/>
        </w:rPr>
        <w:t xml:space="preserve">Both organisations have demonstrated the capacity to work cooperatively on matters relating to the regulation of offshore petroleum titles and greenhouse gas operations. As such, the Government does not consider a formal instrument of engagement between NOPSEMA and NOPTA is necessary provided the areas of co-operation and consultation are documented </w:t>
      </w:r>
      <w:r w:rsidR="00837A15">
        <w:rPr>
          <w:rFonts w:cstheme="minorHAnsi"/>
          <w:szCs w:val="20"/>
          <w:lang w:eastAsia="zh-CN"/>
        </w:rPr>
        <w:t>and updated to ensure currency.</w:t>
      </w:r>
    </w:p>
    <w:p w:rsidR="00AA163A" w:rsidRDefault="00AA163A" w:rsidP="00AA163A">
      <w:r w:rsidRPr="00DF6957">
        <w:t>Implementation of this recommendation is the responsibility of the National Offshore Petroleum Titles Administrator and the Chief Executive Officer of NOPSEMA.</w:t>
      </w:r>
    </w:p>
    <w:p w:rsidR="0046243E" w:rsidRDefault="0046243E" w:rsidP="00B42381">
      <w:pPr>
        <w:pStyle w:val="Heading3"/>
      </w:pPr>
      <w:bookmarkStart w:id="29" w:name="_Toc428443496"/>
      <w:bookmarkStart w:id="30" w:name="_Toc429659499"/>
      <w:r w:rsidRPr="00085594">
        <w:t>Data Management</w:t>
      </w:r>
      <w:bookmarkEnd w:id="29"/>
      <w:bookmarkEnd w:id="30"/>
    </w:p>
    <w:p w:rsidR="000E40D8" w:rsidRDefault="000E40D8" w:rsidP="000E40D8">
      <w:pPr>
        <w:rPr>
          <w:rStyle w:val="Emphasis"/>
          <w:i w:val="0"/>
        </w:rPr>
      </w:pPr>
      <w:r>
        <w:rPr>
          <w:rStyle w:val="Emphasis"/>
          <w:i w:val="0"/>
        </w:rPr>
        <w:t>The Government notes that there were</w:t>
      </w:r>
      <w:r w:rsidRPr="00BB5021">
        <w:rPr>
          <w:rStyle w:val="Emphasis"/>
          <w:i w:val="0"/>
        </w:rPr>
        <w:t xml:space="preserve"> no recom</w:t>
      </w:r>
      <w:r>
        <w:rPr>
          <w:rStyle w:val="Emphasis"/>
          <w:i w:val="0"/>
        </w:rPr>
        <w:t>m</w:t>
      </w:r>
      <w:r w:rsidRPr="00BB5021">
        <w:rPr>
          <w:rStyle w:val="Emphasis"/>
          <w:i w:val="0"/>
        </w:rPr>
        <w:t xml:space="preserve">endations </w:t>
      </w:r>
      <w:r>
        <w:rPr>
          <w:rStyle w:val="Emphasis"/>
          <w:i w:val="0"/>
        </w:rPr>
        <w:t xml:space="preserve">made </w:t>
      </w:r>
      <w:r w:rsidRPr="00BB5021">
        <w:rPr>
          <w:rStyle w:val="Emphasis"/>
          <w:i w:val="0"/>
        </w:rPr>
        <w:t xml:space="preserve">regarding </w:t>
      </w:r>
      <w:r>
        <w:rPr>
          <w:rStyle w:val="Emphasis"/>
          <w:i w:val="0"/>
        </w:rPr>
        <w:t xml:space="preserve">the data management </w:t>
      </w:r>
      <w:r w:rsidRPr="00BB5021">
        <w:rPr>
          <w:rStyle w:val="Emphasis"/>
          <w:i w:val="0"/>
        </w:rPr>
        <w:t>arrangement</w:t>
      </w:r>
      <w:r>
        <w:rPr>
          <w:rStyle w:val="Emphasis"/>
          <w:i w:val="0"/>
        </w:rPr>
        <w:t>s implemented by NOPTA</w:t>
      </w:r>
      <w:r w:rsidR="00365BCD">
        <w:rPr>
          <w:rStyle w:val="Emphasis"/>
          <w:i w:val="0"/>
        </w:rPr>
        <w:t xml:space="preserve"> and </w:t>
      </w:r>
      <w:r w:rsidR="00BE493C">
        <w:rPr>
          <w:rStyle w:val="Emphasis"/>
          <w:i w:val="0"/>
        </w:rPr>
        <w:t>notes</w:t>
      </w:r>
      <w:r w:rsidR="00365BCD">
        <w:rPr>
          <w:rStyle w:val="Emphasis"/>
          <w:i w:val="0"/>
        </w:rPr>
        <w:t xml:space="preserve"> that s</w:t>
      </w:r>
      <w:r w:rsidR="00365BCD" w:rsidRPr="00365BCD">
        <w:rPr>
          <w:rStyle w:val="Emphasis"/>
          <w:i w:val="0"/>
        </w:rPr>
        <w:t>takeholders have confidence in NOPTA’s ability to secure confidential data</w:t>
      </w:r>
      <w:r w:rsidRPr="00BB5021">
        <w:rPr>
          <w:rStyle w:val="Emphasis"/>
          <w:i w:val="0"/>
        </w:rPr>
        <w:t>.</w:t>
      </w:r>
    </w:p>
    <w:p w:rsidR="000E40D8" w:rsidRDefault="00BE493C" w:rsidP="000E40D8">
      <w:pPr>
        <w:rPr>
          <w:rStyle w:val="Emphasis"/>
          <w:i w:val="0"/>
        </w:rPr>
      </w:pPr>
      <w:r>
        <w:rPr>
          <w:rStyle w:val="Emphasis"/>
          <w:i w:val="0"/>
        </w:rPr>
        <w:t>S</w:t>
      </w:r>
      <w:r w:rsidR="000E40D8">
        <w:rPr>
          <w:rStyle w:val="Emphasis"/>
          <w:i w:val="0"/>
        </w:rPr>
        <w:t xml:space="preserve">ince the creation of NOPTA on 1 January 2012 there have been </w:t>
      </w:r>
      <w:r w:rsidR="000E40D8" w:rsidRPr="000E40D8">
        <w:rPr>
          <w:rStyle w:val="Emphasis"/>
          <w:i w:val="0"/>
        </w:rPr>
        <w:t>important developments in</w:t>
      </w:r>
      <w:r w:rsidR="000E40D8">
        <w:rPr>
          <w:rStyle w:val="Emphasis"/>
          <w:i w:val="0"/>
        </w:rPr>
        <w:t xml:space="preserve"> the </w:t>
      </w:r>
      <w:r w:rsidR="000E40D8" w:rsidRPr="000E40D8">
        <w:rPr>
          <w:rStyle w:val="Emphasis"/>
          <w:i w:val="0"/>
        </w:rPr>
        <w:t>management</w:t>
      </w:r>
      <w:r w:rsidR="000E40D8">
        <w:rPr>
          <w:rStyle w:val="Emphasis"/>
          <w:i w:val="0"/>
        </w:rPr>
        <w:t xml:space="preserve"> of Australia’s offshore petroleum data</w:t>
      </w:r>
      <w:r w:rsidR="00353618">
        <w:rPr>
          <w:rStyle w:val="Emphasis"/>
          <w:i w:val="0"/>
        </w:rPr>
        <w:t xml:space="preserve">. </w:t>
      </w:r>
      <w:r w:rsidR="000E40D8">
        <w:rPr>
          <w:rStyle w:val="Emphasis"/>
          <w:i w:val="0"/>
        </w:rPr>
        <w:t>These include:</w:t>
      </w:r>
    </w:p>
    <w:p w:rsidR="000E40D8" w:rsidRPr="00365BCD" w:rsidRDefault="00365BCD" w:rsidP="00520FD2">
      <w:pPr>
        <w:pStyle w:val="ListParagraph"/>
        <w:numPr>
          <w:ilvl w:val="0"/>
          <w:numId w:val="44"/>
        </w:numPr>
        <w:ind w:left="714" w:hanging="357"/>
        <w:contextualSpacing w:val="0"/>
        <w:rPr>
          <w:rStyle w:val="Emphasis"/>
          <w:i w:val="0"/>
        </w:rPr>
      </w:pPr>
      <w:r w:rsidRPr="00365BCD">
        <w:rPr>
          <w:rStyle w:val="Emphasis"/>
          <w:i w:val="0"/>
        </w:rPr>
        <w:lastRenderedPageBreak/>
        <w:t>E</w:t>
      </w:r>
      <w:r w:rsidR="000E40D8" w:rsidRPr="00365BCD">
        <w:rPr>
          <w:rStyle w:val="Emphasis"/>
          <w:i w:val="0"/>
        </w:rPr>
        <w:t xml:space="preserve">stablishment of the </w:t>
      </w:r>
      <w:r w:rsidR="000E40D8" w:rsidRPr="00365BCD">
        <w:rPr>
          <w:rStyle w:val="Emphasis"/>
        </w:rPr>
        <w:t>National Offshore Petroleum Data and Core Repository (NOPDCR)</w:t>
      </w:r>
      <w:r w:rsidR="00591AEC">
        <w:rPr>
          <w:rStyle w:val="Emphasis"/>
        </w:rPr>
        <w:t>,</w:t>
      </w:r>
      <w:r w:rsidR="000E40D8" w:rsidRPr="00365BCD">
        <w:rPr>
          <w:rStyle w:val="Emphasis"/>
          <w:i w:val="0"/>
        </w:rPr>
        <w:t xml:space="preserve"> </w:t>
      </w:r>
      <w:r>
        <w:rPr>
          <w:rStyle w:val="Emphasis"/>
          <w:i w:val="0"/>
        </w:rPr>
        <w:t xml:space="preserve">a collaborative arrangement </w:t>
      </w:r>
      <w:r w:rsidR="000E40D8" w:rsidRPr="00365BCD">
        <w:rPr>
          <w:rStyle w:val="Emphasis"/>
          <w:i w:val="0"/>
        </w:rPr>
        <w:t xml:space="preserve">between NOPTA, Geoscience Australia and the Western Australia Department of Mines and Petroleum (DMP). The NOPDCR has consolidated the storage of all Commonwealth offshore petroleum mining samples; with one-third sections held in Canberra and the two-thirds section now held in DMP’s Carlisle Core Store in Perth. These world class facilities provide secure storage of samples, disaster mitigation and increased access for viewing and sampling by industry in both East and West coast </w:t>
      </w:r>
      <w:r w:rsidR="00EA19AB">
        <w:rPr>
          <w:rStyle w:val="Emphasis"/>
          <w:i w:val="0"/>
        </w:rPr>
        <w:t>locations.</w:t>
      </w:r>
    </w:p>
    <w:p w:rsidR="000E40D8" w:rsidRPr="00365BCD" w:rsidRDefault="00365BCD" w:rsidP="004F4138">
      <w:pPr>
        <w:pStyle w:val="ListParagraph"/>
        <w:numPr>
          <w:ilvl w:val="0"/>
          <w:numId w:val="44"/>
        </w:numPr>
        <w:ind w:right="-188"/>
        <w:contextualSpacing w:val="0"/>
        <w:rPr>
          <w:rStyle w:val="Emphasis"/>
          <w:i w:val="0"/>
        </w:rPr>
      </w:pPr>
      <w:r w:rsidRPr="00365BCD">
        <w:rPr>
          <w:rStyle w:val="Emphasis"/>
          <w:i w:val="0"/>
        </w:rPr>
        <w:t>D</w:t>
      </w:r>
      <w:r w:rsidR="000E40D8" w:rsidRPr="00365BCD">
        <w:rPr>
          <w:rStyle w:val="Emphasis"/>
          <w:i w:val="0"/>
        </w:rPr>
        <w:t xml:space="preserve">evelopment of the National Offshore Petroleum Information Management System (NOPIMS), a data discovery and delivery system for offshore wells, and survey data and information. </w:t>
      </w:r>
      <w:r>
        <w:rPr>
          <w:rStyle w:val="Emphasis"/>
          <w:i w:val="0"/>
        </w:rPr>
        <w:t>NOPIMS</w:t>
      </w:r>
      <w:r w:rsidR="000E40D8" w:rsidRPr="00365BCD">
        <w:rPr>
          <w:rStyle w:val="Emphasis"/>
          <w:i w:val="0"/>
        </w:rPr>
        <w:t xml:space="preserve"> will </w:t>
      </w:r>
      <w:r>
        <w:rPr>
          <w:rStyle w:val="Emphasis"/>
          <w:i w:val="0"/>
        </w:rPr>
        <w:t>remov</w:t>
      </w:r>
      <w:r w:rsidR="00BE493C">
        <w:rPr>
          <w:rStyle w:val="Emphasis"/>
          <w:i w:val="0"/>
        </w:rPr>
        <w:t>e</w:t>
      </w:r>
      <w:r>
        <w:rPr>
          <w:rStyle w:val="Emphasis"/>
          <w:i w:val="0"/>
        </w:rPr>
        <w:t xml:space="preserve"> </w:t>
      </w:r>
      <w:r w:rsidR="000E40D8" w:rsidRPr="00365BCD">
        <w:rPr>
          <w:rStyle w:val="Emphasis"/>
          <w:i w:val="0"/>
        </w:rPr>
        <w:t>the need to go to multiple sources for data in different areas of Australia. Data coverage and completeness will be initially limited to reports and data for open-file activities post 1 January 2012</w:t>
      </w:r>
      <w:r>
        <w:rPr>
          <w:rStyle w:val="Emphasis"/>
          <w:i w:val="0"/>
        </w:rPr>
        <w:t>, but will be</w:t>
      </w:r>
      <w:r w:rsidR="000E40D8" w:rsidRPr="00365BCD">
        <w:rPr>
          <w:rStyle w:val="Emphasis"/>
          <w:i w:val="0"/>
        </w:rPr>
        <w:t xml:space="preserve"> progressively populated over time with data for open-file activities prior to this date.</w:t>
      </w:r>
      <w:r w:rsidR="004F4138" w:rsidRPr="004F4138">
        <w:t xml:space="preserve"> </w:t>
      </w:r>
      <w:r w:rsidR="004F4138">
        <w:t>The arrangement between NO</w:t>
      </w:r>
      <w:r w:rsidR="00234CED">
        <w:t>PTA</w:t>
      </w:r>
      <w:r w:rsidR="004F4138">
        <w:t xml:space="preserve"> and Geoscience Australia for the development of NOPIMS is further </w:t>
      </w:r>
      <w:r w:rsidR="004F4138" w:rsidRPr="004F4138">
        <w:rPr>
          <w:rStyle w:val="Emphasis"/>
          <w:i w:val="0"/>
        </w:rPr>
        <w:t>strengthening the</w:t>
      </w:r>
      <w:r w:rsidR="004F4138">
        <w:rPr>
          <w:rStyle w:val="Emphasis"/>
          <w:i w:val="0"/>
        </w:rPr>
        <w:t xml:space="preserve">ir </w:t>
      </w:r>
      <w:r w:rsidR="004F4138" w:rsidRPr="004F4138">
        <w:rPr>
          <w:rStyle w:val="Emphasis"/>
          <w:i w:val="0"/>
        </w:rPr>
        <w:t>relationship</w:t>
      </w:r>
      <w:r w:rsidR="004F4138">
        <w:rPr>
          <w:rStyle w:val="Emphasis"/>
          <w:i w:val="0"/>
        </w:rPr>
        <w:t xml:space="preserve"> </w:t>
      </w:r>
      <w:r w:rsidR="004F4138" w:rsidRPr="004F4138">
        <w:rPr>
          <w:rStyle w:val="Emphasis"/>
          <w:i w:val="0"/>
        </w:rPr>
        <w:t xml:space="preserve">and providing direct and tangible benefits to </w:t>
      </w:r>
      <w:r w:rsidR="004F4138">
        <w:rPr>
          <w:rStyle w:val="Emphasis"/>
          <w:i w:val="0"/>
        </w:rPr>
        <w:t>Australia’s</w:t>
      </w:r>
      <w:r w:rsidR="004F4138" w:rsidRPr="004F4138">
        <w:rPr>
          <w:rStyle w:val="Emphasis"/>
          <w:i w:val="0"/>
        </w:rPr>
        <w:t xml:space="preserve"> </w:t>
      </w:r>
      <w:r w:rsidR="004F4138">
        <w:rPr>
          <w:rStyle w:val="Emphasis"/>
          <w:i w:val="0"/>
        </w:rPr>
        <w:t>offshore p</w:t>
      </w:r>
      <w:r w:rsidR="004F4138" w:rsidRPr="004F4138">
        <w:rPr>
          <w:rStyle w:val="Emphasis"/>
          <w:i w:val="0"/>
        </w:rPr>
        <w:t xml:space="preserve">etroleum </w:t>
      </w:r>
      <w:r w:rsidR="004F4138">
        <w:rPr>
          <w:rStyle w:val="Emphasis"/>
          <w:i w:val="0"/>
        </w:rPr>
        <w:t>i</w:t>
      </w:r>
      <w:r w:rsidR="004F4138" w:rsidRPr="004F4138">
        <w:rPr>
          <w:rStyle w:val="Emphasis"/>
          <w:i w:val="0"/>
        </w:rPr>
        <w:t>ndustry</w:t>
      </w:r>
      <w:r w:rsidR="00EA19AB">
        <w:rPr>
          <w:rStyle w:val="Emphasis"/>
          <w:i w:val="0"/>
        </w:rPr>
        <w:t>.</w:t>
      </w:r>
    </w:p>
    <w:p w:rsidR="000E40D8" w:rsidRPr="00365BCD" w:rsidRDefault="00365BCD" w:rsidP="00520FD2">
      <w:pPr>
        <w:pStyle w:val="ListParagraph"/>
        <w:numPr>
          <w:ilvl w:val="0"/>
          <w:numId w:val="44"/>
        </w:numPr>
        <w:rPr>
          <w:rStyle w:val="Emphasis"/>
          <w:i w:val="0"/>
        </w:rPr>
      </w:pPr>
      <w:r w:rsidRPr="00365BCD">
        <w:rPr>
          <w:rStyle w:val="Emphasis"/>
          <w:i w:val="0"/>
        </w:rPr>
        <w:t>D</w:t>
      </w:r>
      <w:r w:rsidR="000E40D8" w:rsidRPr="00365BCD">
        <w:rPr>
          <w:rStyle w:val="Emphasis"/>
          <w:i w:val="0"/>
        </w:rPr>
        <w:t>evelopment and application of consistent compliance activities over regulated data to ensure items are submitted and are complete on submission. Since 2012 data submission standards have been set out in the NOPTA’s data submission requirements. Compliance with these requirements is necessary to allow the maximum benefit to be reaped from the data submitted and subsequently released; thus reducing the long term costs associated with non-compliant data t</w:t>
      </w:r>
      <w:r w:rsidR="00837A15">
        <w:rPr>
          <w:rStyle w:val="Emphasis"/>
          <w:i w:val="0"/>
        </w:rPr>
        <w:t>o both industry and government.</w:t>
      </w:r>
    </w:p>
    <w:p w:rsidR="000E40D8" w:rsidRDefault="000E40D8" w:rsidP="000E40D8">
      <w:pPr>
        <w:rPr>
          <w:rStyle w:val="Emphasis"/>
          <w:i w:val="0"/>
        </w:rPr>
      </w:pPr>
      <w:r>
        <w:rPr>
          <w:rStyle w:val="Emphasis"/>
          <w:i w:val="0"/>
        </w:rPr>
        <w:t xml:space="preserve">The Government </w:t>
      </w:r>
      <w:r w:rsidR="00365BCD">
        <w:rPr>
          <w:rStyle w:val="Emphasis"/>
          <w:i w:val="0"/>
        </w:rPr>
        <w:t xml:space="preserve">also </w:t>
      </w:r>
      <w:r>
        <w:rPr>
          <w:rStyle w:val="Emphasis"/>
          <w:i w:val="0"/>
        </w:rPr>
        <w:t xml:space="preserve">notes that the Offshore Petroleum Resource Management </w:t>
      </w:r>
      <w:r w:rsidR="00365BCD">
        <w:rPr>
          <w:rStyle w:val="Emphasis"/>
          <w:i w:val="0"/>
        </w:rPr>
        <w:t>Review</w:t>
      </w:r>
      <w:r>
        <w:rPr>
          <w:rStyle w:val="Emphasis"/>
          <w:i w:val="0"/>
        </w:rPr>
        <w:t xml:space="preserve"> has identified </w:t>
      </w:r>
      <w:r w:rsidRPr="000E40D8">
        <w:rPr>
          <w:rStyle w:val="Emphasis"/>
          <w:i w:val="0"/>
        </w:rPr>
        <w:t xml:space="preserve">an issue with the quality of legacy data due to the differing compliance standards across jurisdictions at </w:t>
      </w:r>
      <w:r>
        <w:rPr>
          <w:rStyle w:val="Emphasis"/>
          <w:i w:val="0"/>
        </w:rPr>
        <w:t>the time the data was collected and data confidentiality provisions</w:t>
      </w:r>
      <w:r w:rsidR="008F4913">
        <w:rPr>
          <w:rStyle w:val="Emphasis"/>
          <w:i w:val="0"/>
        </w:rPr>
        <w:t xml:space="preserve">. </w:t>
      </w:r>
      <w:r w:rsidR="007051C3">
        <w:rPr>
          <w:rStyle w:val="Emphasis"/>
          <w:i w:val="0"/>
        </w:rPr>
        <w:t>Th</w:t>
      </w:r>
      <w:r w:rsidR="00E603B3">
        <w:rPr>
          <w:rStyle w:val="Emphasis"/>
          <w:i w:val="0"/>
        </w:rPr>
        <w:t>e Offshore Petroleum Resource Management R</w:t>
      </w:r>
      <w:r w:rsidR="007051C3">
        <w:rPr>
          <w:rStyle w:val="Emphasis"/>
          <w:i w:val="0"/>
        </w:rPr>
        <w:t>eview has proposed</w:t>
      </w:r>
      <w:r>
        <w:rPr>
          <w:rStyle w:val="Emphasis"/>
          <w:i w:val="0"/>
        </w:rPr>
        <w:t xml:space="preserve"> Actions that require:</w:t>
      </w:r>
    </w:p>
    <w:p w:rsidR="000E40D8" w:rsidRPr="00520FD2" w:rsidRDefault="000E40D8" w:rsidP="00520FD2">
      <w:pPr>
        <w:pStyle w:val="ListParagraph"/>
        <w:numPr>
          <w:ilvl w:val="0"/>
          <w:numId w:val="45"/>
        </w:numPr>
        <w:rPr>
          <w:rStyle w:val="Emphasis"/>
          <w:i w:val="0"/>
        </w:rPr>
      </w:pPr>
      <w:r w:rsidRPr="00520FD2">
        <w:rPr>
          <w:rStyle w:val="Emphasis"/>
          <w:i w:val="0"/>
        </w:rPr>
        <w:t xml:space="preserve">NOPTA, Geoscience Australia and the </w:t>
      </w:r>
      <w:r w:rsidR="00B26FB2">
        <w:rPr>
          <w:rStyle w:val="Emphasis"/>
          <w:i w:val="0"/>
        </w:rPr>
        <w:t xml:space="preserve">offshore </w:t>
      </w:r>
      <w:r w:rsidRPr="00520FD2">
        <w:rPr>
          <w:rStyle w:val="Emphasis"/>
          <w:i w:val="0"/>
        </w:rPr>
        <w:t xml:space="preserve">petroleum </w:t>
      </w:r>
      <w:r w:rsidR="00B26FB2">
        <w:rPr>
          <w:rStyle w:val="Emphasis"/>
          <w:i w:val="0"/>
        </w:rPr>
        <w:t>sector</w:t>
      </w:r>
      <w:r w:rsidRPr="00520FD2">
        <w:rPr>
          <w:rStyle w:val="Emphasis"/>
          <w:i w:val="0"/>
        </w:rPr>
        <w:t xml:space="preserve"> </w:t>
      </w:r>
      <w:r w:rsidR="004C132D">
        <w:rPr>
          <w:rStyle w:val="Emphasis"/>
          <w:i w:val="0"/>
        </w:rPr>
        <w:t xml:space="preserve">to </w:t>
      </w:r>
      <w:r w:rsidRPr="00520FD2">
        <w:rPr>
          <w:rStyle w:val="Emphasis"/>
          <w:i w:val="0"/>
        </w:rPr>
        <w:t xml:space="preserve">work together to ensure that all new data submissions and the current data holdings are compliant </w:t>
      </w:r>
      <w:r w:rsidR="004C132D">
        <w:rPr>
          <w:rStyle w:val="Emphasis"/>
          <w:i w:val="0"/>
        </w:rPr>
        <w:t>with</w:t>
      </w:r>
      <w:r w:rsidRPr="00520FD2">
        <w:rPr>
          <w:rStyle w:val="Emphasis"/>
          <w:i w:val="0"/>
        </w:rPr>
        <w:t xml:space="preserve"> agreed standards and </w:t>
      </w:r>
    </w:p>
    <w:p w:rsidR="000E40D8" w:rsidRPr="007051C3" w:rsidRDefault="000E40D8" w:rsidP="00520FD2">
      <w:pPr>
        <w:pStyle w:val="ListParagraph"/>
        <w:numPr>
          <w:ilvl w:val="0"/>
          <w:numId w:val="45"/>
        </w:numPr>
        <w:rPr>
          <w:rStyle w:val="Emphasis"/>
          <w:i w:val="0"/>
        </w:rPr>
      </w:pPr>
      <w:proofErr w:type="gramStart"/>
      <w:r w:rsidRPr="00520FD2">
        <w:rPr>
          <w:rStyle w:val="Emphasis"/>
          <w:i w:val="0"/>
        </w:rPr>
        <w:t>a</w:t>
      </w:r>
      <w:proofErr w:type="gramEnd"/>
      <w:r w:rsidRPr="00520FD2">
        <w:rPr>
          <w:rStyle w:val="Emphasis"/>
          <w:i w:val="0"/>
        </w:rPr>
        <w:t xml:space="preserve"> formal analysis of the data management provisions in the OPGGS Act and the regulations and in particular, confidentiality provisions.</w:t>
      </w:r>
    </w:p>
    <w:p w:rsidR="0046243E" w:rsidRDefault="0046243E" w:rsidP="00B42381">
      <w:pPr>
        <w:pStyle w:val="Heading3"/>
      </w:pPr>
      <w:bookmarkStart w:id="31" w:name="_Toc428443497"/>
      <w:bookmarkStart w:id="32" w:name="_Toc429659500"/>
      <w:r w:rsidRPr="00085594">
        <w:t>Greenhouse Gas Storage</w:t>
      </w:r>
      <w:bookmarkEnd w:id="31"/>
      <w:bookmarkEnd w:id="32"/>
    </w:p>
    <w:p w:rsidR="00E96C66" w:rsidRPr="008F4913" w:rsidRDefault="00E96C66" w:rsidP="005F0184">
      <w:pPr>
        <w:pStyle w:val="Heading4"/>
      </w:pPr>
      <w:r w:rsidRPr="008F4913">
        <w:t>Recommendation 10</w:t>
      </w:r>
      <w:r w:rsidR="00955F53" w:rsidRPr="008F4913">
        <w:t xml:space="preserve">: </w:t>
      </w:r>
      <w:r w:rsidRPr="008F4913">
        <w:t>That NOPTA investigate the implications of a growth in applications for greenhouse gas storage titles. This should be undertaken in conjunction with the Department of Industry and Science</w:t>
      </w:r>
      <w:r w:rsidR="007C1FDF">
        <w:t xml:space="preserve"> (now the Department of Industry, Innovation and Science)</w:t>
      </w:r>
      <w:r w:rsidRPr="008F4913">
        <w:t>, and NOPSEMA.</w:t>
      </w:r>
    </w:p>
    <w:p w:rsidR="003C2760" w:rsidRPr="008F4913" w:rsidRDefault="00E96C66" w:rsidP="005F0184">
      <w:pPr>
        <w:pStyle w:val="Heading4"/>
      </w:pPr>
      <w:r w:rsidRPr="008F4913">
        <w:t>Response</w:t>
      </w:r>
      <w:r w:rsidR="007051C3" w:rsidRPr="008F4913">
        <w:t>: Accep</w:t>
      </w:r>
      <w:r w:rsidR="00EA19AB" w:rsidRPr="008F4913">
        <w:t>ted</w:t>
      </w:r>
    </w:p>
    <w:p w:rsidR="00BB1248" w:rsidRDefault="00BB1248" w:rsidP="006C18CB">
      <w:pPr>
        <w:rPr>
          <w:lang w:eastAsia="zh-CN"/>
        </w:rPr>
      </w:pPr>
      <w:r w:rsidRPr="00BB1248">
        <w:rPr>
          <w:lang w:eastAsia="zh-CN"/>
        </w:rPr>
        <w:t>Australia</w:t>
      </w:r>
      <w:r w:rsidR="002E5A77">
        <w:rPr>
          <w:lang w:eastAsia="zh-CN"/>
        </w:rPr>
        <w:t xml:space="preserve"> was</w:t>
      </w:r>
      <w:r w:rsidRPr="00BB1248">
        <w:rPr>
          <w:lang w:eastAsia="zh-CN"/>
        </w:rPr>
        <w:t xml:space="preserve"> one of the first countries in the world to have a </w:t>
      </w:r>
      <w:r w:rsidR="002E5A77">
        <w:rPr>
          <w:lang w:eastAsia="zh-CN"/>
        </w:rPr>
        <w:t xml:space="preserve">comprehensive </w:t>
      </w:r>
      <w:r w:rsidRPr="00BB1248">
        <w:rPr>
          <w:lang w:eastAsia="zh-CN"/>
        </w:rPr>
        <w:t xml:space="preserve">legislative framework to regulate offshore greenhouse gas injection and storage. The creation of NOPTA </w:t>
      </w:r>
      <w:r w:rsidR="002E5A77">
        <w:rPr>
          <w:lang w:eastAsia="zh-CN"/>
        </w:rPr>
        <w:t>occurred after</w:t>
      </w:r>
      <w:r w:rsidRPr="00BB1248">
        <w:rPr>
          <w:lang w:eastAsia="zh-CN"/>
        </w:rPr>
        <w:t xml:space="preserve"> the commencement of the greenhouse gas legislative framework so there is merit in NOPTA and the department to continue to work together to better understand the resourcing and other implications of a growth in greenhouse gas titles.</w:t>
      </w:r>
    </w:p>
    <w:p w:rsidR="0019380B" w:rsidRPr="00BB1248" w:rsidRDefault="0019380B" w:rsidP="006C18CB">
      <w:pPr>
        <w:rPr>
          <w:lang w:eastAsia="zh-CN"/>
        </w:rPr>
      </w:pPr>
      <w:r>
        <w:t>Implementation of this recommendation is the responsibility of the Department of Industry</w:t>
      </w:r>
      <w:r w:rsidR="00997A5A">
        <w:t>, Innovation</w:t>
      </w:r>
      <w:r>
        <w:t xml:space="preserve"> and Science.</w:t>
      </w:r>
    </w:p>
    <w:p w:rsidR="0046243E" w:rsidRDefault="0046243E" w:rsidP="00B42381">
      <w:pPr>
        <w:pStyle w:val="Heading3"/>
      </w:pPr>
      <w:bookmarkStart w:id="33" w:name="_Toc428443498"/>
      <w:bookmarkStart w:id="34" w:name="_Toc429659501"/>
      <w:r w:rsidRPr="00085594">
        <w:lastRenderedPageBreak/>
        <w:t>NOPTA’s Insight</w:t>
      </w:r>
      <w:bookmarkEnd w:id="33"/>
      <w:bookmarkEnd w:id="34"/>
    </w:p>
    <w:p w:rsidR="00E96C66" w:rsidRPr="008F4913" w:rsidRDefault="00E96C66" w:rsidP="005F0184">
      <w:pPr>
        <w:pStyle w:val="Heading4"/>
      </w:pPr>
      <w:r w:rsidRPr="008F4913">
        <w:t>Recommendation 11</w:t>
      </w:r>
      <w:r w:rsidR="00955F53" w:rsidRPr="008F4913">
        <w:t>: T</w:t>
      </w:r>
      <w:r w:rsidRPr="008F4913">
        <w:t>hat NOPTA provide its insights on the offshore petroleum and greenhouse gas storage industries to jurisdictions to assist with policy development.</w:t>
      </w:r>
    </w:p>
    <w:p w:rsidR="009B7B5F" w:rsidRPr="008F4913" w:rsidRDefault="00E96C66" w:rsidP="005F0184">
      <w:pPr>
        <w:pStyle w:val="Heading4"/>
      </w:pPr>
      <w:r w:rsidRPr="008F4913">
        <w:t>Response</w:t>
      </w:r>
      <w:r w:rsidR="007051C3" w:rsidRPr="008F4913">
        <w:t>: Accepted</w:t>
      </w:r>
    </w:p>
    <w:p w:rsidR="003B70C0" w:rsidRPr="004C646E" w:rsidRDefault="003B70C0" w:rsidP="003B70C0">
      <w:r w:rsidRPr="004C646E">
        <w:t xml:space="preserve">The </w:t>
      </w:r>
      <w:r w:rsidR="00286B3F">
        <w:t xml:space="preserve">2015 </w:t>
      </w:r>
      <w:r w:rsidRPr="004C646E">
        <w:t xml:space="preserve">Review notes NOPTA </w:t>
      </w:r>
      <w:r w:rsidR="0022137C" w:rsidRPr="004C646E">
        <w:t xml:space="preserve">is now at a point in its development where it has a range of </w:t>
      </w:r>
      <w:r w:rsidR="00D569D2" w:rsidRPr="004C646E">
        <w:t xml:space="preserve">analytical </w:t>
      </w:r>
      <w:r w:rsidR="0022137C" w:rsidRPr="004C646E">
        <w:t xml:space="preserve">skills and </w:t>
      </w:r>
      <w:r w:rsidR="00D569D2" w:rsidRPr="004C646E">
        <w:t xml:space="preserve">industry </w:t>
      </w:r>
      <w:r w:rsidR="0022137C" w:rsidRPr="004C646E">
        <w:t xml:space="preserve">expertise </w:t>
      </w:r>
      <w:r w:rsidR="00D569D2" w:rsidRPr="004C646E">
        <w:t xml:space="preserve">gained through its administrative function </w:t>
      </w:r>
      <w:r w:rsidR="0022137C" w:rsidRPr="004C646E">
        <w:t xml:space="preserve">that would benefit the </w:t>
      </w:r>
      <w:r w:rsidR="00D569D2" w:rsidRPr="004C646E">
        <w:t xml:space="preserve">policy </w:t>
      </w:r>
      <w:r w:rsidR="0022137C" w:rsidRPr="004C646E">
        <w:t xml:space="preserve">decision making of the jurisdictions. These </w:t>
      </w:r>
      <w:r w:rsidRPr="004C646E">
        <w:t xml:space="preserve">skills and knowledge </w:t>
      </w:r>
      <w:r w:rsidR="0022137C" w:rsidRPr="004C646E">
        <w:t xml:space="preserve">would </w:t>
      </w:r>
      <w:r w:rsidRPr="004C646E">
        <w:t>provide insights into the exploration, development and production phases</w:t>
      </w:r>
      <w:r w:rsidR="0022137C" w:rsidRPr="004C646E">
        <w:t>, based on trend analysis and on industry knowledge</w:t>
      </w:r>
      <w:r w:rsidR="00D569D2" w:rsidRPr="004C646E">
        <w:t>, rather than providing policy advice per se</w:t>
      </w:r>
      <w:r w:rsidRPr="004C646E">
        <w:t>.</w:t>
      </w:r>
    </w:p>
    <w:p w:rsidR="00B67888" w:rsidRPr="004C646E" w:rsidRDefault="00B76861" w:rsidP="00B76861">
      <w:r w:rsidRPr="004C646E">
        <w:t xml:space="preserve">The Titles Administrator </w:t>
      </w:r>
      <w:r w:rsidR="0022137C" w:rsidRPr="004C646E">
        <w:t xml:space="preserve">is able to exercise this expertise as there is a clear and </w:t>
      </w:r>
      <w:r w:rsidR="00B67888" w:rsidRPr="004C646E">
        <w:t xml:space="preserve">broad advice function under </w:t>
      </w:r>
      <w:r w:rsidR="000118B2">
        <w:t>s</w:t>
      </w:r>
      <w:r w:rsidR="00B67888" w:rsidRPr="004C646E">
        <w:t>695B of the OP</w:t>
      </w:r>
      <w:r w:rsidR="003C2760" w:rsidRPr="004C646E">
        <w:t>GG</w:t>
      </w:r>
      <w:r w:rsidR="00B67888" w:rsidRPr="004C646E">
        <w:t>S Act</w:t>
      </w:r>
      <w:r w:rsidRPr="004C646E">
        <w:t xml:space="preserve"> </w:t>
      </w:r>
      <w:r w:rsidR="0022137C" w:rsidRPr="004C646E">
        <w:t xml:space="preserve">in relation to advice to </w:t>
      </w:r>
      <w:r w:rsidRPr="004C646E">
        <w:t>the jurisdictions</w:t>
      </w:r>
      <w:r w:rsidR="0022137C" w:rsidRPr="004C646E">
        <w:t xml:space="preserve"> and relevant </w:t>
      </w:r>
      <w:r w:rsidR="003B2AD4">
        <w:t>s</w:t>
      </w:r>
      <w:r w:rsidR="003C2760" w:rsidRPr="004C646E">
        <w:t>t</w:t>
      </w:r>
      <w:r w:rsidR="0022137C" w:rsidRPr="004C646E">
        <w:t>ate/Northern Territory Petroleum Ministers</w:t>
      </w:r>
      <w:r w:rsidR="00B67888" w:rsidRPr="004C646E">
        <w:t>.</w:t>
      </w:r>
    </w:p>
    <w:p w:rsidR="00B76861" w:rsidRPr="004C646E" w:rsidRDefault="00B67888" w:rsidP="00B76861">
      <w:r w:rsidRPr="004C646E">
        <w:t xml:space="preserve">NOPTA </w:t>
      </w:r>
      <w:r w:rsidR="00B76861" w:rsidRPr="004C646E">
        <w:t xml:space="preserve">already employs its recognised technical expertise and analytical skills in the </w:t>
      </w:r>
      <w:r w:rsidRPr="004C646E">
        <w:t xml:space="preserve">insights </w:t>
      </w:r>
      <w:r w:rsidR="00B76861" w:rsidRPr="004C646E">
        <w:t xml:space="preserve">provided </w:t>
      </w:r>
      <w:r w:rsidRPr="004C646E">
        <w:t xml:space="preserve">to the </w:t>
      </w:r>
      <w:r w:rsidR="00B76861" w:rsidRPr="004C646E">
        <w:t>jurisdictions</w:t>
      </w:r>
      <w:r w:rsidRPr="004C646E">
        <w:t xml:space="preserve"> through</w:t>
      </w:r>
      <w:r w:rsidR="00B76861" w:rsidRPr="004C646E">
        <w:t xml:space="preserve"> its participation in the</w:t>
      </w:r>
      <w:r w:rsidRPr="004C646E">
        <w:t xml:space="preserve"> meetings of the Upstream Petroleum Resources Working Group, which reports to the COAG Energy Council.</w:t>
      </w:r>
    </w:p>
    <w:p w:rsidR="00B76861" w:rsidRDefault="00B76861" w:rsidP="000118B2">
      <w:pPr>
        <w:ind w:right="-330"/>
      </w:pPr>
      <w:r w:rsidRPr="004C646E">
        <w:t>NOPTA has developed extensive data holdings, captured as part of the functions of the Title Administrator. NOPTA will consider aggregat</w:t>
      </w:r>
      <w:r w:rsidR="00B8037C" w:rsidRPr="004C646E">
        <w:t>ing</w:t>
      </w:r>
      <w:r w:rsidRPr="004C646E">
        <w:t xml:space="preserve"> </w:t>
      </w:r>
      <w:r w:rsidR="00B8037C" w:rsidRPr="004C646E">
        <w:t xml:space="preserve">confidential </w:t>
      </w:r>
      <w:r w:rsidRPr="004C646E">
        <w:t>data to develop trend analysis including projections, to inform policy development for both the Commonwealth and the states/Northern</w:t>
      </w:r>
      <w:r w:rsidR="000118B2">
        <w:t> </w:t>
      </w:r>
      <w:r w:rsidRPr="004C646E">
        <w:t>Territory.</w:t>
      </w:r>
    </w:p>
    <w:p w:rsidR="00853346" w:rsidRDefault="00853346" w:rsidP="00B76861">
      <w:r w:rsidRPr="005321C7">
        <w:t>Furthermore, the Offshore Petroleum Resource Management Review has an Action for NOPTA to establish an annual public reporting framework that provides a holistic assessment of the state-of-play of Australia’s offshore petroleum resources and associated infrastructure in producing and prospective regions</w:t>
      </w:r>
      <w:r w:rsidR="008F4913" w:rsidRPr="005321C7">
        <w:t xml:space="preserve">. </w:t>
      </w:r>
      <w:r w:rsidRPr="005321C7">
        <w:t>The intent of this report is to provide the community and the offshore petroleum industry with a high-level comprehensive picture of Australia’s offshore petroleum resource base and associated development/production infrastructure at the regional and/or basin level and to highlight current and emerging resource management issues</w:t>
      </w:r>
      <w:r w:rsidR="008F4913" w:rsidRPr="005321C7">
        <w:t xml:space="preserve">. </w:t>
      </w:r>
      <w:r w:rsidRPr="005321C7">
        <w:t>It will also provide the public with a transparent understanding of the management regime, and will be used by NOPTA and the Joint Authorities as a basis for engagement with industry on the issues identified.</w:t>
      </w:r>
    </w:p>
    <w:p w:rsidR="0019380B" w:rsidRDefault="0019380B" w:rsidP="00B76861">
      <w:r>
        <w:t>Implementation of this recommendation is the responsibility of the Titles Administrator.</w:t>
      </w:r>
    </w:p>
    <w:p w:rsidR="00B05318" w:rsidRDefault="0046243E" w:rsidP="00B42381">
      <w:pPr>
        <w:pStyle w:val="Heading3"/>
      </w:pPr>
      <w:bookmarkStart w:id="35" w:name="_Toc428443499"/>
      <w:bookmarkStart w:id="36" w:name="_Toc429659502"/>
      <w:r w:rsidRPr="00085594">
        <w:t>Government’s Deregulation Agenda</w:t>
      </w:r>
      <w:bookmarkStart w:id="37" w:name="OLE_LINK2"/>
      <w:bookmarkStart w:id="38" w:name="OLE_LINK3"/>
      <w:bookmarkEnd w:id="35"/>
      <w:bookmarkEnd w:id="36"/>
    </w:p>
    <w:bookmarkEnd w:id="37"/>
    <w:bookmarkEnd w:id="38"/>
    <w:p w:rsidR="00C76373" w:rsidRPr="008F4913" w:rsidRDefault="0046243E" w:rsidP="005F0184">
      <w:pPr>
        <w:pStyle w:val="Heading4"/>
      </w:pPr>
      <w:r w:rsidRPr="008F4913">
        <w:t>Recommenda</w:t>
      </w:r>
      <w:r w:rsidR="00B62E3B" w:rsidRPr="008F4913">
        <w:t>tion 12</w:t>
      </w:r>
      <w:r w:rsidR="00955F53" w:rsidRPr="008F4913">
        <w:t xml:space="preserve">: </w:t>
      </w:r>
      <w:r w:rsidR="00C76373" w:rsidRPr="008F4913">
        <w:t>That the Commonwealth Minister considers the conduct of a feasibility study for the creation of a single offshore titles administrative framework for both Commonwealth waters and State/Northern Territory waters through the conferral of powers under State and Northern Territory legislation.</w:t>
      </w:r>
    </w:p>
    <w:p w:rsidR="003C2760" w:rsidRPr="008F4913" w:rsidRDefault="00F67FE2" w:rsidP="005F0184">
      <w:pPr>
        <w:pStyle w:val="Heading4"/>
      </w:pPr>
      <w:r w:rsidRPr="008F4913">
        <w:t>Response</w:t>
      </w:r>
      <w:r w:rsidR="00EA19AB" w:rsidRPr="008F4913">
        <w:t xml:space="preserve">: </w:t>
      </w:r>
      <w:r w:rsidR="007051C3" w:rsidRPr="008F4913">
        <w:t>Noted</w:t>
      </w:r>
    </w:p>
    <w:p w:rsidR="007F1BDA" w:rsidRPr="004C646E" w:rsidRDefault="007F1BDA" w:rsidP="00234CED">
      <w:pPr>
        <w:rPr>
          <w:lang w:eastAsia="zh-CN"/>
        </w:rPr>
      </w:pPr>
      <w:r w:rsidRPr="004C646E">
        <w:rPr>
          <w:lang w:eastAsia="zh-CN"/>
        </w:rPr>
        <w:t>The Australian Government is committed to a regulation reform agenda that will drive productivity and efficiency gains within the economy. A key feature of the agenda includes reducing the regulatory burden, as a means of unlocking productivity and competitiveness gains for industry. For the purpose of the Government’s activities in this area, regulation is considered broadly in this context</w:t>
      </w:r>
      <w:r w:rsidR="008F4913">
        <w:rPr>
          <w:lang w:eastAsia="zh-CN"/>
        </w:rPr>
        <w:t xml:space="preserve">. </w:t>
      </w:r>
      <w:r w:rsidRPr="004C646E">
        <w:rPr>
          <w:lang w:eastAsia="zh-CN"/>
        </w:rPr>
        <w:t>This includes, legislation, programs, administrative processes and guidelines and any other aspect of government or regulator behavio</w:t>
      </w:r>
      <w:r w:rsidR="00EA19AB">
        <w:rPr>
          <w:lang w:eastAsia="zh-CN"/>
        </w:rPr>
        <w:t>ur that can influence actions.</w:t>
      </w:r>
    </w:p>
    <w:p w:rsidR="00FE39D3" w:rsidRPr="004C646E" w:rsidRDefault="00476FDD" w:rsidP="00234CED">
      <w:r w:rsidRPr="004C646E">
        <w:rPr>
          <w:lang w:eastAsia="zh-CN"/>
        </w:rPr>
        <w:t>Responsibility for the management and regulation of offshore petroleum activities in coast</w:t>
      </w:r>
      <w:r w:rsidR="00BA52DF">
        <w:rPr>
          <w:lang w:eastAsia="zh-CN"/>
        </w:rPr>
        <w:t>al waters is a matter for the s</w:t>
      </w:r>
      <w:r w:rsidRPr="004C646E">
        <w:rPr>
          <w:lang w:eastAsia="zh-CN"/>
        </w:rPr>
        <w:t xml:space="preserve">tates and the Northern Territory. The Government notes that this recommendation is in response to the Terms of Reference which stated that “the review should have regard to opportunities consistent with the Government’s deregulation agenda”. While </w:t>
      </w:r>
      <w:r w:rsidR="002E5A77" w:rsidRPr="004C646E">
        <w:rPr>
          <w:lang w:eastAsia="zh-CN"/>
        </w:rPr>
        <w:t xml:space="preserve">the Commonwealth </w:t>
      </w:r>
      <w:r w:rsidRPr="004C646E">
        <w:rPr>
          <w:lang w:eastAsia="zh-CN"/>
        </w:rPr>
        <w:t>does not intend to pursue this option at this time, it notes that s</w:t>
      </w:r>
      <w:r w:rsidR="00FE39D3" w:rsidRPr="004C646E">
        <w:rPr>
          <w:lang w:eastAsia="zh-CN"/>
        </w:rPr>
        <w:t>695B</w:t>
      </w:r>
      <w:r w:rsidRPr="004C646E">
        <w:rPr>
          <w:lang w:eastAsia="zh-CN"/>
        </w:rPr>
        <w:t xml:space="preserve"> of the OPGGS Act does provide </w:t>
      </w:r>
      <w:r w:rsidR="00FE39D3" w:rsidRPr="004C646E">
        <w:rPr>
          <w:lang w:eastAsia="zh-CN"/>
        </w:rPr>
        <w:t xml:space="preserve">limited authority for NOPTA to exercise functions and powers conferred upon it under a state/Northern Territory </w:t>
      </w:r>
      <w:r w:rsidR="003C2760" w:rsidRPr="004C646E">
        <w:rPr>
          <w:lang w:eastAsia="zh-CN"/>
        </w:rPr>
        <w:t xml:space="preserve">Petroleum </w:t>
      </w:r>
      <w:r w:rsidR="003C2760" w:rsidRPr="004C646E">
        <w:rPr>
          <w:rStyle w:val="st1"/>
          <w:rFonts w:ascii="Arial" w:hAnsi="Arial" w:cs="Arial"/>
          <w:szCs w:val="20"/>
        </w:rPr>
        <w:t>(Submerged Lands) Act</w:t>
      </w:r>
      <w:r w:rsidR="00FE39D3" w:rsidRPr="004C646E">
        <w:rPr>
          <w:lang w:eastAsia="zh-CN"/>
        </w:rPr>
        <w:t xml:space="preserve">, so long as those functions and powers are substantially </w:t>
      </w:r>
      <w:r w:rsidR="00FE39D3" w:rsidRPr="004C646E">
        <w:rPr>
          <w:lang w:eastAsia="zh-CN"/>
        </w:rPr>
        <w:lastRenderedPageBreak/>
        <w:t>similar to those conferred upon NOPTA by the operation of the OPGGS Act and associat</w:t>
      </w:r>
      <w:r w:rsidR="003C2760" w:rsidRPr="004C646E">
        <w:rPr>
          <w:lang w:eastAsia="zh-CN"/>
        </w:rPr>
        <w:t>ed</w:t>
      </w:r>
      <w:r w:rsidR="00FE39D3" w:rsidRPr="004C646E">
        <w:rPr>
          <w:lang w:eastAsia="zh-CN"/>
        </w:rPr>
        <w:t xml:space="preserve"> regulations.</w:t>
      </w:r>
      <w:r w:rsidR="007F1BDA" w:rsidRPr="004C646E">
        <w:rPr>
          <w:lang w:eastAsia="zh-CN"/>
        </w:rPr>
        <w:t xml:space="preserve"> </w:t>
      </w:r>
      <w:r w:rsidR="007F1BDA" w:rsidRPr="004C646E">
        <w:t>T</w:t>
      </w:r>
      <w:r w:rsidR="00CF328F" w:rsidRPr="004C646E">
        <w:t xml:space="preserve">his authority </w:t>
      </w:r>
      <w:r w:rsidR="007F1BDA" w:rsidRPr="004C646E">
        <w:t>requires</w:t>
      </w:r>
      <w:r w:rsidR="00CF328F" w:rsidRPr="004C646E">
        <w:t xml:space="preserve"> an agreement between </w:t>
      </w:r>
      <w:r w:rsidR="009B7B5F">
        <w:t>the T</w:t>
      </w:r>
      <w:r w:rsidR="007F1BDA" w:rsidRPr="004C646E">
        <w:t>itles Administrator on behalf of the Commonwealth</w:t>
      </w:r>
      <w:r w:rsidR="00BA52DF">
        <w:t xml:space="preserve"> and the relevant s</w:t>
      </w:r>
      <w:r w:rsidR="00CF328F" w:rsidRPr="004C646E">
        <w:t xml:space="preserve">tate </w:t>
      </w:r>
      <w:r w:rsidR="007F1BDA" w:rsidRPr="004C646E">
        <w:t xml:space="preserve">or Northern Territory </w:t>
      </w:r>
      <w:r w:rsidR="00CF328F" w:rsidRPr="004C646E">
        <w:t xml:space="preserve">Petroleum Minister, and </w:t>
      </w:r>
      <w:r w:rsidR="007F1BDA" w:rsidRPr="004C646E">
        <w:t>approved</w:t>
      </w:r>
      <w:r w:rsidR="00CF328F" w:rsidRPr="004C646E">
        <w:t xml:space="preserve"> by the responsible Commonwealth Minister (see s695 B(2) a</w:t>
      </w:r>
      <w:r w:rsidR="00EA19AB">
        <w:t>nd (3)).</w:t>
      </w:r>
    </w:p>
    <w:p w:rsidR="00EF4E19" w:rsidRPr="00EA19AB" w:rsidRDefault="00FE39D3" w:rsidP="00EA19AB">
      <w:pPr>
        <w:rPr>
          <w:lang w:eastAsia="zh-CN"/>
        </w:rPr>
      </w:pPr>
      <w:r w:rsidRPr="004C646E">
        <w:rPr>
          <w:lang w:eastAsia="zh-CN"/>
        </w:rPr>
        <w:t xml:space="preserve">There </w:t>
      </w:r>
      <w:r w:rsidR="00CF328F" w:rsidRPr="004C646E">
        <w:rPr>
          <w:lang w:eastAsia="zh-CN"/>
        </w:rPr>
        <w:t>are thus provisions</w:t>
      </w:r>
      <w:r w:rsidR="00BA52DF">
        <w:rPr>
          <w:lang w:eastAsia="zh-CN"/>
        </w:rPr>
        <w:t xml:space="preserve"> for the s</w:t>
      </w:r>
      <w:r w:rsidR="00476FDD" w:rsidRPr="004C646E">
        <w:rPr>
          <w:lang w:eastAsia="zh-CN"/>
        </w:rPr>
        <w:t xml:space="preserve">tates and the Territory to </w:t>
      </w:r>
      <w:r w:rsidR="007F1BDA" w:rsidRPr="004C646E">
        <w:rPr>
          <w:lang w:eastAsia="zh-CN"/>
        </w:rPr>
        <w:t>authorise</w:t>
      </w:r>
      <w:r w:rsidR="00476FDD" w:rsidRPr="004C646E">
        <w:rPr>
          <w:lang w:eastAsia="zh-CN"/>
        </w:rPr>
        <w:t xml:space="preserve"> </w:t>
      </w:r>
      <w:r w:rsidR="007F1BDA" w:rsidRPr="004C646E">
        <w:rPr>
          <w:lang w:eastAsia="zh-CN"/>
        </w:rPr>
        <w:t xml:space="preserve">NOPTA to </w:t>
      </w:r>
      <w:r w:rsidR="00234CED" w:rsidRPr="004C646E">
        <w:rPr>
          <w:lang w:eastAsia="zh-CN"/>
        </w:rPr>
        <w:t>undertake title</w:t>
      </w:r>
      <w:r w:rsidR="00476FDD" w:rsidRPr="004C646E">
        <w:rPr>
          <w:lang w:eastAsia="zh-CN"/>
        </w:rPr>
        <w:t xml:space="preserve"> administrative functions in coastal waters, on a fee for service basis. This option continue</w:t>
      </w:r>
      <w:r w:rsidR="003C2760" w:rsidRPr="004C646E">
        <w:rPr>
          <w:lang w:eastAsia="zh-CN"/>
        </w:rPr>
        <w:t>s</w:t>
      </w:r>
      <w:r w:rsidR="00476FDD" w:rsidRPr="004C646E">
        <w:rPr>
          <w:lang w:eastAsia="zh-CN"/>
        </w:rPr>
        <w:t xml:space="preserve"> to be available to </w:t>
      </w:r>
      <w:r w:rsidR="002E5A77" w:rsidRPr="004C646E">
        <w:rPr>
          <w:lang w:eastAsia="zh-CN"/>
        </w:rPr>
        <w:t>j</w:t>
      </w:r>
      <w:r w:rsidR="00476FDD" w:rsidRPr="004C646E">
        <w:rPr>
          <w:lang w:eastAsia="zh-CN"/>
        </w:rPr>
        <w:t>urisdictions to utilise as considered appropriate</w:t>
      </w:r>
      <w:r w:rsidR="00234CED" w:rsidRPr="004C646E">
        <w:rPr>
          <w:lang w:eastAsia="zh-CN"/>
        </w:rPr>
        <w:t>.</w:t>
      </w:r>
    </w:p>
    <w:p w:rsidR="0080354E" w:rsidRDefault="0080354E">
      <w:pPr>
        <w:spacing w:after="200"/>
        <w:rPr>
          <w:rFonts w:cstheme="minorHAnsi"/>
          <w:szCs w:val="20"/>
        </w:rPr>
      </w:pPr>
      <w:r>
        <w:rPr>
          <w:rFonts w:cstheme="minorHAnsi"/>
          <w:szCs w:val="20"/>
        </w:rPr>
        <w:br w:type="page"/>
      </w:r>
    </w:p>
    <w:p w:rsidR="0080354E" w:rsidRDefault="0080354E" w:rsidP="0080354E">
      <w:pPr>
        <w:pStyle w:val="Heading2"/>
      </w:pPr>
      <w:bookmarkStart w:id="39" w:name="_Toc428443500"/>
      <w:bookmarkStart w:id="40" w:name="_Toc429659503"/>
      <w:r w:rsidRPr="0078220D">
        <w:lastRenderedPageBreak/>
        <w:t>A</w:t>
      </w:r>
      <w:r>
        <w:t xml:space="preserve">ppendix </w:t>
      </w:r>
      <w:r w:rsidRPr="0078220D">
        <w:t xml:space="preserve">A: </w:t>
      </w:r>
      <w:r>
        <w:t>Terms of Reference</w:t>
      </w:r>
      <w:bookmarkEnd w:id="39"/>
      <w:bookmarkEnd w:id="40"/>
    </w:p>
    <w:p w:rsidR="00871640" w:rsidRPr="008552EF" w:rsidRDefault="00871640" w:rsidP="00871640">
      <w:pPr>
        <w:spacing w:after="0" w:line="240" w:lineRule="auto"/>
        <w:rPr>
          <w:rFonts w:cstheme="minorHAnsi"/>
          <w:szCs w:val="20"/>
        </w:rPr>
      </w:pPr>
    </w:p>
    <w:p w:rsidR="0080354E" w:rsidRDefault="0080354E" w:rsidP="0080354E">
      <w:r>
        <w:t>In accordance with Section 695P (2) of the Offshore Petroleum and Greenhouse Gas Storage Act 2006 (OPGGS Act), the 2015 Operational Review of the National Offshore Petroleum Titles Administrator (the Titles Administrator) will:</w:t>
      </w:r>
    </w:p>
    <w:p w:rsidR="0080354E" w:rsidRDefault="0080354E" w:rsidP="0080354E">
      <w:pPr>
        <w:pStyle w:val="ListParagraph"/>
        <w:numPr>
          <w:ilvl w:val="0"/>
          <w:numId w:val="25"/>
        </w:numPr>
      </w:pPr>
      <w:r w:rsidRPr="00441FDB">
        <w:t xml:space="preserve">Make an assessment of the effectiveness of the Titles Administrator in contributing to the efficiency of the decision making by a Joint Authority for a </w:t>
      </w:r>
      <w:r w:rsidR="00BA52DF">
        <w:t>s</w:t>
      </w:r>
      <w:r>
        <w:t>tate or the Northern Territory</w:t>
      </w:r>
    </w:p>
    <w:p w:rsidR="0080354E" w:rsidRDefault="0080354E" w:rsidP="0080354E">
      <w:r w:rsidRPr="00650BB2">
        <w:t>In the context of the OPGGS Act and Regulations including the legislated functions of the Titles Administrator, this assessment will consider, assess and provide recommendations in relation to:</w:t>
      </w:r>
    </w:p>
    <w:p w:rsidR="0080354E" w:rsidRDefault="0080354E" w:rsidP="0080354E">
      <w:pPr>
        <w:pStyle w:val="ListParagraph"/>
        <w:numPr>
          <w:ilvl w:val="0"/>
          <w:numId w:val="25"/>
        </w:numPr>
      </w:pPr>
      <w:r w:rsidRPr="00650BB2">
        <w:t>The extent to which the establishment of the Titles Administrator has met the objectives of the Australian Government’s response to the Productivity Commission’s report Review of Regulatory Burden on the Upstream Petroleum (Oil and Gas) Sector</w:t>
      </w:r>
    </w:p>
    <w:p w:rsidR="0080354E" w:rsidRDefault="0080354E" w:rsidP="0080354E">
      <w:pPr>
        <w:pStyle w:val="ListParagraph"/>
        <w:numPr>
          <w:ilvl w:val="0"/>
          <w:numId w:val="25"/>
        </w:numPr>
      </w:pPr>
      <w:r>
        <w:t>The current operating arrangements for provision of advice to Joint Authorities and the Responsible Commonwealth Minister on titles and titles related matters</w:t>
      </w:r>
    </w:p>
    <w:p w:rsidR="0080354E" w:rsidRDefault="0080354E" w:rsidP="0080354E">
      <w:pPr>
        <w:pStyle w:val="ListParagraph"/>
        <w:numPr>
          <w:ilvl w:val="0"/>
          <w:numId w:val="25"/>
        </w:numPr>
      </w:pPr>
      <w:r>
        <w:t>The management and performance of the legislated, publicly available, register of petroleum titles with Geographic Information System (GIS) support</w:t>
      </w:r>
    </w:p>
    <w:p w:rsidR="0080354E" w:rsidRDefault="0080354E" w:rsidP="0080354E">
      <w:pPr>
        <w:pStyle w:val="ListParagraph"/>
        <w:numPr>
          <w:ilvl w:val="0"/>
          <w:numId w:val="25"/>
        </w:numPr>
      </w:pPr>
      <w:r>
        <w:t>The compliance, monitoring and enforcement activities of the Titles Administrator</w:t>
      </w:r>
    </w:p>
    <w:p w:rsidR="0080354E" w:rsidRDefault="0080354E" w:rsidP="0080354E">
      <w:pPr>
        <w:pStyle w:val="ListParagraph"/>
        <w:numPr>
          <w:ilvl w:val="0"/>
          <w:numId w:val="25"/>
        </w:numPr>
      </w:pPr>
      <w:r>
        <w:t>The management of arrangements for information and data receipt and storage</w:t>
      </w:r>
    </w:p>
    <w:p w:rsidR="0080354E" w:rsidRDefault="0080354E" w:rsidP="0080354E">
      <w:pPr>
        <w:pStyle w:val="ListParagraph"/>
        <w:numPr>
          <w:ilvl w:val="0"/>
          <w:numId w:val="25"/>
        </w:numPr>
      </w:pPr>
      <w:r>
        <w:t>Engagement with stakeholders, including industry, Geoscience Australia, and state and territory agencies</w:t>
      </w:r>
    </w:p>
    <w:p w:rsidR="0080354E" w:rsidRDefault="0080354E" w:rsidP="0080354E">
      <w:pPr>
        <w:pStyle w:val="ListParagraph"/>
        <w:numPr>
          <w:ilvl w:val="0"/>
          <w:numId w:val="25"/>
        </w:numPr>
      </w:pPr>
      <w:r>
        <w:t>The relationship with NOPSEMA and state and Northern Territory regulators to improve end-to-end service to the industry and reduce costs</w:t>
      </w:r>
    </w:p>
    <w:p w:rsidR="0080354E" w:rsidRDefault="0080354E" w:rsidP="0080354E">
      <w:r>
        <w:t>The review should have regard to opportunities consistent with the Government’s deregulation agenda.</w:t>
      </w:r>
    </w:p>
    <w:p w:rsidR="00E25596" w:rsidRDefault="0080354E" w:rsidP="0080354E">
      <w:r w:rsidRPr="00650BB2">
        <w:t xml:space="preserve">For more information see the </w:t>
      </w:r>
      <w:hyperlink r:id="rId13" w:history="1">
        <w:r w:rsidRPr="00650BB2">
          <w:rPr>
            <w:rStyle w:val="Hyperlink"/>
          </w:rPr>
          <w:t>NOPTA website</w:t>
        </w:r>
      </w:hyperlink>
      <w:r w:rsidR="008F4913">
        <w:rPr>
          <w:rStyle w:val="Hyperlink"/>
        </w:rPr>
        <w:t>:</w:t>
      </w:r>
      <w:r w:rsidRPr="00650BB2">
        <w:t xml:space="preserve"> </w:t>
      </w:r>
      <w:hyperlink r:id="rId14" w:history="1">
        <w:r w:rsidR="00E25596" w:rsidRPr="00082A48">
          <w:rPr>
            <w:rStyle w:val="Hyperlink"/>
          </w:rPr>
          <w:t>www.nopta.gov.au</w:t>
        </w:r>
      </w:hyperlink>
    </w:p>
    <w:p w:rsidR="00E25596" w:rsidRDefault="00E25596">
      <w:pPr>
        <w:spacing w:after="200"/>
      </w:pPr>
      <w:r>
        <w:br w:type="page"/>
      </w:r>
    </w:p>
    <w:p w:rsidR="00874CC3" w:rsidRDefault="00874CC3" w:rsidP="0080354E">
      <w:pPr>
        <w:sectPr w:rsidR="00874CC3" w:rsidSect="00D669FB">
          <w:footerReference w:type="even" r:id="rId15"/>
          <w:footerReference w:type="default" r:id="rId16"/>
          <w:footerReference w:type="first" r:id="rId17"/>
          <w:pgSz w:w="11906" w:h="16838"/>
          <w:pgMar w:top="907" w:right="1440" w:bottom="1440" w:left="1440" w:header="709" w:footer="709" w:gutter="0"/>
          <w:cols w:space="708"/>
          <w:titlePg/>
          <w:docGrid w:linePitch="360"/>
        </w:sectPr>
      </w:pPr>
    </w:p>
    <w:p w:rsidR="00085594" w:rsidRDefault="0046243E" w:rsidP="00085594">
      <w:pPr>
        <w:pStyle w:val="Heading2"/>
      </w:pPr>
      <w:bookmarkStart w:id="41" w:name="_Toc428443501"/>
      <w:bookmarkStart w:id="42" w:name="_Toc429659504"/>
      <w:r w:rsidRPr="0078220D">
        <w:lastRenderedPageBreak/>
        <w:t>A</w:t>
      </w:r>
      <w:r w:rsidR="0080354E">
        <w:t xml:space="preserve">ppendix </w:t>
      </w:r>
      <w:r w:rsidR="008409DA">
        <w:t>B</w:t>
      </w:r>
      <w:r w:rsidRPr="0078220D">
        <w:t xml:space="preserve">: </w:t>
      </w:r>
      <w:r w:rsidR="0080354E">
        <w:t>Implementation Plan</w:t>
      </w:r>
      <w:bookmarkEnd w:id="41"/>
      <w:bookmarkEnd w:id="42"/>
    </w:p>
    <w:p w:rsidR="00387F92" w:rsidRPr="00387F92" w:rsidRDefault="00387F92" w:rsidP="00387F92">
      <w:pPr>
        <w:spacing w:after="200"/>
        <w:rPr>
          <w:b/>
        </w:rPr>
      </w:pPr>
      <w:r w:rsidRPr="00387F92">
        <w:rPr>
          <w:b/>
        </w:rPr>
        <w:t>Implementation activity and timeframe</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5953"/>
      </w:tblGrid>
      <w:tr w:rsidR="008443BC" w:rsidRPr="0078220D" w:rsidTr="008409DA">
        <w:trPr>
          <w:trHeight w:val="899"/>
          <w:tblHeader/>
        </w:trPr>
        <w:tc>
          <w:tcPr>
            <w:tcW w:w="7655" w:type="dxa"/>
            <w:tcBorders>
              <w:bottom w:val="single" w:sz="4" w:space="0" w:color="auto"/>
            </w:tcBorders>
            <w:shd w:val="clear" w:color="auto" w:fill="BFBFBF" w:themeFill="background1" w:themeFillShade="BF"/>
          </w:tcPr>
          <w:p w:rsidR="008443BC" w:rsidRPr="004B5AAE" w:rsidRDefault="008443BC" w:rsidP="00E6111F">
            <w:pPr>
              <w:spacing w:before="100" w:beforeAutospacing="1" w:after="100" w:afterAutospacing="1"/>
              <w:jc w:val="center"/>
              <w:rPr>
                <w:b/>
                <w:position w:val="-6"/>
                <w:lang w:eastAsia="en-AU"/>
              </w:rPr>
            </w:pPr>
            <w:bookmarkStart w:id="43" w:name="ColumnTitle" w:colFirst="0" w:colLast="2"/>
            <w:r>
              <w:rPr>
                <w:b/>
                <w:position w:val="-6"/>
                <w:lang w:eastAsia="en-AU"/>
              </w:rPr>
              <w:t>Recommendation and Government Response</w:t>
            </w:r>
          </w:p>
        </w:tc>
        <w:tc>
          <w:tcPr>
            <w:tcW w:w="5953" w:type="dxa"/>
            <w:tcBorders>
              <w:bottom w:val="single" w:sz="4" w:space="0" w:color="auto"/>
            </w:tcBorders>
            <w:shd w:val="clear" w:color="auto" w:fill="BFBFBF" w:themeFill="background1" w:themeFillShade="BF"/>
          </w:tcPr>
          <w:p w:rsidR="008443BC" w:rsidRPr="004B5AAE" w:rsidRDefault="008443BC" w:rsidP="008443BC">
            <w:pPr>
              <w:spacing w:before="100" w:beforeAutospacing="1" w:after="100" w:afterAutospacing="1"/>
              <w:jc w:val="center"/>
              <w:rPr>
                <w:b/>
                <w:position w:val="-6"/>
                <w:lang w:eastAsia="en-AU"/>
              </w:rPr>
            </w:pPr>
            <w:r>
              <w:rPr>
                <w:b/>
                <w:position w:val="-6"/>
                <w:lang w:eastAsia="en-AU"/>
              </w:rPr>
              <w:t>Responsibility for Implementation and Timeframe</w:t>
            </w:r>
          </w:p>
        </w:tc>
      </w:tr>
      <w:bookmarkEnd w:id="43"/>
      <w:tr w:rsidR="008443BC" w:rsidRPr="0078220D" w:rsidTr="008409DA">
        <w:trPr>
          <w:trHeight w:val="146"/>
        </w:trPr>
        <w:tc>
          <w:tcPr>
            <w:tcW w:w="7655" w:type="dxa"/>
            <w:tcBorders>
              <w:bottom w:val="single" w:sz="4" w:space="0" w:color="auto"/>
            </w:tcBorders>
          </w:tcPr>
          <w:p w:rsidR="008443BC" w:rsidRPr="00353618" w:rsidRDefault="008443BC" w:rsidP="00387F92">
            <w:pPr>
              <w:rPr>
                <w:rFonts w:ascii="Arial" w:hAnsi="Arial" w:cs="Arial"/>
                <w:szCs w:val="20"/>
                <w:lang w:eastAsia="zh-CN"/>
              </w:rPr>
            </w:pPr>
            <w:r w:rsidRPr="00353618">
              <w:rPr>
                <w:rFonts w:ascii="Arial" w:hAnsi="Arial" w:cs="Arial"/>
                <w:szCs w:val="20"/>
                <w:lang w:eastAsia="zh-CN"/>
              </w:rPr>
              <w:t>1. That timeframes for the consideration of, and decision making for, all titles related matters by Joint Authorities is agreed with jurisdictions and implemented.</w:t>
            </w:r>
          </w:p>
          <w:p w:rsidR="008443BC" w:rsidRPr="00353618" w:rsidRDefault="008443BC" w:rsidP="00425A87">
            <w:pPr>
              <w:rPr>
                <w:rFonts w:ascii="Arial" w:hAnsi="Arial" w:cs="Arial"/>
                <w:b/>
                <w:szCs w:val="20"/>
                <w:lang w:eastAsia="zh-CN"/>
              </w:rPr>
            </w:pPr>
            <w:r w:rsidRPr="00353618">
              <w:rPr>
                <w:rFonts w:ascii="Arial" w:hAnsi="Arial" w:cs="Arial"/>
                <w:b/>
                <w:szCs w:val="20"/>
                <w:lang w:eastAsia="zh-CN"/>
              </w:rPr>
              <w:t>Noted</w:t>
            </w:r>
          </w:p>
        </w:tc>
        <w:tc>
          <w:tcPr>
            <w:tcW w:w="5953" w:type="dxa"/>
            <w:tcBorders>
              <w:bottom w:val="single" w:sz="4" w:space="0" w:color="auto"/>
            </w:tcBorders>
          </w:tcPr>
          <w:p w:rsidR="008409DA" w:rsidRDefault="00005F00" w:rsidP="008409DA">
            <w:pPr>
              <w:rPr>
                <w:rFonts w:cstheme="minorHAnsi"/>
                <w:szCs w:val="20"/>
              </w:rPr>
            </w:pPr>
            <w:r>
              <w:rPr>
                <w:rFonts w:cstheme="minorHAnsi"/>
                <w:szCs w:val="20"/>
              </w:rPr>
              <w:t xml:space="preserve">Consistent with the outcomes of the </w:t>
            </w:r>
            <w:r w:rsidRPr="005050FD">
              <w:rPr>
                <w:rFonts w:ascii="Arial" w:hAnsi="Arial" w:cs="Arial"/>
                <w:szCs w:val="20"/>
              </w:rPr>
              <w:t>Offshore Petroleum Resource Management Review</w:t>
            </w:r>
            <w:r>
              <w:rPr>
                <w:rFonts w:ascii="Arial" w:hAnsi="Arial" w:cs="Arial"/>
                <w:szCs w:val="20"/>
              </w:rPr>
              <w:t>,</w:t>
            </w:r>
            <w:r>
              <w:rPr>
                <w:rFonts w:cstheme="minorHAnsi"/>
                <w:szCs w:val="20"/>
              </w:rPr>
              <w:t xml:space="preserve"> t</w:t>
            </w:r>
            <w:r w:rsidR="008409DA" w:rsidRPr="00E035F9">
              <w:rPr>
                <w:rFonts w:cstheme="minorHAnsi"/>
                <w:szCs w:val="20"/>
              </w:rPr>
              <w:t xml:space="preserve">he Government </w:t>
            </w:r>
            <w:r w:rsidR="008409DA">
              <w:rPr>
                <w:rFonts w:cstheme="minorHAnsi"/>
                <w:szCs w:val="20"/>
              </w:rPr>
              <w:t xml:space="preserve">will seek agreement from </w:t>
            </w:r>
            <w:r w:rsidRPr="005050FD">
              <w:rPr>
                <w:rFonts w:ascii="Arial" w:eastAsia="Times New Roman" w:hAnsi="Arial" w:cs="Arial"/>
                <w:color w:val="000000"/>
                <w:szCs w:val="20"/>
              </w:rPr>
              <w:t>the Joint Authorities to make public the indicative timeframes for title decisions as provided in the</w:t>
            </w:r>
            <w:r>
              <w:rPr>
                <w:rFonts w:ascii="Arial" w:eastAsia="Times New Roman" w:hAnsi="Arial" w:cs="Arial"/>
                <w:color w:val="000000"/>
                <w:szCs w:val="20"/>
              </w:rPr>
              <w:t xml:space="preserve"> </w:t>
            </w:r>
            <w:r w:rsidRPr="00905F2E">
              <w:rPr>
                <w:rFonts w:cstheme="minorHAnsi"/>
                <w:i/>
                <w:szCs w:val="20"/>
              </w:rPr>
              <w:t>Operating Protocol for Offshore Petroleum Joint Authorities and Supporting Institution</w:t>
            </w:r>
            <w:r w:rsidRPr="00C47BE8">
              <w:rPr>
                <w:rFonts w:cstheme="minorHAnsi"/>
                <w:szCs w:val="20"/>
              </w:rPr>
              <w:t>s</w:t>
            </w:r>
            <w:r>
              <w:rPr>
                <w:rFonts w:ascii="Arial" w:eastAsia="Times New Roman" w:hAnsi="Arial" w:cs="Arial"/>
                <w:color w:val="000000"/>
                <w:szCs w:val="20"/>
              </w:rPr>
              <w:t xml:space="preserve"> (the Protocol), </w:t>
            </w:r>
            <w:r w:rsidR="008F4913">
              <w:rPr>
                <w:rFonts w:ascii="Arial" w:eastAsia="Times New Roman" w:hAnsi="Arial" w:cs="Arial"/>
                <w:color w:val="000000"/>
                <w:szCs w:val="20"/>
              </w:rPr>
              <w:t>on the NOPTA website.</w:t>
            </w:r>
          </w:p>
          <w:p w:rsidR="008409DA" w:rsidRPr="00353618" w:rsidRDefault="007906D0" w:rsidP="00FB7710">
            <w:pPr>
              <w:rPr>
                <w:rFonts w:ascii="Arial" w:hAnsi="Arial" w:cs="Arial"/>
                <w:szCs w:val="20"/>
                <w:lang w:eastAsia="zh-CN"/>
              </w:rPr>
            </w:pPr>
            <w:r>
              <w:t>Implementation of this recommendation is the responsibility of the Department of Industry</w:t>
            </w:r>
            <w:r w:rsidR="00997A5A">
              <w:t>, Innovation</w:t>
            </w:r>
            <w:r>
              <w:t xml:space="preserve"> and Science</w:t>
            </w:r>
            <w:r w:rsidR="008E5CED">
              <w:t xml:space="preserve"> and will be </w:t>
            </w:r>
            <w:r w:rsidR="008E5CED" w:rsidRPr="007D3D72">
              <w:t>completed by Q1 2016</w:t>
            </w:r>
            <w:r w:rsidRPr="007D3D72">
              <w:t>.</w:t>
            </w:r>
          </w:p>
        </w:tc>
      </w:tr>
      <w:tr w:rsidR="008443BC" w:rsidRPr="0078220D" w:rsidTr="008409DA">
        <w:trPr>
          <w:trHeight w:val="146"/>
        </w:trPr>
        <w:tc>
          <w:tcPr>
            <w:tcW w:w="7655" w:type="dxa"/>
            <w:tcBorders>
              <w:bottom w:val="single" w:sz="4" w:space="0" w:color="auto"/>
            </w:tcBorders>
          </w:tcPr>
          <w:p w:rsidR="008443BC" w:rsidRPr="00353618" w:rsidRDefault="008443BC" w:rsidP="00E6111F">
            <w:pPr>
              <w:rPr>
                <w:rFonts w:ascii="Arial" w:hAnsi="Arial" w:cs="Arial"/>
                <w:szCs w:val="20"/>
                <w:lang w:eastAsia="zh-CN"/>
              </w:rPr>
            </w:pPr>
            <w:r w:rsidRPr="00353618">
              <w:rPr>
                <w:rFonts w:ascii="Arial" w:hAnsi="Arial" w:cs="Arial"/>
                <w:szCs w:val="20"/>
                <w:lang w:eastAsia="zh-CN"/>
              </w:rPr>
              <w:t>2. The adherence of the Titles Administrator and Joint Authorities against the agreed timeframes are reported as part of NOPTA’s annual report.</w:t>
            </w:r>
          </w:p>
          <w:p w:rsidR="008443BC" w:rsidRPr="00353618" w:rsidRDefault="00162EAA" w:rsidP="00591AEC">
            <w:pPr>
              <w:rPr>
                <w:rFonts w:ascii="Arial" w:hAnsi="Arial" w:cs="Arial"/>
                <w:b/>
                <w:szCs w:val="20"/>
                <w:lang w:eastAsia="zh-CN"/>
              </w:rPr>
            </w:pPr>
            <w:r>
              <w:rPr>
                <w:rFonts w:ascii="Arial" w:hAnsi="Arial" w:cs="Arial"/>
                <w:b/>
                <w:szCs w:val="20"/>
                <w:lang w:eastAsia="zh-CN"/>
              </w:rPr>
              <w:t>Agreed in princip</w:t>
            </w:r>
            <w:r w:rsidR="00591AEC">
              <w:rPr>
                <w:rFonts w:ascii="Arial" w:hAnsi="Arial" w:cs="Arial"/>
                <w:b/>
                <w:szCs w:val="20"/>
                <w:lang w:eastAsia="zh-CN"/>
              </w:rPr>
              <w:t>le</w:t>
            </w:r>
          </w:p>
        </w:tc>
        <w:tc>
          <w:tcPr>
            <w:tcW w:w="5953" w:type="dxa"/>
            <w:tcBorders>
              <w:bottom w:val="single" w:sz="4" w:space="0" w:color="auto"/>
            </w:tcBorders>
          </w:tcPr>
          <w:p w:rsidR="007906D0" w:rsidRDefault="007906D0" w:rsidP="00900C58">
            <w:pPr>
              <w:rPr>
                <w:rFonts w:cstheme="minorHAnsi"/>
                <w:szCs w:val="20"/>
                <w:lang w:eastAsia="zh-CN"/>
              </w:rPr>
            </w:pPr>
            <w:r>
              <w:rPr>
                <w:rFonts w:cstheme="minorHAnsi"/>
                <w:szCs w:val="20"/>
                <w:lang w:eastAsia="zh-CN"/>
              </w:rPr>
              <w:t>Any decisions to make Protocols and or performance against indicative timeframes public must be agreed by the Upstream Petroleum Resources Working Group (UPR). The reporting mechanism will be considered following discussion with the UPR.</w:t>
            </w:r>
          </w:p>
          <w:p w:rsidR="007906D0" w:rsidRPr="00353618" w:rsidRDefault="007906D0" w:rsidP="00FB7710">
            <w:pPr>
              <w:rPr>
                <w:rFonts w:ascii="Arial" w:hAnsi="Arial" w:cs="Arial"/>
                <w:szCs w:val="20"/>
                <w:lang w:eastAsia="zh-CN"/>
              </w:rPr>
            </w:pPr>
            <w:r>
              <w:t>Implementation of this recommendation is the responsibility of the Department of Industry</w:t>
            </w:r>
            <w:r w:rsidR="00997A5A">
              <w:t>, Innovation</w:t>
            </w:r>
            <w:r>
              <w:t xml:space="preserve"> and Science</w:t>
            </w:r>
            <w:r w:rsidR="008F4913">
              <w:t>.</w:t>
            </w:r>
          </w:p>
        </w:tc>
      </w:tr>
      <w:tr w:rsidR="008443BC" w:rsidRPr="0078220D" w:rsidTr="008409DA">
        <w:trPr>
          <w:trHeight w:val="146"/>
        </w:trPr>
        <w:tc>
          <w:tcPr>
            <w:tcW w:w="7655" w:type="dxa"/>
          </w:tcPr>
          <w:p w:rsidR="008443BC" w:rsidRPr="00353618" w:rsidRDefault="008443BC" w:rsidP="00E6111F">
            <w:pPr>
              <w:rPr>
                <w:rFonts w:ascii="Arial" w:hAnsi="Arial" w:cs="Arial"/>
                <w:szCs w:val="20"/>
                <w:lang w:eastAsia="zh-CN"/>
              </w:rPr>
            </w:pPr>
            <w:r w:rsidRPr="00353618">
              <w:rPr>
                <w:rFonts w:ascii="Arial" w:hAnsi="Arial" w:cs="Arial"/>
                <w:szCs w:val="20"/>
                <w:lang w:eastAsia="zh-CN"/>
              </w:rPr>
              <w:t>3. That the feasibility of delegating simple decisions to the Titles Administrator is investigated.</w:t>
            </w:r>
          </w:p>
          <w:p w:rsidR="007906D0" w:rsidRPr="00353618" w:rsidRDefault="008443BC" w:rsidP="00425A87">
            <w:pPr>
              <w:rPr>
                <w:rFonts w:ascii="Arial" w:hAnsi="Arial" w:cs="Arial"/>
                <w:b/>
                <w:szCs w:val="20"/>
                <w:lang w:eastAsia="zh-CN"/>
              </w:rPr>
            </w:pPr>
            <w:r w:rsidRPr="00353618">
              <w:rPr>
                <w:rFonts w:ascii="Arial" w:hAnsi="Arial" w:cs="Arial"/>
                <w:b/>
                <w:szCs w:val="20"/>
                <w:lang w:eastAsia="zh-CN"/>
              </w:rPr>
              <w:t>Accepted</w:t>
            </w:r>
          </w:p>
        </w:tc>
        <w:tc>
          <w:tcPr>
            <w:tcW w:w="5953" w:type="dxa"/>
          </w:tcPr>
          <w:p w:rsidR="00005F00" w:rsidRPr="001F7960" w:rsidRDefault="00005F00" w:rsidP="008F4913">
            <w:pPr>
              <w:spacing w:line="240" w:lineRule="auto"/>
              <w:rPr>
                <w:rFonts w:ascii="Arial" w:hAnsi="Arial" w:cs="Arial"/>
                <w:szCs w:val="20"/>
              </w:rPr>
            </w:pPr>
            <w:r>
              <w:rPr>
                <w:rFonts w:ascii="Arial" w:hAnsi="Arial" w:cs="Arial"/>
                <w:szCs w:val="20"/>
              </w:rPr>
              <w:t xml:space="preserve">Consistent with the outcomes of the </w:t>
            </w:r>
            <w:r w:rsidRPr="001F7960">
              <w:rPr>
                <w:rFonts w:ascii="Arial" w:hAnsi="Arial" w:cs="Arial"/>
                <w:szCs w:val="20"/>
              </w:rPr>
              <w:t>Offshore Petroleum Resource Management Review</w:t>
            </w:r>
            <w:r>
              <w:rPr>
                <w:rFonts w:ascii="Arial" w:hAnsi="Arial" w:cs="Arial"/>
                <w:szCs w:val="20"/>
              </w:rPr>
              <w:t>,</w:t>
            </w:r>
            <w:r w:rsidRPr="001F7960">
              <w:rPr>
                <w:rFonts w:ascii="Arial" w:hAnsi="Arial" w:cs="Arial"/>
                <w:szCs w:val="20"/>
              </w:rPr>
              <w:t xml:space="preserve"> </w:t>
            </w:r>
            <w:r>
              <w:rPr>
                <w:rFonts w:ascii="Arial" w:hAnsi="Arial" w:cs="Arial"/>
                <w:szCs w:val="20"/>
              </w:rPr>
              <w:t>t</w:t>
            </w:r>
            <w:r w:rsidRPr="001F7960">
              <w:rPr>
                <w:rFonts w:ascii="Arial" w:hAnsi="Arial" w:cs="Arial"/>
                <w:szCs w:val="20"/>
              </w:rPr>
              <w:t xml:space="preserve">he Government </w:t>
            </w:r>
            <w:r>
              <w:rPr>
                <w:rFonts w:ascii="Arial" w:hAnsi="Arial" w:cs="Arial"/>
                <w:szCs w:val="20"/>
              </w:rPr>
              <w:t xml:space="preserve">will work with </w:t>
            </w:r>
            <w:r w:rsidRPr="001F7960">
              <w:rPr>
                <w:rFonts w:ascii="Arial" w:hAnsi="Arial" w:cs="Arial"/>
                <w:szCs w:val="20"/>
              </w:rPr>
              <w:t xml:space="preserve">Offshore Petroleum Joint Authorities </w:t>
            </w:r>
            <w:r>
              <w:rPr>
                <w:rFonts w:ascii="Arial" w:hAnsi="Arial" w:cs="Arial"/>
                <w:szCs w:val="20"/>
              </w:rPr>
              <w:t xml:space="preserve">to </w:t>
            </w:r>
            <w:r w:rsidRPr="001F7960">
              <w:rPr>
                <w:rFonts w:ascii="Arial" w:hAnsi="Arial" w:cs="Arial"/>
                <w:szCs w:val="20"/>
              </w:rPr>
              <w:t xml:space="preserve">consider options for further streamlining decision points across the offshore petroleum regime, including devolving </w:t>
            </w:r>
            <w:r>
              <w:rPr>
                <w:rFonts w:ascii="Arial" w:hAnsi="Arial" w:cs="Arial"/>
                <w:szCs w:val="20"/>
              </w:rPr>
              <w:t xml:space="preserve">some </w:t>
            </w:r>
            <w:r w:rsidR="00BC74D3">
              <w:rPr>
                <w:rFonts w:ascii="Arial" w:hAnsi="Arial" w:cs="Arial"/>
                <w:szCs w:val="20"/>
              </w:rPr>
              <w:t>decisions to the Titles A</w:t>
            </w:r>
            <w:r w:rsidRPr="001F7960">
              <w:rPr>
                <w:rFonts w:ascii="Arial" w:hAnsi="Arial" w:cs="Arial"/>
                <w:szCs w:val="20"/>
              </w:rPr>
              <w:t>dministrator and/or the res</w:t>
            </w:r>
            <w:r w:rsidR="008F4913">
              <w:rPr>
                <w:rFonts w:ascii="Arial" w:hAnsi="Arial" w:cs="Arial"/>
                <w:szCs w:val="20"/>
              </w:rPr>
              <w:t>ponsible Commonwealth Minister.</w:t>
            </w:r>
          </w:p>
          <w:p w:rsidR="00005F00" w:rsidRPr="008F4913" w:rsidRDefault="008E5CED" w:rsidP="008F4913">
            <w:pPr>
              <w:spacing w:line="240" w:lineRule="auto"/>
              <w:rPr>
                <w:rFonts w:cstheme="minorHAnsi"/>
                <w:szCs w:val="20"/>
              </w:rPr>
            </w:pPr>
            <w:r w:rsidRPr="007D3D72">
              <w:rPr>
                <w:rFonts w:cstheme="minorHAnsi"/>
                <w:szCs w:val="20"/>
              </w:rPr>
              <w:t xml:space="preserve">Discussion on options for further </w:t>
            </w:r>
            <w:r w:rsidR="00017C23" w:rsidRPr="007D3D72">
              <w:rPr>
                <w:rFonts w:cstheme="minorHAnsi"/>
                <w:szCs w:val="20"/>
              </w:rPr>
              <w:t>streamlining</w:t>
            </w:r>
            <w:r w:rsidRPr="007D3D72">
              <w:rPr>
                <w:rFonts w:cstheme="minorHAnsi"/>
                <w:szCs w:val="20"/>
              </w:rPr>
              <w:t xml:space="preserve"> decision points across the offshore petroleum regime to commence through the UPR by Q4 2015</w:t>
            </w:r>
            <w:r w:rsidR="008F4913">
              <w:rPr>
                <w:rFonts w:cstheme="minorHAnsi"/>
                <w:szCs w:val="20"/>
              </w:rPr>
              <w:t xml:space="preserve">. </w:t>
            </w:r>
            <w:r w:rsidR="007906D0" w:rsidRPr="007D3D72">
              <w:rPr>
                <w:rFonts w:cstheme="minorHAnsi"/>
                <w:szCs w:val="20"/>
              </w:rPr>
              <w:t xml:space="preserve">Implementation will be informed by the areas </w:t>
            </w:r>
            <w:r w:rsidR="007906D0" w:rsidRPr="007D3D72">
              <w:rPr>
                <w:rFonts w:cstheme="minorHAnsi"/>
                <w:szCs w:val="20"/>
              </w:rPr>
              <w:lastRenderedPageBreak/>
              <w:t>identified and agreed to by the members of the Joint Authorities</w:t>
            </w:r>
            <w:r w:rsidR="00017C23" w:rsidRPr="007D3D72">
              <w:rPr>
                <w:rFonts w:cstheme="minorHAnsi"/>
                <w:szCs w:val="20"/>
              </w:rPr>
              <w:t>.</w:t>
            </w:r>
          </w:p>
          <w:p w:rsidR="007906D0" w:rsidRPr="00353618" w:rsidRDefault="008409DA" w:rsidP="008F4913">
            <w:pPr>
              <w:rPr>
                <w:rFonts w:ascii="Arial" w:hAnsi="Arial" w:cs="Arial"/>
                <w:szCs w:val="20"/>
                <w:lang w:eastAsia="zh-CN"/>
              </w:rPr>
            </w:pPr>
            <w:r>
              <w:t>Implementation of this recommendation is the responsibility of the Department of Industry</w:t>
            </w:r>
            <w:r w:rsidR="00997A5A">
              <w:t>, Innovation</w:t>
            </w:r>
            <w:r>
              <w:t xml:space="preserve"> and Science</w:t>
            </w:r>
            <w:r w:rsidR="008E5CED">
              <w:t>.</w:t>
            </w:r>
          </w:p>
        </w:tc>
      </w:tr>
      <w:tr w:rsidR="008443BC" w:rsidRPr="0078220D" w:rsidTr="008409DA">
        <w:trPr>
          <w:trHeight w:val="146"/>
        </w:trPr>
        <w:tc>
          <w:tcPr>
            <w:tcW w:w="7655" w:type="dxa"/>
          </w:tcPr>
          <w:p w:rsidR="008443BC" w:rsidRPr="00353618" w:rsidRDefault="008443BC" w:rsidP="00E6111F">
            <w:pPr>
              <w:rPr>
                <w:rFonts w:ascii="Arial" w:hAnsi="Arial" w:cs="Arial"/>
                <w:szCs w:val="20"/>
                <w:lang w:eastAsia="zh-CN"/>
              </w:rPr>
            </w:pPr>
            <w:r w:rsidRPr="00353618">
              <w:rPr>
                <w:rFonts w:ascii="Arial" w:hAnsi="Arial" w:cs="Arial"/>
                <w:szCs w:val="20"/>
                <w:lang w:eastAsia="zh-CN"/>
              </w:rPr>
              <w:lastRenderedPageBreak/>
              <w:t>4. That NOPTA, in conjunction with stakeholders, develop and implement short and long term plans to enhance the NEATS system to improve the efficiency and access to titles information.</w:t>
            </w:r>
          </w:p>
          <w:p w:rsidR="008443BC" w:rsidRPr="00353618" w:rsidRDefault="008443BC" w:rsidP="00256149">
            <w:pPr>
              <w:rPr>
                <w:rFonts w:ascii="Arial" w:hAnsi="Arial" w:cs="Arial"/>
                <w:b/>
                <w:szCs w:val="20"/>
                <w:lang w:eastAsia="zh-CN"/>
              </w:rPr>
            </w:pPr>
            <w:r w:rsidRPr="00353618">
              <w:rPr>
                <w:rFonts w:ascii="Arial" w:hAnsi="Arial" w:cs="Arial"/>
                <w:b/>
                <w:szCs w:val="20"/>
                <w:lang w:eastAsia="zh-CN"/>
              </w:rPr>
              <w:t>Accepted</w:t>
            </w:r>
          </w:p>
        </w:tc>
        <w:tc>
          <w:tcPr>
            <w:tcW w:w="5953" w:type="dxa"/>
          </w:tcPr>
          <w:p w:rsidR="007906D0" w:rsidRDefault="007906D0" w:rsidP="007906D0">
            <w:pPr>
              <w:rPr>
                <w:rFonts w:ascii="Arial" w:hAnsi="Arial" w:cs="Arial"/>
                <w:szCs w:val="20"/>
                <w:lang w:eastAsia="zh-CN"/>
              </w:rPr>
            </w:pPr>
            <w:r w:rsidRPr="004F4138">
              <w:rPr>
                <w:rFonts w:ascii="Arial" w:hAnsi="Arial" w:cs="Arial"/>
                <w:szCs w:val="20"/>
                <w:lang w:eastAsia="zh-CN"/>
              </w:rPr>
              <w:t xml:space="preserve">The </w:t>
            </w:r>
            <w:r>
              <w:rPr>
                <w:rFonts w:ascii="Arial" w:hAnsi="Arial" w:cs="Arial"/>
                <w:szCs w:val="20"/>
                <w:lang w:eastAsia="zh-CN"/>
              </w:rPr>
              <w:t>c</w:t>
            </w:r>
            <w:r w:rsidRPr="004F4138">
              <w:rPr>
                <w:rFonts w:ascii="Arial" w:hAnsi="Arial" w:cs="Arial"/>
                <w:szCs w:val="20"/>
                <w:lang w:eastAsia="zh-CN"/>
              </w:rPr>
              <w:t>urrent development cycle of NEATS is due to conclude in October, 2015 with the last major upgrade/roll ou</w:t>
            </w:r>
            <w:r w:rsidR="008F4913">
              <w:rPr>
                <w:rFonts w:ascii="Arial" w:hAnsi="Arial" w:cs="Arial"/>
                <w:szCs w:val="20"/>
                <w:lang w:eastAsia="zh-CN"/>
              </w:rPr>
              <w:t>t.</w:t>
            </w:r>
          </w:p>
          <w:p w:rsidR="007906D0" w:rsidRPr="004F4138" w:rsidRDefault="007906D0" w:rsidP="007906D0">
            <w:pPr>
              <w:rPr>
                <w:rFonts w:ascii="Arial" w:hAnsi="Arial" w:cs="Arial"/>
                <w:szCs w:val="20"/>
                <w:lang w:eastAsia="zh-CN"/>
              </w:rPr>
            </w:pPr>
            <w:r w:rsidRPr="004F4138">
              <w:rPr>
                <w:rFonts w:ascii="Arial" w:hAnsi="Arial" w:cs="Arial"/>
                <w:szCs w:val="20"/>
                <w:lang w:eastAsia="zh-CN"/>
              </w:rPr>
              <w:t xml:space="preserve">The next </w:t>
            </w:r>
            <w:r>
              <w:rPr>
                <w:rFonts w:ascii="Arial" w:hAnsi="Arial" w:cs="Arial"/>
                <w:szCs w:val="20"/>
                <w:lang w:eastAsia="zh-CN"/>
              </w:rPr>
              <w:t xml:space="preserve">phase of development for NEATS will consider increased </w:t>
            </w:r>
            <w:r w:rsidRPr="004F4138">
              <w:rPr>
                <w:rFonts w:ascii="Arial" w:hAnsi="Arial" w:cs="Arial"/>
                <w:szCs w:val="20"/>
                <w:lang w:eastAsia="zh-CN"/>
              </w:rPr>
              <w:t>functionalit</w:t>
            </w:r>
            <w:r>
              <w:rPr>
                <w:rFonts w:ascii="Arial" w:hAnsi="Arial" w:cs="Arial"/>
                <w:szCs w:val="20"/>
                <w:lang w:eastAsia="zh-CN"/>
              </w:rPr>
              <w:t xml:space="preserve">y in respect of the titles activities and useability in relation to the information that can be accessed through the geospatial/mapping capability. Consideration of the development requirements will commence in early 2016. </w:t>
            </w:r>
            <w:r w:rsidRPr="004F4138">
              <w:rPr>
                <w:rFonts w:ascii="Arial" w:hAnsi="Arial" w:cs="Arial"/>
                <w:szCs w:val="20"/>
                <w:lang w:eastAsia="zh-CN"/>
              </w:rPr>
              <w:t xml:space="preserve">It is estimated that the planning and development program will be over </w:t>
            </w:r>
            <w:r>
              <w:rPr>
                <w:rFonts w:ascii="Arial" w:hAnsi="Arial" w:cs="Arial"/>
                <w:szCs w:val="20"/>
                <w:lang w:eastAsia="zh-CN"/>
              </w:rPr>
              <w:t>three years (12 months planning/scoping followed by specification and design followed by up to two years development</w:t>
            </w:r>
            <w:r w:rsidR="008F4913">
              <w:rPr>
                <w:rFonts w:ascii="Arial" w:hAnsi="Arial" w:cs="Arial"/>
                <w:szCs w:val="20"/>
                <w:lang w:eastAsia="zh-CN"/>
              </w:rPr>
              <w:t>, testing and implementation).</w:t>
            </w:r>
          </w:p>
          <w:p w:rsidR="008443BC" w:rsidRPr="00353618" w:rsidRDefault="008409DA" w:rsidP="00E6111F">
            <w:pPr>
              <w:rPr>
                <w:rFonts w:ascii="Arial" w:hAnsi="Arial" w:cs="Arial"/>
                <w:szCs w:val="20"/>
              </w:rPr>
            </w:pPr>
            <w:r>
              <w:t>Implementation of this recommendation is the responsibility of the Department of Industry</w:t>
            </w:r>
            <w:r w:rsidR="00997A5A">
              <w:t>, Innovation</w:t>
            </w:r>
            <w:r>
              <w:t xml:space="preserve"> and Science</w:t>
            </w:r>
            <w:r w:rsidR="008F4913">
              <w:t>.</w:t>
            </w:r>
          </w:p>
        </w:tc>
      </w:tr>
      <w:tr w:rsidR="008443BC" w:rsidRPr="0078220D" w:rsidTr="008409DA">
        <w:trPr>
          <w:trHeight w:val="146"/>
        </w:trPr>
        <w:tc>
          <w:tcPr>
            <w:tcW w:w="7655" w:type="dxa"/>
          </w:tcPr>
          <w:p w:rsidR="008443BC" w:rsidRPr="00353618" w:rsidRDefault="008443BC" w:rsidP="00E6111F">
            <w:pPr>
              <w:rPr>
                <w:rFonts w:ascii="Arial" w:hAnsi="Arial" w:cs="Arial"/>
                <w:szCs w:val="20"/>
                <w:lang w:eastAsia="zh-CN"/>
              </w:rPr>
            </w:pPr>
            <w:r w:rsidRPr="00353618">
              <w:rPr>
                <w:rFonts w:ascii="Arial" w:hAnsi="Arial" w:cs="Arial"/>
                <w:szCs w:val="20"/>
                <w:lang w:eastAsia="zh-CN"/>
              </w:rPr>
              <w:t>5. That NEATS functionality is extended to include more information on the progress of applications through the Joint Authority process.</w:t>
            </w:r>
          </w:p>
          <w:p w:rsidR="008443BC" w:rsidRPr="00353618" w:rsidRDefault="008443BC" w:rsidP="00256149">
            <w:pPr>
              <w:rPr>
                <w:rFonts w:ascii="Arial" w:hAnsi="Arial" w:cs="Arial"/>
                <w:b/>
                <w:szCs w:val="20"/>
                <w:lang w:eastAsia="zh-CN"/>
              </w:rPr>
            </w:pPr>
            <w:r w:rsidRPr="00353618">
              <w:rPr>
                <w:rFonts w:ascii="Arial" w:hAnsi="Arial" w:cs="Arial"/>
                <w:b/>
                <w:szCs w:val="20"/>
                <w:lang w:eastAsia="zh-CN"/>
              </w:rPr>
              <w:t xml:space="preserve">Accepted </w:t>
            </w:r>
          </w:p>
        </w:tc>
        <w:tc>
          <w:tcPr>
            <w:tcW w:w="5953" w:type="dxa"/>
          </w:tcPr>
          <w:p w:rsidR="007906D0" w:rsidRPr="009B7B5F" w:rsidRDefault="007906D0" w:rsidP="007906D0">
            <w:pPr>
              <w:rPr>
                <w:rFonts w:cstheme="minorHAnsi"/>
                <w:szCs w:val="20"/>
                <w:lang w:eastAsia="zh-CN"/>
              </w:rPr>
            </w:pPr>
            <w:r w:rsidRPr="009B7B5F">
              <w:rPr>
                <w:rFonts w:cstheme="minorHAnsi"/>
                <w:szCs w:val="20"/>
                <w:lang w:eastAsia="zh-CN"/>
              </w:rPr>
              <w:t>The Government notes that th</w:t>
            </w:r>
            <w:r>
              <w:rPr>
                <w:rFonts w:cstheme="minorHAnsi"/>
                <w:szCs w:val="20"/>
                <w:lang w:eastAsia="zh-CN"/>
              </w:rPr>
              <w:t>e</w:t>
            </w:r>
            <w:r w:rsidRPr="009B7B5F">
              <w:rPr>
                <w:rFonts w:cstheme="minorHAnsi"/>
                <w:szCs w:val="20"/>
                <w:lang w:eastAsia="zh-CN"/>
              </w:rPr>
              <w:t xml:space="preserve"> function</w:t>
            </w:r>
            <w:r>
              <w:rPr>
                <w:rFonts w:cstheme="minorHAnsi"/>
                <w:szCs w:val="20"/>
                <w:lang w:eastAsia="zh-CN"/>
              </w:rPr>
              <w:t>ality</w:t>
            </w:r>
            <w:r w:rsidRPr="009B7B5F">
              <w:rPr>
                <w:rFonts w:cstheme="minorHAnsi"/>
                <w:szCs w:val="20"/>
                <w:lang w:eastAsia="zh-CN"/>
              </w:rPr>
              <w:t xml:space="preserve"> of NEATS does not appear to be known broadly</w:t>
            </w:r>
            <w:r w:rsidR="00BC74D3">
              <w:rPr>
                <w:rFonts w:cstheme="minorHAnsi"/>
                <w:szCs w:val="20"/>
                <w:lang w:eastAsia="zh-CN"/>
              </w:rPr>
              <w:t xml:space="preserve">. </w:t>
            </w:r>
            <w:r w:rsidRPr="009B7B5F">
              <w:rPr>
                <w:rFonts w:cstheme="minorHAnsi"/>
                <w:szCs w:val="20"/>
                <w:lang w:eastAsia="zh-CN"/>
              </w:rPr>
              <w:t xml:space="preserve">NOPTA will further communicate and promote this function with titleholders to ensure its effective utilisation. </w:t>
            </w:r>
          </w:p>
          <w:p w:rsidR="008443BC" w:rsidRPr="00353618" w:rsidRDefault="008409DA" w:rsidP="00C8351D">
            <w:pPr>
              <w:rPr>
                <w:rFonts w:ascii="Arial" w:hAnsi="Arial" w:cs="Arial"/>
                <w:szCs w:val="20"/>
                <w:lang w:eastAsia="zh-CN"/>
              </w:rPr>
            </w:pPr>
            <w:r>
              <w:t>Implementation of this recommendation is the responsibility of the Department of Industry</w:t>
            </w:r>
            <w:r w:rsidR="00997A5A">
              <w:t>, Innovation</w:t>
            </w:r>
            <w:r>
              <w:t xml:space="preserve"> and Science</w:t>
            </w:r>
            <w:r w:rsidR="008F4913">
              <w:t>.</w:t>
            </w:r>
          </w:p>
        </w:tc>
      </w:tr>
      <w:tr w:rsidR="008443BC" w:rsidRPr="0078220D" w:rsidTr="008409DA">
        <w:trPr>
          <w:trHeight w:val="146"/>
        </w:trPr>
        <w:tc>
          <w:tcPr>
            <w:tcW w:w="7655" w:type="dxa"/>
          </w:tcPr>
          <w:p w:rsidR="008443BC" w:rsidRPr="00353618" w:rsidRDefault="008443BC" w:rsidP="00E6111F">
            <w:pPr>
              <w:rPr>
                <w:rFonts w:ascii="Arial" w:hAnsi="Arial" w:cs="Arial"/>
                <w:szCs w:val="20"/>
                <w:lang w:eastAsia="zh-CN"/>
              </w:rPr>
            </w:pPr>
            <w:r w:rsidRPr="00353618">
              <w:rPr>
                <w:rFonts w:ascii="Arial" w:hAnsi="Arial" w:cs="Arial"/>
                <w:szCs w:val="20"/>
                <w:lang w:eastAsia="zh-CN"/>
              </w:rPr>
              <w:t xml:space="preserve">6. That depending on the outcomes of the Department of Industry and Science’s </w:t>
            </w:r>
            <w:r w:rsidR="007C1FDF">
              <w:rPr>
                <w:rFonts w:ascii="Arial" w:hAnsi="Arial" w:cs="Arial"/>
                <w:szCs w:val="20"/>
                <w:lang w:eastAsia="zh-CN"/>
              </w:rPr>
              <w:t xml:space="preserve">(now the Department of Industry, Innovation and Science) </w:t>
            </w:r>
            <w:r w:rsidRPr="00353618">
              <w:rPr>
                <w:rFonts w:ascii="Arial" w:hAnsi="Arial" w:cs="Arial"/>
                <w:szCs w:val="20"/>
                <w:lang w:eastAsia="zh-CN"/>
              </w:rPr>
              <w:t xml:space="preserve">report on the Management of Offshore Resources, the Minister </w:t>
            </w:r>
            <w:proofErr w:type="gramStart"/>
            <w:r w:rsidRPr="00353618">
              <w:rPr>
                <w:rFonts w:ascii="Arial" w:hAnsi="Arial" w:cs="Arial"/>
                <w:szCs w:val="20"/>
                <w:lang w:eastAsia="zh-CN"/>
              </w:rPr>
              <w:t>consider</w:t>
            </w:r>
            <w:proofErr w:type="gramEnd"/>
            <w:r w:rsidRPr="00353618">
              <w:rPr>
                <w:rFonts w:ascii="Arial" w:hAnsi="Arial" w:cs="Arial"/>
                <w:szCs w:val="20"/>
                <w:lang w:eastAsia="zh-CN"/>
              </w:rPr>
              <w:t xml:space="preserve"> an enhancement to NOPTA’s capability and capacity to enable it to more effectively contribute to the management of Australia’s offshore resources.</w:t>
            </w:r>
          </w:p>
          <w:p w:rsidR="008443BC" w:rsidRPr="00353618" w:rsidRDefault="00162EAA" w:rsidP="00425A87">
            <w:pPr>
              <w:rPr>
                <w:rFonts w:ascii="Arial" w:hAnsi="Arial" w:cs="Arial"/>
                <w:b/>
                <w:szCs w:val="20"/>
                <w:lang w:eastAsia="zh-CN"/>
              </w:rPr>
            </w:pPr>
            <w:r>
              <w:rPr>
                <w:rFonts w:ascii="Arial" w:hAnsi="Arial" w:cs="Arial"/>
                <w:b/>
                <w:szCs w:val="20"/>
                <w:lang w:eastAsia="zh-CN"/>
              </w:rPr>
              <w:lastRenderedPageBreak/>
              <w:t>Noted</w:t>
            </w:r>
          </w:p>
        </w:tc>
        <w:tc>
          <w:tcPr>
            <w:tcW w:w="5953" w:type="dxa"/>
          </w:tcPr>
          <w:p w:rsidR="007906D0" w:rsidRPr="008D0EF0" w:rsidRDefault="00005F00" w:rsidP="007906D0">
            <w:pPr>
              <w:rPr>
                <w:rFonts w:ascii="Arial" w:hAnsi="Arial" w:cs="Arial"/>
                <w:szCs w:val="20"/>
              </w:rPr>
            </w:pPr>
            <w:r>
              <w:rPr>
                <w:rFonts w:ascii="Arial" w:hAnsi="Arial" w:cs="Arial"/>
                <w:szCs w:val="20"/>
              </w:rPr>
              <w:lastRenderedPageBreak/>
              <w:t>Consistent with</w:t>
            </w:r>
            <w:r w:rsidR="007906D0">
              <w:rPr>
                <w:rFonts w:ascii="Arial" w:hAnsi="Arial" w:cs="Arial"/>
                <w:szCs w:val="20"/>
              </w:rPr>
              <w:t xml:space="preserve"> the outcomes of </w:t>
            </w:r>
            <w:r w:rsidR="007906D0" w:rsidRPr="008D0EF0">
              <w:rPr>
                <w:rFonts w:ascii="Arial" w:hAnsi="Arial" w:cs="Arial"/>
                <w:szCs w:val="20"/>
              </w:rPr>
              <w:t>the Offshore Petroleum Resource Management Review</w:t>
            </w:r>
            <w:r w:rsidR="007906D0">
              <w:rPr>
                <w:rFonts w:ascii="Arial" w:hAnsi="Arial" w:cs="Arial"/>
                <w:szCs w:val="20"/>
              </w:rPr>
              <w:t>,</w:t>
            </w:r>
            <w:r w:rsidR="007906D0" w:rsidRPr="008D0EF0">
              <w:rPr>
                <w:rFonts w:ascii="Arial" w:hAnsi="Arial" w:cs="Arial"/>
                <w:szCs w:val="20"/>
              </w:rPr>
              <w:t xml:space="preserve"> NOPTA </w:t>
            </w:r>
            <w:r w:rsidR="007906D0">
              <w:rPr>
                <w:rFonts w:ascii="Arial" w:hAnsi="Arial" w:cs="Arial"/>
                <w:szCs w:val="20"/>
              </w:rPr>
              <w:t>will</w:t>
            </w:r>
            <w:r w:rsidR="007906D0" w:rsidRPr="008D0EF0">
              <w:rPr>
                <w:rFonts w:ascii="Arial" w:hAnsi="Arial" w:cs="Arial"/>
                <w:szCs w:val="20"/>
              </w:rPr>
              <w:t xml:space="preserve"> </w:t>
            </w:r>
            <w:r w:rsidR="007906D0" w:rsidRPr="008D0EF0">
              <w:rPr>
                <w:rFonts w:ascii="Arial" w:eastAsia="Calibri" w:hAnsi="Arial" w:cs="Arial"/>
                <w:szCs w:val="20"/>
              </w:rPr>
              <w:t xml:space="preserve">work with relevant government agencies and industry </w:t>
            </w:r>
            <w:r w:rsidR="007906D0" w:rsidRPr="008D0EF0">
              <w:rPr>
                <w:rFonts w:ascii="Arial" w:hAnsi="Arial" w:cs="Arial"/>
                <w:szCs w:val="20"/>
              </w:rPr>
              <w:t>to assess its technical needs against identified resource management requirements and develop a medium term plan to address any deficie</w:t>
            </w:r>
            <w:r w:rsidR="008F4913">
              <w:rPr>
                <w:rFonts w:ascii="Arial" w:hAnsi="Arial" w:cs="Arial"/>
                <w:szCs w:val="20"/>
              </w:rPr>
              <w:t xml:space="preserve">ncies or </w:t>
            </w:r>
            <w:r w:rsidR="008F4913">
              <w:rPr>
                <w:rFonts w:ascii="Arial" w:hAnsi="Arial" w:cs="Arial"/>
                <w:szCs w:val="20"/>
              </w:rPr>
              <w:lastRenderedPageBreak/>
              <w:t>areas of new capacity.</w:t>
            </w:r>
          </w:p>
          <w:p w:rsidR="008443BC" w:rsidRPr="00353618" w:rsidRDefault="008409DA" w:rsidP="006D6EE5">
            <w:pPr>
              <w:rPr>
                <w:rFonts w:ascii="Arial" w:hAnsi="Arial" w:cs="Arial"/>
                <w:szCs w:val="20"/>
                <w:lang w:eastAsia="zh-CN"/>
              </w:rPr>
            </w:pPr>
            <w:r>
              <w:t>Implementation of this recommendation is the responsibility of the Department of Industry</w:t>
            </w:r>
            <w:r w:rsidR="00997A5A">
              <w:t>, Innovation</w:t>
            </w:r>
            <w:r>
              <w:t xml:space="preserve"> and Science</w:t>
            </w:r>
            <w:r w:rsidR="008F4913">
              <w:t>.</w:t>
            </w:r>
          </w:p>
        </w:tc>
      </w:tr>
      <w:tr w:rsidR="008443BC" w:rsidRPr="0078220D" w:rsidTr="008409DA">
        <w:trPr>
          <w:trHeight w:val="146"/>
        </w:trPr>
        <w:tc>
          <w:tcPr>
            <w:tcW w:w="7655" w:type="dxa"/>
          </w:tcPr>
          <w:p w:rsidR="008443BC" w:rsidRPr="00353618" w:rsidRDefault="008443BC" w:rsidP="00E6111F">
            <w:pPr>
              <w:rPr>
                <w:rFonts w:ascii="Arial" w:hAnsi="Arial" w:cs="Arial"/>
                <w:szCs w:val="20"/>
                <w:lang w:eastAsia="zh-CN"/>
              </w:rPr>
            </w:pPr>
            <w:r w:rsidRPr="00353618">
              <w:rPr>
                <w:rFonts w:ascii="Arial" w:hAnsi="Arial" w:cs="Arial"/>
                <w:szCs w:val="20"/>
                <w:lang w:eastAsia="zh-CN"/>
              </w:rPr>
              <w:lastRenderedPageBreak/>
              <w:t>7. That NOPTA develop and implement plans to facilitate Recommendations 3 and 6 (if accepted).</w:t>
            </w:r>
          </w:p>
          <w:p w:rsidR="008443BC" w:rsidRPr="00353618" w:rsidRDefault="008443BC" w:rsidP="00256149">
            <w:pPr>
              <w:rPr>
                <w:rFonts w:ascii="Arial" w:hAnsi="Arial" w:cs="Arial"/>
                <w:b/>
                <w:szCs w:val="20"/>
                <w:lang w:eastAsia="zh-CN"/>
              </w:rPr>
            </w:pPr>
            <w:r w:rsidRPr="00353618">
              <w:rPr>
                <w:rFonts w:ascii="Arial" w:hAnsi="Arial" w:cs="Arial"/>
                <w:b/>
                <w:szCs w:val="20"/>
                <w:lang w:eastAsia="zh-CN"/>
              </w:rPr>
              <w:t>Noted</w:t>
            </w:r>
          </w:p>
        </w:tc>
        <w:tc>
          <w:tcPr>
            <w:tcW w:w="5953" w:type="dxa"/>
          </w:tcPr>
          <w:p w:rsidR="00005F00" w:rsidRDefault="00005F00" w:rsidP="003410F7">
            <w:r w:rsidRPr="00905F2E">
              <w:rPr>
                <w:rFonts w:ascii="Arial" w:eastAsia="Arial" w:hAnsi="Arial" w:cs="Times New Roman"/>
                <w:iCs/>
              </w:rPr>
              <w:t>The Government notes that implementation of recommendation 3 will be informed by the areas identified and agreed to for streamlining by the Joint Authorities</w:t>
            </w:r>
            <w:r>
              <w:rPr>
                <w:rFonts w:ascii="Arial" w:eastAsia="Arial" w:hAnsi="Arial" w:cs="Times New Roman"/>
                <w:iCs/>
              </w:rPr>
              <w:t>. A</w:t>
            </w:r>
            <w:r w:rsidRPr="00905F2E">
              <w:rPr>
                <w:rFonts w:ascii="Arial" w:eastAsia="Arial" w:hAnsi="Arial" w:cs="Times New Roman"/>
                <w:iCs/>
              </w:rPr>
              <w:t xml:space="preserve">ny legislative changes that may be required to the OPGGS Act and its supporting </w:t>
            </w:r>
            <w:r w:rsidRPr="001E6D8D">
              <w:rPr>
                <w:rFonts w:ascii="Arial" w:eastAsia="Arial" w:hAnsi="Arial" w:cs="Times New Roman"/>
                <w:iCs/>
              </w:rPr>
              <w:t>regulations</w:t>
            </w:r>
            <w:r w:rsidRPr="00905F2E">
              <w:rPr>
                <w:rFonts w:ascii="Arial" w:eastAsia="Arial" w:hAnsi="Arial" w:cs="Times New Roman"/>
                <w:iCs/>
              </w:rPr>
              <w:t xml:space="preserve"> will be made in accordance with the Australian Government’s legislative timetable.</w:t>
            </w:r>
          </w:p>
          <w:p w:rsidR="008443BC" w:rsidRPr="00353618" w:rsidRDefault="008409DA" w:rsidP="003410F7">
            <w:pPr>
              <w:rPr>
                <w:rFonts w:ascii="Arial" w:hAnsi="Arial" w:cs="Arial"/>
                <w:szCs w:val="20"/>
                <w:lang w:eastAsia="zh-CN"/>
              </w:rPr>
            </w:pPr>
            <w:r>
              <w:t>Implementation of this recommendation is the responsibility of the Department of Industry</w:t>
            </w:r>
            <w:r w:rsidR="00997A5A">
              <w:t>, Innovation</w:t>
            </w:r>
            <w:r>
              <w:t xml:space="preserve"> and Science</w:t>
            </w:r>
            <w:r w:rsidR="008F4913">
              <w:t>.</w:t>
            </w:r>
          </w:p>
        </w:tc>
      </w:tr>
      <w:tr w:rsidR="008443BC" w:rsidRPr="0078220D" w:rsidTr="008409DA">
        <w:trPr>
          <w:trHeight w:val="146"/>
        </w:trPr>
        <w:tc>
          <w:tcPr>
            <w:tcW w:w="7655" w:type="dxa"/>
          </w:tcPr>
          <w:p w:rsidR="008443BC" w:rsidRPr="00353618" w:rsidRDefault="008443BC" w:rsidP="00E6111F">
            <w:pPr>
              <w:rPr>
                <w:rFonts w:ascii="Arial" w:hAnsi="Arial" w:cs="Arial"/>
                <w:szCs w:val="20"/>
                <w:lang w:eastAsia="zh-CN"/>
              </w:rPr>
            </w:pPr>
            <w:r w:rsidRPr="00353618">
              <w:rPr>
                <w:rFonts w:ascii="Arial" w:hAnsi="Arial" w:cs="Arial"/>
                <w:szCs w:val="20"/>
                <w:lang w:eastAsia="zh-CN"/>
              </w:rPr>
              <w:t>8. That NOPTA prepare and issue its own annual report.</w:t>
            </w:r>
          </w:p>
          <w:p w:rsidR="008443BC" w:rsidRPr="00353618" w:rsidRDefault="008443BC" w:rsidP="00425A87">
            <w:pPr>
              <w:rPr>
                <w:rFonts w:ascii="Arial" w:hAnsi="Arial" w:cs="Arial"/>
                <w:b/>
                <w:szCs w:val="20"/>
                <w:lang w:eastAsia="zh-CN"/>
              </w:rPr>
            </w:pPr>
            <w:r w:rsidRPr="00353618">
              <w:rPr>
                <w:rFonts w:ascii="Arial" w:hAnsi="Arial" w:cs="Arial"/>
                <w:b/>
                <w:szCs w:val="20"/>
                <w:lang w:eastAsia="zh-CN"/>
              </w:rPr>
              <w:t>Noted</w:t>
            </w:r>
          </w:p>
        </w:tc>
        <w:tc>
          <w:tcPr>
            <w:tcW w:w="5953" w:type="dxa"/>
          </w:tcPr>
          <w:p w:rsidR="00005F00" w:rsidRPr="004A4D9C" w:rsidRDefault="00005F00" w:rsidP="00005F00">
            <w:pPr>
              <w:rPr>
                <w:lang w:eastAsia="zh-CN"/>
              </w:rPr>
            </w:pPr>
            <w:r>
              <w:rPr>
                <w:lang w:eastAsia="zh-CN"/>
              </w:rPr>
              <w:t>T</w:t>
            </w:r>
            <w:r w:rsidRPr="00DF6957">
              <w:rPr>
                <w:lang w:eastAsia="zh-CN"/>
              </w:rPr>
              <w:t>he Government notes that NOPTA intends to provide a separate report detailing the title administration, management and advisory activities it undertook for the Joint Authority and as the Title Administrator</w:t>
            </w:r>
            <w:r w:rsidR="008F4913">
              <w:rPr>
                <w:lang w:eastAsia="zh-CN"/>
              </w:rPr>
              <w:t xml:space="preserve">. </w:t>
            </w:r>
            <w:r w:rsidRPr="00DF6957">
              <w:rPr>
                <w:lang w:eastAsia="zh-CN"/>
              </w:rPr>
              <w:t>This will also be consistent with the reporting requirements of the Australian Government’s Regulator Performance Framework which came into effect on 1 July 2015. This report will also be published on NOPTA’s web site in the fourth quarter of 2016 in relation to the 2015-16 reporting period.</w:t>
            </w:r>
          </w:p>
          <w:p w:rsidR="008443BC" w:rsidRPr="00353618" w:rsidRDefault="008409DA" w:rsidP="00005F00">
            <w:pPr>
              <w:rPr>
                <w:rFonts w:ascii="Arial" w:hAnsi="Arial" w:cs="Arial"/>
                <w:szCs w:val="20"/>
                <w:lang w:eastAsia="zh-CN"/>
              </w:rPr>
            </w:pPr>
            <w:r>
              <w:t xml:space="preserve">Implementation </w:t>
            </w:r>
            <w:r w:rsidR="0019380B">
              <w:t xml:space="preserve">of this recommendation is the responsibility </w:t>
            </w:r>
            <w:r>
              <w:t>of th</w:t>
            </w:r>
            <w:r w:rsidR="00005F00">
              <w:t>e</w:t>
            </w:r>
            <w:r>
              <w:t xml:space="preserve"> </w:t>
            </w:r>
            <w:r w:rsidR="00005F00">
              <w:t>Titles Administrator</w:t>
            </w:r>
            <w:r w:rsidR="008F4913">
              <w:t>.</w:t>
            </w:r>
          </w:p>
        </w:tc>
      </w:tr>
      <w:tr w:rsidR="008443BC" w:rsidRPr="0078220D" w:rsidTr="008409DA">
        <w:trPr>
          <w:trHeight w:val="146"/>
        </w:trPr>
        <w:tc>
          <w:tcPr>
            <w:tcW w:w="7655" w:type="dxa"/>
          </w:tcPr>
          <w:p w:rsidR="008443BC" w:rsidRDefault="008443BC" w:rsidP="005430C9">
            <w:pPr>
              <w:rPr>
                <w:rFonts w:ascii="Arial" w:hAnsi="Arial" w:cs="Arial"/>
                <w:szCs w:val="20"/>
                <w:lang w:eastAsia="zh-CN"/>
              </w:rPr>
            </w:pPr>
            <w:r w:rsidRPr="005430C9">
              <w:rPr>
                <w:rFonts w:ascii="Arial" w:hAnsi="Arial" w:cs="Arial"/>
                <w:szCs w:val="20"/>
                <w:lang w:eastAsia="zh-CN"/>
              </w:rPr>
              <w:t>9.</w:t>
            </w:r>
            <w:r>
              <w:rPr>
                <w:rFonts w:ascii="Arial" w:hAnsi="Arial" w:cs="Arial"/>
                <w:szCs w:val="20"/>
                <w:lang w:eastAsia="zh-CN"/>
              </w:rPr>
              <w:t xml:space="preserve"> </w:t>
            </w:r>
            <w:r w:rsidRPr="005430C9">
              <w:rPr>
                <w:rFonts w:ascii="Arial" w:hAnsi="Arial" w:cs="Arial"/>
                <w:szCs w:val="20"/>
                <w:lang w:eastAsia="zh-CN"/>
              </w:rPr>
              <w:t>NOPTA and NOPSEMA should establish an instrument (such as a Memorandum of Understanding or Charter of Engagement) to clarify the interaction between the agencies</w:t>
            </w:r>
          </w:p>
          <w:p w:rsidR="008443BC" w:rsidRPr="005430C9" w:rsidRDefault="008443BC" w:rsidP="005430C9">
            <w:pPr>
              <w:rPr>
                <w:rFonts w:ascii="Arial" w:hAnsi="Arial" w:cs="Arial"/>
                <w:szCs w:val="20"/>
                <w:lang w:eastAsia="zh-CN"/>
              </w:rPr>
            </w:pPr>
            <w:r w:rsidRPr="00353618">
              <w:rPr>
                <w:rFonts w:ascii="Arial" w:hAnsi="Arial" w:cs="Arial"/>
                <w:b/>
                <w:szCs w:val="20"/>
                <w:lang w:eastAsia="zh-CN"/>
              </w:rPr>
              <w:t>Noted</w:t>
            </w:r>
          </w:p>
        </w:tc>
        <w:tc>
          <w:tcPr>
            <w:tcW w:w="5953" w:type="dxa"/>
          </w:tcPr>
          <w:p w:rsidR="00286B3F" w:rsidRPr="00DF6957" w:rsidRDefault="00286B3F" w:rsidP="00286B3F">
            <w:pPr>
              <w:rPr>
                <w:rFonts w:cstheme="minorHAnsi"/>
                <w:szCs w:val="20"/>
                <w:lang w:eastAsia="zh-CN"/>
              </w:rPr>
            </w:pPr>
            <w:r>
              <w:rPr>
                <w:rFonts w:cstheme="minorHAnsi"/>
                <w:szCs w:val="20"/>
                <w:lang w:eastAsia="zh-CN"/>
              </w:rPr>
              <w:t>T</w:t>
            </w:r>
            <w:r w:rsidRPr="00DF6957">
              <w:rPr>
                <w:rFonts w:cstheme="minorHAnsi"/>
                <w:szCs w:val="20"/>
                <w:lang w:eastAsia="zh-CN"/>
              </w:rPr>
              <w:t xml:space="preserve">he Government does not consider a formal instrument of engagement between NOPSEMA and NOPTA is necessary provided the areas of co-operation and consultation are documented </w:t>
            </w:r>
            <w:r w:rsidR="008F4913">
              <w:rPr>
                <w:rFonts w:cstheme="minorHAnsi"/>
                <w:szCs w:val="20"/>
                <w:lang w:eastAsia="zh-CN"/>
              </w:rPr>
              <w:t>and updated to ensure currency.</w:t>
            </w:r>
          </w:p>
          <w:p w:rsidR="008409DA" w:rsidRPr="008F4913" w:rsidRDefault="00286B3F" w:rsidP="008409DA">
            <w:r w:rsidRPr="00DF6957">
              <w:t xml:space="preserve">Implementation of this recommendation is the responsibility of the National Offshore Petroleum Titles Administrator and the </w:t>
            </w:r>
            <w:r w:rsidRPr="00DF6957">
              <w:lastRenderedPageBreak/>
              <w:t>Chief Executive Officer of NOPSEMA.</w:t>
            </w:r>
          </w:p>
        </w:tc>
      </w:tr>
      <w:tr w:rsidR="008443BC" w:rsidRPr="0078220D" w:rsidTr="008409DA">
        <w:trPr>
          <w:trHeight w:val="146"/>
        </w:trPr>
        <w:tc>
          <w:tcPr>
            <w:tcW w:w="7655" w:type="dxa"/>
          </w:tcPr>
          <w:p w:rsidR="008443BC" w:rsidRPr="00CB6384" w:rsidRDefault="008443BC" w:rsidP="00E6111F">
            <w:pPr>
              <w:rPr>
                <w:rFonts w:ascii="Arial" w:hAnsi="Arial" w:cs="Arial"/>
                <w:szCs w:val="20"/>
                <w:lang w:eastAsia="zh-CN"/>
              </w:rPr>
            </w:pPr>
            <w:r w:rsidRPr="00CB6384">
              <w:rPr>
                <w:rFonts w:ascii="Arial" w:hAnsi="Arial" w:cs="Arial"/>
                <w:szCs w:val="20"/>
                <w:lang w:eastAsia="zh-CN"/>
              </w:rPr>
              <w:lastRenderedPageBreak/>
              <w:t>10. That NOPTA investigate the implications of a growth in applications for greenhouse gas storage titles. This should be undertaken in conjunction with the Department of Industry and Science</w:t>
            </w:r>
            <w:r w:rsidR="00C55BC5">
              <w:rPr>
                <w:rFonts w:ascii="Arial" w:hAnsi="Arial" w:cs="Arial"/>
                <w:szCs w:val="20"/>
                <w:lang w:eastAsia="zh-CN"/>
              </w:rPr>
              <w:t xml:space="preserve"> </w:t>
            </w:r>
            <w:r w:rsidR="007C1FDF">
              <w:rPr>
                <w:rFonts w:ascii="Arial" w:hAnsi="Arial" w:cs="Arial"/>
                <w:szCs w:val="20"/>
                <w:lang w:eastAsia="zh-CN"/>
              </w:rPr>
              <w:t>(now the Department of Industry, Innovation and Science)</w:t>
            </w:r>
            <w:r w:rsidRPr="00CB6384">
              <w:rPr>
                <w:rFonts w:ascii="Arial" w:hAnsi="Arial" w:cs="Arial"/>
                <w:szCs w:val="20"/>
                <w:lang w:eastAsia="zh-CN"/>
              </w:rPr>
              <w:t>, and NOPSEMA.</w:t>
            </w:r>
          </w:p>
          <w:p w:rsidR="008443BC" w:rsidRPr="00CB6384" w:rsidRDefault="008443BC" w:rsidP="00425A87">
            <w:pPr>
              <w:rPr>
                <w:rFonts w:ascii="Arial" w:hAnsi="Arial" w:cs="Arial"/>
                <w:b/>
                <w:szCs w:val="20"/>
                <w:lang w:eastAsia="zh-CN"/>
              </w:rPr>
            </w:pPr>
            <w:r w:rsidRPr="00CB6384">
              <w:rPr>
                <w:rFonts w:ascii="Arial" w:hAnsi="Arial" w:cs="Arial"/>
                <w:b/>
                <w:szCs w:val="20"/>
                <w:lang w:eastAsia="zh-CN"/>
              </w:rPr>
              <w:t>Accepted</w:t>
            </w:r>
          </w:p>
        </w:tc>
        <w:tc>
          <w:tcPr>
            <w:tcW w:w="5953" w:type="dxa"/>
          </w:tcPr>
          <w:p w:rsidR="00286B3F" w:rsidRPr="00BB1248" w:rsidRDefault="00286B3F" w:rsidP="00286B3F">
            <w:pPr>
              <w:rPr>
                <w:lang w:eastAsia="zh-CN"/>
              </w:rPr>
            </w:pPr>
            <w:r>
              <w:rPr>
                <w:lang w:eastAsia="zh-CN"/>
              </w:rPr>
              <w:t>T</w:t>
            </w:r>
            <w:r w:rsidRPr="00BB1248">
              <w:rPr>
                <w:lang w:eastAsia="zh-CN"/>
              </w:rPr>
              <w:t>here is merit in NOPTA and the department to continue to work together to better understand the resourcing and other implications of a growth in greenhouse gas titles.</w:t>
            </w:r>
          </w:p>
          <w:p w:rsidR="008443BC" w:rsidRPr="00CB6384" w:rsidRDefault="008409DA" w:rsidP="003957CA">
            <w:pPr>
              <w:rPr>
                <w:rFonts w:ascii="Arial" w:hAnsi="Arial" w:cs="Arial"/>
                <w:szCs w:val="20"/>
                <w:lang w:eastAsia="zh-CN"/>
              </w:rPr>
            </w:pPr>
            <w:r>
              <w:t>Implementation of this recommendation is the responsibility of the Department of Industry</w:t>
            </w:r>
            <w:r w:rsidR="00997A5A">
              <w:t>, Innovation</w:t>
            </w:r>
            <w:r>
              <w:t xml:space="preserve"> and Science</w:t>
            </w:r>
            <w:r w:rsidR="008F4913">
              <w:t>.</w:t>
            </w:r>
          </w:p>
        </w:tc>
      </w:tr>
      <w:tr w:rsidR="008443BC" w:rsidRPr="0078220D" w:rsidTr="008409DA">
        <w:trPr>
          <w:trHeight w:val="146"/>
        </w:trPr>
        <w:tc>
          <w:tcPr>
            <w:tcW w:w="7655" w:type="dxa"/>
          </w:tcPr>
          <w:p w:rsidR="008443BC" w:rsidRPr="00CB6384" w:rsidRDefault="008443BC" w:rsidP="00E6111F">
            <w:pPr>
              <w:rPr>
                <w:rFonts w:ascii="Arial" w:hAnsi="Arial" w:cs="Arial"/>
                <w:szCs w:val="20"/>
                <w:lang w:eastAsia="zh-CN"/>
              </w:rPr>
            </w:pPr>
            <w:r w:rsidRPr="00CB6384">
              <w:rPr>
                <w:rFonts w:ascii="Arial" w:hAnsi="Arial" w:cs="Arial"/>
                <w:szCs w:val="20"/>
                <w:lang w:eastAsia="zh-CN"/>
              </w:rPr>
              <w:t>11. That NOPTA provide its insights on the offshore petroleum and greenhouse gas storage industries to jurisdictions to assist with policy development.</w:t>
            </w:r>
          </w:p>
          <w:p w:rsidR="008443BC" w:rsidRPr="00CB6384" w:rsidRDefault="008443BC" w:rsidP="00425A87">
            <w:pPr>
              <w:rPr>
                <w:rFonts w:ascii="Arial" w:hAnsi="Arial" w:cs="Arial"/>
                <w:b/>
                <w:szCs w:val="20"/>
                <w:lang w:eastAsia="zh-CN"/>
              </w:rPr>
            </w:pPr>
            <w:r w:rsidRPr="00CB6384">
              <w:rPr>
                <w:rFonts w:ascii="Arial" w:hAnsi="Arial" w:cs="Arial"/>
                <w:b/>
                <w:szCs w:val="20"/>
                <w:lang w:eastAsia="zh-CN"/>
              </w:rPr>
              <w:t>Accepted</w:t>
            </w:r>
          </w:p>
        </w:tc>
        <w:tc>
          <w:tcPr>
            <w:tcW w:w="5953" w:type="dxa"/>
          </w:tcPr>
          <w:p w:rsidR="008443BC" w:rsidRPr="00CB6384" w:rsidRDefault="008409DA" w:rsidP="00286B3F">
            <w:pPr>
              <w:rPr>
                <w:rFonts w:ascii="Arial" w:hAnsi="Arial" w:cs="Arial"/>
                <w:szCs w:val="20"/>
                <w:lang w:eastAsia="zh-CN"/>
              </w:rPr>
            </w:pPr>
            <w:r>
              <w:t xml:space="preserve">Implementation of this recommendation is the responsibility of the </w:t>
            </w:r>
            <w:r w:rsidR="00286B3F">
              <w:t>Titles Administrator</w:t>
            </w:r>
            <w:r w:rsidR="008F4913">
              <w:t>.</w:t>
            </w:r>
          </w:p>
        </w:tc>
      </w:tr>
      <w:tr w:rsidR="008443BC" w:rsidRPr="0078220D" w:rsidTr="008409DA">
        <w:trPr>
          <w:trHeight w:val="146"/>
        </w:trPr>
        <w:tc>
          <w:tcPr>
            <w:tcW w:w="7655" w:type="dxa"/>
          </w:tcPr>
          <w:p w:rsidR="008443BC" w:rsidRPr="00CB6384" w:rsidRDefault="008443BC" w:rsidP="00E6111F">
            <w:pPr>
              <w:rPr>
                <w:rFonts w:ascii="Arial" w:hAnsi="Arial" w:cs="Arial"/>
                <w:szCs w:val="20"/>
                <w:lang w:eastAsia="zh-CN"/>
              </w:rPr>
            </w:pPr>
            <w:r w:rsidRPr="00CB6384">
              <w:rPr>
                <w:rFonts w:ascii="Arial" w:hAnsi="Arial" w:cs="Arial"/>
                <w:szCs w:val="20"/>
                <w:lang w:eastAsia="zh-CN"/>
              </w:rPr>
              <w:t>12. That the Commonwealth Minister considers the conduct of a feasibility study for the creation of a single offshore titles administrative framework for both Commonwealth waters and State/Northern Territory waters through the conferral of powers under State and Northern Territory legislation.</w:t>
            </w:r>
          </w:p>
          <w:p w:rsidR="008443BC" w:rsidRPr="00CB6384" w:rsidRDefault="008443BC" w:rsidP="00955F53">
            <w:pPr>
              <w:rPr>
                <w:rFonts w:ascii="Arial" w:hAnsi="Arial" w:cs="Arial"/>
                <w:b/>
                <w:szCs w:val="20"/>
                <w:lang w:eastAsia="zh-CN"/>
              </w:rPr>
            </w:pPr>
            <w:r w:rsidRPr="00CB6384">
              <w:rPr>
                <w:rFonts w:ascii="Arial" w:hAnsi="Arial" w:cs="Arial"/>
                <w:b/>
                <w:szCs w:val="20"/>
                <w:lang w:eastAsia="zh-CN"/>
              </w:rPr>
              <w:t>Noted</w:t>
            </w:r>
          </w:p>
        </w:tc>
        <w:tc>
          <w:tcPr>
            <w:tcW w:w="5953" w:type="dxa"/>
          </w:tcPr>
          <w:p w:rsidR="008443BC" w:rsidRPr="00CB6384" w:rsidRDefault="00286B3F" w:rsidP="00286B3F">
            <w:pPr>
              <w:rPr>
                <w:rFonts w:ascii="Arial" w:hAnsi="Arial" w:cs="Arial"/>
                <w:szCs w:val="20"/>
                <w:lang w:eastAsia="zh-CN"/>
              </w:rPr>
            </w:pPr>
            <w:r w:rsidRPr="004C646E">
              <w:rPr>
                <w:lang w:eastAsia="zh-CN"/>
              </w:rPr>
              <w:t xml:space="preserve">The Government notes that this recommendation is in response to the Terms of Reference which stated that “the review should have regard to opportunities consistent with the Government’s deregulation agenda”. </w:t>
            </w:r>
            <w:r>
              <w:rPr>
                <w:lang w:eastAsia="zh-CN"/>
              </w:rPr>
              <w:t>T</w:t>
            </w:r>
            <w:r w:rsidRPr="004C646E">
              <w:rPr>
                <w:lang w:eastAsia="zh-CN"/>
              </w:rPr>
              <w:t xml:space="preserve">he </w:t>
            </w:r>
            <w:r>
              <w:rPr>
                <w:lang w:eastAsia="zh-CN"/>
              </w:rPr>
              <w:t>Government</w:t>
            </w:r>
            <w:r w:rsidRPr="004C646E">
              <w:rPr>
                <w:lang w:eastAsia="zh-CN"/>
              </w:rPr>
              <w:t xml:space="preserve"> does not intend to pursue this option at this time, </w:t>
            </w:r>
            <w:r>
              <w:rPr>
                <w:lang w:eastAsia="zh-CN"/>
              </w:rPr>
              <w:t xml:space="preserve">however </w:t>
            </w:r>
            <w:r w:rsidRPr="004C646E">
              <w:rPr>
                <w:lang w:eastAsia="zh-CN"/>
              </w:rPr>
              <w:t>provisions for the States and the Territory to authorise NOPTA to undertake title administrative functions in coastal waters, on a fee for service basis continues to be available to jurisdictions to utilise as considered appropriate.</w:t>
            </w:r>
          </w:p>
        </w:tc>
      </w:tr>
      <w:bookmarkEnd w:id="2"/>
    </w:tbl>
    <w:p w:rsidR="00E8493B" w:rsidRDefault="00E8493B" w:rsidP="007B01E3"/>
    <w:sectPr w:rsidR="00E8493B" w:rsidSect="00CB6384">
      <w:footerReference w:type="first" r:id="rId18"/>
      <w:pgSz w:w="16838" w:h="11906" w:orient="landscape"/>
      <w:pgMar w:top="1440" w:right="907"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D7DF0E" w15:done="0"/>
  <w15:commentEx w15:paraId="42C439B4" w15:done="0"/>
  <w15:commentEx w15:paraId="7CE683F5" w15:done="0"/>
  <w15:commentEx w15:paraId="380E06EF" w15:done="0"/>
  <w15:commentEx w15:paraId="2C55C31E" w15:done="0"/>
  <w15:commentEx w15:paraId="7D0E888E" w15:paraIdParent="2C55C31E" w15:done="0"/>
  <w15:commentEx w15:paraId="26A83219" w15:done="0"/>
  <w15:commentEx w15:paraId="31C20111" w15:done="0"/>
  <w15:commentEx w15:paraId="0747F6A7" w15:done="0"/>
  <w15:commentEx w15:paraId="7AAFB9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D7" w:rsidRDefault="006A30D7" w:rsidP="00B526AB">
      <w:pPr>
        <w:spacing w:after="0" w:line="240" w:lineRule="auto"/>
      </w:pPr>
      <w:r>
        <w:separator/>
      </w:r>
    </w:p>
  </w:endnote>
  <w:endnote w:type="continuationSeparator" w:id="0">
    <w:p w:rsidR="006A30D7" w:rsidRDefault="006A30D7" w:rsidP="00B526AB">
      <w:pPr>
        <w:spacing w:after="0" w:line="240" w:lineRule="auto"/>
      </w:pPr>
      <w:r>
        <w:continuationSeparator/>
      </w:r>
    </w:p>
  </w:endnote>
  <w:endnote w:type="continuationNotice" w:id="1">
    <w:p w:rsidR="006A30D7" w:rsidRDefault="006A3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920208"/>
      <w:docPartObj>
        <w:docPartGallery w:val="Page Numbers (Bottom of Page)"/>
        <w:docPartUnique/>
      </w:docPartObj>
    </w:sdtPr>
    <w:sdtEndPr>
      <w:rPr>
        <w:noProof/>
      </w:rPr>
    </w:sdtEndPr>
    <w:sdtContent>
      <w:p w:rsidR="009C5D65" w:rsidRDefault="009C5D65">
        <w:pPr>
          <w:pStyle w:val="Footer"/>
          <w:jc w:val="center"/>
        </w:pPr>
        <w:r>
          <w:fldChar w:fldCharType="begin"/>
        </w:r>
        <w:r>
          <w:instrText xml:space="preserve"> PAGE   \* MERGEFORMAT </w:instrText>
        </w:r>
        <w:r>
          <w:fldChar w:fldCharType="separate"/>
        </w:r>
        <w:r w:rsidR="00D669FB">
          <w:rPr>
            <w:noProof/>
          </w:rPr>
          <w:t>2</w:t>
        </w:r>
        <w:r>
          <w:rPr>
            <w:noProof/>
          </w:rPr>
          <w:fldChar w:fldCharType="end"/>
        </w:r>
      </w:p>
    </w:sdtContent>
  </w:sdt>
  <w:p w:rsidR="009C5D65" w:rsidRDefault="0003185C" w:rsidP="00847F50">
    <w:pPr>
      <w:pStyle w:val="Footer"/>
      <w:tabs>
        <w:tab w:val="clear" w:pos="4320"/>
      </w:tabs>
    </w:pPr>
    <w:r>
      <w:t>Department of Industry</w:t>
    </w:r>
    <w:r w:rsidR="00997A5A">
      <w:t>, Innovation</w:t>
    </w:r>
    <w:r>
      <w:t xml:space="preserve"> and Science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78599"/>
      <w:docPartObj>
        <w:docPartGallery w:val="Page Numbers (Bottom of Page)"/>
        <w:docPartUnique/>
      </w:docPartObj>
    </w:sdtPr>
    <w:sdtEndPr>
      <w:rPr>
        <w:noProof/>
      </w:rPr>
    </w:sdtEndPr>
    <w:sdtContent>
      <w:p w:rsidR="00D669FB" w:rsidRDefault="00D669FB">
        <w:pPr>
          <w:pStyle w:val="Footer"/>
          <w:jc w:val="center"/>
        </w:pPr>
        <w:r>
          <w:fldChar w:fldCharType="begin"/>
        </w:r>
        <w:r>
          <w:instrText xml:space="preserve"> PAGE   \* MERGEFORMAT </w:instrText>
        </w:r>
        <w:r>
          <w:fldChar w:fldCharType="separate"/>
        </w:r>
        <w:r w:rsidR="00EB6297">
          <w:rPr>
            <w:noProof/>
          </w:rPr>
          <w:t>2</w:t>
        </w:r>
        <w:r>
          <w:rPr>
            <w:noProof/>
          </w:rPr>
          <w:fldChar w:fldCharType="end"/>
        </w:r>
      </w:p>
    </w:sdtContent>
  </w:sdt>
  <w:p w:rsidR="009C5D65" w:rsidRDefault="00D669FB" w:rsidP="00847F50">
    <w:pPr>
      <w:pStyle w:val="Footer"/>
      <w:tabs>
        <w:tab w:val="clear" w:pos="4320"/>
      </w:tabs>
    </w:pPr>
    <w:r>
      <w:t>Department of Industry, Innovation and Science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65" w:rsidRDefault="009C5D65" w:rsidP="00847F50">
    <w:pPr>
      <w:pStyle w:val="Footer"/>
      <w:tabs>
        <w:tab w:val="clear" w:pos="43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286487"/>
      <w:docPartObj>
        <w:docPartGallery w:val="Page Numbers (Bottom of Page)"/>
        <w:docPartUnique/>
      </w:docPartObj>
    </w:sdtPr>
    <w:sdtEndPr>
      <w:rPr>
        <w:noProof/>
      </w:rPr>
    </w:sdtEndPr>
    <w:sdtContent>
      <w:p w:rsidR="00EB6297" w:rsidRDefault="00EB629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EB6297" w:rsidRDefault="00EB6297" w:rsidP="00847F50">
    <w:pPr>
      <w:pStyle w:val="Footer"/>
      <w:tabs>
        <w:tab w:val="clear" w:pos="4320"/>
      </w:tabs>
    </w:pPr>
    <w:r>
      <w:t>Department of Industry, Innovation and Science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D7" w:rsidRDefault="006A30D7" w:rsidP="00B526AB">
      <w:pPr>
        <w:spacing w:after="0" w:line="240" w:lineRule="auto"/>
      </w:pPr>
      <w:r>
        <w:separator/>
      </w:r>
    </w:p>
  </w:footnote>
  <w:footnote w:type="continuationSeparator" w:id="0">
    <w:p w:rsidR="006A30D7" w:rsidRDefault="006A30D7" w:rsidP="00B526AB">
      <w:pPr>
        <w:spacing w:after="0" w:line="240" w:lineRule="auto"/>
      </w:pPr>
      <w:r>
        <w:continuationSeparator/>
      </w:r>
    </w:p>
  </w:footnote>
  <w:footnote w:type="continuationNotice" w:id="1">
    <w:p w:rsidR="006A30D7" w:rsidRDefault="006A30D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36FD56"/>
    <w:lvl w:ilvl="0">
      <w:start w:val="1"/>
      <w:numFmt w:val="decimal"/>
      <w:lvlText w:val="%1."/>
      <w:lvlJc w:val="left"/>
      <w:pPr>
        <w:tabs>
          <w:tab w:val="num" w:pos="1492"/>
        </w:tabs>
        <w:ind w:left="1492" w:hanging="360"/>
      </w:pPr>
    </w:lvl>
  </w:abstractNum>
  <w:abstractNum w:abstractNumId="1">
    <w:nsid w:val="FFFFFF7D"/>
    <w:multiLevelType w:val="singleLevel"/>
    <w:tmpl w:val="2E7CD51A"/>
    <w:lvl w:ilvl="0">
      <w:start w:val="1"/>
      <w:numFmt w:val="decimal"/>
      <w:lvlText w:val="%1."/>
      <w:lvlJc w:val="left"/>
      <w:pPr>
        <w:tabs>
          <w:tab w:val="num" w:pos="1209"/>
        </w:tabs>
        <w:ind w:left="1209" w:hanging="360"/>
      </w:pPr>
    </w:lvl>
  </w:abstractNum>
  <w:abstractNum w:abstractNumId="2">
    <w:nsid w:val="FFFFFF7E"/>
    <w:multiLevelType w:val="singleLevel"/>
    <w:tmpl w:val="0B82E9A2"/>
    <w:lvl w:ilvl="0">
      <w:start w:val="1"/>
      <w:numFmt w:val="decimal"/>
      <w:lvlText w:val="%1."/>
      <w:lvlJc w:val="left"/>
      <w:pPr>
        <w:tabs>
          <w:tab w:val="num" w:pos="926"/>
        </w:tabs>
        <w:ind w:left="926" w:hanging="360"/>
      </w:pPr>
    </w:lvl>
  </w:abstractNum>
  <w:abstractNum w:abstractNumId="3">
    <w:nsid w:val="FFFFFF7F"/>
    <w:multiLevelType w:val="singleLevel"/>
    <w:tmpl w:val="DB2EF1BC"/>
    <w:lvl w:ilvl="0">
      <w:start w:val="1"/>
      <w:numFmt w:val="decimal"/>
      <w:lvlText w:val="%1."/>
      <w:lvlJc w:val="left"/>
      <w:pPr>
        <w:tabs>
          <w:tab w:val="num" w:pos="643"/>
        </w:tabs>
        <w:ind w:left="643" w:hanging="360"/>
      </w:pPr>
    </w:lvl>
  </w:abstractNum>
  <w:abstractNum w:abstractNumId="4">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CF4520" w:themeColor="accent1"/>
      </w:rPr>
    </w:lvl>
  </w:abstractNum>
  <w:abstractNum w:abstractNumId="8">
    <w:nsid w:val="FFFFFF88"/>
    <w:multiLevelType w:val="singleLevel"/>
    <w:tmpl w:val="9350D2C6"/>
    <w:lvl w:ilvl="0">
      <w:start w:val="1"/>
      <w:numFmt w:val="decimal"/>
      <w:lvlText w:val="%1."/>
      <w:lvlJc w:val="left"/>
      <w:pPr>
        <w:tabs>
          <w:tab w:val="num" w:pos="360"/>
        </w:tabs>
        <w:ind w:left="360" w:hanging="360"/>
      </w:pPr>
    </w:lvl>
  </w:abstractNum>
  <w:abstractNum w:abstractNumId="9">
    <w:nsid w:val="FFFFFF89"/>
    <w:multiLevelType w:val="singleLevel"/>
    <w:tmpl w:val="131A1AA8"/>
    <w:lvl w:ilvl="0">
      <w:start w:val="1"/>
      <w:numFmt w:val="bullet"/>
      <w:pStyle w:val="ListBullet"/>
      <w:lvlText w:val=""/>
      <w:lvlJc w:val="left"/>
      <w:pPr>
        <w:ind w:left="360" w:hanging="360"/>
      </w:pPr>
      <w:rPr>
        <w:rFonts w:ascii="Symbol" w:hAnsi="Symbol" w:hint="default"/>
        <w:color w:val="CF4520" w:themeColor="accent1"/>
      </w:rPr>
    </w:lvl>
  </w:abstractNum>
  <w:abstractNum w:abstractNumId="10">
    <w:nsid w:val="006C67A5"/>
    <w:multiLevelType w:val="hybridMultilevel"/>
    <w:tmpl w:val="ED04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7128FD"/>
    <w:multiLevelType w:val="hybridMultilevel"/>
    <w:tmpl w:val="560691FE"/>
    <w:lvl w:ilvl="0" w:tplc="19DC4EE0">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nsid w:val="040C6395"/>
    <w:multiLevelType w:val="hybridMultilevel"/>
    <w:tmpl w:val="295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601952"/>
    <w:multiLevelType w:val="hybridMultilevel"/>
    <w:tmpl w:val="70A83FA2"/>
    <w:lvl w:ilvl="0" w:tplc="77BAB510">
      <w:start w:val="1"/>
      <w:numFmt w:val="decimal"/>
      <w:pStyle w:val="RecommExec"/>
      <w:lvlText w:val="Recommendation %1."/>
      <w:lvlJc w:val="left"/>
      <w:pPr>
        <w:ind w:left="644" w:hanging="36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0D7169DE"/>
    <w:multiLevelType w:val="hybridMultilevel"/>
    <w:tmpl w:val="30DCD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3A04BD"/>
    <w:multiLevelType w:val="hybridMultilevel"/>
    <w:tmpl w:val="086A10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3D91B19"/>
    <w:multiLevelType w:val="multilevel"/>
    <w:tmpl w:val="C862FEE8"/>
    <w:styleLink w:val="Noetic-Numberedlist"/>
    <w:lvl w:ilvl="0">
      <w:start w:val="1"/>
      <w:numFmt w:val="decimal"/>
      <w:pStyle w:val="Number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7">
    <w:nsid w:val="18884C61"/>
    <w:multiLevelType w:val="hybridMultilevel"/>
    <w:tmpl w:val="E0C0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14748A"/>
    <w:multiLevelType w:val="hybridMultilevel"/>
    <w:tmpl w:val="CD248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030078E"/>
    <w:multiLevelType w:val="hybridMultilevel"/>
    <w:tmpl w:val="F230B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3BE73F1"/>
    <w:multiLevelType w:val="hybridMultilevel"/>
    <w:tmpl w:val="469C22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23BF7E82"/>
    <w:multiLevelType w:val="hybridMultilevel"/>
    <w:tmpl w:val="593EFD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53058A9"/>
    <w:multiLevelType w:val="hybridMultilevel"/>
    <w:tmpl w:val="4A24C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6430770"/>
    <w:multiLevelType w:val="hybridMultilevel"/>
    <w:tmpl w:val="C2E8F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AC917BB"/>
    <w:multiLevelType w:val="hybridMultilevel"/>
    <w:tmpl w:val="A07C37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E0F26BD"/>
    <w:multiLevelType w:val="hybridMultilevel"/>
    <w:tmpl w:val="04EC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31B3F4F"/>
    <w:multiLevelType w:val="multilevel"/>
    <w:tmpl w:val="107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933827"/>
    <w:multiLevelType w:val="hybridMultilevel"/>
    <w:tmpl w:val="7BF85DFC"/>
    <w:lvl w:ilvl="0" w:tplc="01E4C376">
      <w:start w:val="1"/>
      <w:numFmt w:val="decimal"/>
      <w:pStyle w:val="RecommBody"/>
      <w:lvlText w:val="Recommendation %1."/>
      <w:lvlJc w:val="left"/>
      <w:pPr>
        <w:ind w:left="1004" w:hanging="360"/>
      </w:pPr>
      <w:rPr>
        <w:rFonts w:ascii="Arial Bold" w:hAnsi="Arial Bold" w:cs="Times New Roman" w:hint="default"/>
        <w:b/>
        <w:bCs w:val="0"/>
        <w:i w:val="0"/>
        <w:iCs w:val="0"/>
        <w:caps w:val="0"/>
        <w:strike w:val="0"/>
        <w:dstrike w:val="0"/>
        <w:vanish w:val="0"/>
        <w:color w:val="000000"/>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35E0195B"/>
    <w:multiLevelType w:val="hybridMultilevel"/>
    <w:tmpl w:val="BF68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73C48D3"/>
    <w:multiLevelType w:val="hybridMultilevel"/>
    <w:tmpl w:val="12E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BB67D0D"/>
    <w:multiLevelType w:val="hybridMultilevel"/>
    <w:tmpl w:val="735AD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EC42CFA"/>
    <w:multiLevelType w:val="hybridMultilevel"/>
    <w:tmpl w:val="6B148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F3B6D8F"/>
    <w:multiLevelType w:val="hybridMultilevel"/>
    <w:tmpl w:val="688AE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44C69E2"/>
    <w:multiLevelType w:val="hybridMultilevel"/>
    <w:tmpl w:val="7DA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46F1D3C"/>
    <w:multiLevelType w:val="hybridMultilevel"/>
    <w:tmpl w:val="31BEAF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4A5A1E48"/>
    <w:multiLevelType w:val="multilevel"/>
    <w:tmpl w:val="C862FEE8"/>
    <w:numStyleLink w:val="Noetic-Numberedlist"/>
  </w:abstractNum>
  <w:abstractNum w:abstractNumId="36">
    <w:nsid w:val="5093623C"/>
    <w:multiLevelType w:val="hybridMultilevel"/>
    <w:tmpl w:val="AD540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0BC7D7C"/>
    <w:multiLevelType w:val="hybridMultilevel"/>
    <w:tmpl w:val="B31E3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74417B7"/>
    <w:multiLevelType w:val="hybridMultilevel"/>
    <w:tmpl w:val="05A4D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9957D92"/>
    <w:multiLevelType w:val="hybridMultilevel"/>
    <w:tmpl w:val="3D962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B8964F3"/>
    <w:multiLevelType w:val="hybridMultilevel"/>
    <w:tmpl w:val="231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0B1BDA"/>
    <w:multiLevelType w:val="hybridMultilevel"/>
    <w:tmpl w:val="6EC8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F1E5A00"/>
    <w:multiLevelType w:val="hybridMultilevel"/>
    <w:tmpl w:val="05B65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1FF4A75"/>
    <w:multiLevelType w:val="hybridMultilevel"/>
    <w:tmpl w:val="51FCCABA"/>
    <w:lvl w:ilvl="0" w:tplc="D81EA54E">
      <w:start w:val="1"/>
      <w:numFmt w:val="bullet"/>
      <w:pStyle w:val="Noetic-Columnrecommendation"/>
      <w:lvlText w:val=""/>
      <w:lvlJc w:val="left"/>
      <w:pPr>
        <w:tabs>
          <w:tab w:val="num" w:pos="425"/>
        </w:tabs>
        <w:ind w:left="425" w:hanging="425"/>
      </w:pPr>
      <w:rPr>
        <w:rFonts w:ascii="Webdings" w:hAnsi="Web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nsid w:val="64C34F1B"/>
    <w:multiLevelType w:val="hybridMultilevel"/>
    <w:tmpl w:val="013C9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80D7845"/>
    <w:multiLevelType w:val="hybridMultilevel"/>
    <w:tmpl w:val="A552C414"/>
    <w:lvl w:ilvl="0" w:tplc="D7F2DF6C">
      <w:start w:val="1"/>
      <w:numFmt w:val="decimal"/>
      <w:lvlText w:val="Recommend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893196E"/>
    <w:multiLevelType w:val="hybridMultilevel"/>
    <w:tmpl w:val="738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EEA4D4F"/>
    <w:multiLevelType w:val="hybridMultilevel"/>
    <w:tmpl w:val="15DE6DD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6F264D4F"/>
    <w:multiLevelType w:val="hybridMultilevel"/>
    <w:tmpl w:val="3842C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0955870"/>
    <w:multiLevelType w:val="hybridMultilevel"/>
    <w:tmpl w:val="61C42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5923BA0"/>
    <w:multiLevelType w:val="hybridMultilevel"/>
    <w:tmpl w:val="40E2A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5B617EF"/>
    <w:multiLevelType w:val="hybridMultilevel"/>
    <w:tmpl w:val="1A022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3"/>
  </w:num>
  <w:num w:numId="14">
    <w:abstractNumId w:val="44"/>
  </w:num>
  <w:num w:numId="15">
    <w:abstractNumId w:val="26"/>
  </w:num>
  <w:num w:numId="16">
    <w:abstractNumId w:val="16"/>
  </w:num>
  <w:num w:numId="17">
    <w:abstractNumId w:val="35"/>
  </w:num>
  <w:num w:numId="18">
    <w:abstractNumId w:val="35"/>
  </w:num>
  <w:num w:numId="19">
    <w:abstractNumId w:val="43"/>
  </w:num>
  <w:num w:numId="20">
    <w:abstractNumId w:val="27"/>
  </w:num>
  <w:num w:numId="21">
    <w:abstractNumId w:val="15"/>
  </w:num>
  <w:num w:numId="22">
    <w:abstractNumId w:val="17"/>
  </w:num>
  <w:num w:numId="23">
    <w:abstractNumId w:val="30"/>
  </w:num>
  <w:num w:numId="24">
    <w:abstractNumId w:val="45"/>
  </w:num>
  <w:num w:numId="25">
    <w:abstractNumId w:val="29"/>
  </w:num>
  <w:num w:numId="26">
    <w:abstractNumId w:val="14"/>
  </w:num>
  <w:num w:numId="27">
    <w:abstractNumId w:val="28"/>
  </w:num>
  <w:num w:numId="28">
    <w:abstractNumId w:val="48"/>
  </w:num>
  <w:num w:numId="29">
    <w:abstractNumId w:val="12"/>
  </w:num>
  <w:num w:numId="30">
    <w:abstractNumId w:val="10"/>
  </w:num>
  <w:num w:numId="31">
    <w:abstractNumId w:val="32"/>
  </w:num>
  <w:num w:numId="32">
    <w:abstractNumId w:val="18"/>
  </w:num>
  <w:num w:numId="33">
    <w:abstractNumId w:val="21"/>
  </w:num>
  <w:num w:numId="34">
    <w:abstractNumId w:val="25"/>
  </w:num>
  <w:num w:numId="35">
    <w:abstractNumId w:val="23"/>
  </w:num>
  <w:num w:numId="36">
    <w:abstractNumId w:val="51"/>
  </w:num>
  <w:num w:numId="37">
    <w:abstractNumId w:val="37"/>
  </w:num>
  <w:num w:numId="38">
    <w:abstractNumId w:val="24"/>
  </w:num>
  <w:num w:numId="39">
    <w:abstractNumId w:val="47"/>
  </w:num>
  <w:num w:numId="40">
    <w:abstractNumId w:val="20"/>
  </w:num>
  <w:num w:numId="41">
    <w:abstractNumId w:val="34"/>
  </w:num>
  <w:num w:numId="42">
    <w:abstractNumId w:val="49"/>
  </w:num>
  <w:num w:numId="43">
    <w:abstractNumId w:val="39"/>
  </w:num>
  <w:num w:numId="44">
    <w:abstractNumId w:val="33"/>
  </w:num>
  <w:num w:numId="45">
    <w:abstractNumId w:val="31"/>
  </w:num>
  <w:num w:numId="46">
    <w:abstractNumId w:val="40"/>
  </w:num>
  <w:num w:numId="47">
    <w:abstractNumId w:val="36"/>
  </w:num>
  <w:num w:numId="48">
    <w:abstractNumId w:val="50"/>
  </w:num>
  <w:num w:numId="49">
    <w:abstractNumId w:val="42"/>
  </w:num>
  <w:num w:numId="50">
    <w:abstractNumId w:val="22"/>
  </w:num>
  <w:num w:numId="51">
    <w:abstractNumId w:val="41"/>
  </w:num>
  <w:num w:numId="52">
    <w:abstractNumId w:val="46"/>
  </w:num>
  <w:num w:numId="53">
    <w:abstractNumId w:val="38"/>
  </w:num>
  <w:num w:numId="54">
    <w:abstractNumId w:val="11"/>
  </w:num>
  <w:num w:numId="55">
    <w:abstractNumId w:val="1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Fry">
    <w15:presenceInfo w15:providerId="AD" w15:userId="S-1-5-21-730539899-1373535339-2163507276-4160"/>
  </w15:person>
  <w15:person w15:author="Steven Taylor">
    <w15:presenceInfo w15:providerId="AD" w15:userId="S-1-5-21-730539899-1373535339-2163507276-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50"/>
    <w:rsid w:val="000016A9"/>
    <w:rsid w:val="00005F00"/>
    <w:rsid w:val="000118B2"/>
    <w:rsid w:val="00012AEE"/>
    <w:rsid w:val="00012FDB"/>
    <w:rsid w:val="00014DAC"/>
    <w:rsid w:val="00015C44"/>
    <w:rsid w:val="00015EE0"/>
    <w:rsid w:val="00017314"/>
    <w:rsid w:val="00017C23"/>
    <w:rsid w:val="0003185C"/>
    <w:rsid w:val="0003256E"/>
    <w:rsid w:val="0003508F"/>
    <w:rsid w:val="00045777"/>
    <w:rsid w:val="00065B57"/>
    <w:rsid w:val="00073FA5"/>
    <w:rsid w:val="000741FB"/>
    <w:rsid w:val="00085594"/>
    <w:rsid w:val="000A03B4"/>
    <w:rsid w:val="000A5FCC"/>
    <w:rsid w:val="000B3B5D"/>
    <w:rsid w:val="000B74E3"/>
    <w:rsid w:val="000C2E01"/>
    <w:rsid w:val="000D1229"/>
    <w:rsid w:val="000E3415"/>
    <w:rsid w:val="000E40D8"/>
    <w:rsid w:val="000F0A66"/>
    <w:rsid w:val="000F5A9F"/>
    <w:rsid w:val="000F6A9E"/>
    <w:rsid w:val="0010206B"/>
    <w:rsid w:val="00107F33"/>
    <w:rsid w:val="00122645"/>
    <w:rsid w:val="001228D5"/>
    <w:rsid w:val="00122C1B"/>
    <w:rsid w:val="00122FE2"/>
    <w:rsid w:val="00123B26"/>
    <w:rsid w:val="00130240"/>
    <w:rsid w:val="001354BB"/>
    <w:rsid w:val="00136063"/>
    <w:rsid w:val="00142C97"/>
    <w:rsid w:val="00156CE2"/>
    <w:rsid w:val="001624EB"/>
    <w:rsid w:val="00162EAA"/>
    <w:rsid w:val="00163B54"/>
    <w:rsid w:val="001666A7"/>
    <w:rsid w:val="00173CB5"/>
    <w:rsid w:val="0019380B"/>
    <w:rsid w:val="001A25AE"/>
    <w:rsid w:val="001A2DC6"/>
    <w:rsid w:val="001A406E"/>
    <w:rsid w:val="001A4EBC"/>
    <w:rsid w:val="001A736B"/>
    <w:rsid w:val="001B572D"/>
    <w:rsid w:val="001B6920"/>
    <w:rsid w:val="001C1EC2"/>
    <w:rsid w:val="001D54AD"/>
    <w:rsid w:val="001E000A"/>
    <w:rsid w:val="001E128B"/>
    <w:rsid w:val="001E1A82"/>
    <w:rsid w:val="001E6CCD"/>
    <w:rsid w:val="001E6D8D"/>
    <w:rsid w:val="001F6654"/>
    <w:rsid w:val="001F6BF1"/>
    <w:rsid w:val="001F7960"/>
    <w:rsid w:val="00205828"/>
    <w:rsid w:val="002115BB"/>
    <w:rsid w:val="0021187D"/>
    <w:rsid w:val="0022001F"/>
    <w:rsid w:val="0022137C"/>
    <w:rsid w:val="00223B09"/>
    <w:rsid w:val="0022634C"/>
    <w:rsid w:val="002300AC"/>
    <w:rsid w:val="00233269"/>
    <w:rsid w:val="00234CED"/>
    <w:rsid w:val="002356B7"/>
    <w:rsid w:val="002375EE"/>
    <w:rsid w:val="00237949"/>
    <w:rsid w:val="00244596"/>
    <w:rsid w:val="00253067"/>
    <w:rsid w:val="00256149"/>
    <w:rsid w:val="00263E00"/>
    <w:rsid w:val="002743EE"/>
    <w:rsid w:val="00276AC1"/>
    <w:rsid w:val="002774D3"/>
    <w:rsid w:val="00283022"/>
    <w:rsid w:val="0028349B"/>
    <w:rsid w:val="00283977"/>
    <w:rsid w:val="0028608C"/>
    <w:rsid w:val="00286B3F"/>
    <w:rsid w:val="002910B0"/>
    <w:rsid w:val="002950F3"/>
    <w:rsid w:val="002A3B98"/>
    <w:rsid w:val="002B57BF"/>
    <w:rsid w:val="002B65A2"/>
    <w:rsid w:val="002C5C16"/>
    <w:rsid w:val="002C6453"/>
    <w:rsid w:val="002C7EFA"/>
    <w:rsid w:val="002D037D"/>
    <w:rsid w:val="002D0725"/>
    <w:rsid w:val="002D2C02"/>
    <w:rsid w:val="002D3954"/>
    <w:rsid w:val="002E14EA"/>
    <w:rsid w:val="002E1DA6"/>
    <w:rsid w:val="002E201E"/>
    <w:rsid w:val="002E42F5"/>
    <w:rsid w:val="002E4A22"/>
    <w:rsid w:val="002E5A64"/>
    <w:rsid w:val="002E5A77"/>
    <w:rsid w:val="002F65AF"/>
    <w:rsid w:val="00301ACA"/>
    <w:rsid w:val="00302F40"/>
    <w:rsid w:val="0030329D"/>
    <w:rsid w:val="003040FD"/>
    <w:rsid w:val="003049AE"/>
    <w:rsid w:val="00304F04"/>
    <w:rsid w:val="00310776"/>
    <w:rsid w:val="0031204D"/>
    <w:rsid w:val="00333131"/>
    <w:rsid w:val="00335B7F"/>
    <w:rsid w:val="00340627"/>
    <w:rsid w:val="003410F7"/>
    <w:rsid w:val="00341249"/>
    <w:rsid w:val="00346289"/>
    <w:rsid w:val="00353618"/>
    <w:rsid w:val="00356477"/>
    <w:rsid w:val="00361F8F"/>
    <w:rsid w:val="00364C58"/>
    <w:rsid w:val="00365BCD"/>
    <w:rsid w:val="0037319B"/>
    <w:rsid w:val="00374669"/>
    <w:rsid w:val="0038196C"/>
    <w:rsid w:val="0038442D"/>
    <w:rsid w:val="00387F92"/>
    <w:rsid w:val="00390C8F"/>
    <w:rsid w:val="00390D24"/>
    <w:rsid w:val="003957CA"/>
    <w:rsid w:val="00396B9C"/>
    <w:rsid w:val="003A1D81"/>
    <w:rsid w:val="003A31E1"/>
    <w:rsid w:val="003B2AD4"/>
    <w:rsid w:val="003B5DEB"/>
    <w:rsid w:val="003B70C0"/>
    <w:rsid w:val="003B7382"/>
    <w:rsid w:val="003C2760"/>
    <w:rsid w:val="003C56FD"/>
    <w:rsid w:val="003C7792"/>
    <w:rsid w:val="003F171E"/>
    <w:rsid w:val="003F17D1"/>
    <w:rsid w:val="003F29E2"/>
    <w:rsid w:val="00401E40"/>
    <w:rsid w:val="00402E42"/>
    <w:rsid w:val="004052FD"/>
    <w:rsid w:val="004065DD"/>
    <w:rsid w:val="00407ECA"/>
    <w:rsid w:val="004111E9"/>
    <w:rsid w:val="00412B77"/>
    <w:rsid w:val="00425A87"/>
    <w:rsid w:val="00426206"/>
    <w:rsid w:val="00426FD1"/>
    <w:rsid w:val="00436B60"/>
    <w:rsid w:val="004417E7"/>
    <w:rsid w:val="00441FDB"/>
    <w:rsid w:val="00442CF7"/>
    <w:rsid w:val="00444CBB"/>
    <w:rsid w:val="00446ECA"/>
    <w:rsid w:val="00446F8F"/>
    <w:rsid w:val="00452BA6"/>
    <w:rsid w:val="0046243E"/>
    <w:rsid w:val="00462935"/>
    <w:rsid w:val="00466CB0"/>
    <w:rsid w:val="00470C90"/>
    <w:rsid w:val="00476FDD"/>
    <w:rsid w:val="00477A20"/>
    <w:rsid w:val="00481104"/>
    <w:rsid w:val="004852A6"/>
    <w:rsid w:val="0048544C"/>
    <w:rsid w:val="0049225A"/>
    <w:rsid w:val="00496109"/>
    <w:rsid w:val="004A4D9C"/>
    <w:rsid w:val="004A7A60"/>
    <w:rsid w:val="004B5AAE"/>
    <w:rsid w:val="004B64EF"/>
    <w:rsid w:val="004B7752"/>
    <w:rsid w:val="004B7B6F"/>
    <w:rsid w:val="004C132D"/>
    <w:rsid w:val="004C1490"/>
    <w:rsid w:val="004C3558"/>
    <w:rsid w:val="004C36D0"/>
    <w:rsid w:val="004C646E"/>
    <w:rsid w:val="004D59EA"/>
    <w:rsid w:val="004D6C80"/>
    <w:rsid w:val="004E1A51"/>
    <w:rsid w:val="004F140F"/>
    <w:rsid w:val="004F4138"/>
    <w:rsid w:val="004F6449"/>
    <w:rsid w:val="00501B38"/>
    <w:rsid w:val="00502FF5"/>
    <w:rsid w:val="0050377B"/>
    <w:rsid w:val="005050FD"/>
    <w:rsid w:val="00505AEE"/>
    <w:rsid w:val="0050610E"/>
    <w:rsid w:val="00510BEA"/>
    <w:rsid w:val="005121EB"/>
    <w:rsid w:val="005155B8"/>
    <w:rsid w:val="00517C83"/>
    <w:rsid w:val="00520FD2"/>
    <w:rsid w:val="0052754B"/>
    <w:rsid w:val="00531FA7"/>
    <w:rsid w:val="005321C7"/>
    <w:rsid w:val="00532A24"/>
    <w:rsid w:val="005422AF"/>
    <w:rsid w:val="005430C9"/>
    <w:rsid w:val="005443F5"/>
    <w:rsid w:val="005478F4"/>
    <w:rsid w:val="00547DAC"/>
    <w:rsid w:val="005528B3"/>
    <w:rsid w:val="00553228"/>
    <w:rsid w:val="005536DB"/>
    <w:rsid w:val="00555268"/>
    <w:rsid w:val="00560417"/>
    <w:rsid w:val="00563273"/>
    <w:rsid w:val="005642F2"/>
    <w:rsid w:val="00564624"/>
    <w:rsid w:val="00565B56"/>
    <w:rsid w:val="00567D1A"/>
    <w:rsid w:val="00570511"/>
    <w:rsid w:val="00570804"/>
    <w:rsid w:val="005733F2"/>
    <w:rsid w:val="00585806"/>
    <w:rsid w:val="00586B8F"/>
    <w:rsid w:val="00591AEC"/>
    <w:rsid w:val="005954DA"/>
    <w:rsid w:val="0059569B"/>
    <w:rsid w:val="005A2348"/>
    <w:rsid w:val="005A5082"/>
    <w:rsid w:val="005B18AB"/>
    <w:rsid w:val="005D0228"/>
    <w:rsid w:val="005E056B"/>
    <w:rsid w:val="005E3790"/>
    <w:rsid w:val="005E70EE"/>
    <w:rsid w:val="005E7D6A"/>
    <w:rsid w:val="005F0184"/>
    <w:rsid w:val="005F1934"/>
    <w:rsid w:val="005F296E"/>
    <w:rsid w:val="005F4E65"/>
    <w:rsid w:val="00602C92"/>
    <w:rsid w:val="00604266"/>
    <w:rsid w:val="006145A3"/>
    <w:rsid w:val="00621059"/>
    <w:rsid w:val="006239EB"/>
    <w:rsid w:val="00634100"/>
    <w:rsid w:val="00641052"/>
    <w:rsid w:val="00641B66"/>
    <w:rsid w:val="00645CE7"/>
    <w:rsid w:val="00650BB2"/>
    <w:rsid w:val="006527C0"/>
    <w:rsid w:val="00661100"/>
    <w:rsid w:val="00661179"/>
    <w:rsid w:val="00667111"/>
    <w:rsid w:val="00672E50"/>
    <w:rsid w:val="00681CF2"/>
    <w:rsid w:val="00690365"/>
    <w:rsid w:val="0069485B"/>
    <w:rsid w:val="0069742E"/>
    <w:rsid w:val="006A2E85"/>
    <w:rsid w:val="006A30D7"/>
    <w:rsid w:val="006A3D7D"/>
    <w:rsid w:val="006A6F5F"/>
    <w:rsid w:val="006B1536"/>
    <w:rsid w:val="006B2C1B"/>
    <w:rsid w:val="006B7D28"/>
    <w:rsid w:val="006C18CB"/>
    <w:rsid w:val="006C2852"/>
    <w:rsid w:val="006D1606"/>
    <w:rsid w:val="006D54E6"/>
    <w:rsid w:val="006D6EE5"/>
    <w:rsid w:val="006E1658"/>
    <w:rsid w:val="006E2F4D"/>
    <w:rsid w:val="006F6EE5"/>
    <w:rsid w:val="006F70ED"/>
    <w:rsid w:val="007039FC"/>
    <w:rsid w:val="00703DB6"/>
    <w:rsid w:val="00704D03"/>
    <w:rsid w:val="007051C3"/>
    <w:rsid w:val="0072209B"/>
    <w:rsid w:val="0072270F"/>
    <w:rsid w:val="0072386C"/>
    <w:rsid w:val="00723B30"/>
    <w:rsid w:val="00726704"/>
    <w:rsid w:val="00734E24"/>
    <w:rsid w:val="007359BD"/>
    <w:rsid w:val="00735A32"/>
    <w:rsid w:val="0074096E"/>
    <w:rsid w:val="00741F98"/>
    <w:rsid w:val="0074419F"/>
    <w:rsid w:val="00745BF5"/>
    <w:rsid w:val="00753180"/>
    <w:rsid w:val="00754739"/>
    <w:rsid w:val="007632B1"/>
    <w:rsid w:val="00770588"/>
    <w:rsid w:val="007716E4"/>
    <w:rsid w:val="00773DED"/>
    <w:rsid w:val="007747C2"/>
    <w:rsid w:val="00775537"/>
    <w:rsid w:val="00780A0A"/>
    <w:rsid w:val="007862C3"/>
    <w:rsid w:val="00787752"/>
    <w:rsid w:val="007906D0"/>
    <w:rsid w:val="00793D68"/>
    <w:rsid w:val="007964ED"/>
    <w:rsid w:val="007A0A93"/>
    <w:rsid w:val="007A3D71"/>
    <w:rsid w:val="007A49CD"/>
    <w:rsid w:val="007B01E3"/>
    <w:rsid w:val="007C1FDF"/>
    <w:rsid w:val="007D0BC9"/>
    <w:rsid w:val="007D3D72"/>
    <w:rsid w:val="007E1C2E"/>
    <w:rsid w:val="007E298F"/>
    <w:rsid w:val="007E6F9C"/>
    <w:rsid w:val="007F1BDA"/>
    <w:rsid w:val="007F4E93"/>
    <w:rsid w:val="007F5C08"/>
    <w:rsid w:val="0080354E"/>
    <w:rsid w:val="0080543F"/>
    <w:rsid w:val="008147BB"/>
    <w:rsid w:val="00822068"/>
    <w:rsid w:val="0082472B"/>
    <w:rsid w:val="00836C46"/>
    <w:rsid w:val="00837A15"/>
    <w:rsid w:val="008409DA"/>
    <w:rsid w:val="008418DF"/>
    <w:rsid w:val="008443BC"/>
    <w:rsid w:val="00847F50"/>
    <w:rsid w:val="00850038"/>
    <w:rsid w:val="0085183C"/>
    <w:rsid w:val="008520B0"/>
    <w:rsid w:val="00853346"/>
    <w:rsid w:val="00854E89"/>
    <w:rsid w:val="008552EF"/>
    <w:rsid w:val="00857212"/>
    <w:rsid w:val="00871640"/>
    <w:rsid w:val="00874CC3"/>
    <w:rsid w:val="008758F2"/>
    <w:rsid w:val="00875A1D"/>
    <w:rsid w:val="008777BD"/>
    <w:rsid w:val="008814A4"/>
    <w:rsid w:val="008819D1"/>
    <w:rsid w:val="008825B7"/>
    <w:rsid w:val="008831FC"/>
    <w:rsid w:val="0088639D"/>
    <w:rsid w:val="008864A1"/>
    <w:rsid w:val="00892613"/>
    <w:rsid w:val="00892FD5"/>
    <w:rsid w:val="00893002"/>
    <w:rsid w:val="008A2CF6"/>
    <w:rsid w:val="008B5AD9"/>
    <w:rsid w:val="008C1FAF"/>
    <w:rsid w:val="008D0EAF"/>
    <w:rsid w:val="008D0EF0"/>
    <w:rsid w:val="008D21D2"/>
    <w:rsid w:val="008E4819"/>
    <w:rsid w:val="008E5CED"/>
    <w:rsid w:val="008E5F71"/>
    <w:rsid w:val="008F2129"/>
    <w:rsid w:val="008F2ACB"/>
    <w:rsid w:val="008F44DD"/>
    <w:rsid w:val="008F4913"/>
    <w:rsid w:val="008F6458"/>
    <w:rsid w:val="008F6628"/>
    <w:rsid w:val="00900C58"/>
    <w:rsid w:val="009046B5"/>
    <w:rsid w:val="00905BD2"/>
    <w:rsid w:val="00905F2E"/>
    <w:rsid w:val="0091221F"/>
    <w:rsid w:val="00915565"/>
    <w:rsid w:val="009168EB"/>
    <w:rsid w:val="00916A64"/>
    <w:rsid w:val="00917294"/>
    <w:rsid w:val="009204CC"/>
    <w:rsid w:val="0093415A"/>
    <w:rsid w:val="009348FD"/>
    <w:rsid w:val="00942AEB"/>
    <w:rsid w:val="00955F53"/>
    <w:rsid w:val="00956813"/>
    <w:rsid w:val="00957D28"/>
    <w:rsid w:val="009632CA"/>
    <w:rsid w:val="009649A7"/>
    <w:rsid w:val="00972E35"/>
    <w:rsid w:val="00975726"/>
    <w:rsid w:val="00981BD5"/>
    <w:rsid w:val="00984776"/>
    <w:rsid w:val="0098662B"/>
    <w:rsid w:val="00991E96"/>
    <w:rsid w:val="00991FDD"/>
    <w:rsid w:val="0099760D"/>
    <w:rsid w:val="00997872"/>
    <w:rsid w:val="00997A5A"/>
    <w:rsid w:val="009A0EF0"/>
    <w:rsid w:val="009A3D16"/>
    <w:rsid w:val="009A7526"/>
    <w:rsid w:val="009A7914"/>
    <w:rsid w:val="009B0074"/>
    <w:rsid w:val="009B2258"/>
    <w:rsid w:val="009B517E"/>
    <w:rsid w:val="009B7486"/>
    <w:rsid w:val="009B7B5F"/>
    <w:rsid w:val="009C5D65"/>
    <w:rsid w:val="009D3647"/>
    <w:rsid w:val="009D5466"/>
    <w:rsid w:val="009D7910"/>
    <w:rsid w:val="009D7BB6"/>
    <w:rsid w:val="009E4CFC"/>
    <w:rsid w:val="009F5055"/>
    <w:rsid w:val="009F7F05"/>
    <w:rsid w:val="00A00133"/>
    <w:rsid w:val="00A03A7C"/>
    <w:rsid w:val="00A26954"/>
    <w:rsid w:val="00A26964"/>
    <w:rsid w:val="00A3781C"/>
    <w:rsid w:val="00A4154A"/>
    <w:rsid w:val="00A4496D"/>
    <w:rsid w:val="00A51E16"/>
    <w:rsid w:val="00A529C5"/>
    <w:rsid w:val="00A57AAB"/>
    <w:rsid w:val="00A65DE3"/>
    <w:rsid w:val="00A675CB"/>
    <w:rsid w:val="00A7517B"/>
    <w:rsid w:val="00A77845"/>
    <w:rsid w:val="00A8160F"/>
    <w:rsid w:val="00A84A84"/>
    <w:rsid w:val="00A85BA1"/>
    <w:rsid w:val="00A90A36"/>
    <w:rsid w:val="00A93080"/>
    <w:rsid w:val="00A959F5"/>
    <w:rsid w:val="00A96D24"/>
    <w:rsid w:val="00AA163A"/>
    <w:rsid w:val="00AA5196"/>
    <w:rsid w:val="00AB191A"/>
    <w:rsid w:val="00AB4198"/>
    <w:rsid w:val="00AB4EAA"/>
    <w:rsid w:val="00AB78A7"/>
    <w:rsid w:val="00AC04B3"/>
    <w:rsid w:val="00AC295C"/>
    <w:rsid w:val="00AD4D51"/>
    <w:rsid w:val="00AD5D37"/>
    <w:rsid w:val="00AE728E"/>
    <w:rsid w:val="00B05318"/>
    <w:rsid w:val="00B064C5"/>
    <w:rsid w:val="00B2063B"/>
    <w:rsid w:val="00B25949"/>
    <w:rsid w:val="00B26FB2"/>
    <w:rsid w:val="00B42381"/>
    <w:rsid w:val="00B434C2"/>
    <w:rsid w:val="00B47967"/>
    <w:rsid w:val="00B526AB"/>
    <w:rsid w:val="00B53AE6"/>
    <w:rsid w:val="00B6102A"/>
    <w:rsid w:val="00B62E3B"/>
    <w:rsid w:val="00B64FAA"/>
    <w:rsid w:val="00B671BF"/>
    <w:rsid w:val="00B67888"/>
    <w:rsid w:val="00B76861"/>
    <w:rsid w:val="00B8037C"/>
    <w:rsid w:val="00B85C3D"/>
    <w:rsid w:val="00B93823"/>
    <w:rsid w:val="00B940F4"/>
    <w:rsid w:val="00B94D1A"/>
    <w:rsid w:val="00BA52DF"/>
    <w:rsid w:val="00BA6684"/>
    <w:rsid w:val="00BB1248"/>
    <w:rsid w:val="00BB28AB"/>
    <w:rsid w:val="00BB2E35"/>
    <w:rsid w:val="00BB3267"/>
    <w:rsid w:val="00BB6FBA"/>
    <w:rsid w:val="00BC26F5"/>
    <w:rsid w:val="00BC53CD"/>
    <w:rsid w:val="00BC74D3"/>
    <w:rsid w:val="00BC7E73"/>
    <w:rsid w:val="00BD0CF6"/>
    <w:rsid w:val="00BE493C"/>
    <w:rsid w:val="00BE6CD7"/>
    <w:rsid w:val="00BF5E26"/>
    <w:rsid w:val="00BF6F3E"/>
    <w:rsid w:val="00C011C3"/>
    <w:rsid w:val="00C04E0E"/>
    <w:rsid w:val="00C06763"/>
    <w:rsid w:val="00C11C27"/>
    <w:rsid w:val="00C14133"/>
    <w:rsid w:val="00C17BE2"/>
    <w:rsid w:val="00C204C8"/>
    <w:rsid w:val="00C2590C"/>
    <w:rsid w:val="00C268F8"/>
    <w:rsid w:val="00C32BAB"/>
    <w:rsid w:val="00C36229"/>
    <w:rsid w:val="00C36FCE"/>
    <w:rsid w:val="00C409AB"/>
    <w:rsid w:val="00C45836"/>
    <w:rsid w:val="00C47BE8"/>
    <w:rsid w:val="00C50FC5"/>
    <w:rsid w:val="00C557D8"/>
    <w:rsid w:val="00C55BC5"/>
    <w:rsid w:val="00C603D5"/>
    <w:rsid w:val="00C6500F"/>
    <w:rsid w:val="00C67D8F"/>
    <w:rsid w:val="00C76373"/>
    <w:rsid w:val="00C80189"/>
    <w:rsid w:val="00C8351D"/>
    <w:rsid w:val="00C86535"/>
    <w:rsid w:val="00C9260B"/>
    <w:rsid w:val="00C94B0E"/>
    <w:rsid w:val="00CB2680"/>
    <w:rsid w:val="00CB276C"/>
    <w:rsid w:val="00CB6384"/>
    <w:rsid w:val="00CB739D"/>
    <w:rsid w:val="00CC1251"/>
    <w:rsid w:val="00CC4E23"/>
    <w:rsid w:val="00CC7875"/>
    <w:rsid w:val="00CD353D"/>
    <w:rsid w:val="00CD3A0F"/>
    <w:rsid w:val="00CD7D32"/>
    <w:rsid w:val="00CE2597"/>
    <w:rsid w:val="00CE6D03"/>
    <w:rsid w:val="00CF048D"/>
    <w:rsid w:val="00CF328F"/>
    <w:rsid w:val="00D03041"/>
    <w:rsid w:val="00D03482"/>
    <w:rsid w:val="00D10531"/>
    <w:rsid w:val="00D11810"/>
    <w:rsid w:val="00D15031"/>
    <w:rsid w:val="00D24F09"/>
    <w:rsid w:val="00D25422"/>
    <w:rsid w:val="00D268BE"/>
    <w:rsid w:val="00D32ABC"/>
    <w:rsid w:val="00D43E8D"/>
    <w:rsid w:val="00D538E3"/>
    <w:rsid w:val="00D55BEB"/>
    <w:rsid w:val="00D569D2"/>
    <w:rsid w:val="00D57C05"/>
    <w:rsid w:val="00D669FB"/>
    <w:rsid w:val="00D66FED"/>
    <w:rsid w:val="00D6719B"/>
    <w:rsid w:val="00D71E31"/>
    <w:rsid w:val="00D72C5F"/>
    <w:rsid w:val="00D86B5A"/>
    <w:rsid w:val="00D87BC8"/>
    <w:rsid w:val="00D92F9A"/>
    <w:rsid w:val="00D933A2"/>
    <w:rsid w:val="00D9343A"/>
    <w:rsid w:val="00D96E0C"/>
    <w:rsid w:val="00DA22F4"/>
    <w:rsid w:val="00DA3F76"/>
    <w:rsid w:val="00DA417B"/>
    <w:rsid w:val="00DA4FD6"/>
    <w:rsid w:val="00DA7781"/>
    <w:rsid w:val="00DB002D"/>
    <w:rsid w:val="00DB36B7"/>
    <w:rsid w:val="00DB45BE"/>
    <w:rsid w:val="00DB50AC"/>
    <w:rsid w:val="00DC486D"/>
    <w:rsid w:val="00DC781C"/>
    <w:rsid w:val="00DD7007"/>
    <w:rsid w:val="00DE18BF"/>
    <w:rsid w:val="00DE32BC"/>
    <w:rsid w:val="00DE3CEB"/>
    <w:rsid w:val="00DF6957"/>
    <w:rsid w:val="00E035F9"/>
    <w:rsid w:val="00E03F78"/>
    <w:rsid w:val="00E06080"/>
    <w:rsid w:val="00E06FB0"/>
    <w:rsid w:val="00E1502F"/>
    <w:rsid w:val="00E25596"/>
    <w:rsid w:val="00E25760"/>
    <w:rsid w:val="00E46E6A"/>
    <w:rsid w:val="00E50259"/>
    <w:rsid w:val="00E603B3"/>
    <w:rsid w:val="00E6111F"/>
    <w:rsid w:val="00E72774"/>
    <w:rsid w:val="00E824A0"/>
    <w:rsid w:val="00E8493B"/>
    <w:rsid w:val="00E92E7A"/>
    <w:rsid w:val="00E952A0"/>
    <w:rsid w:val="00E96C66"/>
    <w:rsid w:val="00EA19AB"/>
    <w:rsid w:val="00EB35C6"/>
    <w:rsid w:val="00EB6297"/>
    <w:rsid w:val="00EB7F40"/>
    <w:rsid w:val="00EC1115"/>
    <w:rsid w:val="00EC306E"/>
    <w:rsid w:val="00EC52E0"/>
    <w:rsid w:val="00ED17D8"/>
    <w:rsid w:val="00EE0FB3"/>
    <w:rsid w:val="00EF06E0"/>
    <w:rsid w:val="00EF4E19"/>
    <w:rsid w:val="00EF611A"/>
    <w:rsid w:val="00EF6140"/>
    <w:rsid w:val="00F03954"/>
    <w:rsid w:val="00F0591B"/>
    <w:rsid w:val="00F078A7"/>
    <w:rsid w:val="00F11C75"/>
    <w:rsid w:val="00F127DE"/>
    <w:rsid w:val="00F13536"/>
    <w:rsid w:val="00F224D0"/>
    <w:rsid w:val="00F23F43"/>
    <w:rsid w:val="00F25F29"/>
    <w:rsid w:val="00F304EB"/>
    <w:rsid w:val="00F42F2D"/>
    <w:rsid w:val="00F6393B"/>
    <w:rsid w:val="00F66ADB"/>
    <w:rsid w:val="00F67FE2"/>
    <w:rsid w:val="00F776D2"/>
    <w:rsid w:val="00F818F3"/>
    <w:rsid w:val="00F8367D"/>
    <w:rsid w:val="00F85CA6"/>
    <w:rsid w:val="00F87721"/>
    <w:rsid w:val="00F90B5E"/>
    <w:rsid w:val="00F94B71"/>
    <w:rsid w:val="00FA2F7D"/>
    <w:rsid w:val="00FA561F"/>
    <w:rsid w:val="00FB7710"/>
    <w:rsid w:val="00FC2191"/>
    <w:rsid w:val="00FC70DE"/>
    <w:rsid w:val="00FC7DC5"/>
    <w:rsid w:val="00FD0D18"/>
    <w:rsid w:val="00FD1DDC"/>
    <w:rsid w:val="00FD2A65"/>
    <w:rsid w:val="00FD5DE8"/>
    <w:rsid w:val="00FE1C66"/>
    <w:rsid w:val="00FE37A3"/>
    <w:rsid w:val="00FE39D3"/>
    <w:rsid w:val="00FE3C35"/>
    <w:rsid w:val="00FE5FEC"/>
    <w:rsid w:val="00FE762D"/>
    <w:rsid w:val="00FF0BFB"/>
    <w:rsid w:val="00FF5A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D7"/>
    <w:pPr>
      <w:spacing w:after="120"/>
    </w:pPr>
    <w:rPr>
      <w:sz w:val="20"/>
    </w:rPr>
  </w:style>
  <w:style w:type="paragraph" w:styleId="Heading1">
    <w:name w:val="heading 1"/>
    <w:basedOn w:val="Normal"/>
    <w:next w:val="Normal"/>
    <w:link w:val="Heading1Char"/>
    <w:uiPriority w:val="9"/>
    <w:qFormat/>
    <w:rsid w:val="003B5DEB"/>
    <w:pPr>
      <w:keepNext/>
      <w:keepLines/>
      <w:spacing w:before="480" w:after="0"/>
      <w:outlineLvl w:val="0"/>
    </w:pPr>
    <w:rPr>
      <w:rFonts w:asciiTheme="majorHAnsi" w:eastAsiaTheme="majorEastAsia" w:hAnsiTheme="majorHAnsi" w:cstheme="majorBidi"/>
      <w:b/>
      <w:bCs/>
      <w:color w:val="9B3318" w:themeColor="accent1" w:themeShade="BF"/>
      <w:sz w:val="28"/>
      <w:szCs w:val="28"/>
    </w:rPr>
  </w:style>
  <w:style w:type="paragraph" w:styleId="Heading2">
    <w:name w:val="heading 2"/>
    <w:basedOn w:val="Normal"/>
    <w:next w:val="Normal"/>
    <w:link w:val="Heading2Char"/>
    <w:uiPriority w:val="9"/>
    <w:unhideWhenUsed/>
    <w:qFormat/>
    <w:rsid w:val="003B5DEB"/>
    <w:pPr>
      <w:keepNext/>
      <w:keepLines/>
      <w:spacing w:before="200" w:after="0"/>
      <w:outlineLvl w:val="1"/>
    </w:pPr>
    <w:rPr>
      <w:rFonts w:asciiTheme="majorHAnsi" w:eastAsiaTheme="majorEastAsia" w:hAnsiTheme="majorHAnsi" w:cstheme="majorBidi"/>
      <w:b/>
      <w:bCs/>
      <w:color w:val="CF4520" w:themeColor="accent1"/>
      <w:sz w:val="26"/>
      <w:szCs w:val="26"/>
    </w:rPr>
  </w:style>
  <w:style w:type="paragraph" w:styleId="Heading3">
    <w:name w:val="heading 3"/>
    <w:basedOn w:val="Normal"/>
    <w:next w:val="Normal"/>
    <w:link w:val="Heading3Char"/>
    <w:uiPriority w:val="9"/>
    <w:unhideWhenUsed/>
    <w:qFormat/>
    <w:rsid w:val="00B42381"/>
    <w:pPr>
      <w:keepNext/>
      <w:keepLines/>
      <w:spacing w:before="200"/>
      <w:outlineLvl w:val="2"/>
    </w:pPr>
    <w:rPr>
      <w:rFonts w:asciiTheme="majorHAnsi" w:eastAsiaTheme="majorEastAsia" w:hAnsiTheme="majorHAnsi" w:cstheme="majorBidi"/>
      <w:b/>
      <w:bCs/>
      <w:color w:val="CF4520" w:themeColor="accent1"/>
    </w:rPr>
  </w:style>
  <w:style w:type="paragraph" w:styleId="Heading4">
    <w:name w:val="heading 4"/>
    <w:basedOn w:val="Heading5"/>
    <w:next w:val="Normal"/>
    <w:link w:val="Heading4Char"/>
    <w:uiPriority w:val="9"/>
    <w:unhideWhenUsed/>
    <w:qFormat/>
    <w:rsid w:val="005F0184"/>
    <w:pPr>
      <w:outlineLvl w:val="3"/>
    </w:pPr>
  </w:style>
  <w:style w:type="paragraph" w:styleId="Heading5">
    <w:name w:val="heading 5"/>
    <w:basedOn w:val="Normal"/>
    <w:next w:val="Normal"/>
    <w:link w:val="Heading5Char"/>
    <w:uiPriority w:val="9"/>
    <w:unhideWhenUsed/>
    <w:qFormat/>
    <w:rsid w:val="008F4913"/>
    <w:pPr>
      <w:keepNext/>
      <w:keepLines/>
      <w:spacing w:before="200"/>
      <w:outlineLvl w:val="4"/>
    </w:pPr>
    <w:rPr>
      <w:rFonts w:asciiTheme="majorHAnsi" w:eastAsiaTheme="majorEastAsia" w:hAnsiTheme="majorHAnsi" w:cstheme="majorBidi"/>
      <w:b/>
      <w:color w:val="672210" w:themeColor="accent1" w:themeShade="7F"/>
    </w:rPr>
  </w:style>
  <w:style w:type="paragraph" w:styleId="Heading6">
    <w:name w:val="heading 6"/>
    <w:basedOn w:val="Normal"/>
    <w:next w:val="Normal"/>
    <w:link w:val="Heading6Char"/>
    <w:uiPriority w:val="9"/>
    <w:unhideWhenUsed/>
    <w:qFormat/>
    <w:rsid w:val="00F42F2D"/>
    <w:pPr>
      <w:keepNext/>
      <w:keepLines/>
      <w:spacing w:before="200" w:after="0"/>
      <w:outlineLvl w:val="5"/>
    </w:pPr>
    <w:rPr>
      <w:rFonts w:asciiTheme="majorHAnsi" w:eastAsiaTheme="majorEastAsia" w:hAnsiTheme="majorHAnsi" w:cstheme="majorBidi"/>
      <w:i/>
      <w:iCs/>
      <w:color w:val="67221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DEB"/>
    <w:pPr>
      <w:spacing w:after="0" w:line="240" w:lineRule="auto"/>
    </w:pPr>
  </w:style>
  <w:style w:type="character" w:customStyle="1" w:styleId="Heading1Char">
    <w:name w:val="Heading 1 Char"/>
    <w:basedOn w:val="DefaultParagraphFont"/>
    <w:link w:val="Heading1"/>
    <w:uiPriority w:val="9"/>
    <w:rsid w:val="003B5DEB"/>
    <w:rPr>
      <w:rFonts w:asciiTheme="majorHAnsi" w:eastAsiaTheme="majorEastAsia" w:hAnsiTheme="majorHAnsi" w:cstheme="majorBidi"/>
      <w:b/>
      <w:bCs/>
      <w:color w:val="9B3318" w:themeColor="accent1" w:themeShade="BF"/>
      <w:sz w:val="28"/>
      <w:szCs w:val="28"/>
    </w:rPr>
  </w:style>
  <w:style w:type="character" w:customStyle="1" w:styleId="Heading2Char">
    <w:name w:val="Heading 2 Char"/>
    <w:basedOn w:val="DefaultParagraphFont"/>
    <w:link w:val="Heading2"/>
    <w:uiPriority w:val="9"/>
    <w:rsid w:val="003B5DEB"/>
    <w:rPr>
      <w:rFonts w:asciiTheme="majorHAnsi" w:eastAsiaTheme="majorEastAsia" w:hAnsiTheme="majorHAnsi" w:cstheme="majorBidi"/>
      <w:b/>
      <w:bCs/>
      <w:color w:val="CF4520" w:themeColor="accent1"/>
      <w:sz w:val="26"/>
      <w:szCs w:val="26"/>
    </w:rPr>
  </w:style>
  <w:style w:type="paragraph" w:styleId="Title">
    <w:name w:val="Title"/>
    <w:basedOn w:val="Normal"/>
    <w:next w:val="Normal"/>
    <w:link w:val="TitleChar"/>
    <w:uiPriority w:val="10"/>
    <w:qFormat/>
    <w:rsid w:val="0093415A"/>
    <w:pPr>
      <w:spacing w:after="0" w:line="240" w:lineRule="auto"/>
      <w:contextualSpacing/>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93415A"/>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3B5DEB"/>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3B5DEB"/>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3B5DEB"/>
    <w:rPr>
      <w:i/>
      <w:iCs/>
    </w:rPr>
  </w:style>
  <w:style w:type="character" w:styleId="Strong">
    <w:name w:val="Strong"/>
    <w:basedOn w:val="DefaultParagraphFont"/>
    <w:uiPriority w:val="22"/>
    <w:qFormat/>
    <w:rsid w:val="003B5DEB"/>
    <w:rPr>
      <w:b/>
      <w:bCs/>
    </w:rPr>
  </w:style>
  <w:style w:type="character" w:styleId="Hyperlink">
    <w:name w:val="Hyperlink"/>
    <w:basedOn w:val="DefaultParagraphFont"/>
    <w:uiPriority w:val="99"/>
    <w:unhideWhenUsed/>
    <w:rsid w:val="003B5DEB"/>
    <w:rPr>
      <w:color w:val="005677" w:themeColor="hyperlink"/>
      <w:u w:val="single"/>
    </w:rPr>
  </w:style>
  <w:style w:type="character" w:customStyle="1" w:styleId="Heading3Char">
    <w:name w:val="Heading 3 Char"/>
    <w:basedOn w:val="DefaultParagraphFont"/>
    <w:link w:val="Heading3"/>
    <w:uiPriority w:val="9"/>
    <w:rsid w:val="00B42381"/>
    <w:rPr>
      <w:rFonts w:asciiTheme="majorHAnsi" w:eastAsiaTheme="majorEastAsia" w:hAnsiTheme="majorHAnsi" w:cstheme="majorBidi"/>
      <w:b/>
      <w:bCs/>
      <w:color w:val="CF4520" w:themeColor="accent1"/>
      <w:sz w:val="20"/>
    </w:rPr>
  </w:style>
  <w:style w:type="character" w:customStyle="1" w:styleId="Heading4Char">
    <w:name w:val="Heading 4 Char"/>
    <w:basedOn w:val="DefaultParagraphFont"/>
    <w:link w:val="Heading4"/>
    <w:uiPriority w:val="9"/>
    <w:rsid w:val="005F0184"/>
    <w:rPr>
      <w:rFonts w:asciiTheme="majorHAnsi" w:eastAsiaTheme="majorEastAsia" w:hAnsiTheme="majorHAnsi" w:cstheme="majorBidi"/>
      <w:b/>
      <w:color w:val="672210" w:themeColor="accent1" w:themeShade="7F"/>
      <w:sz w:val="20"/>
    </w:rPr>
  </w:style>
  <w:style w:type="character" w:customStyle="1" w:styleId="Heading5Char">
    <w:name w:val="Heading 5 Char"/>
    <w:basedOn w:val="DefaultParagraphFont"/>
    <w:link w:val="Heading5"/>
    <w:uiPriority w:val="9"/>
    <w:rsid w:val="008F4913"/>
    <w:rPr>
      <w:rFonts w:asciiTheme="majorHAnsi" w:eastAsiaTheme="majorEastAsia" w:hAnsiTheme="majorHAnsi" w:cstheme="majorBidi"/>
      <w:b/>
      <w:color w:val="672210" w:themeColor="accent1" w:themeShade="7F"/>
      <w:sz w:val="20"/>
    </w:rPr>
  </w:style>
  <w:style w:type="table" w:styleId="TableGrid">
    <w:name w:val="Table Grid"/>
    <w:basedOn w:val="TableNormal"/>
    <w:rsid w:val="003B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B5DEB"/>
    <w:pPr>
      <w:spacing w:after="0" w:line="240" w:lineRule="auto"/>
    </w:pPr>
    <w:tblPr>
      <w:tblStyleRowBandSize w:val="1"/>
      <w:tblStyleColBandSize w:val="1"/>
      <w:tblBorders>
        <w:top w:val="single" w:sz="8" w:space="0" w:color="CF4520" w:themeColor="accent1"/>
        <w:left w:val="single" w:sz="8" w:space="0" w:color="CF4520" w:themeColor="accent1"/>
        <w:bottom w:val="single" w:sz="8" w:space="0" w:color="CF4520" w:themeColor="accent1"/>
        <w:right w:val="single" w:sz="8" w:space="0" w:color="CF4520" w:themeColor="accent1"/>
      </w:tblBorders>
    </w:tblPr>
    <w:tblStylePr w:type="firstRow">
      <w:pPr>
        <w:spacing w:before="0" w:after="0" w:line="240" w:lineRule="auto"/>
      </w:pPr>
      <w:rPr>
        <w:b/>
        <w:bCs/>
        <w:color w:val="FFFFFF" w:themeColor="background1"/>
      </w:rPr>
      <w:tblPr/>
      <w:tcPr>
        <w:shd w:val="clear" w:color="auto" w:fill="CF4520" w:themeFill="accent1"/>
      </w:tcPr>
    </w:tblStylePr>
    <w:tblStylePr w:type="lastRow">
      <w:pPr>
        <w:spacing w:before="0" w:after="0" w:line="240" w:lineRule="auto"/>
      </w:pPr>
      <w:rPr>
        <w:b/>
        <w:bCs/>
      </w:rPr>
      <w:tblPr/>
      <w:tcPr>
        <w:tcBorders>
          <w:top w:val="double" w:sz="6" w:space="0" w:color="CF4520" w:themeColor="accent1"/>
          <w:left w:val="single" w:sz="8" w:space="0" w:color="CF4520" w:themeColor="accent1"/>
          <w:bottom w:val="single" w:sz="8" w:space="0" w:color="CF4520" w:themeColor="accent1"/>
          <w:right w:val="single" w:sz="8" w:space="0" w:color="CF4520" w:themeColor="accent1"/>
        </w:tcBorders>
      </w:tcPr>
    </w:tblStylePr>
    <w:tblStylePr w:type="firstCol">
      <w:rPr>
        <w:b/>
        <w:bCs/>
      </w:rPr>
    </w:tblStylePr>
    <w:tblStylePr w:type="lastCol">
      <w:rPr>
        <w:b/>
        <w:bCs/>
      </w:rPr>
    </w:tblStylePr>
    <w:tblStylePr w:type="band1Vert">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tblStylePr w:type="band1Horz">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style>
  <w:style w:type="table" w:styleId="LightList-Accent2">
    <w:name w:val="Light List Accent 2"/>
    <w:basedOn w:val="TableNormal"/>
    <w:uiPriority w:val="61"/>
    <w:rsid w:val="003B5DEB"/>
    <w:pPr>
      <w:spacing w:after="0" w:line="240" w:lineRule="auto"/>
    </w:pPr>
    <w:tblPr>
      <w:tblStyleRowBandSize w:val="1"/>
      <w:tblStyleColBandSize w:val="1"/>
      <w:tblBorders>
        <w:top w:val="single" w:sz="8" w:space="0" w:color="963821" w:themeColor="accent2"/>
        <w:left w:val="single" w:sz="8" w:space="0" w:color="963821" w:themeColor="accent2"/>
        <w:bottom w:val="single" w:sz="8" w:space="0" w:color="963821" w:themeColor="accent2"/>
        <w:right w:val="single" w:sz="8" w:space="0" w:color="963821" w:themeColor="accent2"/>
      </w:tblBorders>
    </w:tblPr>
    <w:tblStylePr w:type="firstRow">
      <w:pPr>
        <w:spacing w:before="0" w:after="0" w:line="240" w:lineRule="auto"/>
      </w:pPr>
      <w:rPr>
        <w:b/>
        <w:bCs/>
        <w:color w:val="FFFFFF" w:themeColor="background1"/>
      </w:rPr>
      <w:tblPr/>
      <w:tcPr>
        <w:shd w:val="clear" w:color="auto" w:fill="963821" w:themeFill="accent2"/>
      </w:tcPr>
    </w:tblStylePr>
    <w:tblStylePr w:type="lastRow">
      <w:pPr>
        <w:spacing w:before="0" w:after="0" w:line="240" w:lineRule="auto"/>
      </w:pPr>
      <w:rPr>
        <w:b/>
        <w:bCs/>
      </w:rPr>
      <w:tblPr/>
      <w:tcPr>
        <w:tcBorders>
          <w:top w:val="double" w:sz="6" w:space="0" w:color="963821" w:themeColor="accent2"/>
          <w:left w:val="single" w:sz="8" w:space="0" w:color="963821" w:themeColor="accent2"/>
          <w:bottom w:val="single" w:sz="8" w:space="0" w:color="963821" w:themeColor="accent2"/>
          <w:right w:val="single" w:sz="8" w:space="0" w:color="963821" w:themeColor="accent2"/>
        </w:tcBorders>
      </w:tcPr>
    </w:tblStylePr>
    <w:tblStylePr w:type="firstCol">
      <w:rPr>
        <w:b/>
        <w:bCs/>
      </w:rPr>
    </w:tblStylePr>
    <w:tblStylePr w:type="lastCol">
      <w:rPr>
        <w:b/>
        <w:bCs/>
      </w:rPr>
    </w:tblStylePr>
    <w:tblStylePr w:type="band1Vert">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tblStylePr w:type="band1Horz">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style>
  <w:style w:type="table" w:styleId="LightList-Accent3">
    <w:name w:val="Light List Accent 3"/>
    <w:basedOn w:val="TableNormal"/>
    <w:uiPriority w:val="61"/>
    <w:rsid w:val="003B5DEB"/>
    <w:pPr>
      <w:spacing w:after="0" w:line="240" w:lineRule="auto"/>
    </w:pPr>
    <w:tblPr>
      <w:tblStyleRowBandSize w:val="1"/>
      <w:tblStyleColBandSize w:val="1"/>
      <w:tblBorders>
        <w:top w:val="single" w:sz="8" w:space="0" w:color="E5B13D" w:themeColor="accent3"/>
        <w:left w:val="single" w:sz="8" w:space="0" w:color="E5B13D" w:themeColor="accent3"/>
        <w:bottom w:val="single" w:sz="8" w:space="0" w:color="E5B13D" w:themeColor="accent3"/>
        <w:right w:val="single" w:sz="8" w:space="0" w:color="E5B13D" w:themeColor="accent3"/>
      </w:tblBorders>
    </w:tblPr>
    <w:tblStylePr w:type="firstRow">
      <w:pPr>
        <w:spacing w:before="0" w:after="0" w:line="240" w:lineRule="auto"/>
      </w:pPr>
      <w:rPr>
        <w:b/>
        <w:bCs/>
        <w:color w:val="FFFFFF" w:themeColor="background1"/>
      </w:rPr>
      <w:tblPr/>
      <w:tcPr>
        <w:shd w:val="clear" w:color="auto" w:fill="E5B13D" w:themeFill="accent3"/>
      </w:tcPr>
    </w:tblStylePr>
    <w:tblStylePr w:type="lastRow">
      <w:pPr>
        <w:spacing w:before="0" w:after="0" w:line="240" w:lineRule="auto"/>
      </w:pPr>
      <w:rPr>
        <w:b/>
        <w:bCs/>
      </w:rPr>
      <w:tblPr/>
      <w:tcPr>
        <w:tcBorders>
          <w:top w:val="double" w:sz="6" w:space="0" w:color="E5B13D" w:themeColor="accent3"/>
          <w:left w:val="single" w:sz="8" w:space="0" w:color="E5B13D" w:themeColor="accent3"/>
          <w:bottom w:val="single" w:sz="8" w:space="0" w:color="E5B13D" w:themeColor="accent3"/>
          <w:right w:val="single" w:sz="8" w:space="0" w:color="E5B13D" w:themeColor="accent3"/>
        </w:tcBorders>
      </w:tcPr>
    </w:tblStylePr>
    <w:tblStylePr w:type="firstCol">
      <w:rPr>
        <w:b/>
        <w:bCs/>
      </w:rPr>
    </w:tblStylePr>
    <w:tblStylePr w:type="lastCol">
      <w:rPr>
        <w:b/>
        <w:bCs/>
      </w:rPr>
    </w:tblStylePr>
    <w:tblStylePr w:type="band1Vert">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tblStylePr w:type="band1Horz">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style>
  <w:style w:type="table" w:styleId="LightList-Accent4">
    <w:name w:val="Light List Accent 4"/>
    <w:basedOn w:val="TableNormal"/>
    <w:uiPriority w:val="61"/>
    <w:rsid w:val="003B5DEB"/>
    <w:pPr>
      <w:spacing w:after="0" w:line="240" w:lineRule="auto"/>
    </w:pPr>
    <w:tblPr>
      <w:tblStyleRowBandSize w:val="1"/>
      <w:tblStyleColBandSize w:val="1"/>
      <w:tblBorders>
        <w:top w:val="single" w:sz="8" w:space="0" w:color="71CC98" w:themeColor="accent4"/>
        <w:left w:val="single" w:sz="8" w:space="0" w:color="71CC98" w:themeColor="accent4"/>
        <w:bottom w:val="single" w:sz="8" w:space="0" w:color="71CC98" w:themeColor="accent4"/>
        <w:right w:val="single" w:sz="8" w:space="0" w:color="71CC98" w:themeColor="accent4"/>
      </w:tblBorders>
    </w:tblPr>
    <w:tblStylePr w:type="firstRow">
      <w:pPr>
        <w:spacing w:before="0" w:after="0" w:line="240" w:lineRule="auto"/>
      </w:pPr>
      <w:rPr>
        <w:b/>
        <w:bCs/>
        <w:color w:val="FFFFFF" w:themeColor="background1"/>
      </w:rPr>
      <w:tblPr/>
      <w:tcPr>
        <w:shd w:val="clear" w:color="auto" w:fill="71CC98" w:themeFill="accent4"/>
      </w:tcPr>
    </w:tblStylePr>
    <w:tblStylePr w:type="lastRow">
      <w:pPr>
        <w:spacing w:before="0" w:after="0" w:line="240" w:lineRule="auto"/>
      </w:pPr>
      <w:rPr>
        <w:b/>
        <w:bCs/>
      </w:rPr>
      <w:tblPr/>
      <w:tcPr>
        <w:tcBorders>
          <w:top w:val="double" w:sz="6" w:space="0" w:color="71CC98" w:themeColor="accent4"/>
          <w:left w:val="single" w:sz="8" w:space="0" w:color="71CC98" w:themeColor="accent4"/>
          <w:bottom w:val="single" w:sz="8" w:space="0" w:color="71CC98" w:themeColor="accent4"/>
          <w:right w:val="single" w:sz="8" w:space="0" w:color="71CC98" w:themeColor="accent4"/>
        </w:tcBorders>
      </w:tcPr>
    </w:tblStylePr>
    <w:tblStylePr w:type="firstCol">
      <w:rPr>
        <w:b/>
        <w:bCs/>
      </w:rPr>
    </w:tblStylePr>
    <w:tblStylePr w:type="lastCol">
      <w:rPr>
        <w:b/>
        <w:bCs/>
      </w:rPr>
    </w:tblStylePr>
    <w:tblStylePr w:type="band1Vert">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tblStylePr w:type="band1Horz">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style>
  <w:style w:type="table" w:customStyle="1" w:styleId="Style1">
    <w:name w:val="Style1"/>
    <w:basedOn w:val="TableNormal"/>
    <w:uiPriority w:val="99"/>
    <w:rsid w:val="003B5DEB"/>
    <w:pPr>
      <w:spacing w:after="0" w:line="240" w:lineRule="auto"/>
    </w:pPr>
    <w:rPr>
      <w:rFonts w:ascii="Arial" w:hAnsi="Arial"/>
      <w:color w:val="000000" w:themeColor="text1"/>
      <w:sz w:val="20"/>
    </w:rPr>
    <w:tblPr>
      <w:tblBorders>
        <w:bottom w:val="single" w:sz="2" w:space="0" w:color="CF4520" w:themeColor="accent1"/>
        <w:insideH w:val="single" w:sz="2" w:space="0" w:color="CF4520"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CF4520"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3B5DEB"/>
    <w:pPr>
      <w:spacing w:before="0" w:after="240"/>
      <w:outlineLvl w:val="9"/>
    </w:pPr>
    <w:rPr>
      <w:lang w:val="en-US" w:eastAsia="ja-JP"/>
    </w:rPr>
  </w:style>
  <w:style w:type="paragraph" w:styleId="TOC1">
    <w:name w:val="toc 1"/>
    <w:basedOn w:val="Normal"/>
    <w:next w:val="Normal"/>
    <w:autoRedefine/>
    <w:uiPriority w:val="39"/>
    <w:unhideWhenUsed/>
    <w:qFormat/>
    <w:rsid w:val="006E2F4D"/>
    <w:pPr>
      <w:spacing w:after="100"/>
    </w:pPr>
  </w:style>
  <w:style w:type="paragraph" w:styleId="TOC2">
    <w:name w:val="toc 2"/>
    <w:basedOn w:val="Normal"/>
    <w:next w:val="Normal"/>
    <w:autoRedefine/>
    <w:uiPriority w:val="39"/>
    <w:unhideWhenUsed/>
    <w:qFormat/>
    <w:rsid w:val="003B5DEB"/>
    <w:pPr>
      <w:spacing w:after="100"/>
      <w:ind w:left="200"/>
    </w:pPr>
    <w:rPr>
      <w:color w:val="58595B" w:themeColor="text2"/>
    </w:rPr>
  </w:style>
  <w:style w:type="paragraph" w:styleId="TOC3">
    <w:name w:val="toc 3"/>
    <w:basedOn w:val="Normal"/>
    <w:next w:val="Normal"/>
    <w:autoRedefine/>
    <w:uiPriority w:val="39"/>
    <w:unhideWhenUsed/>
    <w:qFormat/>
    <w:rsid w:val="003B5DEB"/>
    <w:pPr>
      <w:spacing w:after="100"/>
      <w:ind w:left="400"/>
    </w:pPr>
  </w:style>
  <w:style w:type="paragraph" w:styleId="BalloonText">
    <w:name w:val="Balloon Text"/>
    <w:basedOn w:val="Normal"/>
    <w:link w:val="BalloonTextChar"/>
    <w:uiPriority w:val="99"/>
    <w:semiHidden/>
    <w:unhideWhenUsed/>
    <w:rsid w:val="003B5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DEB"/>
    <w:rPr>
      <w:rFonts w:ascii="Tahoma" w:hAnsi="Tahoma" w:cs="Tahoma"/>
      <w:sz w:val="16"/>
      <w:szCs w:val="16"/>
    </w:rPr>
  </w:style>
  <w:style w:type="paragraph" w:styleId="ListBullet">
    <w:name w:val="List Bullet"/>
    <w:basedOn w:val="Normal"/>
    <w:uiPriority w:val="99"/>
    <w:unhideWhenUsed/>
    <w:rsid w:val="003B5DEB"/>
    <w:pPr>
      <w:numPr>
        <w:numId w:val="11"/>
      </w:numPr>
      <w:contextualSpacing/>
    </w:pPr>
  </w:style>
  <w:style w:type="paragraph" w:styleId="ListBullet2">
    <w:name w:val="List Bullet 2"/>
    <w:basedOn w:val="Normal"/>
    <w:uiPriority w:val="99"/>
    <w:unhideWhenUsed/>
    <w:rsid w:val="003B5DEB"/>
    <w:pPr>
      <w:numPr>
        <w:numId w:val="12"/>
      </w:numPr>
      <w:contextualSpacing/>
    </w:pPr>
  </w:style>
  <w:style w:type="paragraph" w:styleId="Quote">
    <w:name w:val="Quote"/>
    <w:basedOn w:val="Normal"/>
    <w:next w:val="Normal"/>
    <w:link w:val="QuoteChar"/>
    <w:uiPriority w:val="29"/>
    <w:qFormat/>
    <w:rsid w:val="003B5DEB"/>
    <w:pPr>
      <w:pBdr>
        <w:top w:val="single" w:sz="4" w:space="1" w:color="E5B13D" w:themeColor="accent3"/>
        <w:bottom w:val="single" w:sz="4" w:space="1" w:color="E5B13D" w:themeColor="accent3"/>
      </w:pBdr>
      <w:spacing w:before="240" w:after="240"/>
    </w:pPr>
    <w:rPr>
      <w:i/>
      <w:iCs/>
      <w:color w:val="CF4520" w:themeColor="accent1"/>
      <w:sz w:val="24"/>
    </w:rPr>
  </w:style>
  <w:style w:type="character" w:customStyle="1" w:styleId="QuoteChar">
    <w:name w:val="Quote Char"/>
    <w:basedOn w:val="DefaultParagraphFont"/>
    <w:link w:val="Quote"/>
    <w:uiPriority w:val="29"/>
    <w:rsid w:val="003B5DEB"/>
    <w:rPr>
      <w:i/>
      <w:iCs/>
      <w:color w:val="CF4520" w:themeColor="accent1"/>
      <w:sz w:val="24"/>
    </w:rPr>
  </w:style>
  <w:style w:type="character" w:styleId="SubtleEmphasis">
    <w:name w:val="Subtle Emphasis"/>
    <w:basedOn w:val="DefaultParagraphFont"/>
    <w:uiPriority w:val="19"/>
    <w:rsid w:val="003B5DEB"/>
    <w:rPr>
      <w:i/>
      <w:iCs/>
      <w:color w:val="808080" w:themeColor="text1" w:themeTint="7F"/>
      <w:sz w:val="28"/>
    </w:rPr>
  </w:style>
  <w:style w:type="character" w:styleId="IntenseEmphasis">
    <w:name w:val="Intense Emphasis"/>
    <w:basedOn w:val="DefaultParagraphFont"/>
    <w:uiPriority w:val="21"/>
    <w:qFormat/>
    <w:rsid w:val="003B5DEB"/>
    <w:rPr>
      <w:b/>
      <w:bCs/>
      <w:i/>
      <w:iCs/>
      <w:color w:val="CF4520" w:themeColor="accent1"/>
    </w:rPr>
  </w:style>
  <w:style w:type="paragraph" w:styleId="Caption">
    <w:name w:val="caption"/>
    <w:basedOn w:val="Normal"/>
    <w:next w:val="Normal"/>
    <w:uiPriority w:val="35"/>
    <w:unhideWhenUsed/>
    <w:qFormat/>
    <w:rsid w:val="003B5DEB"/>
    <w:pPr>
      <w:spacing w:after="360" w:line="240" w:lineRule="auto"/>
    </w:pPr>
    <w:rPr>
      <w:bCs/>
      <w:color w:val="CF4520" w:themeColor="accent1"/>
      <w:sz w:val="18"/>
      <w:szCs w:val="18"/>
    </w:rPr>
  </w:style>
  <w:style w:type="character" w:customStyle="1" w:styleId="Tabletitle">
    <w:name w:val="Table title"/>
    <w:basedOn w:val="DefaultParagraphFont"/>
    <w:uiPriority w:val="1"/>
    <w:qFormat/>
    <w:rsid w:val="003B5DEB"/>
    <w:rPr>
      <w:b/>
      <w:color w:val="CF4520" w:themeColor="accent1"/>
    </w:rPr>
  </w:style>
  <w:style w:type="character" w:customStyle="1" w:styleId="Figuretitle">
    <w:name w:val="Figure title"/>
    <w:basedOn w:val="Tabletitle"/>
    <w:uiPriority w:val="1"/>
    <w:qFormat/>
    <w:rsid w:val="003B5DEB"/>
    <w:rPr>
      <w:b/>
      <w:color w:val="CF4520" w:themeColor="accent1"/>
    </w:rPr>
  </w:style>
  <w:style w:type="paragraph" w:customStyle="1" w:styleId="Credit">
    <w:name w:val="Credit"/>
    <w:basedOn w:val="Caption"/>
    <w:qFormat/>
    <w:rsid w:val="003B5DEB"/>
    <w:rPr>
      <w:color w:val="58595B" w:themeColor="text2"/>
    </w:rPr>
  </w:style>
  <w:style w:type="paragraph" w:styleId="EndnoteText">
    <w:name w:val="endnote text"/>
    <w:basedOn w:val="Normal"/>
    <w:link w:val="EndnoteTextChar"/>
    <w:uiPriority w:val="99"/>
    <w:semiHidden/>
    <w:unhideWhenUsed/>
    <w:rsid w:val="003B5DEB"/>
    <w:pPr>
      <w:spacing w:after="0" w:line="240" w:lineRule="auto"/>
    </w:pPr>
    <w:rPr>
      <w:szCs w:val="20"/>
    </w:rPr>
  </w:style>
  <w:style w:type="character" w:customStyle="1" w:styleId="EndnoteTextChar">
    <w:name w:val="Endnote Text Char"/>
    <w:basedOn w:val="DefaultParagraphFont"/>
    <w:link w:val="EndnoteText"/>
    <w:uiPriority w:val="99"/>
    <w:semiHidden/>
    <w:rsid w:val="003B5DEB"/>
    <w:rPr>
      <w:sz w:val="20"/>
      <w:szCs w:val="20"/>
    </w:rPr>
  </w:style>
  <w:style w:type="character" w:styleId="EndnoteReference">
    <w:name w:val="endnote reference"/>
    <w:basedOn w:val="DefaultParagraphFont"/>
    <w:uiPriority w:val="99"/>
    <w:semiHidden/>
    <w:unhideWhenUsed/>
    <w:rsid w:val="003B5DEB"/>
    <w:rPr>
      <w:vertAlign w:val="superscript"/>
    </w:rPr>
  </w:style>
  <w:style w:type="paragraph" w:styleId="FootnoteText">
    <w:name w:val="footnote text"/>
    <w:aliases w:val="NG - Footnote"/>
    <w:basedOn w:val="Normal"/>
    <w:link w:val="FootnoteTextChar"/>
    <w:unhideWhenUsed/>
    <w:rsid w:val="003B5DEB"/>
    <w:pPr>
      <w:spacing w:after="60" w:line="240" w:lineRule="auto"/>
    </w:pPr>
    <w:rPr>
      <w:sz w:val="16"/>
      <w:szCs w:val="20"/>
    </w:rPr>
  </w:style>
  <w:style w:type="character" w:customStyle="1" w:styleId="FootnoteTextChar">
    <w:name w:val="Footnote Text Char"/>
    <w:aliases w:val="NG - Footnote Char"/>
    <w:basedOn w:val="DefaultParagraphFont"/>
    <w:link w:val="FootnoteText"/>
    <w:rsid w:val="003B5DEB"/>
    <w:rPr>
      <w:sz w:val="16"/>
      <w:szCs w:val="20"/>
    </w:rPr>
  </w:style>
  <w:style w:type="character" w:styleId="FootnoteReference">
    <w:name w:val="footnote reference"/>
    <w:basedOn w:val="DefaultParagraphFont"/>
    <w:uiPriority w:val="99"/>
    <w:unhideWhenUsed/>
    <w:rsid w:val="003B5DEB"/>
    <w:rPr>
      <w:vertAlign w:val="superscript"/>
    </w:rPr>
  </w:style>
  <w:style w:type="paragraph" w:customStyle="1" w:styleId="Casestudy">
    <w:name w:val="Case study"/>
    <w:basedOn w:val="Normal"/>
    <w:qFormat/>
    <w:rsid w:val="003B5DEB"/>
    <w:pPr>
      <w:pBdr>
        <w:top w:val="single" w:sz="4" w:space="4" w:color="963821" w:themeColor="accent2"/>
        <w:left w:val="single" w:sz="4" w:space="4" w:color="963821" w:themeColor="accent2"/>
        <w:bottom w:val="single" w:sz="4" w:space="4" w:color="963821" w:themeColor="accent2"/>
        <w:right w:val="single" w:sz="4" w:space="4" w:color="963821" w:themeColor="accent2"/>
      </w:pBdr>
      <w:shd w:val="clear" w:color="auto" w:fill="F9E7E3" w:themeFill="accent2" w:themeFillTint="1A"/>
      <w:ind w:left="113" w:right="113"/>
    </w:pPr>
  </w:style>
  <w:style w:type="paragraph" w:customStyle="1" w:styleId="Casestudytitle">
    <w:name w:val="Case study title"/>
    <w:basedOn w:val="Casestudy"/>
    <w:qFormat/>
    <w:rsid w:val="003B5DEB"/>
    <w:pPr>
      <w:spacing w:before="360"/>
    </w:pPr>
    <w:rPr>
      <w:color w:val="963821" w:themeColor="accent2"/>
      <w:sz w:val="28"/>
    </w:rPr>
  </w:style>
  <w:style w:type="paragraph" w:customStyle="1" w:styleId="Casestudysource">
    <w:name w:val="Case study source"/>
    <w:basedOn w:val="Casestudy"/>
    <w:qFormat/>
    <w:rsid w:val="003B5DEB"/>
    <w:pPr>
      <w:spacing w:before="240" w:after="480"/>
    </w:pPr>
    <w:rPr>
      <w:color w:val="963821" w:themeColor="accent2"/>
      <w:sz w:val="16"/>
    </w:rPr>
  </w:style>
  <w:style w:type="paragraph" w:styleId="Header">
    <w:name w:val="header"/>
    <w:basedOn w:val="Normal"/>
    <w:link w:val="HeaderChar"/>
    <w:uiPriority w:val="99"/>
    <w:unhideWhenUsed/>
    <w:rsid w:val="003B5D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5DEB"/>
    <w:rPr>
      <w:sz w:val="20"/>
    </w:rPr>
  </w:style>
  <w:style w:type="paragraph" w:styleId="Footer">
    <w:name w:val="footer"/>
    <w:basedOn w:val="Normal"/>
    <w:link w:val="FooterChar"/>
    <w:uiPriority w:val="99"/>
    <w:unhideWhenUsed/>
    <w:rsid w:val="003B5D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5DEB"/>
    <w:rPr>
      <w:sz w:val="20"/>
    </w:rPr>
  </w:style>
  <w:style w:type="character" w:styleId="PageNumber">
    <w:name w:val="page number"/>
    <w:basedOn w:val="DefaultParagraphFont"/>
    <w:uiPriority w:val="99"/>
    <w:semiHidden/>
    <w:unhideWhenUsed/>
    <w:rsid w:val="00847F50"/>
  </w:style>
  <w:style w:type="paragraph" w:customStyle="1" w:styleId="RecommExec">
    <w:name w:val="Recomm Exec"/>
    <w:basedOn w:val="Normal"/>
    <w:link w:val="RecommExecChar"/>
    <w:qFormat/>
    <w:rsid w:val="0046243E"/>
    <w:pPr>
      <w:numPr>
        <w:numId w:val="13"/>
      </w:numPr>
      <w:pBdr>
        <w:top w:val="single" w:sz="18" w:space="4" w:color="6D6E70" w:themeColor="accent6"/>
        <w:left w:val="single" w:sz="18" w:space="4" w:color="6D6E70" w:themeColor="accent6"/>
        <w:bottom w:val="single" w:sz="18" w:space="4" w:color="6D6E70" w:themeColor="accent6"/>
        <w:right w:val="single" w:sz="18" w:space="4" w:color="6D6E70" w:themeColor="accent6"/>
      </w:pBdr>
      <w:tabs>
        <w:tab w:val="left" w:pos="1985"/>
      </w:tabs>
      <w:spacing w:line="360" w:lineRule="auto"/>
    </w:pPr>
    <w:rPr>
      <w:rFonts w:ascii="Arial" w:eastAsia="Times New Roman" w:hAnsi="Arial" w:cs="Times New Roman"/>
      <w:sz w:val="18"/>
      <w:szCs w:val="18"/>
    </w:rPr>
  </w:style>
  <w:style w:type="character" w:customStyle="1" w:styleId="RecommExecChar">
    <w:name w:val="Recomm Exec Char"/>
    <w:basedOn w:val="DefaultParagraphFont"/>
    <w:link w:val="RecommExec"/>
    <w:rsid w:val="0046243E"/>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D71E31"/>
    <w:rPr>
      <w:sz w:val="16"/>
      <w:szCs w:val="16"/>
    </w:rPr>
  </w:style>
  <w:style w:type="paragraph" w:styleId="CommentText">
    <w:name w:val="annotation text"/>
    <w:basedOn w:val="Normal"/>
    <w:link w:val="CommentTextChar"/>
    <w:uiPriority w:val="99"/>
    <w:semiHidden/>
    <w:unhideWhenUsed/>
    <w:rsid w:val="00D71E31"/>
    <w:pPr>
      <w:spacing w:line="240" w:lineRule="auto"/>
    </w:pPr>
    <w:rPr>
      <w:szCs w:val="20"/>
    </w:rPr>
  </w:style>
  <w:style w:type="character" w:customStyle="1" w:styleId="CommentTextChar">
    <w:name w:val="Comment Text Char"/>
    <w:basedOn w:val="DefaultParagraphFont"/>
    <w:link w:val="CommentText"/>
    <w:uiPriority w:val="99"/>
    <w:semiHidden/>
    <w:rsid w:val="00D71E31"/>
    <w:rPr>
      <w:sz w:val="20"/>
      <w:szCs w:val="20"/>
    </w:rPr>
  </w:style>
  <w:style w:type="paragraph" w:styleId="CommentSubject">
    <w:name w:val="annotation subject"/>
    <w:basedOn w:val="CommentText"/>
    <w:next w:val="CommentText"/>
    <w:link w:val="CommentSubjectChar"/>
    <w:uiPriority w:val="99"/>
    <w:semiHidden/>
    <w:unhideWhenUsed/>
    <w:rsid w:val="00D71E31"/>
    <w:rPr>
      <w:b/>
      <w:bCs/>
    </w:rPr>
  </w:style>
  <w:style w:type="character" w:customStyle="1" w:styleId="CommentSubjectChar">
    <w:name w:val="Comment Subject Char"/>
    <w:basedOn w:val="CommentTextChar"/>
    <w:link w:val="CommentSubject"/>
    <w:uiPriority w:val="99"/>
    <w:semiHidden/>
    <w:rsid w:val="00D71E31"/>
    <w:rPr>
      <w:b/>
      <w:bCs/>
      <w:sz w:val="20"/>
      <w:szCs w:val="20"/>
    </w:rPr>
  </w:style>
  <w:style w:type="paragraph" w:styleId="ListParagraph">
    <w:name w:val="List Paragraph"/>
    <w:basedOn w:val="Normal"/>
    <w:uiPriority w:val="34"/>
    <w:qFormat/>
    <w:rsid w:val="00123B26"/>
    <w:pPr>
      <w:ind w:left="720"/>
      <w:contextualSpacing/>
    </w:pPr>
  </w:style>
  <w:style w:type="numbering" w:customStyle="1" w:styleId="Noetic-Numberedlist">
    <w:name w:val="Noetic - Numbered list"/>
    <w:basedOn w:val="NoList"/>
    <w:rsid w:val="00253067"/>
    <w:pPr>
      <w:numPr>
        <w:numId w:val="16"/>
      </w:numPr>
    </w:pPr>
  </w:style>
  <w:style w:type="paragraph" w:customStyle="1" w:styleId="NumberL1">
    <w:name w:val="Number L1"/>
    <w:basedOn w:val="Normal"/>
    <w:link w:val="NumberL1Char"/>
    <w:qFormat/>
    <w:rsid w:val="00253067"/>
    <w:pPr>
      <w:numPr>
        <w:numId w:val="17"/>
      </w:numPr>
      <w:tabs>
        <w:tab w:val="left" w:pos="567"/>
      </w:tabs>
      <w:spacing w:line="360" w:lineRule="auto"/>
    </w:pPr>
    <w:rPr>
      <w:rFonts w:ascii="Arial" w:eastAsia="Times New Roman" w:hAnsi="Arial" w:cs="Arial"/>
      <w:sz w:val="18"/>
      <w:szCs w:val="18"/>
      <w:lang w:eastAsia="en-AU"/>
    </w:rPr>
  </w:style>
  <w:style w:type="paragraph" w:customStyle="1" w:styleId="NumberL2">
    <w:name w:val="Number L2"/>
    <w:basedOn w:val="Normal"/>
    <w:link w:val="NumberL2Char"/>
    <w:qFormat/>
    <w:rsid w:val="00253067"/>
    <w:pPr>
      <w:numPr>
        <w:ilvl w:val="1"/>
        <w:numId w:val="17"/>
      </w:numPr>
      <w:spacing w:line="360" w:lineRule="auto"/>
    </w:pPr>
    <w:rPr>
      <w:rFonts w:ascii="Arial" w:eastAsia="Times New Roman" w:hAnsi="Arial" w:cs="Arial"/>
      <w:sz w:val="18"/>
      <w:szCs w:val="18"/>
    </w:rPr>
  </w:style>
  <w:style w:type="character" w:customStyle="1" w:styleId="NumberL2Char">
    <w:name w:val="Number L2 Char"/>
    <w:basedOn w:val="DefaultParagraphFont"/>
    <w:link w:val="NumberL2"/>
    <w:rsid w:val="00253067"/>
    <w:rPr>
      <w:rFonts w:ascii="Arial" w:eastAsia="Times New Roman" w:hAnsi="Arial" w:cs="Arial"/>
      <w:sz w:val="18"/>
      <w:szCs w:val="18"/>
    </w:rPr>
  </w:style>
  <w:style w:type="character" w:customStyle="1" w:styleId="NumberL1Char">
    <w:name w:val="Number L1 Char"/>
    <w:basedOn w:val="DefaultParagraphFont"/>
    <w:link w:val="NumberL1"/>
    <w:rsid w:val="00253067"/>
    <w:rPr>
      <w:rFonts w:ascii="Arial" w:eastAsia="Times New Roman" w:hAnsi="Arial" w:cs="Arial"/>
      <w:sz w:val="18"/>
      <w:szCs w:val="18"/>
      <w:lang w:eastAsia="en-AU"/>
    </w:rPr>
  </w:style>
  <w:style w:type="paragraph" w:customStyle="1" w:styleId="Noetic-Columnrecommendation">
    <w:name w:val="Noetic - Column recommendation"/>
    <w:basedOn w:val="Normal"/>
    <w:rsid w:val="002E42F5"/>
    <w:pPr>
      <w:numPr>
        <w:numId w:val="19"/>
      </w:numPr>
      <w:spacing w:before="240" w:after="240" w:line="240" w:lineRule="auto"/>
    </w:pPr>
    <w:rPr>
      <w:rFonts w:ascii="Arial" w:eastAsia="Times New Roman" w:hAnsi="Arial" w:cs="Arial"/>
      <w:bCs/>
      <w:i/>
      <w:iCs/>
      <w:color w:val="595959" w:themeColor="text1" w:themeTint="A6"/>
      <w:sz w:val="18"/>
      <w:szCs w:val="24"/>
      <w:lang w:val="en-US"/>
    </w:rPr>
  </w:style>
  <w:style w:type="paragraph" w:customStyle="1" w:styleId="RecommBody">
    <w:name w:val="Recomm Body"/>
    <w:basedOn w:val="RecommExec"/>
    <w:rsid w:val="00A03A7C"/>
    <w:pPr>
      <w:keepLines/>
      <w:numPr>
        <w:numId w:val="20"/>
      </w:numPr>
      <w:ind w:left="1985" w:hanging="1985"/>
    </w:pPr>
  </w:style>
  <w:style w:type="character" w:customStyle="1" w:styleId="Heading6Char">
    <w:name w:val="Heading 6 Char"/>
    <w:basedOn w:val="DefaultParagraphFont"/>
    <w:link w:val="Heading6"/>
    <w:uiPriority w:val="9"/>
    <w:rsid w:val="00F42F2D"/>
    <w:rPr>
      <w:rFonts w:asciiTheme="majorHAnsi" w:eastAsiaTheme="majorEastAsia" w:hAnsiTheme="majorHAnsi" w:cstheme="majorBidi"/>
      <w:i/>
      <w:iCs/>
      <w:color w:val="672210" w:themeColor="accent1" w:themeShade="7F"/>
      <w:sz w:val="20"/>
    </w:rPr>
  </w:style>
  <w:style w:type="paragraph" w:styleId="Revision">
    <w:name w:val="Revision"/>
    <w:hidden/>
    <w:uiPriority w:val="99"/>
    <w:semiHidden/>
    <w:rsid w:val="00015EE0"/>
    <w:pPr>
      <w:spacing w:after="0" w:line="240" w:lineRule="auto"/>
    </w:pPr>
    <w:rPr>
      <w:sz w:val="20"/>
    </w:rPr>
  </w:style>
  <w:style w:type="character" w:customStyle="1" w:styleId="st1">
    <w:name w:val="st1"/>
    <w:basedOn w:val="DefaultParagraphFont"/>
    <w:rsid w:val="003C2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D7"/>
    <w:pPr>
      <w:spacing w:after="120"/>
    </w:pPr>
    <w:rPr>
      <w:sz w:val="20"/>
    </w:rPr>
  </w:style>
  <w:style w:type="paragraph" w:styleId="Heading1">
    <w:name w:val="heading 1"/>
    <w:basedOn w:val="Normal"/>
    <w:next w:val="Normal"/>
    <w:link w:val="Heading1Char"/>
    <w:uiPriority w:val="9"/>
    <w:qFormat/>
    <w:rsid w:val="003B5DEB"/>
    <w:pPr>
      <w:keepNext/>
      <w:keepLines/>
      <w:spacing w:before="480" w:after="0"/>
      <w:outlineLvl w:val="0"/>
    </w:pPr>
    <w:rPr>
      <w:rFonts w:asciiTheme="majorHAnsi" w:eastAsiaTheme="majorEastAsia" w:hAnsiTheme="majorHAnsi" w:cstheme="majorBidi"/>
      <w:b/>
      <w:bCs/>
      <w:color w:val="9B3318" w:themeColor="accent1" w:themeShade="BF"/>
      <w:sz w:val="28"/>
      <w:szCs w:val="28"/>
    </w:rPr>
  </w:style>
  <w:style w:type="paragraph" w:styleId="Heading2">
    <w:name w:val="heading 2"/>
    <w:basedOn w:val="Normal"/>
    <w:next w:val="Normal"/>
    <w:link w:val="Heading2Char"/>
    <w:uiPriority w:val="9"/>
    <w:unhideWhenUsed/>
    <w:qFormat/>
    <w:rsid w:val="003B5DEB"/>
    <w:pPr>
      <w:keepNext/>
      <w:keepLines/>
      <w:spacing w:before="200" w:after="0"/>
      <w:outlineLvl w:val="1"/>
    </w:pPr>
    <w:rPr>
      <w:rFonts w:asciiTheme="majorHAnsi" w:eastAsiaTheme="majorEastAsia" w:hAnsiTheme="majorHAnsi" w:cstheme="majorBidi"/>
      <w:b/>
      <w:bCs/>
      <w:color w:val="CF4520" w:themeColor="accent1"/>
      <w:sz w:val="26"/>
      <w:szCs w:val="26"/>
    </w:rPr>
  </w:style>
  <w:style w:type="paragraph" w:styleId="Heading3">
    <w:name w:val="heading 3"/>
    <w:basedOn w:val="Normal"/>
    <w:next w:val="Normal"/>
    <w:link w:val="Heading3Char"/>
    <w:uiPriority w:val="9"/>
    <w:unhideWhenUsed/>
    <w:qFormat/>
    <w:rsid w:val="00B42381"/>
    <w:pPr>
      <w:keepNext/>
      <w:keepLines/>
      <w:spacing w:before="200"/>
      <w:outlineLvl w:val="2"/>
    </w:pPr>
    <w:rPr>
      <w:rFonts w:asciiTheme="majorHAnsi" w:eastAsiaTheme="majorEastAsia" w:hAnsiTheme="majorHAnsi" w:cstheme="majorBidi"/>
      <w:b/>
      <w:bCs/>
      <w:color w:val="CF4520" w:themeColor="accent1"/>
    </w:rPr>
  </w:style>
  <w:style w:type="paragraph" w:styleId="Heading4">
    <w:name w:val="heading 4"/>
    <w:basedOn w:val="Heading5"/>
    <w:next w:val="Normal"/>
    <w:link w:val="Heading4Char"/>
    <w:uiPriority w:val="9"/>
    <w:unhideWhenUsed/>
    <w:qFormat/>
    <w:rsid w:val="005F0184"/>
    <w:pPr>
      <w:outlineLvl w:val="3"/>
    </w:pPr>
  </w:style>
  <w:style w:type="paragraph" w:styleId="Heading5">
    <w:name w:val="heading 5"/>
    <w:basedOn w:val="Normal"/>
    <w:next w:val="Normal"/>
    <w:link w:val="Heading5Char"/>
    <w:uiPriority w:val="9"/>
    <w:unhideWhenUsed/>
    <w:qFormat/>
    <w:rsid w:val="008F4913"/>
    <w:pPr>
      <w:keepNext/>
      <w:keepLines/>
      <w:spacing w:before="200"/>
      <w:outlineLvl w:val="4"/>
    </w:pPr>
    <w:rPr>
      <w:rFonts w:asciiTheme="majorHAnsi" w:eastAsiaTheme="majorEastAsia" w:hAnsiTheme="majorHAnsi" w:cstheme="majorBidi"/>
      <w:b/>
      <w:color w:val="672210" w:themeColor="accent1" w:themeShade="7F"/>
    </w:rPr>
  </w:style>
  <w:style w:type="paragraph" w:styleId="Heading6">
    <w:name w:val="heading 6"/>
    <w:basedOn w:val="Normal"/>
    <w:next w:val="Normal"/>
    <w:link w:val="Heading6Char"/>
    <w:uiPriority w:val="9"/>
    <w:unhideWhenUsed/>
    <w:qFormat/>
    <w:rsid w:val="00F42F2D"/>
    <w:pPr>
      <w:keepNext/>
      <w:keepLines/>
      <w:spacing w:before="200" w:after="0"/>
      <w:outlineLvl w:val="5"/>
    </w:pPr>
    <w:rPr>
      <w:rFonts w:asciiTheme="majorHAnsi" w:eastAsiaTheme="majorEastAsia" w:hAnsiTheme="majorHAnsi" w:cstheme="majorBidi"/>
      <w:i/>
      <w:iCs/>
      <w:color w:val="67221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DEB"/>
    <w:pPr>
      <w:spacing w:after="0" w:line="240" w:lineRule="auto"/>
    </w:pPr>
  </w:style>
  <w:style w:type="character" w:customStyle="1" w:styleId="Heading1Char">
    <w:name w:val="Heading 1 Char"/>
    <w:basedOn w:val="DefaultParagraphFont"/>
    <w:link w:val="Heading1"/>
    <w:uiPriority w:val="9"/>
    <w:rsid w:val="003B5DEB"/>
    <w:rPr>
      <w:rFonts w:asciiTheme="majorHAnsi" w:eastAsiaTheme="majorEastAsia" w:hAnsiTheme="majorHAnsi" w:cstheme="majorBidi"/>
      <w:b/>
      <w:bCs/>
      <w:color w:val="9B3318" w:themeColor="accent1" w:themeShade="BF"/>
      <w:sz w:val="28"/>
      <w:szCs w:val="28"/>
    </w:rPr>
  </w:style>
  <w:style w:type="character" w:customStyle="1" w:styleId="Heading2Char">
    <w:name w:val="Heading 2 Char"/>
    <w:basedOn w:val="DefaultParagraphFont"/>
    <w:link w:val="Heading2"/>
    <w:uiPriority w:val="9"/>
    <w:rsid w:val="003B5DEB"/>
    <w:rPr>
      <w:rFonts w:asciiTheme="majorHAnsi" w:eastAsiaTheme="majorEastAsia" w:hAnsiTheme="majorHAnsi" w:cstheme="majorBidi"/>
      <w:b/>
      <w:bCs/>
      <w:color w:val="CF4520" w:themeColor="accent1"/>
      <w:sz w:val="26"/>
      <w:szCs w:val="26"/>
    </w:rPr>
  </w:style>
  <w:style w:type="paragraph" w:styleId="Title">
    <w:name w:val="Title"/>
    <w:basedOn w:val="Normal"/>
    <w:next w:val="Normal"/>
    <w:link w:val="TitleChar"/>
    <w:uiPriority w:val="10"/>
    <w:qFormat/>
    <w:rsid w:val="0093415A"/>
    <w:pPr>
      <w:spacing w:after="0" w:line="240" w:lineRule="auto"/>
      <w:contextualSpacing/>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93415A"/>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3B5DEB"/>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3B5DEB"/>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3B5DEB"/>
    <w:rPr>
      <w:i/>
      <w:iCs/>
    </w:rPr>
  </w:style>
  <w:style w:type="character" w:styleId="Strong">
    <w:name w:val="Strong"/>
    <w:basedOn w:val="DefaultParagraphFont"/>
    <w:uiPriority w:val="22"/>
    <w:qFormat/>
    <w:rsid w:val="003B5DEB"/>
    <w:rPr>
      <w:b/>
      <w:bCs/>
    </w:rPr>
  </w:style>
  <w:style w:type="character" w:styleId="Hyperlink">
    <w:name w:val="Hyperlink"/>
    <w:basedOn w:val="DefaultParagraphFont"/>
    <w:uiPriority w:val="99"/>
    <w:unhideWhenUsed/>
    <w:rsid w:val="003B5DEB"/>
    <w:rPr>
      <w:color w:val="005677" w:themeColor="hyperlink"/>
      <w:u w:val="single"/>
    </w:rPr>
  </w:style>
  <w:style w:type="character" w:customStyle="1" w:styleId="Heading3Char">
    <w:name w:val="Heading 3 Char"/>
    <w:basedOn w:val="DefaultParagraphFont"/>
    <w:link w:val="Heading3"/>
    <w:uiPriority w:val="9"/>
    <w:rsid w:val="00B42381"/>
    <w:rPr>
      <w:rFonts w:asciiTheme="majorHAnsi" w:eastAsiaTheme="majorEastAsia" w:hAnsiTheme="majorHAnsi" w:cstheme="majorBidi"/>
      <w:b/>
      <w:bCs/>
      <w:color w:val="CF4520" w:themeColor="accent1"/>
      <w:sz w:val="20"/>
    </w:rPr>
  </w:style>
  <w:style w:type="character" w:customStyle="1" w:styleId="Heading4Char">
    <w:name w:val="Heading 4 Char"/>
    <w:basedOn w:val="DefaultParagraphFont"/>
    <w:link w:val="Heading4"/>
    <w:uiPriority w:val="9"/>
    <w:rsid w:val="005F0184"/>
    <w:rPr>
      <w:rFonts w:asciiTheme="majorHAnsi" w:eastAsiaTheme="majorEastAsia" w:hAnsiTheme="majorHAnsi" w:cstheme="majorBidi"/>
      <w:b/>
      <w:color w:val="672210" w:themeColor="accent1" w:themeShade="7F"/>
      <w:sz w:val="20"/>
    </w:rPr>
  </w:style>
  <w:style w:type="character" w:customStyle="1" w:styleId="Heading5Char">
    <w:name w:val="Heading 5 Char"/>
    <w:basedOn w:val="DefaultParagraphFont"/>
    <w:link w:val="Heading5"/>
    <w:uiPriority w:val="9"/>
    <w:rsid w:val="008F4913"/>
    <w:rPr>
      <w:rFonts w:asciiTheme="majorHAnsi" w:eastAsiaTheme="majorEastAsia" w:hAnsiTheme="majorHAnsi" w:cstheme="majorBidi"/>
      <w:b/>
      <w:color w:val="672210" w:themeColor="accent1" w:themeShade="7F"/>
      <w:sz w:val="20"/>
    </w:rPr>
  </w:style>
  <w:style w:type="table" w:styleId="TableGrid">
    <w:name w:val="Table Grid"/>
    <w:basedOn w:val="TableNormal"/>
    <w:rsid w:val="003B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B5DEB"/>
    <w:pPr>
      <w:spacing w:after="0" w:line="240" w:lineRule="auto"/>
    </w:pPr>
    <w:tblPr>
      <w:tblStyleRowBandSize w:val="1"/>
      <w:tblStyleColBandSize w:val="1"/>
      <w:tblBorders>
        <w:top w:val="single" w:sz="8" w:space="0" w:color="CF4520" w:themeColor="accent1"/>
        <w:left w:val="single" w:sz="8" w:space="0" w:color="CF4520" w:themeColor="accent1"/>
        <w:bottom w:val="single" w:sz="8" w:space="0" w:color="CF4520" w:themeColor="accent1"/>
        <w:right w:val="single" w:sz="8" w:space="0" w:color="CF4520" w:themeColor="accent1"/>
      </w:tblBorders>
    </w:tblPr>
    <w:tblStylePr w:type="firstRow">
      <w:pPr>
        <w:spacing w:before="0" w:after="0" w:line="240" w:lineRule="auto"/>
      </w:pPr>
      <w:rPr>
        <w:b/>
        <w:bCs/>
        <w:color w:val="FFFFFF" w:themeColor="background1"/>
      </w:rPr>
      <w:tblPr/>
      <w:tcPr>
        <w:shd w:val="clear" w:color="auto" w:fill="CF4520" w:themeFill="accent1"/>
      </w:tcPr>
    </w:tblStylePr>
    <w:tblStylePr w:type="lastRow">
      <w:pPr>
        <w:spacing w:before="0" w:after="0" w:line="240" w:lineRule="auto"/>
      </w:pPr>
      <w:rPr>
        <w:b/>
        <w:bCs/>
      </w:rPr>
      <w:tblPr/>
      <w:tcPr>
        <w:tcBorders>
          <w:top w:val="double" w:sz="6" w:space="0" w:color="CF4520" w:themeColor="accent1"/>
          <w:left w:val="single" w:sz="8" w:space="0" w:color="CF4520" w:themeColor="accent1"/>
          <w:bottom w:val="single" w:sz="8" w:space="0" w:color="CF4520" w:themeColor="accent1"/>
          <w:right w:val="single" w:sz="8" w:space="0" w:color="CF4520" w:themeColor="accent1"/>
        </w:tcBorders>
      </w:tcPr>
    </w:tblStylePr>
    <w:tblStylePr w:type="firstCol">
      <w:rPr>
        <w:b/>
        <w:bCs/>
      </w:rPr>
    </w:tblStylePr>
    <w:tblStylePr w:type="lastCol">
      <w:rPr>
        <w:b/>
        <w:bCs/>
      </w:rPr>
    </w:tblStylePr>
    <w:tblStylePr w:type="band1Vert">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tblStylePr w:type="band1Horz">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style>
  <w:style w:type="table" w:styleId="LightList-Accent2">
    <w:name w:val="Light List Accent 2"/>
    <w:basedOn w:val="TableNormal"/>
    <w:uiPriority w:val="61"/>
    <w:rsid w:val="003B5DEB"/>
    <w:pPr>
      <w:spacing w:after="0" w:line="240" w:lineRule="auto"/>
    </w:pPr>
    <w:tblPr>
      <w:tblStyleRowBandSize w:val="1"/>
      <w:tblStyleColBandSize w:val="1"/>
      <w:tblBorders>
        <w:top w:val="single" w:sz="8" w:space="0" w:color="963821" w:themeColor="accent2"/>
        <w:left w:val="single" w:sz="8" w:space="0" w:color="963821" w:themeColor="accent2"/>
        <w:bottom w:val="single" w:sz="8" w:space="0" w:color="963821" w:themeColor="accent2"/>
        <w:right w:val="single" w:sz="8" w:space="0" w:color="963821" w:themeColor="accent2"/>
      </w:tblBorders>
    </w:tblPr>
    <w:tblStylePr w:type="firstRow">
      <w:pPr>
        <w:spacing w:before="0" w:after="0" w:line="240" w:lineRule="auto"/>
      </w:pPr>
      <w:rPr>
        <w:b/>
        <w:bCs/>
        <w:color w:val="FFFFFF" w:themeColor="background1"/>
      </w:rPr>
      <w:tblPr/>
      <w:tcPr>
        <w:shd w:val="clear" w:color="auto" w:fill="963821" w:themeFill="accent2"/>
      </w:tcPr>
    </w:tblStylePr>
    <w:tblStylePr w:type="lastRow">
      <w:pPr>
        <w:spacing w:before="0" w:after="0" w:line="240" w:lineRule="auto"/>
      </w:pPr>
      <w:rPr>
        <w:b/>
        <w:bCs/>
      </w:rPr>
      <w:tblPr/>
      <w:tcPr>
        <w:tcBorders>
          <w:top w:val="double" w:sz="6" w:space="0" w:color="963821" w:themeColor="accent2"/>
          <w:left w:val="single" w:sz="8" w:space="0" w:color="963821" w:themeColor="accent2"/>
          <w:bottom w:val="single" w:sz="8" w:space="0" w:color="963821" w:themeColor="accent2"/>
          <w:right w:val="single" w:sz="8" w:space="0" w:color="963821" w:themeColor="accent2"/>
        </w:tcBorders>
      </w:tcPr>
    </w:tblStylePr>
    <w:tblStylePr w:type="firstCol">
      <w:rPr>
        <w:b/>
        <w:bCs/>
      </w:rPr>
    </w:tblStylePr>
    <w:tblStylePr w:type="lastCol">
      <w:rPr>
        <w:b/>
        <w:bCs/>
      </w:rPr>
    </w:tblStylePr>
    <w:tblStylePr w:type="band1Vert">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tblStylePr w:type="band1Horz">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style>
  <w:style w:type="table" w:styleId="LightList-Accent3">
    <w:name w:val="Light List Accent 3"/>
    <w:basedOn w:val="TableNormal"/>
    <w:uiPriority w:val="61"/>
    <w:rsid w:val="003B5DEB"/>
    <w:pPr>
      <w:spacing w:after="0" w:line="240" w:lineRule="auto"/>
    </w:pPr>
    <w:tblPr>
      <w:tblStyleRowBandSize w:val="1"/>
      <w:tblStyleColBandSize w:val="1"/>
      <w:tblBorders>
        <w:top w:val="single" w:sz="8" w:space="0" w:color="E5B13D" w:themeColor="accent3"/>
        <w:left w:val="single" w:sz="8" w:space="0" w:color="E5B13D" w:themeColor="accent3"/>
        <w:bottom w:val="single" w:sz="8" w:space="0" w:color="E5B13D" w:themeColor="accent3"/>
        <w:right w:val="single" w:sz="8" w:space="0" w:color="E5B13D" w:themeColor="accent3"/>
      </w:tblBorders>
    </w:tblPr>
    <w:tblStylePr w:type="firstRow">
      <w:pPr>
        <w:spacing w:before="0" w:after="0" w:line="240" w:lineRule="auto"/>
      </w:pPr>
      <w:rPr>
        <w:b/>
        <w:bCs/>
        <w:color w:val="FFFFFF" w:themeColor="background1"/>
      </w:rPr>
      <w:tblPr/>
      <w:tcPr>
        <w:shd w:val="clear" w:color="auto" w:fill="E5B13D" w:themeFill="accent3"/>
      </w:tcPr>
    </w:tblStylePr>
    <w:tblStylePr w:type="lastRow">
      <w:pPr>
        <w:spacing w:before="0" w:after="0" w:line="240" w:lineRule="auto"/>
      </w:pPr>
      <w:rPr>
        <w:b/>
        <w:bCs/>
      </w:rPr>
      <w:tblPr/>
      <w:tcPr>
        <w:tcBorders>
          <w:top w:val="double" w:sz="6" w:space="0" w:color="E5B13D" w:themeColor="accent3"/>
          <w:left w:val="single" w:sz="8" w:space="0" w:color="E5B13D" w:themeColor="accent3"/>
          <w:bottom w:val="single" w:sz="8" w:space="0" w:color="E5B13D" w:themeColor="accent3"/>
          <w:right w:val="single" w:sz="8" w:space="0" w:color="E5B13D" w:themeColor="accent3"/>
        </w:tcBorders>
      </w:tcPr>
    </w:tblStylePr>
    <w:tblStylePr w:type="firstCol">
      <w:rPr>
        <w:b/>
        <w:bCs/>
      </w:rPr>
    </w:tblStylePr>
    <w:tblStylePr w:type="lastCol">
      <w:rPr>
        <w:b/>
        <w:bCs/>
      </w:rPr>
    </w:tblStylePr>
    <w:tblStylePr w:type="band1Vert">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tblStylePr w:type="band1Horz">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style>
  <w:style w:type="table" w:styleId="LightList-Accent4">
    <w:name w:val="Light List Accent 4"/>
    <w:basedOn w:val="TableNormal"/>
    <w:uiPriority w:val="61"/>
    <w:rsid w:val="003B5DEB"/>
    <w:pPr>
      <w:spacing w:after="0" w:line="240" w:lineRule="auto"/>
    </w:pPr>
    <w:tblPr>
      <w:tblStyleRowBandSize w:val="1"/>
      <w:tblStyleColBandSize w:val="1"/>
      <w:tblBorders>
        <w:top w:val="single" w:sz="8" w:space="0" w:color="71CC98" w:themeColor="accent4"/>
        <w:left w:val="single" w:sz="8" w:space="0" w:color="71CC98" w:themeColor="accent4"/>
        <w:bottom w:val="single" w:sz="8" w:space="0" w:color="71CC98" w:themeColor="accent4"/>
        <w:right w:val="single" w:sz="8" w:space="0" w:color="71CC98" w:themeColor="accent4"/>
      </w:tblBorders>
    </w:tblPr>
    <w:tblStylePr w:type="firstRow">
      <w:pPr>
        <w:spacing w:before="0" w:after="0" w:line="240" w:lineRule="auto"/>
      </w:pPr>
      <w:rPr>
        <w:b/>
        <w:bCs/>
        <w:color w:val="FFFFFF" w:themeColor="background1"/>
      </w:rPr>
      <w:tblPr/>
      <w:tcPr>
        <w:shd w:val="clear" w:color="auto" w:fill="71CC98" w:themeFill="accent4"/>
      </w:tcPr>
    </w:tblStylePr>
    <w:tblStylePr w:type="lastRow">
      <w:pPr>
        <w:spacing w:before="0" w:after="0" w:line="240" w:lineRule="auto"/>
      </w:pPr>
      <w:rPr>
        <w:b/>
        <w:bCs/>
      </w:rPr>
      <w:tblPr/>
      <w:tcPr>
        <w:tcBorders>
          <w:top w:val="double" w:sz="6" w:space="0" w:color="71CC98" w:themeColor="accent4"/>
          <w:left w:val="single" w:sz="8" w:space="0" w:color="71CC98" w:themeColor="accent4"/>
          <w:bottom w:val="single" w:sz="8" w:space="0" w:color="71CC98" w:themeColor="accent4"/>
          <w:right w:val="single" w:sz="8" w:space="0" w:color="71CC98" w:themeColor="accent4"/>
        </w:tcBorders>
      </w:tcPr>
    </w:tblStylePr>
    <w:tblStylePr w:type="firstCol">
      <w:rPr>
        <w:b/>
        <w:bCs/>
      </w:rPr>
    </w:tblStylePr>
    <w:tblStylePr w:type="lastCol">
      <w:rPr>
        <w:b/>
        <w:bCs/>
      </w:rPr>
    </w:tblStylePr>
    <w:tblStylePr w:type="band1Vert">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tblStylePr w:type="band1Horz">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style>
  <w:style w:type="table" w:customStyle="1" w:styleId="Style1">
    <w:name w:val="Style1"/>
    <w:basedOn w:val="TableNormal"/>
    <w:uiPriority w:val="99"/>
    <w:rsid w:val="003B5DEB"/>
    <w:pPr>
      <w:spacing w:after="0" w:line="240" w:lineRule="auto"/>
    </w:pPr>
    <w:rPr>
      <w:rFonts w:ascii="Arial" w:hAnsi="Arial"/>
      <w:color w:val="000000" w:themeColor="text1"/>
      <w:sz w:val="20"/>
    </w:rPr>
    <w:tblPr>
      <w:tblBorders>
        <w:bottom w:val="single" w:sz="2" w:space="0" w:color="CF4520" w:themeColor="accent1"/>
        <w:insideH w:val="single" w:sz="2" w:space="0" w:color="CF4520"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CF4520"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3B5DEB"/>
    <w:pPr>
      <w:spacing w:before="0" w:after="240"/>
      <w:outlineLvl w:val="9"/>
    </w:pPr>
    <w:rPr>
      <w:lang w:val="en-US" w:eastAsia="ja-JP"/>
    </w:rPr>
  </w:style>
  <w:style w:type="paragraph" w:styleId="TOC1">
    <w:name w:val="toc 1"/>
    <w:basedOn w:val="Normal"/>
    <w:next w:val="Normal"/>
    <w:autoRedefine/>
    <w:uiPriority w:val="39"/>
    <w:unhideWhenUsed/>
    <w:qFormat/>
    <w:rsid w:val="006E2F4D"/>
    <w:pPr>
      <w:spacing w:after="100"/>
    </w:pPr>
  </w:style>
  <w:style w:type="paragraph" w:styleId="TOC2">
    <w:name w:val="toc 2"/>
    <w:basedOn w:val="Normal"/>
    <w:next w:val="Normal"/>
    <w:autoRedefine/>
    <w:uiPriority w:val="39"/>
    <w:unhideWhenUsed/>
    <w:qFormat/>
    <w:rsid w:val="003B5DEB"/>
    <w:pPr>
      <w:spacing w:after="100"/>
      <w:ind w:left="200"/>
    </w:pPr>
    <w:rPr>
      <w:color w:val="58595B" w:themeColor="text2"/>
    </w:rPr>
  </w:style>
  <w:style w:type="paragraph" w:styleId="TOC3">
    <w:name w:val="toc 3"/>
    <w:basedOn w:val="Normal"/>
    <w:next w:val="Normal"/>
    <w:autoRedefine/>
    <w:uiPriority w:val="39"/>
    <w:unhideWhenUsed/>
    <w:qFormat/>
    <w:rsid w:val="003B5DEB"/>
    <w:pPr>
      <w:spacing w:after="100"/>
      <w:ind w:left="400"/>
    </w:pPr>
  </w:style>
  <w:style w:type="paragraph" w:styleId="BalloonText">
    <w:name w:val="Balloon Text"/>
    <w:basedOn w:val="Normal"/>
    <w:link w:val="BalloonTextChar"/>
    <w:uiPriority w:val="99"/>
    <w:semiHidden/>
    <w:unhideWhenUsed/>
    <w:rsid w:val="003B5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DEB"/>
    <w:rPr>
      <w:rFonts w:ascii="Tahoma" w:hAnsi="Tahoma" w:cs="Tahoma"/>
      <w:sz w:val="16"/>
      <w:szCs w:val="16"/>
    </w:rPr>
  </w:style>
  <w:style w:type="paragraph" w:styleId="ListBullet">
    <w:name w:val="List Bullet"/>
    <w:basedOn w:val="Normal"/>
    <w:uiPriority w:val="99"/>
    <w:unhideWhenUsed/>
    <w:rsid w:val="003B5DEB"/>
    <w:pPr>
      <w:numPr>
        <w:numId w:val="11"/>
      </w:numPr>
      <w:contextualSpacing/>
    </w:pPr>
  </w:style>
  <w:style w:type="paragraph" w:styleId="ListBullet2">
    <w:name w:val="List Bullet 2"/>
    <w:basedOn w:val="Normal"/>
    <w:uiPriority w:val="99"/>
    <w:unhideWhenUsed/>
    <w:rsid w:val="003B5DEB"/>
    <w:pPr>
      <w:numPr>
        <w:numId w:val="12"/>
      </w:numPr>
      <w:contextualSpacing/>
    </w:pPr>
  </w:style>
  <w:style w:type="paragraph" w:styleId="Quote">
    <w:name w:val="Quote"/>
    <w:basedOn w:val="Normal"/>
    <w:next w:val="Normal"/>
    <w:link w:val="QuoteChar"/>
    <w:uiPriority w:val="29"/>
    <w:qFormat/>
    <w:rsid w:val="003B5DEB"/>
    <w:pPr>
      <w:pBdr>
        <w:top w:val="single" w:sz="4" w:space="1" w:color="E5B13D" w:themeColor="accent3"/>
        <w:bottom w:val="single" w:sz="4" w:space="1" w:color="E5B13D" w:themeColor="accent3"/>
      </w:pBdr>
      <w:spacing w:before="240" w:after="240"/>
    </w:pPr>
    <w:rPr>
      <w:i/>
      <w:iCs/>
      <w:color w:val="CF4520" w:themeColor="accent1"/>
      <w:sz w:val="24"/>
    </w:rPr>
  </w:style>
  <w:style w:type="character" w:customStyle="1" w:styleId="QuoteChar">
    <w:name w:val="Quote Char"/>
    <w:basedOn w:val="DefaultParagraphFont"/>
    <w:link w:val="Quote"/>
    <w:uiPriority w:val="29"/>
    <w:rsid w:val="003B5DEB"/>
    <w:rPr>
      <w:i/>
      <w:iCs/>
      <w:color w:val="CF4520" w:themeColor="accent1"/>
      <w:sz w:val="24"/>
    </w:rPr>
  </w:style>
  <w:style w:type="character" w:styleId="SubtleEmphasis">
    <w:name w:val="Subtle Emphasis"/>
    <w:basedOn w:val="DefaultParagraphFont"/>
    <w:uiPriority w:val="19"/>
    <w:rsid w:val="003B5DEB"/>
    <w:rPr>
      <w:i/>
      <w:iCs/>
      <w:color w:val="808080" w:themeColor="text1" w:themeTint="7F"/>
      <w:sz w:val="28"/>
    </w:rPr>
  </w:style>
  <w:style w:type="character" w:styleId="IntenseEmphasis">
    <w:name w:val="Intense Emphasis"/>
    <w:basedOn w:val="DefaultParagraphFont"/>
    <w:uiPriority w:val="21"/>
    <w:qFormat/>
    <w:rsid w:val="003B5DEB"/>
    <w:rPr>
      <w:b/>
      <w:bCs/>
      <w:i/>
      <w:iCs/>
      <w:color w:val="CF4520" w:themeColor="accent1"/>
    </w:rPr>
  </w:style>
  <w:style w:type="paragraph" w:styleId="Caption">
    <w:name w:val="caption"/>
    <w:basedOn w:val="Normal"/>
    <w:next w:val="Normal"/>
    <w:uiPriority w:val="35"/>
    <w:unhideWhenUsed/>
    <w:qFormat/>
    <w:rsid w:val="003B5DEB"/>
    <w:pPr>
      <w:spacing w:after="360" w:line="240" w:lineRule="auto"/>
    </w:pPr>
    <w:rPr>
      <w:bCs/>
      <w:color w:val="CF4520" w:themeColor="accent1"/>
      <w:sz w:val="18"/>
      <w:szCs w:val="18"/>
    </w:rPr>
  </w:style>
  <w:style w:type="character" w:customStyle="1" w:styleId="Tabletitle">
    <w:name w:val="Table title"/>
    <w:basedOn w:val="DefaultParagraphFont"/>
    <w:uiPriority w:val="1"/>
    <w:qFormat/>
    <w:rsid w:val="003B5DEB"/>
    <w:rPr>
      <w:b/>
      <w:color w:val="CF4520" w:themeColor="accent1"/>
    </w:rPr>
  </w:style>
  <w:style w:type="character" w:customStyle="1" w:styleId="Figuretitle">
    <w:name w:val="Figure title"/>
    <w:basedOn w:val="Tabletitle"/>
    <w:uiPriority w:val="1"/>
    <w:qFormat/>
    <w:rsid w:val="003B5DEB"/>
    <w:rPr>
      <w:b/>
      <w:color w:val="CF4520" w:themeColor="accent1"/>
    </w:rPr>
  </w:style>
  <w:style w:type="paragraph" w:customStyle="1" w:styleId="Credit">
    <w:name w:val="Credit"/>
    <w:basedOn w:val="Caption"/>
    <w:qFormat/>
    <w:rsid w:val="003B5DEB"/>
    <w:rPr>
      <w:color w:val="58595B" w:themeColor="text2"/>
    </w:rPr>
  </w:style>
  <w:style w:type="paragraph" w:styleId="EndnoteText">
    <w:name w:val="endnote text"/>
    <w:basedOn w:val="Normal"/>
    <w:link w:val="EndnoteTextChar"/>
    <w:uiPriority w:val="99"/>
    <w:semiHidden/>
    <w:unhideWhenUsed/>
    <w:rsid w:val="003B5DEB"/>
    <w:pPr>
      <w:spacing w:after="0" w:line="240" w:lineRule="auto"/>
    </w:pPr>
    <w:rPr>
      <w:szCs w:val="20"/>
    </w:rPr>
  </w:style>
  <w:style w:type="character" w:customStyle="1" w:styleId="EndnoteTextChar">
    <w:name w:val="Endnote Text Char"/>
    <w:basedOn w:val="DefaultParagraphFont"/>
    <w:link w:val="EndnoteText"/>
    <w:uiPriority w:val="99"/>
    <w:semiHidden/>
    <w:rsid w:val="003B5DEB"/>
    <w:rPr>
      <w:sz w:val="20"/>
      <w:szCs w:val="20"/>
    </w:rPr>
  </w:style>
  <w:style w:type="character" w:styleId="EndnoteReference">
    <w:name w:val="endnote reference"/>
    <w:basedOn w:val="DefaultParagraphFont"/>
    <w:uiPriority w:val="99"/>
    <w:semiHidden/>
    <w:unhideWhenUsed/>
    <w:rsid w:val="003B5DEB"/>
    <w:rPr>
      <w:vertAlign w:val="superscript"/>
    </w:rPr>
  </w:style>
  <w:style w:type="paragraph" w:styleId="FootnoteText">
    <w:name w:val="footnote text"/>
    <w:aliases w:val="NG - Footnote"/>
    <w:basedOn w:val="Normal"/>
    <w:link w:val="FootnoteTextChar"/>
    <w:unhideWhenUsed/>
    <w:rsid w:val="003B5DEB"/>
    <w:pPr>
      <w:spacing w:after="60" w:line="240" w:lineRule="auto"/>
    </w:pPr>
    <w:rPr>
      <w:sz w:val="16"/>
      <w:szCs w:val="20"/>
    </w:rPr>
  </w:style>
  <w:style w:type="character" w:customStyle="1" w:styleId="FootnoteTextChar">
    <w:name w:val="Footnote Text Char"/>
    <w:aliases w:val="NG - Footnote Char"/>
    <w:basedOn w:val="DefaultParagraphFont"/>
    <w:link w:val="FootnoteText"/>
    <w:rsid w:val="003B5DEB"/>
    <w:rPr>
      <w:sz w:val="16"/>
      <w:szCs w:val="20"/>
    </w:rPr>
  </w:style>
  <w:style w:type="character" w:styleId="FootnoteReference">
    <w:name w:val="footnote reference"/>
    <w:basedOn w:val="DefaultParagraphFont"/>
    <w:uiPriority w:val="99"/>
    <w:unhideWhenUsed/>
    <w:rsid w:val="003B5DEB"/>
    <w:rPr>
      <w:vertAlign w:val="superscript"/>
    </w:rPr>
  </w:style>
  <w:style w:type="paragraph" w:customStyle="1" w:styleId="Casestudy">
    <w:name w:val="Case study"/>
    <w:basedOn w:val="Normal"/>
    <w:qFormat/>
    <w:rsid w:val="003B5DEB"/>
    <w:pPr>
      <w:pBdr>
        <w:top w:val="single" w:sz="4" w:space="4" w:color="963821" w:themeColor="accent2"/>
        <w:left w:val="single" w:sz="4" w:space="4" w:color="963821" w:themeColor="accent2"/>
        <w:bottom w:val="single" w:sz="4" w:space="4" w:color="963821" w:themeColor="accent2"/>
        <w:right w:val="single" w:sz="4" w:space="4" w:color="963821" w:themeColor="accent2"/>
      </w:pBdr>
      <w:shd w:val="clear" w:color="auto" w:fill="F9E7E3" w:themeFill="accent2" w:themeFillTint="1A"/>
      <w:ind w:left="113" w:right="113"/>
    </w:pPr>
  </w:style>
  <w:style w:type="paragraph" w:customStyle="1" w:styleId="Casestudytitle">
    <w:name w:val="Case study title"/>
    <w:basedOn w:val="Casestudy"/>
    <w:qFormat/>
    <w:rsid w:val="003B5DEB"/>
    <w:pPr>
      <w:spacing w:before="360"/>
    </w:pPr>
    <w:rPr>
      <w:color w:val="963821" w:themeColor="accent2"/>
      <w:sz w:val="28"/>
    </w:rPr>
  </w:style>
  <w:style w:type="paragraph" w:customStyle="1" w:styleId="Casestudysource">
    <w:name w:val="Case study source"/>
    <w:basedOn w:val="Casestudy"/>
    <w:qFormat/>
    <w:rsid w:val="003B5DEB"/>
    <w:pPr>
      <w:spacing w:before="240" w:after="480"/>
    </w:pPr>
    <w:rPr>
      <w:color w:val="963821" w:themeColor="accent2"/>
      <w:sz w:val="16"/>
    </w:rPr>
  </w:style>
  <w:style w:type="paragraph" w:styleId="Header">
    <w:name w:val="header"/>
    <w:basedOn w:val="Normal"/>
    <w:link w:val="HeaderChar"/>
    <w:uiPriority w:val="99"/>
    <w:unhideWhenUsed/>
    <w:rsid w:val="003B5D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5DEB"/>
    <w:rPr>
      <w:sz w:val="20"/>
    </w:rPr>
  </w:style>
  <w:style w:type="paragraph" w:styleId="Footer">
    <w:name w:val="footer"/>
    <w:basedOn w:val="Normal"/>
    <w:link w:val="FooterChar"/>
    <w:uiPriority w:val="99"/>
    <w:unhideWhenUsed/>
    <w:rsid w:val="003B5D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5DEB"/>
    <w:rPr>
      <w:sz w:val="20"/>
    </w:rPr>
  </w:style>
  <w:style w:type="character" w:styleId="PageNumber">
    <w:name w:val="page number"/>
    <w:basedOn w:val="DefaultParagraphFont"/>
    <w:uiPriority w:val="99"/>
    <w:semiHidden/>
    <w:unhideWhenUsed/>
    <w:rsid w:val="00847F50"/>
  </w:style>
  <w:style w:type="paragraph" w:customStyle="1" w:styleId="RecommExec">
    <w:name w:val="Recomm Exec"/>
    <w:basedOn w:val="Normal"/>
    <w:link w:val="RecommExecChar"/>
    <w:qFormat/>
    <w:rsid w:val="0046243E"/>
    <w:pPr>
      <w:numPr>
        <w:numId w:val="13"/>
      </w:numPr>
      <w:pBdr>
        <w:top w:val="single" w:sz="18" w:space="4" w:color="6D6E70" w:themeColor="accent6"/>
        <w:left w:val="single" w:sz="18" w:space="4" w:color="6D6E70" w:themeColor="accent6"/>
        <w:bottom w:val="single" w:sz="18" w:space="4" w:color="6D6E70" w:themeColor="accent6"/>
        <w:right w:val="single" w:sz="18" w:space="4" w:color="6D6E70" w:themeColor="accent6"/>
      </w:pBdr>
      <w:tabs>
        <w:tab w:val="left" w:pos="1985"/>
      </w:tabs>
      <w:spacing w:line="360" w:lineRule="auto"/>
    </w:pPr>
    <w:rPr>
      <w:rFonts w:ascii="Arial" w:eastAsia="Times New Roman" w:hAnsi="Arial" w:cs="Times New Roman"/>
      <w:sz w:val="18"/>
      <w:szCs w:val="18"/>
    </w:rPr>
  </w:style>
  <w:style w:type="character" w:customStyle="1" w:styleId="RecommExecChar">
    <w:name w:val="Recomm Exec Char"/>
    <w:basedOn w:val="DefaultParagraphFont"/>
    <w:link w:val="RecommExec"/>
    <w:rsid w:val="0046243E"/>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D71E31"/>
    <w:rPr>
      <w:sz w:val="16"/>
      <w:szCs w:val="16"/>
    </w:rPr>
  </w:style>
  <w:style w:type="paragraph" w:styleId="CommentText">
    <w:name w:val="annotation text"/>
    <w:basedOn w:val="Normal"/>
    <w:link w:val="CommentTextChar"/>
    <w:uiPriority w:val="99"/>
    <w:semiHidden/>
    <w:unhideWhenUsed/>
    <w:rsid w:val="00D71E31"/>
    <w:pPr>
      <w:spacing w:line="240" w:lineRule="auto"/>
    </w:pPr>
    <w:rPr>
      <w:szCs w:val="20"/>
    </w:rPr>
  </w:style>
  <w:style w:type="character" w:customStyle="1" w:styleId="CommentTextChar">
    <w:name w:val="Comment Text Char"/>
    <w:basedOn w:val="DefaultParagraphFont"/>
    <w:link w:val="CommentText"/>
    <w:uiPriority w:val="99"/>
    <w:semiHidden/>
    <w:rsid w:val="00D71E31"/>
    <w:rPr>
      <w:sz w:val="20"/>
      <w:szCs w:val="20"/>
    </w:rPr>
  </w:style>
  <w:style w:type="paragraph" w:styleId="CommentSubject">
    <w:name w:val="annotation subject"/>
    <w:basedOn w:val="CommentText"/>
    <w:next w:val="CommentText"/>
    <w:link w:val="CommentSubjectChar"/>
    <w:uiPriority w:val="99"/>
    <w:semiHidden/>
    <w:unhideWhenUsed/>
    <w:rsid w:val="00D71E31"/>
    <w:rPr>
      <w:b/>
      <w:bCs/>
    </w:rPr>
  </w:style>
  <w:style w:type="character" w:customStyle="1" w:styleId="CommentSubjectChar">
    <w:name w:val="Comment Subject Char"/>
    <w:basedOn w:val="CommentTextChar"/>
    <w:link w:val="CommentSubject"/>
    <w:uiPriority w:val="99"/>
    <w:semiHidden/>
    <w:rsid w:val="00D71E31"/>
    <w:rPr>
      <w:b/>
      <w:bCs/>
      <w:sz w:val="20"/>
      <w:szCs w:val="20"/>
    </w:rPr>
  </w:style>
  <w:style w:type="paragraph" w:styleId="ListParagraph">
    <w:name w:val="List Paragraph"/>
    <w:basedOn w:val="Normal"/>
    <w:uiPriority w:val="34"/>
    <w:qFormat/>
    <w:rsid w:val="00123B26"/>
    <w:pPr>
      <w:ind w:left="720"/>
      <w:contextualSpacing/>
    </w:pPr>
  </w:style>
  <w:style w:type="numbering" w:customStyle="1" w:styleId="Noetic-Numberedlist">
    <w:name w:val="Noetic - Numbered list"/>
    <w:basedOn w:val="NoList"/>
    <w:rsid w:val="00253067"/>
    <w:pPr>
      <w:numPr>
        <w:numId w:val="16"/>
      </w:numPr>
    </w:pPr>
  </w:style>
  <w:style w:type="paragraph" w:customStyle="1" w:styleId="NumberL1">
    <w:name w:val="Number L1"/>
    <w:basedOn w:val="Normal"/>
    <w:link w:val="NumberL1Char"/>
    <w:qFormat/>
    <w:rsid w:val="00253067"/>
    <w:pPr>
      <w:numPr>
        <w:numId w:val="17"/>
      </w:numPr>
      <w:tabs>
        <w:tab w:val="left" w:pos="567"/>
      </w:tabs>
      <w:spacing w:line="360" w:lineRule="auto"/>
    </w:pPr>
    <w:rPr>
      <w:rFonts w:ascii="Arial" w:eastAsia="Times New Roman" w:hAnsi="Arial" w:cs="Arial"/>
      <w:sz w:val="18"/>
      <w:szCs w:val="18"/>
      <w:lang w:eastAsia="en-AU"/>
    </w:rPr>
  </w:style>
  <w:style w:type="paragraph" w:customStyle="1" w:styleId="NumberL2">
    <w:name w:val="Number L2"/>
    <w:basedOn w:val="Normal"/>
    <w:link w:val="NumberL2Char"/>
    <w:qFormat/>
    <w:rsid w:val="00253067"/>
    <w:pPr>
      <w:numPr>
        <w:ilvl w:val="1"/>
        <w:numId w:val="17"/>
      </w:numPr>
      <w:spacing w:line="360" w:lineRule="auto"/>
    </w:pPr>
    <w:rPr>
      <w:rFonts w:ascii="Arial" w:eastAsia="Times New Roman" w:hAnsi="Arial" w:cs="Arial"/>
      <w:sz w:val="18"/>
      <w:szCs w:val="18"/>
    </w:rPr>
  </w:style>
  <w:style w:type="character" w:customStyle="1" w:styleId="NumberL2Char">
    <w:name w:val="Number L2 Char"/>
    <w:basedOn w:val="DefaultParagraphFont"/>
    <w:link w:val="NumberL2"/>
    <w:rsid w:val="00253067"/>
    <w:rPr>
      <w:rFonts w:ascii="Arial" w:eastAsia="Times New Roman" w:hAnsi="Arial" w:cs="Arial"/>
      <w:sz w:val="18"/>
      <w:szCs w:val="18"/>
    </w:rPr>
  </w:style>
  <w:style w:type="character" w:customStyle="1" w:styleId="NumberL1Char">
    <w:name w:val="Number L1 Char"/>
    <w:basedOn w:val="DefaultParagraphFont"/>
    <w:link w:val="NumberL1"/>
    <w:rsid w:val="00253067"/>
    <w:rPr>
      <w:rFonts w:ascii="Arial" w:eastAsia="Times New Roman" w:hAnsi="Arial" w:cs="Arial"/>
      <w:sz w:val="18"/>
      <w:szCs w:val="18"/>
      <w:lang w:eastAsia="en-AU"/>
    </w:rPr>
  </w:style>
  <w:style w:type="paragraph" w:customStyle="1" w:styleId="Noetic-Columnrecommendation">
    <w:name w:val="Noetic - Column recommendation"/>
    <w:basedOn w:val="Normal"/>
    <w:rsid w:val="002E42F5"/>
    <w:pPr>
      <w:numPr>
        <w:numId w:val="19"/>
      </w:numPr>
      <w:spacing w:before="240" w:after="240" w:line="240" w:lineRule="auto"/>
    </w:pPr>
    <w:rPr>
      <w:rFonts w:ascii="Arial" w:eastAsia="Times New Roman" w:hAnsi="Arial" w:cs="Arial"/>
      <w:bCs/>
      <w:i/>
      <w:iCs/>
      <w:color w:val="595959" w:themeColor="text1" w:themeTint="A6"/>
      <w:sz w:val="18"/>
      <w:szCs w:val="24"/>
      <w:lang w:val="en-US"/>
    </w:rPr>
  </w:style>
  <w:style w:type="paragraph" w:customStyle="1" w:styleId="RecommBody">
    <w:name w:val="Recomm Body"/>
    <w:basedOn w:val="RecommExec"/>
    <w:rsid w:val="00A03A7C"/>
    <w:pPr>
      <w:keepLines/>
      <w:numPr>
        <w:numId w:val="20"/>
      </w:numPr>
      <w:ind w:left="1985" w:hanging="1985"/>
    </w:pPr>
  </w:style>
  <w:style w:type="character" w:customStyle="1" w:styleId="Heading6Char">
    <w:name w:val="Heading 6 Char"/>
    <w:basedOn w:val="DefaultParagraphFont"/>
    <w:link w:val="Heading6"/>
    <w:uiPriority w:val="9"/>
    <w:rsid w:val="00F42F2D"/>
    <w:rPr>
      <w:rFonts w:asciiTheme="majorHAnsi" w:eastAsiaTheme="majorEastAsia" w:hAnsiTheme="majorHAnsi" w:cstheme="majorBidi"/>
      <w:i/>
      <w:iCs/>
      <w:color w:val="672210" w:themeColor="accent1" w:themeShade="7F"/>
      <w:sz w:val="20"/>
    </w:rPr>
  </w:style>
  <w:style w:type="paragraph" w:styleId="Revision">
    <w:name w:val="Revision"/>
    <w:hidden/>
    <w:uiPriority w:val="99"/>
    <w:semiHidden/>
    <w:rsid w:val="00015EE0"/>
    <w:pPr>
      <w:spacing w:after="0" w:line="240" w:lineRule="auto"/>
    </w:pPr>
    <w:rPr>
      <w:sz w:val="20"/>
    </w:rPr>
  </w:style>
  <w:style w:type="character" w:customStyle="1" w:styleId="st1">
    <w:name w:val="st1"/>
    <w:basedOn w:val="DefaultParagraphFont"/>
    <w:rsid w:val="003C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9407">
      <w:bodyDiv w:val="1"/>
      <w:marLeft w:val="0"/>
      <w:marRight w:val="0"/>
      <w:marTop w:val="0"/>
      <w:marBottom w:val="0"/>
      <w:divBdr>
        <w:top w:val="none" w:sz="0" w:space="0" w:color="auto"/>
        <w:left w:val="none" w:sz="0" w:space="0" w:color="auto"/>
        <w:bottom w:val="none" w:sz="0" w:space="0" w:color="auto"/>
        <w:right w:val="none" w:sz="0" w:space="0" w:color="auto"/>
      </w:divBdr>
      <w:divsChild>
        <w:div w:id="2015642219">
          <w:marLeft w:val="0"/>
          <w:marRight w:val="0"/>
          <w:marTop w:val="0"/>
          <w:marBottom w:val="0"/>
          <w:divBdr>
            <w:top w:val="none" w:sz="0" w:space="0" w:color="auto"/>
            <w:left w:val="none" w:sz="0" w:space="0" w:color="auto"/>
            <w:bottom w:val="none" w:sz="0" w:space="0" w:color="auto"/>
            <w:right w:val="none" w:sz="0" w:space="0" w:color="auto"/>
          </w:divBdr>
          <w:divsChild>
            <w:div w:id="991058737">
              <w:marLeft w:val="0"/>
              <w:marRight w:val="0"/>
              <w:marTop w:val="0"/>
              <w:marBottom w:val="0"/>
              <w:divBdr>
                <w:top w:val="none" w:sz="0" w:space="0" w:color="auto"/>
                <w:left w:val="none" w:sz="0" w:space="0" w:color="auto"/>
                <w:bottom w:val="none" w:sz="0" w:space="0" w:color="auto"/>
                <w:right w:val="none" w:sz="0" w:space="0" w:color="auto"/>
              </w:divBdr>
              <w:divsChild>
                <w:div w:id="680012861">
                  <w:marLeft w:val="0"/>
                  <w:marRight w:val="0"/>
                  <w:marTop w:val="0"/>
                  <w:marBottom w:val="0"/>
                  <w:divBdr>
                    <w:top w:val="none" w:sz="0" w:space="0" w:color="auto"/>
                    <w:left w:val="none" w:sz="0" w:space="0" w:color="auto"/>
                    <w:bottom w:val="none" w:sz="0" w:space="0" w:color="auto"/>
                    <w:right w:val="none" w:sz="0" w:space="0" w:color="auto"/>
                  </w:divBdr>
                  <w:divsChild>
                    <w:div w:id="1206911624">
                      <w:marLeft w:val="0"/>
                      <w:marRight w:val="0"/>
                      <w:marTop w:val="0"/>
                      <w:marBottom w:val="0"/>
                      <w:divBdr>
                        <w:top w:val="none" w:sz="0" w:space="0" w:color="auto"/>
                        <w:left w:val="none" w:sz="0" w:space="0" w:color="auto"/>
                        <w:bottom w:val="none" w:sz="0" w:space="0" w:color="auto"/>
                        <w:right w:val="none" w:sz="0" w:space="0" w:color="auto"/>
                      </w:divBdr>
                      <w:divsChild>
                        <w:div w:id="1814247643">
                          <w:marLeft w:val="0"/>
                          <w:marRight w:val="0"/>
                          <w:marTop w:val="0"/>
                          <w:marBottom w:val="0"/>
                          <w:divBdr>
                            <w:top w:val="none" w:sz="0" w:space="0" w:color="auto"/>
                            <w:left w:val="none" w:sz="0" w:space="0" w:color="auto"/>
                            <w:bottom w:val="none" w:sz="0" w:space="0" w:color="auto"/>
                            <w:right w:val="none" w:sz="0" w:space="0" w:color="auto"/>
                          </w:divBdr>
                          <w:divsChild>
                            <w:div w:id="1645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61407">
      <w:bodyDiv w:val="1"/>
      <w:marLeft w:val="0"/>
      <w:marRight w:val="0"/>
      <w:marTop w:val="0"/>
      <w:marBottom w:val="0"/>
      <w:divBdr>
        <w:top w:val="none" w:sz="0" w:space="0" w:color="auto"/>
        <w:left w:val="none" w:sz="0" w:space="0" w:color="auto"/>
        <w:bottom w:val="none" w:sz="0" w:space="0" w:color="auto"/>
        <w:right w:val="none" w:sz="0" w:space="0" w:color="auto"/>
      </w:divBdr>
      <w:divsChild>
        <w:div w:id="1992172310">
          <w:marLeft w:val="0"/>
          <w:marRight w:val="0"/>
          <w:marTop w:val="0"/>
          <w:marBottom w:val="0"/>
          <w:divBdr>
            <w:top w:val="none" w:sz="0" w:space="0" w:color="auto"/>
            <w:left w:val="none" w:sz="0" w:space="0" w:color="auto"/>
            <w:bottom w:val="none" w:sz="0" w:space="0" w:color="auto"/>
            <w:right w:val="none" w:sz="0" w:space="0" w:color="auto"/>
          </w:divBdr>
          <w:divsChild>
            <w:div w:id="194314657">
              <w:marLeft w:val="0"/>
              <w:marRight w:val="0"/>
              <w:marTop w:val="0"/>
              <w:marBottom w:val="0"/>
              <w:divBdr>
                <w:top w:val="none" w:sz="0" w:space="0" w:color="auto"/>
                <w:left w:val="none" w:sz="0" w:space="0" w:color="auto"/>
                <w:bottom w:val="none" w:sz="0" w:space="0" w:color="auto"/>
                <w:right w:val="none" w:sz="0" w:space="0" w:color="auto"/>
              </w:divBdr>
              <w:divsChild>
                <w:div w:id="1834293357">
                  <w:marLeft w:val="0"/>
                  <w:marRight w:val="0"/>
                  <w:marTop w:val="0"/>
                  <w:marBottom w:val="0"/>
                  <w:divBdr>
                    <w:top w:val="none" w:sz="0" w:space="0" w:color="auto"/>
                    <w:left w:val="none" w:sz="0" w:space="0" w:color="auto"/>
                    <w:bottom w:val="none" w:sz="0" w:space="0" w:color="auto"/>
                    <w:right w:val="none" w:sz="0" w:space="0" w:color="auto"/>
                  </w:divBdr>
                  <w:divsChild>
                    <w:div w:id="2101482463">
                      <w:marLeft w:val="0"/>
                      <w:marRight w:val="0"/>
                      <w:marTop w:val="0"/>
                      <w:marBottom w:val="0"/>
                      <w:divBdr>
                        <w:top w:val="none" w:sz="0" w:space="0" w:color="auto"/>
                        <w:left w:val="none" w:sz="0" w:space="0" w:color="auto"/>
                        <w:bottom w:val="none" w:sz="0" w:space="0" w:color="auto"/>
                        <w:right w:val="none" w:sz="0" w:space="0" w:color="auto"/>
                      </w:divBdr>
                      <w:divsChild>
                        <w:div w:id="1776749592">
                          <w:marLeft w:val="0"/>
                          <w:marRight w:val="0"/>
                          <w:marTop w:val="0"/>
                          <w:marBottom w:val="0"/>
                          <w:divBdr>
                            <w:top w:val="none" w:sz="0" w:space="0" w:color="auto"/>
                            <w:left w:val="none" w:sz="0" w:space="0" w:color="auto"/>
                            <w:bottom w:val="none" w:sz="0" w:space="0" w:color="auto"/>
                            <w:right w:val="none" w:sz="0" w:space="0" w:color="auto"/>
                          </w:divBdr>
                          <w:divsChild>
                            <w:div w:id="1513379145">
                              <w:marLeft w:val="0"/>
                              <w:marRight w:val="0"/>
                              <w:marTop w:val="0"/>
                              <w:marBottom w:val="0"/>
                              <w:divBdr>
                                <w:top w:val="none" w:sz="0" w:space="0" w:color="auto"/>
                                <w:left w:val="none" w:sz="0" w:space="0" w:color="auto"/>
                                <w:bottom w:val="none" w:sz="0" w:space="0" w:color="auto"/>
                                <w:right w:val="none" w:sz="0" w:space="0" w:color="auto"/>
                              </w:divBdr>
                              <w:divsChild>
                                <w:div w:id="1443452216">
                                  <w:marLeft w:val="0"/>
                                  <w:marRight w:val="0"/>
                                  <w:marTop w:val="0"/>
                                  <w:marBottom w:val="0"/>
                                  <w:divBdr>
                                    <w:top w:val="none" w:sz="0" w:space="0" w:color="auto"/>
                                    <w:left w:val="none" w:sz="0" w:space="0" w:color="auto"/>
                                    <w:bottom w:val="none" w:sz="0" w:space="0" w:color="auto"/>
                                    <w:right w:val="none" w:sz="0" w:space="0" w:color="auto"/>
                                  </w:divBdr>
                                  <w:divsChild>
                                    <w:div w:id="1983806828">
                                      <w:marLeft w:val="0"/>
                                      <w:marRight w:val="0"/>
                                      <w:marTop w:val="0"/>
                                      <w:marBottom w:val="0"/>
                                      <w:divBdr>
                                        <w:top w:val="none" w:sz="0" w:space="0" w:color="auto"/>
                                        <w:left w:val="none" w:sz="0" w:space="0" w:color="auto"/>
                                        <w:bottom w:val="none" w:sz="0" w:space="0" w:color="auto"/>
                                        <w:right w:val="none" w:sz="0" w:space="0" w:color="auto"/>
                                      </w:divBdr>
                                      <w:divsChild>
                                        <w:div w:id="459155201">
                                          <w:marLeft w:val="0"/>
                                          <w:marRight w:val="0"/>
                                          <w:marTop w:val="75"/>
                                          <w:marBottom w:val="0"/>
                                          <w:divBdr>
                                            <w:top w:val="none" w:sz="0" w:space="0" w:color="auto"/>
                                            <w:left w:val="none" w:sz="0" w:space="0" w:color="auto"/>
                                            <w:bottom w:val="none" w:sz="0" w:space="0" w:color="auto"/>
                                            <w:right w:val="none" w:sz="0" w:space="0" w:color="auto"/>
                                          </w:divBdr>
                                          <w:divsChild>
                                            <w:div w:id="16253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402230">
      <w:bodyDiv w:val="1"/>
      <w:marLeft w:val="0"/>
      <w:marRight w:val="0"/>
      <w:marTop w:val="0"/>
      <w:marBottom w:val="0"/>
      <w:divBdr>
        <w:top w:val="none" w:sz="0" w:space="0" w:color="auto"/>
        <w:left w:val="none" w:sz="0" w:space="0" w:color="auto"/>
        <w:bottom w:val="none" w:sz="0" w:space="0" w:color="auto"/>
        <w:right w:val="none" w:sz="0" w:space="0" w:color="auto"/>
      </w:divBdr>
    </w:div>
    <w:div w:id="489712258">
      <w:bodyDiv w:val="1"/>
      <w:marLeft w:val="0"/>
      <w:marRight w:val="0"/>
      <w:marTop w:val="0"/>
      <w:marBottom w:val="0"/>
      <w:divBdr>
        <w:top w:val="none" w:sz="0" w:space="0" w:color="auto"/>
        <w:left w:val="none" w:sz="0" w:space="0" w:color="auto"/>
        <w:bottom w:val="none" w:sz="0" w:space="0" w:color="auto"/>
        <w:right w:val="none" w:sz="0" w:space="0" w:color="auto"/>
      </w:divBdr>
    </w:div>
    <w:div w:id="549270019">
      <w:bodyDiv w:val="1"/>
      <w:marLeft w:val="0"/>
      <w:marRight w:val="0"/>
      <w:marTop w:val="0"/>
      <w:marBottom w:val="0"/>
      <w:divBdr>
        <w:top w:val="none" w:sz="0" w:space="0" w:color="auto"/>
        <w:left w:val="none" w:sz="0" w:space="0" w:color="auto"/>
        <w:bottom w:val="none" w:sz="0" w:space="0" w:color="auto"/>
        <w:right w:val="none" w:sz="0" w:space="0" w:color="auto"/>
      </w:divBdr>
      <w:divsChild>
        <w:div w:id="679039800">
          <w:marLeft w:val="0"/>
          <w:marRight w:val="0"/>
          <w:marTop w:val="0"/>
          <w:marBottom w:val="0"/>
          <w:divBdr>
            <w:top w:val="none" w:sz="0" w:space="0" w:color="auto"/>
            <w:left w:val="none" w:sz="0" w:space="0" w:color="auto"/>
            <w:bottom w:val="none" w:sz="0" w:space="0" w:color="auto"/>
            <w:right w:val="none" w:sz="0" w:space="0" w:color="auto"/>
          </w:divBdr>
          <w:divsChild>
            <w:div w:id="62534334">
              <w:marLeft w:val="0"/>
              <w:marRight w:val="0"/>
              <w:marTop w:val="0"/>
              <w:marBottom w:val="0"/>
              <w:divBdr>
                <w:top w:val="none" w:sz="0" w:space="0" w:color="auto"/>
                <w:left w:val="none" w:sz="0" w:space="0" w:color="auto"/>
                <w:bottom w:val="none" w:sz="0" w:space="0" w:color="auto"/>
                <w:right w:val="none" w:sz="0" w:space="0" w:color="auto"/>
              </w:divBdr>
              <w:divsChild>
                <w:div w:id="990062228">
                  <w:marLeft w:val="0"/>
                  <w:marRight w:val="0"/>
                  <w:marTop w:val="0"/>
                  <w:marBottom w:val="0"/>
                  <w:divBdr>
                    <w:top w:val="none" w:sz="0" w:space="0" w:color="auto"/>
                    <w:left w:val="none" w:sz="0" w:space="0" w:color="auto"/>
                    <w:bottom w:val="none" w:sz="0" w:space="0" w:color="auto"/>
                    <w:right w:val="none" w:sz="0" w:space="0" w:color="auto"/>
                  </w:divBdr>
                  <w:divsChild>
                    <w:div w:id="242497535">
                      <w:marLeft w:val="0"/>
                      <w:marRight w:val="0"/>
                      <w:marTop w:val="0"/>
                      <w:marBottom w:val="0"/>
                      <w:divBdr>
                        <w:top w:val="none" w:sz="0" w:space="0" w:color="auto"/>
                        <w:left w:val="none" w:sz="0" w:space="0" w:color="auto"/>
                        <w:bottom w:val="none" w:sz="0" w:space="0" w:color="auto"/>
                        <w:right w:val="none" w:sz="0" w:space="0" w:color="auto"/>
                      </w:divBdr>
                      <w:divsChild>
                        <w:div w:id="383798951">
                          <w:marLeft w:val="0"/>
                          <w:marRight w:val="0"/>
                          <w:marTop w:val="0"/>
                          <w:marBottom w:val="0"/>
                          <w:divBdr>
                            <w:top w:val="none" w:sz="0" w:space="0" w:color="auto"/>
                            <w:left w:val="none" w:sz="0" w:space="0" w:color="auto"/>
                            <w:bottom w:val="none" w:sz="0" w:space="0" w:color="auto"/>
                            <w:right w:val="none" w:sz="0" w:space="0" w:color="auto"/>
                          </w:divBdr>
                          <w:divsChild>
                            <w:div w:id="19223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401407">
      <w:bodyDiv w:val="1"/>
      <w:marLeft w:val="0"/>
      <w:marRight w:val="0"/>
      <w:marTop w:val="0"/>
      <w:marBottom w:val="0"/>
      <w:divBdr>
        <w:top w:val="none" w:sz="0" w:space="0" w:color="auto"/>
        <w:left w:val="none" w:sz="0" w:space="0" w:color="auto"/>
        <w:bottom w:val="none" w:sz="0" w:space="0" w:color="auto"/>
        <w:right w:val="none" w:sz="0" w:space="0" w:color="auto"/>
      </w:divBdr>
    </w:div>
    <w:div w:id="584147700">
      <w:bodyDiv w:val="1"/>
      <w:marLeft w:val="0"/>
      <w:marRight w:val="0"/>
      <w:marTop w:val="0"/>
      <w:marBottom w:val="0"/>
      <w:divBdr>
        <w:top w:val="none" w:sz="0" w:space="0" w:color="auto"/>
        <w:left w:val="none" w:sz="0" w:space="0" w:color="auto"/>
        <w:bottom w:val="none" w:sz="0" w:space="0" w:color="auto"/>
        <w:right w:val="none" w:sz="0" w:space="0" w:color="auto"/>
      </w:divBdr>
    </w:div>
    <w:div w:id="936256789">
      <w:bodyDiv w:val="1"/>
      <w:marLeft w:val="0"/>
      <w:marRight w:val="0"/>
      <w:marTop w:val="0"/>
      <w:marBottom w:val="0"/>
      <w:divBdr>
        <w:top w:val="none" w:sz="0" w:space="0" w:color="auto"/>
        <w:left w:val="none" w:sz="0" w:space="0" w:color="auto"/>
        <w:bottom w:val="none" w:sz="0" w:space="0" w:color="auto"/>
        <w:right w:val="none" w:sz="0" w:space="0" w:color="auto"/>
      </w:divBdr>
    </w:div>
    <w:div w:id="937562382">
      <w:bodyDiv w:val="1"/>
      <w:marLeft w:val="0"/>
      <w:marRight w:val="0"/>
      <w:marTop w:val="0"/>
      <w:marBottom w:val="0"/>
      <w:divBdr>
        <w:top w:val="none" w:sz="0" w:space="0" w:color="auto"/>
        <w:left w:val="none" w:sz="0" w:space="0" w:color="auto"/>
        <w:bottom w:val="none" w:sz="0" w:space="0" w:color="auto"/>
        <w:right w:val="none" w:sz="0" w:space="0" w:color="auto"/>
      </w:divBdr>
    </w:div>
    <w:div w:id="996810676">
      <w:bodyDiv w:val="1"/>
      <w:marLeft w:val="0"/>
      <w:marRight w:val="0"/>
      <w:marTop w:val="0"/>
      <w:marBottom w:val="0"/>
      <w:divBdr>
        <w:top w:val="none" w:sz="0" w:space="0" w:color="auto"/>
        <w:left w:val="none" w:sz="0" w:space="0" w:color="auto"/>
        <w:bottom w:val="none" w:sz="0" w:space="0" w:color="auto"/>
        <w:right w:val="none" w:sz="0" w:space="0" w:color="auto"/>
      </w:divBdr>
    </w:div>
    <w:div w:id="1912035922">
      <w:bodyDiv w:val="1"/>
      <w:marLeft w:val="0"/>
      <w:marRight w:val="0"/>
      <w:marTop w:val="0"/>
      <w:marBottom w:val="0"/>
      <w:divBdr>
        <w:top w:val="none" w:sz="0" w:space="0" w:color="auto"/>
        <w:left w:val="none" w:sz="0" w:space="0" w:color="auto"/>
        <w:bottom w:val="none" w:sz="0" w:space="0" w:color="auto"/>
        <w:right w:val="none" w:sz="0" w:space="0" w:color="auto"/>
      </w:divBdr>
      <w:divsChild>
        <w:div w:id="1578662113">
          <w:marLeft w:val="0"/>
          <w:marRight w:val="0"/>
          <w:marTop w:val="0"/>
          <w:marBottom w:val="0"/>
          <w:divBdr>
            <w:top w:val="none" w:sz="0" w:space="0" w:color="auto"/>
            <w:left w:val="none" w:sz="0" w:space="0" w:color="auto"/>
            <w:bottom w:val="none" w:sz="0" w:space="0" w:color="auto"/>
            <w:right w:val="none" w:sz="0" w:space="0" w:color="auto"/>
          </w:divBdr>
          <w:divsChild>
            <w:div w:id="897478386">
              <w:marLeft w:val="0"/>
              <w:marRight w:val="0"/>
              <w:marTop w:val="0"/>
              <w:marBottom w:val="0"/>
              <w:divBdr>
                <w:top w:val="none" w:sz="0" w:space="0" w:color="auto"/>
                <w:left w:val="none" w:sz="0" w:space="0" w:color="auto"/>
                <w:bottom w:val="none" w:sz="0" w:space="0" w:color="auto"/>
                <w:right w:val="none" w:sz="0" w:space="0" w:color="auto"/>
              </w:divBdr>
              <w:divsChild>
                <w:div w:id="1459256977">
                  <w:marLeft w:val="0"/>
                  <w:marRight w:val="0"/>
                  <w:marTop w:val="0"/>
                  <w:marBottom w:val="0"/>
                  <w:divBdr>
                    <w:top w:val="none" w:sz="0" w:space="0" w:color="auto"/>
                    <w:left w:val="none" w:sz="0" w:space="0" w:color="auto"/>
                    <w:bottom w:val="none" w:sz="0" w:space="0" w:color="auto"/>
                    <w:right w:val="none" w:sz="0" w:space="0" w:color="auto"/>
                  </w:divBdr>
                  <w:divsChild>
                    <w:div w:id="249237017">
                      <w:marLeft w:val="0"/>
                      <w:marRight w:val="0"/>
                      <w:marTop w:val="0"/>
                      <w:marBottom w:val="0"/>
                      <w:divBdr>
                        <w:top w:val="none" w:sz="0" w:space="0" w:color="auto"/>
                        <w:left w:val="none" w:sz="0" w:space="0" w:color="auto"/>
                        <w:bottom w:val="none" w:sz="0" w:space="0" w:color="auto"/>
                        <w:right w:val="none" w:sz="0" w:space="0" w:color="auto"/>
                      </w:divBdr>
                      <w:divsChild>
                        <w:div w:id="1742487784">
                          <w:marLeft w:val="0"/>
                          <w:marRight w:val="0"/>
                          <w:marTop w:val="0"/>
                          <w:marBottom w:val="0"/>
                          <w:divBdr>
                            <w:top w:val="none" w:sz="0" w:space="0" w:color="auto"/>
                            <w:left w:val="none" w:sz="0" w:space="0" w:color="auto"/>
                            <w:bottom w:val="none" w:sz="0" w:space="0" w:color="auto"/>
                            <w:right w:val="none" w:sz="0" w:space="0" w:color="auto"/>
                          </w:divBdr>
                          <w:divsChild>
                            <w:div w:id="6283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223343">
      <w:bodyDiv w:val="1"/>
      <w:marLeft w:val="0"/>
      <w:marRight w:val="0"/>
      <w:marTop w:val="0"/>
      <w:marBottom w:val="0"/>
      <w:divBdr>
        <w:top w:val="none" w:sz="0" w:space="0" w:color="auto"/>
        <w:left w:val="none" w:sz="0" w:space="0" w:color="auto"/>
        <w:bottom w:val="none" w:sz="0" w:space="0" w:color="auto"/>
        <w:right w:val="none" w:sz="0" w:space="0" w:color="auto"/>
      </w:divBdr>
      <w:divsChild>
        <w:div w:id="951787966">
          <w:marLeft w:val="0"/>
          <w:marRight w:val="0"/>
          <w:marTop w:val="0"/>
          <w:marBottom w:val="0"/>
          <w:divBdr>
            <w:top w:val="none" w:sz="0" w:space="0" w:color="auto"/>
            <w:left w:val="none" w:sz="0" w:space="0" w:color="auto"/>
            <w:bottom w:val="none" w:sz="0" w:space="0" w:color="auto"/>
            <w:right w:val="none" w:sz="0" w:space="0" w:color="auto"/>
          </w:divBdr>
          <w:divsChild>
            <w:div w:id="1236666810">
              <w:marLeft w:val="0"/>
              <w:marRight w:val="0"/>
              <w:marTop w:val="0"/>
              <w:marBottom w:val="0"/>
              <w:divBdr>
                <w:top w:val="none" w:sz="0" w:space="0" w:color="auto"/>
                <w:left w:val="none" w:sz="0" w:space="0" w:color="auto"/>
                <w:bottom w:val="none" w:sz="0" w:space="0" w:color="auto"/>
                <w:right w:val="none" w:sz="0" w:space="0" w:color="auto"/>
              </w:divBdr>
              <w:divsChild>
                <w:div w:id="2144421571">
                  <w:marLeft w:val="0"/>
                  <w:marRight w:val="0"/>
                  <w:marTop w:val="0"/>
                  <w:marBottom w:val="0"/>
                  <w:divBdr>
                    <w:top w:val="none" w:sz="0" w:space="0" w:color="auto"/>
                    <w:left w:val="none" w:sz="0" w:space="0" w:color="auto"/>
                    <w:bottom w:val="none" w:sz="0" w:space="0" w:color="auto"/>
                    <w:right w:val="none" w:sz="0" w:space="0" w:color="auto"/>
                  </w:divBdr>
                  <w:divsChild>
                    <w:div w:id="348795737">
                      <w:marLeft w:val="0"/>
                      <w:marRight w:val="0"/>
                      <w:marTop w:val="0"/>
                      <w:marBottom w:val="0"/>
                      <w:divBdr>
                        <w:top w:val="none" w:sz="0" w:space="0" w:color="auto"/>
                        <w:left w:val="none" w:sz="0" w:space="0" w:color="auto"/>
                        <w:bottom w:val="none" w:sz="0" w:space="0" w:color="auto"/>
                        <w:right w:val="none" w:sz="0" w:space="0" w:color="auto"/>
                      </w:divBdr>
                      <w:divsChild>
                        <w:div w:id="1246652767">
                          <w:marLeft w:val="0"/>
                          <w:marRight w:val="0"/>
                          <w:marTop w:val="0"/>
                          <w:marBottom w:val="0"/>
                          <w:divBdr>
                            <w:top w:val="none" w:sz="0" w:space="0" w:color="auto"/>
                            <w:left w:val="none" w:sz="0" w:space="0" w:color="auto"/>
                            <w:bottom w:val="none" w:sz="0" w:space="0" w:color="auto"/>
                            <w:right w:val="none" w:sz="0" w:space="0" w:color="auto"/>
                          </w:divBdr>
                          <w:divsChild>
                            <w:div w:id="1065954632">
                              <w:marLeft w:val="0"/>
                              <w:marRight w:val="0"/>
                              <w:marTop w:val="0"/>
                              <w:marBottom w:val="0"/>
                              <w:divBdr>
                                <w:top w:val="none" w:sz="0" w:space="0" w:color="auto"/>
                                <w:left w:val="none" w:sz="0" w:space="0" w:color="auto"/>
                                <w:bottom w:val="none" w:sz="0" w:space="0" w:color="auto"/>
                                <w:right w:val="none" w:sz="0" w:space="0" w:color="auto"/>
                              </w:divBdr>
                              <w:divsChild>
                                <w:div w:id="1057557903">
                                  <w:marLeft w:val="0"/>
                                  <w:marRight w:val="0"/>
                                  <w:marTop w:val="0"/>
                                  <w:marBottom w:val="0"/>
                                  <w:divBdr>
                                    <w:top w:val="none" w:sz="0" w:space="0" w:color="auto"/>
                                    <w:left w:val="none" w:sz="0" w:space="0" w:color="auto"/>
                                    <w:bottom w:val="none" w:sz="0" w:space="0" w:color="auto"/>
                                    <w:right w:val="none" w:sz="0" w:space="0" w:color="auto"/>
                                  </w:divBdr>
                                  <w:divsChild>
                                    <w:div w:id="1488208078">
                                      <w:marLeft w:val="0"/>
                                      <w:marRight w:val="0"/>
                                      <w:marTop w:val="0"/>
                                      <w:marBottom w:val="0"/>
                                      <w:divBdr>
                                        <w:top w:val="none" w:sz="0" w:space="0" w:color="auto"/>
                                        <w:left w:val="none" w:sz="0" w:space="0" w:color="auto"/>
                                        <w:bottom w:val="none" w:sz="0" w:space="0" w:color="auto"/>
                                        <w:right w:val="none" w:sz="0" w:space="0" w:color="auto"/>
                                      </w:divBdr>
                                      <w:divsChild>
                                        <w:div w:id="65153359">
                                          <w:marLeft w:val="0"/>
                                          <w:marRight w:val="0"/>
                                          <w:marTop w:val="75"/>
                                          <w:marBottom w:val="0"/>
                                          <w:divBdr>
                                            <w:top w:val="none" w:sz="0" w:space="0" w:color="auto"/>
                                            <w:left w:val="none" w:sz="0" w:space="0" w:color="auto"/>
                                            <w:bottom w:val="none" w:sz="0" w:space="0" w:color="auto"/>
                                            <w:right w:val="none" w:sz="0" w:space="0" w:color="auto"/>
                                          </w:divBdr>
                                          <w:divsChild>
                                            <w:div w:id="6775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pta.gov.au/" TargetMode="Externa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pta.gov.au" TargetMode="External"/></Relationships>
</file>

<file path=word/theme/theme1.xml><?xml version="1.0" encoding="utf-8"?>
<a:theme xmlns:a="http://schemas.openxmlformats.org/drawingml/2006/main" name="Resource">
  <a:themeElements>
    <a:clrScheme name="Resources">
      <a:dk1>
        <a:sysClr val="windowText" lastClr="000000"/>
      </a:dk1>
      <a:lt1>
        <a:sysClr val="window" lastClr="FFFFFF"/>
      </a:lt1>
      <a:dk2>
        <a:srgbClr val="58595B"/>
      </a:dk2>
      <a:lt2>
        <a:srgbClr val="939598"/>
      </a:lt2>
      <a:accent1>
        <a:srgbClr val="CF4520"/>
      </a:accent1>
      <a:accent2>
        <a:srgbClr val="963821"/>
      </a:accent2>
      <a:accent3>
        <a:srgbClr val="E5B13D"/>
      </a:accent3>
      <a:accent4>
        <a:srgbClr val="71CC98"/>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rePublishingDocumentCategory xmlns="c0b4bd0a-f6ac-422c-a0b2-ddc3a705a698" xsi:nil="true"/>
    <IncludeInNotificationsAndUpdates xmlns="a0ca9f47-0bbb-4d70-97bd-db366ea26c83">true</IncludeInNotificationsAndUpdates>
    <KeywordsLookupField xmlns="c0b4bd0a-f6ac-422c-a0b2-ddc3a705a698"/>
    <CorePublishingFileReference xmlns="a0ca9f47-0bbb-4d70-97bd-db366ea26c83">55299</CorePublishingFileReference>
    <IPSCategory xmlns="a0ca9f47-0bbb-4d70-97bd-db366ea26c83" xsi:nil="true"/>
    <CorePublishingComments xmlns="a0ca9f47-0bbb-4d70-97bd-db366ea26c83" xsi:nil="true"/>
    <CorePublishingDocumentChangeDescription xmlns="a0ca9f47-0bbb-4d70-97bd-db366ea26c83" xsi:nil="true"/>
    <SubjectLookupField xmlns="c0b4bd0a-f6ac-422c-a0b2-ddc3a705a698"/>
    <CorePublishingDocumentContact xmlns="a0ca9f47-0bbb-4d70-97bd-db366ea26c83">
      <UserInfo>
        <DisplayName/>
        <AccountId xsi:nil="true"/>
        <AccountType/>
      </UserInfo>
    </CorePublishingDocumentContact>
    <IncludeInRSSFeeds xmlns="a0ca9f47-0bbb-4d70-97bd-db366ea26c83">false</IncludeInRSSFeeds>
    <DocumentRollupCategory xmlns="c0b4bd0a-f6ac-422c-a0b2-ddc3a705a698"/>
    <IncludeInContentRollups xmlns="a0ca9f47-0bbb-4d70-97bd-db366ea26c83">false</IncludeInContentRollups>
  </documentManagement>
</p:properties>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1775534249D0942B1A68B6171242DC3" ma:contentTypeVersion="77" ma:contentTypeDescription="Core Publishing Document, inherited from OOTB document." ma:contentTypeScope="" ma:versionID="99bd5c4742a2427271156ac201da1377">
  <xsd:schema xmlns:xsd="http://www.w3.org/2001/XMLSchema" xmlns:xs="http://www.w3.org/2001/XMLSchema" xmlns:p="http://schemas.microsoft.com/office/2006/metadata/properties" xmlns:ns1="http://schemas.microsoft.com/sharepoint/v3" xmlns:ns2="a0ca9f47-0bbb-4d70-97bd-db366ea26c83" xmlns:ns3="c0b4bd0a-f6ac-422c-a0b2-ddc3a705a698" targetNamespace="http://schemas.microsoft.com/office/2006/metadata/properties" ma:root="true" ma:fieldsID="cdb32ea6a5c4700513053831719e9180" ns1:_="" ns2:_="" ns3:_="">
    <xsd:import namespace="http://schemas.microsoft.com/sharepoint/v3"/>
    <xsd:import namespace="a0ca9f47-0bbb-4d70-97bd-db366ea26c83"/>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a9f47-0bbb-4d70-97bd-db366ea26c83"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F68F3-84A2-498E-BD7C-AB42B99DCC29}"/>
</file>

<file path=customXml/itemProps2.xml><?xml version="1.0" encoding="utf-8"?>
<ds:datastoreItem xmlns:ds="http://schemas.openxmlformats.org/officeDocument/2006/customXml" ds:itemID="{571E5E42-746E-4C1D-8383-4D26827E3578}"/>
</file>

<file path=customXml/itemProps3.xml><?xml version="1.0" encoding="utf-8"?>
<ds:datastoreItem xmlns:ds="http://schemas.openxmlformats.org/officeDocument/2006/customXml" ds:itemID="{A8C78227-AEA8-4E07-A5B4-282EA14479B0}"/>
</file>

<file path=customXml/itemProps4.xml><?xml version="1.0" encoding="utf-8"?>
<ds:datastoreItem xmlns:ds="http://schemas.openxmlformats.org/officeDocument/2006/customXml" ds:itemID="{4F5AD910-D97C-4C54-A4BA-057940E9576A}"/>
</file>

<file path=docProps/app.xml><?xml version="1.0" encoding="utf-8"?>
<Properties xmlns="http://schemas.openxmlformats.org/officeDocument/2006/extended-properties" xmlns:vt="http://schemas.openxmlformats.org/officeDocument/2006/docPropsVTypes">
  <Template>Normal</Template>
  <TotalTime>87</TotalTime>
  <Pages>19</Pages>
  <Words>6932</Words>
  <Characters>39514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Draft response - ministerial review 2015</vt:lpstr>
    </vt:vector>
  </TitlesOfParts>
  <Company>DIISRTE</Company>
  <LinksUpToDate>false</LinksUpToDate>
  <CharactersWithSpaces>46354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2015 Operational Review of NOPTA </dc:title>
  <dc:creator>Paul Gunning</dc:creator>
  <cp:lastModifiedBy>Bee, Christina</cp:lastModifiedBy>
  <cp:revision>11</cp:revision>
  <cp:lastPrinted>2015-08-17T04:14:00Z</cp:lastPrinted>
  <dcterms:created xsi:type="dcterms:W3CDTF">2015-09-24T05:01:00Z</dcterms:created>
  <dcterms:modified xsi:type="dcterms:W3CDTF">2015-12-01T23:39:00Z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0x01010097F86F0C24D64525B252BB20BD9D45A700C1775534249D0942B1A68B6171242DC3</vt:lpwstr>
  </property>
</Properties>
</file>