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rPr>
        <w:id w:val="1056665222"/>
        <w:docPartObj>
          <w:docPartGallery w:val="Cover Pages"/>
          <w:docPartUnique/>
        </w:docPartObj>
      </w:sdtPr>
      <w:sdtEndPr/>
      <w:sdtContent>
        <w:tbl>
          <w:tblPr>
            <w:tblW w:w="0" w:type="auto"/>
            <w:tblLook w:val="04A0" w:firstRow="1" w:lastRow="0" w:firstColumn="1" w:lastColumn="0" w:noHBand="0" w:noVBand="1"/>
          </w:tblPr>
          <w:tblGrid>
            <w:gridCol w:w="9026"/>
          </w:tblGrid>
          <w:tr w:rsidR="00260D4F" w:rsidRPr="001276C9" w14:paraId="529A760C" w14:textId="77777777" w:rsidTr="00EE6FA3">
            <w:trPr>
              <w:cantSplit/>
              <w:trHeight w:val="1418"/>
            </w:trPr>
            <w:tc>
              <w:tcPr>
                <w:tcW w:w="9242" w:type="dxa"/>
              </w:tcPr>
              <w:p w14:paraId="7A1A00B7" w14:textId="165014DE" w:rsidR="00260D4F" w:rsidRPr="001276C9" w:rsidRDefault="000A4055" w:rsidP="00EE6FA3">
                <w:pPr>
                  <w:pStyle w:val="CoverNormal"/>
                </w:pPr>
                <w:r w:rsidRPr="000A4055">
                  <w:rPr>
                    <w:noProof/>
                    <w:lang w:eastAsia="en-AU"/>
                  </w:rPr>
                  <w:drawing>
                    <wp:anchor distT="0" distB="0" distL="114300" distR="114300" simplePos="0" relativeHeight="251660294" behindDoc="0" locked="0" layoutInCell="1" allowOverlap="1" wp14:anchorId="1AF2C396" wp14:editId="65AD12E7">
                      <wp:simplePos x="0" y="0"/>
                      <wp:positionH relativeFrom="column">
                        <wp:posOffset>2755265</wp:posOffset>
                      </wp:positionH>
                      <wp:positionV relativeFrom="paragraph">
                        <wp:posOffset>0</wp:posOffset>
                      </wp:positionV>
                      <wp:extent cx="2892425" cy="454025"/>
                      <wp:effectExtent l="0" t="0" r="3175" b="3175"/>
                      <wp:wrapSquare wrapText="bothSides"/>
                      <wp:docPr id="14" name="Picture 14" title="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2425" cy="454025"/>
                              </a:xfrm>
                              <a:prstGeom prst="rect">
                                <a:avLst/>
                              </a:prstGeom>
                            </pic:spPr>
                          </pic:pic>
                        </a:graphicData>
                      </a:graphic>
                      <wp14:sizeRelH relativeFrom="margin">
                        <wp14:pctWidth>0</wp14:pctWidth>
                      </wp14:sizeRelH>
                      <wp14:sizeRelV relativeFrom="margin">
                        <wp14:pctHeight>0</wp14:pctHeight>
                      </wp14:sizeRelV>
                    </wp:anchor>
                  </w:drawing>
                </w:r>
                <w:r w:rsidRPr="000A4055">
                  <w:rPr>
                    <w:noProof/>
                    <w:lang w:eastAsia="en-AU"/>
                  </w:rPr>
                  <w:drawing>
                    <wp:anchor distT="0" distB="0" distL="114300" distR="114300" simplePos="0" relativeHeight="251661318" behindDoc="0" locked="0" layoutInCell="1" allowOverlap="1" wp14:anchorId="0EE8F364" wp14:editId="3BBB044E">
                      <wp:simplePos x="0" y="0"/>
                      <wp:positionH relativeFrom="column">
                        <wp:posOffset>0</wp:posOffset>
                      </wp:positionH>
                      <wp:positionV relativeFrom="paragraph">
                        <wp:posOffset>0</wp:posOffset>
                      </wp:positionV>
                      <wp:extent cx="2610485" cy="678815"/>
                      <wp:effectExtent l="0" t="0" r="0" b="6985"/>
                      <wp:wrapSquare wrapText="bothSides"/>
                      <wp:docPr id="30" name="Picture 30" title="Economic Data and Analysi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40949.9BC999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61048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0D4F" w:rsidRPr="001276C9" w14:paraId="0D43C99D" w14:textId="77777777" w:rsidTr="00EE6FA3">
            <w:trPr>
              <w:cantSplit/>
              <w:trHeight w:hRule="exact" w:val="1417"/>
            </w:trPr>
            <w:tc>
              <w:tcPr>
                <w:tcW w:w="9242" w:type="dxa"/>
                <w:vAlign w:val="bottom"/>
              </w:tcPr>
              <w:p w14:paraId="0AAF9715" w14:textId="0AD220C2" w:rsidR="00260D4F" w:rsidRPr="001276C9" w:rsidRDefault="00260D4F" w:rsidP="00CD6ED5">
                <w:pPr>
                  <w:pStyle w:val="ResearchPaper"/>
                </w:pPr>
                <w:r w:rsidRPr="001276C9">
                  <w:t xml:space="preserve">Research Paper </w:t>
                </w:r>
                <w:r w:rsidR="00CD6ED5">
                  <w:t>4</w:t>
                </w:r>
                <w:r w:rsidR="00516CEF">
                  <w:t>/2019</w:t>
                </w:r>
              </w:p>
            </w:tc>
          </w:tr>
          <w:tr w:rsidR="00260D4F" w:rsidRPr="001276C9" w14:paraId="440A9BB2" w14:textId="77777777" w:rsidTr="00EE6FA3">
            <w:trPr>
              <w:cantSplit/>
            </w:trPr>
            <w:sdt>
              <w:sdtPr>
                <w:rPr>
                  <w:rStyle w:val="TitleHeadingChar"/>
                  <w:b/>
                </w:rPr>
                <w:alias w:val="Research Paper Title"/>
                <w:tag w:val="Research Paper Title"/>
                <w:id w:val="803742244"/>
                <w:placeholder>
                  <w:docPart w:val="BFF8F38B84904F8E828C43E2D997CAE7"/>
                </w:placeholder>
              </w:sdtPr>
              <w:sdtEndPr>
                <w:rPr>
                  <w:rStyle w:val="DefaultParagraphFont"/>
                </w:rPr>
              </w:sdtEndPr>
              <w:sdtContent>
                <w:tc>
                  <w:tcPr>
                    <w:tcW w:w="9242" w:type="dxa"/>
                  </w:tcPr>
                  <w:p w14:paraId="7C9A3C5C" w14:textId="31CBF939" w:rsidR="00260D4F" w:rsidRPr="001276C9" w:rsidRDefault="00EF1636" w:rsidP="00BD4780">
                    <w:pPr>
                      <w:pStyle w:val="TitleHeading"/>
                      <w:rPr>
                        <w:b/>
                      </w:rPr>
                    </w:pPr>
                    <w:r w:rsidRPr="001276C9">
                      <w:rPr>
                        <w:rStyle w:val="TitleHeadingChar"/>
                        <w:sz w:val="64"/>
                        <w:szCs w:val="64"/>
                      </w:rPr>
                      <w:t>I</w:t>
                    </w:r>
                    <w:r w:rsidR="004E2AAA" w:rsidRPr="001276C9">
                      <w:rPr>
                        <w:rStyle w:val="TitleHeadingChar"/>
                        <w:sz w:val="64"/>
                        <w:szCs w:val="64"/>
                      </w:rPr>
                      <w:t>mpact of</w:t>
                    </w:r>
                    <w:r w:rsidR="00977E29" w:rsidRPr="001276C9">
                      <w:rPr>
                        <w:rStyle w:val="TitleHeadingChar"/>
                        <w:sz w:val="64"/>
                        <w:szCs w:val="64"/>
                      </w:rPr>
                      <w:t xml:space="preserve"> </w:t>
                    </w:r>
                    <w:r w:rsidR="00260D4F" w:rsidRPr="001276C9">
                      <w:rPr>
                        <w:rStyle w:val="TitleHeadingChar"/>
                        <w:sz w:val="64"/>
                        <w:szCs w:val="64"/>
                      </w:rPr>
                      <w:t>Commercialisation Australia</w:t>
                    </w:r>
                    <w:r w:rsidR="004E2AAA" w:rsidRPr="001276C9">
                      <w:rPr>
                        <w:rStyle w:val="TitleHeadingChar"/>
                        <w:sz w:val="64"/>
                        <w:szCs w:val="64"/>
                      </w:rPr>
                      <w:t xml:space="preserve"> on </w:t>
                    </w:r>
                    <w:r w:rsidR="00BD4780" w:rsidRPr="001276C9">
                      <w:rPr>
                        <w:rStyle w:val="TitleHeadingChar"/>
                        <w:sz w:val="64"/>
                        <w:szCs w:val="64"/>
                      </w:rPr>
                      <w:t>Business Performance</w:t>
                    </w:r>
                  </w:p>
                </w:tc>
              </w:sdtContent>
            </w:sdt>
          </w:tr>
          <w:tr w:rsidR="00260D4F" w:rsidRPr="001276C9" w14:paraId="4D4C8826" w14:textId="77777777" w:rsidTr="00EE6FA3">
            <w:trPr>
              <w:cantSplit/>
            </w:trPr>
            <w:tc>
              <w:tcPr>
                <w:tcW w:w="9242" w:type="dxa"/>
                <w:vAlign w:val="center"/>
              </w:tcPr>
              <w:p w14:paraId="6603C252" w14:textId="77777777" w:rsidR="00260D4F" w:rsidRPr="001276C9" w:rsidRDefault="00260D4F" w:rsidP="00EE6FA3">
                <w:pPr>
                  <w:pStyle w:val="Author"/>
                </w:pPr>
                <w:r w:rsidRPr="001276C9">
                  <w:t>Sasan Bakhtiari</w:t>
                </w:r>
              </w:p>
              <w:p w14:paraId="3942A8A5" w14:textId="77777777" w:rsidR="00260D4F" w:rsidRPr="001276C9" w:rsidRDefault="00260D4F" w:rsidP="00EE6FA3">
                <w:pPr>
                  <w:pStyle w:val="Author"/>
                </w:pPr>
                <w:r w:rsidRPr="001276C9">
                  <w:t>Angelina Bruno</w:t>
                </w:r>
              </w:p>
            </w:tc>
          </w:tr>
          <w:tr w:rsidR="00260D4F" w:rsidRPr="001276C9" w14:paraId="5C25258D" w14:textId="77777777" w:rsidTr="00EE6FA3">
            <w:trPr>
              <w:cantSplit/>
            </w:trPr>
            <w:tc>
              <w:tcPr>
                <w:tcW w:w="9242" w:type="dxa"/>
                <w:vAlign w:val="center"/>
              </w:tcPr>
              <w:p w14:paraId="0C0FFB37" w14:textId="3FE48131" w:rsidR="00260D4F" w:rsidRPr="001276C9" w:rsidRDefault="00260D4F" w:rsidP="003072A2">
                <w:pPr>
                  <w:pStyle w:val="MonthYear"/>
                </w:pPr>
                <w:r w:rsidRPr="001276C9">
                  <w:fldChar w:fldCharType="begin"/>
                </w:r>
                <w:r w:rsidRPr="001276C9">
                  <w:instrText xml:space="preserve"> DATE  \@ "MMMM yyyy"  \* MERGEFORMAT </w:instrText>
                </w:r>
                <w:r w:rsidRPr="001276C9">
                  <w:fldChar w:fldCharType="separate"/>
                </w:r>
                <w:r w:rsidR="00F47C7A">
                  <w:rPr>
                    <w:noProof/>
                  </w:rPr>
                  <w:t>May 2020</w:t>
                </w:r>
                <w:r w:rsidRPr="001276C9">
                  <w:fldChar w:fldCharType="end"/>
                </w:r>
              </w:p>
            </w:tc>
          </w:tr>
          <w:tr w:rsidR="00260D4F" w:rsidRPr="001276C9" w14:paraId="62F08A4D" w14:textId="77777777" w:rsidTr="00EE6FA3">
            <w:trPr>
              <w:cantSplit/>
              <w:trHeight w:val="765"/>
            </w:trPr>
            <w:tc>
              <w:tcPr>
                <w:tcW w:w="9242" w:type="dxa"/>
              </w:tcPr>
              <w:p w14:paraId="181E7162" w14:textId="77777777" w:rsidR="00260D4F" w:rsidRPr="001276C9" w:rsidRDefault="00260D4F" w:rsidP="00EE6FA3">
                <w:pPr>
                  <w:pStyle w:val="AbstractHeader"/>
                </w:pPr>
                <w:r w:rsidRPr="001276C9">
                  <w:t>Abstract</w:t>
                </w:r>
              </w:p>
            </w:tc>
          </w:tr>
          <w:tr w:rsidR="00260D4F" w:rsidRPr="001276C9" w14:paraId="4E8C164F" w14:textId="77777777" w:rsidTr="00EE6FA3">
            <w:trPr>
              <w:cantSplit/>
              <w:trHeight w:val="1125"/>
            </w:trPr>
            <w:tc>
              <w:tcPr>
                <w:tcW w:w="9242" w:type="dxa"/>
              </w:tcPr>
              <w:p w14:paraId="6BC9E78A" w14:textId="3C2DEF8D" w:rsidR="00D74021" w:rsidRPr="001276C9" w:rsidRDefault="00D74021" w:rsidP="00D74021">
                <w:pPr>
                  <w:pStyle w:val="AbstractText"/>
                </w:pPr>
                <w:r w:rsidRPr="001276C9">
                  <w:t>Commercialisation Australia</w:t>
                </w:r>
                <w:r w:rsidR="00851838" w:rsidRPr="001276C9">
                  <w:t xml:space="preserve"> (CA)</w:t>
                </w:r>
                <w:r w:rsidRPr="001276C9">
                  <w:t xml:space="preserve"> </w:t>
                </w:r>
                <w:r w:rsidR="004D7C6B" w:rsidRPr="001276C9">
                  <w:t>was</w:t>
                </w:r>
                <w:r w:rsidR="00260D4F" w:rsidRPr="001276C9">
                  <w:t xml:space="preserve"> a</w:t>
                </w:r>
                <w:r w:rsidR="004D7C6B" w:rsidRPr="001276C9">
                  <w:t>n Australian</w:t>
                </w:r>
                <w:r w:rsidR="00260D4F" w:rsidRPr="001276C9">
                  <w:t xml:space="preserve"> </w:t>
                </w:r>
                <w:r w:rsidR="005E1007" w:rsidRPr="001276C9">
                  <w:t xml:space="preserve">government </w:t>
                </w:r>
                <w:r w:rsidR="00260D4F" w:rsidRPr="001276C9">
                  <w:t xml:space="preserve">grant </w:t>
                </w:r>
                <w:r w:rsidR="008D2D4B" w:rsidRPr="001276C9">
                  <w:t>program</w:t>
                </w:r>
                <w:r w:rsidR="00B55B3D" w:rsidRPr="001276C9">
                  <w:t xml:space="preserve"> that ran f</w:t>
                </w:r>
                <w:r w:rsidR="005D13A8" w:rsidRPr="001276C9">
                  <w:t>rom 2009 to 2014</w:t>
                </w:r>
                <w:r w:rsidR="00E9309F" w:rsidRPr="001276C9">
                  <w:t>.</w:t>
                </w:r>
                <w:r w:rsidR="00B5262B" w:rsidRPr="001276C9">
                  <w:t xml:space="preserve"> Its purpose</w:t>
                </w:r>
                <w:r w:rsidR="00074CB9" w:rsidRPr="001276C9">
                  <w:t xml:space="preserve"> </w:t>
                </w:r>
                <w:r w:rsidR="00D7677C" w:rsidRPr="001276C9">
                  <w:t>was</w:t>
                </w:r>
                <w:r w:rsidR="00260D4F" w:rsidRPr="001276C9">
                  <w:t xml:space="preserve"> to </w:t>
                </w:r>
                <w:r w:rsidR="004D7C6B" w:rsidRPr="001276C9">
                  <w:t>support companies and innovators during the commercialisation phase of developing their products and ideas.</w:t>
                </w:r>
                <w:r w:rsidRPr="001276C9">
                  <w:t xml:space="preserve"> Focusing on</w:t>
                </w:r>
                <w:r w:rsidR="00D76621" w:rsidRPr="001276C9">
                  <w:t xml:space="preserve"> the</w:t>
                </w:r>
                <w:r w:rsidRPr="001276C9">
                  <w:t xml:space="preserve"> small and young firms</w:t>
                </w:r>
                <w:r w:rsidR="004D7C6B" w:rsidRPr="001276C9">
                  <w:t xml:space="preserve"> that were supported by the program</w:t>
                </w:r>
                <w:r w:rsidRPr="001276C9">
                  <w:t xml:space="preserve">, we find that the </w:t>
                </w:r>
                <w:r w:rsidR="00246360" w:rsidRPr="001276C9">
                  <w:t xml:space="preserve">participating </w:t>
                </w:r>
                <w:r w:rsidRPr="001276C9">
                  <w:t>firms tend</w:t>
                </w:r>
                <w:r w:rsidR="004D7C6B" w:rsidRPr="001276C9">
                  <w:t>ed</w:t>
                </w:r>
                <w:r w:rsidRPr="001276C9">
                  <w:t xml:space="preserve"> to invest in capital and Res</w:t>
                </w:r>
                <w:r w:rsidR="001571B9" w:rsidRPr="001276C9">
                  <w:t>earch and Development (R&amp;D) in larger amounts than</w:t>
                </w:r>
                <w:r w:rsidRPr="001276C9">
                  <w:t xml:space="preserve"> </w:t>
                </w:r>
                <w:r w:rsidR="00246360" w:rsidRPr="001276C9">
                  <w:t xml:space="preserve">a </w:t>
                </w:r>
                <w:r w:rsidRPr="001276C9">
                  <w:t xml:space="preserve">similar </w:t>
                </w:r>
                <w:r w:rsidR="00246360" w:rsidRPr="001276C9">
                  <w:t>comparison group</w:t>
                </w:r>
                <w:r w:rsidRPr="001276C9">
                  <w:t xml:space="preserve">. </w:t>
                </w:r>
                <w:r w:rsidR="00246360" w:rsidRPr="001276C9">
                  <w:t>Participating</w:t>
                </w:r>
                <w:r w:rsidR="00F44BE9" w:rsidRPr="001276C9">
                  <w:t xml:space="preserve"> firms also </w:t>
                </w:r>
                <w:r w:rsidR="001F5C2A" w:rsidRPr="001276C9">
                  <w:t>demonstrated better performance</w:t>
                </w:r>
                <w:r w:rsidR="00A6268C" w:rsidRPr="001276C9">
                  <w:t xml:space="preserve"> in that they had larger increase</w:t>
                </w:r>
                <w:r w:rsidR="001F5C2A" w:rsidRPr="001276C9">
                  <w:t>s</w:t>
                </w:r>
                <w:r w:rsidR="00A6268C" w:rsidRPr="001276C9">
                  <w:t xml:space="preserve"> in their rate</w:t>
                </w:r>
                <w:r w:rsidR="001F5C2A" w:rsidRPr="001276C9">
                  <w:t>s</w:t>
                </w:r>
                <w:r w:rsidR="00A6268C" w:rsidRPr="001276C9">
                  <w:t xml:space="preserve"> of turnover growth than </w:t>
                </w:r>
                <w:r w:rsidR="00ED37CB" w:rsidRPr="001276C9">
                  <w:t xml:space="preserve"> the comparison group</w:t>
                </w:r>
                <w:r w:rsidR="008344F4" w:rsidRPr="001276C9">
                  <w:t>.</w:t>
                </w:r>
                <w:r w:rsidR="00B55B3D" w:rsidRPr="001276C9">
                  <w:t xml:space="preserve"> </w:t>
                </w:r>
                <w:r w:rsidR="00F44BE9" w:rsidRPr="001276C9">
                  <w:t>There are also positive effects on exporting activity, patenting, and trademarking</w:t>
                </w:r>
                <w:r w:rsidR="00B55B3D" w:rsidRPr="001276C9">
                  <w:t>.</w:t>
                </w:r>
              </w:p>
              <w:p w14:paraId="40F693AC" w14:textId="47DA8973" w:rsidR="00260D4F" w:rsidRPr="001276C9" w:rsidRDefault="00260D4F" w:rsidP="00D74021">
                <w:pPr>
                  <w:pStyle w:val="AbstractText"/>
                </w:pPr>
              </w:p>
            </w:tc>
          </w:tr>
          <w:tr w:rsidR="00260D4F" w:rsidRPr="001276C9" w14:paraId="2123D022" w14:textId="77777777" w:rsidTr="00EE6FA3">
            <w:trPr>
              <w:cantSplit/>
              <w:trHeight w:val="1125"/>
            </w:trPr>
            <w:tc>
              <w:tcPr>
                <w:tcW w:w="9242" w:type="dxa"/>
              </w:tcPr>
              <w:p w14:paraId="6F40B2F5" w14:textId="1A745FD3" w:rsidR="00260D4F" w:rsidRPr="001276C9" w:rsidRDefault="00260D4F" w:rsidP="00EE6FA3">
                <w:pPr>
                  <w:pStyle w:val="JELCodeheader"/>
                  <w:rPr>
                    <w:b w:val="0"/>
                  </w:rPr>
                </w:pPr>
                <w:r w:rsidRPr="001276C9">
                  <w:rPr>
                    <w:color w:val="005CAF"/>
                  </w:rPr>
                  <w:t>JEL Codes:</w:t>
                </w:r>
                <w:r w:rsidRPr="001276C9">
                  <w:rPr>
                    <w:b w:val="0"/>
                    <w:color w:val="005CAF"/>
                  </w:rPr>
                  <w:t xml:space="preserve"> </w:t>
                </w:r>
                <w:r w:rsidR="00BF6986" w:rsidRPr="001276C9">
                  <w:rPr>
                    <w:b w:val="0"/>
                    <w:color w:val="373737" w:themeColor="text1"/>
                  </w:rPr>
                  <w:t>L25</w:t>
                </w:r>
                <w:r w:rsidRPr="001276C9">
                  <w:rPr>
                    <w:b w:val="0"/>
                    <w:color w:val="373737" w:themeColor="text1"/>
                  </w:rPr>
                  <w:t xml:space="preserve">, </w:t>
                </w:r>
                <w:r w:rsidR="00BF6986" w:rsidRPr="001276C9">
                  <w:rPr>
                    <w:b w:val="0"/>
                    <w:color w:val="373737" w:themeColor="text1"/>
                  </w:rPr>
                  <w:t>L</w:t>
                </w:r>
                <w:r w:rsidR="00BF6986" w:rsidRPr="001276C9">
                  <w:rPr>
                    <w:b w:val="0"/>
                  </w:rPr>
                  <w:t>26</w:t>
                </w:r>
                <w:r w:rsidR="00C63C0C" w:rsidRPr="001276C9">
                  <w:rPr>
                    <w:b w:val="0"/>
                  </w:rPr>
                  <w:t>, O38</w:t>
                </w:r>
              </w:p>
              <w:p w14:paraId="45A9E0D9" w14:textId="1D63BE4D" w:rsidR="00260D4F" w:rsidRPr="001276C9" w:rsidRDefault="00260D4F" w:rsidP="003A6D9F">
                <w:pPr>
                  <w:pStyle w:val="JELCodeheader"/>
                </w:pPr>
                <w:r w:rsidRPr="001276C9">
                  <w:rPr>
                    <w:color w:val="005CAF"/>
                  </w:rPr>
                  <w:t>Keywords:</w:t>
                </w:r>
                <w:r w:rsidRPr="001276C9">
                  <w:rPr>
                    <w:b w:val="0"/>
                  </w:rPr>
                  <w:t xml:space="preserve"> </w:t>
                </w:r>
                <w:r w:rsidR="00827350" w:rsidRPr="001276C9">
                  <w:rPr>
                    <w:b w:val="0"/>
                  </w:rPr>
                  <w:t xml:space="preserve">Entrepreneurship, Innovation, </w:t>
                </w:r>
                <w:r w:rsidR="003A6D9F" w:rsidRPr="001276C9">
                  <w:rPr>
                    <w:b w:val="0"/>
                  </w:rPr>
                  <w:t>Marketing</w:t>
                </w:r>
                <w:r w:rsidR="00827350" w:rsidRPr="001276C9">
                  <w:rPr>
                    <w:b w:val="0"/>
                  </w:rPr>
                  <w:t>, Public Policy</w:t>
                </w:r>
              </w:p>
            </w:tc>
          </w:tr>
        </w:tbl>
        <w:p w14:paraId="75F46005" w14:textId="278AE3C0" w:rsidR="00260D4F" w:rsidRPr="001276C9" w:rsidRDefault="00260D4F" w:rsidP="00EE6FA3">
          <w:pPr>
            <w:pStyle w:val="CoverNormal"/>
          </w:pPr>
        </w:p>
        <w:p w14:paraId="3B149E72" w14:textId="77777777" w:rsidR="00260D4F" w:rsidRPr="001276C9" w:rsidRDefault="00260D4F" w:rsidP="00EE6FA3">
          <w:r w:rsidRPr="001276C9">
            <w:br w:type="page"/>
          </w:r>
        </w:p>
        <w:p w14:paraId="210F545B" w14:textId="77777777" w:rsidR="00260D4F" w:rsidRPr="001276C9" w:rsidRDefault="00260D4F" w:rsidP="00EE6FA3">
          <w:pPr>
            <w:pStyle w:val="CoverNormal"/>
          </w:pPr>
          <w:r w:rsidRPr="001276C9">
            <w:rPr>
              <w:noProof/>
              <w:lang w:eastAsia="en-AU"/>
            </w:rPr>
            <w:lastRenderedPageBreak/>
            <w:drawing>
              <wp:anchor distT="0" distB="0" distL="114300" distR="114300" simplePos="0" relativeHeight="251658241" behindDoc="0" locked="0" layoutInCell="1" allowOverlap="1" wp14:anchorId="4B2A742D" wp14:editId="35EFB4EA">
                <wp:simplePos x="0" y="0"/>
                <wp:positionH relativeFrom="column">
                  <wp:posOffset>1371600</wp:posOffset>
                </wp:positionH>
                <wp:positionV relativeFrom="paragraph">
                  <wp:posOffset>-66675</wp:posOffset>
                </wp:positionV>
                <wp:extent cx="3841040" cy="604800"/>
                <wp:effectExtent l="0" t="0" r="7620" b="5080"/>
                <wp:wrapSquare wrapText="bothSides"/>
                <wp:docPr id="15" name="Picture 15" descr="Image shows a logo with the Australian Government Department of Industry, Innovation and Science alongside the logo of the Office of the Chief Econo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1040" cy="604800"/>
                        </a:xfrm>
                        <a:prstGeom prst="rect">
                          <a:avLst/>
                        </a:prstGeom>
                      </pic:spPr>
                    </pic:pic>
                  </a:graphicData>
                </a:graphic>
                <wp14:sizeRelH relativeFrom="margin">
                  <wp14:pctWidth>0</wp14:pctWidth>
                </wp14:sizeRelH>
                <wp14:sizeRelV relativeFrom="margin">
                  <wp14:pctHeight>0</wp14:pctHeight>
                </wp14:sizeRelV>
              </wp:anchor>
            </w:drawing>
          </w:r>
          <w:r w:rsidRPr="001276C9">
            <w:br/>
          </w:r>
        </w:p>
        <w:p w14:paraId="6423F1D6" w14:textId="77777777" w:rsidR="00260D4F" w:rsidRPr="001276C9" w:rsidRDefault="00260D4F" w:rsidP="00EE6FA3">
          <w:pPr>
            <w:pStyle w:val="CoverNormal"/>
          </w:pPr>
        </w:p>
        <w:p w14:paraId="52018338" w14:textId="476D953A" w:rsidR="00260D4F" w:rsidRPr="001276C9" w:rsidRDefault="00D773E4" w:rsidP="00D773E4">
          <w:pPr>
            <w:pStyle w:val="DisclaimerHeading"/>
            <w:keepNext/>
            <w:numPr>
              <w:ilvl w:val="7"/>
              <w:numId w:val="3"/>
            </w:numPr>
            <w:spacing w:before="600"/>
            <w:ind w:left="2160"/>
            <w:outlineLvl w:val="7"/>
          </w:pPr>
          <w:r w:rsidRPr="001276C9">
            <w:t>For</w:t>
          </w:r>
          <w:r w:rsidRPr="001276C9">
            <w:rPr>
              <w:color w:val="FFFFFF" w:themeColor="background1"/>
            </w:rPr>
            <w:t>f</w:t>
          </w:r>
          <w:r w:rsidRPr="001276C9">
            <w:t>further</w:t>
          </w:r>
          <w:r w:rsidR="00260D4F" w:rsidRPr="001276C9">
            <w:t xml:space="preserve"> information on this research paper please contact: </w:t>
          </w:r>
        </w:p>
        <w:p w14:paraId="1F13EB70" w14:textId="28543D4C" w:rsidR="00260D4F" w:rsidRPr="001276C9" w:rsidRDefault="00D15868" w:rsidP="00B50EA3">
          <w:pPr>
            <w:pStyle w:val="DisclaimerandAcknowledgement"/>
            <w:ind w:left="2160"/>
          </w:pPr>
          <w:r w:rsidRPr="001276C9">
            <w:t>Sasan Bakhtiari</w:t>
          </w:r>
        </w:p>
        <w:p w14:paraId="5A3BF756" w14:textId="4B65F647" w:rsidR="00260D4F" w:rsidRPr="001276C9" w:rsidRDefault="00D15868" w:rsidP="00B50EA3">
          <w:pPr>
            <w:pStyle w:val="DisclaimerandAcknowledgement"/>
            <w:ind w:left="2160"/>
          </w:pPr>
          <w:r w:rsidRPr="001276C9">
            <w:t>Industry and Firm Analysis</w:t>
          </w:r>
        </w:p>
        <w:p w14:paraId="498C7B4E" w14:textId="77777777" w:rsidR="00260D4F" w:rsidRPr="001276C9" w:rsidRDefault="00260D4F" w:rsidP="00B50EA3">
          <w:pPr>
            <w:pStyle w:val="DisclaimerandAcknowledgement"/>
            <w:ind w:left="2160"/>
          </w:pPr>
          <w:r w:rsidRPr="001276C9">
            <w:t>Department of Industry, Innovation and Science</w:t>
          </w:r>
        </w:p>
        <w:p w14:paraId="2D6329BE" w14:textId="77777777" w:rsidR="00260D4F" w:rsidRPr="001276C9" w:rsidRDefault="00260D4F" w:rsidP="00B50EA3">
          <w:pPr>
            <w:pStyle w:val="DisclaimerandAcknowledgement"/>
            <w:ind w:left="2160"/>
          </w:pPr>
          <w:r w:rsidRPr="001276C9">
            <w:t>GPO Box 9839</w:t>
          </w:r>
        </w:p>
        <w:p w14:paraId="50451FA9" w14:textId="77777777" w:rsidR="00260D4F" w:rsidRPr="001276C9" w:rsidRDefault="00260D4F" w:rsidP="00B50EA3">
          <w:pPr>
            <w:pStyle w:val="DisclaimerandAcknowledgement"/>
            <w:ind w:left="2160"/>
          </w:pPr>
          <w:r w:rsidRPr="001276C9">
            <w:t>Canberra ACT 2601</w:t>
          </w:r>
        </w:p>
        <w:p w14:paraId="06DC74BC" w14:textId="19D1B6A5" w:rsidR="00260D4F" w:rsidRPr="001276C9" w:rsidRDefault="00260D4F" w:rsidP="00B50EA3">
          <w:pPr>
            <w:pStyle w:val="DisclaimerandAcknowledgement"/>
            <w:ind w:left="2160"/>
          </w:pPr>
          <w:r w:rsidRPr="001276C9">
            <w:t>Phone :</w:t>
          </w:r>
          <w:r w:rsidR="00D15868" w:rsidRPr="001276C9">
            <w:t xml:space="preserve"> +61 2 9397</w:t>
          </w:r>
          <w:r w:rsidRPr="001276C9">
            <w:t xml:space="preserve"> </w:t>
          </w:r>
          <w:r w:rsidR="00D15868" w:rsidRPr="001276C9">
            <w:t>1639</w:t>
          </w:r>
        </w:p>
        <w:p w14:paraId="5276F7B5" w14:textId="546B5AE0" w:rsidR="00260D4F" w:rsidRPr="001276C9" w:rsidRDefault="00260D4F" w:rsidP="00B50EA3">
          <w:pPr>
            <w:pStyle w:val="DisclaimerandAcknowledgement"/>
            <w:ind w:left="2160"/>
            <w:rPr>
              <w:rStyle w:val="HyperlinkStyleChar"/>
            </w:rPr>
          </w:pPr>
          <w:r w:rsidRPr="001276C9">
            <w:t xml:space="preserve">Email: </w:t>
          </w:r>
          <w:r w:rsidR="00D15868" w:rsidRPr="001276C9">
            <w:t>sasan.bakhtiari</w:t>
          </w:r>
          <w:r w:rsidRPr="001276C9">
            <w:t>@industry.gov.au</w:t>
          </w:r>
        </w:p>
        <w:p w14:paraId="3909C96C" w14:textId="77777777" w:rsidR="00260D4F" w:rsidRPr="001276C9" w:rsidRDefault="00260D4F" w:rsidP="00EE6FA3">
          <w:pPr>
            <w:pStyle w:val="DisclaimerHeading"/>
            <w:keepNext/>
            <w:numPr>
              <w:ilvl w:val="7"/>
              <w:numId w:val="3"/>
            </w:numPr>
            <w:spacing w:before="600"/>
            <w:ind w:left="2160"/>
            <w:outlineLvl w:val="7"/>
          </w:pPr>
          <w:r w:rsidRPr="001276C9">
            <w:t>Disclaimer</w:t>
          </w:r>
        </w:p>
        <w:p w14:paraId="478118F0" w14:textId="77777777" w:rsidR="00260D4F" w:rsidRPr="001276C9" w:rsidRDefault="00260D4F" w:rsidP="00B50EA3">
          <w:pPr>
            <w:pStyle w:val="DisclaimerandAcknowledgement"/>
            <w:ind w:left="2160"/>
          </w:pPr>
          <w:r w:rsidRPr="001276C9">
            <w:t>The views expressed in this report are those of the author(s) and do not necessarily reflect those of the Australian Government or the Department of Industry, Innovation and Science.</w:t>
          </w:r>
        </w:p>
        <w:p w14:paraId="3EA68DD3" w14:textId="70808BA0" w:rsidR="00260D4F" w:rsidRPr="001276C9" w:rsidRDefault="00260D4F" w:rsidP="00B50EA3">
          <w:pPr>
            <w:pStyle w:val="DisclaimerandAcknowledgement"/>
            <w:ind w:left="2160"/>
          </w:pPr>
          <w:r w:rsidRPr="001276C9">
            <w:sym w:font="Symbol" w:char="F0D3"/>
          </w:r>
          <w:r w:rsidRPr="001276C9">
            <w:t xml:space="preserve"> Commonwealth of Australia 201</w:t>
          </w:r>
          <w:r w:rsidR="00FF52B7" w:rsidRPr="001276C9">
            <w:t>9</w:t>
          </w:r>
          <w:r w:rsidRPr="001276C9">
            <w:t xml:space="preserve">. </w:t>
          </w:r>
        </w:p>
        <w:p w14:paraId="169B9AF1" w14:textId="647853CB" w:rsidR="00260D4F" w:rsidRPr="001276C9" w:rsidRDefault="00260D4F" w:rsidP="00B50EA3">
          <w:pPr>
            <w:pStyle w:val="DisclaimerandAcknowledgement"/>
            <w:ind w:left="2160"/>
            <w:rPr>
              <w:rStyle w:val="HyperlinkStyleChar"/>
              <w:sz w:val="18"/>
            </w:rPr>
          </w:pPr>
          <w:r w:rsidRPr="001276C9">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6" w:history="1">
            <w:r w:rsidRPr="001276C9">
              <w:rPr>
                <w:rStyle w:val="Hyperlink"/>
              </w:rPr>
              <w:t>chiefeconomist@industry.gov.au</w:t>
            </w:r>
          </w:hyperlink>
          <w:r w:rsidRPr="001276C9">
            <w:rPr>
              <w:rFonts w:asciiTheme="minorHAnsi" w:hAnsiTheme="minorHAnsi" w:cstheme="minorHAnsi"/>
              <w:color w:val="666666"/>
              <w:szCs w:val="16"/>
            </w:rPr>
            <w:t>.</w:t>
          </w:r>
          <w:r w:rsidRPr="001276C9">
            <w:rPr>
              <w:rFonts w:ascii="Tahoma" w:hAnsi="Tahoma" w:cs="Tahoma"/>
              <w:color w:val="666666"/>
              <w:sz w:val="18"/>
            </w:rPr>
            <w:t> </w:t>
          </w:r>
          <w:r w:rsidRPr="001276C9">
            <w:t xml:space="preserve">For more information on Office of the Chief Economist research papers please access the Department’s website at: </w:t>
          </w:r>
          <w:hyperlink r:id="rId17" w:history="1">
            <w:r w:rsidRPr="001276C9">
              <w:rPr>
                <w:rStyle w:val="Hyperlink"/>
              </w:rPr>
              <w:t>www.industry.gov.au/OCE</w:t>
            </w:r>
          </w:hyperlink>
        </w:p>
        <w:p w14:paraId="3C01D607" w14:textId="3E0B19AA" w:rsidR="00260D4F" w:rsidRPr="001276C9" w:rsidRDefault="00260D4F" w:rsidP="00EE6FA3">
          <w:pPr>
            <w:pStyle w:val="DisclaimerHeading"/>
            <w:keepNext/>
            <w:numPr>
              <w:ilvl w:val="7"/>
              <w:numId w:val="3"/>
            </w:numPr>
            <w:spacing w:before="600"/>
            <w:ind w:left="2160"/>
            <w:outlineLvl w:val="7"/>
            <w:rPr>
              <w:rFonts w:eastAsia="Calibri"/>
            </w:rPr>
          </w:pPr>
          <w:r w:rsidRPr="001276C9">
            <w:t>Creative Commons Licence</w:t>
          </w:r>
        </w:p>
        <w:p w14:paraId="70402BDD" w14:textId="4EADCBF8" w:rsidR="00B50EA3" w:rsidRPr="001276C9" w:rsidRDefault="00B50EA3" w:rsidP="00B50EA3">
          <w:pPr>
            <w:pStyle w:val="DisclaimerandAcknowledgement"/>
            <w:ind w:left="2160"/>
          </w:pPr>
          <w:r w:rsidRPr="001276C9">
            <w:rPr>
              <w:rFonts w:ascii="inherit" w:hAnsi="inherit"/>
              <w:noProof/>
              <w:sz w:val="20"/>
              <w:szCs w:val="20"/>
              <w:lang w:val="en-AU" w:eastAsia="en-AU"/>
            </w:rPr>
            <w:drawing>
              <wp:anchor distT="0" distB="0" distL="114300" distR="114300" simplePos="0" relativeHeight="251658240" behindDoc="0" locked="0" layoutInCell="1" allowOverlap="1" wp14:anchorId="43A6D8FF" wp14:editId="3A4BA107">
                <wp:simplePos x="0" y="0"/>
                <wp:positionH relativeFrom="column">
                  <wp:posOffset>1382395</wp:posOffset>
                </wp:positionH>
                <wp:positionV relativeFrom="paragraph">
                  <wp:posOffset>37796</wp:posOffset>
                </wp:positionV>
                <wp:extent cx="1041400" cy="356235"/>
                <wp:effectExtent l="0" t="0" r="6350" b="5715"/>
                <wp:wrapSquare wrapText="bothSides"/>
                <wp:docPr id="16" name="Picture 1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140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064D8" w14:textId="5A56CAC5" w:rsidR="00B50EA3" w:rsidRPr="001276C9" w:rsidRDefault="00B50EA3" w:rsidP="00B50EA3">
          <w:pPr>
            <w:pStyle w:val="DisclaimerandAcknowledgement"/>
            <w:ind w:left="2160"/>
          </w:pPr>
        </w:p>
        <w:p w14:paraId="2D7CAE80" w14:textId="2DF2D729" w:rsidR="00260D4F" w:rsidRPr="001276C9" w:rsidRDefault="00260D4F" w:rsidP="00B50EA3">
          <w:pPr>
            <w:pStyle w:val="DisclaimerandAcknowledgement"/>
            <w:ind w:left="2160"/>
          </w:pPr>
          <w:r w:rsidRPr="001276C9">
            <w:t>With the exception of the Coat of Arms, this publication is licensed under a Creative Commons Attribution 3.0 Australia Licence.</w:t>
          </w:r>
        </w:p>
        <w:p w14:paraId="233F23D1" w14:textId="77777777" w:rsidR="00260D4F" w:rsidRPr="001276C9" w:rsidRDefault="00260D4F" w:rsidP="00B50EA3">
          <w:pPr>
            <w:pStyle w:val="DisclaimerandAcknowledgement"/>
            <w:ind w:left="2160"/>
          </w:pPr>
          <w:r w:rsidRPr="001276C9">
            <w:t>Creative Commons Attribution 3.0 Australia Licence is a standard form license agreement that allows you to copy, distribute, transmit and adapt this publication provided that you attribute the work. A summary of the licence terms is available from http://creativecommons.org/licenses/by/3.0/au/deed.en. The full licence terms are available from http://creativecommons.org/licenses/by/3.0/au/legalcode.</w:t>
          </w:r>
        </w:p>
        <w:p w14:paraId="484DCF0F" w14:textId="77777777" w:rsidR="00260D4F" w:rsidRPr="001276C9" w:rsidRDefault="00260D4F" w:rsidP="00B50EA3">
          <w:pPr>
            <w:pStyle w:val="DisclaimerandAcknowledgement"/>
            <w:ind w:left="2160"/>
          </w:pPr>
          <w:r w:rsidRPr="001276C9">
            <w:t>The Commonwealth’s preference is that you attribute this publication (and any material sourced from it) using the following wording:</w:t>
          </w:r>
        </w:p>
        <w:p w14:paraId="6C0D4CE3" w14:textId="77777777" w:rsidR="00260D4F" w:rsidRPr="001276C9" w:rsidRDefault="00260D4F" w:rsidP="00B50EA3">
          <w:pPr>
            <w:pStyle w:val="DisclaimerandAcknowledgement"/>
            <w:ind w:left="2160"/>
          </w:pPr>
          <w:r w:rsidRPr="001276C9">
            <w:t xml:space="preserve">Source: Licensed from the Commonwealth of Australia under a Creative Commons Attribution 3.0 Australia Licence. The Commonwealth of Australia does not necessarily endorse the content of this publication. </w:t>
          </w:r>
        </w:p>
        <w:p w14:paraId="554B8385" w14:textId="77777777" w:rsidR="00260D4F" w:rsidRPr="001276C9" w:rsidRDefault="00F47C7A" w:rsidP="00EE6FA3">
          <w:pPr>
            <w:sectPr w:rsidR="00260D4F" w:rsidRPr="001276C9" w:rsidSect="00EE6FA3">
              <w:pgSz w:w="11906" w:h="16838" w:code="9"/>
              <w:pgMar w:top="1440" w:right="1440" w:bottom="1440" w:left="1440" w:header="709" w:footer="709" w:gutter="0"/>
              <w:pgNumType w:start="0"/>
              <w:cols w:space="708"/>
              <w:titlePg/>
              <w:docGrid w:linePitch="360"/>
            </w:sectPr>
          </w:pPr>
        </w:p>
      </w:sdtContent>
    </w:sdt>
    <w:tbl>
      <w:tblPr>
        <w:tblW w:w="7007" w:type="dxa"/>
        <w:tblInd w:w="57" w:type="dxa"/>
        <w:shd w:val="clear" w:color="auto" w:fill="DEE8F1"/>
        <w:tblLayout w:type="fixed"/>
        <w:tblLook w:val="04A0" w:firstRow="1" w:lastRow="0" w:firstColumn="1" w:lastColumn="0" w:noHBand="0" w:noVBand="1"/>
      </w:tblPr>
      <w:tblGrid>
        <w:gridCol w:w="7007"/>
      </w:tblGrid>
      <w:tr w:rsidR="008E1D4C" w:rsidRPr="001276C9" w14:paraId="030550F2" w14:textId="77777777" w:rsidTr="69C395A1">
        <w:tc>
          <w:tcPr>
            <w:tcW w:w="7007" w:type="dxa"/>
            <w:shd w:val="clear" w:color="auto" w:fill="DEE8F1"/>
          </w:tcPr>
          <w:p w14:paraId="4228872E" w14:textId="77777777" w:rsidR="008E1D4C" w:rsidRPr="001276C9" w:rsidRDefault="008E1D4C" w:rsidP="003E31B9">
            <w:pPr>
              <w:pStyle w:val="Keypointsheader"/>
            </w:pPr>
            <w:r w:rsidRPr="001276C9">
              <w:lastRenderedPageBreak/>
              <w:t>Key points</w:t>
            </w:r>
          </w:p>
          <w:p w14:paraId="5ED61FDD" w14:textId="70C8DCF1" w:rsidR="008C23AD" w:rsidRPr="001276C9" w:rsidRDefault="008542C2" w:rsidP="69C395A1">
            <w:pPr>
              <w:pStyle w:val="Keypointsbullet"/>
              <w:ind w:left="317" w:right="155" w:hanging="252"/>
            </w:pPr>
            <w:r w:rsidRPr="001276C9">
              <w:t xml:space="preserve">Most firms in the Commercialisation Australia (CA) </w:t>
            </w:r>
            <w:r w:rsidR="008D2D4B" w:rsidRPr="001276C9">
              <w:t>program</w:t>
            </w:r>
            <w:r w:rsidRPr="001276C9">
              <w:t xml:space="preserve"> are small and young</w:t>
            </w:r>
            <w:r w:rsidR="00FC7A74" w:rsidRPr="001276C9">
              <w:t>. T</w:t>
            </w:r>
            <w:r w:rsidRPr="001276C9">
              <w:t>hese</w:t>
            </w:r>
            <w:r w:rsidR="00BD0BAB" w:rsidRPr="001276C9">
              <w:t xml:space="preserve"> firm</w:t>
            </w:r>
            <w:r w:rsidR="001976CC" w:rsidRPr="001276C9">
              <w:t xml:space="preserve">s have </w:t>
            </w:r>
            <w:r w:rsidRPr="001276C9">
              <w:t xml:space="preserve">also </w:t>
            </w:r>
            <w:r w:rsidR="001976CC" w:rsidRPr="001276C9">
              <w:t>received the majority of</w:t>
            </w:r>
            <w:r w:rsidR="008C23AD" w:rsidRPr="001276C9">
              <w:t xml:space="preserve"> CA grants.</w:t>
            </w:r>
          </w:p>
          <w:p w14:paraId="33B99DF1" w14:textId="424D846A" w:rsidR="00DA74F0" w:rsidRPr="001276C9" w:rsidRDefault="004D7C6B" w:rsidP="69C395A1">
            <w:pPr>
              <w:pStyle w:val="Keypointsbullet"/>
              <w:ind w:left="317" w:right="155" w:hanging="252"/>
            </w:pPr>
            <w:r w:rsidRPr="001276C9">
              <w:t>CA participants</w:t>
            </w:r>
            <w:r w:rsidR="00DA74F0" w:rsidRPr="001276C9">
              <w:t xml:space="preserve"> are </w:t>
            </w:r>
            <w:r w:rsidR="008542C2" w:rsidRPr="001276C9">
              <w:t xml:space="preserve">mostly </w:t>
            </w:r>
            <w:r w:rsidR="00DA74F0" w:rsidRPr="001276C9">
              <w:t>from Manufacturing and Professional, Scientific and Technical</w:t>
            </w:r>
            <w:r w:rsidR="002143B8" w:rsidRPr="001276C9">
              <w:t xml:space="preserve"> (PST)</w:t>
            </w:r>
            <w:r w:rsidR="00DA74F0" w:rsidRPr="001276C9">
              <w:t xml:space="preserve"> Services, and from sub-divisions associated with advanced technology.</w:t>
            </w:r>
          </w:p>
          <w:p w14:paraId="76BF8F3A" w14:textId="60F40E42" w:rsidR="008E1D4C" w:rsidRPr="001276C9" w:rsidRDefault="00240DBB" w:rsidP="69C395A1">
            <w:pPr>
              <w:pStyle w:val="Keypointsbullet"/>
              <w:ind w:left="317" w:right="155" w:hanging="252"/>
            </w:pPr>
            <w:r w:rsidRPr="001276C9">
              <w:t xml:space="preserve">CA </w:t>
            </w:r>
            <w:r w:rsidR="004D7C6B" w:rsidRPr="001276C9">
              <w:t xml:space="preserve">participants </w:t>
            </w:r>
            <w:r w:rsidR="009D341E" w:rsidRPr="001276C9">
              <w:t xml:space="preserve">had higher </w:t>
            </w:r>
            <w:r w:rsidR="00564EDE" w:rsidRPr="001276C9">
              <w:t>R&amp;D</w:t>
            </w:r>
            <w:r w:rsidR="000156A5" w:rsidRPr="001276C9">
              <w:t xml:space="preserve"> and </w:t>
            </w:r>
            <w:r w:rsidR="00944424" w:rsidRPr="001276C9">
              <w:t>capital expenditures</w:t>
            </w:r>
            <w:r w:rsidR="009D341E" w:rsidRPr="001276C9">
              <w:t xml:space="preserve"> than </w:t>
            </w:r>
            <w:r w:rsidR="00211CF1" w:rsidRPr="001276C9">
              <w:t xml:space="preserve">other similar </w:t>
            </w:r>
            <w:r w:rsidR="0083193C" w:rsidRPr="001276C9">
              <w:t xml:space="preserve">firms </w:t>
            </w:r>
            <w:r w:rsidR="004D7C6B" w:rsidRPr="001276C9">
              <w:t>in the comparison group</w:t>
            </w:r>
            <w:r w:rsidR="00767496" w:rsidRPr="001276C9">
              <w:t>.</w:t>
            </w:r>
          </w:p>
          <w:p w14:paraId="769943B1" w14:textId="60A882A6" w:rsidR="005726EC" w:rsidRPr="001276C9" w:rsidRDefault="00C445C7" w:rsidP="69C395A1">
            <w:pPr>
              <w:pStyle w:val="Keypointsbullet"/>
              <w:ind w:left="317" w:right="155" w:hanging="252"/>
            </w:pPr>
            <w:r w:rsidRPr="001276C9">
              <w:t>Participants</w:t>
            </w:r>
            <w:r w:rsidR="00246360" w:rsidRPr="001276C9">
              <w:t xml:space="preserve">, </w:t>
            </w:r>
            <w:r w:rsidR="001F5C2A" w:rsidRPr="001276C9">
              <w:t>also outperformed other firms in that the</w:t>
            </w:r>
            <w:r w:rsidR="00BD5E4C" w:rsidRPr="001276C9">
              <w:t>y</w:t>
            </w:r>
            <w:r w:rsidR="009451EA" w:rsidRPr="001276C9">
              <w:t xml:space="preserve"> </w:t>
            </w:r>
            <w:r w:rsidR="001F5C2A" w:rsidRPr="001276C9">
              <w:t xml:space="preserve">had </w:t>
            </w:r>
            <w:r w:rsidR="00DF2F03" w:rsidRPr="001276C9">
              <w:t xml:space="preserve">larger increases in </w:t>
            </w:r>
            <w:r w:rsidR="002143B8" w:rsidRPr="001276C9">
              <w:t>turnover growth</w:t>
            </w:r>
            <w:r w:rsidR="00DF2F03" w:rsidRPr="001276C9">
              <w:t xml:space="preserve"> than the comparison group</w:t>
            </w:r>
            <w:r w:rsidR="0091201E" w:rsidRPr="001276C9">
              <w:t xml:space="preserve">. </w:t>
            </w:r>
          </w:p>
          <w:p w14:paraId="2DE69C42" w14:textId="4E303FFC" w:rsidR="008E1D4C" w:rsidRPr="001276C9" w:rsidRDefault="009451EA" w:rsidP="003E31B9">
            <w:pPr>
              <w:pStyle w:val="Keypointsbullet"/>
              <w:ind w:left="317" w:right="155" w:hanging="252"/>
            </w:pPr>
            <w:r w:rsidRPr="001276C9">
              <w:t>Overall, t</w:t>
            </w:r>
            <w:r w:rsidR="00954EBB" w:rsidRPr="001276C9">
              <w:t>here was</w:t>
            </w:r>
            <w:r w:rsidR="002B22C0" w:rsidRPr="001276C9">
              <w:t xml:space="preserve"> an inc</w:t>
            </w:r>
            <w:r w:rsidR="002B79CB" w:rsidRPr="001276C9">
              <w:t>rease in export</w:t>
            </w:r>
            <w:r w:rsidR="000556DA" w:rsidRPr="001276C9">
              <w:t>ing</w:t>
            </w:r>
            <w:r w:rsidR="002B79CB" w:rsidRPr="001276C9">
              <w:t xml:space="preserve"> activity</w:t>
            </w:r>
            <w:r w:rsidRPr="001276C9">
              <w:t>,</w:t>
            </w:r>
            <w:r w:rsidR="002B79CB" w:rsidRPr="001276C9">
              <w:t xml:space="preserve"> and</w:t>
            </w:r>
            <w:r w:rsidRPr="001276C9">
              <w:t xml:space="preserve"> </w:t>
            </w:r>
            <w:r w:rsidR="002B79CB" w:rsidRPr="001276C9">
              <w:t xml:space="preserve">patents and </w:t>
            </w:r>
            <w:r w:rsidR="00384B2F" w:rsidRPr="001276C9">
              <w:t>t</w:t>
            </w:r>
            <w:r w:rsidR="005413AB" w:rsidRPr="001276C9">
              <w:t>rade</w:t>
            </w:r>
            <w:r w:rsidR="00384B2F" w:rsidRPr="001276C9">
              <w:t>mark</w:t>
            </w:r>
            <w:r w:rsidR="00DB6CC7" w:rsidRPr="001276C9">
              <w:t xml:space="preserve"> applications</w:t>
            </w:r>
            <w:r w:rsidR="002B79CB" w:rsidRPr="001276C9">
              <w:t xml:space="preserve"> </w:t>
            </w:r>
            <w:r w:rsidR="002B22C0" w:rsidRPr="001276C9">
              <w:t xml:space="preserve">among the </w:t>
            </w:r>
            <w:r w:rsidR="006B70AF" w:rsidRPr="001276C9">
              <w:t xml:space="preserve">CA </w:t>
            </w:r>
            <w:r w:rsidR="00C95344" w:rsidRPr="001276C9">
              <w:t>participants</w:t>
            </w:r>
            <w:r w:rsidR="002B22C0" w:rsidRPr="001276C9">
              <w:t>.</w:t>
            </w:r>
          </w:p>
        </w:tc>
      </w:tr>
    </w:tbl>
    <w:p w14:paraId="07754B73" w14:textId="77777777" w:rsidR="00423951" w:rsidRPr="001276C9" w:rsidRDefault="00423951" w:rsidP="00DC5EFA">
      <w:pPr>
        <w:pStyle w:val="BodyText"/>
      </w:pPr>
    </w:p>
    <w:p w14:paraId="39DC32AD" w14:textId="77777777" w:rsidR="00423951" w:rsidRPr="001276C9" w:rsidRDefault="00423951" w:rsidP="00BC3338">
      <w:pPr>
        <w:pStyle w:val="Heading1"/>
        <w:numPr>
          <w:ilvl w:val="0"/>
          <w:numId w:val="16"/>
        </w:numPr>
      </w:pPr>
      <w:r w:rsidRPr="001276C9">
        <w:t>Introduction</w:t>
      </w:r>
    </w:p>
    <w:p w14:paraId="59802264" w14:textId="6139573D" w:rsidR="005D13A8" w:rsidRPr="001276C9" w:rsidRDefault="005D13A8" w:rsidP="005D13A8">
      <w:pPr>
        <w:pStyle w:val="BodyText"/>
      </w:pPr>
      <w:r w:rsidRPr="001276C9">
        <w:t xml:space="preserve">The Australian government introduced the Commercialisation Australia (CA) </w:t>
      </w:r>
      <w:r w:rsidR="008D2D4B" w:rsidRPr="001276C9">
        <w:t>program</w:t>
      </w:r>
      <w:r w:rsidRPr="001276C9">
        <w:t xml:space="preserve"> in 2009. The policy objective of the CA </w:t>
      </w:r>
      <w:r w:rsidR="008D2D4B" w:rsidRPr="001276C9">
        <w:t>program</w:t>
      </w:r>
      <w:r w:rsidRPr="001276C9">
        <w:t xml:space="preserve"> </w:t>
      </w:r>
      <w:r w:rsidR="008E041A" w:rsidRPr="001276C9">
        <w:t>was</w:t>
      </w:r>
      <w:r w:rsidRPr="001276C9">
        <w:t xml:space="preserve"> to build the capacity of, and opportunities for, Australia’s researchers, entrepreneurs and innovative small and medium size firms to convert ideas into successful commercial ventures. </w:t>
      </w:r>
    </w:p>
    <w:p w14:paraId="5179C2E6" w14:textId="7D9750B0" w:rsidR="00534466" w:rsidRPr="001276C9" w:rsidRDefault="005D13A8" w:rsidP="00423951">
      <w:pPr>
        <w:pStyle w:val="BodyText"/>
      </w:pPr>
      <w:r w:rsidRPr="001276C9">
        <w:t xml:space="preserve">In general, </w:t>
      </w:r>
      <w:r w:rsidR="0091618D" w:rsidRPr="001276C9">
        <w:t xml:space="preserve">Research and Development (R&amp;D) </w:t>
      </w:r>
      <w:r w:rsidR="00362235" w:rsidRPr="001276C9">
        <w:t xml:space="preserve">and innovation are two areas where it is more difficult to attract </w:t>
      </w:r>
      <w:r w:rsidR="00853A42" w:rsidRPr="001276C9">
        <w:t xml:space="preserve">private </w:t>
      </w:r>
      <w:r w:rsidR="00362235" w:rsidRPr="001276C9">
        <w:t>investment</w:t>
      </w:r>
      <w:r w:rsidR="000D4A18" w:rsidRPr="001276C9">
        <w:t xml:space="preserve">. </w:t>
      </w:r>
      <w:r w:rsidR="0091618D" w:rsidRPr="001276C9">
        <w:t xml:space="preserve">The general perception is that R&amp;D and innovation are too risky and have high probabilities of failure. </w:t>
      </w:r>
      <w:r w:rsidR="007431ED" w:rsidRPr="001276C9">
        <w:t>The perception of such risk keeps</w:t>
      </w:r>
      <w:r w:rsidR="0091618D" w:rsidRPr="001276C9">
        <w:t xml:space="preserve"> investors away from such </w:t>
      </w:r>
      <w:r w:rsidR="00595866" w:rsidRPr="001276C9">
        <w:t>ventures</w:t>
      </w:r>
      <w:r w:rsidR="00534466" w:rsidRPr="001276C9">
        <w:t xml:space="preserve"> or makes them demand extraordinary concessions from the firm</w:t>
      </w:r>
      <w:r w:rsidR="00CD46B1" w:rsidRPr="001276C9">
        <w:t xml:space="preserve"> (Akerlof, 1970)</w:t>
      </w:r>
      <w:r w:rsidR="0091618D" w:rsidRPr="001276C9">
        <w:t xml:space="preserve">. </w:t>
      </w:r>
    </w:p>
    <w:p w14:paraId="4F90DDA7" w14:textId="73E2A248" w:rsidR="00423951" w:rsidRPr="001276C9" w:rsidRDefault="000F5573" w:rsidP="00423951">
      <w:pPr>
        <w:pStyle w:val="BodyText"/>
      </w:pPr>
      <w:r w:rsidRPr="001276C9">
        <w:t>The current body of studies</w:t>
      </w:r>
      <w:r w:rsidR="0091618D" w:rsidRPr="001276C9">
        <w:t xml:space="preserve"> </w:t>
      </w:r>
      <w:r w:rsidR="00796AFB" w:rsidRPr="001276C9">
        <w:t xml:space="preserve">already provides evidence </w:t>
      </w:r>
      <w:r w:rsidR="006A4E9D" w:rsidRPr="001276C9">
        <w:t xml:space="preserve">of </w:t>
      </w:r>
      <w:r w:rsidR="0091618D" w:rsidRPr="001276C9">
        <w:t>systematic</w:t>
      </w:r>
      <w:r w:rsidR="00796AFB" w:rsidRPr="001276C9">
        <w:t xml:space="preserve"> </w:t>
      </w:r>
      <w:r w:rsidR="00A55F30" w:rsidRPr="001276C9">
        <w:t xml:space="preserve">underinvestment in </w:t>
      </w:r>
      <w:r w:rsidR="0091618D" w:rsidRPr="001276C9">
        <w:t xml:space="preserve">innovative firms, especially those firms in the </w:t>
      </w:r>
      <w:r w:rsidR="002B3BA4" w:rsidRPr="001276C9">
        <w:t xml:space="preserve">advanced </w:t>
      </w:r>
      <w:r w:rsidR="0091618D" w:rsidRPr="001276C9">
        <w:t>technology areas</w:t>
      </w:r>
      <w:r w:rsidR="00200191" w:rsidRPr="001276C9">
        <w:t>, (</w:t>
      </w:r>
      <w:r w:rsidR="00E6177D" w:rsidRPr="001276C9">
        <w:t>Freel 1999, 2007, Carpenter 2002, and Westhead &amp; Storey 1997)</w:t>
      </w:r>
      <w:r w:rsidR="0091618D" w:rsidRPr="001276C9">
        <w:t>.</w:t>
      </w:r>
      <w:r w:rsidR="002010AF" w:rsidRPr="001276C9">
        <w:t xml:space="preserve"> </w:t>
      </w:r>
      <w:r w:rsidR="00362235" w:rsidRPr="001276C9">
        <w:t xml:space="preserve">Similarly in Australia, </w:t>
      </w:r>
      <w:r w:rsidR="002010AF" w:rsidRPr="001276C9">
        <w:t>Bakhtiari (2017</w:t>
      </w:r>
      <w:r w:rsidR="00CB704B" w:rsidRPr="001276C9">
        <w:t>a</w:t>
      </w:r>
      <w:r w:rsidR="002010AF" w:rsidRPr="001276C9">
        <w:t xml:space="preserve">) finds </w:t>
      </w:r>
      <w:r w:rsidR="00362235" w:rsidRPr="001276C9">
        <w:t xml:space="preserve">that small and young </w:t>
      </w:r>
      <w:r w:rsidR="00841EA9" w:rsidRPr="001276C9">
        <w:t xml:space="preserve">firms </w:t>
      </w:r>
      <w:r w:rsidR="007369B6" w:rsidRPr="001276C9">
        <w:t>applying for</w:t>
      </w:r>
      <w:r w:rsidR="00841EA9" w:rsidRPr="001276C9">
        <w:t xml:space="preserve"> </w:t>
      </w:r>
      <w:r w:rsidR="00C4754D" w:rsidRPr="001276C9">
        <w:t>debt or equity financing</w:t>
      </w:r>
      <w:r w:rsidR="0032074E" w:rsidRPr="001276C9">
        <w:t xml:space="preserve"> </w:t>
      </w:r>
      <w:r w:rsidR="00321DFA" w:rsidRPr="001276C9">
        <w:t>in order to innovate</w:t>
      </w:r>
      <w:r w:rsidR="00841EA9" w:rsidRPr="001276C9">
        <w:t xml:space="preserve"> </w:t>
      </w:r>
      <w:r w:rsidR="00362235" w:rsidRPr="001276C9">
        <w:t>a</w:t>
      </w:r>
      <w:r w:rsidR="00DE3FC8" w:rsidRPr="001276C9">
        <w:t>re more likely to be rejected</w:t>
      </w:r>
      <w:r w:rsidR="002010AF" w:rsidRPr="001276C9">
        <w:t>.</w:t>
      </w:r>
    </w:p>
    <w:p w14:paraId="0234E9AA" w14:textId="33C8E253" w:rsidR="00FE6FA3" w:rsidRPr="001276C9" w:rsidRDefault="003D7F9C" w:rsidP="00423951">
      <w:pPr>
        <w:pStyle w:val="BodyText"/>
      </w:pPr>
      <w:r w:rsidRPr="001276C9">
        <w:t>T</w:t>
      </w:r>
      <w:r w:rsidR="005922A6" w:rsidRPr="001276C9">
        <w:t xml:space="preserve">he </w:t>
      </w:r>
      <w:r w:rsidR="005D13A8" w:rsidRPr="001276C9">
        <w:t xml:space="preserve">CA </w:t>
      </w:r>
      <w:r w:rsidR="008D2D4B" w:rsidRPr="001276C9">
        <w:t>program</w:t>
      </w:r>
      <w:r w:rsidR="005D13A8" w:rsidRPr="001276C9">
        <w:t>, in particular,</w:t>
      </w:r>
      <w:r w:rsidR="005922A6" w:rsidRPr="001276C9">
        <w:t xml:space="preserve"> </w:t>
      </w:r>
      <w:r w:rsidR="001D2268" w:rsidRPr="001276C9">
        <w:t xml:space="preserve">had </w:t>
      </w:r>
      <w:r w:rsidR="001613B4" w:rsidRPr="001276C9">
        <w:t xml:space="preserve">a special focus on </w:t>
      </w:r>
      <w:r w:rsidR="005922A6" w:rsidRPr="001276C9">
        <w:t>applicant</w:t>
      </w:r>
      <w:r w:rsidR="001613B4" w:rsidRPr="001276C9">
        <w:t>s</w:t>
      </w:r>
      <w:r w:rsidR="005922A6" w:rsidRPr="001276C9">
        <w:t xml:space="preserve"> </w:t>
      </w:r>
      <w:r w:rsidR="001613B4" w:rsidRPr="001276C9">
        <w:t xml:space="preserve">that </w:t>
      </w:r>
      <w:r w:rsidR="008E041A" w:rsidRPr="001276C9">
        <w:t xml:space="preserve">were </w:t>
      </w:r>
      <w:r w:rsidR="00246360" w:rsidRPr="001276C9">
        <w:t xml:space="preserve">in need of </w:t>
      </w:r>
      <w:r w:rsidR="001613B4" w:rsidRPr="001276C9">
        <w:t xml:space="preserve">financing for the proposed project and </w:t>
      </w:r>
      <w:r w:rsidR="005922A6" w:rsidRPr="001276C9">
        <w:t xml:space="preserve">unable to obtain the required financing </w:t>
      </w:r>
      <w:r w:rsidR="001613B4" w:rsidRPr="001276C9">
        <w:t>thr</w:t>
      </w:r>
      <w:r w:rsidR="005922A6" w:rsidRPr="001276C9">
        <w:t>ough alternative sources</w:t>
      </w:r>
      <w:r w:rsidR="001D2268" w:rsidRPr="001276C9">
        <w:t xml:space="preserve"> (ANAO, 2014)</w:t>
      </w:r>
      <w:r w:rsidR="005922A6" w:rsidRPr="001276C9">
        <w:t xml:space="preserve">. </w:t>
      </w:r>
      <w:r w:rsidR="008E041A" w:rsidRPr="001276C9" w:rsidDel="008E041A">
        <w:t xml:space="preserve"> </w:t>
      </w:r>
    </w:p>
    <w:p w14:paraId="573AD9DB" w14:textId="1EAE1538" w:rsidR="007F2FE4" w:rsidRPr="001276C9" w:rsidRDefault="00205A0A" w:rsidP="007F2FE4">
      <w:pPr>
        <w:pStyle w:val="BodyText"/>
      </w:pPr>
      <w:r w:rsidRPr="001276C9">
        <w:t xml:space="preserve">The last CA grants were offered in 2014. </w:t>
      </w:r>
      <w:r w:rsidR="00C55CFB" w:rsidRPr="001276C9">
        <w:t>T</w:t>
      </w:r>
      <w:r w:rsidR="008A2F9C" w:rsidRPr="001276C9">
        <w:t xml:space="preserve">he </w:t>
      </w:r>
      <w:r w:rsidR="008D2D4B" w:rsidRPr="001276C9">
        <w:t>program</w:t>
      </w:r>
      <w:r w:rsidR="008A2F9C" w:rsidRPr="001276C9">
        <w:t xml:space="preserve"> </w:t>
      </w:r>
      <w:r w:rsidR="00CC4FD7" w:rsidRPr="001276C9">
        <w:t>was replaced by</w:t>
      </w:r>
      <w:r w:rsidRPr="001276C9">
        <w:t xml:space="preserve"> the new</w:t>
      </w:r>
      <w:r w:rsidR="00CC4FD7" w:rsidRPr="001276C9">
        <w:t xml:space="preserve"> </w:t>
      </w:r>
      <w:r w:rsidR="008A2F9C" w:rsidRPr="001276C9">
        <w:t>Accelerati</w:t>
      </w:r>
      <w:r w:rsidR="00AA2B13" w:rsidRPr="001276C9">
        <w:t>ng</w:t>
      </w:r>
      <w:r w:rsidR="008A2F9C" w:rsidRPr="001276C9">
        <w:t xml:space="preserve"> Commerc</w:t>
      </w:r>
      <w:r w:rsidR="0064473C" w:rsidRPr="001276C9">
        <w:t xml:space="preserve">ialisation </w:t>
      </w:r>
      <w:r w:rsidR="008E041A" w:rsidRPr="001276C9">
        <w:t>element of</w:t>
      </w:r>
      <w:r w:rsidR="0064473C" w:rsidRPr="001276C9">
        <w:t xml:space="preserve"> the</w:t>
      </w:r>
      <w:r w:rsidR="0041518D" w:rsidRPr="001276C9">
        <w:t xml:space="preserve"> Entrepreneurs</w:t>
      </w:r>
      <w:r w:rsidR="006B70AF" w:rsidRPr="001276C9">
        <w:t>’</w:t>
      </w:r>
      <w:r w:rsidR="0064473C" w:rsidRPr="001276C9">
        <w:t xml:space="preserve"> Programm</w:t>
      </w:r>
      <w:r w:rsidR="00141E83" w:rsidRPr="001276C9">
        <w:t>e</w:t>
      </w:r>
      <w:r w:rsidR="0041518D" w:rsidRPr="001276C9">
        <w:t xml:space="preserve"> (E</w:t>
      </w:r>
      <w:r w:rsidR="0064473C" w:rsidRPr="001276C9">
        <w:t>P)</w:t>
      </w:r>
      <w:r w:rsidR="008A2F9C" w:rsidRPr="001276C9">
        <w:t>.</w:t>
      </w:r>
      <w:r w:rsidR="00CE477F" w:rsidRPr="001276C9">
        <w:t xml:space="preserve"> </w:t>
      </w:r>
      <w:r w:rsidR="008E041A" w:rsidRPr="001276C9">
        <w:t>While there are</w:t>
      </w:r>
      <w:r w:rsidRPr="001276C9">
        <w:t xml:space="preserve"> some differences, </w:t>
      </w:r>
      <w:r w:rsidR="00CE477F" w:rsidRPr="001276C9">
        <w:t xml:space="preserve">Accelerating Commercialisation has a similar policy intent to the Commercialisation Australia program. </w:t>
      </w:r>
    </w:p>
    <w:p w14:paraId="2887B192" w14:textId="6DCC5C9C" w:rsidR="002F254D" w:rsidRPr="001276C9" w:rsidRDefault="00633462" w:rsidP="00423951">
      <w:pPr>
        <w:pStyle w:val="BodyText"/>
      </w:pPr>
      <w:r w:rsidRPr="001276C9">
        <w:lastRenderedPageBreak/>
        <w:t xml:space="preserve">This study focuses on the CA </w:t>
      </w:r>
      <w:r w:rsidR="008D2D4B" w:rsidRPr="001276C9">
        <w:t>program</w:t>
      </w:r>
      <w:r w:rsidR="000B4B4C" w:rsidRPr="001276C9">
        <w:t xml:space="preserve"> and evaluate</w:t>
      </w:r>
      <w:r w:rsidR="00E33F83" w:rsidRPr="001276C9">
        <w:t>s</w:t>
      </w:r>
      <w:r w:rsidR="000B4B4C" w:rsidRPr="001276C9">
        <w:t xml:space="preserve"> how participating firms fared relative to a comparison group. However, the</w:t>
      </w:r>
      <w:r w:rsidR="00E43581" w:rsidRPr="001276C9">
        <w:t xml:space="preserve"> methodology </w:t>
      </w:r>
      <w:r w:rsidR="000B4B4C" w:rsidRPr="001276C9">
        <w:t>may</w:t>
      </w:r>
      <w:r w:rsidR="00E43581" w:rsidRPr="001276C9">
        <w:t xml:space="preserve"> be applied to </w:t>
      </w:r>
      <w:r w:rsidR="00772100" w:rsidRPr="001276C9">
        <w:t>the analysis of</w:t>
      </w:r>
      <w:r w:rsidR="00E43581" w:rsidRPr="001276C9">
        <w:t xml:space="preserve"> the </w:t>
      </w:r>
      <w:r w:rsidR="00242CF1" w:rsidRPr="001276C9">
        <w:t>Acceleratin</w:t>
      </w:r>
      <w:r w:rsidR="007C5A95" w:rsidRPr="001276C9">
        <w:t>g</w:t>
      </w:r>
      <w:r w:rsidR="00242CF1" w:rsidRPr="001276C9">
        <w:t xml:space="preserve"> C</w:t>
      </w:r>
      <w:r w:rsidR="00772100" w:rsidRPr="001276C9">
        <w:t xml:space="preserve">ommercialisation </w:t>
      </w:r>
      <w:r w:rsidR="007C5A95" w:rsidRPr="001276C9">
        <w:t>element</w:t>
      </w:r>
      <w:r w:rsidR="00772100" w:rsidRPr="001276C9">
        <w:t xml:space="preserve"> of </w:t>
      </w:r>
      <w:r w:rsidR="00E43581" w:rsidRPr="001276C9">
        <w:t xml:space="preserve">EP </w:t>
      </w:r>
      <w:r w:rsidR="00242CF1" w:rsidRPr="001276C9">
        <w:t xml:space="preserve">and </w:t>
      </w:r>
      <w:r w:rsidR="00E33F83" w:rsidRPr="001276C9">
        <w:t xml:space="preserve">also to </w:t>
      </w:r>
      <w:r w:rsidR="00242CF1" w:rsidRPr="001276C9">
        <w:t>other programs with similar policy intents</w:t>
      </w:r>
      <w:r w:rsidR="0012454D" w:rsidRPr="001276C9">
        <w:t xml:space="preserve">. </w:t>
      </w:r>
    </w:p>
    <w:p w14:paraId="291F8EE7" w14:textId="115385EA" w:rsidR="00C72E71" w:rsidRPr="001276C9" w:rsidRDefault="007A1F2E" w:rsidP="00423951">
      <w:pPr>
        <w:pStyle w:val="BodyText"/>
      </w:pPr>
      <w:r w:rsidRPr="001276C9">
        <w:t xml:space="preserve">We begin by exploring the composition of CA </w:t>
      </w:r>
      <w:r w:rsidR="00242CF1" w:rsidRPr="001276C9">
        <w:t>participants</w:t>
      </w:r>
      <w:r w:rsidRPr="001276C9">
        <w:t xml:space="preserve"> and </w:t>
      </w:r>
      <w:r w:rsidR="0078541A" w:rsidRPr="001276C9">
        <w:t xml:space="preserve">present </w:t>
      </w:r>
      <w:r w:rsidR="003144B6" w:rsidRPr="001276C9">
        <w:t>some</w:t>
      </w:r>
      <w:r w:rsidRPr="001276C9">
        <w:t xml:space="preserve"> descriptive statistics on those firms. </w:t>
      </w:r>
      <w:r w:rsidR="002A284C" w:rsidRPr="001276C9">
        <w:t xml:space="preserve">Our focus is on the innovative and entrepreneurial features of these firms. </w:t>
      </w:r>
      <w:r w:rsidR="00C72E71" w:rsidRPr="001276C9">
        <w:t>Entrepreneurial firms</w:t>
      </w:r>
      <w:r w:rsidR="00A24938" w:rsidRPr="001276C9">
        <w:t>, in particular,</w:t>
      </w:r>
      <w:r w:rsidR="00C72E71" w:rsidRPr="001276C9">
        <w:t xml:space="preserve"> are generally associated with b</w:t>
      </w:r>
      <w:r w:rsidR="009B0563" w:rsidRPr="001276C9">
        <w:t xml:space="preserve">eing young, innovative, and </w:t>
      </w:r>
      <w:r w:rsidR="00ED1746" w:rsidRPr="001276C9">
        <w:t>ready to grow</w:t>
      </w:r>
      <w:r w:rsidR="009B0563" w:rsidRPr="001276C9">
        <w:t>. They are</w:t>
      </w:r>
      <w:r w:rsidR="003144B6" w:rsidRPr="001276C9">
        <w:t xml:space="preserve"> generally</w:t>
      </w:r>
      <w:r w:rsidR="009B0563" w:rsidRPr="001276C9">
        <w:t xml:space="preserve"> also very insecure and in urgent need of investment</w:t>
      </w:r>
      <w:r w:rsidR="00D54477" w:rsidRPr="001276C9">
        <w:t xml:space="preserve">, but </w:t>
      </w:r>
      <w:r w:rsidR="003144B6" w:rsidRPr="001276C9">
        <w:t xml:space="preserve">have </w:t>
      </w:r>
      <w:r w:rsidR="00D54477" w:rsidRPr="001276C9">
        <w:t>difficulty in attracting investment</w:t>
      </w:r>
      <w:r w:rsidR="00C72E71" w:rsidRPr="001276C9">
        <w:t>.</w:t>
      </w:r>
      <w:r w:rsidR="009B0563" w:rsidRPr="001276C9">
        <w:t xml:space="preserve"> </w:t>
      </w:r>
      <w:r w:rsidR="00654047" w:rsidRPr="001276C9">
        <w:t>T</w:t>
      </w:r>
      <w:r w:rsidR="000270C8" w:rsidRPr="001276C9">
        <w:t xml:space="preserve">hose young firms </w:t>
      </w:r>
      <w:r w:rsidR="00654047" w:rsidRPr="001276C9">
        <w:t>that survive</w:t>
      </w:r>
      <w:r w:rsidR="00394DC3" w:rsidRPr="001276C9">
        <w:t xml:space="preserve"> and grow</w:t>
      </w:r>
      <w:r w:rsidR="00654047" w:rsidRPr="001276C9">
        <w:t xml:space="preserve">, however, </w:t>
      </w:r>
      <w:r w:rsidR="000270C8" w:rsidRPr="001276C9">
        <w:t>make an over-sized contribution to net job creation in Australia</w:t>
      </w:r>
      <w:r w:rsidR="00654047" w:rsidRPr="001276C9">
        <w:t xml:space="preserve"> (Bakhtiari, 2017</w:t>
      </w:r>
      <w:r w:rsidR="00F854A6" w:rsidRPr="001276C9">
        <w:t>b</w:t>
      </w:r>
      <w:r w:rsidR="00654047" w:rsidRPr="001276C9">
        <w:t>)</w:t>
      </w:r>
      <w:r w:rsidR="000270C8" w:rsidRPr="001276C9">
        <w:t>.</w:t>
      </w:r>
    </w:p>
    <w:p w14:paraId="0DC92B0F" w14:textId="19C4B2F4" w:rsidR="007A1F2E" w:rsidRPr="001276C9" w:rsidRDefault="007A1F2E" w:rsidP="00423951">
      <w:pPr>
        <w:pStyle w:val="BodyText"/>
      </w:pPr>
      <w:r w:rsidRPr="001276C9">
        <w:t xml:space="preserve">The findings show that the majority of </w:t>
      </w:r>
      <w:r w:rsidR="003144B6" w:rsidRPr="001276C9">
        <w:t>program participants</w:t>
      </w:r>
      <w:r w:rsidRPr="001276C9">
        <w:t xml:space="preserve"> are quite small and young, hence, akin to entrepreneur</w:t>
      </w:r>
      <w:r w:rsidR="007C5A95" w:rsidRPr="001276C9">
        <w:t>ial firms</w:t>
      </w:r>
      <w:r w:rsidRPr="001276C9">
        <w:t>.</w:t>
      </w:r>
      <w:r w:rsidR="00654047" w:rsidRPr="001276C9">
        <w:t xml:space="preserve"> </w:t>
      </w:r>
      <w:r w:rsidR="005D13A8" w:rsidRPr="001276C9">
        <w:t>A few grants were also awarded to</w:t>
      </w:r>
      <w:r w:rsidRPr="001276C9">
        <w:t xml:space="preserve"> mature and large firms</w:t>
      </w:r>
      <w:r w:rsidR="00143B0D" w:rsidRPr="001276C9">
        <w:t xml:space="preserve">. </w:t>
      </w:r>
      <w:r w:rsidR="005D13A8" w:rsidRPr="001276C9">
        <w:t xml:space="preserve">We do not analyse these </w:t>
      </w:r>
      <w:r w:rsidR="00704145" w:rsidRPr="001276C9">
        <w:t>mature and larger</w:t>
      </w:r>
      <w:r w:rsidR="00B37A63" w:rsidRPr="001276C9">
        <w:t xml:space="preserve"> </w:t>
      </w:r>
      <w:r w:rsidR="005D13A8" w:rsidRPr="001276C9">
        <w:t>firms</w:t>
      </w:r>
      <w:r w:rsidR="006B70AF" w:rsidRPr="001276C9">
        <w:t xml:space="preserve"> given that t</w:t>
      </w:r>
      <w:r w:rsidR="00704145" w:rsidRPr="001276C9">
        <w:t>hey are relatively small in number and often have complex corporate structures which are not conducive to detailed analysis.</w:t>
      </w:r>
      <w:r w:rsidR="005D13A8" w:rsidRPr="001276C9" w:rsidDel="005D13A8">
        <w:t xml:space="preserve"> </w:t>
      </w:r>
    </w:p>
    <w:p w14:paraId="20F01A44" w14:textId="507816F7" w:rsidR="00062AB5" w:rsidRPr="001276C9" w:rsidRDefault="00E6342F" w:rsidP="00423951">
      <w:pPr>
        <w:pStyle w:val="BodyText"/>
      </w:pPr>
      <w:r w:rsidRPr="001276C9">
        <w:t xml:space="preserve">Focusing on </w:t>
      </w:r>
      <w:r w:rsidR="007C5A95" w:rsidRPr="001276C9">
        <w:t xml:space="preserve">the </w:t>
      </w:r>
      <w:r w:rsidRPr="001276C9">
        <w:t>small young firms, w</w:t>
      </w:r>
      <w:r w:rsidR="00564EDE" w:rsidRPr="001276C9">
        <w:t xml:space="preserve">e </w:t>
      </w:r>
      <w:r w:rsidR="003F2474" w:rsidRPr="001276C9">
        <w:t xml:space="preserve">compare the dynamics of the CA </w:t>
      </w:r>
      <w:r w:rsidR="00E33F83" w:rsidRPr="001276C9">
        <w:t xml:space="preserve">participants </w:t>
      </w:r>
      <w:r w:rsidR="00C2096E" w:rsidRPr="001276C9">
        <w:t xml:space="preserve">with </w:t>
      </w:r>
      <w:r w:rsidR="00E94BE2" w:rsidRPr="001276C9">
        <w:t xml:space="preserve">a </w:t>
      </w:r>
      <w:r w:rsidR="00763E70" w:rsidRPr="001276C9">
        <w:t xml:space="preserve">comparison </w:t>
      </w:r>
      <w:r w:rsidR="00E94BE2" w:rsidRPr="001276C9">
        <w:t xml:space="preserve">group of </w:t>
      </w:r>
      <w:r w:rsidR="0049585C" w:rsidRPr="001276C9">
        <w:t xml:space="preserve">non-participating </w:t>
      </w:r>
      <w:r w:rsidR="003F2474" w:rsidRPr="001276C9">
        <w:t xml:space="preserve">firms to measure the impact </w:t>
      </w:r>
      <w:r w:rsidR="00862354" w:rsidRPr="001276C9">
        <w:t xml:space="preserve">of </w:t>
      </w:r>
      <w:r w:rsidR="003F2474" w:rsidRPr="001276C9">
        <w:t xml:space="preserve">this </w:t>
      </w:r>
      <w:r w:rsidR="008D2D4B" w:rsidRPr="001276C9">
        <w:t>program</w:t>
      </w:r>
      <w:r w:rsidR="004A09E7" w:rsidRPr="001276C9">
        <w:t xml:space="preserve"> on their growth</w:t>
      </w:r>
      <w:r w:rsidR="00D76CB1" w:rsidRPr="001276C9">
        <w:t xml:space="preserve">. </w:t>
      </w:r>
      <w:r w:rsidR="00763E70" w:rsidRPr="001276C9">
        <w:t>We construct the comparison group using observable characteristics including industry</w:t>
      </w:r>
      <w:r w:rsidR="006B70AF" w:rsidRPr="001276C9">
        <w:t xml:space="preserve"> classification</w:t>
      </w:r>
      <w:r w:rsidR="00763E70" w:rsidRPr="001276C9">
        <w:t>, turnover, export status, R&amp;D</w:t>
      </w:r>
      <w:r w:rsidR="008C2FEE" w:rsidRPr="001276C9">
        <w:t>-activity</w:t>
      </w:r>
      <w:r w:rsidR="00763E70" w:rsidRPr="001276C9">
        <w:t xml:space="preserve"> and </w:t>
      </w:r>
      <w:r w:rsidR="006B70AF" w:rsidRPr="001276C9">
        <w:t xml:space="preserve">firm </w:t>
      </w:r>
      <w:r w:rsidR="00763E70" w:rsidRPr="001276C9">
        <w:t xml:space="preserve">age. </w:t>
      </w:r>
      <w:r w:rsidR="008C2FEE" w:rsidRPr="001276C9">
        <w:t xml:space="preserve">Using R&amp;D-activity to construct a comparison group is particularly useful, </w:t>
      </w:r>
      <w:r w:rsidR="00474CAB" w:rsidRPr="001276C9">
        <w:t xml:space="preserve">as R&amp;D is a leading indicator of product innovation </w:t>
      </w:r>
      <w:r w:rsidR="00BA5C72" w:rsidRPr="001276C9">
        <w:t xml:space="preserve">and </w:t>
      </w:r>
      <w:r w:rsidR="00474CAB" w:rsidRPr="001276C9">
        <w:t>commercialisation intent</w:t>
      </w:r>
      <w:r w:rsidR="00BA5C72" w:rsidRPr="001276C9">
        <w:t>, which are</w:t>
      </w:r>
      <w:r w:rsidR="00F97FCE" w:rsidRPr="001276C9">
        <w:t xml:space="preserve"> th</w:t>
      </w:r>
      <w:r w:rsidR="58507147" w:rsidRPr="001276C9">
        <w:t>e</w:t>
      </w:r>
      <w:r w:rsidR="00F97FCE" w:rsidRPr="001276C9">
        <w:t xml:space="preserve"> k</w:t>
      </w:r>
      <w:r w:rsidR="2422A0F5" w:rsidRPr="001276C9">
        <w:t xml:space="preserve">ey </w:t>
      </w:r>
      <w:r w:rsidR="4DA7868F" w:rsidRPr="001276C9">
        <w:t>characteristics of the program’s target market</w:t>
      </w:r>
      <w:r w:rsidR="00F97FCE" w:rsidRPr="001276C9">
        <w:t>.</w:t>
      </w:r>
      <w:r w:rsidR="00474CAB" w:rsidRPr="001276C9">
        <w:t xml:space="preserve"> </w:t>
      </w:r>
      <w:r w:rsidR="007F08E3" w:rsidRPr="001276C9">
        <w:t>Our analysis shows</w:t>
      </w:r>
      <w:r w:rsidR="00474CAB" w:rsidRPr="001276C9">
        <w:t xml:space="preserve"> the majority of CA firms </w:t>
      </w:r>
      <w:r w:rsidR="007C5A95" w:rsidRPr="001276C9">
        <w:t xml:space="preserve">also </w:t>
      </w:r>
      <w:r w:rsidR="007F08E3" w:rsidRPr="001276C9">
        <w:t>participate</w:t>
      </w:r>
      <w:r w:rsidR="007C5A95" w:rsidRPr="001276C9">
        <w:t>d</w:t>
      </w:r>
      <w:r w:rsidR="007F08E3" w:rsidRPr="001276C9">
        <w:t xml:space="preserve"> in R&amp;D tax programs</w:t>
      </w:r>
      <w:r w:rsidR="00474CAB" w:rsidRPr="001276C9">
        <w:t>.</w:t>
      </w:r>
      <w:r w:rsidR="008C2FEE" w:rsidRPr="001276C9">
        <w:t xml:space="preserve"> </w:t>
      </w:r>
      <w:r w:rsidR="00D76CB1" w:rsidRPr="001276C9">
        <w:t>We</w:t>
      </w:r>
      <w:r w:rsidR="00B40C1B" w:rsidRPr="001276C9">
        <w:t xml:space="preserve"> </w:t>
      </w:r>
      <w:r w:rsidR="00D76CB1" w:rsidRPr="001276C9">
        <w:t>look at</w:t>
      </w:r>
      <w:r w:rsidR="00D15C73" w:rsidRPr="001276C9">
        <w:t xml:space="preserve"> additional</w:t>
      </w:r>
      <w:r w:rsidR="00AA3DF2" w:rsidRPr="001276C9">
        <w:t xml:space="preserve"> growth in turnover and </w:t>
      </w:r>
      <w:r w:rsidR="00B924E8" w:rsidRPr="001276C9">
        <w:t>added</w:t>
      </w:r>
      <w:r w:rsidR="001D0363" w:rsidRPr="001276C9">
        <w:t xml:space="preserve"> investments in </w:t>
      </w:r>
      <w:r w:rsidR="00AA3DF2" w:rsidRPr="001276C9">
        <w:t xml:space="preserve">capital and R&amp;D </w:t>
      </w:r>
      <w:r w:rsidR="001D0363" w:rsidRPr="001276C9">
        <w:t>a</w:t>
      </w:r>
      <w:r w:rsidR="00AA3DF2" w:rsidRPr="001276C9">
        <w:t xml:space="preserve">s measures of </w:t>
      </w:r>
      <w:r w:rsidR="008D2D4B" w:rsidRPr="001276C9">
        <w:t>program</w:t>
      </w:r>
      <w:r w:rsidR="00D76CB1" w:rsidRPr="001276C9">
        <w:t xml:space="preserve"> success</w:t>
      </w:r>
      <w:r w:rsidR="003F2474" w:rsidRPr="001276C9">
        <w:t xml:space="preserve">. </w:t>
      </w:r>
    </w:p>
    <w:p w14:paraId="2213223A" w14:textId="5759DF15" w:rsidR="008F068B" w:rsidRPr="001276C9" w:rsidRDefault="009B6BD7" w:rsidP="00423951">
      <w:pPr>
        <w:pStyle w:val="BodyText"/>
      </w:pPr>
      <w:r w:rsidRPr="001276C9">
        <w:t>We can establish that</w:t>
      </w:r>
      <w:r w:rsidR="0078541A" w:rsidRPr="001276C9">
        <w:t xml:space="preserve"> </w:t>
      </w:r>
      <w:r w:rsidR="00F97FCE" w:rsidRPr="001276C9">
        <w:t xml:space="preserve">participating </w:t>
      </w:r>
      <w:r w:rsidR="0078541A" w:rsidRPr="001276C9">
        <w:t xml:space="preserve">firms </w:t>
      </w:r>
      <w:r w:rsidR="00F97FCE" w:rsidRPr="001276C9">
        <w:t>in</w:t>
      </w:r>
      <w:r w:rsidR="00EC42AE" w:rsidRPr="001276C9">
        <w:t xml:space="preserve"> the CA </w:t>
      </w:r>
      <w:r w:rsidR="00F97FCE" w:rsidRPr="001276C9">
        <w:t>program</w:t>
      </w:r>
      <w:r w:rsidR="00EC42AE" w:rsidRPr="001276C9">
        <w:t xml:space="preserve"> had higher levels of </w:t>
      </w:r>
      <w:r w:rsidR="0078541A" w:rsidRPr="001276C9">
        <w:t>capital investmen</w:t>
      </w:r>
      <w:r w:rsidR="00564EDE" w:rsidRPr="001276C9">
        <w:t>t and R&amp;D</w:t>
      </w:r>
      <w:r w:rsidR="0078541A" w:rsidRPr="001276C9">
        <w:t xml:space="preserve"> expenditures</w:t>
      </w:r>
      <w:r w:rsidR="00062AB5" w:rsidRPr="001276C9">
        <w:t xml:space="preserve"> immediately after the grant</w:t>
      </w:r>
      <w:r w:rsidR="00EC42AE" w:rsidRPr="001276C9">
        <w:t xml:space="preserve"> </w:t>
      </w:r>
      <w:r w:rsidR="00C2096E" w:rsidRPr="001276C9">
        <w:t xml:space="preserve">relative to the comparison group of </w:t>
      </w:r>
      <w:r w:rsidR="00EC42AE" w:rsidRPr="001276C9">
        <w:t>similar firms</w:t>
      </w:r>
      <w:r w:rsidR="0078541A" w:rsidRPr="001276C9">
        <w:t xml:space="preserve">. </w:t>
      </w:r>
      <w:r w:rsidR="00C41A3F" w:rsidRPr="001276C9">
        <w:t>W</w:t>
      </w:r>
      <w:r w:rsidR="008F068B" w:rsidRPr="001276C9">
        <w:t xml:space="preserve">e </w:t>
      </w:r>
      <w:r w:rsidR="00C41A3F" w:rsidRPr="001276C9">
        <w:t xml:space="preserve">also </w:t>
      </w:r>
      <w:r w:rsidR="008F068B" w:rsidRPr="001276C9">
        <w:t xml:space="preserve">find that </w:t>
      </w:r>
      <w:r w:rsidR="00C41A3F" w:rsidRPr="001276C9">
        <w:t>participating</w:t>
      </w:r>
      <w:r w:rsidR="00D415AB" w:rsidRPr="001276C9">
        <w:t xml:space="preserve"> firms </w:t>
      </w:r>
      <w:r w:rsidR="00DF2F03" w:rsidRPr="001276C9">
        <w:t xml:space="preserve">outperformed other firms in that their </w:t>
      </w:r>
      <w:r w:rsidR="008F068B" w:rsidRPr="001276C9">
        <w:t>turnover growth</w:t>
      </w:r>
      <w:r w:rsidR="00DF2F03" w:rsidRPr="001276C9">
        <w:t xml:space="preserve"> increased by a larger amount</w:t>
      </w:r>
      <w:r w:rsidR="008F068B" w:rsidRPr="001276C9">
        <w:t xml:space="preserve">. </w:t>
      </w:r>
    </w:p>
    <w:p w14:paraId="202437DC" w14:textId="178C737C" w:rsidR="00A73287" w:rsidRPr="001276C9" w:rsidRDefault="00A73287" w:rsidP="00423951">
      <w:pPr>
        <w:pStyle w:val="BodyText"/>
      </w:pPr>
      <w:r w:rsidRPr="001276C9">
        <w:t xml:space="preserve">We also </w:t>
      </w:r>
      <w:r w:rsidR="008F068B" w:rsidRPr="001276C9">
        <w:t xml:space="preserve">look at the response of the CA </w:t>
      </w:r>
      <w:r w:rsidR="00817F1A" w:rsidRPr="001276C9">
        <w:t xml:space="preserve">participants </w:t>
      </w:r>
      <w:r w:rsidR="008F068B" w:rsidRPr="001276C9">
        <w:t>in terms of exporting activity, patent</w:t>
      </w:r>
      <w:r w:rsidR="001B6583" w:rsidRPr="001276C9">
        <w:t>ing</w:t>
      </w:r>
      <w:r w:rsidR="008F068B" w:rsidRPr="001276C9">
        <w:t xml:space="preserve"> and </w:t>
      </w:r>
      <w:r w:rsidR="001C606C" w:rsidRPr="001276C9">
        <w:t>trade</w:t>
      </w:r>
      <w:r w:rsidR="00384B2F" w:rsidRPr="001276C9">
        <w:t>mark</w:t>
      </w:r>
      <w:r w:rsidR="00944CFE" w:rsidRPr="001276C9">
        <w:t xml:space="preserve">ing. </w:t>
      </w:r>
      <w:r w:rsidR="008F068B" w:rsidRPr="001276C9">
        <w:t xml:space="preserve"> </w:t>
      </w:r>
    </w:p>
    <w:p w14:paraId="03944276" w14:textId="36ACBDE2" w:rsidR="00B50EA3" w:rsidRPr="001276C9" w:rsidRDefault="00666676" w:rsidP="00423951">
      <w:pPr>
        <w:pStyle w:val="BodyText"/>
      </w:pPr>
      <w:r w:rsidRPr="001276C9">
        <w:t>The remainder of the paper is organised as follows: i</w:t>
      </w:r>
      <w:r w:rsidR="00E60B1F" w:rsidRPr="001276C9">
        <w:t xml:space="preserve">n the next section, we will </w:t>
      </w:r>
      <w:r w:rsidR="00734279" w:rsidRPr="001276C9">
        <w:t xml:space="preserve">provide an </w:t>
      </w:r>
      <w:r w:rsidR="00E60B1F" w:rsidRPr="001276C9">
        <w:t>overview</w:t>
      </w:r>
      <w:r w:rsidR="00734279" w:rsidRPr="001276C9">
        <w:t xml:space="preserve"> of</w:t>
      </w:r>
      <w:r w:rsidR="00E60B1F" w:rsidRPr="001276C9">
        <w:t xml:space="preserve"> the CA </w:t>
      </w:r>
      <w:r w:rsidR="008D2D4B" w:rsidRPr="001276C9">
        <w:t>program</w:t>
      </w:r>
      <w:r w:rsidR="00E60B1F" w:rsidRPr="001276C9">
        <w:t xml:space="preserve">. In Section 3, we describe the data being used for the analysis. </w:t>
      </w:r>
      <w:r w:rsidR="00AF2C7B" w:rsidRPr="001276C9">
        <w:t xml:space="preserve">In Section 4, we provide an overview of the </w:t>
      </w:r>
      <w:r w:rsidR="00734279" w:rsidRPr="001276C9">
        <w:t>program participants</w:t>
      </w:r>
      <w:r w:rsidR="00AF2C7B" w:rsidRPr="001276C9">
        <w:t xml:space="preserve"> and highlight their features.</w:t>
      </w:r>
      <w:r w:rsidR="00A42727" w:rsidRPr="001276C9">
        <w:t xml:space="preserve"> Section 5 describes our evaluation methodology, </w:t>
      </w:r>
      <w:r w:rsidR="0030045C" w:rsidRPr="001276C9">
        <w:t xml:space="preserve">with </w:t>
      </w:r>
      <w:r w:rsidR="00A42727" w:rsidRPr="001276C9">
        <w:t>the results presented in Section 6. The papers is concluded in Section 7.</w:t>
      </w:r>
    </w:p>
    <w:p w14:paraId="1BFD6A02" w14:textId="77777777" w:rsidR="00B50EA3" w:rsidRPr="001276C9" w:rsidRDefault="00B50EA3">
      <w:pPr>
        <w:spacing w:after="200" w:line="276" w:lineRule="auto"/>
        <w:ind w:left="0"/>
        <w:jc w:val="left"/>
        <w:rPr>
          <w:rFonts w:asciiTheme="minorHAnsi" w:hAnsiTheme="minorHAnsi"/>
        </w:rPr>
      </w:pPr>
      <w:r w:rsidRPr="001276C9">
        <w:br w:type="page"/>
      </w:r>
    </w:p>
    <w:p w14:paraId="69C666D5" w14:textId="22A1B7F1" w:rsidR="00423951" w:rsidRPr="001276C9" w:rsidRDefault="00423951" w:rsidP="00423951">
      <w:pPr>
        <w:pStyle w:val="Heading1"/>
      </w:pPr>
      <w:r w:rsidRPr="001276C9">
        <w:lastRenderedPageBreak/>
        <w:t xml:space="preserve">Overview of the </w:t>
      </w:r>
      <w:r w:rsidR="008D2D4B" w:rsidRPr="001276C9">
        <w:t>program</w:t>
      </w:r>
    </w:p>
    <w:p w14:paraId="06CDBAF4" w14:textId="54A0A6B2" w:rsidR="00D82B8D" w:rsidRPr="001276C9" w:rsidRDefault="002B74EC" w:rsidP="00CD007B">
      <w:pPr>
        <w:pStyle w:val="BodyText"/>
      </w:pPr>
      <w:r w:rsidRPr="001276C9">
        <w:t xml:space="preserve">The CA </w:t>
      </w:r>
      <w:r w:rsidR="008D2D4B" w:rsidRPr="001276C9">
        <w:t>program</w:t>
      </w:r>
      <w:r w:rsidR="0091618D" w:rsidRPr="001276C9">
        <w:t xml:space="preserve"> was established in 2009</w:t>
      </w:r>
      <w:r w:rsidR="005F0239" w:rsidRPr="001276C9">
        <w:t xml:space="preserve"> and started offering the first grants from July 2010</w:t>
      </w:r>
      <w:r w:rsidR="001D72E6" w:rsidRPr="001276C9">
        <w:t>. The last grants were awarded in</w:t>
      </w:r>
      <w:r w:rsidR="005F0239" w:rsidRPr="001276C9">
        <w:t xml:space="preserve"> June 2014. </w:t>
      </w:r>
      <w:r w:rsidR="00D82B8D" w:rsidRPr="001276C9">
        <w:t xml:space="preserve">The </w:t>
      </w:r>
      <w:r w:rsidR="008D2D4B" w:rsidRPr="001276C9">
        <w:t>program</w:t>
      </w:r>
      <w:r w:rsidR="00D82B8D" w:rsidRPr="001276C9">
        <w:t xml:space="preserve"> </w:t>
      </w:r>
      <w:r w:rsidR="008E1D4C" w:rsidRPr="001276C9">
        <w:t>h</w:t>
      </w:r>
      <w:r w:rsidR="005F0239" w:rsidRPr="001276C9">
        <w:t>ad</w:t>
      </w:r>
      <w:r w:rsidR="008E1D4C" w:rsidRPr="001276C9">
        <w:t xml:space="preserve"> four</w:t>
      </w:r>
      <w:r w:rsidR="00D82B8D" w:rsidRPr="001276C9">
        <w:t xml:space="preserve"> </w:t>
      </w:r>
      <w:r w:rsidR="00F02EE9" w:rsidRPr="001276C9">
        <w:t>components</w:t>
      </w:r>
      <w:r w:rsidR="00D82B8D" w:rsidRPr="001276C9">
        <w:t>, each offering grants for a certain type of activity relevant to commercialisation.</w:t>
      </w:r>
      <w:r w:rsidR="00456205" w:rsidRPr="001276C9">
        <w:t xml:space="preserve"> These components are:</w:t>
      </w:r>
    </w:p>
    <w:p w14:paraId="187F897F" w14:textId="3227E836" w:rsidR="008E1D4C" w:rsidRPr="001276C9" w:rsidRDefault="005F0239" w:rsidP="00FF217C">
      <w:pPr>
        <w:pStyle w:val="ListNumber"/>
      </w:pPr>
      <w:r w:rsidRPr="001276C9">
        <w:rPr>
          <w:b/>
          <w:bCs/>
        </w:rPr>
        <w:t>Skills and Knowledge</w:t>
      </w:r>
      <w:r w:rsidRPr="001276C9">
        <w:t xml:space="preserve">: </w:t>
      </w:r>
      <w:r w:rsidR="005C683C" w:rsidRPr="001276C9">
        <w:t xml:space="preserve">intended </w:t>
      </w:r>
      <w:r w:rsidRPr="001276C9">
        <w:t xml:space="preserve">to get access to specialised advice and services. The amount of grant </w:t>
      </w:r>
      <w:r w:rsidR="007C5A95" w:rsidRPr="001276C9">
        <w:t xml:space="preserve">was </w:t>
      </w:r>
      <w:r w:rsidRPr="001276C9">
        <w:t>capped at $50,000 with</w:t>
      </w:r>
      <w:r w:rsidR="00F02EE9" w:rsidRPr="001276C9">
        <w:t xml:space="preserve"> a</w:t>
      </w:r>
      <w:r w:rsidRPr="001276C9">
        <w:t xml:space="preserve"> 20 per cent matching contribution required from the recipient.</w:t>
      </w:r>
      <w:r w:rsidR="0021337C" w:rsidRPr="001276C9">
        <w:t xml:space="preserve"> </w:t>
      </w:r>
      <w:r w:rsidR="005C683C" w:rsidRPr="001276C9">
        <w:t>Maximum length of grant is 12 months</w:t>
      </w:r>
      <w:r w:rsidR="0021337C" w:rsidRPr="001276C9">
        <w:t>.</w:t>
      </w:r>
    </w:p>
    <w:p w14:paraId="0B99368E" w14:textId="166153F7" w:rsidR="005F0239" w:rsidRPr="001276C9" w:rsidRDefault="005F0239" w:rsidP="00FF217C">
      <w:pPr>
        <w:pStyle w:val="ListNumber"/>
      </w:pPr>
      <w:r w:rsidRPr="001276C9">
        <w:rPr>
          <w:b/>
          <w:bCs/>
        </w:rPr>
        <w:t>Experienced Executives</w:t>
      </w:r>
      <w:r w:rsidRPr="001276C9">
        <w:t xml:space="preserve">: </w:t>
      </w:r>
      <w:r w:rsidR="005C683C" w:rsidRPr="001276C9">
        <w:t xml:space="preserve">intended </w:t>
      </w:r>
      <w:r w:rsidRPr="001276C9">
        <w:t>to hire an experienced executive officer. These grants o</w:t>
      </w:r>
      <w:r w:rsidR="00594919" w:rsidRPr="001276C9">
        <w:t>ffered up to $175,000 per year</w:t>
      </w:r>
      <w:r w:rsidRPr="001276C9">
        <w:t xml:space="preserve"> with</w:t>
      </w:r>
      <w:r w:rsidR="00F02EE9" w:rsidRPr="001276C9">
        <w:t xml:space="preserve"> a</w:t>
      </w:r>
      <w:r w:rsidRPr="001276C9">
        <w:t xml:space="preserve"> 50 per cent matching contribution required from the recipient.</w:t>
      </w:r>
      <w:r w:rsidR="0021337C" w:rsidRPr="001276C9">
        <w:t xml:space="preserve"> </w:t>
      </w:r>
      <w:r w:rsidR="00594919" w:rsidRPr="001276C9">
        <w:t>Maximum length of grant is two years.</w:t>
      </w:r>
    </w:p>
    <w:p w14:paraId="7F24C239" w14:textId="40042886" w:rsidR="005F0239" w:rsidRPr="001276C9" w:rsidRDefault="005F0239" w:rsidP="00FF217C">
      <w:pPr>
        <w:pStyle w:val="ListNumber"/>
      </w:pPr>
      <w:r w:rsidRPr="001276C9">
        <w:rPr>
          <w:b/>
          <w:bCs/>
        </w:rPr>
        <w:t>Proof of Concept</w:t>
      </w:r>
      <w:r w:rsidRPr="001276C9">
        <w:t xml:space="preserve">: </w:t>
      </w:r>
      <w:r w:rsidR="00594919" w:rsidRPr="001276C9">
        <w:t xml:space="preserve">intended </w:t>
      </w:r>
      <w:r w:rsidRPr="001276C9">
        <w:t xml:space="preserve">to assist with the testing, development and evaluating the commercial viability of a business model or idea </w:t>
      </w:r>
      <w:r w:rsidR="00594919" w:rsidRPr="001276C9">
        <w:t xml:space="preserve">for a product. The grant amount </w:t>
      </w:r>
      <w:r w:rsidR="007C5A95" w:rsidRPr="001276C9">
        <w:t xml:space="preserve">was </w:t>
      </w:r>
      <w:r w:rsidR="00594919" w:rsidRPr="001276C9">
        <w:t>between $50,000 and</w:t>
      </w:r>
      <w:r w:rsidRPr="001276C9">
        <w:t xml:space="preserve"> $250,000 with</w:t>
      </w:r>
      <w:r w:rsidR="00F02EE9" w:rsidRPr="001276C9">
        <w:t xml:space="preserve"> a</w:t>
      </w:r>
      <w:r w:rsidRPr="001276C9">
        <w:t xml:space="preserve"> 50 per cent matching contribution required from the recipient.</w:t>
      </w:r>
      <w:r w:rsidR="0021337C" w:rsidRPr="001276C9">
        <w:t xml:space="preserve"> </w:t>
      </w:r>
      <w:r w:rsidR="00594919" w:rsidRPr="001276C9">
        <w:t xml:space="preserve">Maximum length of grant is </w:t>
      </w:r>
      <w:r w:rsidR="0021337C" w:rsidRPr="001276C9">
        <w:t>12 months</w:t>
      </w:r>
    </w:p>
    <w:p w14:paraId="2B4BAA97" w14:textId="04B28F74" w:rsidR="00712521" w:rsidRPr="001276C9" w:rsidRDefault="00712521" w:rsidP="00FF217C">
      <w:pPr>
        <w:pStyle w:val="ListNumber"/>
      </w:pPr>
      <w:r w:rsidRPr="001276C9">
        <w:rPr>
          <w:b/>
          <w:bCs/>
        </w:rPr>
        <w:t>Early Stage Co</w:t>
      </w:r>
      <w:r w:rsidR="00C67B5E" w:rsidRPr="001276C9">
        <w:rPr>
          <w:b/>
          <w:bCs/>
        </w:rPr>
        <w:t>mmercialisation</w:t>
      </w:r>
      <w:r w:rsidRPr="001276C9">
        <w:t xml:space="preserve">: </w:t>
      </w:r>
      <w:r w:rsidR="00536276" w:rsidRPr="001276C9">
        <w:t xml:space="preserve">intended </w:t>
      </w:r>
      <w:r w:rsidRPr="001276C9">
        <w:t>to carry out activities that focus on the development of a new product, process or service</w:t>
      </w:r>
      <w:r w:rsidR="00E7204D" w:rsidRPr="001276C9">
        <w:t xml:space="preserve"> and their commercialisation</w:t>
      </w:r>
      <w:r w:rsidRPr="001276C9">
        <w:t>.</w:t>
      </w:r>
      <w:r w:rsidR="0021337C" w:rsidRPr="001276C9">
        <w:t xml:space="preserve"> </w:t>
      </w:r>
      <w:r w:rsidR="00536276" w:rsidRPr="001276C9">
        <w:t xml:space="preserve">Grant amount </w:t>
      </w:r>
      <w:r w:rsidR="007C5A95" w:rsidRPr="001276C9">
        <w:t xml:space="preserve">was </w:t>
      </w:r>
      <w:r w:rsidR="00536276" w:rsidRPr="001276C9">
        <w:t>between $50,000 and</w:t>
      </w:r>
      <w:r w:rsidR="0021337C" w:rsidRPr="001276C9">
        <w:t xml:space="preserve"> $2</w:t>
      </w:r>
      <w:r w:rsidR="007C5A95" w:rsidRPr="001276C9">
        <w:t> </w:t>
      </w:r>
      <w:r w:rsidR="0021337C" w:rsidRPr="001276C9">
        <w:t>million with</w:t>
      </w:r>
      <w:r w:rsidR="00F02EE9" w:rsidRPr="001276C9">
        <w:t xml:space="preserve"> a</w:t>
      </w:r>
      <w:r w:rsidR="0021337C" w:rsidRPr="001276C9">
        <w:t xml:space="preserve"> 50 per cent matching contribution from the recipient. </w:t>
      </w:r>
      <w:r w:rsidR="00536276" w:rsidRPr="001276C9">
        <w:t>Maximum length of grant is t</w:t>
      </w:r>
      <w:r w:rsidR="0021337C" w:rsidRPr="001276C9">
        <w:t>wo years.</w:t>
      </w:r>
    </w:p>
    <w:p w14:paraId="4B40FE78" w14:textId="01FC6B5C" w:rsidR="00E6342F" w:rsidRPr="001276C9" w:rsidRDefault="00E6342F" w:rsidP="69C395A1">
      <w:pPr>
        <w:pStyle w:val="BodyText"/>
      </w:pPr>
      <w:r w:rsidRPr="001276C9">
        <w:t xml:space="preserve">Alongside the grants, the </w:t>
      </w:r>
      <w:r w:rsidR="008D2D4B" w:rsidRPr="001276C9">
        <w:t>program</w:t>
      </w:r>
      <w:r w:rsidRPr="001276C9">
        <w:t xml:space="preserve"> also offered additional support to firms in the form of </w:t>
      </w:r>
      <w:r w:rsidR="00C1210C" w:rsidRPr="001276C9">
        <w:t>case managers who were private sector advisers with experience in commerc</w:t>
      </w:r>
      <w:r w:rsidR="006B70AF" w:rsidRPr="001276C9">
        <w:t>i</w:t>
      </w:r>
      <w:r w:rsidR="00C1210C" w:rsidRPr="001276C9">
        <w:t>alisation.</w:t>
      </w:r>
      <w:r w:rsidR="00C1210C" w:rsidRPr="001276C9" w:rsidDel="00C1210C">
        <w:t xml:space="preserve"> </w:t>
      </w:r>
    </w:p>
    <w:p w14:paraId="47A08294" w14:textId="224E2DC1" w:rsidR="00AA46B2" w:rsidRPr="001276C9" w:rsidRDefault="002F1551" w:rsidP="00CD007B">
      <w:pPr>
        <w:pStyle w:val="BodyText"/>
      </w:pPr>
      <w:r w:rsidRPr="001276C9">
        <w:t xml:space="preserve">The annual turnover limit to be eligible for the CA </w:t>
      </w:r>
      <w:r w:rsidR="008D2D4B" w:rsidRPr="001276C9">
        <w:t>program</w:t>
      </w:r>
      <w:r w:rsidRPr="001276C9">
        <w:t xml:space="preserve"> </w:t>
      </w:r>
      <w:r w:rsidR="00CC4FD7" w:rsidRPr="001276C9">
        <w:t xml:space="preserve">was </w:t>
      </w:r>
      <w:r w:rsidR="00B50D9B" w:rsidRPr="001276C9">
        <w:t>initially</w:t>
      </w:r>
      <w:r w:rsidRPr="001276C9">
        <w:t xml:space="preserve"> $20</w:t>
      </w:r>
      <w:r w:rsidR="007C5A95" w:rsidRPr="001276C9">
        <w:t> </w:t>
      </w:r>
      <w:r w:rsidRPr="001276C9">
        <w:t>million</w:t>
      </w:r>
      <w:r w:rsidR="00B50D9B" w:rsidRPr="001276C9">
        <w:t>.</w:t>
      </w:r>
      <w:r w:rsidRPr="001276C9">
        <w:t xml:space="preserve"> </w:t>
      </w:r>
      <w:r w:rsidR="00B50D9B" w:rsidRPr="001276C9">
        <w:t>H</w:t>
      </w:r>
      <w:r w:rsidRPr="001276C9">
        <w:t>owever</w:t>
      </w:r>
      <w:r w:rsidR="002029FA" w:rsidRPr="001276C9">
        <w:t>,</w:t>
      </w:r>
      <w:r w:rsidRPr="001276C9">
        <w:t xml:space="preserve"> in December 2011 this</w:t>
      </w:r>
      <w:r w:rsidR="00F47E0A" w:rsidRPr="001276C9">
        <w:t xml:space="preserve"> threshold</w:t>
      </w:r>
      <w:r w:rsidRPr="001276C9">
        <w:t xml:space="preserve"> was increased to $50</w:t>
      </w:r>
      <w:r w:rsidR="007C5A95" w:rsidRPr="001276C9">
        <w:t> </w:t>
      </w:r>
      <w:r w:rsidRPr="001276C9">
        <w:t xml:space="preserve">million to increase the </w:t>
      </w:r>
      <w:r w:rsidR="008D2D4B" w:rsidRPr="001276C9">
        <w:t>program</w:t>
      </w:r>
      <w:r w:rsidRPr="001276C9">
        <w:t xml:space="preserve">’s capacity to assist </w:t>
      </w:r>
      <w:r w:rsidR="00F47E0A" w:rsidRPr="001276C9">
        <w:t xml:space="preserve">both </w:t>
      </w:r>
      <w:r w:rsidRPr="001276C9">
        <w:t>small and medium sized enterprises (SMEs).</w:t>
      </w:r>
      <w:r w:rsidRPr="001276C9">
        <w:rPr>
          <w:rStyle w:val="FootnoteReference"/>
        </w:rPr>
        <w:footnoteReference w:id="2"/>
      </w:r>
      <w:r w:rsidR="00AA46B2" w:rsidRPr="001276C9">
        <w:t xml:space="preserve"> </w:t>
      </w:r>
      <w:r w:rsidR="006C4B70" w:rsidRPr="001276C9">
        <w:t xml:space="preserve">Exceptions to this eligibility rule were also made on a </w:t>
      </w:r>
      <w:r w:rsidR="008542C2" w:rsidRPr="001276C9">
        <w:t>c</w:t>
      </w:r>
      <w:r w:rsidR="006C4B70" w:rsidRPr="001276C9">
        <w:t xml:space="preserve">ase-by-case basis. </w:t>
      </w:r>
      <w:r w:rsidR="00AA46B2" w:rsidRPr="001276C9">
        <w:t xml:space="preserve">The grant </w:t>
      </w:r>
      <w:r w:rsidR="00CC4FD7" w:rsidRPr="001276C9">
        <w:t>was</w:t>
      </w:r>
      <w:r w:rsidR="00AA46B2" w:rsidRPr="001276C9">
        <w:t xml:space="preserve"> open to non-tax-exempt firms but also to individual </w:t>
      </w:r>
      <w:r w:rsidR="0017007B" w:rsidRPr="001276C9">
        <w:t>innovators</w:t>
      </w:r>
      <w:r w:rsidR="00AA46B2" w:rsidRPr="001276C9">
        <w:t xml:space="preserve"> applying through a university or </w:t>
      </w:r>
      <w:r w:rsidR="0017007B" w:rsidRPr="001276C9">
        <w:t xml:space="preserve">through </w:t>
      </w:r>
      <w:r w:rsidR="00AA46B2" w:rsidRPr="001276C9">
        <w:t xml:space="preserve">other forms of </w:t>
      </w:r>
      <w:r w:rsidR="009C0ED3" w:rsidRPr="001276C9">
        <w:t xml:space="preserve">industry </w:t>
      </w:r>
      <w:r w:rsidR="00AA46B2" w:rsidRPr="001276C9">
        <w:t xml:space="preserve">partnership. </w:t>
      </w:r>
    </w:p>
    <w:p w14:paraId="7E9C5406" w14:textId="5AA3ABDE" w:rsidR="002F1551" w:rsidRPr="001276C9" w:rsidRDefault="0017007B" w:rsidP="00CD007B">
      <w:pPr>
        <w:pStyle w:val="BodyText"/>
      </w:pPr>
      <w:r w:rsidRPr="001276C9">
        <w:t xml:space="preserve">To satisfy the merit criteria, </w:t>
      </w:r>
      <w:r w:rsidR="00AA46B2" w:rsidRPr="001276C9">
        <w:t xml:space="preserve">the applicants </w:t>
      </w:r>
      <w:r w:rsidRPr="001276C9">
        <w:t xml:space="preserve">needed to demonstrate the viability and marketability of the idea. They </w:t>
      </w:r>
      <w:r w:rsidR="00AA46B2" w:rsidRPr="001276C9">
        <w:t xml:space="preserve">also needed to </w:t>
      </w:r>
      <w:r w:rsidR="00AE154D" w:rsidRPr="001276C9">
        <w:t>demonstrate a need for</w:t>
      </w:r>
      <w:r w:rsidR="00AA46B2" w:rsidRPr="001276C9">
        <w:t xml:space="preserve"> funding for the project and </w:t>
      </w:r>
      <w:r w:rsidR="00BB1481" w:rsidRPr="001276C9">
        <w:t>be unable</w:t>
      </w:r>
      <w:r w:rsidR="00AA46B2" w:rsidRPr="001276C9">
        <w:t xml:space="preserve"> to obtain the funding from alternative sources (ANAO, 2014</w:t>
      </w:r>
      <w:r w:rsidR="0067300A" w:rsidRPr="001276C9">
        <w:t xml:space="preserve"> Table 1.4</w:t>
      </w:r>
      <w:r w:rsidR="00AA46B2" w:rsidRPr="001276C9">
        <w:t>).</w:t>
      </w:r>
    </w:p>
    <w:p w14:paraId="73A7B86B" w14:textId="65F9028C" w:rsidR="001F67A9" w:rsidRPr="001276C9" w:rsidRDefault="001F67A9" w:rsidP="00CD007B">
      <w:pPr>
        <w:pStyle w:val="BodyText"/>
      </w:pPr>
      <w:r w:rsidRPr="001276C9">
        <w:t>A total of 689 grants were awarded to 553 firms</w:t>
      </w:r>
      <w:r w:rsidR="00AE154D" w:rsidRPr="001276C9">
        <w:t xml:space="preserve"> during the life of the program</w:t>
      </w:r>
      <w:r w:rsidRPr="001276C9">
        <w:t xml:space="preserve">. </w:t>
      </w:r>
      <w:r w:rsidR="00AE154D" w:rsidRPr="001276C9">
        <w:t>S</w:t>
      </w:r>
      <w:r w:rsidRPr="001276C9">
        <w:t xml:space="preserve">ome firms received </w:t>
      </w:r>
      <w:r w:rsidR="00347980" w:rsidRPr="001276C9">
        <w:t>more than one</w:t>
      </w:r>
      <w:r w:rsidR="004856D6" w:rsidRPr="001276C9">
        <w:t xml:space="preserve"> grant</w:t>
      </w:r>
      <w:r w:rsidRPr="001276C9">
        <w:t xml:space="preserve"> </w:t>
      </w:r>
      <w:r w:rsidR="00F17779" w:rsidRPr="001276C9">
        <w:t>from</w:t>
      </w:r>
      <w:r w:rsidRPr="001276C9">
        <w:t xml:space="preserve"> different components of the CA </w:t>
      </w:r>
      <w:r w:rsidR="008D2D4B" w:rsidRPr="001276C9">
        <w:t>program</w:t>
      </w:r>
      <w:r w:rsidRPr="001276C9">
        <w:t>.</w:t>
      </w:r>
    </w:p>
    <w:p w14:paraId="6BC5078E" w14:textId="1CE3A375" w:rsidR="00C67B5E" w:rsidRPr="001276C9" w:rsidRDefault="001F67A9" w:rsidP="00CD007B">
      <w:pPr>
        <w:pStyle w:val="BodyText"/>
      </w:pPr>
      <w:r w:rsidRPr="001276C9">
        <w:lastRenderedPageBreak/>
        <w:t>Of</w:t>
      </w:r>
      <w:r w:rsidR="001B61E8" w:rsidRPr="001276C9">
        <w:t xml:space="preserve"> </w:t>
      </w:r>
      <w:r w:rsidRPr="001276C9">
        <w:t>the</w:t>
      </w:r>
      <w:r w:rsidR="00EF5107" w:rsidRPr="001276C9">
        <w:t xml:space="preserve"> total number of</w:t>
      </w:r>
      <w:r w:rsidRPr="001276C9">
        <w:t xml:space="preserve"> grants</w:t>
      </w:r>
      <w:r w:rsidR="00C67B5E" w:rsidRPr="001276C9">
        <w:t xml:space="preserve">, </w:t>
      </w:r>
      <w:r w:rsidRPr="001276C9">
        <w:t>215</w:t>
      </w:r>
      <w:r w:rsidR="00C67B5E" w:rsidRPr="001276C9">
        <w:t xml:space="preserve"> grants were for </w:t>
      </w:r>
      <w:r w:rsidR="00AF0124" w:rsidRPr="001276C9">
        <w:t xml:space="preserve">the </w:t>
      </w:r>
      <w:r w:rsidR="00C67B5E" w:rsidRPr="001276C9">
        <w:t>Skills and Knowledge</w:t>
      </w:r>
      <w:r w:rsidR="00AF0124" w:rsidRPr="001276C9">
        <w:t xml:space="preserve"> component</w:t>
      </w:r>
      <w:r w:rsidR="00C67B5E" w:rsidRPr="001276C9">
        <w:t xml:space="preserve">, </w:t>
      </w:r>
      <w:r w:rsidRPr="001276C9">
        <w:t>73</w:t>
      </w:r>
      <w:r w:rsidR="00C67B5E" w:rsidRPr="001276C9">
        <w:t xml:space="preserve"> were for </w:t>
      </w:r>
      <w:r w:rsidR="00AF0124" w:rsidRPr="001276C9">
        <w:t xml:space="preserve">the </w:t>
      </w:r>
      <w:r w:rsidR="00C67B5E" w:rsidRPr="001276C9">
        <w:t>Experienced Executives</w:t>
      </w:r>
      <w:r w:rsidR="00AF0124" w:rsidRPr="001276C9">
        <w:t xml:space="preserve"> component</w:t>
      </w:r>
      <w:r w:rsidR="00C67B5E" w:rsidRPr="001276C9">
        <w:t>, 2</w:t>
      </w:r>
      <w:r w:rsidRPr="001276C9">
        <w:t>22</w:t>
      </w:r>
      <w:r w:rsidR="00C67B5E" w:rsidRPr="001276C9">
        <w:t xml:space="preserve"> were for </w:t>
      </w:r>
      <w:r w:rsidR="00AF0124" w:rsidRPr="001276C9">
        <w:t xml:space="preserve">the </w:t>
      </w:r>
      <w:r w:rsidR="00C67B5E" w:rsidRPr="001276C9">
        <w:t>Proof of Concept</w:t>
      </w:r>
      <w:r w:rsidR="00AF0124" w:rsidRPr="001276C9">
        <w:t xml:space="preserve"> component</w:t>
      </w:r>
      <w:r w:rsidR="00C67B5E" w:rsidRPr="001276C9">
        <w:t>, and 1</w:t>
      </w:r>
      <w:r w:rsidRPr="001276C9">
        <w:t>79</w:t>
      </w:r>
      <w:r w:rsidR="00C67B5E" w:rsidRPr="001276C9">
        <w:t xml:space="preserve"> were for </w:t>
      </w:r>
      <w:r w:rsidR="00AF0124" w:rsidRPr="001276C9">
        <w:t xml:space="preserve">the </w:t>
      </w:r>
      <w:r w:rsidR="00C67B5E" w:rsidRPr="001276C9">
        <w:t>Early Stage Commercialisation</w:t>
      </w:r>
      <w:r w:rsidR="00AF0124" w:rsidRPr="001276C9">
        <w:t xml:space="preserve"> component</w:t>
      </w:r>
      <w:r w:rsidR="00C67B5E" w:rsidRPr="001276C9">
        <w:t xml:space="preserve">. </w:t>
      </w:r>
    </w:p>
    <w:p w14:paraId="6E0ED85E" w14:textId="77777777" w:rsidR="001A60A9" w:rsidRPr="001276C9" w:rsidRDefault="001A60A9" w:rsidP="00CD007B">
      <w:pPr>
        <w:pStyle w:val="BodyText"/>
      </w:pPr>
    </w:p>
    <w:p w14:paraId="20898BC9" w14:textId="1D477626" w:rsidR="001D331A" w:rsidRPr="001276C9" w:rsidRDefault="000F6052" w:rsidP="001D331A">
      <w:pPr>
        <w:pStyle w:val="Heading1"/>
      </w:pPr>
      <w:r w:rsidRPr="001276C9">
        <w:t xml:space="preserve"> </w:t>
      </w:r>
      <w:r w:rsidR="001D331A" w:rsidRPr="001276C9">
        <w:t>Linked data</w:t>
      </w:r>
    </w:p>
    <w:p w14:paraId="09F92824" w14:textId="1D3762F8" w:rsidR="009173AD" w:rsidRPr="001276C9" w:rsidRDefault="00D61EEF" w:rsidP="69C395A1">
      <w:pPr>
        <w:pStyle w:val="BodyText"/>
      </w:pPr>
      <w:r w:rsidRPr="001276C9">
        <w:t xml:space="preserve">The analysis undertaken in this paper is based on a linked dataset that basically identifies the CA </w:t>
      </w:r>
      <w:r w:rsidR="004E0288" w:rsidRPr="001276C9">
        <w:t>participants</w:t>
      </w:r>
      <w:r w:rsidR="00F25A33" w:rsidRPr="001276C9">
        <w:t xml:space="preserve"> </w:t>
      </w:r>
      <w:r w:rsidRPr="001276C9">
        <w:t xml:space="preserve">in the Business Longitudinal Analysis Data Environment (BLADE) provided by the Australian Bureau of Statistics (ABS). </w:t>
      </w:r>
    </w:p>
    <w:p w14:paraId="7EF2591A" w14:textId="77777777" w:rsidR="00C445C7" w:rsidRPr="001276C9" w:rsidRDefault="009173AD" w:rsidP="00CD007B">
      <w:pPr>
        <w:pStyle w:val="BodyText"/>
      </w:pPr>
      <w:r w:rsidRPr="001276C9">
        <w:t>The BLADE serves as the source prov</w:t>
      </w:r>
      <w:r w:rsidR="00F508FB" w:rsidRPr="001276C9">
        <w:t>iding operational information for</w:t>
      </w:r>
      <w:r w:rsidRPr="001276C9">
        <w:t xml:space="preserve"> firms and also the source for the formation of the comparison group. </w:t>
      </w:r>
      <w:r w:rsidR="00E91C14" w:rsidRPr="001276C9">
        <w:t>The</w:t>
      </w:r>
      <w:r w:rsidR="0080240E" w:rsidRPr="001276C9">
        <w:t xml:space="preserve"> core of the</w:t>
      </w:r>
      <w:r w:rsidR="00E91C14" w:rsidRPr="001276C9">
        <w:t xml:space="preserve"> BLADE is integrated administrative tax data and </w:t>
      </w:r>
      <w:r w:rsidR="0080240E" w:rsidRPr="001276C9">
        <w:t xml:space="preserve">covers all firms registered for the GST. </w:t>
      </w:r>
      <w:r w:rsidR="00E52D65" w:rsidRPr="001276C9">
        <w:t>For more details on the composition of the data see Hansell &amp; Rafi (2018).</w:t>
      </w:r>
      <w:r w:rsidR="00012989" w:rsidRPr="001276C9">
        <w:t>The unit of observations in the BLADE is a firm</w:t>
      </w:r>
      <w:r w:rsidR="007B72FD" w:rsidRPr="001276C9">
        <w:t xml:space="preserve"> defined as a Type-of-Activity Unit</w:t>
      </w:r>
      <w:r w:rsidR="00012989" w:rsidRPr="001276C9">
        <w:t>.</w:t>
      </w:r>
      <w:r w:rsidR="000A654E" w:rsidRPr="001276C9">
        <w:rPr>
          <w:rStyle w:val="FootnoteReference"/>
        </w:rPr>
        <w:footnoteReference w:id="3"/>
      </w:r>
      <w:r w:rsidR="00012989" w:rsidRPr="001276C9">
        <w:t xml:space="preserve"> </w:t>
      </w:r>
    </w:p>
    <w:p w14:paraId="7F58AD42" w14:textId="77777777" w:rsidR="00C445C7" w:rsidRPr="001276C9" w:rsidRDefault="00012989" w:rsidP="00CD007B">
      <w:pPr>
        <w:pStyle w:val="BodyText"/>
      </w:pPr>
      <w:r w:rsidRPr="001276C9">
        <w:t>Information on subsidiaries or subdivisions of a firm are not available</w:t>
      </w:r>
      <w:r w:rsidR="005B2498" w:rsidRPr="001276C9">
        <w:t xml:space="preserve"> in the BLADE</w:t>
      </w:r>
      <w:r w:rsidRPr="001276C9">
        <w:t>. Consequently, any data linked to the BLADE fro</w:t>
      </w:r>
      <w:r w:rsidR="00D93801" w:rsidRPr="001276C9">
        <w:t>m outside sources has</w:t>
      </w:r>
      <w:r w:rsidRPr="001276C9">
        <w:t xml:space="preserve"> to be aggregated to the </w:t>
      </w:r>
      <w:r w:rsidR="007D4E74" w:rsidRPr="001276C9">
        <w:t>head-quarter</w:t>
      </w:r>
      <w:r w:rsidRPr="001276C9">
        <w:t xml:space="preserve"> level.</w:t>
      </w:r>
      <w:r w:rsidR="001B61E8" w:rsidRPr="001276C9">
        <w:t xml:space="preserve"> </w:t>
      </w:r>
      <w:r w:rsidR="007D4E74" w:rsidRPr="001276C9">
        <w:t>Given this restriction</w:t>
      </w:r>
      <w:r w:rsidR="00F508FB" w:rsidRPr="001276C9">
        <w:t>, we obtain</w:t>
      </w:r>
      <w:r w:rsidR="00D6151E" w:rsidRPr="001276C9">
        <w:t xml:space="preserve"> </w:t>
      </w:r>
      <w:r w:rsidR="00F775DD" w:rsidRPr="001276C9">
        <w:t xml:space="preserve">CA data </w:t>
      </w:r>
      <w:r w:rsidR="008542C2" w:rsidRPr="001276C9">
        <w:t xml:space="preserve">that </w:t>
      </w:r>
      <w:r w:rsidR="00D6151E" w:rsidRPr="001276C9">
        <w:t>are</w:t>
      </w:r>
      <w:r w:rsidR="00F775DD" w:rsidRPr="001276C9">
        <w:t xml:space="preserve"> aggr</w:t>
      </w:r>
      <w:r w:rsidR="006F45CB" w:rsidRPr="001276C9">
        <w:t xml:space="preserve">egated to </w:t>
      </w:r>
      <w:r w:rsidR="006B70AF" w:rsidRPr="001276C9">
        <w:t xml:space="preserve">the </w:t>
      </w:r>
      <w:r w:rsidR="006F45CB" w:rsidRPr="001276C9">
        <w:t>firm level</w:t>
      </w:r>
      <w:r w:rsidR="00D6151E" w:rsidRPr="001276C9">
        <w:t>. These data are</w:t>
      </w:r>
      <w:r w:rsidR="008542C2" w:rsidRPr="001276C9">
        <w:t xml:space="preserve"> such</w:t>
      </w:r>
      <w:r w:rsidRPr="001276C9">
        <w:t xml:space="preserve"> that</w:t>
      </w:r>
      <w:r w:rsidR="008542C2" w:rsidRPr="001276C9">
        <w:t xml:space="preserve"> </w:t>
      </w:r>
      <w:r w:rsidR="005E5E46" w:rsidRPr="001276C9">
        <w:t>we only observe the total amount of grants</w:t>
      </w:r>
      <w:r w:rsidR="004654FF" w:rsidRPr="001276C9">
        <w:t xml:space="preserve"> awarded</w:t>
      </w:r>
      <w:r w:rsidR="007B72FD" w:rsidRPr="001276C9">
        <w:t xml:space="preserve"> to a firm</w:t>
      </w:r>
      <w:r w:rsidR="005E5E46" w:rsidRPr="001276C9">
        <w:t xml:space="preserve"> and the first and last year of </w:t>
      </w:r>
      <w:r w:rsidR="008542C2" w:rsidRPr="001276C9">
        <w:t>program</w:t>
      </w:r>
      <w:r w:rsidR="005E5E46" w:rsidRPr="001276C9">
        <w:t xml:space="preserve"> participation. </w:t>
      </w:r>
      <w:r w:rsidR="004654FF" w:rsidRPr="001276C9">
        <w:t>Due to the aggregation,</w:t>
      </w:r>
      <w:r w:rsidRPr="001276C9">
        <w:t xml:space="preserve"> details such as the grant</w:t>
      </w:r>
      <w:r w:rsidR="007D4E74" w:rsidRPr="001276C9">
        <w:t>’s component</w:t>
      </w:r>
      <w:r w:rsidRPr="001276C9">
        <w:t xml:space="preserve"> are lost. </w:t>
      </w:r>
      <w:r w:rsidR="005E5E46" w:rsidRPr="001276C9">
        <w:t xml:space="preserve">For this reason, we focus on the first year of participation </w:t>
      </w:r>
      <w:r w:rsidR="00B56E74" w:rsidRPr="001276C9">
        <w:t xml:space="preserve">for a firm </w:t>
      </w:r>
      <w:r w:rsidR="005E5E46" w:rsidRPr="001276C9">
        <w:t>and not on individual grants</w:t>
      </w:r>
      <w:r w:rsidR="00B8247E" w:rsidRPr="001276C9">
        <w:t xml:space="preserve"> claimed by the firm</w:t>
      </w:r>
      <w:r w:rsidR="005E5E46" w:rsidRPr="001276C9">
        <w:t xml:space="preserve">. </w:t>
      </w:r>
    </w:p>
    <w:p w14:paraId="667ED2DF" w14:textId="07FBAD00" w:rsidR="00CB5EBB" w:rsidRPr="001276C9" w:rsidRDefault="00AF79A9" w:rsidP="00CD007B">
      <w:pPr>
        <w:pStyle w:val="BodyText"/>
      </w:pPr>
      <w:r w:rsidRPr="001276C9">
        <w:t xml:space="preserve">The main measure of </w:t>
      </w:r>
      <w:r w:rsidR="00AC1505" w:rsidRPr="001276C9">
        <w:t xml:space="preserve">firm </w:t>
      </w:r>
      <w:r w:rsidRPr="001276C9">
        <w:t>size in the study is</w:t>
      </w:r>
      <w:r w:rsidR="00FC0912" w:rsidRPr="001276C9">
        <w:t xml:space="preserve"> tur</w:t>
      </w:r>
      <w:r w:rsidRPr="001276C9">
        <w:t>nover and employment</w:t>
      </w:r>
      <w:r w:rsidR="001E2461" w:rsidRPr="001276C9">
        <w:t xml:space="preserve"> (reported in headcounts)</w:t>
      </w:r>
      <w:r w:rsidR="00FC0912" w:rsidRPr="001276C9">
        <w:t>. The ABS uses this information along with wages and other supplementary data and estimates full-time equivalent employment (FTE). We rely on this latter measure of employment as it is a better proxy for man-hours.</w:t>
      </w:r>
    </w:p>
    <w:p w14:paraId="6CF3C581" w14:textId="1AC11BBC" w:rsidR="0017517E" w:rsidRPr="001276C9" w:rsidRDefault="001D2932" w:rsidP="005E0D4E">
      <w:pPr>
        <w:pStyle w:val="BodyText"/>
      </w:pPr>
      <w:r w:rsidRPr="001276C9">
        <w:t>FTE is missing for a large number of firms</w:t>
      </w:r>
      <w:r w:rsidR="00CB6E05" w:rsidRPr="001276C9">
        <w:t xml:space="preserve"> in </w:t>
      </w:r>
      <w:r w:rsidR="00444290" w:rsidRPr="001276C9">
        <w:t xml:space="preserve">the </w:t>
      </w:r>
      <w:r w:rsidR="00CB6E05" w:rsidRPr="001276C9">
        <w:t>BLADE</w:t>
      </w:r>
      <w:r w:rsidRPr="001276C9">
        <w:t xml:space="preserve">. </w:t>
      </w:r>
      <w:r w:rsidR="00CB6E05" w:rsidRPr="001276C9">
        <w:t>However, t</w:t>
      </w:r>
      <w:r w:rsidR="005E0D4E" w:rsidRPr="001276C9">
        <w:t xml:space="preserve">here is a </w:t>
      </w:r>
      <w:r w:rsidR="00EB0030" w:rsidRPr="001276C9">
        <w:t>strong relationship between FTE and wages</w:t>
      </w:r>
      <w:r w:rsidR="005E0D4E" w:rsidRPr="001276C9">
        <w:t xml:space="preserve"> in </w:t>
      </w:r>
      <w:r w:rsidR="00EB0030" w:rsidRPr="001276C9">
        <w:t xml:space="preserve">the </w:t>
      </w:r>
      <w:r w:rsidR="005E0D4E" w:rsidRPr="001276C9">
        <w:t>BLADE, and this relationship is exploited</w:t>
      </w:r>
      <w:r w:rsidR="00CB6E05" w:rsidRPr="001276C9">
        <w:t xml:space="preserve"> where possible</w:t>
      </w:r>
      <w:r w:rsidR="005E0D4E" w:rsidRPr="001276C9">
        <w:t xml:space="preserve"> to impute FTE values. </w:t>
      </w:r>
      <w:r w:rsidR="001C49E7" w:rsidRPr="001276C9">
        <w:t>Specifically</w:t>
      </w:r>
      <w:r w:rsidR="0017517E" w:rsidRPr="001276C9">
        <w:t>, FTE is assumed to have the following relationship with wages:</w:t>
      </w:r>
    </w:p>
    <w:p w14:paraId="4C394F24" w14:textId="6E1BE024" w:rsidR="0017517E" w:rsidRPr="001276C9" w:rsidRDefault="00F47C7A" w:rsidP="0017517E">
      <w:pPr>
        <w:pStyle w:val="BodyText"/>
        <w:rPr>
          <w:rFonts w:asciiTheme="majorHAnsi" w:eastAsiaTheme="majorEastAsia" w:hAnsiTheme="majorHAnsi" w:cstheme="majorBidi"/>
        </w:rPr>
      </w:pP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FTE</m:t>
                      </m:r>
                    </m:e>
                    <m:sub>
                      <m:r>
                        <w:rPr>
                          <w:rFonts w:ascii="Cambria Math" w:hAnsi="Cambria Math"/>
                        </w:rPr>
                        <m:t>jit</m:t>
                      </m:r>
                    </m:sub>
                  </m:sSub>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α</m:t>
                      </m:r>
                    </m:e>
                    <m:sub>
                      <m:r>
                        <w:rPr>
                          <w:rFonts w:ascii="Cambria Math" w:hAnsi="Cambria Math"/>
                        </w:rPr>
                        <m:t>o</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α</m:t>
                      </m:r>
                    </m:e>
                    <m:sub>
                      <m:r>
                        <w:rPr>
                          <w:rFonts w:ascii="Cambria Math" w:hAnsi="Cambria Math"/>
                        </w:rPr>
                        <m:t>1</m:t>
                      </m:r>
                    </m:sub>
                  </m:sSub>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Wages</m:t>
                          </m:r>
                        </m:e>
                        <m:sub>
                          <m:r>
                            <w:rPr>
                              <w:rFonts w:ascii="Cambria Math" w:hAnsi="Cambria Math"/>
                            </w:rPr>
                            <m:t>jit</m:t>
                          </m:r>
                        </m:sub>
                      </m:sSub>
                    </m:e>
                  </m:d>
                </m:e>
              </m:func>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i/>
                    </w:rPr>
                    <w:sym w:font="Symbol" w:char="F069"/>
                  </m:r>
                </m:e>
                <m:sub>
                  <m:r>
                    <w:rPr>
                      <w:rFonts w:ascii="Cambria Math" w:hAnsi="Cambria Math"/>
                    </w:rPr>
                    <m:t>i</m:t>
                  </m:r>
                </m:sub>
              </m:sSub>
            </m:e>
          </m:func>
          <m:r>
            <w:rPr>
              <w:rFonts w:ascii="Cambria Math" w:hAnsi="Cambria Math"/>
            </w:rPr>
            <m:t>+ ε,</m:t>
          </m:r>
        </m:oMath>
      </m:oMathPara>
    </w:p>
    <w:p w14:paraId="1B739F24" w14:textId="77777777" w:rsidR="00EB0030" w:rsidRPr="001276C9" w:rsidRDefault="0017517E" w:rsidP="005E0D4E">
      <w:pPr>
        <w:pStyle w:val="BodyText"/>
      </w:pPr>
      <w:r w:rsidRPr="001276C9">
        <w:t xml:space="preserve">where the indexes refer to firm </w:t>
      </w:r>
      <w:r w:rsidRPr="001276C9">
        <w:rPr>
          <w:i/>
          <w:iCs/>
        </w:rPr>
        <w:t>j</w:t>
      </w:r>
      <w:r w:rsidRPr="001276C9">
        <w:t xml:space="preserve"> belonging to industry </w:t>
      </w:r>
      <w:r w:rsidRPr="001276C9">
        <w:rPr>
          <w:i/>
          <w:iCs/>
        </w:rPr>
        <w:t>i</w:t>
      </w:r>
      <w:r w:rsidRPr="001276C9">
        <w:t xml:space="preserve"> at time </w:t>
      </w:r>
      <w:r w:rsidRPr="001276C9">
        <w:rPr>
          <w:i/>
          <w:iCs/>
        </w:rPr>
        <w:t>t</w:t>
      </w:r>
      <w:r w:rsidRPr="001276C9">
        <w:t xml:space="preserve">. </w:t>
      </w:r>
      <w:r w:rsidR="00EB0030" w:rsidRPr="001276C9">
        <w:sym w:font="Symbol" w:char="F074"/>
      </w:r>
      <w:r w:rsidR="00EB0030" w:rsidRPr="001276C9">
        <w:t xml:space="preserve"> and </w:t>
      </w:r>
      <w:r w:rsidR="00EB0030" w:rsidRPr="001276C9">
        <w:sym w:font="Symbol" w:char="F069"/>
      </w:r>
      <w:r w:rsidR="00EB0030" w:rsidRPr="001276C9">
        <w:t xml:space="preserve"> indicate a series of time and industry dummies, respectively, that control for macro forces and industry-specific effects. </w:t>
      </w:r>
    </w:p>
    <w:p w14:paraId="2449B8C2" w14:textId="3DACE66B" w:rsidR="0017517E" w:rsidRPr="001276C9" w:rsidRDefault="0017517E" w:rsidP="005E0D4E">
      <w:pPr>
        <w:pStyle w:val="BodyText"/>
      </w:pPr>
      <w:r w:rsidRPr="001276C9">
        <w:t xml:space="preserve">We then use the estimated model to predict the value for cases where FTE is missing but wages are reported. The </w:t>
      </w:r>
      <w:r w:rsidRPr="001276C9">
        <w:rPr>
          <w:i/>
          <w:iCs/>
        </w:rPr>
        <w:t>R</w:t>
      </w:r>
      <w:r w:rsidRPr="001276C9">
        <w:rPr>
          <w:vertAlign w:val="superscript"/>
        </w:rPr>
        <w:t>2</w:t>
      </w:r>
      <w:r w:rsidRPr="001276C9">
        <w:t xml:space="preserve"> for the fit is </w:t>
      </w:r>
      <w:r w:rsidR="0008317E" w:rsidRPr="001276C9">
        <w:t>0.95</w:t>
      </w:r>
      <w:r w:rsidR="009D7BE5" w:rsidRPr="001276C9">
        <w:t xml:space="preserve"> </w:t>
      </w:r>
      <w:r w:rsidRPr="001276C9">
        <w:t xml:space="preserve">which is quite high by statistical measures. It means that the </w:t>
      </w:r>
      <w:r w:rsidR="00D94E01" w:rsidRPr="001276C9">
        <w:t>imputed FTEs do not en</w:t>
      </w:r>
      <w:r w:rsidRPr="001276C9">
        <w:t>tail much noise.</w:t>
      </w:r>
    </w:p>
    <w:p w14:paraId="736BCD1E" w14:textId="77777777" w:rsidR="00D61EEF" w:rsidRPr="001276C9" w:rsidRDefault="00D61EEF" w:rsidP="00CD007B">
      <w:pPr>
        <w:pStyle w:val="BodyText"/>
      </w:pPr>
    </w:p>
    <w:p w14:paraId="40E9EEA9" w14:textId="45B3003C" w:rsidR="00CD007B" w:rsidRPr="001276C9" w:rsidRDefault="00C058FD" w:rsidP="00CD007B">
      <w:pPr>
        <w:pStyle w:val="Heading1"/>
      </w:pPr>
      <w:r w:rsidRPr="001276C9">
        <w:t>The</w:t>
      </w:r>
      <w:r w:rsidR="00CD007B" w:rsidRPr="001276C9">
        <w:t xml:space="preserve"> </w:t>
      </w:r>
      <w:r w:rsidR="00F520A0" w:rsidRPr="001276C9">
        <w:t xml:space="preserve">recipient </w:t>
      </w:r>
      <w:r w:rsidR="00CD007B" w:rsidRPr="001276C9">
        <w:t>firms</w:t>
      </w:r>
    </w:p>
    <w:p w14:paraId="15369343" w14:textId="1680A975" w:rsidR="002B74EC" w:rsidRPr="001276C9" w:rsidRDefault="00CC4FD7" w:rsidP="002B74EC">
      <w:pPr>
        <w:pStyle w:val="BodyText"/>
      </w:pPr>
      <w:r w:rsidRPr="001276C9">
        <w:t>The main aim</w:t>
      </w:r>
      <w:r w:rsidR="008E1D66" w:rsidRPr="001276C9">
        <w:t xml:space="preserve"> of the CA </w:t>
      </w:r>
      <w:r w:rsidR="008D2D4B" w:rsidRPr="001276C9">
        <w:t>program</w:t>
      </w:r>
      <w:r w:rsidR="006027B3" w:rsidRPr="001276C9">
        <w:t xml:space="preserve"> </w:t>
      </w:r>
      <w:r w:rsidRPr="001276C9">
        <w:t>was</w:t>
      </w:r>
      <w:r w:rsidR="002B74EC" w:rsidRPr="001276C9">
        <w:t xml:space="preserve"> </w:t>
      </w:r>
      <w:r w:rsidR="00AF79A9" w:rsidRPr="001276C9">
        <w:t xml:space="preserve">to assist </w:t>
      </w:r>
      <w:r w:rsidR="00016BCF" w:rsidRPr="001276C9">
        <w:t>innovative</w:t>
      </w:r>
      <w:r w:rsidR="00AF79A9" w:rsidRPr="001276C9">
        <w:t xml:space="preserve"> </w:t>
      </w:r>
      <w:r w:rsidR="00FC74EA" w:rsidRPr="001276C9">
        <w:t xml:space="preserve">firms and </w:t>
      </w:r>
      <w:r w:rsidR="00AE1B6C" w:rsidRPr="001276C9">
        <w:t>entrepreneurs</w:t>
      </w:r>
      <w:r w:rsidR="002B74EC" w:rsidRPr="001276C9">
        <w:t xml:space="preserve"> </w:t>
      </w:r>
      <w:r w:rsidR="008542C2" w:rsidRPr="001276C9">
        <w:t xml:space="preserve">to </w:t>
      </w:r>
      <w:r w:rsidR="006027B3" w:rsidRPr="001276C9">
        <w:t xml:space="preserve">develop </w:t>
      </w:r>
      <w:r w:rsidR="00027EE0" w:rsidRPr="001276C9">
        <w:t xml:space="preserve">and commercialise </w:t>
      </w:r>
      <w:r w:rsidR="006027B3" w:rsidRPr="001276C9">
        <w:t xml:space="preserve">new products. </w:t>
      </w:r>
      <w:r w:rsidR="007332A0" w:rsidRPr="001276C9">
        <w:t xml:space="preserve">In this section, we will </w:t>
      </w:r>
      <w:r w:rsidR="00027EE0" w:rsidRPr="001276C9">
        <w:t>explore the features of the participating firms and</w:t>
      </w:r>
      <w:r w:rsidR="007332A0" w:rsidRPr="001276C9">
        <w:t xml:space="preserve"> establish how close th</w:t>
      </w:r>
      <w:r w:rsidR="0017752C" w:rsidRPr="001276C9">
        <w:t>e</w:t>
      </w:r>
      <w:r w:rsidR="00027EE0" w:rsidRPr="001276C9">
        <w:t xml:space="preserve">y </w:t>
      </w:r>
      <w:r w:rsidR="0017752C" w:rsidRPr="001276C9">
        <w:t>get</w:t>
      </w:r>
      <w:r w:rsidR="007332A0" w:rsidRPr="001276C9">
        <w:t xml:space="preserve"> to this perception.</w:t>
      </w:r>
    </w:p>
    <w:p w14:paraId="7903DA01" w14:textId="0C2CCFFA" w:rsidR="00F87774" w:rsidRPr="001276C9" w:rsidRDefault="000B5616" w:rsidP="00CD007B">
      <w:pPr>
        <w:pStyle w:val="BodyText"/>
      </w:pPr>
      <w:r w:rsidRPr="001276C9">
        <w:t xml:space="preserve">In the first </w:t>
      </w:r>
      <w:r w:rsidR="005C4001" w:rsidRPr="001276C9">
        <w:t>instance</w:t>
      </w:r>
      <w:r w:rsidRPr="001276C9">
        <w:t xml:space="preserve">, we </w:t>
      </w:r>
      <w:r w:rsidR="00BC01BA" w:rsidRPr="001276C9">
        <w:t>loo</w:t>
      </w:r>
      <w:r w:rsidR="00462D7C" w:rsidRPr="001276C9">
        <w:t>k</w:t>
      </w:r>
      <w:r w:rsidR="00BC01BA" w:rsidRPr="001276C9">
        <w:t xml:space="preserve"> at</w:t>
      </w:r>
      <w:r w:rsidRPr="001276C9">
        <w:t xml:space="preserve"> the industria</w:t>
      </w:r>
      <w:r w:rsidR="00856AA3" w:rsidRPr="001276C9">
        <w:t xml:space="preserve">l composition of </w:t>
      </w:r>
      <w:r w:rsidR="00387E13" w:rsidRPr="001276C9">
        <w:t>the CA participants</w:t>
      </w:r>
      <w:r w:rsidRPr="001276C9">
        <w:t xml:space="preserve">. </w:t>
      </w:r>
      <w:r w:rsidR="008549FC" w:rsidRPr="001276C9">
        <w:t xml:space="preserve">The composition by main </w:t>
      </w:r>
      <w:r w:rsidR="00726970" w:rsidRPr="001276C9">
        <w:t>Australia and New Zealand Standard Industry Classification (</w:t>
      </w:r>
      <w:r w:rsidR="008549FC" w:rsidRPr="001276C9">
        <w:t>ANZSIC</w:t>
      </w:r>
      <w:r w:rsidR="00726970" w:rsidRPr="001276C9">
        <w:t>)</w:t>
      </w:r>
      <w:r w:rsidR="008549FC" w:rsidRPr="001276C9">
        <w:t xml:space="preserve"> divisions is shown in</w:t>
      </w:r>
      <w:r w:rsidRPr="001276C9">
        <w:t xml:space="preserve"> </w:t>
      </w:r>
      <w:r w:rsidR="008549FC" w:rsidRPr="001276C9">
        <w:fldChar w:fldCharType="begin"/>
      </w:r>
      <w:r w:rsidR="008549FC" w:rsidRPr="001276C9">
        <w:instrText xml:space="preserve"> REF _Ref495496776 \h </w:instrText>
      </w:r>
      <w:r w:rsidR="001276C9">
        <w:instrText xml:space="preserve"> \* MERGEFORMAT </w:instrText>
      </w:r>
      <w:r w:rsidR="008549FC" w:rsidRPr="001276C9">
        <w:fldChar w:fldCharType="separate"/>
      </w:r>
      <w:r w:rsidR="00F47C7A">
        <w:rPr>
          <w:b/>
          <w:bCs/>
          <w:lang w:val="en-US"/>
        </w:rPr>
        <w:t>Error! Reference source not found.</w:t>
      </w:r>
      <w:r w:rsidR="008549FC" w:rsidRPr="001276C9">
        <w:fldChar w:fldCharType="end"/>
      </w:r>
      <w:r w:rsidR="008549FC" w:rsidRPr="001276C9">
        <w:t xml:space="preserve">. Panel (A) in the figure shows the shares by the number of firms, whereas Panel (B) shows the </w:t>
      </w:r>
      <w:r w:rsidR="00B24442" w:rsidRPr="001276C9">
        <w:t xml:space="preserve">share </w:t>
      </w:r>
      <w:r w:rsidR="008549FC" w:rsidRPr="001276C9">
        <w:t xml:space="preserve">of grant </w:t>
      </w:r>
      <w:r w:rsidR="004A60B4" w:rsidRPr="001276C9">
        <w:t xml:space="preserve">amount </w:t>
      </w:r>
      <w:r w:rsidR="00BE53F2" w:rsidRPr="001276C9">
        <w:t>being allot</w:t>
      </w:r>
      <w:r w:rsidR="00D523F3" w:rsidRPr="001276C9">
        <w:t>t</w:t>
      </w:r>
      <w:r w:rsidR="00BE53F2" w:rsidRPr="001276C9">
        <w:t>ed</w:t>
      </w:r>
      <w:r w:rsidR="008549FC" w:rsidRPr="001276C9">
        <w:t xml:space="preserve"> to each industry.</w:t>
      </w:r>
    </w:p>
    <w:p w14:paraId="5AC93820" w14:textId="11ADB0BF" w:rsidR="00E66313" w:rsidRPr="001276C9" w:rsidRDefault="00E66313" w:rsidP="00E66313">
      <w:pPr>
        <w:pStyle w:val="Caption"/>
      </w:pPr>
      <w:r w:rsidRPr="001276C9">
        <w:t>Figure 4.1 The industrial composition of CA participants by major ANZSIC division.</w:t>
      </w:r>
    </w:p>
    <w:p w14:paraId="1796F2AB" w14:textId="77777777" w:rsidR="004C190C" w:rsidRPr="001276C9" w:rsidRDefault="000B5616" w:rsidP="00BC3338">
      <w:pPr>
        <w:pStyle w:val="BodyText"/>
        <w:numPr>
          <w:ilvl w:val="0"/>
          <w:numId w:val="15"/>
        </w:numPr>
        <w:tabs>
          <w:tab w:val="left" w:pos="2500"/>
        </w:tabs>
      </w:pPr>
      <w:r w:rsidRPr="001276C9">
        <w:t>Number of firms</w:t>
      </w:r>
    </w:p>
    <w:p w14:paraId="14E8513B" w14:textId="1FCC74AD" w:rsidR="00D62FB0" w:rsidRPr="001276C9" w:rsidRDefault="0006186C" w:rsidP="00CD007B">
      <w:pPr>
        <w:pStyle w:val="BodyText"/>
      </w:pPr>
      <w:r w:rsidRPr="001276C9">
        <w:rPr>
          <w:noProof/>
          <w:lang w:eastAsia="en-AU"/>
        </w:rPr>
        <w:drawing>
          <wp:anchor distT="0" distB="0" distL="114300" distR="114300" simplePos="0" relativeHeight="251658244" behindDoc="0" locked="0" layoutInCell="1" allowOverlap="1" wp14:anchorId="1520C1DC" wp14:editId="19D6A5DA">
            <wp:simplePos x="0" y="0"/>
            <wp:positionH relativeFrom="margin">
              <wp:align>right</wp:align>
            </wp:positionH>
            <wp:positionV relativeFrom="paragraph">
              <wp:posOffset>12065</wp:posOffset>
            </wp:positionV>
            <wp:extent cx="4377690" cy="3533775"/>
            <wp:effectExtent l="0" t="0" r="3810" b="0"/>
            <wp:wrapNone/>
            <wp:docPr id="1" name="Chart 1" descr="Professional, Scientific and Technical services has the largest share at about 40 per cent. Manufacturing is second at about 20 per cent. Other industries have much smaller share." title="Figure 4.1 A Number of firm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14:paraId="2F81065F" w14:textId="4F78DDEB" w:rsidR="00D62FB0" w:rsidRPr="001276C9" w:rsidRDefault="00D62FB0" w:rsidP="00CD007B">
      <w:pPr>
        <w:pStyle w:val="BodyText"/>
      </w:pPr>
    </w:p>
    <w:p w14:paraId="03DE3E5C" w14:textId="0301BF37" w:rsidR="00D62FB0" w:rsidRPr="001276C9" w:rsidRDefault="00D62FB0" w:rsidP="00CD007B">
      <w:pPr>
        <w:pStyle w:val="BodyText"/>
      </w:pPr>
    </w:p>
    <w:p w14:paraId="000B0CB8" w14:textId="4D314129" w:rsidR="00D62FB0" w:rsidRPr="001276C9" w:rsidRDefault="00D62FB0" w:rsidP="00CD007B">
      <w:pPr>
        <w:pStyle w:val="BodyText"/>
      </w:pPr>
    </w:p>
    <w:p w14:paraId="42F39249" w14:textId="77777777" w:rsidR="00D62FB0" w:rsidRPr="001276C9" w:rsidRDefault="00D62FB0" w:rsidP="00CD007B">
      <w:pPr>
        <w:pStyle w:val="BodyText"/>
      </w:pPr>
    </w:p>
    <w:p w14:paraId="153FD124" w14:textId="20658ABB" w:rsidR="00D62FB0" w:rsidRPr="001276C9" w:rsidRDefault="00D62FB0" w:rsidP="00CD007B">
      <w:pPr>
        <w:pStyle w:val="BodyText"/>
      </w:pPr>
    </w:p>
    <w:p w14:paraId="4C47124B" w14:textId="40689982" w:rsidR="00D62FB0" w:rsidRPr="001276C9" w:rsidRDefault="00D62FB0" w:rsidP="00CD007B">
      <w:pPr>
        <w:pStyle w:val="BodyText"/>
      </w:pPr>
    </w:p>
    <w:p w14:paraId="5D959445" w14:textId="77777777" w:rsidR="00D62FB0" w:rsidRPr="001276C9" w:rsidRDefault="00D62FB0" w:rsidP="00CD007B">
      <w:pPr>
        <w:pStyle w:val="BodyText"/>
      </w:pPr>
    </w:p>
    <w:p w14:paraId="4E6610C7" w14:textId="77777777" w:rsidR="00D62FB0" w:rsidRPr="001276C9" w:rsidRDefault="00D62FB0" w:rsidP="00CD007B">
      <w:pPr>
        <w:pStyle w:val="BodyText"/>
      </w:pPr>
    </w:p>
    <w:p w14:paraId="1EEF9000" w14:textId="5A135048" w:rsidR="00487ACC" w:rsidRPr="001276C9" w:rsidRDefault="00487ACC" w:rsidP="00CD007B">
      <w:pPr>
        <w:pStyle w:val="BodyText"/>
      </w:pPr>
    </w:p>
    <w:p w14:paraId="6C5C66F5" w14:textId="77777777" w:rsidR="00487ACC" w:rsidRPr="001276C9" w:rsidRDefault="00487ACC" w:rsidP="00CD007B">
      <w:pPr>
        <w:pStyle w:val="BodyText"/>
      </w:pPr>
    </w:p>
    <w:p w14:paraId="2FE6C821" w14:textId="77777777" w:rsidR="00487ACC" w:rsidRPr="001276C9" w:rsidRDefault="00487ACC" w:rsidP="00CD007B">
      <w:pPr>
        <w:pStyle w:val="BodyText"/>
      </w:pPr>
    </w:p>
    <w:p w14:paraId="44F7948D" w14:textId="0F03C955" w:rsidR="00FF217C" w:rsidRPr="001276C9" w:rsidRDefault="00FF217C">
      <w:pPr>
        <w:spacing w:after="200" w:line="276" w:lineRule="auto"/>
        <w:ind w:left="0"/>
        <w:jc w:val="left"/>
        <w:rPr>
          <w:rFonts w:asciiTheme="minorHAnsi" w:hAnsiTheme="minorHAnsi"/>
        </w:rPr>
      </w:pPr>
      <w:r w:rsidRPr="001276C9">
        <w:br w:type="page"/>
      </w:r>
    </w:p>
    <w:p w14:paraId="350FD1D4" w14:textId="5E02B9D6" w:rsidR="00F87774" w:rsidRPr="001276C9" w:rsidRDefault="00E65E5E" w:rsidP="00BC3338">
      <w:pPr>
        <w:pStyle w:val="BodyText"/>
        <w:numPr>
          <w:ilvl w:val="0"/>
          <w:numId w:val="15"/>
        </w:numPr>
      </w:pPr>
      <w:r w:rsidRPr="001276C9">
        <w:lastRenderedPageBreak/>
        <w:t>Grant amount</w:t>
      </w:r>
    </w:p>
    <w:p w14:paraId="34C722F5" w14:textId="092A1037" w:rsidR="00F87774" w:rsidRPr="001276C9" w:rsidRDefault="0068643E" w:rsidP="00CD007B">
      <w:pPr>
        <w:pStyle w:val="BodyText"/>
      </w:pPr>
      <w:r w:rsidRPr="001276C9">
        <w:rPr>
          <w:noProof/>
          <w:lang w:eastAsia="en-AU"/>
        </w:rPr>
        <w:drawing>
          <wp:anchor distT="0" distB="0" distL="114300" distR="114300" simplePos="0" relativeHeight="251658245" behindDoc="0" locked="0" layoutInCell="1" allowOverlap="1" wp14:anchorId="5435A1A9" wp14:editId="79D5F33D">
            <wp:simplePos x="0" y="0"/>
            <wp:positionH relativeFrom="margin">
              <wp:align>right</wp:align>
            </wp:positionH>
            <wp:positionV relativeFrom="paragraph">
              <wp:posOffset>102163</wp:posOffset>
            </wp:positionV>
            <wp:extent cx="4377690" cy="4425351"/>
            <wp:effectExtent l="0" t="0" r="3810" b="0"/>
            <wp:wrapNone/>
            <wp:docPr id="8" name="Chart 8" descr="Professional, Scientific and Technical services has the largest share at close to 50 per cnet. Manufacturing is second at a little more than 20 per ent. Other industries have much smaller shares." title="Figure 4.1 B Grnat amou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14:paraId="6AA8E592" w14:textId="77777777" w:rsidR="00F87774" w:rsidRPr="001276C9" w:rsidRDefault="00F87774" w:rsidP="00CD007B">
      <w:pPr>
        <w:pStyle w:val="BodyText"/>
      </w:pPr>
    </w:p>
    <w:p w14:paraId="0A319213" w14:textId="77777777" w:rsidR="00F87774" w:rsidRPr="001276C9" w:rsidRDefault="00F87774" w:rsidP="00CD007B">
      <w:pPr>
        <w:pStyle w:val="BodyText"/>
      </w:pPr>
    </w:p>
    <w:p w14:paraId="4327BDBC" w14:textId="77777777" w:rsidR="00F87774" w:rsidRPr="001276C9" w:rsidRDefault="00F87774" w:rsidP="00CD007B">
      <w:pPr>
        <w:pStyle w:val="BodyText"/>
      </w:pPr>
    </w:p>
    <w:p w14:paraId="56BCC9CA" w14:textId="77777777" w:rsidR="00F87774" w:rsidRPr="001276C9" w:rsidRDefault="00F87774" w:rsidP="00CD007B">
      <w:pPr>
        <w:pStyle w:val="BodyText"/>
      </w:pPr>
    </w:p>
    <w:p w14:paraId="3DE38A31" w14:textId="77777777" w:rsidR="00F87774" w:rsidRPr="001276C9" w:rsidRDefault="00F87774" w:rsidP="00CD007B">
      <w:pPr>
        <w:pStyle w:val="BodyText"/>
      </w:pPr>
    </w:p>
    <w:p w14:paraId="7F32816B" w14:textId="77777777" w:rsidR="00F87774" w:rsidRPr="001276C9" w:rsidRDefault="00F87774" w:rsidP="00CD007B">
      <w:pPr>
        <w:pStyle w:val="BodyText"/>
      </w:pPr>
    </w:p>
    <w:p w14:paraId="7B89AB62" w14:textId="594DF923" w:rsidR="00F87774" w:rsidRPr="001276C9" w:rsidRDefault="00F87774" w:rsidP="00CD007B">
      <w:pPr>
        <w:pStyle w:val="BodyText"/>
      </w:pPr>
    </w:p>
    <w:p w14:paraId="2B5B5E52" w14:textId="49E69BAC" w:rsidR="0091618D" w:rsidRPr="001276C9" w:rsidRDefault="0091618D" w:rsidP="00CD007B">
      <w:pPr>
        <w:pStyle w:val="BodyText"/>
      </w:pPr>
    </w:p>
    <w:p w14:paraId="3E07BCE6" w14:textId="0D730AF5" w:rsidR="0091618D" w:rsidRPr="001276C9" w:rsidRDefault="0091618D" w:rsidP="00CD007B">
      <w:pPr>
        <w:pStyle w:val="BodyText"/>
      </w:pPr>
    </w:p>
    <w:p w14:paraId="41E7D4A9" w14:textId="77777777" w:rsidR="0091618D" w:rsidRPr="001276C9" w:rsidRDefault="0091618D" w:rsidP="00CD007B">
      <w:pPr>
        <w:pStyle w:val="BodyText"/>
      </w:pPr>
    </w:p>
    <w:p w14:paraId="06F896F8" w14:textId="77777777" w:rsidR="0091618D" w:rsidRPr="001276C9" w:rsidRDefault="0091618D" w:rsidP="00CD007B">
      <w:pPr>
        <w:pStyle w:val="BodyText"/>
      </w:pPr>
    </w:p>
    <w:p w14:paraId="11256821" w14:textId="77777777" w:rsidR="0091618D" w:rsidRPr="001276C9" w:rsidRDefault="0091618D" w:rsidP="00CD007B">
      <w:pPr>
        <w:pStyle w:val="BodyText"/>
      </w:pPr>
    </w:p>
    <w:p w14:paraId="4B995E20" w14:textId="77777777" w:rsidR="0091618D" w:rsidRPr="001276C9" w:rsidRDefault="0091618D" w:rsidP="00CD007B">
      <w:pPr>
        <w:pStyle w:val="BodyText"/>
      </w:pPr>
    </w:p>
    <w:p w14:paraId="6D35EA5F" w14:textId="77777777" w:rsidR="0091618D" w:rsidRPr="001276C9" w:rsidRDefault="0091618D" w:rsidP="00CD007B">
      <w:pPr>
        <w:pStyle w:val="BodyText"/>
      </w:pPr>
    </w:p>
    <w:p w14:paraId="639A1456" w14:textId="77777777" w:rsidR="000B6D68" w:rsidRPr="001276C9" w:rsidRDefault="000B6D68" w:rsidP="00055B61">
      <w:pPr>
        <w:pStyle w:val="BodyText"/>
        <w:spacing w:after="120" w:line="240" w:lineRule="auto"/>
        <w:rPr>
          <w:color w:val="004483" w:themeColor="accent1" w:themeShade="BF"/>
          <w:sz w:val="18"/>
          <w:szCs w:val="18"/>
        </w:rPr>
      </w:pPr>
    </w:p>
    <w:p w14:paraId="7161E15F" w14:textId="24580B4B" w:rsidR="002500A9" w:rsidRPr="001276C9" w:rsidRDefault="002500A9" w:rsidP="00B50EA3">
      <w:pPr>
        <w:pStyle w:val="Source"/>
        <w:spacing w:after="0"/>
      </w:pPr>
      <w:r w:rsidRPr="001276C9">
        <w:t xml:space="preserve">Note: Group other includes all other </w:t>
      </w:r>
      <w:r w:rsidR="005B78FA" w:rsidRPr="001276C9">
        <w:t>ANZSIC</w:t>
      </w:r>
      <w:r w:rsidR="008218F3" w:rsidRPr="001276C9">
        <w:t xml:space="preserve"> </w:t>
      </w:r>
      <w:r w:rsidR="005B78FA" w:rsidRPr="001276C9">
        <w:t xml:space="preserve">divisions </w:t>
      </w:r>
      <w:r w:rsidRPr="001276C9">
        <w:t>not show</w:t>
      </w:r>
      <w:r w:rsidR="000B6D68" w:rsidRPr="001276C9">
        <w:t>n</w:t>
      </w:r>
      <w:r w:rsidRPr="001276C9">
        <w:t xml:space="preserve"> individually in the picture.</w:t>
      </w:r>
    </w:p>
    <w:p w14:paraId="28ACF2D0" w14:textId="30DC3290" w:rsidR="000B6D68" w:rsidRPr="001276C9" w:rsidRDefault="000B6D68" w:rsidP="00167CAB">
      <w:pPr>
        <w:pStyle w:val="Source"/>
      </w:pPr>
      <w:r w:rsidRPr="001276C9">
        <w:t xml:space="preserve">Source: </w:t>
      </w:r>
      <w:r w:rsidR="004A05F6" w:rsidRPr="001276C9">
        <w:t>Department</w:t>
      </w:r>
      <w:r w:rsidRPr="001276C9">
        <w:t xml:space="preserve"> of Industry, Innovation and Science</w:t>
      </w:r>
      <w:r w:rsidR="001D12B3" w:rsidRPr="001276C9">
        <w:t xml:space="preserve"> (2018)</w:t>
      </w:r>
    </w:p>
    <w:p w14:paraId="1B27E844" w14:textId="60AE1C76" w:rsidR="000B5616" w:rsidRPr="001276C9" w:rsidRDefault="00D62D33" w:rsidP="00CD007B">
      <w:pPr>
        <w:pStyle w:val="BodyText"/>
      </w:pPr>
      <w:r w:rsidRPr="001276C9">
        <w:t xml:space="preserve">Both panels confirm that the </w:t>
      </w:r>
      <w:r w:rsidR="00726970" w:rsidRPr="001276C9">
        <w:t>majority of the</w:t>
      </w:r>
      <w:r w:rsidR="0086343F" w:rsidRPr="001276C9">
        <w:t xml:space="preserve"> </w:t>
      </w:r>
      <w:r w:rsidR="00A66F26" w:rsidRPr="001276C9">
        <w:t>participants</w:t>
      </w:r>
      <w:r w:rsidR="00511DE9" w:rsidRPr="001276C9">
        <w:t xml:space="preserve"> belong </w:t>
      </w:r>
      <w:r w:rsidR="00510827" w:rsidRPr="001276C9">
        <w:t xml:space="preserve">to </w:t>
      </w:r>
      <w:r w:rsidR="007C5A95" w:rsidRPr="001276C9">
        <w:t xml:space="preserve">an industry sector that is strongly associated with </w:t>
      </w:r>
      <w:r w:rsidR="00511DE9" w:rsidRPr="001276C9">
        <w:t xml:space="preserve">the </w:t>
      </w:r>
      <w:r w:rsidR="000907D4" w:rsidRPr="001276C9">
        <w:t xml:space="preserve">advanced </w:t>
      </w:r>
      <w:r w:rsidRPr="001276C9">
        <w:t xml:space="preserve">technology area. </w:t>
      </w:r>
      <w:r w:rsidR="002E5008" w:rsidRPr="001276C9">
        <w:t>About 63</w:t>
      </w:r>
      <w:r w:rsidR="007C5A95" w:rsidRPr="001276C9">
        <w:t> </w:t>
      </w:r>
      <w:r w:rsidR="008E20BC" w:rsidRPr="001276C9">
        <w:t xml:space="preserve">per cent of </w:t>
      </w:r>
      <w:r w:rsidR="000907D4" w:rsidRPr="001276C9">
        <w:t xml:space="preserve">participating </w:t>
      </w:r>
      <w:r w:rsidR="008E20BC" w:rsidRPr="001276C9">
        <w:t xml:space="preserve">firms belong to </w:t>
      </w:r>
      <w:r w:rsidR="00D415AB" w:rsidRPr="001276C9">
        <w:t>Professional, Scientific and Technical Services</w:t>
      </w:r>
      <w:r w:rsidR="008E20BC" w:rsidRPr="001276C9">
        <w:t xml:space="preserve">, </w:t>
      </w:r>
      <w:r w:rsidR="00BC01BA" w:rsidRPr="001276C9">
        <w:t>together with</w:t>
      </w:r>
      <w:r w:rsidR="008E20BC" w:rsidRPr="001276C9">
        <w:t xml:space="preserve"> Manufacturing.</w:t>
      </w:r>
      <w:r w:rsidR="001A5959" w:rsidRPr="001276C9">
        <w:t xml:space="preserve"> </w:t>
      </w:r>
      <w:r w:rsidR="002E5008" w:rsidRPr="001276C9">
        <w:t xml:space="preserve">In terms of grant amount, more than 70 per </w:t>
      </w:r>
      <w:r w:rsidR="00075558" w:rsidRPr="001276C9">
        <w:t xml:space="preserve">cent of all the grant </w:t>
      </w:r>
      <w:r w:rsidR="009950B4" w:rsidRPr="001276C9">
        <w:t>funding</w:t>
      </w:r>
      <w:r w:rsidR="00075558" w:rsidRPr="001276C9">
        <w:t xml:space="preserve"> has been</w:t>
      </w:r>
      <w:r w:rsidR="002E5008" w:rsidRPr="001276C9">
        <w:t xml:space="preserve"> allotted to these two industries</w:t>
      </w:r>
      <w:r w:rsidR="001A5959" w:rsidRPr="001276C9">
        <w:t>.</w:t>
      </w:r>
      <w:r w:rsidR="00594F97" w:rsidRPr="001276C9">
        <w:t xml:space="preserve"> </w:t>
      </w:r>
    </w:p>
    <w:p w14:paraId="3CB090AF" w14:textId="6675019D" w:rsidR="001A5959" w:rsidRPr="001276C9" w:rsidRDefault="001A5959" w:rsidP="00CD007B">
      <w:pPr>
        <w:pStyle w:val="BodyText"/>
      </w:pPr>
      <w:r w:rsidRPr="001276C9">
        <w:t xml:space="preserve">Wholesale Trade is at the third place both in terms of the number of firms and grant </w:t>
      </w:r>
      <w:r w:rsidR="00657C90" w:rsidRPr="001276C9">
        <w:t>funding</w:t>
      </w:r>
      <w:r w:rsidRPr="001276C9">
        <w:t xml:space="preserve">. The </w:t>
      </w:r>
      <w:r w:rsidR="00B476D4" w:rsidRPr="001276C9">
        <w:t xml:space="preserve">share </w:t>
      </w:r>
      <w:r w:rsidRPr="001276C9">
        <w:t xml:space="preserve">of grants awarded to other </w:t>
      </w:r>
      <w:r w:rsidR="00DE7987" w:rsidRPr="001276C9">
        <w:t>industries</w:t>
      </w:r>
      <w:r w:rsidRPr="001276C9">
        <w:t xml:space="preserve"> is quite small compared to the share claimed by the three aforementioned industries. </w:t>
      </w:r>
    </w:p>
    <w:p w14:paraId="0DFF5592" w14:textId="74C98A33" w:rsidR="00DF2F03" w:rsidRPr="001276C9" w:rsidRDefault="00DF2F03" w:rsidP="00CD007B">
      <w:pPr>
        <w:pStyle w:val="BodyText"/>
      </w:pPr>
      <w:r w:rsidRPr="001276C9">
        <w:t xml:space="preserve">Participants </w:t>
      </w:r>
      <w:r w:rsidR="006F0FCE" w:rsidRPr="001276C9">
        <w:t xml:space="preserve">from </w:t>
      </w:r>
      <w:r w:rsidRPr="001276C9">
        <w:t xml:space="preserve">Professional, Scientific and Technical services also received the largest grants per firm. The average </w:t>
      </w:r>
      <w:r w:rsidR="006F0FCE" w:rsidRPr="001276C9">
        <w:t xml:space="preserve">grant </w:t>
      </w:r>
      <w:r w:rsidRPr="001276C9">
        <w:t xml:space="preserve">value offered to these participants </w:t>
      </w:r>
      <w:r w:rsidR="00041FA2" w:rsidRPr="001276C9">
        <w:t xml:space="preserve">per firm </w:t>
      </w:r>
      <w:r w:rsidRPr="001276C9">
        <w:t>is $481,371. Participants from Manufacturing are, again, at the second place with the average grant awarded having a value of $479,655. The average grant awarded to participants from all other industries is about $337,501.</w:t>
      </w:r>
    </w:p>
    <w:p w14:paraId="73050DA1" w14:textId="18670E7E" w:rsidR="00D25AF0" w:rsidRPr="001276C9" w:rsidRDefault="00C410DF" w:rsidP="00CD007B">
      <w:pPr>
        <w:pStyle w:val="BodyText"/>
      </w:pPr>
      <w:r w:rsidRPr="001276C9">
        <w:t xml:space="preserve">To make a more concrete case that the CA grants have been </w:t>
      </w:r>
      <w:r w:rsidR="00511DE9" w:rsidRPr="001276C9">
        <w:t xml:space="preserve">mostly awarded to </w:t>
      </w:r>
      <w:r w:rsidR="005B78FA" w:rsidRPr="001276C9">
        <w:t xml:space="preserve">advanced </w:t>
      </w:r>
      <w:r w:rsidRPr="001276C9">
        <w:t xml:space="preserve">technology firms, we </w:t>
      </w:r>
      <w:r w:rsidR="00846CF7" w:rsidRPr="001276C9">
        <w:t xml:space="preserve">further </w:t>
      </w:r>
      <w:r w:rsidRPr="001276C9">
        <w:t xml:space="preserve">look at a few two-digit ANZSICs that </w:t>
      </w:r>
      <w:r w:rsidRPr="001276C9">
        <w:lastRenderedPageBreak/>
        <w:t xml:space="preserve">received the largest share of CA grants. </w:t>
      </w:r>
      <w:r w:rsidR="002D00F6" w:rsidRPr="001276C9">
        <w:t>T</w:t>
      </w:r>
      <w:r w:rsidR="00BE3B70" w:rsidRPr="001276C9">
        <w:t>he</w:t>
      </w:r>
      <w:r w:rsidR="002D00F6" w:rsidRPr="001276C9">
        <w:t xml:space="preserve"> sectors </w:t>
      </w:r>
      <w:r w:rsidR="00BE3B70" w:rsidRPr="001276C9">
        <w:t xml:space="preserve">with the highest population of </w:t>
      </w:r>
      <w:r w:rsidR="00E104A1" w:rsidRPr="001276C9">
        <w:t xml:space="preserve">the </w:t>
      </w:r>
      <w:r w:rsidR="00BE3B70" w:rsidRPr="001276C9">
        <w:t>CA firms are identified</w:t>
      </w:r>
      <w:r w:rsidR="002D00F6" w:rsidRPr="001276C9">
        <w:t xml:space="preserve"> in</w:t>
      </w:r>
      <w:r w:rsidR="006F5CFE" w:rsidRPr="001276C9">
        <w:t xml:space="preserve"> Figure 4.2</w:t>
      </w:r>
      <w:r w:rsidR="00BE3B70" w:rsidRPr="001276C9">
        <w:t>.</w:t>
      </w:r>
    </w:p>
    <w:p w14:paraId="335FF11E" w14:textId="0CBED6E1" w:rsidR="00171242" w:rsidRPr="001276C9" w:rsidRDefault="0058050B" w:rsidP="0058050B">
      <w:pPr>
        <w:pStyle w:val="Caption"/>
      </w:pPr>
      <w:bookmarkStart w:id="1" w:name="_Ref511029096"/>
      <w:r w:rsidRPr="001276C9">
        <w:t xml:space="preserve">Figure </w:t>
      </w:r>
      <w:r w:rsidR="00403214">
        <w:rPr>
          <w:noProof/>
        </w:rPr>
        <w:fldChar w:fldCharType="begin"/>
      </w:r>
      <w:r w:rsidR="00403214">
        <w:rPr>
          <w:noProof/>
        </w:rPr>
        <w:instrText xml:space="preserve"> STYLEREF 1 \s </w:instrText>
      </w:r>
      <w:r w:rsidR="00403214">
        <w:rPr>
          <w:noProof/>
        </w:rPr>
        <w:fldChar w:fldCharType="separate"/>
      </w:r>
      <w:r w:rsidR="00F47C7A">
        <w:rPr>
          <w:noProof/>
        </w:rPr>
        <w:t>4</w:t>
      </w:r>
      <w:r w:rsidR="00403214">
        <w:rPr>
          <w:noProof/>
        </w:rPr>
        <w:fldChar w:fldCharType="end"/>
      </w:r>
      <w:r w:rsidRPr="001276C9">
        <w:t>.</w:t>
      </w:r>
      <w:r w:rsidR="00403214">
        <w:rPr>
          <w:noProof/>
        </w:rPr>
        <w:fldChar w:fldCharType="begin"/>
      </w:r>
      <w:r w:rsidR="00403214">
        <w:rPr>
          <w:noProof/>
        </w:rPr>
        <w:instrText xml:space="preserve"> SEQ Figure \* ARABIC \s 1 </w:instrText>
      </w:r>
      <w:r w:rsidR="00403214">
        <w:rPr>
          <w:noProof/>
        </w:rPr>
        <w:fldChar w:fldCharType="separate"/>
      </w:r>
      <w:r w:rsidR="00F47C7A">
        <w:rPr>
          <w:noProof/>
        </w:rPr>
        <w:t>1</w:t>
      </w:r>
      <w:r w:rsidR="00403214">
        <w:rPr>
          <w:noProof/>
        </w:rPr>
        <w:fldChar w:fldCharType="end"/>
      </w:r>
      <w:bookmarkEnd w:id="1"/>
      <w:r w:rsidRPr="001276C9">
        <w:t xml:space="preserve"> The </w:t>
      </w:r>
      <w:r w:rsidR="00167D0E" w:rsidRPr="001276C9">
        <w:t>proportion of CA participants by two-digit ANZSIC</w:t>
      </w:r>
    </w:p>
    <w:p w14:paraId="2A91B0B2" w14:textId="2DD8813B" w:rsidR="001403CB" w:rsidRPr="001276C9" w:rsidRDefault="00B23C19" w:rsidP="00BC3338">
      <w:pPr>
        <w:pStyle w:val="BodyText"/>
        <w:numPr>
          <w:ilvl w:val="0"/>
          <w:numId w:val="18"/>
        </w:numPr>
      </w:pPr>
      <w:r w:rsidRPr="001276C9">
        <w:t>Number of firms</w:t>
      </w:r>
    </w:p>
    <w:p w14:paraId="7804F94A" w14:textId="15CB96CF" w:rsidR="001403CB" w:rsidRPr="001276C9" w:rsidRDefault="00B23C19" w:rsidP="00CD007B">
      <w:pPr>
        <w:pStyle w:val="BodyText"/>
      </w:pPr>
      <w:r w:rsidRPr="001276C9">
        <w:rPr>
          <w:noProof/>
          <w:lang w:eastAsia="en-AU"/>
        </w:rPr>
        <w:drawing>
          <wp:anchor distT="0" distB="0" distL="114300" distR="114300" simplePos="0" relativeHeight="251658246" behindDoc="0" locked="0" layoutInCell="1" allowOverlap="1" wp14:anchorId="5FA92561" wp14:editId="241C33A9">
            <wp:simplePos x="0" y="0"/>
            <wp:positionH relativeFrom="margin">
              <wp:align>right</wp:align>
            </wp:positionH>
            <wp:positionV relativeFrom="paragraph">
              <wp:posOffset>9056</wp:posOffset>
            </wp:positionV>
            <wp:extent cx="4377690" cy="3557270"/>
            <wp:effectExtent l="0" t="0" r="3810" b="5080"/>
            <wp:wrapNone/>
            <wp:docPr id="9" name="Chart 9" descr="Computer Services and Computer System Design (both from Professional, Scientific and Technical Services) along with Machiner and Equipment Manufacturing have the largest shares." title="Figure 4.2 A Number of firm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14:paraId="6211C171" w14:textId="77777777" w:rsidR="001403CB" w:rsidRPr="001276C9" w:rsidRDefault="001403CB" w:rsidP="00CD007B">
      <w:pPr>
        <w:pStyle w:val="BodyText"/>
      </w:pPr>
    </w:p>
    <w:p w14:paraId="3D465C49" w14:textId="77777777" w:rsidR="001403CB" w:rsidRPr="001276C9" w:rsidRDefault="001403CB" w:rsidP="00CD007B">
      <w:pPr>
        <w:pStyle w:val="BodyText"/>
      </w:pPr>
    </w:p>
    <w:p w14:paraId="06E2CF2B" w14:textId="77777777" w:rsidR="001403CB" w:rsidRPr="001276C9" w:rsidRDefault="001403CB" w:rsidP="00CD007B">
      <w:pPr>
        <w:pStyle w:val="BodyText"/>
      </w:pPr>
    </w:p>
    <w:p w14:paraId="28247F99" w14:textId="77777777" w:rsidR="001403CB" w:rsidRPr="001276C9" w:rsidRDefault="001403CB" w:rsidP="00CD007B">
      <w:pPr>
        <w:pStyle w:val="BodyText"/>
      </w:pPr>
    </w:p>
    <w:p w14:paraId="25382D73" w14:textId="77777777" w:rsidR="001403CB" w:rsidRPr="001276C9" w:rsidRDefault="001403CB" w:rsidP="00CD007B">
      <w:pPr>
        <w:pStyle w:val="BodyText"/>
      </w:pPr>
    </w:p>
    <w:p w14:paraId="49E53F8A" w14:textId="77777777" w:rsidR="001403CB" w:rsidRPr="001276C9" w:rsidRDefault="001403CB" w:rsidP="00CD007B">
      <w:pPr>
        <w:pStyle w:val="BodyText"/>
      </w:pPr>
    </w:p>
    <w:p w14:paraId="6852907B" w14:textId="77777777" w:rsidR="001403CB" w:rsidRPr="001276C9" w:rsidRDefault="001403CB" w:rsidP="00CD007B">
      <w:pPr>
        <w:pStyle w:val="BodyText"/>
      </w:pPr>
    </w:p>
    <w:p w14:paraId="123E3397" w14:textId="77777777" w:rsidR="001403CB" w:rsidRPr="001276C9" w:rsidRDefault="001403CB" w:rsidP="00CD007B">
      <w:pPr>
        <w:pStyle w:val="BodyText"/>
      </w:pPr>
    </w:p>
    <w:p w14:paraId="45ABA6B4" w14:textId="77777777" w:rsidR="001403CB" w:rsidRPr="001276C9" w:rsidRDefault="001403CB" w:rsidP="00CD007B">
      <w:pPr>
        <w:pStyle w:val="BodyText"/>
      </w:pPr>
    </w:p>
    <w:p w14:paraId="716855ED" w14:textId="77777777" w:rsidR="001403CB" w:rsidRPr="001276C9" w:rsidRDefault="001403CB" w:rsidP="00CD007B">
      <w:pPr>
        <w:pStyle w:val="BodyText"/>
      </w:pPr>
    </w:p>
    <w:p w14:paraId="78BC2407" w14:textId="2FDE8D8F" w:rsidR="001403CB" w:rsidRPr="001276C9" w:rsidRDefault="001403CB" w:rsidP="00CD007B">
      <w:pPr>
        <w:pStyle w:val="BodyText"/>
      </w:pPr>
    </w:p>
    <w:p w14:paraId="30F8506C" w14:textId="77777777" w:rsidR="00B23C19" w:rsidRPr="001276C9" w:rsidRDefault="00B23C19" w:rsidP="00055B61">
      <w:pPr>
        <w:pStyle w:val="BodyText"/>
        <w:spacing w:after="120" w:line="240" w:lineRule="auto"/>
        <w:rPr>
          <w:color w:val="004483" w:themeColor="accent1" w:themeShade="BF"/>
          <w:sz w:val="18"/>
          <w:szCs w:val="18"/>
        </w:rPr>
      </w:pPr>
    </w:p>
    <w:p w14:paraId="32B1DFC2" w14:textId="287824BD" w:rsidR="00167D0E" w:rsidRPr="001276C9" w:rsidRDefault="00167D0E" w:rsidP="00055B61">
      <w:pPr>
        <w:pStyle w:val="BodyText"/>
        <w:spacing w:after="120" w:line="240" w:lineRule="auto"/>
        <w:rPr>
          <w:color w:val="004483" w:themeColor="accent1" w:themeShade="BF"/>
          <w:sz w:val="18"/>
          <w:szCs w:val="18"/>
        </w:rPr>
      </w:pPr>
      <w:r w:rsidRPr="001276C9">
        <w:rPr>
          <w:color w:val="004483" w:themeColor="accent1" w:themeShade="BF"/>
          <w:sz w:val="18"/>
          <w:szCs w:val="18"/>
        </w:rPr>
        <w:br w:type="page"/>
      </w:r>
    </w:p>
    <w:p w14:paraId="711F5BBD" w14:textId="664E7055" w:rsidR="00B23C19" w:rsidRPr="001276C9" w:rsidRDefault="00B23C19" w:rsidP="0094477D">
      <w:pPr>
        <w:pStyle w:val="BodyText"/>
        <w:numPr>
          <w:ilvl w:val="0"/>
          <w:numId w:val="18"/>
        </w:numPr>
      </w:pPr>
      <w:r w:rsidRPr="001276C9">
        <w:lastRenderedPageBreak/>
        <w:t>Grant amount</w:t>
      </w:r>
    </w:p>
    <w:p w14:paraId="597B3288" w14:textId="656596C3" w:rsidR="00B23C19" w:rsidRPr="001276C9" w:rsidRDefault="00B23C19" w:rsidP="00364824">
      <w:pPr>
        <w:pStyle w:val="BodyText"/>
        <w:spacing w:after="120" w:line="240" w:lineRule="auto"/>
        <w:rPr>
          <w:color w:val="004483" w:themeColor="accent1" w:themeShade="BF"/>
          <w:sz w:val="18"/>
          <w:szCs w:val="18"/>
        </w:rPr>
      </w:pPr>
      <w:r w:rsidRPr="001276C9">
        <w:rPr>
          <w:noProof/>
          <w:lang w:eastAsia="en-AU"/>
        </w:rPr>
        <w:drawing>
          <wp:inline distT="0" distB="0" distL="0" distR="0" wp14:anchorId="0555A7E9" wp14:editId="1FE171CF">
            <wp:extent cx="4377690" cy="3651885"/>
            <wp:effectExtent l="0" t="0" r="3810" b="5715"/>
            <wp:docPr id="3" name="Chart 3" descr="Computer Services and Computer System Design (both from Professional, Scientific and Technical Services) along with Machiner and Equipment Manufacturing have the largest shares." title="Figure 4.2 B Grant amou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178888" w14:textId="574E1C83" w:rsidR="00E1300A" w:rsidRPr="001276C9" w:rsidRDefault="00E1300A" w:rsidP="00B50EA3">
      <w:pPr>
        <w:pStyle w:val="Source"/>
        <w:spacing w:after="0"/>
      </w:pPr>
      <w:r w:rsidRPr="001276C9">
        <w:t>Note: PST stands for Professional, Scientific and T</w:t>
      </w:r>
      <w:r w:rsidR="002329E0" w:rsidRPr="001276C9">
        <w:t>echnical S</w:t>
      </w:r>
      <w:r w:rsidRPr="001276C9">
        <w:t>ervices.</w:t>
      </w:r>
      <w:r w:rsidR="005A1C44" w:rsidRPr="001276C9">
        <w:t xml:space="preserve"> Group </w:t>
      </w:r>
      <w:r w:rsidR="005A1C44" w:rsidRPr="001276C9">
        <w:rPr>
          <w:i/>
          <w:iCs/>
        </w:rPr>
        <w:t>other</w:t>
      </w:r>
      <w:r w:rsidR="005A1C44" w:rsidRPr="001276C9">
        <w:t xml:space="preserve"> includes all other </w:t>
      </w:r>
      <w:r w:rsidR="005A7416" w:rsidRPr="001276C9">
        <w:t>tw</w:t>
      </w:r>
      <w:r w:rsidR="00DB7A2F" w:rsidRPr="001276C9">
        <w:t>o</w:t>
      </w:r>
      <w:r w:rsidR="005A7416" w:rsidRPr="001276C9">
        <w:t>-digit ANZSICs</w:t>
      </w:r>
      <w:r w:rsidR="005A1C44" w:rsidRPr="001276C9">
        <w:t xml:space="preserve"> not shown separately in the picture.</w:t>
      </w:r>
    </w:p>
    <w:p w14:paraId="18F568F7" w14:textId="2F973E90" w:rsidR="00E104A1" w:rsidRPr="001276C9" w:rsidRDefault="00E104A1" w:rsidP="00167D0E">
      <w:pPr>
        <w:pStyle w:val="Source"/>
      </w:pPr>
      <w:r w:rsidRPr="001276C9">
        <w:t>Source: Department of Industry, Innovation and Science (2018)</w:t>
      </w:r>
    </w:p>
    <w:p w14:paraId="771E0B08" w14:textId="2B0466CA" w:rsidR="005A66BB" w:rsidRPr="001276C9" w:rsidRDefault="00F117EB" w:rsidP="00CD007B">
      <w:pPr>
        <w:pStyle w:val="BodyText"/>
      </w:pPr>
      <w:r w:rsidRPr="001276C9">
        <w:t xml:space="preserve">The two </w:t>
      </w:r>
      <w:r w:rsidR="001366E8" w:rsidRPr="001276C9">
        <w:t>sub-</w:t>
      </w:r>
      <w:r w:rsidRPr="001276C9">
        <w:t xml:space="preserve">sectors with the highest population of </w:t>
      </w:r>
      <w:r w:rsidR="00853A4C" w:rsidRPr="001276C9">
        <w:t xml:space="preserve">the </w:t>
      </w:r>
      <w:r w:rsidRPr="001276C9">
        <w:t xml:space="preserve">CA </w:t>
      </w:r>
      <w:r w:rsidR="00AF5E2A" w:rsidRPr="001276C9">
        <w:t xml:space="preserve">participants </w:t>
      </w:r>
      <w:r w:rsidR="001366E8" w:rsidRPr="001276C9">
        <w:t>belong to</w:t>
      </w:r>
      <w:r w:rsidRPr="001276C9">
        <w:t xml:space="preserve"> the </w:t>
      </w:r>
      <w:r w:rsidR="003A0A61" w:rsidRPr="001276C9">
        <w:t>PST</w:t>
      </w:r>
      <w:r w:rsidRPr="001276C9">
        <w:t xml:space="preserve"> Services</w:t>
      </w:r>
      <w:r w:rsidR="00911575" w:rsidRPr="001276C9">
        <w:t xml:space="preserve">. </w:t>
      </w:r>
      <w:r w:rsidR="00B127A5" w:rsidRPr="001276C9">
        <w:t>The first subsector, PST Excluding Computer Services, includes areas such as scientific research, architec</w:t>
      </w:r>
      <w:r w:rsidR="00B43FC1" w:rsidRPr="001276C9">
        <w:t xml:space="preserve">tural and engineering design, and </w:t>
      </w:r>
      <w:r w:rsidR="000428B4" w:rsidRPr="001276C9">
        <w:t>market research</w:t>
      </w:r>
      <w:r w:rsidR="00B127A5" w:rsidRPr="001276C9">
        <w:t xml:space="preserve"> among others. The other subsector concerns computer system design. </w:t>
      </w:r>
      <w:r w:rsidRPr="001276C9">
        <w:t>Both of these sectors are</w:t>
      </w:r>
      <w:r w:rsidR="00C618E2" w:rsidRPr="001276C9">
        <w:t xml:space="preserve"> associated with advanced technology and innovative activit</w:t>
      </w:r>
      <w:r w:rsidR="005E5930" w:rsidRPr="001276C9">
        <w:t>i</w:t>
      </w:r>
      <w:r w:rsidR="00C618E2" w:rsidRPr="001276C9">
        <w:t>es</w:t>
      </w:r>
      <w:r w:rsidRPr="001276C9">
        <w:t xml:space="preserve">. </w:t>
      </w:r>
    </w:p>
    <w:p w14:paraId="6F758E55" w14:textId="224F1B31" w:rsidR="00517CA4" w:rsidRPr="001276C9" w:rsidRDefault="00853A4C" w:rsidP="00CD007B">
      <w:pPr>
        <w:pStyle w:val="BodyText"/>
      </w:pPr>
      <w:r w:rsidRPr="001276C9">
        <w:t xml:space="preserve">The </w:t>
      </w:r>
      <w:r w:rsidR="00AB1623" w:rsidRPr="001276C9">
        <w:t xml:space="preserve">one </w:t>
      </w:r>
      <w:r w:rsidRPr="001276C9">
        <w:t xml:space="preserve">other </w:t>
      </w:r>
      <w:r w:rsidR="00E532B0" w:rsidRPr="001276C9">
        <w:t>sub-</w:t>
      </w:r>
      <w:r w:rsidRPr="001276C9">
        <w:t>sector</w:t>
      </w:r>
      <w:r w:rsidR="005A66BB" w:rsidRPr="001276C9">
        <w:t xml:space="preserve"> with a high population of </w:t>
      </w:r>
      <w:r w:rsidR="00EE1981" w:rsidRPr="001276C9">
        <w:t xml:space="preserve">participating </w:t>
      </w:r>
      <w:r w:rsidR="005A66BB" w:rsidRPr="001276C9">
        <w:t>firms is Machinery and Equipment Ma</w:t>
      </w:r>
      <w:r w:rsidR="00F56F63" w:rsidRPr="001276C9">
        <w:t xml:space="preserve">nufacturing. Firms in this area are engaged in </w:t>
      </w:r>
      <w:r w:rsidR="00911575" w:rsidRPr="001276C9">
        <w:t xml:space="preserve">a variety of design and production activities including that of computers, electronics, scientific tools, and specialised machinery. Many of these areas are, again, associated with </w:t>
      </w:r>
      <w:r w:rsidR="00C618E2" w:rsidRPr="001276C9">
        <w:t xml:space="preserve">advanced </w:t>
      </w:r>
      <w:r w:rsidR="00911575" w:rsidRPr="001276C9">
        <w:t>technology</w:t>
      </w:r>
      <w:r w:rsidR="00C618E2" w:rsidRPr="001276C9">
        <w:t xml:space="preserve"> and innovative activities</w:t>
      </w:r>
      <w:r w:rsidR="00911575" w:rsidRPr="001276C9">
        <w:t>.</w:t>
      </w:r>
    </w:p>
    <w:p w14:paraId="1DFA3AEC" w14:textId="2474DEC7" w:rsidR="00997FE9" w:rsidRPr="001276C9" w:rsidRDefault="00E63818" w:rsidP="00CD007B">
      <w:pPr>
        <w:pStyle w:val="BodyText"/>
      </w:pPr>
      <w:r w:rsidRPr="001276C9">
        <w:t>W</w:t>
      </w:r>
      <w:r w:rsidR="00997FE9" w:rsidRPr="001276C9">
        <w:t xml:space="preserve">e </w:t>
      </w:r>
      <w:r w:rsidRPr="001276C9">
        <w:t>further explore</w:t>
      </w:r>
      <w:r w:rsidR="00997FE9" w:rsidRPr="001276C9">
        <w:t xml:space="preserve"> </w:t>
      </w:r>
      <w:r w:rsidRPr="001276C9">
        <w:t xml:space="preserve">how entrepreneurial </w:t>
      </w:r>
      <w:r w:rsidR="00853A4C" w:rsidRPr="001276C9">
        <w:t xml:space="preserve">the </w:t>
      </w:r>
      <w:r w:rsidRPr="001276C9">
        <w:t xml:space="preserve">CA </w:t>
      </w:r>
      <w:r w:rsidR="003D62EB" w:rsidRPr="001276C9">
        <w:t xml:space="preserve">participants </w:t>
      </w:r>
      <w:r w:rsidRPr="001276C9">
        <w:t>are</w:t>
      </w:r>
      <w:r w:rsidR="00E42A39" w:rsidRPr="001276C9">
        <w:t xml:space="preserve"> by also</w:t>
      </w:r>
      <w:r w:rsidRPr="001276C9">
        <w:t xml:space="preserve"> looking at their age</w:t>
      </w:r>
      <w:r w:rsidR="00853A4C" w:rsidRPr="001276C9">
        <w:t xml:space="preserve"> one year prior to receiving their first</w:t>
      </w:r>
      <w:r w:rsidR="003E31B9" w:rsidRPr="001276C9">
        <w:t xml:space="preserve"> grant</w:t>
      </w:r>
      <w:r w:rsidR="00836F73" w:rsidRPr="001276C9">
        <w:t xml:space="preserve">, with age </w:t>
      </w:r>
      <w:r w:rsidR="00C62EB3" w:rsidRPr="001276C9">
        <w:t>one</w:t>
      </w:r>
      <w:r w:rsidR="00836F73" w:rsidRPr="001276C9">
        <w:t xml:space="preserve"> being</w:t>
      </w:r>
      <w:r w:rsidR="002610D8" w:rsidRPr="001276C9">
        <w:t xml:space="preserve"> the year of entry</w:t>
      </w:r>
      <w:r w:rsidR="00997FE9" w:rsidRPr="001276C9">
        <w:t xml:space="preserve">. </w:t>
      </w:r>
      <w:r w:rsidR="006337C8" w:rsidRPr="001276C9">
        <w:t xml:space="preserve">The age distribution of CA </w:t>
      </w:r>
      <w:r w:rsidR="007A4602" w:rsidRPr="001276C9">
        <w:t xml:space="preserve">participants </w:t>
      </w:r>
      <w:r w:rsidR="006337C8" w:rsidRPr="001276C9">
        <w:t>is shown in</w:t>
      </w:r>
      <w:r w:rsidR="003D6AAF" w:rsidRPr="001276C9">
        <w:t xml:space="preserve"> Figure 4.3</w:t>
      </w:r>
      <w:r w:rsidR="006337C8" w:rsidRPr="001276C9">
        <w:t>.</w:t>
      </w:r>
    </w:p>
    <w:p w14:paraId="43BB53D3" w14:textId="1F5C8665" w:rsidR="00167D0E" w:rsidRPr="001276C9" w:rsidRDefault="00167D0E" w:rsidP="00CD007B">
      <w:pPr>
        <w:pStyle w:val="BodyText"/>
      </w:pPr>
    </w:p>
    <w:p w14:paraId="7C31D8F1" w14:textId="419886AD" w:rsidR="00167D0E" w:rsidRPr="001276C9" w:rsidRDefault="00167D0E" w:rsidP="00167CAB">
      <w:pPr>
        <w:pStyle w:val="Caption"/>
      </w:pPr>
      <w:r w:rsidRPr="001276C9">
        <w:lastRenderedPageBreak/>
        <w:t>Figure 4.3 Distribution of CA participants by age.</w:t>
      </w:r>
    </w:p>
    <w:p w14:paraId="6C9494BD" w14:textId="6369FB2C" w:rsidR="002602DD" w:rsidRPr="001276C9" w:rsidRDefault="002602DD" w:rsidP="00364824">
      <w:pPr>
        <w:pStyle w:val="Caption"/>
        <w:tabs>
          <w:tab w:val="left" w:pos="4306"/>
        </w:tabs>
      </w:pPr>
      <w:r w:rsidRPr="001276C9">
        <w:rPr>
          <w:noProof/>
          <w:lang w:eastAsia="en-AU"/>
        </w:rPr>
        <w:drawing>
          <wp:inline distT="0" distB="0" distL="0" distR="0" wp14:anchorId="6EF18059" wp14:editId="768227B3">
            <wp:extent cx="4377690" cy="2626360"/>
            <wp:effectExtent l="0" t="0" r="3810" b="2540"/>
            <wp:docPr id="17" name="Chart 17" descr="About 20 per cent of participants are one year old. The proportion monotonically falls by age but jumps up again for firms 10 years old and above." title="Figure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D6A71B" w14:textId="38AF4D76" w:rsidR="00997FE9" w:rsidRPr="001276C9" w:rsidRDefault="00502AC0" w:rsidP="00167D0E">
      <w:pPr>
        <w:pStyle w:val="Source"/>
      </w:pPr>
      <w:r w:rsidRPr="001276C9">
        <w:t>Source: Department</w:t>
      </w:r>
      <w:r w:rsidR="00CA362B" w:rsidRPr="001276C9">
        <w:t xml:space="preserve"> of Industry, Innovation and Science</w:t>
      </w:r>
      <w:r w:rsidRPr="001276C9">
        <w:t xml:space="preserve"> (2018)</w:t>
      </w:r>
    </w:p>
    <w:p w14:paraId="03D2C3A0" w14:textId="38435FDF" w:rsidR="00DD6DB2" w:rsidRPr="001276C9" w:rsidRDefault="00DD6DB2" w:rsidP="00CD007B">
      <w:pPr>
        <w:pStyle w:val="BodyText"/>
      </w:pPr>
      <w:r w:rsidRPr="001276C9">
        <w:t xml:space="preserve">The figure shows that </w:t>
      </w:r>
      <w:r w:rsidR="002A7790" w:rsidRPr="001276C9">
        <w:t xml:space="preserve">20 per cent </w:t>
      </w:r>
      <w:r w:rsidRPr="001276C9">
        <w:t xml:space="preserve">of firms </w:t>
      </w:r>
      <w:r w:rsidR="002A7790" w:rsidRPr="001276C9">
        <w:t xml:space="preserve">are one year old </w:t>
      </w:r>
      <w:r w:rsidR="002B2B51" w:rsidRPr="001276C9">
        <w:t xml:space="preserve">at </w:t>
      </w:r>
      <w:r w:rsidR="00D02298" w:rsidRPr="001276C9">
        <w:t xml:space="preserve">the </w:t>
      </w:r>
      <w:r w:rsidR="002B2B51" w:rsidRPr="001276C9">
        <w:t xml:space="preserve">time </w:t>
      </w:r>
      <w:r w:rsidR="00D02298" w:rsidRPr="001276C9">
        <w:t xml:space="preserve">their first CA </w:t>
      </w:r>
      <w:r w:rsidRPr="001276C9">
        <w:t>gran</w:t>
      </w:r>
      <w:r w:rsidR="004F6824" w:rsidRPr="001276C9">
        <w:t xml:space="preserve">t is </w:t>
      </w:r>
      <w:r w:rsidR="00414AB3" w:rsidRPr="001276C9">
        <w:t>awarded</w:t>
      </w:r>
      <w:r w:rsidRPr="001276C9">
        <w:t xml:space="preserve">. </w:t>
      </w:r>
      <w:r w:rsidR="004F6824" w:rsidRPr="001276C9">
        <w:t xml:space="preserve">About </w:t>
      </w:r>
      <w:r w:rsidR="00C445C7" w:rsidRPr="001276C9">
        <w:t>40</w:t>
      </w:r>
      <w:r w:rsidR="004F6824" w:rsidRPr="001276C9">
        <w:t xml:space="preserve"> per cent of the CA </w:t>
      </w:r>
      <w:r w:rsidR="00D02298" w:rsidRPr="001276C9">
        <w:t>participants</w:t>
      </w:r>
      <w:r w:rsidR="004F6824" w:rsidRPr="001276C9">
        <w:t xml:space="preserve"> are t</w:t>
      </w:r>
      <w:r w:rsidR="00793947" w:rsidRPr="001276C9">
        <w:t>hree</w:t>
      </w:r>
      <w:r w:rsidR="004F6824" w:rsidRPr="001276C9">
        <w:t xml:space="preserve"> years old or younger</w:t>
      </w:r>
      <w:r w:rsidR="00D74AFB" w:rsidRPr="001276C9">
        <w:t xml:space="preserve"> </w:t>
      </w:r>
      <w:r w:rsidR="008255DB" w:rsidRPr="001276C9">
        <w:t xml:space="preserve">at the time of </w:t>
      </w:r>
      <w:r w:rsidR="00D74AFB" w:rsidRPr="001276C9">
        <w:t>their first grant</w:t>
      </w:r>
      <w:r w:rsidR="004F6824" w:rsidRPr="001276C9">
        <w:t>. More than</w:t>
      </w:r>
      <w:r w:rsidRPr="001276C9">
        <w:t xml:space="preserve"> </w:t>
      </w:r>
      <w:r w:rsidR="003E31B9" w:rsidRPr="001276C9">
        <w:t xml:space="preserve">three quarters </w:t>
      </w:r>
      <w:r w:rsidR="00EC3CCE" w:rsidRPr="001276C9">
        <w:t xml:space="preserve">of the CA </w:t>
      </w:r>
      <w:r w:rsidR="00866CB9" w:rsidRPr="001276C9">
        <w:t xml:space="preserve">participants </w:t>
      </w:r>
      <w:r w:rsidR="00EC3CCE" w:rsidRPr="001276C9">
        <w:t>are eight</w:t>
      </w:r>
      <w:r w:rsidRPr="001276C9">
        <w:t xml:space="preserve"> years old or younger</w:t>
      </w:r>
      <w:r w:rsidR="00BF3FF7" w:rsidRPr="001276C9">
        <w:t xml:space="preserve"> </w:t>
      </w:r>
      <w:r w:rsidR="006629DD" w:rsidRPr="001276C9">
        <w:t xml:space="preserve">at the time of </w:t>
      </w:r>
      <w:r w:rsidR="00BF3FF7" w:rsidRPr="001276C9">
        <w:t>their first grant</w:t>
      </w:r>
      <w:r w:rsidRPr="001276C9">
        <w:t xml:space="preserve">. </w:t>
      </w:r>
      <w:r w:rsidR="00AA23B0" w:rsidRPr="001276C9">
        <w:t xml:space="preserve">This picture </w:t>
      </w:r>
      <w:r w:rsidR="00786ADB" w:rsidRPr="001276C9">
        <w:t>is consistent with</w:t>
      </w:r>
      <w:r w:rsidR="00AA23B0" w:rsidRPr="001276C9">
        <w:t xml:space="preserve"> a</w:t>
      </w:r>
      <w:r w:rsidR="0060599C" w:rsidRPr="001276C9">
        <w:t xml:space="preserve"> </w:t>
      </w:r>
      <w:r w:rsidR="008D2D4B" w:rsidRPr="001276C9">
        <w:t>program</w:t>
      </w:r>
      <w:r w:rsidR="0060599C" w:rsidRPr="001276C9">
        <w:t xml:space="preserve"> focused on</w:t>
      </w:r>
      <w:r w:rsidR="00623D34" w:rsidRPr="001276C9">
        <w:t xml:space="preserve"> </w:t>
      </w:r>
      <w:r w:rsidR="007C3EC5" w:rsidRPr="001276C9">
        <w:t>ent</w:t>
      </w:r>
      <w:r w:rsidR="006629DD" w:rsidRPr="001276C9">
        <w:t>repreneurs and innovative firms</w:t>
      </w:r>
      <w:r w:rsidR="007C3EC5" w:rsidRPr="001276C9">
        <w:t xml:space="preserve"> which generally tend to be </w:t>
      </w:r>
      <w:r w:rsidR="0060599C" w:rsidRPr="001276C9">
        <w:t>young</w:t>
      </w:r>
      <w:r w:rsidR="007C3EC5" w:rsidRPr="001276C9">
        <w:t>er</w:t>
      </w:r>
      <w:r w:rsidR="00AA23B0" w:rsidRPr="001276C9">
        <w:t>.</w:t>
      </w:r>
      <w:r w:rsidR="008A19C1" w:rsidRPr="001276C9">
        <w:t xml:space="preserve"> </w:t>
      </w:r>
      <w:r w:rsidR="00CA3EC9" w:rsidRPr="001276C9">
        <w:t xml:space="preserve">It is </w:t>
      </w:r>
      <w:r w:rsidR="006629DD" w:rsidRPr="001276C9">
        <w:t xml:space="preserve">also </w:t>
      </w:r>
      <w:r w:rsidR="00CA3EC9" w:rsidRPr="001276C9">
        <w:t>noted that</w:t>
      </w:r>
      <w:r w:rsidR="008A19C1" w:rsidRPr="001276C9">
        <w:t>, about 2</w:t>
      </w:r>
      <w:r w:rsidR="00793947" w:rsidRPr="001276C9">
        <w:t>8</w:t>
      </w:r>
      <w:r w:rsidR="008A19C1" w:rsidRPr="001276C9">
        <w:t xml:space="preserve"> per cent of the</w:t>
      </w:r>
      <w:r w:rsidR="00CA3EC9" w:rsidRPr="001276C9">
        <w:t xml:space="preserve"> </w:t>
      </w:r>
      <w:r w:rsidR="000D6FF3" w:rsidRPr="001276C9">
        <w:t>participants</w:t>
      </w:r>
      <w:r w:rsidR="008A19C1" w:rsidRPr="001276C9">
        <w:t xml:space="preserve"> are more than 10 years old</w:t>
      </w:r>
      <w:r w:rsidR="006629DD" w:rsidRPr="001276C9">
        <w:t>.</w:t>
      </w:r>
    </w:p>
    <w:p w14:paraId="1E069450" w14:textId="61F7E4A1" w:rsidR="00C64A50" w:rsidRPr="001276C9" w:rsidRDefault="00724DF5" w:rsidP="00CD007B">
      <w:pPr>
        <w:pStyle w:val="BodyText"/>
      </w:pPr>
      <w:r w:rsidRPr="001276C9">
        <w:t>For a better clue to th</w:t>
      </w:r>
      <w:r w:rsidR="00105697" w:rsidRPr="001276C9">
        <w:t xml:space="preserve">e </w:t>
      </w:r>
      <w:r w:rsidR="001335DD" w:rsidRPr="001276C9">
        <w:t>characterisation</w:t>
      </w:r>
      <w:r w:rsidR="008A19C1" w:rsidRPr="001276C9">
        <w:t xml:space="preserve"> of the </w:t>
      </w:r>
      <w:r w:rsidR="00694BA8" w:rsidRPr="001276C9">
        <w:t xml:space="preserve">participating </w:t>
      </w:r>
      <w:r w:rsidR="008A19C1" w:rsidRPr="001276C9">
        <w:t>firms</w:t>
      </w:r>
      <w:r w:rsidR="00105697" w:rsidRPr="001276C9">
        <w:t xml:space="preserve">, we </w:t>
      </w:r>
      <w:r w:rsidR="009B2094" w:rsidRPr="001276C9">
        <w:t>investigate</w:t>
      </w:r>
      <w:r w:rsidR="00335408" w:rsidRPr="001276C9">
        <w:t xml:space="preserve"> the s</w:t>
      </w:r>
      <w:r w:rsidRPr="001276C9">
        <w:t xml:space="preserve">ize distribution of the </w:t>
      </w:r>
      <w:r w:rsidR="00EA6FAC" w:rsidRPr="001276C9">
        <w:t>program participants</w:t>
      </w:r>
      <w:r w:rsidR="00335408" w:rsidRPr="001276C9">
        <w:t xml:space="preserve">. </w:t>
      </w:r>
      <w:r w:rsidR="00875350" w:rsidRPr="001276C9">
        <w:t>The CA grants are offered in different years to different firms. To provide a homogeneous pi</w:t>
      </w:r>
      <w:r w:rsidR="00FF00C9" w:rsidRPr="001276C9">
        <w:t>cture of what</w:t>
      </w:r>
      <w:r w:rsidR="00875350" w:rsidRPr="001276C9">
        <w:t xml:space="preserve"> the size distribution of the CA </w:t>
      </w:r>
      <w:r w:rsidR="00337566" w:rsidRPr="001276C9">
        <w:t xml:space="preserve">participants </w:t>
      </w:r>
      <w:r w:rsidR="00875350" w:rsidRPr="001276C9">
        <w:t xml:space="preserve">looks like, we </w:t>
      </w:r>
      <w:r w:rsidR="00783448" w:rsidRPr="001276C9">
        <w:t>explore</w:t>
      </w:r>
      <w:r w:rsidR="00875350" w:rsidRPr="001276C9">
        <w:t xml:space="preserve"> a </w:t>
      </w:r>
      <w:r w:rsidR="00FF00C9" w:rsidRPr="001276C9">
        <w:t>set of descriptive statistics about</w:t>
      </w:r>
      <w:r w:rsidR="00875350" w:rsidRPr="001276C9">
        <w:t xml:space="preserve"> the employment and turnover size of the </w:t>
      </w:r>
      <w:r w:rsidR="00337566" w:rsidRPr="001276C9">
        <w:t>participants</w:t>
      </w:r>
      <w:r w:rsidR="00875350" w:rsidRPr="001276C9">
        <w:t xml:space="preserve"> one yea</w:t>
      </w:r>
      <w:r w:rsidR="00FF00C9" w:rsidRPr="001276C9">
        <w:t>r before they receive the</w:t>
      </w:r>
      <w:r w:rsidR="00FC4433" w:rsidRPr="001276C9">
        <w:t>ir first</w:t>
      </w:r>
      <w:r w:rsidR="00FF00C9" w:rsidRPr="001276C9">
        <w:t xml:space="preserve"> grant. We then follow the same statistics</w:t>
      </w:r>
      <w:r w:rsidR="00875350" w:rsidRPr="001276C9">
        <w:t xml:space="preserve"> in the year they receive the grant and one year after.</w:t>
      </w:r>
      <w:r w:rsidR="005402E4" w:rsidRPr="001276C9">
        <w:t xml:space="preserve"> </w:t>
      </w:r>
    </w:p>
    <w:p w14:paraId="112EC4C6" w14:textId="04A5DD3E" w:rsidR="00335408" w:rsidRPr="001276C9" w:rsidRDefault="005402E4" w:rsidP="00CD007B">
      <w:pPr>
        <w:pStyle w:val="BodyText"/>
      </w:pPr>
      <w:r w:rsidRPr="001276C9">
        <w:t xml:space="preserve">The statistics for </w:t>
      </w:r>
      <w:r w:rsidR="00E43580" w:rsidRPr="001276C9">
        <w:t>FTE</w:t>
      </w:r>
      <w:r w:rsidRPr="001276C9">
        <w:t xml:space="preserve"> </w:t>
      </w:r>
      <w:r w:rsidR="00337566" w:rsidRPr="001276C9">
        <w:t xml:space="preserve">are </w:t>
      </w:r>
      <w:r w:rsidRPr="001276C9">
        <w:t xml:space="preserve">listed in </w:t>
      </w:r>
      <w:r w:rsidR="00D06D88" w:rsidRPr="001276C9">
        <w:fldChar w:fldCharType="begin"/>
      </w:r>
      <w:r w:rsidR="00D06D88" w:rsidRPr="001276C9">
        <w:instrText xml:space="preserve"> REF _Ref505850328 \h </w:instrText>
      </w:r>
      <w:r w:rsidR="001276C9">
        <w:instrText xml:space="preserve"> \* MERGEFORMAT </w:instrText>
      </w:r>
      <w:r w:rsidR="00D06D88" w:rsidRPr="001276C9">
        <w:fldChar w:fldCharType="separate"/>
      </w:r>
      <w:r w:rsidR="00F47C7A" w:rsidRPr="001276C9">
        <w:t xml:space="preserve">Table </w:t>
      </w:r>
      <w:r w:rsidR="00F47C7A">
        <w:rPr>
          <w:noProof/>
        </w:rPr>
        <w:t>4</w:t>
      </w:r>
      <w:r w:rsidR="00F47C7A" w:rsidRPr="001276C9">
        <w:rPr>
          <w:noProof/>
        </w:rPr>
        <w:t>.</w:t>
      </w:r>
      <w:r w:rsidR="00F47C7A">
        <w:rPr>
          <w:noProof/>
        </w:rPr>
        <w:t>1</w:t>
      </w:r>
      <w:r w:rsidR="00D06D88" w:rsidRPr="001276C9">
        <w:fldChar w:fldCharType="end"/>
      </w:r>
      <w:r w:rsidR="00637DCD" w:rsidRPr="001276C9">
        <w:t>,</w:t>
      </w:r>
      <w:r w:rsidRPr="001276C9">
        <w:fldChar w:fldCharType="begin"/>
      </w:r>
      <w:r w:rsidRPr="001276C9">
        <w:instrText xml:space="preserve"> REF _Ref495585818 \h </w:instrText>
      </w:r>
      <w:r w:rsidR="001276C9">
        <w:instrText xml:space="preserve"> \* MERGEFORMAT </w:instrText>
      </w:r>
      <w:r w:rsidRPr="001276C9">
        <w:fldChar w:fldCharType="end"/>
      </w:r>
      <w:r w:rsidR="00F00257" w:rsidRPr="001276C9">
        <w:t xml:space="preserve"> and the statistics</w:t>
      </w:r>
      <w:r w:rsidR="00C64A50" w:rsidRPr="001276C9">
        <w:t xml:space="preserve"> for turnover </w:t>
      </w:r>
      <w:r w:rsidRPr="001276C9">
        <w:t>are listed in</w:t>
      </w:r>
      <w:r w:rsidR="00A46516" w:rsidRPr="001276C9">
        <w:t xml:space="preserve"> </w:t>
      </w:r>
      <w:r w:rsidR="00F00257" w:rsidRPr="001276C9">
        <w:t>Table 4.2</w:t>
      </w:r>
      <w:r w:rsidRPr="001276C9">
        <w:t xml:space="preserve"> </w:t>
      </w:r>
      <w:r w:rsidR="00C64A50" w:rsidRPr="001276C9">
        <w:t xml:space="preserve"> </w:t>
      </w:r>
    </w:p>
    <w:p w14:paraId="59E9B80D" w14:textId="67EB4F20" w:rsidR="009F750A" w:rsidRPr="001276C9" w:rsidRDefault="00D06D88" w:rsidP="00D06D88">
      <w:pPr>
        <w:pStyle w:val="Caption"/>
      </w:pPr>
      <w:bookmarkStart w:id="2" w:name="_Ref495585818"/>
      <w:bookmarkStart w:id="3" w:name="_Ref495588645"/>
      <w:bookmarkStart w:id="4" w:name="_Ref505850328"/>
      <w:bookmarkEnd w:id="2"/>
      <w:bookmarkEnd w:id="3"/>
      <w:r w:rsidRPr="001276C9">
        <w:lastRenderedPageBreak/>
        <w:t xml:space="preserve">Table </w:t>
      </w:r>
      <w:r w:rsidR="00403214">
        <w:rPr>
          <w:noProof/>
        </w:rPr>
        <w:fldChar w:fldCharType="begin"/>
      </w:r>
      <w:r w:rsidR="00403214">
        <w:rPr>
          <w:noProof/>
        </w:rPr>
        <w:instrText xml:space="preserve"> STYLEREF 1 \s </w:instrText>
      </w:r>
      <w:r w:rsidR="00403214">
        <w:rPr>
          <w:noProof/>
        </w:rPr>
        <w:fldChar w:fldCharType="separate"/>
      </w:r>
      <w:r w:rsidR="00F47C7A">
        <w:rPr>
          <w:noProof/>
        </w:rPr>
        <w:t>4</w:t>
      </w:r>
      <w:r w:rsidR="00403214">
        <w:rPr>
          <w:noProof/>
        </w:rPr>
        <w:fldChar w:fldCharType="end"/>
      </w:r>
      <w:r w:rsidR="00B0666A" w:rsidRPr="001276C9">
        <w:t>.</w:t>
      </w:r>
      <w:r w:rsidR="00403214">
        <w:rPr>
          <w:noProof/>
        </w:rPr>
        <w:fldChar w:fldCharType="begin"/>
      </w:r>
      <w:r w:rsidR="00403214">
        <w:rPr>
          <w:noProof/>
        </w:rPr>
        <w:instrText xml:space="preserve"> SEQ Table \* ARABIC \s 1 </w:instrText>
      </w:r>
      <w:r w:rsidR="00403214">
        <w:rPr>
          <w:noProof/>
        </w:rPr>
        <w:fldChar w:fldCharType="separate"/>
      </w:r>
      <w:r w:rsidR="00F47C7A">
        <w:rPr>
          <w:noProof/>
        </w:rPr>
        <w:t>1</w:t>
      </w:r>
      <w:r w:rsidR="00403214">
        <w:rPr>
          <w:noProof/>
        </w:rPr>
        <w:fldChar w:fldCharType="end"/>
      </w:r>
      <w:bookmarkEnd w:id="4"/>
      <w:r w:rsidR="009F750A" w:rsidRPr="001276C9">
        <w:t xml:space="preserve"> </w:t>
      </w:r>
      <w:r w:rsidR="00651AB0" w:rsidRPr="001276C9">
        <w:t>D</w:t>
      </w:r>
      <w:r w:rsidR="00643766" w:rsidRPr="001276C9">
        <w:t>istribution of FTE among the</w:t>
      </w:r>
      <w:r w:rsidR="009F750A" w:rsidRPr="001276C9">
        <w:t xml:space="preserve"> CA</w:t>
      </w:r>
      <w:r w:rsidR="00337566" w:rsidRPr="001276C9">
        <w:t xml:space="preserve"> participants</w:t>
      </w:r>
      <w:r w:rsidR="009F750A" w:rsidRPr="001276C9">
        <w:t xml:space="preserve"> before, during and after assistance.</w:t>
      </w:r>
    </w:p>
    <w:tbl>
      <w:tblPr>
        <w:tblStyle w:val="OCETable"/>
        <w:tblW w:w="4965" w:type="pct"/>
        <w:tblInd w:w="57" w:type="dxa"/>
        <w:tblLayout w:type="fixed"/>
        <w:tblLook w:val="04A0" w:firstRow="1" w:lastRow="0" w:firstColumn="1" w:lastColumn="0" w:noHBand="0" w:noVBand="1"/>
        <w:tblCaption w:val="Table 4.1"/>
        <w:tblDescription w:val="All statistics except for the 90th percentile shows that employent is below 20, that is, firms are dominantly small before, during and after th eprogram."/>
      </w:tblPr>
      <w:tblGrid>
        <w:gridCol w:w="1710"/>
        <w:gridCol w:w="1712"/>
        <w:gridCol w:w="1712"/>
        <w:gridCol w:w="1712"/>
      </w:tblGrid>
      <w:tr w:rsidR="009F750A" w:rsidRPr="001276C9" w14:paraId="47CD16DD" w14:textId="77777777" w:rsidTr="00525FF1">
        <w:trPr>
          <w:cnfStyle w:val="100000000000" w:firstRow="1" w:lastRow="0" w:firstColumn="0" w:lastColumn="0" w:oddVBand="0" w:evenVBand="0" w:oddHBand="0" w:evenHBand="0" w:firstRowFirstColumn="0" w:firstRowLastColumn="0" w:lastRowFirstColumn="0" w:lastRowLastColumn="0"/>
          <w:trHeight w:val="457"/>
          <w:tblHeader/>
        </w:trPr>
        <w:tc>
          <w:tcPr>
            <w:tcW w:w="1710" w:type="dxa"/>
          </w:tcPr>
          <w:p w14:paraId="077D4030" w14:textId="77777777" w:rsidR="009F750A" w:rsidRPr="001276C9" w:rsidRDefault="009F750A" w:rsidP="003E31B9">
            <w:pPr>
              <w:pStyle w:val="Tableheader"/>
              <w:rPr>
                <w:lang w:eastAsia="en-AU"/>
              </w:rPr>
            </w:pPr>
          </w:p>
        </w:tc>
        <w:tc>
          <w:tcPr>
            <w:tcW w:w="1712" w:type="dxa"/>
          </w:tcPr>
          <w:p w14:paraId="6B1437A5" w14:textId="77777777" w:rsidR="009F750A" w:rsidRPr="001276C9" w:rsidRDefault="009F750A" w:rsidP="008A4E23">
            <w:pPr>
              <w:pStyle w:val="Tableheader"/>
              <w:jc w:val="right"/>
              <w:rPr>
                <w:lang w:eastAsia="en-AU"/>
              </w:rPr>
            </w:pPr>
            <w:r w:rsidRPr="001276C9">
              <w:rPr>
                <w:lang w:eastAsia="en-AU"/>
              </w:rPr>
              <w:t>Before</w:t>
            </w:r>
          </w:p>
        </w:tc>
        <w:tc>
          <w:tcPr>
            <w:tcW w:w="1712" w:type="dxa"/>
          </w:tcPr>
          <w:p w14:paraId="01A7965A" w14:textId="77777777" w:rsidR="009F750A" w:rsidRPr="001276C9" w:rsidRDefault="009F750A" w:rsidP="008A4E23">
            <w:pPr>
              <w:pStyle w:val="Tableheader"/>
              <w:jc w:val="right"/>
              <w:rPr>
                <w:lang w:eastAsia="en-AU"/>
              </w:rPr>
            </w:pPr>
            <w:r w:rsidRPr="001276C9">
              <w:rPr>
                <w:lang w:eastAsia="en-AU"/>
              </w:rPr>
              <w:t>During</w:t>
            </w:r>
          </w:p>
        </w:tc>
        <w:tc>
          <w:tcPr>
            <w:tcW w:w="1712" w:type="dxa"/>
          </w:tcPr>
          <w:p w14:paraId="153FB345" w14:textId="4E4005A7" w:rsidR="009F750A" w:rsidRPr="001276C9" w:rsidRDefault="00B242FB" w:rsidP="00B242FB">
            <w:pPr>
              <w:pStyle w:val="Tableheader"/>
              <w:tabs>
                <w:tab w:val="right" w:pos="1496"/>
              </w:tabs>
              <w:jc w:val="both"/>
              <w:rPr>
                <w:lang w:eastAsia="en-AU"/>
              </w:rPr>
            </w:pPr>
            <w:r w:rsidRPr="001276C9">
              <w:rPr>
                <w:lang w:eastAsia="en-AU"/>
              </w:rPr>
              <w:tab/>
            </w:r>
            <w:r w:rsidR="009F750A" w:rsidRPr="001276C9">
              <w:rPr>
                <w:lang w:eastAsia="en-AU"/>
              </w:rPr>
              <w:t xml:space="preserve">After </w:t>
            </w:r>
          </w:p>
        </w:tc>
      </w:tr>
      <w:tr w:rsidR="003518F4" w:rsidRPr="001276C9" w14:paraId="63147BBA" w14:textId="77777777" w:rsidTr="00E41C57">
        <w:trPr>
          <w:cnfStyle w:val="000000100000" w:firstRow="0" w:lastRow="0" w:firstColumn="0" w:lastColumn="0" w:oddVBand="0" w:evenVBand="0" w:oddHBand="1" w:evenHBand="0" w:firstRowFirstColumn="0" w:firstRowLastColumn="0" w:lastRowFirstColumn="0" w:lastRowLastColumn="0"/>
          <w:trHeight w:val="336"/>
        </w:trPr>
        <w:tc>
          <w:tcPr>
            <w:tcW w:w="1710" w:type="dxa"/>
          </w:tcPr>
          <w:p w14:paraId="03BE8B7F" w14:textId="1EAAC904" w:rsidR="003518F4" w:rsidRPr="001276C9" w:rsidRDefault="003518F4" w:rsidP="003518F4">
            <w:pPr>
              <w:pStyle w:val="Tabletext"/>
              <w:rPr>
                <w:lang w:eastAsia="en-AU"/>
              </w:rPr>
            </w:pPr>
            <w:r w:rsidRPr="001276C9">
              <w:rPr>
                <w:lang w:eastAsia="en-AU"/>
              </w:rPr>
              <w:t>Mean</w:t>
            </w:r>
          </w:p>
        </w:tc>
        <w:tc>
          <w:tcPr>
            <w:tcW w:w="1712" w:type="dxa"/>
          </w:tcPr>
          <w:p w14:paraId="3FFA29FB" w14:textId="7FCFC812" w:rsidR="003518F4" w:rsidRPr="001276C9" w:rsidRDefault="00502B97" w:rsidP="00FF52B7">
            <w:pPr>
              <w:pStyle w:val="Tabletext"/>
              <w:jc w:val="right"/>
            </w:pPr>
            <w:r w:rsidRPr="001276C9">
              <w:t>694.5</w:t>
            </w:r>
          </w:p>
        </w:tc>
        <w:tc>
          <w:tcPr>
            <w:tcW w:w="1712" w:type="dxa"/>
          </w:tcPr>
          <w:p w14:paraId="7B29476A" w14:textId="0267FB30" w:rsidR="003518F4" w:rsidRPr="001276C9" w:rsidRDefault="00502B97" w:rsidP="00FF52B7">
            <w:pPr>
              <w:pStyle w:val="Tabletext"/>
              <w:jc w:val="right"/>
            </w:pPr>
            <w:r w:rsidRPr="001276C9">
              <w:t>518.1</w:t>
            </w:r>
          </w:p>
        </w:tc>
        <w:tc>
          <w:tcPr>
            <w:tcW w:w="1712" w:type="dxa"/>
          </w:tcPr>
          <w:p w14:paraId="79A5A76A" w14:textId="3CCDC9D1" w:rsidR="003518F4" w:rsidRPr="001276C9" w:rsidRDefault="00502B97" w:rsidP="00FF52B7">
            <w:pPr>
              <w:pStyle w:val="Tabletext"/>
              <w:jc w:val="right"/>
            </w:pPr>
            <w:r w:rsidRPr="001276C9">
              <w:t>495.0</w:t>
            </w:r>
          </w:p>
        </w:tc>
      </w:tr>
      <w:tr w:rsidR="00502B97" w:rsidRPr="001276C9" w14:paraId="76052BD3" w14:textId="77777777" w:rsidTr="003072A2">
        <w:trPr>
          <w:cnfStyle w:val="000000010000" w:firstRow="0" w:lastRow="0" w:firstColumn="0" w:lastColumn="0" w:oddVBand="0" w:evenVBand="0" w:oddHBand="0" w:evenHBand="1" w:firstRowFirstColumn="0" w:firstRowLastColumn="0" w:lastRowFirstColumn="0" w:lastRowLastColumn="0"/>
          <w:trHeight w:val="336"/>
        </w:trPr>
        <w:tc>
          <w:tcPr>
            <w:tcW w:w="1710" w:type="dxa"/>
          </w:tcPr>
          <w:p w14:paraId="21F2F57D" w14:textId="097AF7EE" w:rsidR="00502B97" w:rsidRPr="001276C9" w:rsidRDefault="00502B97" w:rsidP="00502B97">
            <w:pPr>
              <w:pStyle w:val="Tabletext"/>
              <w:rPr>
                <w:lang w:eastAsia="en-AU"/>
              </w:rPr>
            </w:pPr>
            <w:r w:rsidRPr="001276C9">
              <w:rPr>
                <w:lang w:eastAsia="en-AU"/>
              </w:rPr>
              <w:t>10</w:t>
            </w:r>
            <w:r w:rsidRPr="001276C9">
              <w:rPr>
                <w:vertAlign w:val="superscript"/>
                <w:lang w:eastAsia="en-AU"/>
              </w:rPr>
              <w:t>th</w:t>
            </w:r>
            <w:r w:rsidRPr="001276C9">
              <w:rPr>
                <w:lang w:eastAsia="en-AU"/>
              </w:rPr>
              <w:t xml:space="preserve"> Pctl.</w:t>
            </w:r>
          </w:p>
        </w:tc>
        <w:tc>
          <w:tcPr>
            <w:tcW w:w="1712" w:type="dxa"/>
            <w:vAlign w:val="bottom"/>
          </w:tcPr>
          <w:p w14:paraId="00C08C70" w14:textId="420BB70A" w:rsidR="00502B97" w:rsidRPr="001276C9" w:rsidRDefault="00502B97" w:rsidP="00FF52B7">
            <w:pPr>
              <w:pStyle w:val="Tabletext"/>
              <w:jc w:val="right"/>
            </w:pPr>
            <w:r w:rsidRPr="001276C9">
              <w:t>1.2</w:t>
            </w:r>
          </w:p>
        </w:tc>
        <w:tc>
          <w:tcPr>
            <w:tcW w:w="1712" w:type="dxa"/>
            <w:vAlign w:val="bottom"/>
          </w:tcPr>
          <w:p w14:paraId="75D857DC" w14:textId="12DB4100" w:rsidR="00502B97" w:rsidRPr="001276C9" w:rsidRDefault="00502B97" w:rsidP="00FF52B7">
            <w:pPr>
              <w:pStyle w:val="Tabletext"/>
              <w:jc w:val="right"/>
            </w:pPr>
            <w:r w:rsidRPr="001276C9">
              <w:t>0.9</w:t>
            </w:r>
          </w:p>
        </w:tc>
        <w:tc>
          <w:tcPr>
            <w:tcW w:w="1712" w:type="dxa"/>
            <w:vAlign w:val="bottom"/>
          </w:tcPr>
          <w:p w14:paraId="07AF9574" w14:textId="4C11D6CE" w:rsidR="00502B97" w:rsidRPr="001276C9" w:rsidRDefault="00502B97" w:rsidP="00FF52B7">
            <w:pPr>
              <w:pStyle w:val="Tabletext"/>
              <w:jc w:val="right"/>
            </w:pPr>
            <w:r w:rsidRPr="001276C9">
              <w:t>1.1</w:t>
            </w:r>
          </w:p>
        </w:tc>
      </w:tr>
      <w:tr w:rsidR="00502B97" w:rsidRPr="001276C9" w14:paraId="7EC28B27" w14:textId="77777777" w:rsidTr="003072A2">
        <w:trPr>
          <w:cnfStyle w:val="000000100000" w:firstRow="0" w:lastRow="0" w:firstColumn="0" w:lastColumn="0" w:oddVBand="0" w:evenVBand="0" w:oddHBand="1" w:evenHBand="0" w:firstRowFirstColumn="0" w:firstRowLastColumn="0" w:lastRowFirstColumn="0" w:lastRowLastColumn="0"/>
          <w:trHeight w:val="336"/>
        </w:trPr>
        <w:tc>
          <w:tcPr>
            <w:tcW w:w="1710" w:type="dxa"/>
          </w:tcPr>
          <w:p w14:paraId="3F6F2FB2" w14:textId="08D16B26" w:rsidR="00502B97" w:rsidRPr="001276C9" w:rsidRDefault="00502B97" w:rsidP="00502B97">
            <w:pPr>
              <w:pStyle w:val="Tabletext"/>
              <w:rPr>
                <w:lang w:eastAsia="en-AU"/>
              </w:rPr>
            </w:pPr>
            <w:r w:rsidRPr="001276C9">
              <w:rPr>
                <w:lang w:eastAsia="en-AU"/>
              </w:rPr>
              <w:t>25</w:t>
            </w:r>
            <w:r w:rsidRPr="001276C9">
              <w:rPr>
                <w:vertAlign w:val="superscript"/>
                <w:lang w:eastAsia="en-AU"/>
              </w:rPr>
              <w:t>th</w:t>
            </w:r>
            <w:r w:rsidRPr="001276C9">
              <w:rPr>
                <w:lang w:eastAsia="en-AU"/>
              </w:rPr>
              <w:t xml:space="preserve"> Pctl.</w:t>
            </w:r>
          </w:p>
        </w:tc>
        <w:tc>
          <w:tcPr>
            <w:tcW w:w="1712" w:type="dxa"/>
            <w:vAlign w:val="bottom"/>
          </w:tcPr>
          <w:p w14:paraId="278584D3" w14:textId="4057053A" w:rsidR="00502B97" w:rsidRPr="001276C9" w:rsidRDefault="00502B97" w:rsidP="00FF52B7">
            <w:pPr>
              <w:pStyle w:val="Tabletext"/>
              <w:jc w:val="right"/>
            </w:pPr>
            <w:r w:rsidRPr="001276C9">
              <w:t>2.2</w:t>
            </w:r>
          </w:p>
        </w:tc>
        <w:tc>
          <w:tcPr>
            <w:tcW w:w="1712" w:type="dxa"/>
            <w:vAlign w:val="bottom"/>
          </w:tcPr>
          <w:p w14:paraId="48455F3B" w14:textId="55D0FB2D" w:rsidR="00502B97" w:rsidRPr="001276C9" w:rsidRDefault="00502B97" w:rsidP="00FF52B7">
            <w:pPr>
              <w:pStyle w:val="Tabletext"/>
              <w:jc w:val="right"/>
            </w:pPr>
            <w:r w:rsidRPr="001276C9">
              <w:t>2.0</w:t>
            </w:r>
          </w:p>
        </w:tc>
        <w:tc>
          <w:tcPr>
            <w:tcW w:w="1712" w:type="dxa"/>
            <w:vAlign w:val="bottom"/>
          </w:tcPr>
          <w:p w14:paraId="28632656" w14:textId="77AAEA5D" w:rsidR="00502B97" w:rsidRPr="001276C9" w:rsidRDefault="00502B97" w:rsidP="00FF52B7">
            <w:pPr>
              <w:pStyle w:val="Tabletext"/>
              <w:jc w:val="right"/>
            </w:pPr>
            <w:r w:rsidRPr="001276C9">
              <w:t>2.2</w:t>
            </w:r>
          </w:p>
        </w:tc>
      </w:tr>
      <w:tr w:rsidR="00502B97" w:rsidRPr="001276C9" w14:paraId="3E92B6A1" w14:textId="77777777" w:rsidTr="003072A2">
        <w:trPr>
          <w:cnfStyle w:val="000000010000" w:firstRow="0" w:lastRow="0" w:firstColumn="0" w:lastColumn="0" w:oddVBand="0" w:evenVBand="0" w:oddHBand="0" w:evenHBand="1" w:firstRowFirstColumn="0" w:firstRowLastColumn="0" w:lastRowFirstColumn="0" w:lastRowLastColumn="0"/>
          <w:trHeight w:val="336"/>
        </w:trPr>
        <w:tc>
          <w:tcPr>
            <w:tcW w:w="1710" w:type="dxa"/>
          </w:tcPr>
          <w:p w14:paraId="0861562D" w14:textId="2F445AF8" w:rsidR="00502B97" w:rsidRPr="001276C9" w:rsidRDefault="00502B97" w:rsidP="00502B97">
            <w:pPr>
              <w:pStyle w:val="Tabletext"/>
              <w:rPr>
                <w:lang w:eastAsia="en-AU"/>
              </w:rPr>
            </w:pPr>
            <w:r w:rsidRPr="001276C9">
              <w:rPr>
                <w:lang w:eastAsia="en-AU"/>
              </w:rPr>
              <w:t>50</w:t>
            </w:r>
            <w:r w:rsidRPr="001276C9">
              <w:rPr>
                <w:vertAlign w:val="superscript"/>
                <w:lang w:eastAsia="en-AU"/>
              </w:rPr>
              <w:t>th</w:t>
            </w:r>
            <w:r w:rsidRPr="001276C9">
              <w:rPr>
                <w:lang w:eastAsia="en-AU"/>
              </w:rPr>
              <w:t xml:space="preserve"> Pctl.</w:t>
            </w:r>
          </w:p>
        </w:tc>
        <w:tc>
          <w:tcPr>
            <w:tcW w:w="1712" w:type="dxa"/>
            <w:vAlign w:val="bottom"/>
          </w:tcPr>
          <w:p w14:paraId="1933AB55" w14:textId="14BF5ED8" w:rsidR="00502B97" w:rsidRPr="001276C9" w:rsidRDefault="00502B97" w:rsidP="00FF52B7">
            <w:pPr>
              <w:pStyle w:val="Tabletext"/>
              <w:jc w:val="right"/>
            </w:pPr>
            <w:r w:rsidRPr="001276C9">
              <w:t>6.0</w:t>
            </w:r>
          </w:p>
        </w:tc>
        <w:tc>
          <w:tcPr>
            <w:tcW w:w="1712" w:type="dxa"/>
            <w:vAlign w:val="bottom"/>
          </w:tcPr>
          <w:p w14:paraId="6E408B15" w14:textId="5F278892" w:rsidR="00502B97" w:rsidRPr="001276C9" w:rsidRDefault="00502B97" w:rsidP="00FF52B7">
            <w:pPr>
              <w:pStyle w:val="Tabletext"/>
              <w:jc w:val="right"/>
            </w:pPr>
            <w:r w:rsidRPr="001276C9">
              <w:t>4.6</w:t>
            </w:r>
          </w:p>
        </w:tc>
        <w:tc>
          <w:tcPr>
            <w:tcW w:w="1712" w:type="dxa"/>
            <w:vAlign w:val="bottom"/>
          </w:tcPr>
          <w:p w14:paraId="3D248F1A" w14:textId="318C273F" w:rsidR="00502B97" w:rsidRPr="001276C9" w:rsidRDefault="00502B97" w:rsidP="00FF52B7">
            <w:pPr>
              <w:pStyle w:val="Tabletext"/>
              <w:jc w:val="right"/>
            </w:pPr>
            <w:r w:rsidRPr="001276C9">
              <w:t>6.2</w:t>
            </w:r>
          </w:p>
        </w:tc>
      </w:tr>
      <w:tr w:rsidR="00502B97" w:rsidRPr="001276C9" w14:paraId="23E1C72A" w14:textId="77777777" w:rsidTr="003072A2">
        <w:trPr>
          <w:cnfStyle w:val="000000100000" w:firstRow="0" w:lastRow="0" w:firstColumn="0" w:lastColumn="0" w:oddVBand="0" w:evenVBand="0" w:oddHBand="1" w:evenHBand="0" w:firstRowFirstColumn="0" w:firstRowLastColumn="0" w:lastRowFirstColumn="0" w:lastRowLastColumn="0"/>
          <w:trHeight w:val="336"/>
        </w:trPr>
        <w:tc>
          <w:tcPr>
            <w:tcW w:w="1710" w:type="dxa"/>
          </w:tcPr>
          <w:p w14:paraId="1D7524B1" w14:textId="6935348C" w:rsidR="00502B97" w:rsidRPr="001276C9" w:rsidRDefault="00502B97" w:rsidP="00502B97">
            <w:pPr>
              <w:pStyle w:val="Tabletext"/>
              <w:rPr>
                <w:lang w:eastAsia="en-AU"/>
              </w:rPr>
            </w:pPr>
            <w:r w:rsidRPr="001276C9">
              <w:rPr>
                <w:lang w:eastAsia="en-AU"/>
              </w:rPr>
              <w:t>75</w:t>
            </w:r>
            <w:r w:rsidRPr="001276C9">
              <w:rPr>
                <w:vertAlign w:val="superscript"/>
                <w:lang w:eastAsia="en-AU"/>
              </w:rPr>
              <w:t>th</w:t>
            </w:r>
            <w:r w:rsidRPr="001276C9">
              <w:rPr>
                <w:lang w:eastAsia="en-AU"/>
              </w:rPr>
              <w:t xml:space="preserve"> Pctl.</w:t>
            </w:r>
          </w:p>
        </w:tc>
        <w:tc>
          <w:tcPr>
            <w:tcW w:w="1712" w:type="dxa"/>
            <w:vAlign w:val="bottom"/>
          </w:tcPr>
          <w:p w14:paraId="320D6ADA" w14:textId="4EACFA28" w:rsidR="00502B97" w:rsidRPr="001276C9" w:rsidRDefault="00502B97" w:rsidP="00FF52B7">
            <w:pPr>
              <w:pStyle w:val="Tabletext"/>
              <w:jc w:val="right"/>
            </w:pPr>
            <w:r w:rsidRPr="001276C9">
              <w:t>17.9</w:t>
            </w:r>
          </w:p>
        </w:tc>
        <w:tc>
          <w:tcPr>
            <w:tcW w:w="1712" w:type="dxa"/>
            <w:vAlign w:val="bottom"/>
          </w:tcPr>
          <w:p w14:paraId="47C8EAC9" w14:textId="20EE44AE" w:rsidR="00502B97" w:rsidRPr="001276C9" w:rsidRDefault="00502B97" w:rsidP="00FF52B7">
            <w:pPr>
              <w:pStyle w:val="Tabletext"/>
              <w:jc w:val="right"/>
            </w:pPr>
            <w:r w:rsidRPr="001276C9">
              <w:t>13.7</w:t>
            </w:r>
          </w:p>
        </w:tc>
        <w:tc>
          <w:tcPr>
            <w:tcW w:w="1712" w:type="dxa"/>
            <w:vAlign w:val="bottom"/>
          </w:tcPr>
          <w:p w14:paraId="01E406B4" w14:textId="73B9350B" w:rsidR="00502B97" w:rsidRPr="001276C9" w:rsidRDefault="00502B97" w:rsidP="00FF52B7">
            <w:pPr>
              <w:pStyle w:val="Tabletext"/>
              <w:jc w:val="right"/>
            </w:pPr>
            <w:r w:rsidRPr="001276C9">
              <w:t>15.5</w:t>
            </w:r>
          </w:p>
        </w:tc>
      </w:tr>
      <w:tr w:rsidR="00502B97" w:rsidRPr="001276C9" w14:paraId="26880E63" w14:textId="77777777" w:rsidTr="003072A2">
        <w:trPr>
          <w:cnfStyle w:val="000000010000" w:firstRow="0" w:lastRow="0" w:firstColumn="0" w:lastColumn="0" w:oddVBand="0" w:evenVBand="0" w:oddHBand="0" w:evenHBand="1" w:firstRowFirstColumn="0" w:firstRowLastColumn="0" w:lastRowFirstColumn="0" w:lastRowLastColumn="0"/>
          <w:trHeight w:val="336"/>
        </w:trPr>
        <w:tc>
          <w:tcPr>
            <w:tcW w:w="1710" w:type="dxa"/>
          </w:tcPr>
          <w:p w14:paraId="27A24A56" w14:textId="6371DFC2" w:rsidR="00502B97" w:rsidRPr="001276C9" w:rsidRDefault="00502B97" w:rsidP="00502B97">
            <w:pPr>
              <w:pStyle w:val="Tabletext"/>
              <w:rPr>
                <w:lang w:eastAsia="en-AU"/>
              </w:rPr>
            </w:pPr>
            <w:r w:rsidRPr="001276C9">
              <w:rPr>
                <w:lang w:eastAsia="en-AU"/>
              </w:rPr>
              <w:t>90</w:t>
            </w:r>
            <w:r w:rsidRPr="001276C9">
              <w:rPr>
                <w:vertAlign w:val="superscript"/>
                <w:lang w:eastAsia="en-AU"/>
              </w:rPr>
              <w:t>th</w:t>
            </w:r>
            <w:r w:rsidRPr="001276C9">
              <w:rPr>
                <w:lang w:eastAsia="en-AU"/>
              </w:rPr>
              <w:t xml:space="preserve"> Pctl.</w:t>
            </w:r>
          </w:p>
        </w:tc>
        <w:tc>
          <w:tcPr>
            <w:tcW w:w="1712" w:type="dxa"/>
            <w:vAlign w:val="bottom"/>
          </w:tcPr>
          <w:p w14:paraId="180A98F1" w14:textId="5A893171" w:rsidR="00502B97" w:rsidRPr="001276C9" w:rsidRDefault="00502B97" w:rsidP="00FF52B7">
            <w:pPr>
              <w:pStyle w:val="Tabletext"/>
              <w:jc w:val="right"/>
            </w:pPr>
            <w:r w:rsidRPr="001276C9">
              <w:t>2845.6</w:t>
            </w:r>
          </w:p>
        </w:tc>
        <w:tc>
          <w:tcPr>
            <w:tcW w:w="1712" w:type="dxa"/>
            <w:vAlign w:val="bottom"/>
          </w:tcPr>
          <w:p w14:paraId="699A04E7" w14:textId="770BA5DA" w:rsidR="00502B97" w:rsidRPr="001276C9" w:rsidRDefault="00502B97" w:rsidP="00FF52B7">
            <w:pPr>
              <w:pStyle w:val="Tabletext"/>
              <w:jc w:val="right"/>
            </w:pPr>
            <w:r w:rsidRPr="001276C9">
              <w:t>692.7</w:t>
            </w:r>
          </w:p>
        </w:tc>
        <w:tc>
          <w:tcPr>
            <w:tcW w:w="1712" w:type="dxa"/>
            <w:vAlign w:val="bottom"/>
          </w:tcPr>
          <w:p w14:paraId="54BB0A54" w14:textId="59E87A7F" w:rsidR="00502B97" w:rsidRPr="001276C9" w:rsidRDefault="00502B97" w:rsidP="00FF52B7">
            <w:pPr>
              <w:pStyle w:val="Tabletext"/>
              <w:jc w:val="right"/>
            </w:pPr>
            <w:r w:rsidRPr="001276C9">
              <w:t>361.4</w:t>
            </w:r>
          </w:p>
        </w:tc>
      </w:tr>
      <w:tr w:rsidR="00502B97" w:rsidRPr="001276C9" w14:paraId="0E7DED36" w14:textId="77777777" w:rsidTr="003072A2">
        <w:trPr>
          <w:cnfStyle w:val="000000100000" w:firstRow="0" w:lastRow="0" w:firstColumn="0" w:lastColumn="0" w:oddVBand="0" w:evenVBand="0" w:oddHBand="1" w:evenHBand="0" w:firstRowFirstColumn="0" w:firstRowLastColumn="0" w:lastRowFirstColumn="0" w:lastRowLastColumn="0"/>
          <w:trHeight w:val="336"/>
        </w:trPr>
        <w:tc>
          <w:tcPr>
            <w:tcW w:w="1710" w:type="dxa"/>
          </w:tcPr>
          <w:p w14:paraId="4C9CA596" w14:textId="77777777" w:rsidR="00502B97" w:rsidRPr="001276C9" w:rsidRDefault="00502B97" w:rsidP="00502B97">
            <w:pPr>
              <w:pStyle w:val="Tabletext"/>
              <w:rPr>
                <w:i/>
                <w:iCs/>
                <w:lang w:eastAsia="en-AU"/>
              </w:rPr>
            </w:pPr>
            <w:r w:rsidRPr="001276C9">
              <w:rPr>
                <w:i/>
                <w:iCs/>
                <w:lang w:eastAsia="en-AU"/>
              </w:rPr>
              <w:t>N</w:t>
            </w:r>
          </w:p>
        </w:tc>
        <w:tc>
          <w:tcPr>
            <w:tcW w:w="1712" w:type="dxa"/>
          </w:tcPr>
          <w:p w14:paraId="3089391F" w14:textId="31AC4FEA" w:rsidR="00502B97" w:rsidRPr="001276C9" w:rsidRDefault="00502B97" w:rsidP="00FF52B7">
            <w:pPr>
              <w:pStyle w:val="Tabletext"/>
              <w:jc w:val="right"/>
            </w:pPr>
            <w:r w:rsidRPr="001276C9">
              <w:t>250</w:t>
            </w:r>
          </w:p>
        </w:tc>
        <w:tc>
          <w:tcPr>
            <w:tcW w:w="1712" w:type="dxa"/>
            <w:vAlign w:val="bottom"/>
          </w:tcPr>
          <w:p w14:paraId="1B6114A2" w14:textId="1945AE0D" w:rsidR="00502B97" w:rsidRPr="001276C9" w:rsidRDefault="00502B97" w:rsidP="00FF52B7">
            <w:pPr>
              <w:pStyle w:val="Tabletext"/>
              <w:jc w:val="right"/>
            </w:pPr>
            <w:r w:rsidRPr="001276C9">
              <w:t>340</w:t>
            </w:r>
          </w:p>
        </w:tc>
        <w:tc>
          <w:tcPr>
            <w:tcW w:w="1712" w:type="dxa"/>
          </w:tcPr>
          <w:p w14:paraId="7661516E" w14:textId="6A75E6D6" w:rsidR="00502B97" w:rsidRPr="001276C9" w:rsidRDefault="00502B97" w:rsidP="00FF52B7">
            <w:pPr>
              <w:pStyle w:val="Tabletext"/>
              <w:jc w:val="right"/>
            </w:pPr>
            <w:r w:rsidRPr="001276C9">
              <w:t>361</w:t>
            </w:r>
          </w:p>
        </w:tc>
      </w:tr>
    </w:tbl>
    <w:p w14:paraId="3D29B898" w14:textId="3B68AFA7" w:rsidR="009F750A" w:rsidRPr="001276C9" w:rsidRDefault="00F950A9" w:rsidP="009F750A">
      <w:pPr>
        <w:pStyle w:val="Note"/>
        <w:rPr>
          <w:lang w:eastAsia="en-AU"/>
        </w:rPr>
      </w:pPr>
      <w:r w:rsidRPr="001276C9">
        <w:rPr>
          <w:lang w:eastAsia="en-AU"/>
        </w:rPr>
        <w:t xml:space="preserve">Notes: </w:t>
      </w:r>
      <w:r w:rsidR="003811D3" w:rsidRPr="001276C9">
        <w:rPr>
          <w:lang w:eastAsia="en-AU"/>
        </w:rPr>
        <w:t>Several firms have missing employment.</w:t>
      </w:r>
    </w:p>
    <w:p w14:paraId="049B7DDB" w14:textId="6776E646" w:rsidR="009F750A" w:rsidRPr="001276C9" w:rsidRDefault="009F750A" w:rsidP="009F750A">
      <w:pPr>
        <w:pStyle w:val="Source"/>
        <w:rPr>
          <w:lang w:eastAsia="en-AU"/>
        </w:rPr>
      </w:pPr>
      <w:r w:rsidRPr="001276C9">
        <w:rPr>
          <w:lang w:eastAsia="en-AU"/>
        </w:rPr>
        <w:t xml:space="preserve">Source: </w:t>
      </w:r>
      <w:r w:rsidR="00F950A9" w:rsidRPr="001276C9">
        <w:rPr>
          <w:lang w:eastAsia="en-AU"/>
        </w:rPr>
        <w:t>Department of Industry, Innovation and Science (2018)</w:t>
      </w:r>
    </w:p>
    <w:p w14:paraId="5A3593A5" w14:textId="40F52311" w:rsidR="008B6233" w:rsidRPr="001276C9" w:rsidRDefault="008B6233" w:rsidP="008B6233">
      <w:pPr>
        <w:pStyle w:val="Caption"/>
      </w:pPr>
      <w:bookmarkStart w:id="5" w:name="_Ref495585831"/>
      <w:bookmarkStart w:id="6" w:name="_Ref495588652"/>
      <w:bookmarkStart w:id="7" w:name="_Ref505850338"/>
      <w:r w:rsidRPr="001276C9">
        <w:t xml:space="preserve">Table </w:t>
      </w:r>
      <w:r w:rsidR="00403214">
        <w:rPr>
          <w:noProof/>
        </w:rPr>
        <w:fldChar w:fldCharType="begin"/>
      </w:r>
      <w:r w:rsidR="00403214">
        <w:rPr>
          <w:noProof/>
        </w:rPr>
        <w:instrText xml:space="preserve"> STYLEREF 1 \s </w:instrText>
      </w:r>
      <w:r w:rsidR="00403214">
        <w:rPr>
          <w:noProof/>
        </w:rPr>
        <w:fldChar w:fldCharType="separate"/>
      </w:r>
      <w:r w:rsidR="00F47C7A">
        <w:rPr>
          <w:noProof/>
        </w:rPr>
        <w:t>4</w:t>
      </w:r>
      <w:r w:rsidR="00403214">
        <w:rPr>
          <w:noProof/>
        </w:rPr>
        <w:fldChar w:fldCharType="end"/>
      </w:r>
      <w:r w:rsidR="00B0666A" w:rsidRPr="001276C9">
        <w:t>.</w:t>
      </w:r>
      <w:r w:rsidR="00403214">
        <w:rPr>
          <w:noProof/>
        </w:rPr>
        <w:fldChar w:fldCharType="begin"/>
      </w:r>
      <w:r w:rsidR="00403214">
        <w:rPr>
          <w:noProof/>
        </w:rPr>
        <w:instrText xml:space="preserve"> SEQ Table \* ARABIC \s 1 </w:instrText>
      </w:r>
      <w:r w:rsidR="00403214">
        <w:rPr>
          <w:noProof/>
        </w:rPr>
        <w:fldChar w:fldCharType="separate"/>
      </w:r>
      <w:r w:rsidR="00F47C7A">
        <w:rPr>
          <w:noProof/>
        </w:rPr>
        <w:t>2</w:t>
      </w:r>
      <w:r w:rsidR="00403214">
        <w:rPr>
          <w:noProof/>
        </w:rPr>
        <w:fldChar w:fldCharType="end"/>
      </w:r>
      <w:bookmarkEnd w:id="5"/>
      <w:bookmarkEnd w:id="6"/>
      <w:bookmarkEnd w:id="7"/>
      <w:r w:rsidR="00651AB0" w:rsidRPr="001276C9">
        <w:t xml:space="preserve"> D</w:t>
      </w:r>
      <w:r w:rsidRPr="001276C9">
        <w:t xml:space="preserve">istribution of </w:t>
      </w:r>
      <w:r w:rsidR="00651AB0" w:rsidRPr="001276C9">
        <w:t xml:space="preserve">turnover among the </w:t>
      </w:r>
      <w:r w:rsidRPr="001276C9">
        <w:t xml:space="preserve">CA </w:t>
      </w:r>
      <w:r w:rsidR="00337566" w:rsidRPr="001276C9">
        <w:t xml:space="preserve">participants </w:t>
      </w:r>
      <w:r w:rsidRPr="001276C9">
        <w:t>before, during and after assistance.</w:t>
      </w:r>
    </w:p>
    <w:tbl>
      <w:tblPr>
        <w:tblStyle w:val="OCETable"/>
        <w:tblW w:w="4965" w:type="pct"/>
        <w:tblInd w:w="57" w:type="dxa"/>
        <w:tblLayout w:type="fixed"/>
        <w:tblLook w:val="04A0" w:firstRow="1" w:lastRow="0" w:firstColumn="1" w:lastColumn="0" w:noHBand="0" w:noVBand="1"/>
        <w:tblCaption w:val="Table 4.2"/>
        <w:tblDescription w:val="All statistics except for the 90th percentile show that turnover fo participants are belwo two million dollar before, during and after the program. "/>
      </w:tblPr>
      <w:tblGrid>
        <w:gridCol w:w="1712"/>
        <w:gridCol w:w="1712"/>
        <w:gridCol w:w="1711"/>
        <w:gridCol w:w="1711"/>
      </w:tblGrid>
      <w:tr w:rsidR="009F750A" w:rsidRPr="001276C9" w14:paraId="0A6962EF" w14:textId="77777777" w:rsidTr="00525FF1">
        <w:trPr>
          <w:cnfStyle w:val="100000000000" w:firstRow="1" w:lastRow="0" w:firstColumn="0" w:lastColumn="0" w:oddVBand="0" w:evenVBand="0" w:oddHBand="0" w:evenHBand="0" w:firstRowFirstColumn="0" w:firstRowLastColumn="0" w:lastRowFirstColumn="0" w:lastRowLastColumn="0"/>
          <w:trHeight w:val="457"/>
          <w:tblHeader/>
        </w:trPr>
        <w:tc>
          <w:tcPr>
            <w:tcW w:w="1712" w:type="dxa"/>
          </w:tcPr>
          <w:p w14:paraId="0053B49B" w14:textId="77777777" w:rsidR="009F750A" w:rsidRPr="001276C9" w:rsidRDefault="009F750A" w:rsidP="003E31B9">
            <w:pPr>
              <w:pStyle w:val="Tableheader"/>
              <w:rPr>
                <w:lang w:eastAsia="en-AU"/>
              </w:rPr>
            </w:pPr>
          </w:p>
        </w:tc>
        <w:tc>
          <w:tcPr>
            <w:tcW w:w="1712" w:type="dxa"/>
          </w:tcPr>
          <w:p w14:paraId="26446049" w14:textId="77777777" w:rsidR="009F750A" w:rsidRPr="001276C9" w:rsidRDefault="009F750A" w:rsidP="008A4E23">
            <w:pPr>
              <w:pStyle w:val="Tableheader"/>
              <w:jc w:val="right"/>
              <w:rPr>
                <w:lang w:eastAsia="en-AU"/>
              </w:rPr>
            </w:pPr>
            <w:r w:rsidRPr="001276C9">
              <w:rPr>
                <w:lang w:eastAsia="en-AU"/>
              </w:rPr>
              <w:t>Before</w:t>
            </w:r>
          </w:p>
        </w:tc>
        <w:tc>
          <w:tcPr>
            <w:tcW w:w="1711" w:type="dxa"/>
          </w:tcPr>
          <w:p w14:paraId="282E94AC" w14:textId="77777777" w:rsidR="009F750A" w:rsidRPr="001276C9" w:rsidRDefault="009F750A" w:rsidP="008A4E23">
            <w:pPr>
              <w:pStyle w:val="Tableheader"/>
              <w:jc w:val="right"/>
              <w:rPr>
                <w:lang w:eastAsia="en-AU"/>
              </w:rPr>
            </w:pPr>
            <w:r w:rsidRPr="001276C9">
              <w:rPr>
                <w:lang w:eastAsia="en-AU"/>
              </w:rPr>
              <w:t>During</w:t>
            </w:r>
          </w:p>
        </w:tc>
        <w:tc>
          <w:tcPr>
            <w:tcW w:w="1711" w:type="dxa"/>
          </w:tcPr>
          <w:p w14:paraId="1E0A40EC" w14:textId="77777777" w:rsidR="009F750A" w:rsidRPr="001276C9" w:rsidRDefault="009F750A" w:rsidP="008A4E23">
            <w:pPr>
              <w:pStyle w:val="Tableheader"/>
              <w:jc w:val="right"/>
              <w:rPr>
                <w:lang w:eastAsia="en-AU"/>
              </w:rPr>
            </w:pPr>
            <w:r w:rsidRPr="001276C9">
              <w:rPr>
                <w:lang w:eastAsia="en-AU"/>
              </w:rPr>
              <w:t xml:space="preserve">After </w:t>
            </w:r>
          </w:p>
        </w:tc>
      </w:tr>
      <w:tr w:rsidR="003518F4" w:rsidRPr="001276C9" w14:paraId="29BC1819" w14:textId="77777777" w:rsidTr="00901AE4">
        <w:trPr>
          <w:cnfStyle w:val="000000100000" w:firstRow="0" w:lastRow="0" w:firstColumn="0" w:lastColumn="0" w:oddVBand="0" w:evenVBand="0" w:oddHBand="1" w:evenHBand="0" w:firstRowFirstColumn="0" w:firstRowLastColumn="0" w:lastRowFirstColumn="0" w:lastRowLastColumn="0"/>
          <w:trHeight w:val="313"/>
        </w:trPr>
        <w:tc>
          <w:tcPr>
            <w:tcW w:w="1712" w:type="dxa"/>
          </w:tcPr>
          <w:p w14:paraId="31F5647B" w14:textId="78824E24" w:rsidR="003518F4" w:rsidRPr="001276C9" w:rsidRDefault="003518F4" w:rsidP="00FF52B7">
            <w:pPr>
              <w:pStyle w:val="Tabletext"/>
              <w:rPr>
                <w:lang w:eastAsia="en-AU"/>
              </w:rPr>
            </w:pPr>
            <w:r w:rsidRPr="001276C9">
              <w:rPr>
                <w:lang w:eastAsia="en-AU"/>
              </w:rPr>
              <w:t>Mean</w:t>
            </w:r>
          </w:p>
        </w:tc>
        <w:tc>
          <w:tcPr>
            <w:tcW w:w="1712" w:type="dxa"/>
          </w:tcPr>
          <w:p w14:paraId="2E1C7E2E" w14:textId="02869A06" w:rsidR="003518F4" w:rsidRPr="001276C9" w:rsidRDefault="003676B3" w:rsidP="00FF52B7">
            <w:pPr>
              <w:pStyle w:val="Tabletext"/>
              <w:jc w:val="right"/>
            </w:pPr>
            <w:r w:rsidRPr="001276C9">
              <w:t>29</w:t>
            </w:r>
            <w:r w:rsidR="001C1BA9" w:rsidRPr="001276C9">
              <w:t>,</w:t>
            </w:r>
            <w:r w:rsidRPr="001276C9">
              <w:t>793.8</w:t>
            </w:r>
          </w:p>
        </w:tc>
        <w:tc>
          <w:tcPr>
            <w:tcW w:w="1711" w:type="dxa"/>
          </w:tcPr>
          <w:p w14:paraId="162166BB" w14:textId="232D9FF7" w:rsidR="003518F4" w:rsidRPr="001276C9" w:rsidRDefault="00DA1203" w:rsidP="00FF52B7">
            <w:pPr>
              <w:pStyle w:val="Tabletext"/>
              <w:jc w:val="right"/>
            </w:pPr>
            <w:r w:rsidRPr="001276C9">
              <w:t>23,177.4</w:t>
            </w:r>
          </w:p>
        </w:tc>
        <w:tc>
          <w:tcPr>
            <w:tcW w:w="1711" w:type="dxa"/>
          </w:tcPr>
          <w:p w14:paraId="1A6EDA5E" w14:textId="2C94573B" w:rsidR="003518F4" w:rsidRPr="001276C9" w:rsidRDefault="00B40841" w:rsidP="00FF52B7">
            <w:pPr>
              <w:pStyle w:val="Tabletext"/>
              <w:jc w:val="right"/>
            </w:pPr>
            <w:r w:rsidRPr="001276C9">
              <w:t>21</w:t>
            </w:r>
            <w:r w:rsidR="005E4338" w:rsidRPr="001276C9">
              <w:t>,</w:t>
            </w:r>
            <w:r w:rsidRPr="001276C9">
              <w:t>866.2</w:t>
            </w:r>
          </w:p>
        </w:tc>
      </w:tr>
      <w:tr w:rsidR="00B40841" w:rsidRPr="001276C9" w14:paraId="23AE0B4F" w14:textId="77777777" w:rsidTr="003072A2">
        <w:trPr>
          <w:cnfStyle w:val="000000010000" w:firstRow="0" w:lastRow="0" w:firstColumn="0" w:lastColumn="0" w:oddVBand="0" w:evenVBand="0" w:oddHBand="0" w:evenHBand="1" w:firstRowFirstColumn="0" w:firstRowLastColumn="0" w:lastRowFirstColumn="0" w:lastRowLastColumn="0"/>
          <w:trHeight w:val="336"/>
        </w:trPr>
        <w:tc>
          <w:tcPr>
            <w:tcW w:w="1712" w:type="dxa"/>
          </w:tcPr>
          <w:p w14:paraId="080527B5" w14:textId="30B7E560" w:rsidR="00B40841" w:rsidRPr="001276C9" w:rsidRDefault="00B40841" w:rsidP="00FF52B7">
            <w:pPr>
              <w:pStyle w:val="Tabletext"/>
              <w:rPr>
                <w:lang w:eastAsia="en-AU"/>
              </w:rPr>
            </w:pPr>
            <w:r w:rsidRPr="001276C9">
              <w:rPr>
                <w:lang w:eastAsia="en-AU"/>
              </w:rPr>
              <w:t>10</w:t>
            </w:r>
            <w:r w:rsidRPr="001276C9">
              <w:rPr>
                <w:vertAlign w:val="superscript"/>
                <w:lang w:eastAsia="en-AU"/>
              </w:rPr>
              <w:t>th</w:t>
            </w:r>
            <w:r w:rsidRPr="001276C9">
              <w:rPr>
                <w:lang w:eastAsia="en-AU"/>
              </w:rPr>
              <w:t xml:space="preserve"> Pctl.</w:t>
            </w:r>
          </w:p>
        </w:tc>
        <w:tc>
          <w:tcPr>
            <w:tcW w:w="1712" w:type="dxa"/>
            <w:vAlign w:val="bottom"/>
          </w:tcPr>
          <w:p w14:paraId="48D1016A" w14:textId="2D6A8191" w:rsidR="00B40841" w:rsidRPr="001276C9" w:rsidRDefault="00B40841" w:rsidP="00FF52B7">
            <w:pPr>
              <w:pStyle w:val="Tabletext"/>
              <w:jc w:val="right"/>
            </w:pPr>
            <w:r w:rsidRPr="001276C9">
              <w:t>0.0</w:t>
            </w:r>
          </w:p>
        </w:tc>
        <w:tc>
          <w:tcPr>
            <w:tcW w:w="1711" w:type="dxa"/>
            <w:vAlign w:val="bottom"/>
          </w:tcPr>
          <w:p w14:paraId="1530199D" w14:textId="72CB4C37" w:rsidR="00B40841" w:rsidRPr="001276C9" w:rsidRDefault="00B40841" w:rsidP="00FF52B7">
            <w:pPr>
              <w:pStyle w:val="Tabletext"/>
              <w:jc w:val="right"/>
            </w:pPr>
            <w:r w:rsidRPr="001276C9">
              <w:t>11.4</w:t>
            </w:r>
          </w:p>
        </w:tc>
        <w:tc>
          <w:tcPr>
            <w:tcW w:w="1711" w:type="dxa"/>
            <w:vAlign w:val="bottom"/>
          </w:tcPr>
          <w:p w14:paraId="71534C96" w14:textId="13535787" w:rsidR="00B40841" w:rsidRPr="001276C9" w:rsidRDefault="00B40841" w:rsidP="00FF52B7">
            <w:pPr>
              <w:pStyle w:val="Tabletext"/>
              <w:jc w:val="right"/>
            </w:pPr>
            <w:r w:rsidRPr="001276C9">
              <w:t>8.6</w:t>
            </w:r>
          </w:p>
        </w:tc>
      </w:tr>
      <w:tr w:rsidR="00B40841" w:rsidRPr="001276C9" w14:paraId="6716CD62" w14:textId="77777777" w:rsidTr="003072A2">
        <w:trPr>
          <w:cnfStyle w:val="000000100000" w:firstRow="0" w:lastRow="0" w:firstColumn="0" w:lastColumn="0" w:oddVBand="0" w:evenVBand="0" w:oddHBand="1" w:evenHBand="0" w:firstRowFirstColumn="0" w:firstRowLastColumn="0" w:lastRowFirstColumn="0" w:lastRowLastColumn="0"/>
          <w:trHeight w:val="336"/>
        </w:trPr>
        <w:tc>
          <w:tcPr>
            <w:tcW w:w="1712" w:type="dxa"/>
          </w:tcPr>
          <w:p w14:paraId="66F49011" w14:textId="545340C7" w:rsidR="00B40841" w:rsidRPr="001276C9" w:rsidRDefault="00B40841" w:rsidP="00FF52B7">
            <w:pPr>
              <w:pStyle w:val="Tabletext"/>
              <w:rPr>
                <w:lang w:eastAsia="en-AU"/>
              </w:rPr>
            </w:pPr>
            <w:r w:rsidRPr="001276C9">
              <w:rPr>
                <w:lang w:eastAsia="en-AU"/>
              </w:rPr>
              <w:t>25</w:t>
            </w:r>
            <w:r w:rsidRPr="001276C9">
              <w:rPr>
                <w:vertAlign w:val="superscript"/>
                <w:lang w:eastAsia="en-AU"/>
              </w:rPr>
              <w:t>th</w:t>
            </w:r>
            <w:r w:rsidRPr="001276C9">
              <w:rPr>
                <w:lang w:eastAsia="en-AU"/>
              </w:rPr>
              <w:t xml:space="preserve"> Pctl.</w:t>
            </w:r>
          </w:p>
        </w:tc>
        <w:tc>
          <w:tcPr>
            <w:tcW w:w="1712" w:type="dxa"/>
            <w:vAlign w:val="bottom"/>
          </w:tcPr>
          <w:p w14:paraId="4F47C91F" w14:textId="51C6AE74" w:rsidR="00B40841" w:rsidRPr="001276C9" w:rsidRDefault="00B40841" w:rsidP="00FF52B7">
            <w:pPr>
              <w:pStyle w:val="Tabletext"/>
              <w:jc w:val="right"/>
            </w:pPr>
            <w:r w:rsidRPr="001276C9">
              <w:t>4.9</w:t>
            </w:r>
          </w:p>
        </w:tc>
        <w:tc>
          <w:tcPr>
            <w:tcW w:w="1711" w:type="dxa"/>
            <w:vAlign w:val="bottom"/>
          </w:tcPr>
          <w:p w14:paraId="0FFB8826" w14:textId="530975E2" w:rsidR="00B40841" w:rsidRPr="001276C9" w:rsidRDefault="00B40841" w:rsidP="00FF52B7">
            <w:pPr>
              <w:pStyle w:val="Tabletext"/>
              <w:jc w:val="right"/>
            </w:pPr>
            <w:r w:rsidRPr="001276C9">
              <w:t>59.6</w:t>
            </w:r>
          </w:p>
        </w:tc>
        <w:tc>
          <w:tcPr>
            <w:tcW w:w="1711" w:type="dxa"/>
            <w:vAlign w:val="bottom"/>
          </w:tcPr>
          <w:p w14:paraId="3FA2E422" w14:textId="4D6565BE" w:rsidR="00B40841" w:rsidRPr="001276C9" w:rsidRDefault="00B40841" w:rsidP="00FF52B7">
            <w:pPr>
              <w:pStyle w:val="Tabletext"/>
              <w:jc w:val="right"/>
            </w:pPr>
            <w:r w:rsidRPr="001276C9">
              <w:t>80.0</w:t>
            </w:r>
          </w:p>
        </w:tc>
      </w:tr>
      <w:tr w:rsidR="00B40841" w:rsidRPr="001276C9" w14:paraId="41EAED47" w14:textId="77777777" w:rsidTr="003072A2">
        <w:trPr>
          <w:cnfStyle w:val="000000010000" w:firstRow="0" w:lastRow="0" w:firstColumn="0" w:lastColumn="0" w:oddVBand="0" w:evenVBand="0" w:oddHBand="0" w:evenHBand="1" w:firstRowFirstColumn="0" w:firstRowLastColumn="0" w:lastRowFirstColumn="0" w:lastRowLastColumn="0"/>
          <w:trHeight w:val="336"/>
        </w:trPr>
        <w:tc>
          <w:tcPr>
            <w:tcW w:w="1712" w:type="dxa"/>
          </w:tcPr>
          <w:p w14:paraId="70D20B0E" w14:textId="327C0242" w:rsidR="00B40841" w:rsidRPr="001276C9" w:rsidRDefault="00B40841" w:rsidP="00FF52B7">
            <w:pPr>
              <w:pStyle w:val="Tabletext"/>
              <w:rPr>
                <w:lang w:eastAsia="en-AU"/>
              </w:rPr>
            </w:pPr>
            <w:r w:rsidRPr="001276C9">
              <w:rPr>
                <w:lang w:eastAsia="en-AU"/>
              </w:rPr>
              <w:t>50</w:t>
            </w:r>
            <w:r w:rsidRPr="001276C9">
              <w:rPr>
                <w:vertAlign w:val="superscript"/>
                <w:lang w:eastAsia="en-AU"/>
              </w:rPr>
              <w:t>th</w:t>
            </w:r>
            <w:r w:rsidRPr="001276C9">
              <w:rPr>
                <w:lang w:eastAsia="en-AU"/>
              </w:rPr>
              <w:t xml:space="preserve"> Pctl.</w:t>
            </w:r>
          </w:p>
        </w:tc>
        <w:tc>
          <w:tcPr>
            <w:tcW w:w="1712" w:type="dxa"/>
            <w:vAlign w:val="bottom"/>
          </w:tcPr>
          <w:p w14:paraId="44FF0BDA" w14:textId="302FEA8F" w:rsidR="00B40841" w:rsidRPr="001276C9" w:rsidRDefault="00B40841" w:rsidP="00FF52B7">
            <w:pPr>
              <w:pStyle w:val="Tabletext"/>
              <w:jc w:val="right"/>
            </w:pPr>
            <w:r w:rsidRPr="001276C9">
              <w:t>174.3</w:t>
            </w:r>
          </w:p>
        </w:tc>
        <w:tc>
          <w:tcPr>
            <w:tcW w:w="1711" w:type="dxa"/>
            <w:vAlign w:val="bottom"/>
          </w:tcPr>
          <w:p w14:paraId="0776761A" w14:textId="5BB9CE34" w:rsidR="00B40841" w:rsidRPr="001276C9" w:rsidRDefault="00B40841" w:rsidP="00FF52B7">
            <w:pPr>
              <w:pStyle w:val="Tabletext"/>
              <w:jc w:val="right"/>
            </w:pPr>
            <w:r w:rsidRPr="001276C9">
              <w:t>249.8</w:t>
            </w:r>
          </w:p>
        </w:tc>
        <w:tc>
          <w:tcPr>
            <w:tcW w:w="1711" w:type="dxa"/>
            <w:vAlign w:val="bottom"/>
          </w:tcPr>
          <w:p w14:paraId="669D76FE" w14:textId="475D5A57" w:rsidR="00B40841" w:rsidRPr="001276C9" w:rsidRDefault="00B40841" w:rsidP="00FF52B7">
            <w:pPr>
              <w:pStyle w:val="Tabletext"/>
              <w:jc w:val="right"/>
            </w:pPr>
            <w:r w:rsidRPr="001276C9">
              <w:t>355.1</w:t>
            </w:r>
          </w:p>
        </w:tc>
      </w:tr>
      <w:tr w:rsidR="00B40841" w:rsidRPr="001276C9" w14:paraId="63CD6F35" w14:textId="77777777" w:rsidTr="003072A2">
        <w:trPr>
          <w:cnfStyle w:val="000000100000" w:firstRow="0" w:lastRow="0" w:firstColumn="0" w:lastColumn="0" w:oddVBand="0" w:evenVBand="0" w:oddHBand="1" w:evenHBand="0" w:firstRowFirstColumn="0" w:firstRowLastColumn="0" w:lastRowFirstColumn="0" w:lastRowLastColumn="0"/>
          <w:trHeight w:val="336"/>
        </w:trPr>
        <w:tc>
          <w:tcPr>
            <w:tcW w:w="1712" w:type="dxa"/>
          </w:tcPr>
          <w:p w14:paraId="6C9D920F" w14:textId="7D2A2ABD" w:rsidR="00B40841" w:rsidRPr="001276C9" w:rsidRDefault="00B40841" w:rsidP="00FF52B7">
            <w:pPr>
              <w:pStyle w:val="Tabletext"/>
              <w:rPr>
                <w:lang w:eastAsia="en-AU"/>
              </w:rPr>
            </w:pPr>
            <w:r w:rsidRPr="001276C9">
              <w:rPr>
                <w:lang w:eastAsia="en-AU"/>
              </w:rPr>
              <w:t>75</w:t>
            </w:r>
            <w:r w:rsidRPr="001276C9">
              <w:rPr>
                <w:vertAlign w:val="superscript"/>
                <w:lang w:eastAsia="en-AU"/>
              </w:rPr>
              <w:t>th</w:t>
            </w:r>
            <w:r w:rsidRPr="001276C9">
              <w:rPr>
                <w:lang w:eastAsia="en-AU"/>
              </w:rPr>
              <w:t xml:space="preserve"> Pctl.</w:t>
            </w:r>
          </w:p>
        </w:tc>
        <w:tc>
          <w:tcPr>
            <w:tcW w:w="1712" w:type="dxa"/>
            <w:vAlign w:val="bottom"/>
          </w:tcPr>
          <w:p w14:paraId="73F93E69" w14:textId="1A7AA16D" w:rsidR="00B40841" w:rsidRPr="001276C9" w:rsidRDefault="00B40841" w:rsidP="00FF52B7">
            <w:pPr>
              <w:pStyle w:val="Tabletext"/>
              <w:jc w:val="right"/>
            </w:pPr>
            <w:r w:rsidRPr="001276C9">
              <w:t>1,155.6</w:t>
            </w:r>
          </w:p>
        </w:tc>
        <w:tc>
          <w:tcPr>
            <w:tcW w:w="1711" w:type="dxa"/>
            <w:vAlign w:val="bottom"/>
          </w:tcPr>
          <w:p w14:paraId="3BDC30D0" w14:textId="289CEC9C" w:rsidR="00B40841" w:rsidRPr="001276C9" w:rsidRDefault="00B40841" w:rsidP="00FF52B7">
            <w:pPr>
              <w:pStyle w:val="Tabletext"/>
              <w:jc w:val="right"/>
            </w:pPr>
            <w:r w:rsidRPr="001276C9">
              <w:t>995.7</w:t>
            </w:r>
          </w:p>
        </w:tc>
        <w:tc>
          <w:tcPr>
            <w:tcW w:w="1711" w:type="dxa"/>
            <w:vAlign w:val="bottom"/>
          </w:tcPr>
          <w:p w14:paraId="09498058" w14:textId="75361B07" w:rsidR="00B40841" w:rsidRPr="001276C9" w:rsidRDefault="00B40841" w:rsidP="00FF52B7">
            <w:pPr>
              <w:pStyle w:val="Tabletext"/>
              <w:jc w:val="right"/>
            </w:pPr>
            <w:r w:rsidRPr="001276C9">
              <w:t>1,277.8</w:t>
            </w:r>
          </w:p>
        </w:tc>
      </w:tr>
      <w:tr w:rsidR="00B40841" w:rsidRPr="001276C9" w14:paraId="07BBC5DC" w14:textId="77777777" w:rsidTr="003072A2">
        <w:trPr>
          <w:cnfStyle w:val="000000010000" w:firstRow="0" w:lastRow="0" w:firstColumn="0" w:lastColumn="0" w:oddVBand="0" w:evenVBand="0" w:oddHBand="0" w:evenHBand="1" w:firstRowFirstColumn="0" w:firstRowLastColumn="0" w:lastRowFirstColumn="0" w:lastRowLastColumn="0"/>
          <w:trHeight w:val="336"/>
        </w:trPr>
        <w:tc>
          <w:tcPr>
            <w:tcW w:w="1712" w:type="dxa"/>
          </w:tcPr>
          <w:p w14:paraId="5B3029C8" w14:textId="51311B53" w:rsidR="00B40841" w:rsidRPr="001276C9" w:rsidRDefault="00B40841" w:rsidP="00FF52B7">
            <w:pPr>
              <w:pStyle w:val="Tabletext"/>
              <w:rPr>
                <w:lang w:eastAsia="en-AU"/>
              </w:rPr>
            </w:pPr>
            <w:r w:rsidRPr="001276C9">
              <w:rPr>
                <w:lang w:eastAsia="en-AU"/>
              </w:rPr>
              <w:t>90</w:t>
            </w:r>
            <w:r w:rsidRPr="001276C9">
              <w:rPr>
                <w:vertAlign w:val="superscript"/>
                <w:lang w:eastAsia="en-AU"/>
              </w:rPr>
              <w:t>th</w:t>
            </w:r>
            <w:r w:rsidRPr="001276C9">
              <w:rPr>
                <w:lang w:eastAsia="en-AU"/>
              </w:rPr>
              <w:t xml:space="preserve"> Pctl.</w:t>
            </w:r>
          </w:p>
        </w:tc>
        <w:tc>
          <w:tcPr>
            <w:tcW w:w="1712" w:type="dxa"/>
            <w:vAlign w:val="bottom"/>
          </w:tcPr>
          <w:p w14:paraId="61BFBC37" w14:textId="19994F85" w:rsidR="00B40841" w:rsidRPr="001276C9" w:rsidRDefault="00B40841" w:rsidP="00FF52B7">
            <w:pPr>
              <w:pStyle w:val="Tabletext"/>
              <w:jc w:val="right"/>
            </w:pPr>
            <w:r w:rsidRPr="001276C9">
              <w:t>8,287.3</w:t>
            </w:r>
          </w:p>
        </w:tc>
        <w:tc>
          <w:tcPr>
            <w:tcW w:w="1711" w:type="dxa"/>
            <w:vAlign w:val="bottom"/>
          </w:tcPr>
          <w:p w14:paraId="13A46CAA" w14:textId="34C8499F" w:rsidR="00B40841" w:rsidRPr="001276C9" w:rsidRDefault="00B40841" w:rsidP="00FF52B7">
            <w:pPr>
              <w:pStyle w:val="Tabletext"/>
              <w:jc w:val="right"/>
            </w:pPr>
            <w:r w:rsidRPr="001276C9">
              <w:t>6,086.9</w:t>
            </w:r>
          </w:p>
        </w:tc>
        <w:tc>
          <w:tcPr>
            <w:tcW w:w="1711" w:type="dxa"/>
            <w:vAlign w:val="bottom"/>
          </w:tcPr>
          <w:p w14:paraId="25E971B4" w14:textId="380EE46A" w:rsidR="00B40841" w:rsidRPr="001276C9" w:rsidRDefault="00B40841" w:rsidP="00FF52B7">
            <w:pPr>
              <w:pStyle w:val="Tabletext"/>
              <w:jc w:val="right"/>
            </w:pPr>
            <w:r w:rsidRPr="001276C9">
              <w:t>7,958.9</w:t>
            </w:r>
          </w:p>
        </w:tc>
      </w:tr>
      <w:tr w:rsidR="003518F4" w:rsidRPr="001276C9" w14:paraId="5573E08F" w14:textId="77777777" w:rsidTr="00E41C57">
        <w:trPr>
          <w:cnfStyle w:val="000000100000" w:firstRow="0" w:lastRow="0" w:firstColumn="0" w:lastColumn="0" w:oddVBand="0" w:evenVBand="0" w:oddHBand="1" w:evenHBand="0" w:firstRowFirstColumn="0" w:firstRowLastColumn="0" w:lastRowFirstColumn="0" w:lastRowLastColumn="0"/>
          <w:trHeight w:val="336"/>
        </w:trPr>
        <w:tc>
          <w:tcPr>
            <w:tcW w:w="1712" w:type="dxa"/>
          </w:tcPr>
          <w:p w14:paraId="49A236A1" w14:textId="77777777" w:rsidR="003518F4" w:rsidRPr="001276C9" w:rsidRDefault="003518F4" w:rsidP="00FF52B7">
            <w:pPr>
              <w:pStyle w:val="Tabletext"/>
              <w:rPr>
                <w:i/>
                <w:iCs/>
                <w:lang w:eastAsia="en-AU"/>
              </w:rPr>
            </w:pPr>
            <w:r w:rsidRPr="001276C9">
              <w:rPr>
                <w:i/>
                <w:iCs/>
                <w:lang w:eastAsia="en-AU"/>
              </w:rPr>
              <w:t>N</w:t>
            </w:r>
          </w:p>
        </w:tc>
        <w:tc>
          <w:tcPr>
            <w:tcW w:w="1712" w:type="dxa"/>
          </w:tcPr>
          <w:p w14:paraId="6F1690AF" w14:textId="1573157F" w:rsidR="003518F4" w:rsidRPr="001276C9" w:rsidRDefault="003676B3" w:rsidP="00FF52B7">
            <w:pPr>
              <w:pStyle w:val="Tabletext"/>
              <w:jc w:val="right"/>
            </w:pPr>
            <w:r w:rsidRPr="001276C9">
              <w:t>453</w:t>
            </w:r>
          </w:p>
        </w:tc>
        <w:tc>
          <w:tcPr>
            <w:tcW w:w="1711" w:type="dxa"/>
          </w:tcPr>
          <w:p w14:paraId="4FB96D61" w14:textId="48D2DCEC" w:rsidR="003518F4" w:rsidRPr="001276C9" w:rsidRDefault="009C58A4" w:rsidP="00FF52B7">
            <w:pPr>
              <w:pStyle w:val="Tabletext"/>
              <w:jc w:val="right"/>
            </w:pPr>
            <w:r w:rsidRPr="001276C9">
              <w:t>551</w:t>
            </w:r>
          </w:p>
        </w:tc>
        <w:tc>
          <w:tcPr>
            <w:tcW w:w="1711" w:type="dxa"/>
          </w:tcPr>
          <w:p w14:paraId="17A5F9FB" w14:textId="1F36CB98" w:rsidR="003518F4" w:rsidRPr="001276C9" w:rsidRDefault="00B40841" w:rsidP="00FF52B7">
            <w:pPr>
              <w:pStyle w:val="Tabletext"/>
              <w:jc w:val="right"/>
            </w:pPr>
            <w:r w:rsidRPr="001276C9">
              <w:t>552</w:t>
            </w:r>
          </w:p>
        </w:tc>
      </w:tr>
    </w:tbl>
    <w:p w14:paraId="0BA11D34" w14:textId="7A64B292" w:rsidR="009F750A" w:rsidRPr="001276C9" w:rsidRDefault="008B6233" w:rsidP="009F750A">
      <w:pPr>
        <w:pStyle w:val="Note"/>
        <w:rPr>
          <w:lang w:eastAsia="en-AU"/>
        </w:rPr>
      </w:pPr>
      <w:r w:rsidRPr="001276C9">
        <w:rPr>
          <w:lang w:eastAsia="en-AU"/>
        </w:rPr>
        <w:t>Notes: Turnover is in thousands of current dollars</w:t>
      </w:r>
      <w:r w:rsidR="002266DC" w:rsidRPr="001276C9">
        <w:rPr>
          <w:lang w:eastAsia="en-AU"/>
        </w:rPr>
        <w:t xml:space="preserve">. </w:t>
      </w:r>
    </w:p>
    <w:p w14:paraId="3EEA0AAA" w14:textId="3D19D8CF" w:rsidR="009F750A" w:rsidRPr="001276C9" w:rsidRDefault="009F750A" w:rsidP="009F750A">
      <w:pPr>
        <w:pStyle w:val="Source"/>
        <w:rPr>
          <w:lang w:eastAsia="en-AU"/>
        </w:rPr>
      </w:pPr>
      <w:r w:rsidRPr="001276C9">
        <w:rPr>
          <w:lang w:eastAsia="en-AU"/>
        </w:rPr>
        <w:t xml:space="preserve">Source: </w:t>
      </w:r>
      <w:r w:rsidR="00501ADA" w:rsidRPr="001276C9">
        <w:rPr>
          <w:lang w:eastAsia="en-AU"/>
        </w:rPr>
        <w:t>Department of Industry, Innovation and Science (2018)</w:t>
      </w:r>
    </w:p>
    <w:p w14:paraId="0A0A4076" w14:textId="6A254516" w:rsidR="009F750A" w:rsidRPr="001276C9" w:rsidRDefault="00952649" w:rsidP="00CD007B">
      <w:pPr>
        <w:pStyle w:val="BodyText"/>
      </w:pPr>
      <w:r w:rsidRPr="001276C9">
        <w:t>The statistics for both e</w:t>
      </w:r>
      <w:r w:rsidR="0055207D" w:rsidRPr="001276C9">
        <w:t>mployment and turnover corroborate</w:t>
      </w:r>
      <w:r w:rsidRPr="001276C9">
        <w:t xml:space="preserve"> that most of the </w:t>
      </w:r>
      <w:r w:rsidR="008C3D52" w:rsidRPr="001276C9">
        <w:t>participant firms</w:t>
      </w:r>
      <w:r w:rsidRPr="001276C9">
        <w:t xml:space="preserve"> are small. The ABS </w:t>
      </w:r>
      <w:r w:rsidR="00C06D83" w:rsidRPr="001276C9">
        <w:t>considers</w:t>
      </w:r>
      <w:r w:rsidRPr="001276C9">
        <w:t xml:space="preserve"> firms with fewer than 20 employees as small, and </w:t>
      </w:r>
      <w:r w:rsidR="00D06D88" w:rsidRPr="001276C9">
        <w:fldChar w:fldCharType="begin"/>
      </w:r>
      <w:r w:rsidR="00D06D88" w:rsidRPr="001276C9">
        <w:instrText xml:space="preserve"> REF _Ref505850328 \h </w:instrText>
      </w:r>
      <w:r w:rsidR="001276C9">
        <w:instrText xml:space="preserve"> \* MERGEFORMAT </w:instrText>
      </w:r>
      <w:r w:rsidR="00D06D88" w:rsidRPr="001276C9">
        <w:fldChar w:fldCharType="separate"/>
      </w:r>
      <w:r w:rsidR="00F47C7A" w:rsidRPr="001276C9">
        <w:t xml:space="preserve">Table </w:t>
      </w:r>
      <w:r w:rsidR="00F47C7A">
        <w:rPr>
          <w:noProof/>
        </w:rPr>
        <w:t>4</w:t>
      </w:r>
      <w:r w:rsidR="00F47C7A" w:rsidRPr="001276C9">
        <w:rPr>
          <w:noProof/>
        </w:rPr>
        <w:t>.</w:t>
      </w:r>
      <w:r w:rsidR="00F47C7A">
        <w:rPr>
          <w:noProof/>
        </w:rPr>
        <w:t>1</w:t>
      </w:r>
      <w:r w:rsidR="00D06D88" w:rsidRPr="001276C9">
        <w:fldChar w:fldCharType="end"/>
      </w:r>
      <w:r w:rsidR="00D06D88" w:rsidRPr="001276C9">
        <w:t xml:space="preserve"> </w:t>
      </w:r>
      <w:r w:rsidRPr="001276C9">
        <w:t xml:space="preserve">shows that </w:t>
      </w:r>
      <w:r w:rsidR="008C3D52" w:rsidRPr="001276C9">
        <w:t xml:space="preserve">under this definition </w:t>
      </w:r>
      <w:r w:rsidRPr="001276C9">
        <w:t xml:space="preserve">more than three quarters of </w:t>
      </w:r>
      <w:r w:rsidR="008C3D52" w:rsidRPr="001276C9">
        <w:t>participa</w:t>
      </w:r>
      <w:r w:rsidR="00640E91" w:rsidRPr="001276C9">
        <w:t>ting</w:t>
      </w:r>
      <w:r w:rsidR="008C3D52" w:rsidRPr="001276C9">
        <w:t xml:space="preserve"> firms</w:t>
      </w:r>
      <w:r w:rsidRPr="001276C9">
        <w:t xml:space="preserve"> qualify as a small firm the year before and </w:t>
      </w:r>
      <w:r w:rsidR="00D06D88" w:rsidRPr="001276C9">
        <w:t xml:space="preserve">also </w:t>
      </w:r>
      <w:r w:rsidRPr="001276C9">
        <w:t xml:space="preserve">during </w:t>
      </w:r>
      <w:r w:rsidR="00D06D88" w:rsidRPr="001276C9">
        <w:t xml:space="preserve">and after </w:t>
      </w:r>
      <w:r w:rsidRPr="001276C9">
        <w:t xml:space="preserve">the first year of the grant. </w:t>
      </w:r>
    </w:p>
    <w:p w14:paraId="3986E7FC" w14:textId="32D84FF9" w:rsidR="00952649" w:rsidRPr="001276C9" w:rsidRDefault="00952649" w:rsidP="00CD007B">
      <w:pPr>
        <w:pStyle w:val="BodyText"/>
      </w:pPr>
      <w:r w:rsidRPr="001276C9">
        <w:t>The Australian Taxation Office defines firms with less than $10 mi</w:t>
      </w:r>
      <w:r w:rsidR="0011171A" w:rsidRPr="001276C9">
        <w:t xml:space="preserve">llion in turnover as small. </w:t>
      </w:r>
      <w:r w:rsidR="0011171A" w:rsidRPr="001276C9">
        <w:fldChar w:fldCharType="begin"/>
      </w:r>
      <w:r w:rsidR="0011171A" w:rsidRPr="001276C9">
        <w:instrText xml:space="preserve"> REF _Ref495585831 \h </w:instrText>
      </w:r>
      <w:r w:rsidR="001276C9">
        <w:instrText xml:space="preserve"> \* MERGEFORMAT </w:instrText>
      </w:r>
      <w:r w:rsidR="0011171A" w:rsidRPr="001276C9">
        <w:fldChar w:fldCharType="separate"/>
      </w:r>
      <w:r w:rsidR="00F47C7A" w:rsidRPr="001276C9">
        <w:t xml:space="preserve">Table </w:t>
      </w:r>
      <w:r w:rsidR="00F47C7A">
        <w:rPr>
          <w:noProof/>
        </w:rPr>
        <w:t>4</w:t>
      </w:r>
      <w:r w:rsidR="00F47C7A" w:rsidRPr="001276C9">
        <w:rPr>
          <w:noProof/>
        </w:rPr>
        <w:t>.</w:t>
      </w:r>
      <w:r w:rsidR="00F47C7A">
        <w:rPr>
          <w:noProof/>
        </w:rPr>
        <w:t>2</w:t>
      </w:r>
      <w:r w:rsidR="0011171A" w:rsidRPr="001276C9">
        <w:fldChar w:fldCharType="end"/>
      </w:r>
      <w:r w:rsidRPr="001276C9">
        <w:t xml:space="preserve"> </w:t>
      </w:r>
      <w:r w:rsidR="0011171A" w:rsidRPr="001276C9">
        <w:t xml:space="preserve">again points out that more than 90 percent of </w:t>
      </w:r>
      <w:r w:rsidR="008C3D52" w:rsidRPr="001276C9">
        <w:t>participa</w:t>
      </w:r>
      <w:r w:rsidR="00D34F5C" w:rsidRPr="001276C9">
        <w:t>ting</w:t>
      </w:r>
      <w:r w:rsidR="008C3D52" w:rsidRPr="001276C9">
        <w:t xml:space="preserve"> firms</w:t>
      </w:r>
      <w:r w:rsidRPr="001276C9">
        <w:t xml:space="preserve"> are small</w:t>
      </w:r>
      <w:r w:rsidR="0011171A" w:rsidRPr="001276C9">
        <w:t xml:space="preserve"> the year before and also</w:t>
      </w:r>
      <w:r w:rsidRPr="001276C9">
        <w:t xml:space="preserve"> during </w:t>
      </w:r>
      <w:r w:rsidR="0011171A" w:rsidRPr="001276C9">
        <w:t xml:space="preserve">and after </w:t>
      </w:r>
      <w:r w:rsidRPr="001276C9">
        <w:t>the grant.</w:t>
      </w:r>
    </w:p>
    <w:p w14:paraId="7E6EF272" w14:textId="7947115D" w:rsidR="00DD6DB2" w:rsidRPr="001276C9" w:rsidRDefault="001A425B" w:rsidP="00CD007B">
      <w:pPr>
        <w:pStyle w:val="BodyText"/>
      </w:pPr>
      <w:r w:rsidRPr="001276C9">
        <w:t xml:space="preserve">Despite </w:t>
      </w:r>
      <w:r w:rsidR="004E1D68" w:rsidRPr="001276C9">
        <w:t xml:space="preserve">most </w:t>
      </w:r>
      <w:r w:rsidR="008C3D52" w:rsidRPr="001276C9">
        <w:t>CA participants</w:t>
      </w:r>
      <w:r w:rsidR="004E1D68" w:rsidRPr="001276C9">
        <w:t xml:space="preserve"> being small, the mean values in</w:t>
      </w:r>
      <w:r w:rsidR="00A46516" w:rsidRPr="001276C9">
        <w:t xml:space="preserve"> </w:t>
      </w:r>
      <w:r w:rsidR="004D5BFE" w:rsidRPr="001276C9">
        <w:fldChar w:fldCharType="begin"/>
      </w:r>
      <w:r w:rsidR="004D5BFE" w:rsidRPr="001276C9">
        <w:instrText xml:space="preserve"> REF _Ref505850328 \h </w:instrText>
      </w:r>
      <w:r w:rsidR="001276C9">
        <w:instrText xml:space="preserve"> \* MERGEFORMAT </w:instrText>
      </w:r>
      <w:r w:rsidR="004D5BFE" w:rsidRPr="001276C9">
        <w:fldChar w:fldCharType="separate"/>
      </w:r>
      <w:r w:rsidR="00F47C7A" w:rsidRPr="001276C9">
        <w:t xml:space="preserve">Table </w:t>
      </w:r>
      <w:r w:rsidR="00F47C7A">
        <w:rPr>
          <w:noProof/>
        </w:rPr>
        <w:t>4</w:t>
      </w:r>
      <w:r w:rsidR="00F47C7A" w:rsidRPr="001276C9">
        <w:rPr>
          <w:noProof/>
        </w:rPr>
        <w:t>.</w:t>
      </w:r>
      <w:r w:rsidR="00F47C7A">
        <w:rPr>
          <w:noProof/>
        </w:rPr>
        <w:t>1</w:t>
      </w:r>
      <w:r w:rsidR="004D5BFE" w:rsidRPr="001276C9">
        <w:fldChar w:fldCharType="end"/>
      </w:r>
      <w:r w:rsidR="004D5BFE" w:rsidRPr="001276C9">
        <w:t xml:space="preserve"> </w:t>
      </w:r>
      <w:r w:rsidRPr="001276C9">
        <w:t xml:space="preserve">and </w:t>
      </w:r>
      <w:r w:rsidR="004D5BFE" w:rsidRPr="001276C9">
        <w:fldChar w:fldCharType="begin"/>
      </w:r>
      <w:r w:rsidR="004D5BFE" w:rsidRPr="001276C9">
        <w:instrText xml:space="preserve"> REF _Ref495585831 \h </w:instrText>
      </w:r>
      <w:r w:rsidR="001276C9">
        <w:instrText xml:space="preserve"> \* MERGEFORMAT </w:instrText>
      </w:r>
      <w:r w:rsidR="004D5BFE" w:rsidRPr="001276C9">
        <w:fldChar w:fldCharType="separate"/>
      </w:r>
      <w:r w:rsidR="00F47C7A" w:rsidRPr="001276C9">
        <w:t xml:space="preserve">Table </w:t>
      </w:r>
      <w:r w:rsidR="00F47C7A">
        <w:rPr>
          <w:noProof/>
        </w:rPr>
        <w:t>4</w:t>
      </w:r>
      <w:r w:rsidR="00F47C7A" w:rsidRPr="001276C9">
        <w:rPr>
          <w:noProof/>
        </w:rPr>
        <w:t>.</w:t>
      </w:r>
      <w:r w:rsidR="00F47C7A">
        <w:rPr>
          <w:noProof/>
        </w:rPr>
        <w:t>2</w:t>
      </w:r>
      <w:r w:rsidR="004D5BFE" w:rsidRPr="001276C9">
        <w:fldChar w:fldCharType="end"/>
      </w:r>
      <w:r w:rsidR="004D5BFE" w:rsidRPr="001276C9">
        <w:t xml:space="preserve"> </w:t>
      </w:r>
      <w:r w:rsidR="004E1D68" w:rsidRPr="001276C9">
        <w:t xml:space="preserve">hint </w:t>
      </w:r>
      <w:r w:rsidRPr="001276C9">
        <w:t xml:space="preserve">that a few large firms also benefited from the CA </w:t>
      </w:r>
      <w:r w:rsidR="00D34F5C" w:rsidRPr="001276C9">
        <w:t>program</w:t>
      </w:r>
      <w:r w:rsidRPr="001276C9">
        <w:t xml:space="preserve">. These firms have more than </w:t>
      </w:r>
      <w:r w:rsidR="00DC2AD9" w:rsidRPr="001276C9">
        <w:t>500 employees and in excess of $2</w:t>
      </w:r>
      <w:r w:rsidR="002718DA" w:rsidRPr="001276C9">
        <w:t>3</w:t>
      </w:r>
      <w:r w:rsidRPr="001276C9">
        <w:t xml:space="preserve"> million in turnover.</w:t>
      </w:r>
      <w:r w:rsidR="005E5407" w:rsidRPr="001276C9">
        <w:t xml:space="preserve"> </w:t>
      </w:r>
    </w:p>
    <w:p w14:paraId="66903D38" w14:textId="0BBB83A6" w:rsidR="00523E97" w:rsidRPr="001276C9" w:rsidRDefault="008A2BF8" w:rsidP="00CD007B">
      <w:pPr>
        <w:pStyle w:val="BodyText"/>
      </w:pPr>
      <w:r w:rsidRPr="001276C9">
        <w:t xml:space="preserve">We </w:t>
      </w:r>
      <w:r w:rsidR="008A19C1" w:rsidRPr="001276C9">
        <w:t xml:space="preserve">also </w:t>
      </w:r>
      <w:r w:rsidRPr="001276C9">
        <w:t>suspect that the larger</w:t>
      </w:r>
      <w:r w:rsidR="00E0295F" w:rsidRPr="001276C9">
        <w:t xml:space="preserve"> </w:t>
      </w:r>
      <w:r w:rsidRPr="001276C9">
        <w:t>CA</w:t>
      </w:r>
      <w:r w:rsidR="00056956" w:rsidRPr="001276C9">
        <w:t xml:space="preserve"> participants</w:t>
      </w:r>
      <w:r w:rsidRPr="001276C9">
        <w:t xml:space="preserve"> are </w:t>
      </w:r>
      <w:r w:rsidR="008A19C1" w:rsidRPr="001276C9">
        <w:t xml:space="preserve">the </w:t>
      </w:r>
      <w:r w:rsidRPr="001276C9">
        <w:t>old</w:t>
      </w:r>
      <w:r w:rsidR="008A19C1" w:rsidRPr="001276C9">
        <w:t>er ones</w:t>
      </w:r>
      <w:r w:rsidRPr="001276C9">
        <w:t>. For this reason, we do a comparative analysis by dividing</w:t>
      </w:r>
      <w:r w:rsidR="009E33B1" w:rsidRPr="001276C9">
        <w:t xml:space="preserve"> the sample of CA </w:t>
      </w:r>
      <w:r w:rsidR="00056956" w:rsidRPr="001276C9">
        <w:t xml:space="preserve">participants </w:t>
      </w:r>
      <w:r w:rsidR="009E33B1" w:rsidRPr="001276C9">
        <w:t xml:space="preserve">into young and old. </w:t>
      </w:r>
      <w:r w:rsidR="0070073C" w:rsidRPr="001276C9">
        <w:t>In view of Figure 4.3</w:t>
      </w:r>
      <w:r w:rsidR="009E33B1" w:rsidRPr="001276C9">
        <w:t xml:space="preserve">, we assign firms that are eight years </w:t>
      </w:r>
      <w:r w:rsidR="009E33B1" w:rsidRPr="001276C9">
        <w:lastRenderedPageBreak/>
        <w:t xml:space="preserve">old or younger as </w:t>
      </w:r>
      <w:r w:rsidR="009E33B1" w:rsidRPr="001276C9">
        <w:rPr>
          <w:i/>
          <w:iCs/>
        </w:rPr>
        <w:t>young</w:t>
      </w:r>
      <w:r w:rsidR="009E33B1" w:rsidRPr="001276C9">
        <w:t xml:space="preserve"> and firms that are 10 years or older as </w:t>
      </w:r>
      <w:r w:rsidR="009E33B1" w:rsidRPr="001276C9">
        <w:rPr>
          <w:i/>
          <w:iCs/>
        </w:rPr>
        <w:t>old</w:t>
      </w:r>
      <w:r w:rsidR="009E33B1" w:rsidRPr="001276C9">
        <w:t xml:space="preserve">. We leave a small </w:t>
      </w:r>
      <w:r w:rsidR="0057530F" w:rsidRPr="001276C9">
        <w:t xml:space="preserve">age </w:t>
      </w:r>
      <w:r w:rsidR="009E33B1" w:rsidRPr="001276C9">
        <w:t xml:space="preserve">gap in between </w:t>
      </w:r>
      <w:r w:rsidR="0057530F" w:rsidRPr="001276C9">
        <w:t xml:space="preserve">the two groups </w:t>
      </w:r>
      <w:r w:rsidR="009E33B1" w:rsidRPr="001276C9">
        <w:t>to strengthen the distinction.</w:t>
      </w:r>
    </w:p>
    <w:p w14:paraId="063AB760" w14:textId="05CC5378" w:rsidR="00894D49" w:rsidRPr="001276C9" w:rsidRDefault="007710E1" w:rsidP="00CD007B">
      <w:pPr>
        <w:pStyle w:val="BodyText"/>
      </w:pPr>
      <w:r w:rsidRPr="001276C9">
        <w:t>We compare the relative size of the two groups using the Cumulative Distribution Function (CDF) of FTE and turnover</w:t>
      </w:r>
      <w:r w:rsidR="00D54621" w:rsidRPr="001276C9">
        <w:t xml:space="preserve"> of firm</w:t>
      </w:r>
      <w:r w:rsidR="0042731F" w:rsidRPr="001276C9">
        <w:t>s</w:t>
      </w:r>
      <w:r w:rsidR="00D54621" w:rsidRPr="001276C9">
        <w:t xml:space="preserve"> in the year before they receive the CA</w:t>
      </w:r>
      <w:r w:rsidR="00573E79" w:rsidRPr="001276C9">
        <w:t xml:space="preserve"> grants</w:t>
      </w:r>
      <w:r w:rsidRPr="001276C9">
        <w:t>. An order of stochastic dominance between the two CDFs indicates that firms in one group are more likely to be larger than the firms in the other group</w:t>
      </w:r>
      <w:r w:rsidR="00E94BE2" w:rsidRPr="001276C9">
        <w:t xml:space="preserve">. </w:t>
      </w:r>
    </w:p>
    <w:p w14:paraId="6C231D06" w14:textId="367206BC" w:rsidR="009E33B1" w:rsidRPr="001276C9" w:rsidRDefault="00E94BE2" w:rsidP="00CD007B">
      <w:pPr>
        <w:pStyle w:val="BodyText"/>
      </w:pPr>
      <w:r w:rsidRPr="001276C9">
        <w:t>The distribution of on</w:t>
      </w:r>
      <w:r w:rsidR="009328AF" w:rsidRPr="001276C9">
        <w:t>e</w:t>
      </w:r>
      <w:r w:rsidRPr="001276C9">
        <w:t xml:space="preserve"> group stochastically dominates the other group if its CDF lies under</w:t>
      </w:r>
      <w:r w:rsidR="009328AF" w:rsidRPr="001276C9">
        <w:t>neath</w:t>
      </w:r>
      <w:r w:rsidR="004F2FB6" w:rsidRPr="001276C9">
        <w:t xml:space="preserve"> (or to the right</w:t>
      </w:r>
      <w:r w:rsidR="005D3ECB" w:rsidRPr="001276C9">
        <w:t xml:space="preserve"> of</w:t>
      </w:r>
      <w:r w:rsidR="004F2FB6" w:rsidRPr="001276C9">
        <w:t>)</w:t>
      </w:r>
      <w:r w:rsidRPr="001276C9">
        <w:t xml:space="preserve"> the other one. In this case, the distribution of the former group is mostly to the right of the latter one</w:t>
      </w:r>
      <w:r w:rsidR="00E45CFD" w:rsidRPr="001276C9">
        <w:t xml:space="preserve"> (skewed towards larger values)</w:t>
      </w:r>
      <w:r w:rsidR="007710E1" w:rsidRPr="001276C9">
        <w:t xml:space="preserve">. The CDFs for FTE are shown in </w:t>
      </w:r>
      <w:r w:rsidR="007710E1" w:rsidRPr="001276C9">
        <w:fldChar w:fldCharType="begin"/>
      </w:r>
      <w:r w:rsidR="007710E1" w:rsidRPr="001276C9">
        <w:instrText xml:space="preserve"> REF _Ref497137790 \h </w:instrText>
      </w:r>
      <w:r w:rsidR="001276C9">
        <w:instrText xml:space="preserve"> \* MERGEFORMAT </w:instrText>
      </w:r>
      <w:r w:rsidR="007710E1" w:rsidRPr="001276C9">
        <w:fldChar w:fldCharType="separate"/>
      </w:r>
      <w:r w:rsidR="00F47C7A" w:rsidRPr="001276C9">
        <w:t xml:space="preserve">Figure </w:t>
      </w:r>
      <w:r w:rsidR="00F47C7A">
        <w:rPr>
          <w:noProof/>
        </w:rPr>
        <w:t>4</w:t>
      </w:r>
      <w:r w:rsidR="00F47C7A" w:rsidRPr="001276C9">
        <w:rPr>
          <w:noProof/>
        </w:rPr>
        <w:t>.</w:t>
      </w:r>
      <w:r w:rsidR="00F47C7A">
        <w:rPr>
          <w:noProof/>
        </w:rPr>
        <w:t>2</w:t>
      </w:r>
      <w:r w:rsidR="007710E1" w:rsidRPr="001276C9">
        <w:fldChar w:fldCharType="end"/>
      </w:r>
      <w:r w:rsidR="007710E1" w:rsidRPr="001276C9">
        <w:t>.</w:t>
      </w:r>
    </w:p>
    <w:p w14:paraId="1A9750D6" w14:textId="70E7B533" w:rsidR="009E33B1" w:rsidRPr="001276C9" w:rsidRDefault="009E33B1" w:rsidP="009E33B1">
      <w:pPr>
        <w:pStyle w:val="Caption"/>
      </w:pPr>
      <w:bookmarkStart w:id="8" w:name="_Ref497137790"/>
      <w:r w:rsidRPr="001276C9">
        <w:t xml:space="preserve">Figure </w:t>
      </w:r>
      <w:r w:rsidR="00403214">
        <w:rPr>
          <w:noProof/>
        </w:rPr>
        <w:fldChar w:fldCharType="begin"/>
      </w:r>
      <w:r w:rsidR="00403214">
        <w:rPr>
          <w:noProof/>
        </w:rPr>
        <w:instrText xml:space="preserve"> STYLEREF 1 \s </w:instrText>
      </w:r>
      <w:r w:rsidR="00403214">
        <w:rPr>
          <w:noProof/>
        </w:rPr>
        <w:fldChar w:fldCharType="separate"/>
      </w:r>
      <w:r w:rsidR="00F47C7A">
        <w:rPr>
          <w:noProof/>
        </w:rPr>
        <w:t>4</w:t>
      </w:r>
      <w:r w:rsidR="00403214">
        <w:rPr>
          <w:noProof/>
        </w:rPr>
        <w:fldChar w:fldCharType="end"/>
      </w:r>
      <w:r w:rsidR="0058050B" w:rsidRPr="001276C9">
        <w:t>.</w:t>
      </w:r>
      <w:r w:rsidR="00403214">
        <w:rPr>
          <w:noProof/>
        </w:rPr>
        <w:fldChar w:fldCharType="begin"/>
      </w:r>
      <w:r w:rsidR="00403214">
        <w:rPr>
          <w:noProof/>
        </w:rPr>
        <w:instrText xml:space="preserve"> SEQ Figure \* ARABIC \s 1 </w:instrText>
      </w:r>
      <w:r w:rsidR="00403214">
        <w:rPr>
          <w:noProof/>
        </w:rPr>
        <w:fldChar w:fldCharType="separate"/>
      </w:r>
      <w:r w:rsidR="00F47C7A">
        <w:rPr>
          <w:noProof/>
        </w:rPr>
        <w:t>2</w:t>
      </w:r>
      <w:r w:rsidR="00403214">
        <w:rPr>
          <w:noProof/>
        </w:rPr>
        <w:fldChar w:fldCharType="end"/>
      </w:r>
      <w:bookmarkEnd w:id="8"/>
      <w:r w:rsidRPr="001276C9">
        <w:t xml:space="preserve"> </w:t>
      </w:r>
      <w:r w:rsidR="002A4D0A" w:rsidRPr="001276C9">
        <w:t>The CDF</w:t>
      </w:r>
      <w:r w:rsidRPr="001276C9">
        <w:t xml:space="preserve"> of FTE for young and old </w:t>
      </w:r>
      <w:r w:rsidR="00AF07A1" w:rsidRPr="001276C9">
        <w:t>participants</w:t>
      </w:r>
      <w:r w:rsidRPr="001276C9">
        <w:t>.</w:t>
      </w:r>
    </w:p>
    <w:p w14:paraId="504B8CD1" w14:textId="3FC08EBB" w:rsidR="005E4338" w:rsidRPr="001276C9" w:rsidRDefault="00C711C6" w:rsidP="003072A2">
      <w:pPr>
        <w:pStyle w:val="Placeholder"/>
      </w:pPr>
      <w:r w:rsidRPr="001276C9">
        <w:rPr>
          <w:noProof/>
          <w:lang w:eastAsia="en-AU"/>
        </w:rPr>
        <w:drawing>
          <wp:inline distT="0" distB="0" distL="0" distR="0" wp14:anchorId="59307F5D" wp14:editId="728ACAC7">
            <wp:extent cx="4377690" cy="3260090"/>
            <wp:effectExtent l="0" t="0" r="3810" b="0"/>
            <wp:docPr id="5" name="Picture 5" descr="The cumulative distribution function for firms at least ten years old is fully below that of firms younger than eight years." title="Fig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3 The CDF of FTE for young and old participants-0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77690" cy="3260090"/>
                    </a:xfrm>
                    <a:prstGeom prst="rect">
                      <a:avLst/>
                    </a:prstGeom>
                  </pic:spPr>
                </pic:pic>
              </a:graphicData>
            </a:graphic>
          </wp:inline>
        </w:drawing>
      </w:r>
    </w:p>
    <w:p w14:paraId="5AE96FF3" w14:textId="0EDBAEAC" w:rsidR="009E33B1" w:rsidRPr="001276C9" w:rsidRDefault="009E33B1" w:rsidP="00167CAB">
      <w:pPr>
        <w:pStyle w:val="Source"/>
      </w:pPr>
      <w:r w:rsidRPr="001276C9">
        <w:t>Source: Department of Industry, Innovation and Science</w:t>
      </w:r>
      <w:r w:rsidR="00BB72B7" w:rsidRPr="001276C9">
        <w:t xml:space="preserve"> (2018)</w:t>
      </w:r>
    </w:p>
    <w:p w14:paraId="277E9B63" w14:textId="3F46C0C6" w:rsidR="00497880" w:rsidRPr="001276C9" w:rsidRDefault="00497880" w:rsidP="00CD007B">
      <w:pPr>
        <w:pStyle w:val="BodyText"/>
      </w:pPr>
      <w:r w:rsidRPr="001276C9">
        <w:t>One observes that i</w:t>
      </w:r>
      <w:r w:rsidR="005C34EC" w:rsidRPr="001276C9">
        <w:t>n this figure, the CDF for old</w:t>
      </w:r>
      <w:r w:rsidRPr="001276C9">
        <w:t xml:space="preserve"> </w:t>
      </w:r>
      <w:r w:rsidR="00AF07A1" w:rsidRPr="001276C9">
        <w:t>participants</w:t>
      </w:r>
      <w:r w:rsidRPr="001276C9">
        <w:t xml:space="preserve"> </w:t>
      </w:r>
      <w:r w:rsidR="005C34EC" w:rsidRPr="001276C9">
        <w:t>stochastically dominates that of the young</w:t>
      </w:r>
      <w:r w:rsidRPr="001276C9">
        <w:t xml:space="preserve"> </w:t>
      </w:r>
      <w:r w:rsidR="00AF07A1" w:rsidRPr="001276C9">
        <w:t>participants</w:t>
      </w:r>
      <w:r w:rsidR="001563AA" w:rsidRPr="001276C9">
        <w:t xml:space="preserve"> (lies </w:t>
      </w:r>
      <w:r w:rsidR="005C34EC" w:rsidRPr="001276C9">
        <w:t>below</w:t>
      </w:r>
      <w:r w:rsidR="00894D49" w:rsidRPr="001276C9">
        <w:t xml:space="preserve"> it)</w:t>
      </w:r>
      <w:r w:rsidRPr="001276C9">
        <w:t>. The gap b</w:t>
      </w:r>
      <w:r w:rsidR="00AC4372" w:rsidRPr="001276C9">
        <w:t>etween the two CDFs is quite</w:t>
      </w:r>
      <w:r w:rsidRPr="001276C9">
        <w:t xml:space="preserve"> wide. In other words, old</w:t>
      </w:r>
      <w:r w:rsidR="008C07C5" w:rsidRPr="001276C9">
        <w:t>er participants</w:t>
      </w:r>
      <w:r w:rsidRPr="001276C9">
        <w:t xml:space="preserve"> are much larger than young </w:t>
      </w:r>
      <w:r w:rsidR="008C07C5" w:rsidRPr="001276C9">
        <w:t>participants</w:t>
      </w:r>
      <w:r w:rsidRPr="001276C9">
        <w:t>.</w:t>
      </w:r>
    </w:p>
    <w:p w14:paraId="4E4334BD" w14:textId="599AE622" w:rsidR="00497880" w:rsidRPr="001276C9" w:rsidRDefault="00497880" w:rsidP="00CD007B">
      <w:pPr>
        <w:pStyle w:val="BodyText"/>
      </w:pPr>
      <w:r w:rsidRPr="001276C9">
        <w:t xml:space="preserve">Besides, there are old firms with sizes in excess of 100 or even 1000 employees in the CA </w:t>
      </w:r>
      <w:r w:rsidR="008D2D4B" w:rsidRPr="001276C9">
        <w:t>program</w:t>
      </w:r>
      <w:r w:rsidRPr="001276C9">
        <w:t xml:space="preserve">. </w:t>
      </w:r>
      <w:r w:rsidR="009C4A1B" w:rsidRPr="001276C9">
        <w:t xml:space="preserve">In fact, </w:t>
      </w:r>
      <w:r w:rsidR="00777CD1" w:rsidRPr="001276C9">
        <w:t xml:space="preserve">many </w:t>
      </w:r>
      <w:r w:rsidR="00096F0A" w:rsidRPr="001276C9">
        <w:t>of the old firms in this picture are in excess of a thousand employees</w:t>
      </w:r>
      <w:r w:rsidR="005C07E7" w:rsidRPr="001276C9">
        <w:t xml:space="preserve"> (that corresponds to the steep part </w:t>
      </w:r>
      <w:r w:rsidR="00777CD1" w:rsidRPr="001276C9">
        <w:t xml:space="preserve">at the end </w:t>
      </w:r>
      <w:r w:rsidR="005C07E7" w:rsidRPr="001276C9">
        <w:t>of the CDF)</w:t>
      </w:r>
      <w:r w:rsidR="00096F0A" w:rsidRPr="001276C9">
        <w:t xml:space="preserve">. </w:t>
      </w:r>
      <w:r w:rsidR="00E23181" w:rsidRPr="001276C9">
        <w:t>On the other hand, y</w:t>
      </w:r>
      <w:r w:rsidRPr="001276C9">
        <w:t xml:space="preserve">oung firms in the </w:t>
      </w:r>
      <w:r w:rsidR="008D2D4B" w:rsidRPr="001276C9">
        <w:t>program</w:t>
      </w:r>
      <w:r w:rsidR="005518F3" w:rsidRPr="001276C9">
        <w:t xml:space="preserve"> </w:t>
      </w:r>
      <w:r w:rsidR="008C07C5" w:rsidRPr="001276C9">
        <w:t xml:space="preserve">have fewer </w:t>
      </w:r>
      <w:r w:rsidR="005518F3" w:rsidRPr="001276C9">
        <w:t>than 30 employees</w:t>
      </w:r>
      <w:r w:rsidR="00A97978" w:rsidRPr="001276C9">
        <w:t xml:space="preserve"> and </w:t>
      </w:r>
      <w:r w:rsidR="008C07C5" w:rsidRPr="001276C9">
        <w:t xml:space="preserve">are </w:t>
      </w:r>
      <w:r w:rsidR="00A97978" w:rsidRPr="001276C9">
        <w:t xml:space="preserve">far smaller than the old firms in the </w:t>
      </w:r>
      <w:r w:rsidR="008D2D4B" w:rsidRPr="001276C9">
        <w:t>program</w:t>
      </w:r>
      <w:r w:rsidRPr="001276C9">
        <w:t>.</w:t>
      </w:r>
    </w:p>
    <w:p w14:paraId="4A370FA6" w14:textId="4F792E24" w:rsidR="002A4D0A" w:rsidRPr="001276C9" w:rsidRDefault="002A4D0A" w:rsidP="00CD007B">
      <w:pPr>
        <w:pStyle w:val="BodyText"/>
      </w:pPr>
      <w:r w:rsidRPr="001276C9">
        <w:t xml:space="preserve">We also compare the turnover size of young and old </w:t>
      </w:r>
      <w:r w:rsidR="00E2409B" w:rsidRPr="001276C9">
        <w:t>participants</w:t>
      </w:r>
      <w:r w:rsidRPr="001276C9">
        <w:t xml:space="preserve"> in </w:t>
      </w:r>
      <w:r w:rsidR="00366824" w:rsidRPr="001276C9">
        <w:fldChar w:fldCharType="begin"/>
      </w:r>
      <w:r w:rsidR="00366824" w:rsidRPr="001276C9">
        <w:instrText xml:space="preserve"> REF _Ref497138180 \h </w:instrText>
      </w:r>
      <w:r w:rsidR="001276C9">
        <w:instrText xml:space="preserve"> \* MERGEFORMAT </w:instrText>
      </w:r>
      <w:r w:rsidR="00366824" w:rsidRPr="001276C9">
        <w:fldChar w:fldCharType="separate"/>
      </w:r>
      <w:r w:rsidR="00F47C7A" w:rsidRPr="001276C9">
        <w:t xml:space="preserve">Figure </w:t>
      </w:r>
      <w:r w:rsidR="00F47C7A">
        <w:rPr>
          <w:noProof/>
        </w:rPr>
        <w:t>4</w:t>
      </w:r>
      <w:r w:rsidR="00F47C7A" w:rsidRPr="001276C9">
        <w:rPr>
          <w:noProof/>
        </w:rPr>
        <w:t>.</w:t>
      </w:r>
      <w:r w:rsidR="00F47C7A">
        <w:rPr>
          <w:noProof/>
        </w:rPr>
        <w:t>3</w:t>
      </w:r>
      <w:r w:rsidR="00366824" w:rsidRPr="001276C9">
        <w:fldChar w:fldCharType="end"/>
      </w:r>
      <w:r w:rsidR="00366824" w:rsidRPr="001276C9">
        <w:t>.</w:t>
      </w:r>
      <w:r w:rsidR="005B3694" w:rsidRPr="001276C9">
        <w:t xml:space="preserve"> These turnovers, again, belong to the year before the first grant</w:t>
      </w:r>
      <w:r w:rsidR="004A19B6" w:rsidRPr="001276C9">
        <w:t xml:space="preserve"> i</w:t>
      </w:r>
      <w:r w:rsidR="00E2409B" w:rsidRPr="001276C9">
        <w:t>s received</w:t>
      </w:r>
      <w:r w:rsidR="005B3694" w:rsidRPr="001276C9">
        <w:t>.</w:t>
      </w:r>
      <w:r w:rsidR="00366824" w:rsidRPr="001276C9">
        <w:t xml:space="preserve"> The same picture emerges, where the CDF of turnover for old </w:t>
      </w:r>
      <w:r w:rsidR="0048212E" w:rsidRPr="001276C9">
        <w:t xml:space="preserve">participants </w:t>
      </w:r>
      <w:r w:rsidR="00366824" w:rsidRPr="001276C9">
        <w:t xml:space="preserve">stochastically dominates that of the young </w:t>
      </w:r>
      <w:r w:rsidR="00E31395" w:rsidRPr="001276C9">
        <w:t>participants</w:t>
      </w:r>
      <w:r w:rsidR="00366824" w:rsidRPr="001276C9">
        <w:t xml:space="preserve">. The annual turnover of </w:t>
      </w:r>
      <w:r w:rsidR="00366824" w:rsidRPr="001276C9">
        <w:lastRenderedPageBreak/>
        <w:t xml:space="preserve">young </w:t>
      </w:r>
      <w:r w:rsidR="00C3151B" w:rsidRPr="001276C9">
        <w:t>participants</w:t>
      </w:r>
      <w:r w:rsidR="00A450C0" w:rsidRPr="001276C9">
        <w:t xml:space="preserve"> is mostly below </w:t>
      </w:r>
      <w:r w:rsidR="007C5A95" w:rsidRPr="001276C9">
        <w:t>$</w:t>
      </w:r>
      <w:r w:rsidR="00A450C0" w:rsidRPr="001276C9">
        <w:t>30</w:t>
      </w:r>
      <w:r w:rsidR="00366824" w:rsidRPr="001276C9">
        <w:t xml:space="preserve"> million</w:t>
      </w:r>
      <w:r w:rsidR="007B09E7" w:rsidRPr="001276C9">
        <w:t xml:space="preserve">, whereas </w:t>
      </w:r>
      <w:r w:rsidR="00777CD1" w:rsidRPr="001276C9">
        <w:t>many</w:t>
      </w:r>
      <w:r w:rsidR="007B09E7" w:rsidRPr="001276C9">
        <w:t xml:space="preserve"> of</w:t>
      </w:r>
      <w:r w:rsidR="00D54621" w:rsidRPr="001276C9">
        <w:t xml:space="preserve"> </w:t>
      </w:r>
      <w:r w:rsidR="003A4FD3" w:rsidRPr="001276C9">
        <w:t xml:space="preserve">old </w:t>
      </w:r>
      <w:r w:rsidR="00C3151B" w:rsidRPr="001276C9">
        <w:t>participants</w:t>
      </w:r>
      <w:r w:rsidR="003A4FD3" w:rsidRPr="001276C9">
        <w:t xml:space="preserve"> have</w:t>
      </w:r>
      <w:r w:rsidR="001175E1" w:rsidRPr="001276C9">
        <w:t xml:space="preserve"> annual</w:t>
      </w:r>
      <w:r w:rsidR="00D54621" w:rsidRPr="001276C9">
        <w:t xml:space="preserve"> turnovers in excess of </w:t>
      </w:r>
      <w:r w:rsidR="007C5A95" w:rsidRPr="001276C9">
        <w:t>$</w:t>
      </w:r>
      <w:r w:rsidR="00D54621" w:rsidRPr="001276C9">
        <w:t>100 million.</w:t>
      </w:r>
      <w:r w:rsidR="007B09E7" w:rsidRPr="001276C9">
        <w:t xml:space="preserve"> </w:t>
      </w:r>
    </w:p>
    <w:p w14:paraId="1FC6DB89" w14:textId="78ECA9D9" w:rsidR="002A4D0A" w:rsidRPr="001276C9" w:rsidRDefault="002A4D0A" w:rsidP="002A4D0A">
      <w:pPr>
        <w:pStyle w:val="Caption"/>
      </w:pPr>
      <w:bookmarkStart w:id="9" w:name="_Ref497138180"/>
      <w:r w:rsidRPr="001276C9">
        <w:t xml:space="preserve">Figure </w:t>
      </w:r>
      <w:r w:rsidR="00403214">
        <w:rPr>
          <w:noProof/>
        </w:rPr>
        <w:fldChar w:fldCharType="begin"/>
      </w:r>
      <w:r w:rsidR="00403214">
        <w:rPr>
          <w:noProof/>
        </w:rPr>
        <w:instrText xml:space="preserve"> STYLEREF 1 \s </w:instrText>
      </w:r>
      <w:r w:rsidR="00403214">
        <w:rPr>
          <w:noProof/>
        </w:rPr>
        <w:fldChar w:fldCharType="separate"/>
      </w:r>
      <w:r w:rsidR="00F47C7A">
        <w:rPr>
          <w:noProof/>
        </w:rPr>
        <w:t>4</w:t>
      </w:r>
      <w:r w:rsidR="00403214">
        <w:rPr>
          <w:noProof/>
        </w:rPr>
        <w:fldChar w:fldCharType="end"/>
      </w:r>
      <w:r w:rsidR="0058050B" w:rsidRPr="001276C9">
        <w:t>.</w:t>
      </w:r>
      <w:r w:rsidR="00403214">
        <w:rPr>
          <w:noProof/>
        </w:rPr>
        <w:fldChar w:fldCharType="begin"/>
      </w:r>
      <w:r w:rsidR="00403214">
        <w:rPr>
          <w:noProof/>
        </w:rPr>
        <w:instrText xml:space="preserve"> SEQ Figure \* ARABIC \s 1 </w:instrText>
      </w:r>
      <w:r w:rsidR="00403214">
        <w:rPr>
          <w:noProof/>
        </w:rPr>
        <w:fldChar w:fldCharType="separate"/>
      </w:r>
      <w:r w:rsidR="00F47C7A">
        <w:rPr>
          <w:noProof/>
        </w:rPr>
        <w:t>3</w:t>
      </w:r>
      <w:r w:rsidR="00403214">
        <w:rPr>
          <w:noProof/>
        </w:rPr>
        <w:fldChar w:fldCharType="end"/>
      </w:r>
      <w:bookmarkEnd w:id="9"/>
      <w:r w:rsidRPr="001276C9">
        <w:t xml:space="preserve"> The CDF of turnover for young and old </w:t>
      </w:r>
      <w:r w:rsidR="008C6CC0" w:rsidRPr="001276C9">
        <w:t>participants</w:t>
      </w:r>
      <w:r w:rsidRPr="001276C9">
        <w:t>.</w:t>
      </w:r>
    </w:p>
    <w:p w14:paraId="1289A124" w14:textId="672F6FBE" w:rsidR="005E4338" w:rsidRPr="001276C9" w:rsidRDefault="00A6595C" w:rsidP="003B4554">
      <w:pPr>
        <w:pStyle w:val="Placeholder"/>
      </w:pPr>
      <w:r w:rsidRPr="001276C9">
        <w:rPr>
          <w:noProof/>
          <w:lang w:eastAsia="en-AU"/>
        </w:rPr>
        <w:drawing>
          <wp:inline distT="0" distB="0" distL="0" distR="0" wp14:anchorId="21DEB35A" wp14:editId="6D9062ED">
            <wp:extent cx="4377690" cy="3260090"/>
            <wp:effectExtent l="0" t="0" r="3810" b="0"/>
            <wp:docPr id="4" name="Picture 4" descr="The cumulative distribution function for firms at least ten years old is fully below that of firms younger than eight years." title="Fig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f_turnover-02-0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77690" cy="3260090"/>
                    </a:xfrm>
                    <a:prstGeom prst="rect">
                      <a:avLst/>
                    </a:prstGeom>
                  </pic:spPr>
                </pic:pic>
              </a:graphicData>
            </a:graphic>
          </wp:inline>
        </w:drawing>
      </w:r>
    </w:p>
    <w:p w14:paraId="252E80A1" w14:textId="24A5316C" w:rsidR="002A4D0A" w:rsidRPr="001276C9" w:rsidRDefault="00366824" w:rsidP="00167CAB">
      <w:pPr>
        <w:pStyle w:val="Source"/>
      </w:pPr>
      <w:r w:rsidRPr="001276C9">
        <w:t>Source: Department of Industry, Innovation and Science</w:t>
      </w:r>
      <w:r w:rsidR="00976F48" w:rsidRPr="001276C9">
        <w:t xml:space="preserve"> (2018)</w:t>
      </w:r>
    </w:p>
    <w:p w14:paraId="63D78516" w14:textId="5B040717" w:rsidR="005E72C6" w:rsidRPr="001276C9" w:rsidRDefault="00A450C0">
      <w:pPr>
        <w:pStyle w:val="Heading3"/>
        <w:rPr>
          <w:rFonts w:asciiTheme="minorHAnsi" w:eastAsiaTheme="minorEastAsia" w:hAnsiTheme="minorHAnsi" w:cstheme="minorBidi"/>
          <w:color w:val="373737" w:themeColor="text1"/>
          <w:sz w:val="20"/>
          <w:szCs w:val="20"/>
        </w:rPr>
      </w:pPr>
      <w:r w:rsidRPr="001276C9">
        <w:rPr>
          <w:rFonts w:asciiTheme="minorHAnsi" w:hAnsiTheme="minorHAnsi" w:cstheme="minorBidi"/>
          <w:color w:val="373737" w:themeColor="text1"/>
          <w:sz w:val="20"/>
          <w:szCs w:val="20"/>
        </w:rPr>
        <w:t>With</w:t>
      </w:r>
      <w:r w:rsidR="00D9622C" w:rsidRPr="001276C9">
        <w:rPr>
          <w:rFonts w:asciiTheme="minorHAnsi" w:hAnsiTheme="minorHAnsi" w:cstheme="minorBidi"/>
          <w:color w:val="373737" w:themeColor="text1"/>
          <w:sz w:val="20"/>
          <w:szCs w:val="20"/>
        </w:rPr>
        <w:t xml:space="preserve"> this evidence, </w:t>
      </w:r>
      <w:r w:rsidR="00391C8F" w:rsidRPr="001276C9">
        <w:rPr>
          <w:rFonts w:asciiTheme="minorHAnsi" w:eastAsiaTheme="minorEastAsia" w:hAnsiTheme="minorHAnsi" w:cstheme="minorBidi"/>
          <w:color w:val="373737"/>
          <w:sz w:val="20"/>
          <w:szCs w:val="20"/>
        </w:rPr>
        <w:t>one concludes that</w:t>
      </w:r>
      <w:r w:rsidR="00D9622C" w:rsidRPr="001276C9">
        <w:rPr>
          <w:rFonts w:asciiTheme="minorHAnsi" w:eastAsiaTheme="minorEastAsia" w:hAnsiTheme="minorHAnsi" w:cstheme="minorBidi"/>
          <w:color w:val="373737"/>
          <w:sz w:val="20"/>
          <w:szCs w:val="20"/>
        </w:rPr>
        <w:t xml:space="preserve"> </w:t>
      </w:r>
      <w:r w:rsidR="00CB1567" w:rsidRPr="001276C9">
        <w:rPr>
          <w:rFonts w:asciiTheme="minorHAnsi" w:eastAsiaTheme="minorEastAsia" w:hAnsiTheme="minorHAnsi" w:cstheme="minorBidi"/>
          <w:color w:val="373737"/>
          <w:sz w:val="20"/>
          <w:szCs w:val="20"/>
        </w:rPr>
        <w:t>the CA participants</w:t>
      </w:r>
      <w:r w:rsidR="008A19C1" w:rsidRPr="001276C9">
        <w:rPr>
          <w:rFonts w:asciiTheme="minorHAnsi" w:eastAsiaTheme="minorEastAsia" w:hAnsiTheme="minorHAnsi" w:cstheme="minorBidi"/>
          <w:color w:val="373737"/>
          <w:sz w:val="20"/>
          <w:szCs w:val="20"/>
        </w:rPr>
        <w:t xml:space="preserve"> can be classified into two almost mutually exclusive groups: small young </w:t>
      </w:r>
      <w:r w:rsidR="009D383F" w:rsidRPr="001276C9">
        <w:rPr>
          <w:rFonts w:asciiTheme="minorHAnsi" w:eastAsiaTheme="minorEastAsia" w:hAnsiTheme="minorHAnsi" w:cstheme="minorBidi"/>
          <w:color w:val="373737"/>
          <w:sz w:val="20"/>
          <w:szCs w:val="20"/>
        </w:rPr>
        <w:t xml:space="preserve">firms </w:t>
      </w:r>
      <w:r w:rsidR="008A19C1" w:rsidRPr="001276C9">
        <w:rPr>
          <w:rFonts w:asciiTheme="minorHAnsi" w:eastAsiaTheme="minorEastAsia" w:hAnsiTheme="minorHAnsi" w:cstheme="minorBidi"/>
          <w:color w:val="373737"/>
          <w:sz w:val="20"/>
          <w:szCs w:val="20"/>
        </w:rPr>
        <w:t xml:space="preserve">and mature large </w:t>
      </w:r>
      <w:r w:rsidR="009D383F" w:rsidRPr="001276C9">
        <w:rPr>
          <w:rFonts w:asciiTheme="minorHAnsi" w:eastAsiaTheme="minorEastAsia" w:hAnsiTheme="minorHAnsi" w:cstheme="minorBidi"/>
          <w:color w:val="373737"/>
          <w:sz w:val="20"/>
          <w:szCs w:val="20"/>
        </w:rPr>
        <w:t>firms</w:t>
      </w:r>
      <w:r w:rsidR="008A19C1" w:rsidRPr="001276C9">
        <w:rPr>
          <w:rFonts w:asciiTheme="minorHAnsi" w:eastAsiaTheme="minorEastAsia" w:hAnsiTheme="minorHAnsi" w:cstheme="minorBidi"/>
          <w:color w:val="373737"/>
          <w:sz w:val="20"/>
          <w:szCs w:val="20"/>
        </w:rPr>
        <w:t xml:space="preserve">. The majority of the firms in the </w:t>
      </w:r>
      <w:r w:rsidR="008D2D4B" w:rsidRPr="001276C9">
        <w:rPr>
          <w:rFonts w:asciiTheme="minorHAnsi" w:eastAsiaTheme="minorEastAsia" w:hAnsiTheme="minorHAnsi" w:cstheme="minorBidi"/>
          <w:color w:val="373737"/>
          <w:sz w:val="20"/>
          <w:szCs w:val="20"/>
        </w:rPr>
        <w:t>program</w:t>
      </w:r>
      <w:r w:rsidR="008A19C1" w:rsidRPr="001276C9">
        <w:rPr>
          <w:rFonts w:asciiTheme="minorHAnsi" w:eastAsiaTheme="minorEastAsia" w:hAnsiTheme="minorHAnsi" w:cstheme="minorBidi"/>
          <w:color w:val="373737"/>
          <w:sz w:val="20"/>
          <w:szCs w:val="20"/>
        </w:rPr>
        <w:t xml:space="preserve"> are of the first classification. </w:t>
      </w:r>
    </w:p>
    <w:p w14:paraId="4FFCC30D" w14:textId="30634301" w:rsidR="00674521" w:rsidRPr="001276C9" w:rsidRDefault="007C6619">
      <w:pPr>
        <w:pStyle w:val="Heading3"/>
        <w:rPr>
          <w:rFonts w:asciiTheme="minorHAnsi" w:eastAsiaTheme="minorEastAsia" w:hAnsiTheme="minorHAnsi" w:cstheme="minorBidi"/>
          <w:color w:val="373737" w:themeColor="text1"/>
          <w:sz w:val="20"/>
          <w:szCs w:val="20"/>
        </w:rPr>
      </w:pPr>
      <w:r w:rsidRPr="001276C9">
        <w:rPr>
          <w:rFonts w:asciiTheme="minorHAnsi" w:eastAsiaTheme="minorEastAsia" w:hAnsiTheme="minorHAnsi" w:cstheme="minorBidi"/>
          <w:color w:val="373737"/>
          <w:sz w:val="20"/>
          <w:szCs w:val="20"/>
        </w:rPr>
        <w:t xml:space="preserve">For the analysis </w:t>
      </w:r>
      <w:r w:rsidR="007C5A95" w:rsidRPr="001276C9">
        <w:rPr>
          <w:rFonts w:asciiTheme="minorHAnsi" w:eastAsiaTheme="minorEastAsia" w:hAnsiTheme="minorHAnsi" w:cstheme="minorBidi"/>
          <w:color w:val="373737"/>
          <w:sz w:val="20"/>
          <w:szCs w:val="20"/>
        </w:rPr>
        <w:t>presented in the paper</w:t>
      </w:r>
      <w:r w:rsidR="00510827" w:rsidRPr="001276C9">
        <w:rPr>
          <w:rFonts w:asciiTheme="minorHAnsi" w:eastAsiaTheme="minorEastAsia" w:hAnsiTheme="minorHAnsi" w:cstheme="minorBidi"/>
          <w:color w:val="373737"/>
          <w:sz w:val="20"/>
          <w:szCs w:val="20"/>
        </w:rPr>
        <w:t>,</w:t>
      </w:r>
      <w:r w:rsidRPr="001276C9">
        <w:rPr>
          <w:rFonts w:asciiTheme="minorHAnsi" w:eastAsiaTheme="minorEastAsia" w:hAnsiTheme="minorHAnsi" w:cstheme="minorBidi"/>
          <w:color w:val="373737"/>
          <w:sz w:val="20"/>
          <w:szCs w:val="20"/>
        </w:rPr>
        <w:t xml:space="preserve"> the mature large firms</w:t>
      </w:r>
      <w:r w:rsidR="007C5A95" w:rsidRPr="001276C9">
        <w:rPr>
          <w:rFonts w:asciiTheme="minorHAnsi" w:eastAsiaTheme="minorEastAsia" w:hAnsiTheme="minorHAnsi" w:cstheme="minorBidi"/>
          <w:color w:val="373737"/>
          <w:sz w:val="20"/>
          <w:szCs w:val="20"/>
        </w:rPr>
        <w:t xml:space="preserve"> have been excluded</w:t>
      </w:r>
      <w:r w:rsidRPr="001276C9">
        <w:rPr>
          <w:rFonts w:asciiTheme="minorHAnsi" w:eastAsiaTheme="minorEastAsia" w:hAnsiTheme="minorHAnsi" w:cstheme="minorBidi"/>
          <w:color w:val="373737"/>
          <w:sz w:val="20"/>
          <w:szCs w:val="20"/>
        </w:rPr>
        <w:t xml:space="preserve">. </w:t>
      </w:r>
      <w:r w:rsidR="0028643A" w:rsidRPr="001276C9">
        <w:rPr>
          <w:rFonts w:asciiTheme="minorHAnsi" w:eastAsiaTheme="minorEastAsia" w:hAnsiTheme="minorHAnsi" w:cstheme="minorBidi"/>
          <w:color w:val="373737"/>
          <w:sz w:val="20"/>
          <w:szCs w:val="20"/>
        </w:rPr>
        <w:t>As mentioned in Section 3, t</w:t>
      </w:r>
      <w:r w:rsidR="005E72C6" w:rsidRPr="001276C9">
        <w:rPr>
          <w:rFonts w:asciiTheme="minorHAnsi" w:eastAsiaTheme="minorEastAsia" w:hAnsiTheme="minorHAnsi" w:cstheme="minorBidi"/>
          <w:color w:val="373737" w:themeColor="text1"/>
          <w:sz w:val="20"/>
          <w:szCs w:val="20"/>
        </w:rPr>
        <w:t xml:space="preserve">he BLADE </w:t>
      </w:r>
      <w:r w:rsidR="00975F0F" w:rsidRPr="001276C9">
        <w:rPr>
          <w:rFonts w:asciiTheme="minorHAnsi" w:eastAsiaTheme="minorEastAsia" w:hAnsiTheme="minorHAnsi" w:cstheme="minorBidi"/>
          <w:color w:val="373737" w:themeColor="text1"/>
          <w:sz w:val="20"/>
          <w:szCs w:val="20"/>
        </w:rPr>
        <w:t xml:space="preserve">is </w:t>
      </w:r>
      <w:r w:rsidR="0028643A" w:rsidRPr="001276C9">
        <w:rPr>
          <w:rFonts w:asciiTheme="minorHAnsi" w:eastAsiaTheme="minorEastAsia" w:hAnsiTheme="minorHAnsi" w:cstheme="minorBidi"/>
          <w:color w:val="373737" w:themeColor="text1"/>
          <w:sz w:val="20"/>
          <w:szCs w:val="20"/>
        </w:rPr>
        <w:t xml:space="preserve">at firm level and has no information on </w:t>
      </w:r>
      <w:r w:rsidR="00975F0F" w:rsidRPr="001276C9">
        <w:rPr>
          <w:rFonts w:asciiTheme="minorHAnsi" w:eastAsiaTheme="minorEastAsia" w:hAnsiTheme="minorHAnsi" w:cstheme="minorBidi"/>
          <w:color w:val="373737" w:themeColor="text1"/>
          <w:sz w:val="20"/>
          <w:szCs w:val="20"/>
        </w:rPr>
        <w:t xml:space="preserve">the operation of </w:t>
      </w:r>
      <w:r w:rsidR="007C6B1E" w:rsidRPr="001276C9">
        <w:rPr>
          <w:rFonts w:asciiTheme="minorHAnsi" w:eastAsiaTheme="minorEastAsia" w:hAnsiTheme="minorHAnsi" w:cstheme="minorBidi"/>
          <w:color w:val="373737" w:themeColor="text1"/>
          <w:sz w:val="20"/>
          <w:szCs w:val="20"/>
        </w:rPr>
        <w:t xml:space="preserve">individual </w:t>
      </w:r>
      <w:r w:rsidR="00975F0F" w:rsidRPr="001276C9">
        <w:rPr>
          <w:rFonts w:asciiTheme="minorHAnsi" w:eastAsiaTheme="minorEastAsia" w:hAnsiTheme="minorHAnsi" w:cstheme="minorBidi"/>
          <w:color w:val="373737" w:themeColor="text1"/>
          <w:sz w:val="20"/>
          <w:szCs w:val="20"/>
        </w:rPr>
        <w:t>subsidiaries</w:t>
      </w:r>
      <w:r w:rsidRPr="001276C9">
        <w:rPr>
          <w:rFonts w:asciiTheme="minorHAnsi" w:eastAsiaTheme="minorEastAsia" w:hAnsiTheme="minorHAnsi" w:cstheme="minorBidi"/>
          <w:color w:val="373737" w:themeColor="text1"/>
          <w:sz w:val="20"/>
          <w:szCs w:val="20"/>
        </w:rPr>
        <w:t>, which are the likely recipient of the grant</w:t>
      </w:r>
      <w:r w:rsidR="00520ACA" w:rsidRPr="001276C9">
        <w:rPr>
          <w:rFonts w:asciiTheme="minorHAnsi" w:eastAsiaTheme="minorEastAsia" w:hAnsiTheme="minorHAnsi" w:cstheme="minorBidi"/>
          <w:color w:val="373737" w:themeColor="text1"/>
          <w:sz w:val="20"/>
          <w:szCs w:val="20"/>
        </w:rPr>
        <w:t xml:space="preserve">. </w:t>
      </w:r>
      <w:r w:rsidRPr="001276C9">
        <w:rPr>
          <w:rFonts w:asciiTheme="minorHAnsi" w:eastAsiaTheme="minorEastAsia" w:hAnsiTheme="minorHAnsi" w:cstheme="minorBidi"/>
          <w:color w:val="373737" w:themeColor="text1"/>
          <w:sz w:val="20"/>
          <w:szCs w:val="20"/>
        </w:rPr>
        <w:t>For this reason</w:t>
      </w:r>
      <w:r w:rsidR="00B71F29" w:rsidRPr="001276C9">
        <w:rPr>
          <w:rFonts w:asciiTheme="minorHAnsi" w:eastAsiaTheme="minorEastAsia" w:hAnsiTheme="minorHAnsi" w:cstheme="minorBidi"/>
          <w:color w:val="373737" w:themeColor="text1"/>
          <w:sz w:val="20"/>
          <w:szCs w:val="20"/>
        </w:rPr>
        <w:t>,</w:t>
      </w:r>
      <w:r w:rsidR="00674521" w:rsidRPr="001276C9">
        <w:rPr>
          <w:rFonts w:asciiTheme="minorHAnsi" w:eastAsiaTheme="minorEastAsia" w:hAnsiTheme="minorHAnsi" w:cstheme="minorBidi"/>
          <w:color w:val="373737" w:themeColor="text1"/>
          <w:sz w:val="20"/>
          <w:szCs w:val="20"/>
        </w:rPr>
        <w:t xml:space="preserve"> </w:t>
      </w:r>
      <w:r w:rsidR="00550103" w:rsidRPr="001276C9">
        <w:rPr>
          <w:rFonts w:asciiTheme="minorHAnsi" w:eastAsiaTheme="minorEastAsia" w:hAnsiTheme="minorHAnsi" w:cstheme="minorBidi"/>
          <w:color w:val="373737" w:themeColor="text1"/>
          <w:sz w:val="20"/>
          <w:szCs w:val="20"/>
        </w:rPr>
        <w:t>w</w:t>
      </w:r>
      <w:r w:rsidR="00894D49" w:rsidRPr="001276C9">
        <w:rPr>
          <w:rFonts w:asciiTheme="minorHAnsi" w:eastAsiaTheme="minorEastAsia" w:hAnsiTheme="minorHAnsi" w:cstheme="minorBidi"/>
          <w:color w:val="373737" w:themeColor="text1"/>
          <w:sz w:val="20"/>
          <w:szCs w:val="20"/>
        </w:rPr>
        <w:t xml:space="preserve">e </w:t>
      </w:r>
      <w:r w:rsidR="00674521" w:rsidRPr="001276C9">
        <w:rPr>
          <w:rFonts w:asciiTheme="minorHAnsi" w:eastAsiaTheme="minorEastAsia" w:hAnsiTheme="minorHAnsi" w:cstheme="minorBidi"/>
          <w:color w:val="373737" w:themeColor="text1"/>
          <w:sz w:val="20"/>
          <w:szCs w:val="20"/>
        </w:rPr>
        <w:t xml:space="preserve">drop all CA </w:t>
      </w:r>
      <w:r w:rsidR="00F158C4" w:rsidRPr="001276C9">
        <w:rPr>
          <w:rFonts w:asciiTheme="minorHAnsi" w:eastAsiaTheme="minorEastAsia" w:hAnsiTheme="minorHAnsi" w:cstheme="minorBidi"/>
          <w:color w:val="373737" w:themeColor="text1"/>
          <w:sz w:val="20"/>
          <w:szCs w:val="20"/>
        </w:rPr>
        <w:t xml:space="preserve">participants </w:t>
      </w:r>
      <w:r w:rsidR="00674521" w:rsidRPr="001276C9">
        <w:rPr>
          <w:rFonts w:asciiTheme="minorHAnsi" w:eastAsiaTheme="minorEastAsia" w:hAnsiTheme="minorHAnsi" w:cstheme="minorBidi"/>
          <w:color w:val="373737" w:themeColor="text1"/>
          <w:sz w:val="20"/>
          <w:szCs w:val="20"/>
        </w:rPr>
        <w:t xml:space="preserve">with turnover above </w:t>
      </w:r>
      <w:r w:rsidR="00241B50" w:rsidRPr="001276C9">
        <w:rPr>
          <w:rFonts w:asciiTheme="minorHAnsi" w:eastAsiaTheme="minorEastAsia" w:hAnsiTheme="minorHAnsi" w:cstheme="minorBidi"/>
          <w:color w:val="373737" w:themeColor="text1"/>
          <w:sz w:val="20"/>
          <w:szCs w:val="20"/>
        </w:rPr>
        <w:t xml:space="preserve">$30 million </w:t>
      </w:r>
      <w:r w:rsidR="00674521" w:rsidRPr="001276C9">
        <w:rPr>
          <w:rFonts w:asciiTheme="minorHAnsi" w:eastAsiaTheme="minorEastAsia" w:hAnsiTheme="minorHAnsi" w:cstheme="minorBidi"/>
          <w:color w:val="373737" w:themeColor="text1"/>
          <w:sz w:val="20"/>
          <w:szCs w:val="20"/>
        </w:rPr>
        <w:t>henceforth.</w:t>
      </w:r>
      <w:r w:rsidR="004E748B" w:rsidRPr="001276C9">
        <w:rPr>
          <w:rFonts w:asciiTheme="minorHAnsi" w:eastAsiaTheme="minorEastAsia" w:hAnsiTheme="minorHAnsi" w:cstheme="minorBidi"/>
          <w:color w:val="373737" w:themeColor="text1"/>
          <w:sz w:val="20"/>
          <w:szCs w:val="20"/>
        </w:rPr>
        <w:t xml:space="preserve"> </w:t>
      </w:r>
      <w:r w:rsidR="00B553E4" w:rsidRPr="001276C9">
        <w:rPr>
          <w:rFonts w:asciiTheme="minorHAnsi" w:hAnsiTheme="minorHAnsi" w:cstheme="minorBidi"/>
          <w:color w:val="373737" w:themeColor="text1"/>
          <w:sz w:val="20"/>
          <w:szCs w:val="20"/>
        </w:rPr>
        <w:t xml:space="preserve">This </w:t>
      </w:r>
      <w:r w:rsidR="0074222A" w:rsidRPr="001276C9">
        <w:rPr>
          <w:rFonts w:asciiTheme="minorHAnsi" w:eastAsiaTheme="minorEastAsia" w:hAnsiTheme="minorHAnsi" w:cstheme="minorBidi"/>
          <w:color w:val="373737" w:themeColor="text1"/>
          <w:sz w:val="20"/>
          <w:szCs w:val="20"/>
        </w:rPr>
        <w:t>t</w:t>
      </w:r>
      <w:r w:rsidR="0074222A" w:rsidRPr="001276C9">
        <w:rPr>
          <w:rFonts w:asciiTheme="minorHAnsi" w:hAnsiTheme="minorHAnsi" w:cstheme="minorBidi"/>
          <w:color w:val="373737" w:themeColor="text1"/>
          <w:sz w:val="20"/>
          <w:szCs w:val="20"/>
        </w:rPr>
        <w:t xml:space="preserve">urnover </w:t>
      </w:r>
      <w:r w:rsidR="00B553E4" w:rsidRPr="001276C9">
        <w:rPr>
          <w:rFonts w:asciiTheme="minorHAnsi" w:hAnsiTheme="minorHAnsi" w:cstheme="minorBidi"/>
          <w:color w:val="373737" w:themeColor="text1"/>
          <w:sz w:val="20"/>
          <w:szCs w:val="20"/>
        </w:rPr>
        <w:t>level covers the largest participa</w:t>
      </w:r>
      <w:r w:rsidR="00D07077" w:rsidRPr="001276C9">
        <w:rPr>
          <w:rFonts w:asciiTheme="minorHAnsi" w:hAnsiTheme="minorHAnsi" w:cstheme="minorBidi"/>
          <w:color w:val="373737" w:themeColor="text1"/>
          <w:sz w:val="20"/>
          <w:szCs w:val="20"/>
        </w:rPr>
        <w:t>ting</w:t>
      </w:r>
      <w:r w:rsidR="00B553E4" w:rsidRPr="001276C9">
        <w:rPr>
          <w:rFonts w:asciiTheme="minorHAnsi" w:hAnsiTheme="minorHAnsi" w:cstheme="minorBidi"/>
          <w:color w:val="373737" w:themeColor="text1"/>
          <w:sz w:val="20"/>
          <w:szCs w:val="20"/>
        </w:rPr>
        <w:t xml:space="preserve"> firm</w:t>
      </w:r>
      <w:r w:rsidR="00357A40" w:rsidRPr="001276C9">
        <w:rPr>
          <w:rFonts w:asciiTheme="minorHAnsi" w:hAnsiTheme="minorHAnsi" w:cstheme="minorBidi"/>
          <w:color w:val="373737" w:themeColor="text1"/>
          <w:sz w:val="20"/>
          <w:szCs w:val="20"/>
        </w:rPr>
        <w:t>s</w:t>
      </w:r>
      <w:r w:rsidR="00B553E4" w:rsidRPr="001276C9">
        <w:rPr>
          <w:rFonts w:asciiTheme="minorHAnsi" w:hAnsiTheme="minorHAnsi" w:cstheme="minorBidi"/>
          <w:color w:val="373737" w:themeColor="text1"/>
          <w:sz w:val="20"/>
          <w:szCs w:val="20"/>
        </w:rPr>
        <w:t xml:space="preserve">. </w:t>
      </w:r>
      <w:r w:rsidR="005E72C6" w:rsidRPr="001276C9">
        <w:rPr>
          <w:rFonts w:asciiTheme="minorHAnsi" w:eastAsiaTheme="minorEastAsia" w:hAnsiTheme="minorHAnsi" w:cstheme="minorBidi"/>
          <w:color w:val="373737" w:themeColor="text1"/>
          <w:sz w:val="20"/>
          <w:szCs w:val="20"/>
        </w:rPr>
        <w:t>By association fi</w:t>
      </w:r>
      <w:r w:rsidR="004E748B" w:rsidRPr="001276C9">
        <w:rPr>
          <w:rFonts w:asciiTheme="minorHAnsi" w:hAnsiTheme="minorHAnsi" w:cstheme="minorBidi"/>
          <w:color w:val="373737" w:themeColor="text1"/>
          <w:sz w:val="20"/>
          <w:szCs w:val="20"/>
        </w:rPr>
        <w:t>rms older than 8 years</w:t>
      </w:r>
      <w:r w:rsidR="005E72C6" w:rsidRPr="001276C9">
        <w:rPr>
          <w:rFonts w:asciiTheme="minorHAnsi" w:hAnsiTheme="minorHAnsi" w:cstheme="minorBidi"/>
          <w:color w:val="373737" w:themeColor="text1"/>
          <w:sz w:val="20"/>
          <w:szCs w:val="20"/>
        </w:rPr>
        <w:t xml:space="preserve"> are also being dropped (</w:t>
      </w:r>
      <w:r w:rsidR="005E72C6" w:rsidRPr="001276C9">
        <w:fldChar w:fldCharType="begin"/>
      </w:r>
      <w:r w:rsidR="005E72C6" w:rsidRPr="001276C9">
        <w:rPr>
          <w:rFonts w:asciiTheme="minorHAnsi" w:hAnsiTheme="minorHAnsi" w:cstheme="minorHAnsi"/>
          <w:color w:val="373737" w:themeColor="text1"/>
          <w:sz w:val="20"/>
          <w:szCs w:val="20"/>
        </w:rPr>
        <w:instrText xml:space="preserve"> REF _Ref497138180 \h  \* MERGEFORMAT </w:instrText>
      </w:r>
      <w:r w:rsidR="005E72C6" w:rsidRPr="001276C9">
        <w:rPr>
          <w:rFonts w:asciiTheme="minorHAnsi" w:hAnsiTheme="minorHAnsi" w:cstheme="minorHAnsi"/>
          <w:color w:val="373737" w:themeColor="text1"/>
          <w:sz w:val="20"/>
          <w:szCs w:val="20"/>
        </w:rPr>
        <w:fldChar w:fldCharType="separate"/>
      </w:r>
      <w:r w:rsidR="00F47C7A" w:rsidRPr="00F47C7A">
        <w:rPr>
          <w:rFonts w:asciiTheme="minorHAnsi" w:hAnsiTheme="minorHAnsi" w:cstheme="minorBidi"/>
          <w:color w:val="373737" w:themeColor="text1"/>
          <w:sz w:val="20"/>
          <w:szCs w:val="20"/>
        </w:rPr>
        <w:t xml:space="preserve">Figure </w:t>
      </w:r>
      <w:r w:rsidR="00F47C7A" w:rsidRPr="00F47C7A">
        <w:rPr>
          <w:rFonts w:asciiTheme="minorHAnsi" w:hAnsiTheme="minorHAnsi" w:cstheme="minorBidi"/>
          <w:noProof/>
          <w:color w:val="373737" w:themeColor="text1"/>
          <w:sz w:val="20"/>
          <w:szCs w:val="20"/>
        </w:rPr>
        <w:t>4.3</w:t>
      </w:r>
      <w:r w:rsidR="005E72C6" w:rsidRPr="001276C9">
        <w:fldChar w:fldCharType="end"/>
      </w:r>
      <w:r w:rsidR="005E72C6" w:rsidRPr="001276C9">
        <w:rPr>
          <w:rFonts w:asciiTheme="minorHAnsi" w:hAnsiTheme="minorHAnsi" w:cstheme="minorBidi"/>
          <w:color w:val="373737" w:themeColor="text1"/>
          <w:sz w:val="20"/>
          <w:szCs w:val="20"/>
        </w:rPr>
        <w:t>)</w:t>
      </w:r>
      <w:r w:rsidR="004E748B" w:rsidRPr="001276C9">
        <w:rPr>
          <w:rFonts w:asciiTheme="minorHAnsi" w:hAnsiTheme="minorHAnsi" w:cstheme="minorBidi"/>
          <w:color w:val="373737" w:themeColor="text1"/>
          <w:sz w:val="20"/>
          <w:szCs w:val="20"/>
        </w:rPr>
        <w:t>.</w:t>
      </w:r>
      <w:r w:rsidR="00674521" w:rsidRPr="001276C9">
        <w:rPr>
          <w:rFonts w:asciiTheme="minorHAnsi" w:eastAsiaTheme="minorEastAsia" w:hAnsiTheme="minorHAnsi" w:cstheme="minorBidi"/>
          <w:color w:val="373737" w:themeColor="text1"/>
          <w:sz w:val="20"/>
          <w:szCs w:val="20"/>
        </w:rPr>
        <w:t xml:space="preserve"> </w:t>
      </w:r>
      <w:r w:rsidR="006B5F12" w:rsidRPr="001276C9">
        <w:rPr>
          <w:rFonts w:asciiTheme="minorHAnsi" w:eastAsiaTheme="minorEastAsia" w:hAnsiTheme="minorHAnsi" w:cstheme="minorBidi"/>
          <w:color w:val="373737" w:themeColor="text1"/>
          <w:sz w:val="20"/>
          <w:szCs w:val="20"/>
        </w:rPr>
        <w:t xml:space="preserve">74 </w:t>
      </w:r>
      <w:r w:rsidR="005E2C47" w:rsidRPr="001276C9">
        <w:rPr>
          <w:rFonts w:asciiTheme="minorHAnsi" w:eastAsiaTheme="minorEastAsia" w:hAnsiTheme="minorHAnsi" w:cstheme="minorBidi"/>
          <w:color w:val="373737" w:themeColor="text1"/>
          <w:sz w:val="20"/>
          <w:szCs w:val="20"/>
        </w:rPr>
        <w:t xml:space="preserve">participating </w:t>
      </w:r>
      <w:r w:rsidR="00081168" w:rsidRPr="001276C9">
        <w:rPr>
          <w:rFonts w:asciiTheme="minorHAnsi" w:eastAsiaTheme="minorEastAsia" w:hAnsiTheme="minorHAnsi" w:cstheme="minorBidi"/>
          <w:color w:val="373737" w:themeColor="text1"/>
          <w:sz w:val="20"/>
          <w:szCs w:val="20"/>
        </w:rPr>
        <w:t>firms are dropped as a result.</w:t>
      </w:r>
    </w:p>
    <w:p w14:paraId="4CF2356B" w14:textId="77777777" w:rsidR="00503256" w:rsidRPr="001276C9" w:rsidRDefault="00503256" w:rsidP="00674521">
      <w:pPr>
        <w:pStyle w:val="BodyText"/>
      </w:pPr>
    </w:p>
    <w:p w14:paraId="1F2F6CB1" w14:textId="03F8EE65" w:rsidR="00BC7C9F" w:rsidRPr="001276C9" w:rsidRDefault="00BC7C9F" w:rsidP="00652BF5">
      <w:pPr>
        <w:pStyle w:val="Heading1"/>
      </w:pPr>
      <w:r w:rsidRPr="001276C9">
        <w:t>Methodology</w:t>
      </w:r>
    </w:p>
    <w:p w14:paraId="05901817" w14:textId="3A6F1A62" w:rsidR="00BC7C9F" w:rsidRPr="001276C9" w:rsidRDefault="00E327B3" w:rsidP="00BC7C9F">
      <w:pPr>
        <w:pStyle w:val="BodyText"/>
      </w:pPr>
      <w:r w:rsidRPr="001276C9">
        <w:t xml:space="preserve">In this section we describe the methodology used to analyse the impact of </w:t>
      </w:r>
      <w:r w:rsidR="00573E79" w:rsidRPr="001276C9">
        <w:t xml:space="preserve">the </w:t>
      </w:r>
      <w:r w:rsidRPr="001276C9">
        <w:t xml:space="preserve">CA </w:t>
      </w:r>
      <w:r w:rsidR="00573E79" w:rsidRPr="001276C9">
        <w:t xml:space="preserve">program </w:t>
      </w:r>
      <w:r w:rsidRPr="001276C9">
        <w:t>on participants against a comparison group (the counterfactual) of similar firms. To do this</w:t>
      </w:r>
      <w:r w:rsidR="002E2C69" w:rsidRPr="001276C9">
        <w:t>,</w:t>
      </w:r>
      <w:r w:rsidRPr="001276C9">
        <w:t xml:space="preserve"> w</w:t>
      </w:r>
      <w:r w:rsidR="00BC7C9F" w:rsidRPr="001276C9">
        <w:t>e use inverse propensity weighting to estimate the treatment effect fo</w:t>
      </w:r>
      <w:r w:rsidR="00607464" w:rsidRPr="001276C9">
        <w:t xml:space="preserve">r the CA </w:t>
      </w:r>
      <w:r w:rsidRPr="001276C9">
        <w:t>participants</w:t>
      </w:r>
      <w:r w:rsidR="00607464" w:rsidRPr="001276C9">
        <w:t>. This approach was</w:t>
      </w:r>
      <w:r w:rsidR="00BC7C9F" w:rsidRPr="001276C9">
        <w:t xml:space="preserve"> first introduced by </w:t>
      </w:r>
      <w:r w:rsidR="00BB2A04" w:rsidRPr="001276C9">
        <w:t xml:space="preserve">Hirano et al. (2003) and has the advantage of being less computationally intensive than </w:t>
      </w:r>
      <w:r w:rsidR="00BA1714" w:rsidRPr="001276C9">
        <w:t>comparable</w:t>
      </w:r>
      <w:r w:rsidR="00BB2A04" w:rsidRPr="001276C9">
        <w:t xml:space="preserve"> methods such as nearest</w:t>
      </w:r>
      <w:r w:rsidR="00BA1714" w:rsidRPr="001276C9">
        <w:t xml:space="preserve"> neighbour </w:t>
      </w:r>
      <w:r w:rsidR="00345121" w:rsidRPr="001276C9">
        <w:t>or propensity score matching, while</w:t>
      </w:r>
      <w:r w:rsidR="00BA1714" w:rsidRPr="001276C9">
        <w:t xml:space="preserve"> </w:t>
      </w:r>
      <w:r w:rsidR="00345121" w:rsidRPr="001276C9">
        <w:t xml:space="preserve">it </w:t>
      </w:r>
      <w:r w:rsidR="00BA1714" w:rsidRPr="001276C9">
        <w:t>offers</w:t>
      </w:r>
      <w:r w:rsidR="00BB2A04" w:rsidRPr="001276C9">
        <w:t xml:space="preserve"> the same </w:t>
      </w:r>
      <w:r w:rsidR="00345121" w:rsidRPr="001276C9">
        <w:t>degree of consistency</w:t>
      </w:r>
      <w:r w:rsidR="00BB2A04" w:rsidRPr="001276C9">
        <w:t xml:space="preserve">. </w:t>
      </w:r>
      <w:r w:rsidR="002D5DD5" w:rsidRPr="001276C9">
        <w:t>Dea</w:t>
      </w:r>
      <w:r w:rsidR="00BA1714" w:rsidRPr="001276C9">
        <w:t xml:space="preserve">ling with a </w:t>
      </w:r>
      <w:r w:rsidR="00BA1714" w:rsidRPr="001276C9">
        <w:lastRenderedPageBreak/>
        <w:t xml:space="preserve">large dataset, </w:t>
      </w:r>
      <w:r w:rsidR="00345121" w:rsidRPr="001276C9">
        <w:t xml:space="preserve">the low computational intensity </w:t>
      </w:r>
      <w:r w:rsidR="002D5DD5" w:rsidRPr="001276C9">
        <w:t>of the method prove</w:t>
      </w:r>
      <w:r w:rsidR="00BA1714" w:rsidRPr="001276C9">
        <w:t>s</w:t>
      </w:r>
      <w:r w:rsidR="002D5DD5" w:rsidRPr="001276C9">
        <w:t xml:space="preserve"> very </w:t>
      </w:r>
      <w:r w:rsidR="00880EA9" w:rsidRPr="001276C9">
        <w:t>helpful</w:t>
      </w:r>
      <w:r w:rsidR="002D5DD5" w:rsidRPr="001276C9">
        <w:t>.</w:t>
      </w:r>
    </w:p>
    <w:p w14:paraId="7D273804" w14:textId="11E0A739" w:rsidR="00991BAA" w:rsidRPr="001276C9" w:rsidRDefault="00991BAA" w:rsidP="00BC7C9F">
      <w:pPr>
        <w:pStyle w:val="BodyText"/>
      </w:pPr>
      <w:r w:rsidRPr="001276C9">
        <w:t>The idea be</w:t>
      </w:r>
      <w:r w:rsidR="00F079E2" w:rsidRPr="001276C9">
        <w:t>hind the methodology is that</w:t>
      </w:r>
      <w:r w:rsidRPr="001276C9">
        <w:t xml:space="preserve"> estimating the impact of a treatment </w:t>
      </w:r>
      <w:r w:rsidR="00F079E2" w:rsidRPr="001276C9">
        <w:t xml:space="preserve">is </w:t>
      </w:r>
      <w:r w:rsidR="009B5262" w:rsidRPr="001276C9">
        <w:t>equivalent to</w:t>
      </w:r>
      <w:r w:rsidR="00F079E2" w:rsidRPr="001276C9">
        <w:t xml:space="preserve"> the</w:t>
      </w:r>
      <w:r w:rsidRPr="001276C9">
        <w:t xml:space="preserve"> case of missing data: for treated observations the counterfactual is missing, whereas for </w:t>
      </w:r>
      <w:r w:rsidR="00F079E2" w:rsidRPr="001276C9">
        <w:t>the untreated the</w:t>
      </w:r>
      <w:r w:rsidRPr="001276C9">
        <w:t xml:space="preserve"> treated observation</w:t>
      </w:r>
      <w:r w:rsidR="00F079E2" w:rsidRPr="001276C9">
        <w:t>s are missing</w:t>
      </w:r>
      <w:r w:rsidRPr="001276C9">
        <w:t xml:space="preserve">. </w:t>
      </w:r>
    </w:p>
    <w:p w14:paraId="7F339DD2" w14:textId="3DD32BDC" w:rsidR="00952F2D" w:rsidRPr="001276C9" w:rsidRDefault="00952F2D" w:rsidP="00BC7C9F">
      <w:pPr>
        <w:pStyle w:val="BodyText"/>
      </w:pPr>
      <w:r w:rsidRPr="001276C9">
        <w:t>To implement the inverse propensity weights, one first estimates the propensities using a model such as</w:t>
      </w:r>
    </w:p>
    <w:p w14:paraId="6EE5D409" w14:textId="7FCE8F82" w:rsidR="00B4359C" w:rsidRPr="001276C9" w:rsidRDefault="00B4359C" w:rsidP="00D9622C">
      <w:pPr>
        <w:pStyle w:val="BodyText"/>
      </w:pPr>
      <m:oMath>
        <m:r>
          <m:rPr>
            <m:sty m:val="p"/>
          </m:rPr>
          <w:rPr>
            <w:rFonts w:ascii="Cambria Math" w:hAnsi="Cambria Math"/>
          </w:rPr>
          <m:t>Prob</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CA</m:t>
                </m:r>
              </m:e>
              <m:sub>
                <m:r>
                  <w:rPr>
                    <w:rFonts w:ascii="Cambria Math" w:hAnsi="Cambria Math"/>
                  </w:rPr>
                  <m:t>ji0</m:t>
                </m:r>
              </m:sub>
            </m:sSub>
            <m:r>
              <w:rPr>
                <w:rFonts w:ascii="Cambria Math" w:hAnsi="Cambria Math"/>
              </w:rPr>
              <m:t>=1</m:t>
            </m:r>
          </m:e>
        </m:d>
        <m:r>
          <w:rPr>
            <w:rFonts w:ascii="Cambria Math" w:hAnsi="Cambria Math"/>
          </w:rPr>
          <m:t>=</m:t>
        </m:r>
        <m:r>
          <m:rPr>
            <m:sty m:val="p"/>
          </m:rPr>
          <w:rPr>
            <w:rFonts w:ascii="Cambria Math" w:hAnsi="Cambria Math"/>
          </w:rPr>
          <w:sym w:font="Symbol" w:char="F046"/>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ij0</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i/>
                  </w:rPr>
                  <w:sym w:font="Symbol" w:char="F069"/>
                </m:r>
              </m:e>
              <m:sub>
                <m:r>
                  <w:rPr>
                    <w:rFonts w:ascii="Cambria Math" w:hAnsi="Cambria Math"/>
                  </w:rPr>
                  <m:t>i</m:t>
                </m:r>
              </m:sub>
            </m:sSub>
          </m:e>
        </m:d>
      </m:oMath>
      <w:r w:rsidR="00AE2258" w:rsidRPr="001276C9">
        <w:rPr>
          <w:rFonts w:eastAsiaTheme="minorEastAsia"/>
        </w:rPr>
        <w:tab/>
      </w:r>
      <w:r w:rsidR="00AE2258" w:rsidRPr="001276C9">
        <w:rPr>
          <w:rFonts w:eastAsiaTheme="minorEastAsia"/>
        </w:rPr>
        <w:tab/>
      </w:r>
      <w:r w:rsidR="00AE2258" w:rsidRPr="001276C9">
        <w:rPr>
          <w:rFonts w:eastAsiaTheme="minorEastAsia"/>
        </w:rPr>
        <w:tab/>
      </w:r>
      <w:r w:rsidR="00AE2258" w:rsidRPr="001276C9">
        <w:rPr>
          <w:rFonts w:eastAsiaTheme="minorEastAsia"/>
        </w:rPr>
        <w:tab/>
      </w:r>
      <w:r w:rsidR="00AE2258" w:rsidRPr="001276C9">
        <w:rPr>
          <w:rFonts w:eastAsiaTheme="minorEastAsia"/>
        </w:rPr>
        <w:tab/>
        <w:t>(1)</w:t>
      </w:r>
    </w:p>
    <w:p w14:paraId="7D0881D1" w14:textId="6C807F24" w:rsidR="00794C92" w:rsidRPr="001276C9" w:rsidRDefault="00794C92" w:rsidP="00D9622C">
      <w:pPr>
        <w:pStyle w:val="BodyText"/>
      </w:pPr>
      <w:r w:rsidRPr="001276C9">
        <w:t xml:space="preserve">where </w:t>
      </w:r>
      <w:r w:rsidRPr="001276C9">
        <w:rPr>
          <w:i/>
          <w:iCs/>
        </w:rPr>
        <w:t>j</w:t>
      </w:r>
      <w:r w:rsidRPr="001276C9">
        <w:t xml:space="preserve"> and </w:t>
      </w:r>
      <w:r w:rsidRPr="001276C9">
        <w:rPr>
          <w:i/>
          <w:iCs/>
        </w:rPr>
        <w:t>I</w:t>
      </w:r>
      <w:r w:rsidRPr="001276C9">
        <w:t xml:space="preserve"> index individual firm and its industry. Time zero is the year before the first CA grant is awarded.</w:t>
      </w:r>
    </w:p>
    <w:p w14:paraId="484C36DD" w14:textId="0E80E4E1" w:rsidR="00D9622C" w:rsidRPr="001276C9" w:rsidRDefault="00CB2A39" w:rsidP="00D9622C">
      <w:pPr>
        <w:pStyle w:val="BodyText"/>
      </w:pPr>
      <w:r w:rsidRPr="001276C9">
        <w:t>In (1)</w:t>
      </w:r>
      <w:r w:rsidR="000C4B3F" w:rsidRPr="001276C9">
        <w:t xml:space="preserve">, </w:t>
      </w:r>
      <w:r w:rsidR="00B54719" w:rsidRPr="001276C9">
        <w:rPr>
          <w:rFonts w:ascii="Times New Roman" w:hAnsi="Times New Roman" w:cs="Times New Roman"/>
          <w:i/>
          <w:iCs/>
        </w:rPr>
        <w:t>X</w:t>
      </w:r>
      <w:r w:rsidR="00B54719" w:rsidRPr="001276C9">
        <w:t xml:space="preserve"> is a series of firm-level characteristics</w:t>
      </w:r>
      <w:r w:rsidR="00952F2D" w:rsidRPr="001276C9">
        <w:t xml:space="preserve"> that matter for receiving the treatment and its effect</w:t>
      </w:r>
      <w:r w:rsidR="00B54719" w:rsidRPr="001276C9">
        <w:t xml:space="preserve">. </w:t>
      </w:r>
      <w:r w:rsidR="00B54719" w:rsidRPr="001276C9">
        <w:rPr>
          <w:i/>
        </w:rPr>
        <w:sym w:font="Symbol" w:char="F069"/>
      </w:r>
      <w:r w:rsidR="00B54719" w:rsidRPr="001276C9">
        <w:t xml:space="preserve"> is a series of industry dummies at </w:t>
      </w:r>
      <w:r w:rsidR="00C52A15" w:rsidRPr="001276C9">
        <w:t>2</w:t>
      </w:r>
      <w:r w:rsidR="00B54719" w:rsidRPr="001276C9">
        <w:t>–digit ANZSICs</w:t>
      </w:r>
      <w:r w:rsidR="0017431B" w:rsidRPr="001276C9">
        <w:t xml:space="preserve">, whereas </w:t>
      </w:r>
      <w:r w:rsidR="0017431B" w:rsidRPr="001276C9">
        <w:sym w:font="Symbol" w:char="F074"/>
      </w:r>
      <w:r w:rsidR="0017431B" w:rsidRPr="001276C9">
        <w:t xml:space="preserve"> is a set of dummies for the year of the first grant</w:t>
      </w:r>
      <w:r w:rsidR="00213BFE" w:rsidRPr="001276C9">
        <w:t xml:space="preserve"> ─ </w:t>
      </w:r>
      <w:r w:rsidR="0017431B" w:rsidRPr="001276C9">
        <w:t xml:space="preserve">or </w:t>
      </w:r>
      <w:r w:rsidR="00584FF8" w:rsidRPr="001276C9">
        <w:t xml:space="preserve">simply </w:t>
      </w:r>
      <w:r w:rsidR="0017431B" w:rsidRPr="001276C9">
        <w:t>the yea</w:t>
      </w:r>
      <w:r w:rsidR="00213BFE" w:rsidRPr="001276C9">
        <w:t>r of operation for non-</w:t>
      </w:r>
      <w:r w:rsidR="00E20BC8" w:rsidRPr="001276C9">
        <w:t>participants</w:t>
      </w:r>
      <w:r w:rsidR="00B54719" w:rsidRPr="001276C9">
        <w:t>.</w:t>
      </w:r>
      <w:r w:rsidR="0078276E" w:rsidRPr="001276C9">
        <w:t xml:space="preserve"> For </w:t>
      </w:r>
      <w:r w:rsidR="0078276E" w:rsidRPr="001276C9">
        <w:rPr>
          <w:rFonts w:ascii="Times New Roman" w:hAnsi="Times New Roman" w:cs="Times New Roman"/>
          <w:i/>
          <w:iCs/>
        </w:rPr>
        <w:t>X</w:t>
      </w:r>
      <w:r w:rsidR="0078276E" w:rsidRPr="001276C9">
        <w:t>, we use the log of turnover</w:t>
      </w:r>
      <w:r w:rsidR="008274AC" w:rsidRPr="001276C9">
        <w:t xml:space="preserve">, </w:t>
      </w:r>
      <w:r w:rsidR="001B4024" w:rsidRPr="001276C9">
        <w:t>dummies</w:t>
      </w:r>
      <w:r w:rsidR="00C52AEF" w:rsidRPr="001276C9">
        <w:t xml:space="preserve"> indicating whether</w:t>
      </w:r>
      <w:r w:rsidR="00794C92" w:rsidRPr="001276C9">
        <w:t xml:space="preserve"> the firm</w:t>
      </w:r>
      <w:r w:rsidR="00C52AEF" w:rsidRPr="001276C9">
        <w:t xml:space="preserve"> </w:t>
      </w:r>
      <w:r w:rsidR="00794C92" w:rsidRPr="001276C9">
        <w:t>is an exporter</w:t>
      </w:r>
      <w:r w:rsidR="0008317E" w:rsidRPr="001276C9">
        <w:t>,</w:t>
      </w:r>
      <w:r w:rsidR="001B4024" w:rsidRPr="001276C9">
        <w:t xml:space="preserve"> </w:t>
      </w:r>
      <w:r w:rsidR="0008317E" w:rsidRPr="001276C9">
        <w:t xml:space="preserve">undertook </w:t>
      </w:r>
      <w:r w:rsidR="001B4024" w:rsidRPr="001276C9">
        <w:t>R&amp;D-</w:t>
      </w:r>
      <w:r w:rsidR="000C021C" w:rsidRPr="001276C9">
        <w:t>activity</w:t>
      </w:r>
      <w:r w:rsidR="00C52AEF" w:rsidRPr="001276C9">
        <w:t xml:space="preserve">, </w:t>
      </w:r>
      <w:r w:rsidR="0008317E" w:rsidRPr="001276C9">
        <w:t xml:space="preserve">and dummies for </w:t>
      </w:r>
      <w:r w:rsidR="001B4024" w:rsidRPr="001276C9">
        <w:t xml:space="preserve">firm </w:t>
      </w:r>
      <w:r w:rsidR="00EE7A67" w:rsidRPr="001276C9">
        <w:t>age</w:t>
      </w:r>
      <w:r w:rsidR="000C021C" w:rsidRPr="001276C9">
        <w:t>, all one year prior to treatment</w:t>
      </w:r>
      <w:r w:rsidR="0008317E" w:rsidRPr="001276C9">
        <w:t>.</w:t>
      </w:r>
      <w:r w:rsidR="000F410B" w:rsidRPr="001276C9">
        <w:t xml:space="preserve"> </w:t>
      </w:r>
      <w:r w:rsidR="000F410B" w:rsidRPr="001276C9">
        <w:sym w:font="Symbol" w:char="F046"/>
      </w:r>
      <w:r w:rsidR="000F410B" w:rsidRPr="001276C9">
        <w:t xml:space="preserve"> is the standard normal CDF. </w:t>
      </w:r>
    </w:p>
    <w:p w14:paraId="21EFD8E3" w14:textId="68C0842C" w:rsidR="00842911" w:rsidRPr="001276C9" w:rsidRDefault="00842911" w:rsidP="00D9622C">
      <w:pPr>
        <w:pStyle w:val="BodyText"/>
      </w:pPr>
      <w:r w:rsidRPr="001276C9">
        <w:t>Let th</w:t>
      </w:r>
      <w:r w:rsidR="000E5A78" w:rsidRPr="001276C9">
        <w:t>e predicted propensities from (1)</w:t>
      </w:r>
      <w:r w:rsidRPr="001276C9">
        <w:t xml:space="preserve"> be </w:t>
      </w:r>
      <w:r w:rsidRPr="001276C9">
        <w:rPr>
          <w:rFonts w:ascii="Times New Roman" w:hAnsi="Times New Roman" w:cs="Times New Roman"/>
          <w:i/>
          <w:iCs/>
        </w:rPr>
        <w:t>p</w:t>
      </w:r>
      <w:r w:rsidR="0080152C" w:rsidRPr="001276C9">
        <w:t>. Then the Average Treatment E</w:t>
      </w:r>
      <w:r w:rsidRPr="001276C9">
        <w:t>ffect</w:t>
      </w:r>
      <w:r w:rsidR="00C42514" w:rsidRPr="001276C9">
        <w:t xml:space="preserve"> (</w:t>
      </w:r>
      <w:r w:rsidR="00C42514" w:rsidRPr="001276C9" w:rsidDel="00117EC0">
        <w:t>ATE</w:t>
      </w:r>
      <w:r w:rsidR="00C42514" w:rsidRPr="001276C9">
        <w:t>)</w:t>
      </w:r>
      <w:r w:rsidRPr="001276C9">
        <w:t xml:space="preserve"> </w:t>
      </w:r>
      <w:r w:rsidR="004A16EB" w:rsidRPr="001276C9">
        <w:t>is computed as</w:t>
      </w:r>
      <w:r w:rsidRPr="001276C9">
        <w:t xml:space="preserve"> (Wooldridge, 2010</w:t>
      </w:r>
      <w:r w:rsidR="0080152C" w:rsidRPr="001276C9">
        <w:t>, Chp 21.3</w:t>
      </w:r>
      <w:r w:rsidRPr="001276C9">
        <w:t>):</w:t>
      </w:r>
    </w:p>
    <w:p w14:paraId="2EC21E43" w14:textId="590952DB" w:rsidR="00842911" w:rsidRPr="001276C9" w:rsidRDefault="00117EC0" w:rsidP="00E41C57">
      <w:pPr>
        <w:pStyle w:val="BodyText"/>
        <w:spacing w:line="400" w:lineRule="exact"/>
        <w:rPr>
          <w:rFonts w:eastAsiaTheme="minorEastAsia"/>
        </w:rPr>
      </w:pPr>
      <m:oMath>
        <m:r>
          <m:rPr>
            <m:sty m:val="p"/>
          </m:rPr>
          <w:rPr>
            <w:rFonts w:ascii="Cambria Math" w:hAnsi="Cambria Math"/>
          </w:rPr>
          <m:t>ATE</m:t>
        </m:r>
        <m:r>
          <w:rPr>
            <w:rFonts w:ascii="Cambria Math" w:hAnsi="Cambria Math"/>
          </w:rPr>
          <m:t>=</m:t>
        </m:r>
        <m:r>
          <m:rPr>
            <m:sty m:val="p"/>
          </m:rPr>
          <w:rPr>
            <w:rFonts w:ascii="Cambria Math" w:hAnsi="Cambria Math"/>
          </w:rPr>
          <m:t>E</m:t>
        </m:r>
        <m:d>
          <m:dPr>
            <m:begChr m:val="["/>
            <m:endChr m:val="]"/>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p</m:t>
                </m:r>
              </m:den>
            </m:f>
            <m:d>
              <m:dPr>
                <m:begChr m:val="|"/>
                <m:endChr m:val=""/>
                <m:ctrlPr>
                  <w:rPr>
                    <w:rFonts w:ascii="Cambria Math" w:hAnsi="Cambria Math"/>
                    <w:i/>
                  </w:rPr>
                </m:ctrlPr>
              </m:dPr>
              <m:e>
                <m:r>
                  <w:rPr>
                    <w:rFonts w:ascii="Cambria Math" w:hAnsi="Cambria Math"/>
                  </w:rPr>
                  <m:t>CA=1</m:t>
                </m:r>
              </m:e>
            </m:d>
          </m:e>
        </m:d>
        <m:r>
          <w:rPr>
            <w:rFonts w:ascii="Cambria Math" w:hAnsi="Cambria Math"/>
          </w:rPr>
          <m:t>-</m:t>
        </m:r>
        <m:r>
          <m:rPr>
            <m:sty m:val="p"/>
          </m:rPr>
          <w:rPr>
            <w:rFonts w:ascii="Cambria Math" w:hAnsi="Cambria Math"/>
          </w:rPr>
          <m:t>E</m:t>
        </m:r>
        <m:d>
          <m:dPr>
            <m:begChr m:val="["/>
            <m:endChr m:val="]"/>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1-p</m:t>
                </m:r>
              </m:den>
            </m:f>
            <m:d>
              <m:dPr>
                <m:begChr m:val="|"/>
                <m:endChr m:val=""/>
                <m:ctrlPr>
                  <w:rPr>
                    <w:rFonts w:ascii="Cambria Math" w:hAnsi="Cambria Math"/>
                    <w:i/>
                  </w:rPr>
                </m:ctrlPr>
              </m:dPr>
              <m:e>
                <m:r>
                  <w:rPr>
                    <w:rFonts w:ascii="Cambria Math" w:hAnsi="Cambria Math"/>
                  </w:rPr>
                  <m:t>CA=0</m:t>
                </m:r>
              </m:e>
            </m:d>
          </m:e>
        </m:d>
        <m:r>
          <w:rPr>
            <w:rFonts w:ascii="Cambria Math" w:hAnsi="Cambria Math"/>
          </w:rPr>
          <m:t>,</m:t>
        </m:r>
      </m:oMath>
      <w:r w:rsidR="000E0724" w:rsidRPr="001276C9">
        <w:rPr>
          <w:rFonts w:eastAsiaTheme="minorEastAsia"/>
        </w:rPr>
        <w:tab/>
      </w:r>
      <w:r w:rsidR="000E0724" w:rsidRPr="001276C9">
        <w:rPr>
          <w:rFonts w:eastAsiaTheme="minorEastAsia"/>
        </w:rPr>
        <w:tab/>
      </w:r>
      <w:r w:rsidR="000E0724" w:rsidRPr="001276C9">
        <w:rPr>
          <w:rFonts w:eastAsiaTheme="minorEastAsia"/>
        </w:rPr>
        <w:tab/>
      </w:r>
      <w:r w:rsidR="000E0724" w:rsidRPr="001276C9">
        <w:rPr>
          <w:rFonts w:eastAsiaTheme="minorEastAsia"/>
        </w:rPr>
        <w:tab/>
      </w:r>
      <w:r w:rsidR="000E0724" w:rsidRPr="001276C9">
        <w:rPr>
          <w:rFonts w:eastAsiaTheme="minorEastAsia"/>
        </w:rPr>
        <w:tab/>
        <w:t>(2)</w:t>
      </w:r>
    </w:p>
    <w:p w14:paraId="0D7E2CED" w14:textId="16708B0C" w:rsidR="00B505C2" w:rsidRPr="001276C9" w:rsidRDefault="00B505C2" w:rsidP="002403C4">
      <w:pPr>
        <w:pStyle w:val="BodyText"/>
      </w:pPr>
      <w:r w:rsidRPr="001276C9">
        <w:t>where Y is any performance measure of interest.</w:t>
      </w:r>
      <w:r w:rsidR="00641B71" w:rsidRPr="001276C9">
        <w:t xml:space="preserve"> </w:t>
      </w:r>
      <w:r w:rsidR="00F6200B" w:rsidRPr="001276C9">
        <w:t xml:space="preserve">This </w:t>
      </w:r>
      <w:r w:rsidR="00614D49" w:rsidRPr="001276C9">
        <w:t xml:space="preserve">statistic </w:t>
      </w:r>
      <w:r w:rsidR="00F6200B" w:rsidRPr="001276C9">
        <w:t>estimates what would have happen had the grant been given to every firm.</w:t>
      </w:r>
    </w:p>
    <w:p w14:paraId="501B69FE" w14:textId="0EB45FDD" w:rsidR="00443EC2" w:rsidRPr="001276C9" w:rsidRDefault="002812A8" w:rsidP="001A5A82">
      <w:pPr>
        <w:pStyle w:val="BodyText"/>
      </w:pPr>
      <w:r w:rsidRPr="001276C9">
        <w:t>Alternatively, t</w:t>
      </w:r>
      <w:r w:rsidR="00C42514" w:rsidRPr="001276C9">
        <w:t xml:space="preserve">he </w:t>
      </w:r>
      <w:r w:rsidR="0080152C" w:rsidRPr="001276C9">
        <w:t>Average Treatment effect on the Treated (ATT) is defined as</w:t>
      </w:r>
      <w:r w:rsidR="004C7CDB" w:rsidRPr="001276C9">
        <w:t xml:space="preserve"> (Wooldridge, 2010, Chp 21.3)</w:t>
      </w:r>
      <w:r w:rsidR="0080152C" w:rsidRPr="001276C9">
        <w:t>:</w:t>
      </w:r>
    </w:p>
    <w:p w14:paraId="1E15D103" w14:textId="2F4BE791" w:rsidR="0080152C" w:rsidRPr="001276C9" w:rsidRDefault="0080152C" w:rsidP="00E41C57">
      <w:pPr>
        <w:pStyle w:val="BodyText"/>
        <w:spacing w:line="400" w:lineRule="exact"/>
        <w:rPr>
          <w:rFonts w:eastAsiaTheme="minorEastAsia"/>
        </w:rPr>
      </w:pPr>
      <m:oMath>
        <m:r>
          <m:rPr>
            <m:sty m:val="p"/>
          </m:rPr>
          <w:rPr>
            <w:rFonts w:ascii="Cambria Math" w:hAnsi="Cambria Math"/>
          </w:rPr>
          <m:t>ATT</m:t>
        </m:r>
        <m:r>
          <w:rPr>
            <w:rFonts w:ascii="Cambria Math" w:hAnsi="Cambria Math"/>
          </w:rPr>
          <m:t>=</m:t>
        </m:r>
        <m:r>
          <m:rPr>
            <m:sty m:val="p"/>
          </m:rPr>
          <w:rPr>
            <w:rFonts w:ascii="Cambria Math" w:hAnsi="Cambria Math"/>
          </w:rPr>
          <m:t>E</m:t>
        </m:r>
        <m:d>
          <m:dPr>
            <m:begChr m:val="["/>
            <m:endChr m:val="]"/>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ρ</m:t>
                </m:r>
              </m:den>
            </m:f>
            <m:d>
              <m:dPr>
                <m:begChr m:val="|"/>
                <m:endChr m:val=""/>
                <m:ctrlPr>
                  <w:rPr>
                    <w:rFonts w:ascii="Cambria Math" w:hAnsi="Cambria Math"/>
                    <w:i/>
                  </w:rPr>
                </m:ctrlPr>
              </m:dPr>
              <m:e>
                <m:r>
                  <w:rPr>
                    <w:rFonts w:ascii="Cambria Math" w:hAnsi="Cambria Math"/>
                  </w:rPr>
                  <m:t>CA=1</m:t>
                </m:r>
              </m:e>
            </m:d>
          </m:e>
        </m:d>
        <m:r>
          <w:rPr>
            <w:rFonts w:ascii="Cambria Math" w:hAnsi="Cambria Math"/>
          </w:rPr>
          <m:t>-</m:t>
        </m:r>
        <m:r>
          <m:rPr>
            <m:sty m:val="p"/>
          </m:rPr>
          <w:rPr>
            <w:rFonts w:ascii="Cambria Math" w:hAnsi="Cambria Math"/>
          </w:rPr>
          <m:t>E</m:t>
        </m:r>
        <m:d>
          <m:dPr>
            <m:begChr m:val="["/>
            <m:endChr m:val="]"/>
            <m:ctrlPr>
              <w:rPr>
                <w:rFonts w:ascii="Cambria Math" w:hAnsi="Cambria Math"/>
                <w:i/>
              </w:rPr>
            </m:ctrlPr>
          </m:dPr>
          <m:e>
            <m:f>
              <m:fPr>
                <m:ctrlPr>
                  <w:rPr>
                    <w:rFonts w:ascii="Cambria Math" w:hAnsi="Cambria Math"/>
                    <w:i/>
                  </w:rPr>
                </m:ctrlPr>
              </m:fPr>
              <m:num>
                <m:r>
                  <w:rPr>
                    <w:rFonts w:ascii="Cambria Math" w:hAnsi="Cambria Math"/>
                  </w:rPr>
                  <m:t>pY</m:t>
                </m:r>
              </m:num>
              <m:den>
                <m:r>
                  <w:rPr>
                    <w:rFonts w:ascii="Cambria Math" w:hAnsi="Cambria Math"/>
                  </w:rPr>
                  <m:t>ρ</m:t>
                </m:r>
                <m:d>
                  <m:dPr>
                    <m:ctrlPr>
                      <w:rPr>
                        <w:rFonts w:ascii="Cambria Math" w:hAnsi="Cambria Math"/>
                        <w:i/>
                      </w:rPr>
                    </m:ctrlPr>
                  </m:dPr>
                  <m:e>
                    <m:r>
                      <w:rPr>
                        <w:rFonts w:ascii="Cambria Math" w:hAnsi="Cambria Math"/>
                      </w:rPr>
                      <m:t>1-p</m:t>
                    </m:r>
                  </m:e>
                </m:d>
              </m:den>
            </m:f>
            <m:d>
              <m:dPr>
                <m:begChr m:val="|"/>
                <m:endChr m:val=""/>
                <m:ctrlPr>
                  <w:rPr>
                    <w:rFonts w:ascii="Cambria Math" w:hAnsi="Cambria Math"/>
                    <w:i/>
                  </w:rPr>
                </m:ctrlPr>
              </m:dPr>
              <m:e>
                <m:r>
                  <w:rPr>
                    <w:rFonts w:ascii="Cambria Math" w:hAnsi="Cambria Math"/>
                  </w:rPr>
                  <m:t>CA=0</m:t>
                </m:r>
              </m:e>
            </m:d>
          </m:e>
        </m:d>
        <m:r>
          <w:rPr>
            <w:rFonts w:ascii="Cambria Math" w:hAnsi="Cambria Math"/>
          </w:rPr>
          <m:t>.</m:t>
        </m:r>
      </m:oMath>
      <w:r w:rsidR="002812A8" w:rsidRPr="001276C9">
        <w:rPr>
          <w:rFonts w:eastAsiaTheme="minorEastAsia"/>
        </w:rPr>
        <w:tab/>
      </w:r>
      <w:r w:rsidR="002812A8" w:rsidRPr="001276C9">
        <w:rPr>
          <w:rFonts w:eastAsiaTheme="minorEastAsia"/>
        </w:rPr>
        <w:tab/>
      </w:r>
      <w:r w:rsidR="002812A8" w:rsidRPr="001276C9">
        <w:rPr>
          <w:rFonts w:eastAsiaTheme="minorEastAsia"/>
        </w:rPr>
        <w:tab/>
      </w:r>
      <w:r w:rsidR="002812A8" w:rsidRPr="001276C9">
        <w:rPr>
          <w:rFonts w:eastAsiaTheme="minorEastAsia"/>
        </w:rPr>
        <w:tab/>
      </w:r>
      <w:r w:rsidR="002812A8" w:rsidRPr="001276C9">
        <w:rPr>
          <w:rFonts w:eastAsiaTheme="minorEastAsia"/>
        </w:rPr>
        <w:tab/>
        <w:t>(3)</w:t>
      </w:r>
    </w:p>
    <w:p w14:paraId="278633A3" w14:textId="177AA80D" w:rsidR="0080152C" w:rsidRPr="001276C9" w:rsidRDefault="00DA2273" w:rsidP="69C395A1">
      <w:pPr>
        <w:pStyle w:val="BodyText"/>
      </w:pPr>
      <w:r w:rsidRPr="001276C9">
        <w:t xml:space="preserve">In the ATT, </w:t>
      </w:r>
      <w:r w:rsidRPr="001276C9">
        <w:rPr>
          <w:i/>
        </w:rPr>
        <w:sym w:font="Symbol" w:char="F072"/>
      </w:r>
      <w:r w:rsidRPr="001276C9">
        <w:t xml:space="preserve"> is the unconditional probab</w:t>
      </w:r>
      <w:r w:rsidR="0084004C" w:rsidRPr="001276C9">
        <w:t>ility that a firm receives CA</w:t>
      </w:r>
      <w:r w:rsidR="0001514E" w:rsidRPr="001276C9">
        <w:t xml:space="preserve"> grants</w:t>
      </w:r>
      <w:r w:rsidR="0084004C" w:rsidRPr="001276C9">
        <w:t>. I</w:t>
      </w:r>
      <w:r w:rsidRPr="001276C9">
        <w:t>n this case</w:t>
      </w:r>
      <w:r w:rsidR="0084004C" w:rsidRPr="001276C9">
        <w:t>,</w:t>
      </w:r>
      <w:r w:rsidRPr="001276C9">
        <w:t xml:space="preserve"> </w:t>
      </w:r>
      <w:r w:rsidR="0084004C" w:rsidRPr="001276C9">
        <w:rPr>
          <w:i/>
        </w:rPr>
        <w:sym w:font="Symbol" w:char="F072"/>
      </w:r>
      <w:r w:rsidR="0084004C" w:rsidRPr="001276C9">
        <w:rPr>
          <w:i/>
          <w:iCs/>
        </w:rPr>
        <w:t xml:space="preserve"> </w:t>
      </w:r>
      <w:r w:rsidR="0084004C" w:rsidRPr="001276C9">
        <w:t>will be</w:t>
      </w:r>
      <w:r w:rsidR="0084004C" w:rsidRPr="001276C9">
        <w:rPr>
          <w:i/>
          <w:iCs/>
        </w:rPr>
        <w:t xml:space="preserve"> </w:t>
      </w:r>
      <w:r w:rsidRPr="001276C9">
        <w:t>the number of CA firms divided by the total.</w:t>
      </w:r>
      <w:r w:rsidR="00614D49" w:rsidRPr="001276C9">
        <w:t xml:space="preserve"> This effect estimates the average effect of the </w:t>
      </w:r>
      <w:r w:rsidR="008D2D4B" w:rsidRPr="001276C9">
        <w:t>program</w:t>
      </w:r>
      <w:r w:rsidR="00614D49" w:rsidRPr="001276C9">
        <w:t xml:space="preserve"> on the recipient firms only.</w:t>
      </w:r>
    </w:p>
    <w:p w14:paraId="0CA39782" w14:textId="578DA641" w:rsidR="009D33CA" w:rsidRPr="001276C9" w:rsidRDefault="009D33CA" w:rsidP="001A5A82">
      <w:pPr>
        <w:pStyle w:val="BodyText"/>
      </w:pPr>
      <w:r w:rsidRPr="001276C9">
        <w:t xml:space="preserve">In what follows, we will focus on the ATT </w:t>
      </w:r>
      <w:r w:rsidR="00B15BF2" w:rsidRPr="001276C9">
        <w:t xml:space="preserve">statistic </w:t>
      </w:r>
      <w:r w:rsidR="00941097" w:rsidRPr="001276C9">
        <w:t>as the</w:t>
      </w:r>
      <w:r w:rsidR="00EA7F44" w:rsidRPr="001276C9">
        <w:t xml:space="preserve"> measure of</w:t>
      </w:r>
      <w:r w:rsidRPr="001276C9">
        <w:t xml:space="preserve"> </w:t>
      </w:r>
      <w:r w:rsidR="00573E79" w:rsidRPr="001276C9">
        <w:t xml:space="preserve">the </w:t>
      </w:r>
      <w:r w:rsidRPr="001276C9">
        <w:t xml:space="preserve">program’s effectiveness. The CA </w:t>
      </w:r>
      <w:r w:rsidR="0001514E" w:rsidRPr="001276C9">
        <w:t xml:space="preserve">program </w:t>
      </w:r>
      <w:r w:rsidRPr="001276C9">
        <w:t xml:space="preserve">was not meant to be available to all firms but to a selected group of firms with viable commercialisation intent. As such, the ATT </w:t>
      </w:r>
      <w:r w:rsidR="00B15BF2" w:rsidRPr="001276C9">
        <w:t xml:space="preserve">statistic </w:t>
      </w:r>
      <w:r w:rsidR="00941097" w:rsidRPr="001276C9">
        <w:t xml:space="preserve">provides an </w:t>
      </w:r>
      <w:r w:rsidR="005351FD" w:rsidRPr="001276C9">
        <w:t xml:space="preserve">understanding </w:t>
      </w:r>
      <w:r w:rsidR="009B4B0C" w:rsidRPr="001276C9">
        <w:t>of whether</w:t>
      </w:r>
      <w:r w:rsidR="00EA7F44" w:rsidRPr="001276C9">
        <w:t xml:space="preserve"> the</w:t>
      </w:r>
      <w:r w:rsidR="002E2C69" w:rsidRPr="001276C9">
        <w:t xml:space="preserve"> program was successful with the targeted group of</w:t>
      </w:r>
      <w:r w:rsidR="00EA7F44" w:rsidRPr="001276C9">
        <w:t xml:space="preserve"> firms</w:t>
      </w:r>
      <w:r w:rsidRPr="001276C9">
        <w:t>.</w:t>
      </w:r>
    </w:p>
    <w:p w14:paraId="43070A0C" w14:textId="41A7AA14" w:rsidR="00380C44" w:rsidRPr="001276C9" w:rsidRDefault="00380C44" w:rsidP="001A5A82">
      <w:pPr>
        <w:pStyle w:val="BodyText"/>
      </w:pPr>
      <w:r w:rsidRPr="001276C9">
        <w:t xml:space="preserve">In </w:t>
      </w:r>
      <w:r w:rsidR="00B15BF2" w:rsidRPr="001276C9">
        <w:t xml:space="preserve">the hypothetical </w:t>
      </w:r>
      <w:r w:rsidRPr="001276C9">
        <w:t xml:space="preserve">case </w:t>
      </w:r>
      <w:r w:rsidR="00B15BF2" w:rsidRPr="001276C9">
        <w:t xml:space="preserve">that </w:t>
      </w:r>
      <w:r w:rsidRPr="001276C9">
        <w:t xml:space="preserve">participation in the </w:t>
      </w:r>
      <w:r w:rsidR="008D2D4B" w:rsidRPr="001276C9">
        <w:t>program</w:t>
      </w:r>
      <w:r w:rsidRPr="001276C9">
        <w:t xml:space="preserve"> is completely random, ATT and ATE will be the same. </w:t>
      </w:r>
      <w:r w:rsidR="00B15BF2" w:rsidRPr="001276C9">
        <w:t>However, given the selected nature of participants, some selection</w:t>
      </w:r>
      <w:r w:rsidR="00C039FD" w:rsidRPr="001276C9">
        <w:t xml:space="preserve"> bias is expected. In this</w:t>
      </w:r>
      <w:r w:rsidR="00B15BF2" w:rsidRPr="001276C9">
        <w:t xml:space="preserve"> case, a</w:t>
      </w:r>
      <w:r w:rsidRPr="001276C9">
        <w:t xml:space="preserve"> higher value for ATT statistic suggests </w:t>
      </w:r>
      <w:r w:rsidR="00AD0733" w:rsidRPr="001276C9">
        <w:t>a</w:t>
      </w:r>
      <w:r w:rsidRPr="001276C9">
        <w:t xml:space="preserve"> selection where the participants are inherently better perform</w:t>
      </w:r>
      <w:r w:rsidR="00F6588C" w:rsidRPr="001276C9">
        <w:t>ing</w:t>
      </w:r>
      <w:r w:rsidR="008861B3" w:rsidRPr="001276C9">
        <w:t xml:space="preserve"> (or </w:t>
      </w:r>
      <w:r w:rsidR="00EF73C5" w:rsidRPr="001276C9">
        <w:t xml:space="preserve">are able to </w:t>
      </w:r>
      <w:r w:rsidR="008861B3" w:rsidRPr="001276C9">
        <w:t>make better use of the grants)</w:t>
      </w:r>
      <w:r w:rsidR="00F6588C" w:rsidRPr="001276C9">
        <w:t xml:space="preserve"> than the </w:t>
      </w:r>
      <w:r w:rsidR="00573E79" w:rsidRPr="001276C9">
        <w:t>c</w:t>
      </w:r>
      <w:r w:rsidR="00D523F3" w:rsidRPr="001276C9">
        <w:t>omparison</w:t>
      </w:r>
      <w:r w:rsidR="00573E79" w:rsidRPr="001276C9">
        <w:t xml:space="preserve"> </w:t>
      </w:r>
      <w:r w:rsidR="00F6588C" w:rsidRPr="001276C9">
        <w:t>group</w:t>
      </w:r>
      <w:r w:rsidRPr="001276C9">
        <w:t>. A smaller ATT suggests the reverse.</w:t>
      </w:r>
      <w:r w:rsidR="00CD4674" w:rsidRPr="001276C9">
        <w:t xml:space="preserve"> </w:t>
      </w:r>
      <w:r w:rsidR="00F90462" w:rsidRPr="001276C9">
        <w:t>Results and analysis of the ATE is provided in the appendix Table A1</w:t>
      </w:r>
      <w:r w:rsidR="00CD4674" w:rsidRPr="001276C9">
        <w:t>.</w:t>
      </w:r>
    </w:p>
    <w:p w14:paraId="14DFD3B8" w14:textId="074AC827" w:rsidR="00DA2273" w:rsidRPr="001276C9" w:rsidRDefault="00DF6ED8" w:rsidP="001A5A82">
      <w:pPr>
        <w:pStyle w:val="BodyText"/>
      </w:pPr>
      <w:r w:rsidRPr="001276C9">
        <w:lastRenderedPageBreak/>
        <w:t xml:space="preserve">Looking at the </w:t>
      </w:r>
      <w:r w:rsidRPr="001276C9" w:rsidDel="00117EC0">
        <w:t>AT</w:t>
      </w:r>
      <w:r w:rsidR="00924996" w:rsidRPr="001276C9">
        <w:t>T</w:t>
      </w:r>
      <w:r w:rsidRPr="001276C9">
        <w:t xml:space="preserve"> and AT</w:t>
      </w:r>
      <w:r w:rsidR="00924996" w:rsidRPr="001276C9">
        <w:t>E</w:t>
      </w:r>
      <w:r w:rsidRPr="001276C9">
        <w:t xml:space="preserve">, one </w:t>
      </w:r>
      <w:r w:rsidR="005110A0" w:rsidRPr="001276C9">
        <w:t xml:space="preserve">also </w:t>
      </w:r>
      <w:r w:rsidRPr="001276C9">
        <w:t xml:space="preserve">notices that for a proper estimation of the effects, no observation can </w:t>
      </w:r>
      <w:r w:rsidR="00AE325D" w:rsidRPr="001276C9">
        <w:t>get too close to</w:t>
      </w:r>
      <w:r w:rsidRPr="001276C9">
        <w:t xml:space="preserve"> </w:t>
      </w:r>
      <w:r w:rsidRPr="001276C9">
        <w:rPr>
          <w:rFonts w:ascii="Times New Roman" w:hAnsi="Times New Roman" w:cs="Times New Roman"/>
          <w:i/>
          <w:iCs/>
        </w:rPr>
        <w:t>p</w:t>
      </w:r>
      <w:r w:rsidRPr="001276C9">
        <w:rPr>
          <w:i/>
          <w:iCs/>
        </w:rPr>
        <w:t>=</w:t>
      </w:r>
      <w:r w:rsidRPr="001276C9">
        <w:t xml:space="preserve">0 or </w:t>
      </w:r>
      <w:r w:rsidRPr="001276C9">
        <w:rPr>
          <w:rFonts w:ascii="Times New Roman" w:hAnsi="Times New Roman" w:cs="Times New Roman"/>
          <w:i/>
          <w:iCs/>
        </w:rPr>
        <w:t>p</w:t>
      </w:r>
      <w:r w:rsidRPr="001276C9">
        <w:rPr>
          <w:i/>
          <w:iCs/>
        </w:rPr>
        <w:t>=</w:t>
      </w:r>
      <w:r w:rsidRPr="001276C9">
        <w:t>1, otherwise the estimate of impacts can go to infinity</w:t>
      </w:r>
      <w:r w:rsidR="006B2E5D" w:rsidRPr="001276C9">
        <w:t xml:space="preserve">. For this reason, we make the crucial </w:t>
      </w:r>
      <w:r w:rsidR="006B2E5D" w:rsidRPr="001276C9">
        <w:rPr>
          <w:i/>
          <w:iCs/>
        </w:rPr>
        <w:t>overlap</w:t>
      </w:r>
      <w:r w:rsidR="00D1716E" w:rsidRPr="001276C9">
        <w:rPr>
          <w:i/>
          <w:iCs/>
        </w:rPr>
        <w:t>ping</w:t>
      </w:r>
      <w:r w:rsidR="006B2E5D" w:rsidRPr="001276C9">
        <w:t xml:space="preserve"> assumption that basically says 0&lt;</w:t>
      </w:r>
      <w:r w:rsidR="006B2E5D" w:rsidRPr="001276C9">
        <w:rPr>
          <w:rFonts w:ascii="Times New Roman" w:hAnsi="Times New Roman" w:cs="Times New Roman"/>
          <w:i/>
          <w:iCs/>
        </w:rPr>
        <w:t>p</w:t>
      </w:r>
      <w:r w:rsidR="006B2E5D" w:rsidRPr="001276C9">
        <w:t xml:space="preserve">&lt;1 for every observation included in the analysis. This assumption simply </w:t>
      </w:r>
      <w:r w:rsidR="00995758" w:rsidRPr="001276C9">
        <w:t>maintains</w:t>
      </w:r>
      <w:r w:rsidR="006B2E5D" w:rsidRPr="001276C9">
        <w:t xml:space="preserve"> that for every CA </w:t>
      </w:r>
      <w:r w:rsidR="00FD44D8" w:rsidRPr="001276C9">
        <w:t xml:space="preserve">participant </w:t>
      </w:r>
      <w:r w:rsidR="006B2E5D" w:rsidRPr="001276C9">
        <w:t>there must be a similar non-</w:t>
      </w:r>
      <w:r w:rsidR="00FD44D8" w:rsidRPr="001276C9">
        <w:t>participating</w:t>
      </w:r>
      <w:r w:rsidR="006B2E5D" w:rsidRPr="001276C9">
        <w:t xml:space="preserve"> firm and </w:t>
      </w:r>
      <w:r w:rsidR="00D1716E" w:rsidRPr="001276C9">
        <w:t>vice versa</w:t>
      </w:r>
      <w:r w:rsidR="006B2E5D" w:rsidRPr="001276C9">
        <w:t>.</w:t>
      </w:r>
    </w:p>
    <w:p w14:paraId="4DA75150" w14:textId="6D64BA71" w:rsidR="006B2E5D" w:rsidRPr="001276C9" w:rsidRDefault="006B2E5D" w:rsidP="001A5A82">
      <w:pPr>
        <w:pStyle w:val="BodyText"/>
      </w:pPr>
      <w:r w:rsidRPr="001276C9">
        <w:t xml:space="preserve">To make sure that the overlapping assumption holds, we apply </w:t>
      </w:r>
      <w:r w:rsidR="008230C6" w:rsidRPr="001276C9">
        <w:t>some</w:t>
      </w:r>
      <w:r w:rsidRPr="001276C9">
        <w:t xml:space="preserve"> filtering to our data. First, we drop all 4-digit ANZSIC</w:t>
      </w:r>
      <w:r w:rsidR="00AE325D" w:rsidRPr="001276C9">
        <w:t>s</w:t>
      </w:r>
      <w:r w:rsidRPr="001276C9">
        <w:t xml:space="preserve"> where no firm</w:t>
      </w:r>
      <w:r w:rsidR="008230C6" w:rsidRPr="001276C9">
        <w:t xml:space="preserve"> </w:t>
      </w:r>
      <w:r w:rsidR="00C33A7A" w:rsidRPr="001276C9">
        <w:t xml:space="preserve">received </w:t>
      </w:r>
      <w:r w:rsidR="008230C6" w:rsidRPr="001276C9">
        <w:t xml:space="preserve">a </w:t>
      </w:r>
      <w:r w:rsidR="00C33A7A" w:rsidRPr="001276C9">
        <w:t>CA grant.</w:t>
      </w:r>
      <w:r w:rsidR="00C43FBF" w:rsidRPr="001276C9">
        <w:t xml:space="preserve"> We drop all years before the CA </w:t>
      </w:r>
      <w:r w:rsidR="008D2D4B" w:rsidRPr="001276C9">
        <w:t>program</w:t>
      </w:r>
      <w:r w:rsidR="00C43FBF" w:rsidRPr="001276C9">
        <w:t xml:space="preserve"> was introduced.</w:t>
      </w:r>
      <w:r w:rsidR="00C33A7A" w:rsidRPr="001276C9">
        <w:t xml:space="preserve"> We have also already dropped</w:t>
      </w:r>
      <w:r w:rsidRPr="001276C9">
        <w:t xml:space="preserve"> all firms with turnovers above </w:t>
      </w:r>
      <w:r w:rsidR="006F380A" w:rsidRPr="001276C9">
        <w:t>$30 million</w:t>
      </w:r>
      <w:r w:rsidR="00273A42" w:rsidRPr="001276C9">
        <w:t xml:space="preserve"> and older than 8 years old</w:t>
      </w:r>
      <w:r w:rsidR="00D00847" w:rsidRPr="001276C9">
        <w:t xml:space="preserve"> (the class of mature large firms)</w:t>
      </w:r>
      <w:r w:rsidRPr="001276C9">
        <w:t xml:space="preserve">. </w:t>
      </w:r>
    </w:p>
    <w:p w14:paraId="707BD046" w14:textId="583496AF" w:rsidR="00894D49" w:rsidRPr="001276C9" w:rsidRDefault="00FF48C7" w:rsidP="69C395A1">
      <w:pPr>
        <w:pStyle w:val="BodyText"/>
      </w:pPr>
      <w:r w:rsidRPr="001276C9">
        <w:t xml:space="preserve">We are unable to enforce the overlapping assumption across unobservable dimensions. </w:t>
      </w:r>
      <w:r w:rsidR="00894D49" w:rsidRPr="001276C9">
        <w:t xml:space="preserve">One </w:t>
      </w:r>
      <w:r w:rsidRPr="001276C9">
        <w:t xml:space="preserve">such </w:t>
      </w:r>
      <w:r w:rsidR="00894D49" w:rsidRPr="001276C9">
        <w:t xml:space="preserve">dimension </w:t>
      </w:r>
      <w:r w:rsidRPr="001276C9">
        <w:t>i</w:t>
      </w:r>
      <w:r w:rsidR="00894D49" w:rsidRPr="001276C9">
        <w:t xml:space="preserve">s the commercialisation intent. Theoretically, it would be more accurate to compare the CA firms with those firms from the counterfactual pool that intend to commercialise a product. However, this information </w:t>
      </w:r>
      <w:r w:rsidR="00863460" w:rsidRPr="001276C9">
        <w:t xml:space="preserve">is </w:t>
      </w:r>
      <w:r w:rsidR="00894D49" w:rsidRPr="001276C9">
        <w:t xml:space="preserve">unavailable. To the extent that </w:t>
      </w:r>
      <w:r w:rsidRPr="001276C9">
        <w:t xml:space="preserve">covariates in (1) </w:t>
      </w:r>
      <w:r w:rsidR="00894D49" w:rsidRPr="001276C9">
        <w:t>account for the intent to commercialise</w:t>
      </w:r>
      <w:r w:rsidRPr="001276C9">
        <w:t xml:space="preserve"> or other unobserved characteristics</w:t>
      </w:r>
      <w:r w:rsidR="00894D49" w:rsidRPr="001276C9">
        <w:t>,</w:t>
      </w:r>
      <w:r w:rsidR="005D68F1" w:rsidRPr="001276C9">
        <w:t xml:space="preserve"> the overlapping assumption still holds</w:t>
      </w:r>
      <w:r w:rsidR="00894D49" w:rsidRPr="001276C9">
        <w:t>.</w:t>
      </w:r>
      <w:r w:rsidR="008C2FEE" w:rsidRPr="001276C9">
        <w:t xml:space="preserve"> </w:t>
      </w:r>
    </w:p>
    <w:p w14:paraId="2713D670" w14:textId="3D44A237" w:rsidR="00DA0B06" w:rsidRPr="001276C9" w:rsidRDefault="00DA0B06" w:rsidP="69C395A1">
      <w:pPr>
        <w:pStyle w:val="Heading1"/>
      </w:pPr>
      <w:r w:rsidRPr="001276C9">
        <w:t xml:space="preserve">Impact </w:t>
      </w:r>
      <w:r w:rsidR="00B360FB" w:rsidRPr="001276C9">
        <w:t>analysis</w:t>
      </w:r>
    </w:p>
    <w:p w14:paraId="27FECE42" w14:textId="1C4CC94E" w:rsidR="000E4F13" w:rsidRPr="001276C9" w:rsidRDefault="000E4F13" w:rsidP="000E4F13">
      <w:pPr>
        <w:pStyle w:val="BodyText"/>
      </w:pPr>
      <w:r w:rsidRPr="001276C9">
        <w:t xml:space="preserve">We apply the methodology </w:t>
      </w:r>
      <w:r w:rsidR="00891F7E" w:rsidRPr="001276C9">
        <w:t>outlined in</w:t>
      </w:r>
      <w:r w:rsidRPr="001276C9">
        <w:t xml:space="preserve"> section </w:t>
      </w:r>
      <w:r w:rsidR="00891F7E" w:rsidRPr="001276C9">
        <w:t xml:space="preserve">5 </w:t>
      </w:r>
      <w:r w:rsidRPr="001276C9">
        <w:t xml:space="preserve">to firms identified as </w:t>
      </w:r>
      <w:r w:rsidR="00891F7E" w:rsidRPr="001276C9">
        <w:t>participating in</w:t>
      </w:r>
      <w:r w:rsidRPr="001276C9">
        <w:t xml:space="preserve"> the CA </w:t>
      </w:r>
      <w:r w:rsidR="00891F7E" w:rsidRPr="001276C9">
        <w:t>program</w:t>
      </w:r>
      <w:r w:rsidRPr="001276C9">
        <w:t xml:space="preserve"> versus </w:t>
      </w:r>
      <w:r w:rsidR="00BC302C" w:rsidRPr="001276C9">
        <w:t xml:space="preserve">a comparison group of </w:t>
      </w:r>
      <w:r w:rsidRPr="001276C9">
        <w:t xml:space="preserve">firms that </w:t>
      </w:r>
      <w:r w:rsidR="00433BB1" w:rsidRPr="001276C9">
        <w:t>did not</w:t>
      </w:r>
      <w:r w:rsidRPr="001276C9">
        <w:t xml:space="preserve"> receive a CA grant. For comparison, the year before </w:t>
      </w:r>
      <w:r w:rsidR="00433BB1" w:rsidRPr="001276C9">
        <w:t xml:space="preserve">a CA participant </w:t>
      </w:r>
      <w:r w:rsidRPr="001276C9">
        <w:t>receiv</w:t>
      </w:r>
      <w:r w:rsidR="00433BB1" w:rsidRPr="001276C9">
        <w:t>ed</w:t>
      </w:r>
      <w:r w:rsidRPr="001276C9">
        <w:t xml:space="preserve"> </w:t>
      </w:r>
      <w:r w:rsidR="00571E38" w:rsidRPr="001276C9">
        <w:t xml:space="preserve">its </w:t>
      </w:r>
      <w:r w:rsidRPr="001276C9">
        <w:t xml:space="preserve">first CA grant is assigned </w:t>
      </w:r>
      <w:r w:rsidRPr="001276C9">
        <w:rPr>
          <w:i/>
          <w:iCs/>
        </w:rPr>
        <w:t>t</w:t>
      </w:r>
      <w:r w:rsidRPr="001276C9">
        <w:t xml:space="preserve">=0. We then look at </w:t>
      </w:r>
      <w:r w:rsidR="00433BB1" w:rsidRPr="001276C9">
        <w:t xml:space="preserve">changes in a </w:t>
      </w:r>
      <w:r w:rsidRPr="001276C9">
        <w:t xml:space="preserve">few performance measures </w:t>
      </w:r>
      <w:r w:rsidR="00433BB1" w:rsidRPr="001276C9">
        <w:t>for both participating and non-participating f</w:t>
      </w:r>
      <w:r w:rsidR="00571E38" w:rsidRPr="001276C9">
        <w:t>i</w:t>
      </w:r>
      <w:r w:rsidR="00433BB1" w:rsidRPr="001276C9">
        <w:t>rms for</w:t>
      </w:r>
      <w:r w:rsidR="00C95CC4" w:rsidRPr="001276C9">
        <w:t xml:space="preserve"> the years that follow.</w:t>
      </w:r>
      <w:r w:rsidR="001723B4" w:rsidRPr="001276C9">
        <w:t xml:space="preserve"> Note that the cost of </w:t>
      </w:r>
      <w:r w:rsidR="008D2D4B" w:rsidRPr="001276C9">
        <w:t>program</w:t>
      </w:r>
      <w:r w:rsidR="001723B4" w:rsidRPr="001276C9">
        <w:t xml:space="preserve"> delivery</w:t>
      </w:r>
      <w:r w:rsidR="00433BB1" w:rsidRPr="001276C9">
        <w:t>, including the cost of case managers,</w:t>
      </w:r>
      <w:r w:rsidR="001723B4" w:rsidRPr="001276C9">
        <w:t xml:space="preserve"> is not </w:t>
      </w:r>
      <w:r w:rsidR="006237C5" w:rsidRPr="001276C9">
        <w:t>ac</w:t>
      </w:r>
      <w:r w:rsidR="001723B4" w:rsidRPr="001276C9">
        <w:t xml:space="preserve">counted </w:t>
      </w:r>
      <w:r w:rsidR="006237C5" w:rsidRPr="001276C9">
        <w:t xml:space="preserve">for </w:t>
      </w:r>
      <w:r w:rsidR="001723B4" w:rsidRPr="001276C9">
        <w:t>in the estimates; the estimates only focus on the performance of the firms.</w:t>
      </w:r>
      <w:r w:rsidR="00A4080A" w:rsidRPr="001276C9">
        <w:t xml:space="preserve"> Moreover, we did not assess the impact on employment growth given that information on wages and FTE was missing for a large number of CA participating firms in the BLADE</w:t>
      </w:r>
      <w:r w:rsidR="000A6865" w:rsidRPr="001276C9">
        <w:t>.</w:t>
      </w:r>
    </w:p>
    <w:p w14:paraId="68E6EEAC" w14:textId="25292AC2" w:rsidR="00DA0B06" w:rsidRPr="001276C9" w:rsidRDefault="00DA0B06" w:rsidP="00DA0B06">
      <w:pPr>
        <w:pStyle w:val="Heading2"/>
      </w:pPr>
      <w:r w:rsidRPr="001276C9">
        <w:t>Impact on turnover</w:t>
      </w:r>
    </w:p>
    <w:p w14:paraId="6A35128D" w14:textId="352E0DA3" w:rsidR="00A37E2A" w:rsidRPr="001276C9" w:rsidRDefault="000E4F13" w:rsidP="000E4F13">
      <w:pPr>
        <w:pStyle w:val="BodyText"/>
      </w:pPr>
      <w:r w:rsidRPr="001276C9">
        <w:t>The first performance measure we use is the fir</w:t>
      </w:r>
      <w:r w:rsidR="004771E2" w:rsidRPr="001276C9">
        <w:t>m’s turnover as a measure of</w:t>
      </w:r>
      <w:r w:rsidRPr="001276C9">
        <w:t xml:space="preserve"> output</w:t>
      </w:r>
      <w:r w:rsidR="004771E2" w:rsidRPr="001276C9">
        <w:t xml:space="preserve"> size. </w:t>
      </w:r>
      <w:r w:rsidR="00033321" w:rsidRPr="001276C9">
        <w:t>Growth in turnover</w:t>
      </w:r>
      <w:r w:rsidR="00A37E2A" w:rsidRPr="001276C9">
        <w:t xml:space="preserve"> </w:t>
      </w:r>
      <w:r w:rsidR="00033321" w:rsidRPr="001276C9">
        <w:t>can</w:t>
      </w:r>
      <w:r w:rsidR="00A37E2A" w:rsidRPr="001276C9">
        <w:t xml:space="preserve"> signal the introduction of a new product ─ </w:t>
      </w:r>
      <w:r w:rsidR="00DD1EB7" w:rsidRPr="001276C9">
        <w:t xml:space="preserve">possibly </w:t>
      </w:r>
      <w:r w:rsidR="00A37E2A" w:rsidRPr="001276C9">
        <w:t xml:space="preserve">developed </w:t>
      </w:r>
      <w:r w:rsidR="00DD1EB7" w:rsidRPr="001276C9">
        <w:t xml:space="preserve">with the </w:t>
      </w:r>
      <w:r w:rsidR="00C545A1" w:rsidRPr="001276C9">
        <w:t xml:space="preserve">support </w:t>
      </w:r>
      <w:r w:rsidR="00DD1EB7" w:rsidRPr="001276C9">
        <w:t xml:space="preserve">of </w:t>
      </w:r>
      <w:r w:rsidR="00A37E2A" w:rsidRPr="001276C9">
        <w:t xml:space="preserve">the CA grants ─ that is contributing to the added revenue. </w:t>
      </w:r>
      <w:r w:rsidR="00C545A1" w:rsidRPr="001276C9">
        <w:t>G</w:t>
      </w:r>
      <w:r w:rsidR="00A37E2A" w:rsidRPr="001276C9">
        <w:t xml:space="preserve">rowth in turnover can also be caused by increasing mark-ups or increasing demand for existing products. In the absence of more detailed information on the number of products supplied by a firm and firm-level prices, </w:t>
      </w:r>
      <w:r w:rsidR="00B7235A" w:rsidRPr="001276C9">
        <w:t xml:space="preserve">we use turnover to study the </w:t>
      </w:r>
      <w:r w:rsidR="00A37E2A" w:rsidRPr="001276C9">
        <w:t xml:space="preserve">impact of the CA </w:t>
      </w:r>
      <w:r w:rsidR="008D2D4B" w:rsidRPr="001276C9">
        <w:t>program</w:t>
      </w:r>
      <w:r w:rsidR="00CB7876" w:rsidRPr="001276C9">
        <w:t xml:space="preserve"> on output</w:t>
      </w:r>
      <w:r w:rsidR="00A37E2A" w:rsidRPr="001276C9">
        <w:t>.</w:t>
      </w:r>
    </w:p>
    <w:p w14:paraId="4EE0EF2E" w14:textId="79A21936" w:rsidR="000E4F13" w:rsidRPr="001276C9" w:rsidRDefault="000E4F13" w:rsidP="000E4F13">
      <w:pPr>
        <w:pStyle w:val="BodyText"/>
      </w:pPr>
      <w:r w:rsidRPr="001276C9">
        <w:t xml:space="preserve">One caveat is that </w:t>
      </w:r>
      <w:r w:rsidR="00BD36FC" w:rsidRPr="001276C9">
        <w:t>developing and successfully commercialising a new product could take many years.</w:t>
      </w:r>
      <w:r w:rsidR="006F45D2" w:rsidRPr="001276C9">
        <w:t xml:space="preserve"> </w:t>
      </w:r>
      <w:r w:rsidR="00C9416A" w:rsidRPr="001276C9">
        <w:t xml:space="preserve">The </w:t>
      </w:r>
      <w:r w:rsidR="006F45D2" w:rsidRPr="001276C9">
        <w:t xml:space="preserve">development time can also be different from industry to industry, depending on the type of products and the </w:t>
      </w:r>
      <w:r w:rsidR="00F621E5" w:rsidRPr="001276C9">
        <w:t>innovation process</w:t>
      </w:r>
      <w:r w:rsidR="006F45D2" w:rsidRPr="001276C9">
        <w:t>.</w:t>
      </w:r>
      <w:r w:rsidR="00BD36FC" w:rsidRPr="001276C9">
        <w:t xml:space="preserve"> </w:t>
      </w:r>
      <w:r w:rsidRPr="001276C9">
        <w:t xml:space="preserve">Given that the data is truncated at 2015, we are unable to observe the full </w:t>
      </w:r>
      <w:r w:rsidR="00140672" w:rsidRPr="001276C9">
        <w:t>effect of the program</w:t>
      </w:r>
      <w:r w:rsidRPr="001276C9">
        <w:t xml:space="preserve"> on </w:t>
      </w:r>
      <w:r w:rsidR="00140672" w:rsidRPr="001276C9">
        <w:t xml:space="preserve">firm </w:t>
      </w:r>
      <w:r w:rsidRPr="001276C9">
        <w:t>turnover</w:t>
      </w:r>
      <w:r w:rsidR="002E54DD" w:rsidRPr="001276C9">
        <w:t>. This problem is</w:t>
      </w:r>
      <w:r w:rsidR="00A151E9" w:rsidRPr="001276C9">
        <w:t xml:space="preserve"> especially </w:t>
      </w:r>
      <w:r w:rsidR="00140672" w:rsidRPr="001276C9">
        <w:t xml:space="preserve">evident </w:t>
      </w:r>
      <w:r w:rsidR="00A151E9" w:rsidRPr="001276C9">
        <w:t>for the later cohorts of the</w:t>
      </w:r>
      <w:r w:rsidR="00140672" w:rsidRPr="001276C9">
        <w:t xml:space="preserve"> CA participants</w:t>
      </w:r>
      <w:r w:rsidR="00033321" w:rsidRPr="001276C9">
        <w:t>.</w:t>
      </w:r>
    </w:p>
    <w:p w14:paraId="590A8153" w14:textId="76EBFEBB" w:rsidR="00F06DE9" w:rsidRPr="001276C9" w:rsidRDefault="00C95CC4" w:rsidP="00C95CC4">
      <w:pPr>
        <w:pStyle w:val="BodyText"/>
        <w:jc w:val="left"/>
      </w:pPr>
      <w:r w:rsidRPr="001276C9">
        <w:t xml:space="preserve">With this note of caution, we look at the change in turnover from </w:t>
      </w:r>
      <w:r w:rsidRPr="001276C9">
        <w:rPr>
          <w:i/>
          <w:iCs/>
        </w:rPr>
        <w:t>t</w:t>
      </w:r>
      <w:r w:rsidRPr="001276C9">
        <w:t>=0</w:t>
      </w:r>
      <w:r w:rsidR="00B7235A" w:rsidRPr="001276C9">
        <w:t xml:space="preserve"> (year before the grant)</w:t>
      </w:r>
      <w:r w:rsidRPr="001276C9">
        <w:t xml:space="preserve"> to </w:t>
      </w:r>
      <w:r w:rsidRPr="001276C9">
        <w:rPr>
          <w:i/>
          <w:iCs/>
        </w:rPr>
        <w:t>t</w:t>
      </w:r>
      <w:r w:rsidRPr="001276C9">
        <w:t>=2</w:t>
      </w:r>
      <w:r w:rsidR="00B7235A" w:rsidRPr="001276C9">
        <w:t xml:space="preserve"> (the second year of the grant)</w:t>
      </w:r>
      <w:r w:rsidRPr="001276C9">
        <w:t xml:space="preserve">. </w:t>
      </w:r>
      <w:r w:rsidR="009F25CE" w:rsidRPr="001276C9">
        <w:t>T</w:t>
      </w:r>
      <w:r w:rsidR="005E07CB" w:rsidRPr="001276C9">
        <w:t xml:space="preserve">here are a few </w:t>
      </w:r>
      <w:r w:rsidR="005E07CB" w:rsidRPr="001276C9">
        <w:lastRenderedPageBreak/>
        <w:t xml:space="preserve">extreme outliers that dominate and skew the results. To avoid </w:t>
      </w:r>
      <w:r w:rsidR="00EE0371" w:rsidRPr="001276C9">
        <w:t>skewing the results</w:t>
      </w:r>
      <w:r w:rsidR="005E07CB" w:rsidRPr="001276C9">
        <w:t xml:space="preserve">, we drop all firms whose turnover growth falls in the upper 0.5 percentile or lower 0.5 percentile. </w:t>
      </w:r>
      <w:r w:rsidR="00C923D6" w:rsidRPr="001276C9">
        <w:t xml:space="preserve">As mentioned earlier, we mainly use the ATT statistic to measure the program’s effect. </w:t>
      </w:r>
      <w:r w:rsidRPr="001276C9">
        <w:t xml:space="preserve">The </w:t>
      </w:r>
      <w:r w:rsidR="00117EC0" w:rsidRPr="001276C9">
        <w:t>AT</w:t>
      </w:r>
      <w:r w:rsidR="00207392" w:rsidRPr="001276C9">
        <w:t>T</w:t>
      </w:r>
      <w:r w:rsidRPr="001276C9">
        <w:t xml:space="preserve"> computed for </w:t>
      </w:r>
      <w:r w:rsidR="005E07CB" w:rsidRPr="001276C9">
        <w:t>turnover growth</w:t>
      </w:r>
      <w:r w:rsidR="00F06DE9" w:rsidRPr="001276C9">
        <w:t xml:space="preserve"> </w:t>
      </w:r>
      <w:r w:rsidR="00585F85" w:rsidRPr="001276C9">
        <w:t>is</w:t>
      </w:r>
      <w:r w:rsidR="00F06DE9" w:rsidRPr="001276C9">
        <w:t xml:space="preserve"> reported in </w:t>
      </w:r>
      <w:r w:rsidR="00F06DE9" w:rsidRPr="001276C9">
        <w:fldChar w:fldCharType="begin"/>
      </w:r>
      <w:r w:rsidR="00F06DE9" w:rsidRPr="001276C9">
        <w:instrText xml:space="preserve"> REF _Ref506200474 \h </w:instrText>
      </w:r>
      <w:r w:rsidR="001276C9">
        <w:instrText xml:space="preserve"> \* MERGEFORMAT </w:instrText>
      </w:r>
      <w:r w:rsidR="00F06DE9" w:rsidRPr="001276C9">
        <w:fldChar w:fldCharType="separate"/>
      </w:r>
      <w:r w:rsidR="00F47C7A" w:rsidRPr="001276C9">
        <w:t xml:space="preserve">Table </w:t>
      </w:r>
      <w:r w:rsidR="00F47C7A">
        <w:rPr>
          <w:noProof/>
        </w:rPr>
        <w:t>6</w:t>
      </w:r>
      <w:r w:rsidR="00F47C7A" w:rsidRPr="001276C9">
        <w:rPr>
          <w:noProof/>
        </w:rPr>
        <w:t>.</w:t>
      </w:r>
      <w:r w:rsidR="00F47C7A">
        <w:rPr>
          <w:noProof/>
        </w:rPr>
        <w:t>1</w:t>
      </w:r>
      <w:r w:rsidR="00F06DE9" w:rsidRPr="001276C9">
        <w:fldChar w:fldCharType="end"/>
      </w:r>
      <w:r w:rsidRPr="001276C9">
        <w:t>.</w:t>
      </w:r>
      <w:r w:rsidR="008A4157" w:rsidRPr="001276C9">
        <w:t xml:space="preserve"> Results for ATE </w:t>
      </w:r>
      <w:r w:rsidR="00472F5A" w:rsidRPr="001276C9">
        <w:t xml:space="preserve">in this part and the remainder </w:t>
      </w:r>
      <w:r w:rsidR="008A4157" w:rsidRPr="001276C9">
        <w:t>are reported in the appendix Table A.1.</w:t>
      </w:r>
    </w:p>
    <w:p w14:paraId="05D15288" w14:textId="51CFC609" w:rsidR="00F06DE9" w:rsidRPr="001276C9" w:rsidRDefault="00F06DE9" w:rsidP="00F06DE9">
      <w:pPr>
        <w:pStyle w:val="Caption"/>
      </w:pPr>
      <w:bookmarkStart w:id="10" w:name="_Ref506200474"/>
      <w:r w:rsidRPr="001276C9">
        <w:t xml:space="preserve">Table </w:t>
      </w:r>
      <w:r w:rsidR="00403214">
        <w:rPr>
          <w:noProof/>
        </w:rPr>
        <w:fldChar w:fldCharType="begin"/>
      </w:r>
      <w:r w:rsidR="00403214">
        <w:rPr>
          <w:noProof/>
        </w:rPr>
        <w:instrText xml:space="preserve"> STYLEREF 1 \s </w:instrText>
      </w:r>
      <w:r w:rsidR="00403214">
        <w:rPr>
          <w:noProof/>
        </w:rPr>
        <w:fldChar w:fldCharType="separate"/>
      </w:r>
      <w:r w:rsidR="00F47C7A">
        <w:rPr>
          <w:noProof/>
        </w:rPr>
        <w:t>6</w:t>
      </w:r>
      <w:r w:rsidR="00403214">
        <w:rPr>
          <w:noProof/>
        </w:rPr>
        <w:fldChar w:fldCharType="end"/>
      </w:r>
      <w:r w:rsidR="00B0666A" w:rsidRPr="001276C9">
        <w:t>.</w:t>
      </w:r>
      <w:r w:rsidR="00403214">
        <w:rPr>
          <w:noProof/>
        </w:rPr>
        <w:fldChar w:fldCharType="begin"/>
      </w:r>
      <w:r w:rsidR="00403214">
        <w:rPr>
          <w:noProof/>
        </w:rPr>
        <w:instrText xml:space="preserve"> SEQ Table \* ARABIC \s 1 </w:instrText>
      </w:r>
      <w:r w:rsidR="00403214">
        <w:rPr>
          <w:noProof/>
        </w:rPr>
        <w:fldChar w:fldCharType="separate"/>
      </w:r>
      <w:r w:rsidR="00F47C7A">
        <w:rPr>
          <w:noProof/>
        </w:rPr>
        <w:t>1</w:t>
      </w:r>
      <w:r w:rsidR="00403214">
        <w:rPr>
          <w:noProof/>
        </w:rPr>
        <w:fldChar w:fldCharType="end"/>
      </w:r>
      <w:bookmarkEnd w:id="10"/>
      <w:r w:rsidRPr="001276C9">
        <w:t xml:space="preserve"> The impa</w:t>
      </w:r>
      <w:r w:rsidR="00066EE7" w:rsidRPr="001276C9">
        <w:t xml:space="preserve">ct of the CA </w:t>
      </w:r>
      <w:r w:rsidR="00571E38" w:rsidRPr="001276C9">
        <w:t xml:space="preserve">program </w:t>
      </w:r>
      <w:r w:rsidR="00066EE7" w:rsidRPr="001276C9">
        <w:t>on turnover growth (dollars)</w:t>
      </w:r>
    </w:p>
    <w:tbl>
      <w:tblPr>
        <w:tblStyle w:val="OCETable"/>
        <w:tblW w:w="3163" w:type="pct"/>
        <w:tblInd w:w="1123" w:type="dxa"/>
        <w:tblLook w:val="04A0" w:firstRow="1" w:lastRow="0" w:firstColumn="1" w:lastColumn="0" w:noHBand="0" w:noVBand="1"/>
        <w:tblCaption w:val="Table 6.1"/>
        <w:tblDescription w:val="The estimated treatment effect is positive and significant in Manufacturing, professional and Scietific Services, and when using all industries."/>
      </w:tblPr>
      <w:tblGrid>
        <w:gridCol w:w="2109"/>
        <w:gridCol w:w="2252"/>
      </w:tblGrid>
      <w:tr w:rsidR="006A4C99" w:rsidRPr="001276C9" w14:paraId="2FED7776" w14:textId="4BE3B80F" w:rsidTr="00FF52B7">
        <w:trPr>
          <w:cnfStyle w:val="100000000000" w:firstRow="1" w:lastRow="0" w:firstColumn="0" w:lastColumn="0" w:oddVBand="0" w:evenVBand="0" w:oddHBand="0" w:evenHBand="0" w:firstRowFirstColumn="0" w:firstRowLastColumn="0" w:lastRowFirstColumn="0" w:lastRowLastColumn="0"/>
          <w:tblHeader/>
        </w:trPr>
        <w:tc>
          <w:tcPr>
            <w:tcW w:w="2418" w:type="pct"/>
          </w:tcPr>
          <w:p w14:paraId="6CF15890" w14:textId="23852E37" w:rsidR="006A4C99" w:rsidRPr="001276C9" w:rsidRDefault="006A4C99" w:rsidP="00FF52B7">
            <w:pPr>
              <w:pStyle w:val="Tableheadertext"/>
            </w:pPr>
            <w:r w:rsidRPr="001276C9">
              <w:t>Turnover(</w:t>
            </w:r>
            <w:r w:rsidRPr="001276C9">
              <w:rPr>
                <w:i/>
                <w:iCs/>
              </w:rPr>
              <w:t>t</w:t>
            </w:r>
            <w:r w:rsidRPr="001276C9">
              <w:t>=2) -Turnover(</w:t>
            </w:r>
            <w:r w:rsidRPr="001276C9">
              <w:rPr>
                <w:i/>
                <w:iCs/>
              </w:rPr>
              <w:t>t</w:t>
            </w:r>
            <w:r w:rsidRPr="001276C9">
              <w:t>=0)</w:t>
            </w:r>
          </w:p>
        </w:tc>
        <w:tc>
          <w:tcPr>
            <w:tcW w:w="2582" w:type="pct"/>
            <w:vAlign w:val="center"/>
          </w:tcPr>
          <w:p w14:paraId="76248C75" w14:textId="29F18251" w:rsidR="006A4C99" w:rsidRPr="001276C9" w:rsidRDefault="006A4C99" w:rsidP="00FF52B7">
            <w:pPr>
              <w:pStyle w:val="Tableheadertext"/>
              <w:jc w:val="right"/>
            </w:pPr>
            <w:r w:rsidRPr="001276C9">
              <w:t>ATT</w:t>
            </w:r>
          </w:p>
        </w:tc>
      </w:tr>
      <w:tr w:rsidR="006A4C99" w:rsidRPr="001276C9" w14:paraId="3CF08A80" w14:textId="7FFE40F9" w:rsidTr="001276C9">
        <w:trPr>
          <w:cnfStyle w:val="000000100000" w:firstRow="0" w:lastRow="0" w:firstColumn="0" w:lastColumn="0" w:oddVBand="0" w:evenVBand="0" w:oddHBand="1" w:evenHBand="0" w:firstRowFirstColumn="0" w:firstRowLastColumn="0" w:lastRowFirstColumn="0" w:lastRowLastColumn="0"/>
        </w:trPr>
        <w:tc>
          <w:tcPr>
            <w:tcW w:w="2418" w:type="pct"/>
            <w:shd w:val="clear" w:color="auto" w:fill="FFFFFF" w:themeFill="background1"/>
          </w:tcPr>
          <w:p w14:paraId="440CB9F7" w14:textId="2E27D4EE" w:rsidR="006A4C99" w:rsidRPr="001276C9" w:rsidRDefault="006A4C99" w:rsidP="00FF52B7">
            <w:pPr>
              <w:pStyle w:val="Tabletext"/>
            </w:pPr>
            <w:r w:rsidRPr="001276C9">
              <w:t>All Firms</w:t>
            </w:r>
          </w:p>
        </w:tc>
        <w:tc>
          <w:tcPr>
            <w:tcW w:w="2582" w:type="pct"/>
            <w:shd w:val="clear" w:color="auto" w:fill="FFFFFF" w:themeFill="background1"/>
          </w:tcPr>
          <w:p w14:paraId="3DA01134" w14:textId="347AD21A" w:rsidR="006A4C99" w:rsidRPr="001276C9" w:rsidRDefault="006A4C99" w:rsidP="00FF52B7">
            <w:pPr>
              <w:pStyle w:val="Tabletext"/>
              <w:jc w:val="right"/>
            </w:pPr>
            <w:r w:rsidRPr="001276C9">
              <w:t>206,274.9 (202.37)***</w:t>
            </w:r>
          </w:p>
        </w:tc>
      </w:tr>
      <w:tr w:rsidR="006A4C99" w:rsidRPr="001276C9" w14:paraId="00536E51" w14:textId="62460A7C" w:rsidTr="00FF52B7">
        <w:trPr>
          <w:cnfStyle w:val="000000010000" w:firstRow="0" w:lastRow="0" w:firstColumn="0" w:lastColumn="0" w:oddVBand="0" w:evenVBand="0" w:oddHBand="0" w:evenHBand="1" w:firstRowFirstColumn="0" w:firstRowLastColumn="0" w:lastRowFirstColumn="0" w:lastRowLastColumn="0"/>
        </w:trPr>
        <w:tc>
          <w:tcPr>
            <w:tcW w:w="2418" w:type="pct"/>
            <w:shd w:val="clear" w:color="auto" w:fill="DEE8F1"/>
          </w:tcPr>
          <w:p w14:paraId="2064F227" w14:textId="458D6BB9" w:rsidR="006A4C99" w:rsidRPr="001276C9" w:rsidRDefault="006A4C99" w:rsidP="00FF52B7">
            <w:pPr>
              <w:pStyle w:val="Tabletext"/>
            </w:pPr>
            <w:r w:rsidRPr="001276C9">
              <w:t>Manufacturing</w:t>
            </w:r>
          </w:p>
        </w:tc>
        <w:tc>
          <w:tcPr>
            <w:tcW w:w="2582" w:type="pct"/>
            <w:shd w:val="clear" w:color="auto" w:fill="DEE8F1"/>
          </w:tcPr>
          <w:p w14:paraId="3AAB9059" w14:textId="5E94B6E9" w:rsidR="006A4C99" w:rsidRPr="001276C9" w:rsidRDefault="006A4C99" w:rsidP="00FF52B7">
            <w:pPr>
              <w:pStyle w:val="Tabletext"/>
              <w:jc w:val="right"/>
            </w:pPr>
            <w:r w:rsidRPr="001276C9">
              <w:t>43,140.6 (1,012.9)***</w:t>
            </w:r>
          </w:p>
        </w:tc>
      </w:tr>
      <w:tr w:rsidR="006A4C99" w:rsidRPr="001276C9" w14:paraId="32BCF025" w14:textId="00B3A4E3" w:rsidTr="001276C9">
        <w:trPr>
          <w:cnfStyle w:val="000000100000" w:firstRow="0" w:lastRow="0" w:firstColumn="0" w:lastColumn="0" w:oddVBand="0" w:evenVBand="0" w:oddHBand="1" w:evenHBand="0" w:firstRowFirstColumn="0" w:firstRowLastColumn="0" w:lastRowFirstColumn="0" w:lastRowLastColumn="0"/>
        </w:trPr>
        <w:tc>
          <w:tcPr>
            <w:tcW w:w="2418" w:type="pct"/>
            <w:shd w:val="clear" w:color="auto" w:fill="FFFFFF" w:themeFill="background1"/>
          </w:tcPr>
          <w:p w14:paraId="72FE15BB" w14:textId="302181EB" w:rsidR="006A4C99" w:rsidRPr="001276C9" w:rsidRDefault="006A4C99" w:rsidP="00FF52B7">
            <w:pPr>
              <w:pStyle w:val="Tabletext"/>
            </w:pPr>
            <w:r w:rsidRPr="001276C9">
              <w:t>Prof. Scientific and Tech. Services</w:t>
            </w:r>
          </w:p>
        </w:tc>
        <w:tc>
          <w:tcPr>
            <w:tcW w:w="2582" w:type="pct"/>
            <w:shd w:val="clear" w:color="auto" w:fill="FFFFFF" w:themeFill="background1"/>
            <w:vAlign w:val="center"/>
          </w:tcPr>
          <w:p w14:paraId="18EB4654" w14:textId="6A940A79" w:rsidR="006A4C99" w:rsidRPr="001276C9" w:rsidRDefault="006A4C99" w:rsidP="00FF52B7">
            <w:pPr>
              <w:pStyle w:val="Tabletext"/>
              <w:jc w:val="right"/>
            </w:pPr>
            <w:r w:rsidRPr="001276C9">
              <w:t>312,372.1 (266.8)***</w:t>
            </w:r>
          </w:p>
        </w:tc>
      </w:tr>
      <w:tr w:rsidR="006A4C99" w:rsidRPr="001276C9" w14:paraId="28FD8C47" w14:textId="15A6DB12" w:rsidTr="00FF52B7">
        <w:trPr>
          <w:cnfStyle w:val="000000010000" w:firstRow="0" w:lastRow="0" w:firstColumn="0" w:lastColumn="0" w:oddVBand="0" w:evenVBand="0" w:oddHBand="0" w:evenHBand="1" w:firstRowFirstColumn="0" w:firstRowLastColumn="0" w:lastRowFirstColumn="0" w:lastRowLastColumn="0"/>
        </w:trPr>
        <w:tc>
          <w:tcPr>
            <w:tcW w:w="2418" w:type="pct"/>
            <w:shd w:val="clear" w:color="auto" w:fill="DEE8F1"/>
          </w:tcPr>
          <w:p w14:paraId="730662A3" w14:textId="753D177D" w:rsidR="006A4C99" w:rsidRPr="001276C9" w:rsidRDefault="006A4C99" w:rsidP="00FF52B7">
            <w:pPr>
              <w:pStyle w:val="Tabletext"/>
            </w:pPr>
            <w:r w:rsidRPr="001276C9">
              <w:t xml:space="preserve">Other industries </w:t>
            </w:r>
          </w:p>
        </w:tc>
        <w:tc>
          <w:tcPr>
            <w:tcW w:w="2582" w:type="pct"/>
            <w:shd w:val="clear" w:color="auto" w:fill="DEE8F1"/>
          </w:tcPr>
          <w:p w14:paraId="29E7498E" w14:textId="56267D94" w:rsidR="006A4C99" w:rsidRPr="001276C9" w:rsidRDefault="006A4C99" w:rsidP="00FF52B7">
            <w:pPr>
              <w:pStyle w:val="Tabletext"/>
              <w:jc w:val="right"/>
            </w:pPr>
            <w:r w:rsidRPr="001276C9">
              <w:t>95,668.3 (8.9)***</w:t>
            </w:r>
          </w:p>
        </w:tc>
      </w:tr>
    </w:tbl>
    <w:p w14:paraId="7DC2B504" w14:textId="217A3B2E" w:rsidR="00AD3C3B" w:rsidRPr="001276C9" w:rsidRDefault="00E07307" w:rsidP="00AD3C3B">
      <w:pPr>
        <w:pStyle w:val="Note"/>
        <w:rPr>
          <w:lang w:eastAsia="en-AU"/>
        </w:rPr>
      </w:pPr>
      <w:r w:rsidRPr="001276C9">
        <w:rPr>
          <w:lang w:eastAsia="en-AU"/>
        </w:rPr>
        <w:t>Notes:</w:t>
      </w:r>
      <w:r w:rsidR="00AD3C3B" w:rsidRPr="001276C9">
        <w:rPr>
          <w:lang w:eastAsia="en-AU"/>
        </w:rPr>
        <w:t xml:space="preserve"> </w:t>
      </w:r>
      <w:r w:rsidR="00516CD5" w:rsidRPr="001276C9">
        <w:rPr>
          <w:lang w:eastAsia="en-AU"/>
        </w:rPr>
        <w:t>*** denotes significance at 1 per cent.</w:t>
      </w:r>
      <w:r w:rsidR="008D0065" w:rsidRPr="001276C9">
        <w:rPr>
          <w:lang w:eastAsia="en-AU"/>
        </w:rPr>
        <w:t xml:space="preserve"> Firms in the upper and lower 0.5 percentile of turnover growth are dropped as outliers.</w:t>
      </w:r>
    </w:p>
    <w:p w14:paraId="31A75496" w14:textId="3CF14C96" w:rsidR="00AD3C3B" w:rsidRPr="001276C9" w:rsidRDefault="00AD3C3B" w:rsidP="00AD3C3B">
      <w:pPr>
        <w:pStyle w:val="Source"/>
        <w:rPr>
          <w:lang w:eastAsia="en-AU"/>
        </w:rPr>
      </w:pPr>
      <w:r w:rsidRPr="001276C9">
        <w:rPr>
          <w:lang w:eastAsia="en-AU"/>
        </w:rPr>
        <w:t xml:space="preserve">Source: </w:t>
      </w:r>
      <w:r w:rsidR="00AE2998" w:rsidRPr="001276C9">
        <w:rPr>
          <w:lang w:eastAsia="en-AU"/>
        </w:rPr>
        <w:t>Department of Industry, Innovation and Science (2018)</w:t>
      </w:r>
    </w:p>
    <w:p w14:paraId="671D7540" w14:textId="71F362C1" w:rsidR="00C95CC4" w:rsidRPr="001276C9" w:rsidRDefault="00C95CC4" w:rsidP="00DA0B06">
      <w:pPr>
        <w:pStyle w:val="BodyText"/>
      </w:pPr>
      <w:r w:rsidRPr="001276C9">
        <w:t xml:space="preserve">In the first row, we </w:t>
      </w:r>
      <w:r w:rsidR="009E4E51" w:rsidRPr="001276C9">
        <w:t>pool</w:t>
      </w:r>
      <w:r w:rsidRPr="001276C9">
        <w:t xml:space="preserve"> all firms satisfying our overlapping conditions stated i</w:t>
      </w:r>
      <w:r w:rsidR="00BD4710" w:rsidRPr="001276C9">
        <w:t>n Section 5</w:t>
      </w:r>
      <w:r w:rsidRPr="001276C9">
        <w:t>.</w:t>
      </w:r>
      <w:r w:rsidR="007E13BC" w:rsidRPr="001276C9">
        <w:t xml:space="preserve"> </w:t>
      </w:r>
      <w:r w:rsidR="00777CD1" w:rsidRPr="001276C9">
        <w:t xml:space="preserve">On average, the CA </w:t>
      </w:r>
      <w:r w:rsidR="00585F85" w:rsidRPr="001276C9">
        <w:t>participants are experiencing a larger</w:t>
      </w:r>
      <w:r w:rsidR="00777CD1" w:rsidRPr="001276C9">
        <w:t xml:space="preserve"> increase in turnover growth </w:t>
      </w:r>
      <w:r w:rsidR="007E13BC" w:rsidRPr="001276C9">
        <w:t xml:space="preserve">compared to the </w:t>
      </w:r>
      <w:r w:rsidR="008D2D4B" w:rsidRPr="001276C9">
        <w:t xml:space="preserve">comparison </w:t>
      </w:r>
      <w:r w:rsidR="007E13BC" w:rsidRPr="001276C9">
        <w:t xml:space="preserve">group. </w:t>
      </w:r>
      <w:r w:rsidR="00C923D6" w:rsidRPr="001276C9">
        <w:t>T</w:t>
      </w:r>
      <w:r w:rsidR="001C0CD7" w:rsidRPr="001276C9">
        <w:t>he AT</w:t>
      </w:r>
      <w:r w:rsidR="00C90B13" w:rsidRPr="001276C9">
        <w:t xml:space="preserve">T shows that turnover growth among </w:t>
      </w:r>
      <w:r w:rsidR="00EB6204" w:rsidRPr="001276C9">
        <w:t xml:space="preserve">the </w:t>
      </w:r>
      <w:r w:rsidR="00EC1ECE" w:rsidRPr="001276C9">
        <w:t>CA participants</w:t>
      </w:r>
      <w:r w:rsidR="00C90B13" w:rsidRPr="001276C9">
        <w:t xml:space="preserve"> was</w:t>
      </w:r>
      <w:r w:rsidR="00033321" w:rsidRPr="001276C9">
        <w:t xml:space="preserve"> </w:t>
      </w:r>
      <w:r w:rsidR="005550C6" w:rsidRPr="001276C9">
        <w:t xml:space="preserve">around </w:t>
      </w:r>
      <w:r w:rsidR="00033321" w:rsidRPr="001276C9">
        <w:t>$</w:t>
      </w:r>
      <w:r w:rsidR="001E00DE" w:rsidRPr="001276C9">
        <w:t>206,000 above</w:t>
      </w:r>
      <w:r w:rsidR="00C90B13" w:rsidRPr="001276C9">
        <w:t xml:space="preserve"> that of the </w:t>
      </w:r>
      <w:r w:rsidR="00EC1ECE" w:rsidRPr="001276C9">
        <w:t>comparison group</w:t>
      </w:r>
      <w:r w:rsidR="00C90B13" w:rsidRPr="001276C9">
        <w:t xml:space="preserve">. </w:t>
      </w:r>
    </w:p>
    <w:p w14:paraId="2104DEB5" w14:textId="56983C1A" w:rsidR="00BA299A" w:rsidRPr="001276C9" w:rsidRDefault="0028144D" w:rsidP="00DA0B06">
      <w:pPr>
        <w:pStyle w:val="BodyText"/>
      </w:pPr>
      <w:r w:rsidRPr="001276C9">
        <w:t xml:space="preserve">Most </w:t>
      </w:r>
      <w:r w:rsidR="00140672" w:rsidRPr="001276C9">
        <w:t xml:space="preserve">participating </w:t>
      </w:r>
      <w:r w:rsidR="0077620B" w:rsidRPr="001276C9">
        <w:t>firms</w:t>
      </w:r>
      <w:r w:rsidR="00140672" w:rsidRPr="001276C9">
        <w:t xml:space="preserve"> are </w:t>
      </w:r>
      <w:r w:rsidR="003C19B6" w:rsidRPr="001276C9">
        <w:t>from</w:t>
      </w:r>
      <w:r w:rsidR="00140672" w:rsidRPr="001276C9">
        <w:t xml:space="preserve"> </w:t>
      </w:r>
      <w:r w:rsidR="0077620B" w:rsidRPr="001276C9">
        <w:t>either Manufacturing or Professional, Scientific, and Technical Services.</w:t>
      </w:r>
      <w:r w:rsidR="005150F1" w:rsidRPr="001276C9">
        <w:t xml:space="preserve"> </w:t>
      </w:r>
      <w:r w:rsidR="00BA299A" w:rsidRPr="001276C9">
        <w:t xml:space="preserve">These </w:t>
      </w:r>
      <w:r w:rsidR="00140672" w:rsidRPr="001276C9">
        <w:t>two sectors</w:t>
      </w:r>
      <w:r w:rsidR="003C19B6" w:rsidRPr="001276C9">
        <w:t xml:space="preserve"> </w:t>
      </w:r>
      <w:r w:rsidR="00BA299A" w:rsidRPr="001276C9">
        <w:t xml:space="preserve">also </w:t>
      </w:r>
      <w:r w:rsidR="003C19B6" w:rsidRPr="001276C9">
        <w:t xml:space="preserve">tend </w:t>
      </w:r>
      <w:r w:rsidR="00BA299A" w:rsidRPr="001276C9">
        <w:t xml:space="preserve">to be </w:t>
      </w:r>
      <w:r w:rsidR="00075C8C" w:rsidRPr="001276C9">
        <w:t>in areas associated with advanced technology (</w:t>
      </w:r>
      <w:r w:rsidR="00075C8C" w:rsidRPr="001276C9">
        <w:fldChar w:fldCharType="begin"/>
      </w:r>
      <w:r w:rsidR="00075C8C" w:rsidRPr="001276C9">
        <w:instrText xml:space="preserve"> REF _Ref511029096 \h </w:instrText>
      </w:r>
      <w:r w:rsidR="001276C9">
        <w:instrText xml:space="preserve"> \* MERGEFORMAT </w:instrText>
      </w:r>
      <w:r w:rsidR="00075C8C" w:rsidRPr="001276C9">
        <w:fldChar w:fldCharType="separate"/>
      </w:r>
      <w:r w:rsidR="00F47C7A" w:rsidRPr="001276C9">
        <w:t xml:space="preserve">Figure </w:t>
      </w:r>
      <w:r w:rsidR="00F47C7A">
        <w:rPr>
          <w:noProof/>
        </w:rPr>
        <w:t>4</w:t>
      </w:r>
      <w:r w:rsidR="00F47C7A" w:rsidRPr="001276C9">
        <w:rPr>
          <w:noProof/>
        </w:rPr>
        <w:t>.</w:t>
      </w:r>
      <w:r w:rsidR="00F47C7A">
        <w:rPr>
          <w:noProof/>
        </w:rPr>
        <w:t>1</w:t>
      </w:r>
      <w:r w:rsidR="00075C8C" w:rsidRPr="001276C9">
        <w:fldChar w:fldCharType="end"/>
      </w:r>
      <w:r w:rsidR="00075C8C" w:rsidRPr="001276C9">
        <w:t>)</w:t>
      </w:r>
      <w:r w:rsidR="00BA299A" w:rsidRPr="001276C9">
        <w:t>. Has their performance been different to the rest?</w:t>
      </w:r>
    </w:p>
    <w:p w14:paraId="05FFFDC7" w14:textId="1AD7E2D2" w:rsidR="0077620B" w:rsidRPr="001276C9" w:rsidRDefault="00140672" w:rsidP="00DA0B06">
      <w:pPr>
        <w:pStyle w:val="BodyText"/>
      </w:pPr>
      <w:r w:rsidRPr="001276C9">
        <w:t>T</w:t>
      </w:r>
      <w:r w:rsidR="005150F1" w:rsidRPr="001276C9">
        <w:t xml:space="preserve">hese two sectors </w:t>
      </w:r>
      <w:r w:rsidRPr="001276C9">
        <w:t xml:space="preserve">are addressed </w:t>
      </w:r>
      <w:r w:rsidR="005150F1" w:rsidRPr="001276C9">
        <w:t>separ</w:t>
      </w:r>
      <w:r w:rsidR="0075406D" w:rsidRPr="001276C9">
        <w:t xml:space="preserve">ately in </w:t>
      </w:r>
      <w:r w:rsidR="00D963AE" w:rsidRPr="001276C9">
        <w:t>rows</w:t>
      </w:r>
      <w:r w:rsidR="00D839C3" w:rsidRPr="001276C9">
        <w:t xml:space="preserve"> two and three</w:t>
      </w:r>
      <w:r w:rsidR="00D963AE" w:rsidRPr="001276C9">
        <w:t xml:space="preserve"> </w:t>
      </w:r>
      <w:r w:rsidR="00ED2384" w:rsidRPr="001276C9">
        <w:t>of</w:t>
      </w:r>
      <w:r w:rsidR="00D963AE" w:rsidRPr="001276C9">
        <w:t xml:space="preserve"> the </w:t>
      </w:r>
      <w:r w:rsidR="0075406D" w:rsidRPr="001276C9">
        <w:t xml:space="preserve">table. </w:t>
      </w:r>
      <w:r w:rsidR="00ED2384" w:rsidRPr="001276C9">
        <w:t xml:space="preserve">Participating firms from </w:t>
      </w:r>
      <w:r w:rsidR="0075406D" w:rsidRPr="001276C9">
        <w:t xml:space="preserve">Manufacturing appear to have faster turnover growth than </w:t>
      </w:r>
      <w:r w:rsidR="00ED2384" w:rsidRPr="001276C9">
        <w:t>the comparison group of</w:t>
      </w:r>
      <w:r w:rsidR="0075406D" w:rsidRPr="001276C9">
        <w:t xml:space="preserve"> </w:t>
      </w:r>
      <w:r w:rsidR="00A10E1D" w:rsidRPr="001276C9">
        <w:t>m</w:t>
      </w:r>
      <w:r w:rsidR="0075406D" w:rsidRPr="001276C9">
        <w:t xml:space="preserve">anufacturing firms. </w:t>
      </w:r>
      <w:r w:rsidR="0030785A" w:rsidRPr="001276C9">
        <w:t xml:space="preserve">According to the ATT measure in the table, CA </w:t>
      </w:r>
      <w:r w:rsidR="00ED2384" w:rsidRPr="001276C9">
        <w:t>participation</w:t>
      </w:r>
      <w:r w:rsidR="0030785A" w:rsidRPr="001276C9">
        <w:t xml:space="preserve"> led to an increase of </w:t>
      </w:r>
      <w:r w:rsidR="00BF5A21" w:rsidRPr="001276C9">
        <w:t>almost $</w:t>
      </w:r>
      <w:r w:rsidR="0028144D" w:rsidRPr="001276C9">
        <w:t>43</w:t>
      </w:r>
      <w:r w:rsidR="0030785A" w:rsidRPr="001276C9">
        <w:t>,000 in the turnover</w:t>
      </w:r>
      <w:r w:rsidR="003C19B6" w:rsidRPr="001276C9">
        <w:t xml:space="preserve"> growth</w:t>
      </w:r>
      <w:r w:rsidR="0030785A" w:rsidRPr="001276C9">
        <w:t xml:space="preserve"> of the treated firms</w:t>
      </w:r>
      <w:r w:rsidR="00A10E1D" w:rsidRPr="001276C9">
        <w:t xml:space="preserve"> above the comparison group</w:t>
      </w:r>
      <w:r w:rsidR="0030785A" w:rsidRPr="001276C9">
        <w:t>.</w:t>
      </w:r>
    </w:p>
    <w:p w14:paraId="611D341D" w14:textId="6C67388E" w:rsidR="00075C8C" w:rsidRPr="001276C9" w:rsidRDefault="0075406D" w:rsidP="00DA0B06">
      <w:pPr>
        <w:pStyle w:val="BodyText"/>
      </w:pPr>
      <w:r w:rsidRPr="001276C9">
        <w:t>In the case of</w:t>
      </w:r>
      <w:r w:rsidR="00AC52B7" w:rsidRPr="001276C9">
        <w:t xml:space="preserve"> </w:t>
      </w:r>
      <w:r w:rsidRPr="001276C9">
        <w:t>Professional, Scientific and Technical</w:t>
      </w:r>
      <w:r w:rsidR="00132BF7" w:rsidRPr="001276C9">
        <w:t xml:space="preserve"> S</w:t>
      </w:r>
      <w:r w:rsidRPr="001276C9">
        <w:t xml:space="preserve">ervices, we find </w:t>
      </w:r>
      <w:r w:rsidR="008035AF" w:rsidRPr="001276C9">
        <w:t xml:space="preserve">an </w:t>
      </w:r>
      <w:r w:rsidR="00955AA1" w:rsidRPr="001276C9">
        <w:t xml:space="preserve">even larger effect. </w:t>
      </w:r>
      <w:r w:rsidR="0030785A" w:rsidRPr="001276C9">
        <w:t>According to the estimate</w:t>
      </w:r>
      <w:r w:rsidR="00472624" w:rsidRPr="001276C9">
        <w:t>d ATT, The turnover growth for the treated firms</w:t>
      </w:r>
      <w:r w:rsidR="0030785A" w:rsidRPr="001276C9">
        <w:t xml:space="preserve"> </w:t>
      </w:r>
      <w:r w:rsidR="00472624" w:rsidRPr="001276C9">
        <w:t>i</w:t>
      </w:r>
      <w:r w:rsidR="003C6503" w:rsidRPr="001276C9">
        <w:t xml:space="preserve">s </w:t>
      </w:r>
      <w:r w:rsidR="008035AF" w:rsidRPr="001276C9">
        <w:t xml:space="preserve">on average </w:t>
      </w:r>
      <w:r w:rsidR="00472624" w:rsidRPr="001276C9">
        <w:t>more than $</w:t>
      </w:r>
      <w:r w:rsidR="0028144D" w:rsidRPr="001276C9">
        <w:t>312</w:t>
      </w:r>
      <w:r w:rsidR="008646D7" w:rsidRPr="001276C9">
        <w:t xml:space="preserve">,000 </w:t>
      </w:r>
      <w:r w:rsidR="00472624" w:rsidRPr="001276C9">
        <w:t xml:space="preserve">above that of the </w:t>
      </w:r>
      <w:r w:rsidR="008035AF" w:rsidRPr="001276C9">
        <w:t>comparison group</w:t>
      </w:r>
      <w:r w:rsidR="008646D7" w:rsidRPr="001276C9">
        <w:t>.</w:t>
      </w:r>
    </w:p>
    <w:p w14:paraId="2BF80B54" w14:textId="643B3382" w:rsidR="0028144D" w:rsidRPr="001276C9" w:rsidRDefault="0028144D" w:rsidP="00DA0B06">
      <w:pPr>
        <w:pStyle w:val="BodyText"/>
      </w:pPr>
      <w:r w:rsidRPr="001276C9">
        <w:t>The rest of the industries, put together, show an increase of more than $95,000 in their turnover growth compared to the comparison group. However, as mentioned before, the number of firms in these industries is relatively small.</w:t>
      </w:r>
    </w:p>
    <w:p w14:paraId="74EA59A1" w14:textId="20DAD03E" w:rsidR="00DA0B06" w:rsidRPr="001276C9" w:rsidRDefault="00DA0B06" w:rsidP="00DA0B06">
      <w:pPr>
        <w:pStyle w:val="Heading2"/>
      </w:pPr>
      <w:r w:rsidRPr="001276C9">
        <w:t>Impact on capital expenditure</w:t>
      </w:r>
    </w:p>
    <w:p w14:paraId="7160FD33" w14:textId="5681A765" w:rsidR="00A95B4E" w:rsidRPr="001276C9" w:rsidRDefault="00D62DC1" w:rsidP="00BD6A29">
      <w:pPr>
        <w:pStyle w:val="BodyText"/>
      </w:pPr>
      <w:r w:rsidRPr="001276C9">
        <w:t xml:space="preserve">One area </w:t>
      </w:r>
      <w:r w:rsidR="003C2DBA" w:rsidRPr="001276C9">
        <w:t>where the CA program</w:t>
      </w:r>
      <w:r w:rsidRPr="001276C9">
        <w:t xml:space="preserve"> </w:t>
      </w:r>
      <w:r w:rsidR="003C2DBA" w:rsidRPr="001276C9">
        <w:t xml:space="preserve">may </w:t>
      </w:r>
      <w:r w:rsidR="00BD6A29" w:rsidRPr="001276C9">
        <w:t xml:space="preserve">have </w:t>
      </w:r>
      <w:r w:rsidR="005550C6" w:rsidRPr="001276C9">
        <w:t xml:space="preserve">a more immediate </w:t>
      </w:r>
      <w:r w:rsidR="00BD6A29" w:rsidRPr="001276C9">
        <w:t>effect is investment in capital and R&amp;D</w:t>
      </w:r>
      <w:r w:rsidR="0032574C" w:rsidRPr="001276C9">
        <w:t xml:space="preserve"> as </w:t>
      </w:r>
      <w:r w:rsidRPr="001276C9">
        <w:t xml:space="preserve">the </w:t>
      </w:r>
      <w:r w:rsidR="003C2DBA" w:rsidRPr="001276C9">
        <w:t xml:space="preserve">participating </w:t>
      </w:r>
      <w:r w:rsidRPr="001276C9">
        <w:t xml:space="preserve">firms </w:t>
      </w:r>
      <w:r w:rsidR="008F0A0A" w:rsidRPr="001276C9">
        <w:t>accelerate their</w:t>
      </w:r>
      <w:r w:rsidR="0032574C" w:rsidRPr="001276C9">
        <w:t xml:space="preserve"> developmen</w:t>
      </w:r>
      <w:r w:rsidR="008F0A0A" w:rsidRPr="001276C9">
        <w:t>t and commercialisation of</w:t>
      </w:r>
      <w:r w:rsidR="0032574C" w:rsidRPr="001276C9">
        <w:t xml:space="preserve"> new product</w:t>
      </w:r>
      <w:r w:rsidR="008F0A0A" w:rsidRPr="001276C9">
        <w:t>s</w:t>
      </w:r>
      <w:r w:rsidR="00BD6A29" w:rsidRPr="001276C9">
        <w:t xml:space="preserve">. </w:t>
      </w:r>
      <w:r w:rsidR="00A95B4E" w:rsidRPr="001276C9">
        <w:t xml:space="preserve">Both types of investment </w:t>
      </w:r>
      <w:r w:rsidR="00A95B4E" w:rsidRPr="001276C9">
        <w:lastRenderedPageBreak/>
        <w:t>are leading indicators of innovation and turnover growth</w:t>
      </w:r>
      <w:r w:rsidR="00186814" w:rsidRPr="001276C9">
        <w:t>. Where</w:t>
      </w:r>
      <w:r w:rsidR="00A95B4E" w:rsidRPr="001276C9">
        <w:t xml:space="preserve"> turnover data is missing due to year truncation</w:t>
      </w:r>
      <w:r w:rsidR="00186814" w:rsidRPr="001276C9">
        <w:t>, a positive impact on R&amp;D and capital expenditure raises the expectation that growth will happen</w:t>
      </w:r>
      <w:r w:rsidR="00A95B4E" w:rsidRPr="001276C9">
        <w:t>.</w:t>
      </w:r>
      <w:r w:rsidR="00C22EC2" w:rsidRPr="001276C9">
        <w:t xml:space="preserve"> </w:t>
      </w:r>
    </w:p>
    <w:p w14:paraId="5427E4C4" w14:textId="29468824" w:rsidR="00D57890" w:rsidRPr="001276C9" w:rsidRDefault="00BD6A29" w:rsidP="00BD6A29">
      <w:pPr>
        <w:pStyle w:val="BodyText"/>
      </w:pPr>
      <w:r w:rsidRPr="001276C9">
        <w:t xml:space="preserve">In this section, we look at how </w:t>
      </w:r>
      <w:r w:rsidR="00800FC5" w:rsidRPr="001276C9">
        <w:t xml:space="preserve">the CA program affects </w:t>
      </w:r>
      <w:r w:rsidRPr="001276C9">
        <w:t>capital exp</w:t>
      </w:r>
      <w:r w:rsidR="005611AF" w:rsidRPr="001276C9">
        <w:t>enditure</w:t>
      </w:r>
      <w:r w:rsidR="00800FC5" w:rsidRPr="001276C9">
        <w:t xml:space="preserve">. </w:t>
      </w:r>
      <w:r w:rsidR="0009527F" w:rsidRPr="001276C9">
        <w:t xml:space="preserve"> </w:t>
      </w:r>
      <w:r w:rsidR="00800FC5" w:rsidRPr="001276C9">
        <w:t>W</w:t>
      </w:r>
      <w:r w:rsidR="00D62DC1" w:rsidRPr="001276C9">
        <w:t xml:space="preserve">e look at the </w:t>
      </w:r>
      <w:r w:rsidR="00800FC5" w:rsidRPr="001276C9">
        <w:t xml:space="preserve">effect on </w:t>
      </w:r>
      <w:r w:rsidR="00D62DC1" w:rsidRPr="001276C9">
        <w:t xml:space="preserve">R&amp;D expenditures </w:t>
      </w:r>
      <w:r w:rsidR="0009527F" w:rsidRPr="001276C9">
        <w:t>in the next section</w:t>
      </w:r>
      <w:r w:rsidR="005611AF" w:rsidRPr="001276C9">
        <w:t xml:space="preserve">. </w:t>
      </w:r>
      <w:r w:rsidR="00D62DC1" w:rsidRPr="001276C9">
        <w:t xml:space="preserve">Again, we drop the upper 0.5 percentile of capital expenditures to avoid extreme values. </w:t>
      </w:r>
      <w:r w:rsidR="005611AF" w:rsidRPr="001276C9">
        <w:t>T</w:t>
      </w:r>
      <w:r w:rsidR="00D57890" w:rsidRPr="001276C9">
        <w:t>he</w:t>
      </w:r>
      <w:r w:rsidR="005611AF" w:rsidRPr="001276C9">
        <w:t xml:space="preserve"> </w:t>
      </w:r>
      <w:r w:rsidR="00117EC0" w:rsidRPr="001276C9">
        <w:t>AT</w:t>
      </w:r>
      <w:r w:rsidR="009B263F" w:rsidRPr="001276C9">
        <w:t>T</w:t>
      </w:r>
      <w:r w:rsidR="005611AF" w:rsidRPr="001276C9">
        <w:t xml:space="preserve"> effect for capital expen</w:t>
      </w:r>
      <w:r w:rsidR="003E3145" w:rsidRPr="001276C9">
        <w:t xml:space="preserve">diture </w:t>
      </w:r>
      <w:r w:rsidR="00C923D6" w:rsidRPr="001276C9">
        <w:t>is</w:t>
      </w:r>
      <w:r w:rsidR="003E3145" w:rsidRPr="001276C9">
        <w:t xml:space="preserve"> reported in </w:t>
      </w:r>
      <w:r w:rsidR="003E3145" w:rsidRPr="001276C9">
        <w:fldChar w:fldCharType="begin"/>
      </w:r>
      <w:r w:rsidR="003E3145" w:rsidRPr="001276C9">
        <w:instrText xml:space="preserve"> REF _Ref506201301 \h </w:instrText>
      </w:r>
      <w:r w:rsidR="001276C9">
        <w:instrText xml:space="preserve"> \* MERGEFORMAT </w:instrText>
      </w:r>
      <w:r w:rsidR="003E3145" w:rsidRPr="001276C9">
        <w:fldChar w:fldCharType="separate"/>
      </w:r>
      <w:r w:rsidR="00F47C7A" w:rsidRPr="001276C9">
        <w:t xml:space="preserve">Table </w:t>
      </w:r>
      <w:r w:rsidR="00F47C7A">
        <w:rPr>
          <w:noProof/>
        </w:rPr>
        <w:t>6</w:t>
      </w:r>
      <w:r w:rsidR="00F47C7A" w:rsidRPr="001276C9">
        <w:rPr>
          <w:noProof/>
        </w:rPr>
        <w:t>.</w:t>
      </w:r>
      <w:r w:rsidR="00F47C7A">
        <w:rPr>
          <w:noProof/>
        </w:rPr>
        <w:t>2</w:t>
      </w:r>
      <w:r w:rsidR="003E3145" w:rsidRPr="001276C9">
        <w:fldChar w:fldCharType="end"/>
      </w:r>
      <w:r w:rsidR="005611AF" w:rsidRPr="001276C9">
        <w:t>.</w:t>
      </w:r>
      <w:r w:rsidR="003E3145" w:rsidRPr="001276C9">
        <w:t xml:space="preserve"> </w:t>
      </w:r>
    </w:p>
    <w:p w14:paraId="19FD3870" w14:textId="399020A1" w:rsidR="00D57890" w:rsidRPr="001276C9" w:rsidRDefault="00D57890" w:rsidP="00D57890">
      <w:pPr>
        <w:pStyle w:val="Caption"/>
      </w:pPr>
      <w:bookmarkStart w:id="11" w:name="_Ref506201301"/>
      <w:r w:rsidRPr="001276C9">
        <w:t xml:space="preserve">Table </w:t>
      </w:r>
      <w:r w:rsidR="00403214">
        <w:rPr>
          <w:noProof/>
        </w:rPr>
        <w:fldChar w:fldCharType="begin"/>
      </w:r>
      <w:r w:rsidR="00403214">
        <w:rPr>
          <w:noProof/>
        </w:rPr>
        <w:instrText xml:space="preserve"> STYLEREF 1 \s </w:instrText>
      </w:r>
      <w:r w:rsidR="00403214">
        <w:rPr>
          <w:noProof/>
        </w:rPr>
        <w:fldChar w:fldCharType="separate"/>
      </w:r>
      <w:r w:rsidR="00F47C7A">
        <w:rPr>
          <w:noProof/>
        </w:rPr>
        <w:t>6</w:t>
      </w:r>
      <w:r w:rsidR="00403214">
        <w:rPr>
          <w:noProof/>
        </w:rPr>
        <w:fldChar w:fldCharType="end"/>
      </w:r>
      <w:r w:rsidR="00B0666A" w:rsidRPr="001276C9">
        <w:t>.</w:t>
      </w:r>
      <w:r w:rsidR="00403214">
        <w:rPr>
          <w:noProof/>
        </w:rPr>
        <w:fldChar w:fldCharType="begin"/>
      </w:r>
      <w:r w:rsidR="00403214">
        <w:rPr>
          <w:noProof/>
        </w:rPr>
        <w:instrText xml:space="preserve"> SEQ Table \* ARABIC \s 1 </w:instrText>
      </w:r>
      <w:r w:rsidR="00403214">
        <w:rPr>
          <w:noProof/>
        </w:rPr>
        <w:fldChar w:fldCharType="separate"/>
      </w:r>
      <w:r w:rsidR="00F47C7A">
        <w:rPr>
          <w:noProof/>
        </w:rPr>
        <w:t>2</w:t>
      </w:r>
      <w:r w:rsidR="00403214">
        <w:rPr>
          <w:noProof/>
        </w:rPr>
        <w:fldChar w:fldCharType="end"/>
      </w:r>
      <w:bookmarkEnd w:id="11"/>
      <w:r w:rsidRPr="001276C9">
        <w:t xml:space="preserve"> The imp</w:t>
      </w:r>
      <w:r w:rsidR="00EA5A4D" w:rsidRPr="001276C9">
        <w:t xml:space="preserve">act of the CA </w:t>
      </w:r>
      <w:r w:rsidR="003375F7" w:rsidRPr="001276C9">
        <w:t xml:space="preserve">program </w:t>
      </w:r>
      <w:r w:rsidR="00EA5A4D" w:rsidRPr="001276C9">
        <w:t>on capital expenditures</w:t>
      </w:r>
      <w:r w:rsidR="00251756" w:rsidRPr="001276C9">
        <w:t xml:space="preserve"> (dollars)</w:t>
      </w:r>
    </w:p>
    <w:tbl>
      <w:tblPr>
        <w:tblStyle w:val="OCETable"/>
        <w:tblW w:w="3188" w:type="pct"/>
        <w:tblInd w:w="1138" w:type="dxa"/>
        <w:tblLook w:val="04A0" w:firstRow="1" w:lastRow="0" w:firstColumn="1" w:lastColumn="0" w:noHBand="0" w:noVBand="1"/>
        <w:tblCaption w:val="Table 6.2"/>
        <w:tblDescription w:val="The estimated treatment effect is positive and significant in Manufacturing, professional and Scietific Services, and when using all industries."/>
      </w:tblPr>
      <w:tblGrid>
        <w:gridCol w:w="2252"/>
        <w:gridCol w:w="2144"/>
      </w:tblGrid>
      <w:tr w:rsidR="006A4C99" w:rsidRPr="001276C9" w14:paraId="7A282856" w14:textId="448C1AB6" w:rsidTr="00525FF1">
        <w:trPr>
          <w:cnfStyle w:val="100000000000" w:firstRow="1" w:lastRow="0" w:firstColumn="0" w:lastColumn="0" w:oddVBand="0" w:evenVBand="0" w:oddHBand="0" w:evenHBand="0" w:firstRowFirstColumn="0" w:firstRowLastColumn="0" w:lastRowFirstColumn="0" w:lastRowLastColumn="0"/>
          <w:tblHeader/>
        </w:trPr>
        <w:tc>
          <w:tcPr>
            <w:tcW w:w="2561" w:type="pct"/>
          </w:tcPr>
          <w:p w14:paraId="07260D0E" w14:textId="08044AE2" w:rsidR="006A4C99" w:rsidRPr="001276C9" w:rsidRDefault="006A4C99" w:rsidP="00FF52B7">
            <w:pPr>
              <w:pStyle w:val="Tableheadertext"/>
            </w:pPr>
            <w:r w:rsidRPr="001276C9">
              <w:t>CapEx (</w:t>
            </w:r>
            <w:r w:rsidRPr="001276C9">
              <w:rPr>
                <w:i/>
                <w:iCs/>
              </w:rPr>
              <w:t>t</w:t>
            </w:r>
            <w:r w:rsidRPr="001276C9">
              <w:t>=2)</w:t>
            </w:r>
          </w:p>
        </w:tc>
        <w:tc>
          <w:tcPr>
            <w:tcW w:w="2439" w:type="pct"/>
          </w:tcPr>
          <w:p w14:paraId="084C821C" w14:textId="65FA5D60" w:rsidR="006A4C99" w:rsidRPr="001276C9" w:rsidRDefault="006A4C99" w:rsidP="00FF52B7">
            <w:pPr>
              <w:pStyle w:val="Tableheadertext"/>
              <w:jc w:val="right"/>
            </w:pPr>
            <w:r w:rsidRPr="001276C9">
              <w:t>ATT</w:t>
            </w:r>
          </w:p>
        </w:tc>
      </w:tr>
      <w:tr w:rsidR="006A4C99" w:rsidRPr="001276C9" w14:paraId="350339AE" w14:textId="325225F1" w:rsidTr="00FF52B7">
        <w:trPr>
          <w:cnfStyle w:val="000000100000" w:firstRow="0" w:lastRow="0" w:firstColumn="0" w:lastColumn="0" w:oddVBand="0" w:evenVBand="0" w:oddHBand="1" w:evenHBand="0" w:firstRowFirstColumn="0" w:firstRowLastColumn="0" w:lastRowFirstColumn="0" w:lastRowLastColumn="0"/>
        </w:trPr>
        <w:tc>
          <w:tcPr>
            <w:tcW w:w="2561" w:type="pct"/>
            <w:shd w:val="clear" w:color="auto" w:fill="FFFFFF" w:themeFill="background1"/>
          </w:tcPr>
          <w:p w14:paraId="71A065F9" w14:textId="497B55D9" w:rsidR="006A4C99" w:rsidRPr="001276C9" w:rsidRDefault="006A4C99" w:rsidP="00FF52B7">
            <w:pPr>
              <w:pStyle w:val="Tabletext"/>
            </w:pPr>
            <w:r w:rsidRPr="001276C9">
              <w:t>All Firms</w:t>
            </w:r>
          </w:p>
        </w:tc>
        <w:tc>
          <w:tcPr>
            <w:tcW w:w="2439" w:type="pct"/>
            <w:shd w:val="clear" w:color="auto" w:fill="FFFFFF" w:themeFill="background1"/>
          </w:tcPr>
          <w:p w14:paraId="6E1BA12D" w14:textId="7B5B4970" w:rsidR="006A4C99" w:rsidRPr="001276C9" w:rsidRDefault="006A4C99" w:rsidP="00FF52B7">
            <w:pPr>
              <w:pStyle w:val="Tabletext"/>
              <w:jc w:val="right"/>
            </w:pPr>
            <w:r w:rsidRPr="001276C9">
              <w:t>29,837.7 (11.6)***</w:t>
            </w:r>
          </w:p>
        </w:tc>
      </w:tr>
      <w:tr w:rsidR="006A4C99" w:rsidRPr="001276C9" w14:paraId="05F13FFF" w14:textId="2DE2DA33" w:rsidTr="00FF52B7">
        <w:trPr>
          <w:cnfStyle w:val="000000010000" w:firstRow="0" w:lastRow="0" w:firstColumn="0" w:lastColumn="0" w:oddVBand="0" w:evenVBand="0" w:oddHBand="0" w:evenHBand="1" w:firstRowFirstColumn="0" w:firstRowLastColumn="0" w:lastRowFirstColumn="0" w:lastRowLastColumn="0"/>
        </w:trPr>
        <w:tc>
          <w:tcPr>
            <w:tcW w:w="2561" w:type="pct"/>
            <w:shd w:val="clear" w:color="auto" w:fill="DEE8F1"/>
          </w:tcPr>
          <w:p w14:paraId="57C88547" w14:textId="77777777" w:rsidR="006A4C99" w:rsidRPr="001276C9" w:rsidRDefault="006A4C99" w:rsidP="00FF52B7">
            <w:pPr>
              <w:pStyle w:val="Tabletext"/>
            </w:pPr>
            <w:r w:rsidRPr="001276C9">
              <w:t>Manufacturing</w:t>
            </w:r>
          </w:p>
        </w:tc>
        <w:tc>
          <w:tcPr>
            <w:tcW w:w="2439" w:type="pct"/>
            <w:shd w:val="clear" w:color="auto" w:fill="DEE8F1"/>
          </w:tcPr>
          <w:p w14:paraId="21138C12" w14:textId="0AF744C6" w:rsidR="006A4C99" w:rsidRPr="001276C9" w:rsidRDefault="006A4C99" w:rsidP="00FF52B7">
            <w:pPr>
              <w:pStyle w:val="Tabletext"/>
              <w:jc w:val="right"/>
            </w:pPr>
            <w:r w:rsidRPr="001276C9">
              <w:t>76,610.3 (98.4)***</w:t>
            </w:r>
          </w:p>
        </w:tc>
      </w:tr>
      <w:tr w:rsidR="006A4C99" w:rsidRPr="001276C9" w14:paraId="7B6418FF" w14:textId="2D0A0975" w:rsidTr="00FF52B7">
        <w:trPr>
          <w:cnfStyle w:val="000000100000" w:firstRow="0" w:lastRow="0" w:firstColumn="0" w:lastColumn="0" w:oddVBand="0" w:evenVBand="0" w:oddHBand="1" w:evenHBand="0" w:firstRowFirstColumn="0" w:firstRowLastColumn="0" w:lastRowFirstColumn="0" w:lastRowLastColumn="0"/>
        </w:trPr>
        <w:tc>
          <w:tcPr>
            <w:tcW w:w="2561" w:type="pct"/>
            <w:shd w:val="clear" w:color="auto" w:fill="FFFFFF" w:themeFill="background1"/>
          </w:tcPr>
          <w:p w14:paraId="1330C89F" w14:textId="341DD1B7" w:rsidR="006A4C99" w:rsidRPr="001276C9" w:rsidRDefault="006A4C99" w:rsidP="00FF52B7">
            <w:pPr>
              <w:pStyle w:val="Tabletext"/>
            </w:pPr>
            <w:r w:rsidRPr="001276C9">
              <w:t>Prof. Scientific and Tech. Services</w:t>
            </w:r>
          </w:p>
        </w:tc>
        <w:tc>
          <w:tcPr>
            <w:tcW w:w="2439" w:type="pct"/>
            <w:shd w:val="clear" w:color="auto" w:fill="FFFFFF" w:themeFill="background1"/>
            <w:vAlign w:val="center"/>
          </w:tcPr>
          <w:p w14:paraId="2FB63034" w14:textId="074B06BD" w:rsidR="006A4C99" w:rsidRPr="001276C9" w:rsidRDefault="006A4C99" w:rsidP="00FF52B7">
            <w:pPr>
              <w:pStyle w:val="Tabletext"/>
              <w:jc w:val="right"/>
            </w:pPr>
            <w:r w:rsidRPr="001276C9">
              <w:t>32,251.3 (18.6)***</w:t>
            </w:r>
          </w:p>
        </w:tc>
      </w:tr>
      <w:tr w:rsidR="006A4C99" w:rsidRPr="001276C9" w14:paraId="0A3B0AED" w14:textId="6D1374B4" w:rsidTr="00FF52B7">
        <w:trPr>
          <w:cnfStyle w:val="000000010000" w:firstRow="0" w:lastRow="0" w:firstColumn="0" w:lastColumn="0" w:oddVBand="0" w:evenVBand="0" w:oddHBand="0" w:evenHBand="1" w:firstRowFirstColumn="0" w:firstRowLastColumn="0" w:lastRowFirstColumn="0" w:lastRowLastColumn="0"/>
        </w:trPr>
        <w:tc>
          <w:tcPr>
            <w:tcW w:w="2561" w:type="pct"/>
            <w:shd w:val="clear" w:color="auto" w:fill="DEE8F1"/>
          </w:tcPr>
          <w:p w14:paraId="653B36C9" w14:textId="63A7C7BA" w:rsidR="006A4C99" w:rsidRPr="001276C9" w:rsidRDefault="006A4C99" w:rsidP="00FF52B7">
            <w:pPr>
              <w:pStyle w:val="Tabletext"/>
            </w:pPr>
            <w:r w:rsidRPr="001276C9">
              <w:t xml:space="preserve">Other industries </w:t>
            </w:r>
          </w:p>
        </w:tc>
        <w:tc>
          <w:tcPr>
            <w:tcW w:w="2439" w:type="pct"/>
            <w:shd w:val="clear" w:color="auto" w:fill="DEE8F1"/>
          </w:tcPr>
          <w:p w14:paraId="5BC0B05F" w14:textId="041FE93F" w:rsidR="006A4C99" w:rsidRPr="001276C9" w:rsidRDefault="006A4C99" w:rsidP="00FF52B7">
            <w:pPr>
              <w:pStyle w:val="Tabletext"/>
              <w:jc w:val="right"/>
            </w:pPr>
            <w:r w:rsidRPr="001276C9">
              <w:t>35,102.5(0.3)***</w:t>
            </w:r>
          </w:p>
        </w:tc>
      </w:tr>
    </w:tbl>
    <w:p w14:paraId="298093F0" w14:textId="30842C48" w:rsidR="00D57890" w:rsidRPr="001276C9" w:rsidRDefault="00D57890" w:rsidP="00D57890">
      <w:pPr>
        <w:pStyle w:val="Note"/>
        <w:rPr>
          <w:lang w:eastAsia="en-AU"/>
        </w:rPr>
      </w:pPr>
      <w:r w:rsidRPr="001276C9">
        <w:rPr>
          <w:lang w:eastAsia="en-AU"/>
        </w:rPr>
        <w:t xml:space="preserve">Notes: *** </w:t>
      </w:r>
      <w:r w:rsidR="00317635" w:rsidRPr="001276C9">
        <w:rPr>
          <w:lang w:eastAsia="en-AU"/>
        </w:rPr>
        <w:t>denote</w:t>
      </w:r>
      <w:r w:rsidR="00835EBA" w:rsidRPr="001276C9">
        <w:rPr>
          <w:lang w:eastAsia="en-AU"/>
        </w:rPr>
        <w:t>s</w:t>
      </w:r>
      <w:r w:rsidR="00317635" w:rsidRPr="001276C9">
        <w:rPr>
          <w:lang w:eastAsia="en-AU"/>
        </w:rPr>
        <w:t xml:space="preserve"> significance at 1 </w:t>
      </w:r>
      <w:r w:rsidRPr="001276C9">
        <w:rPr>
          <w:lang w:eastAsia="en-AU"/>
        </w:rPr>
        <w:t>per cent.</w:t>
      </w:r>
      <w:r w:rsidR="004E5779" w:rsidRPr="001276C9">
        <w:rPr>
          <w:lang w:eastAsia="en-AU"/>
        </w:rPr>
        <w:t xml:space="preserve"> Firms in the upper 0.5 percentile are dropped as outliers.</w:t>
      </w:r>
    </w:p>
    <w:p w14:paraId="44B837E0" w14:textId="1ED3ECFB" w:rsidR="00D57890" w:rsidRPr="001276C9" w:rsidRDefault="00D57890" w:rsidP="00D57890">
      <w:pPr>
        <w:pStyle w:val="Source"/>
        <w:rPr>
          <w:lang w:eastAsia="en-AU"/>
        </w:rPr>
      </w:pPr>
      <w:r w:rsidRPr="001276C9">
        <w:rPr>
          <w:lang w:eastAsia="en-AU"/>
        </w:rPr>
        <w:t xml:space="preserve">Source: </w:t>
      </w:r>
      <w:r w:rsidR="0022074A" w:rsidRPr="001276C9">
        <w:rPr>
          <w:lang w:eastAsia="en-AU"/>
        </w:rPr>
        <w:t>Department of Industry, Innovation and Science (2018)</w:t>
      </w:r>
    </w:p>
    <w:p w14:paraId="040E6A8F" w14:textId="60B924E4" w:rsidR="0062274E" w:rsidRPr="001276C9" w:rsidRDefault="00035485" w:rsidP="00DA0B06">
      <w:pPr>
        <w:pStyle w:val="BodyText"/>
      </w:pPr>
      <w:r w:rsidRPr="001276C9">
        <w:t>The findings</w:t>
      </w:r>
      <w:r w:rsidR="0062274E" w:rsidRPr="001276C9">
        <w:t xml:space="preserve"> point to an increase in capital expenditure </w:t>
      </w:r>
      <w:r w:rsidR="007172AC" w:rsidRPr="001276C9">
        <w:t>attributable</w:t>
      </w:r>
      <w:r w:rsidR="0062274E" w:rsidRPr="001276C9">
        <w:t xml:space="preserve"> </w:t>
      </w:r>
      <w:r w:rsidR="005550C6" w:rsidRPr="001276C9">
        <w:t xml:space="preserve">to </w:t>
      </w:r>
      <w:r w:rsidR="0062274E" w:rsidRPr="001276C9">
        <w:t xml:space="preserve">the </w:t>
      </w:r>
      <w:r w:rsidR="008D2D4B" w:rsidRPr="001276C9">
        <w:t>program</w:t>
      </w:r>
      <w:r w:rsidR="0062274E" w:rsidRPr="001276C9">
        <w:t>.</w:t>
      </w:r>
    </w:p>
    <w:p w14:paraId="6BE8132A" w14:textId="576AFF43" w:rsidR="00DA0E72" w:rsidRPr="001276C9" w:rsidRDefault="00DA0E72" w:rsidP="00DA0B06">
      <w:pPr>
        <w:pStyle w:val="BodyText"/>
      </w:pPr>
      <w:r w:rsidRPr="001276C9">
        <w:t>When pooling all</w:t>
      </w:r>
      <w:r w:rsidR="001C7589" w:rsidRPr="001276C9">
        <w:t xml:space="preserve"> </w:t>
      </w:r>
      <w:r w:rsidR="00EC032C" w:rsidRPr="001276C9">
        <w:t xml:space="preserve">participating </w:t>
      </w:r>
      <w:r w:rsidR="001C7589" w:rsidRPr="001276C9">
        <w:t xml:space="preserve">firms together, </w:t>
      </w:r>
      <w:r w:rsidR="00EC032C" w:rsidRPr="001276C9">
        <w:t>we find</w:t>
      </w:r>
      <w:r w:rsidR="00035485" w:rsidRPr="001276C9">
        <w:t xml:space="preserve"> an increase in capital expenditures among the CA </w:t>
      </w:r>
      <w:r w:rsidR="00EC032C" w:rsidRPr="001276C9">
        <w:t>participants relative to the comparison group</w:t>
      </w:r>
      <w:r w:rsidR="00C343E2" w:rsidRPr="001276C9">
        <w:t xml:space="preserve">. </w:t>
      </w:r>
      <w:r w:rsidR="00B03F93" w:rsidRPr="001276C9">
        <w:t>The ATT</w:t>
      </w:r>
      <w:r w:rsidR="00216B4D" w:rsidRPr="001276C9">
        <w:t xml:space="preserve"> statistic</w:t>
      </w:r>
      <w:r w:rsidR="003375F7" w:rsidRPr="001276C9">
        <w:t>, as the measure of pro</w:t>
      </w:r>
      <w:r w:rsidR="00A12A31" w:rsidRPr="001276C9">
        <w:t>gram’s influence,</w:t>
      </w:r>
      <w:r w:rsidR="00B03F93" w:rsidRPr="001276C9">
        <w:t xml:space="preserve"> </w:t>
      </w:r>
      <w:r w:rsidRPr="001276C9">
        <w:t xml:space="preserve">shows that capital expenditures among the </w:t>
      </w:r>
      <w:r w:rsidR="00216B4D" w:rsidRPr="001276C9">
        <w:t>participa</w:t>
      </w:r>
      <w:r w:rsidR="003375F7" w:rsidRPr="001276C9">
        <w:t>ting</w:t>
      </w:r>
      <w:r w:rsidR="00216B4D" w:rsidRPr="001276C9">
        <w:t xml:space="preserve"> </w:t>
      </w:r>
      <w:r w:rsidR="00035485" w:rsidRPr="001276C9">
        <w:t xml:space="preserve">firms </w:t>
      </w:r>
      <w:r w:rsidR="00A465BB" w:rsidRPr="001276C9">
        <w:t>was</w:t>
      </w:r>
      <w:r w:rsidR="00035485" w:rsidRPr="001276C9">
        <w:t xml:space="preserve"> </w:t>
      </w:r>
      <w:r w:rsidR="005550C6" w:rsidRPr="001276C9">
        <w:t>nearly $</w:t>
      </w:r>
      <w:r w:rsidR="00885BCA" w:rsidRPr="001276C9">
        <w:t>3</w:t>
      </w:r>
      <w:r w:rsidR="005550C6" w:rsidRPr="001276C9">
        <w:t>0,000</w:t>
      </w:r>
      <w:r w:rsidRPr="001276C9">
        <w:t xml:space="preserve"> above that of the </w:t>
      </w:r>
      <w:r w:rsidR="003375F7" w:rsidRPr="001276C9">
        <w:t>compa</w:t>
      </w:r>
      <w:r w:rsidR="009D54DF" w:rsidRPr="001276C9">
        <w:t>rison group</w:t>
      </w:r>
      <w:r w:rsidRPr="001276C9">
        <w:t xml:space="preserve">. </w:t>
      </w:r>
    </w:p>
    <w:p w14:paraId="21D7A5FC" w14:textId="00DE315C" w:rsidR="00035485" w:rsidRPr="001276C9" w:rsidRDefault="00B03F93" w:rsidP="00DA0B06">
      <w:pPr>
        <w:pStyle w:val="BodyText"/>
      </w:pPr>
      <w:r w:rsidRPr="001276C9">
        <w:t>Once restrict</w:t>
      </w:r>
      <w:r w:rsidR="00A465BB" w:rsidRPr="001276C9">
        <w:t>ing the sample</w:t>
      </w:r>
      <w:r w:rsidRPr="001276C9">
        <w:t xml:space="preserve"> to M</w:t>
      </w:r>
      <w:r w:rsidR="00C230F2" w:rsidRPr="001276C9">
        <w:t xml:space="preserve">anufacturing, the </w:t>
      </w:r>
      <w:r w:rsidR="00035485" w:rsidRPr="001276C9">
        <w:t xml:space="preserve">increase in investment is even higher. Capital expenditures among </w:t>
      </w:r>
      <w:r w:rsidR="00820D47" w:rsidRPr="001276C9">
        <w:t>m</w:t>
      </w:r>
      <w:r w:rsidR="00035485" w:rsidRPr="001276C9">
        <w:t xml:space="preserve">anufacturing firms </w:t>
      </w:r>
      <w:r w:rsidR="00A465BB" w:rsidRPr="001276C9">
        <w:t>participating in the program</w:t>
      </w:r>
      <w:r w:rsidR="00035485" w:rsidRPr="001276C9">
        <w:t xml:space="preserve"> is about $</w:t>
      </w:r>
      <w:r w:rsidR="00885BCA" w:rsidRPr="001276C9">
        <w:t>76</w:t>
      </w:r>
      <w:r w:rsidR="00035485" w:rsidRPr="001276C9">
        <w:t xml:space="preserve">,000 more than that among </w:t>
      </w:r>
      <w:r w:rsidR="00A465BB" w:rsidRPr="001276C9">
        <w:t>comparison group</w:t>
      </w:r>
      <w:r w:rsidR="00035485" w:rsidRPr="001276C9">
        <w:t xml:space="preserve">. </w:t>
      </w:r>
    </w:p>
    <w:p w14:paraId="54E03B5F" w14:textId="05BA777A" w:rsidR="00885BCA" w:rsidRPr="001276C9" w:rsidRDefault="00035485" w:rsidP="00DA0B06">
      <w:pPr>
        <w:pStyle w:val="BodyText"/>
      </w:pPr>
      <w:r w:rsidRPr="001276C9">
        <w:t xml:space="preserve">Within </w:t>
      </w:r>
      <w:r w:rsidR="00CF4326" w:rsidRPr="001276C9">
        <w:t>participants from Professional, Scientific and Technical Services</w:t>
      </w:r>
      <w:r w:rsidRPr="001276C9">
        <w:t xml:space="preserve">, capital expenditures among the treated firms is </w:t>
      </w:r>
      <w:r w:rsidR="00CF4326" w:rsidRPr="001276C9">
        <w:t xml:space="preserve">on average </w:t>
      </w:r>
      <w:r w:rsidRPr="001276C9">
        <w:t>more than $</w:t>
      </w:r>
      <w:r w:rsidR="00885BCA" w:rsidRPr="001276C9">
        <w:t>32</w:t>
      </w:r>
      <w:r w:rsidRPr="001276C9">
        <w:t xml:space="preserve">,000 </w:t>
      </w:r>
      <w:r w:rsidR="00885BCA" w:rsidRPr="001276C9">
        <w:t>above</w:t>
      </w:r>
      <w:r w:rsidRPr="001276C9">
        <w:t xml:space="preserve"> that </w:t>
      </w:r>
      <w:r w:rsidR="00224E78" w:rsidRPr="001276C9">
        <w:t>of the comparison group</w:t>
      </w:r>
      <w:r w:rsidRPr="001276C9">
        <w:t xml:space="preserve">. </w:t>
      </w:r>
      <w:r w:rsidR="00567906" w:rsidRPr="001276C9">
        <w:t>It is a similar situation for participants from other industries.</w:t>
      </w:r>
    </w:p>
    <w:p w14:paraId="4A65C88F" w14:textId="5A6AC11A" w:rsidR="009C2074" w:rsidRPr="001276C9" w:rsidRDefault="009C2074" w:rsidP="00DA0B06">
      <w:pPr>
        <w:pStyle w:val="BodyText"/>
      </w:pPr>
      <w:r w:rsidRPr="001276C9">
        <w:t xml:space="preserve">Overall, it can be concluded that </w:t>
      </w:r>
      <w:r w:rsidR="00C50557" w:rsidRPr="001276C9">
        <w:t xml:space="preserve">participating firms invested more on </w:t>
      </w:r>
      <w:r w:rsidR="002D7112" w:rsidRPr="001276C9">
        <w:t>capital,</w:t>
      </w:r>
      <w:r w:rsidR="00BC3C18" w:rsidRPr="001276C9">
        <w:t xml:space="preserve"> and </w:t>
      </w:r>
      <w:r w:rsidR="002D7112" w:rsidRPr="001276C9">
        <w:t>t</w:t>
      </w:r>
      <w:r w:rsidR="00BC3C18" w:rsidRPr="001276C9">
        <w:t xml:space="preserve">he </w:t>
      </w:r>
      <w:r w:rsidRPr="001276C9">
        <w:t xml:space="preserve">grants </w:t>
      </w:r>
      <w:r w:rsidR="00E60973" w:rsidRPr="001276C9">
        <w:t>were a source of</w:t>
      </w:r>
      <w:r w:rsidR="002D7112" w:rsidRPr="001276C9">
        <w:t xml:space="preserve"> financing </w:t>
      </w:r>
      <w:r w:rsidR="00BC3C18" w:rsidRPr="001276C9">
        <w:t>for that purpose</w:t>
      </w:r>
      <w:r w:rsidRPr="001276C9">
        <w:t>.</w:t>
      </w:r>
    </w:p>
    <w:p w14:paraId="0573956C" w14:textId="1177888E" w:rsidR="00DA0B06" w:rsidRPr="001276C9" w:rsidRDefault="00DA0B06" w:rsidP="00DA0B06">
      <w:pPr>
        <w:pStyle w:val="Heading2"/>
      </w:pPr>
      <w:r w:rsidRPr="001276C9">
        <w:t>Impact on R&amp;D</w:t>
      </w:r>
    </w:p>
    <w:p w14:paraId="294CCB64" w14:textId="11E186A0" w:rsidR="00920D3A" w:rsidRPr="001276C9" w:rsidRDefault="00920D3A" w:rsidP="00920D3A">
      <w:pPr>
        <w:pStyle w:val="BodyText"/>
      </w:pPr>
      <w:r w:rsidRPr="001276C9">
        <w:t>The development and commercialisation of a product</w:t>
      </w:r>
      <w:r w:rsidR="009C5995" w:rsidRPr="001276C9">
        <w:t>, especially a new and innovative one,</w:t>
      </w:r>
      <w:r w:rsidRPr="001276C9">
        <w:t xml:space="preserve"> </w:t>
      </w:r>
      <w:r w:rsidR="00671AAA" w:rsidRPr="001276C9">
        <w:t xml:space="preserve">usually </w:t>
      </w:r>
      <w:r w:rsidRPr="001276C9">
        <w:t>entails</w:t>
      </w:r>
      <w:r w:rsidR="00671AAA" w:rsidRPr="001276C9">
        <w:t xml:space="preserve"> some form of</w:t>
      </w:r>
      <w:r w:rsidRPr="001276C9">
        <w:t xml:space="preserve"> R&amp;D. For </w:t>
      </w:r>
      <w:r w:rsidR="00D344C6" w:rsidRPr="001276C9">
        <w:t>th</w:t>
      </w:r>
      <w:r w:rsidR="00224E78" w:rsidRPr="001276C9">
        <w:t>is</w:t>
      </w:r>
      <w:r w:rsidR="00D344C6" w:rsidRPr="001276C9">
        <w:t xml:space="preserve"> </w:t>
      </w:r>
      <w:r w:rsidRPr="001276C9">
        <w:t xml:space="preserve">reason, it is </w:t>
      </w:r>
      <w:r w:rsidR="0022763F" w:rsidRPr="001276C9">
        <w:t>expected</w:t>
      </w:r>
      <w:r w:rsidRPr="001276C9">
        <w:t xml:space="preserve"> that </w:t>
      </w:r>
      <w:r w:rsidR="004C7B38" w:rsidRPr="001276C9">
        <w:t>CA participants</w:t>
      </w:r>
      <w:r w:rsidRPr="001276C9">
        <w:t xml:space="preserve"> would</w:t>
      </w:r>
      <w:r w:rsidR="00DF2825" w:rsidRPr="001276C9">
        <w:t xml:space="preserve"> also</w:t>
      </w:r>
      <w:r w:rsidRPr="001276C9">
        <w:t xml:space="preserve"> invest more on R&amp;D. We test this hypothesis by computing the </w:t>
      </w:r>
      <w:r w:rsidR="00117EC0" w:rsidRPr="001276C9">
        <w:t>AT</w:t>
      </w:r>
      <w:r w:rsidR="00AA5220" w:rsidRPr="001276C9">
        <w:t>T</w:t>
      </w:r>
      <w:r w:rsidRPr="001276C9">
        <w:t xml:space="preserve"> for the R&amp;D expenditures by firms in </w:t>
      </w:r>
      <w:r w:rsidRPr="001276C9">
        <w:rPr>
          <w:i/>
          <w:iCs/>
        </w:rPr>
        <w:t>t</w:t>
      </w:r>
      <w:r w:rsidRPr="001276C9">
        <w:t>=2</w:t>
      </w:r>
      <w:r w:rsidR="00F0063D" w:rsidRPr="001276C9">
        <w:t xml:space="preserve"> (two years into the grant)</w:t>
      </w:r>
      <w:r w:rsidRPr="001276C9">
        <w:t>.</w:t>
      </w:r>
      <w:r w:rsidR="00EA5A4D" w:rsidRPr="001276C9">
        <w:t xml:space="preserve"> </w:t>
      </w:r>
      <w:r w:rsidR="009C5995" w:rsidRPr="001276C9">
        <w:t xml:space="preserve">As </w:t>
      </w:r>
      <w:r w:rsidR="00BC7EA4" w:rsidRPr="001276C9">
        <w:t xml:space="preserve">in </w:t>
      </w:r>
      <w:r w:rsidR="009C5995" w:rsidRPr="001276C9">
        <w:t xml:space="preserve">earlier, we are dropping the upper 0.5 percentile of firms to </w:t>
      </w:r>
      <w:r w:rsidR="00165EED" w:rsidRPr="001276C9">
        <w:t>avoid</w:t>
      </w:r>
      <w:r w:rsidR="009C5995" w:rsidRPr="001276C9">
        <w:t xml:space="preserve"> extreme values. </w:t>
      </w:r>
      <w:r w:rsidR="00EA5A4D" w:rsidRPr="001276C9">
        <w:t>The</w:t>
      </w:r>
      <w:r w:rsidR="001848A8" w:rsidRPr="001276C9">
        <w:t xml:space="preserve"> statistic is</w:t>
      </w:r>
      <w:r w:rsidR="00EA5A4D" w:rsidRPr="001276C9">
        <w:t xml:space="preserve"> reported in </w:t>
      </w:r>
      <w:r w:rsidR="00F5215A" w:rsidRPr="001276C9">
        <w:fldChar w:fldCharType="begin"/>
      </w:r>
      <w:r w:rsidR="00F5215A" w:rsidRPr="001276C9">
        <w:instrText xml:space="preserve"> REF _Ref506201617 \h </w:instrText>
      </w:r>
      <w:r w:rsidR="001276C9">
        <w:instrText xml:space="preserve"> \* MERGEFORMAT </w:instrText>
      </w:r>
      <w:r w:rsidR="00F5215A" w:rsidRPr="001276C9">
        <w:fldChar w:fldCharType="separate"/>
      </w:r>
      <w:r w:rsidR="00F47C7A" w:rsidRPr="001276C9">
        <w:t xml:space="preserve">Table </w:t>
      </w:r>
      <w:r w:rsidR="00F47C7A">
        <w:rPr>
          <w:noProof/>
        </w:rPr>
        <w:t>6</w:t>
      </w:r>
      <w:r w:rsidR="00F47C7A" w:rsidRPr="001276C9">
        <w:rPr>
          <w:noProof/>
        </w:rPr>
        <w:t>.</w:t>
      </w:r>
      <w:r w:rsidR="00F47C7A">
        <w:rPr>
          <w:noProof/>
        </w:rPr>
        <w:t>3</w:t>
      </w:r>
      <w:r w:rsidR="00F5215A" w:rsidRPr="001276C9">
        <w:fldChar w:fldCharType="end"/>
      </w:r>
      <w:r w:rsidR="00F5215A" w:rsidRPr="001276C9">
        <w:t>.</w:t>
      </w:r>
    </w:p>
    <w:p w14:paraId="051CFDD0" w14:textId="4CF71350" w:rsidR="00EA5A4D" w:rsidRPr="001276C9" w:rsidRDefault="00567838" w:rsidP="00567838">
      <w:pPr>
        <w:pStyle w:val="Caption"/>
      </w:pPr>
      <w:bookmarkStart w:id="12" w:name="_Ref506201617"/>
      <w:r w:rsidRPr="001276C9">
        <w:lastRenderedPageBreak/>
        <w:t xml:space="preserve">Table </w:t>
      </w:r>
      <w:r w:rsidR="00403214">
        <w:rPr>
          <w:noProof/>
        </w:rPr>
        <w:fldChar w:fldCharType="begin"/>
      </w:r>
      <w:r w:rsidR="00403214">
        <w:rPr>
          <w:noProof/>
        </w:rPr>
        <w:instrText xml:space="preserve"> STYLEREF 1 \s </w:instrText>
      </w:r>
      <w:r w:rsidR="00403214">
        <w:rPr>
          <w:noProof/>
        </w:rPr>
        <w:fldChar w:fldCharType="separate"/>
      </w:r>
      <w:r w:rsidR="00F47C7A">
        <w:rPr>
          <w:noProof/>
        </w:rPr>
        <w:t>6</w:t>
      </w:r>
      <w:r w:rsidR="00403214">
        <w:rPr>
          <w:noProof/>
        </w:rPr>
        <w:fldChar w:fldCharType="end"/>
      </w:r>
      <w:r w:rsidR="00B0666A" w:rsidRPr="001276C9">
        <w:t>.</w:t>
      </w:r>
      <w:r w:rsidR="00403214">
        <w:rPr>
          <w:noProof/>
        </w:rPr>
        <w:fldChar w:fldCharType="begin"/>
      </w:r>
      <w:r w:rsidR="00403214">
        <w:rPr>
          <w:noProof/>
        </w:rPr>
        <w:instrText xml:space="preserve"> SEQ Table \* ARABIC \s 1 </w:instrText>
      </w:r>
      <w:r w:rsidR="00403214">
        <w:rPr>
          <w:noProof/>
        </w:rPr>
        <w:fldChar w:fldCharType="separate"/>
      </w:r>
      <w:r w:rsidR="00F47C7A">
        <w:rPr>
          <w:noProof/>
        </w:rPr>
        <w:t>3</w:t>
      </w:r>
      <w:r w:rsidR="00403214">
        <w:rPr>
          <w:noProof/>
        </w:rPr>
        <w:fldChar w:fldCharType="end"/>
      </w:r>
      <w:bookmarkEnd w:id="12"/>
      <w:r w:rsidRPr="001276C9">
        <w:t xml:space="preserve"> </w:t>
      </w:r>
      <w:r w:rsidR="001409E1" w:rsidRPr="001276C9">
        <w:t>The impact of the CA</w:t>
      </w:r>
      <w:r w:rsidR="00224E78" w:rsidRPr="001276C9">
        <w:t xml:space="preserve"> program</w:t>
      </w:r>
      <w:r w:rsidR="001409E1" w:rsidRPr="001276C9">
        <w:t xml:space="preserve"> on R&amp;D</w:t>
      </w:r>
      <w:r w:rsidR="00082113" w:rsidRPr="001276C9">
        <w:t xml:space="preserve"> expenditures (dollars)</w:t>
      </w:r>
    </w:p>
    <w:tbl>
      <w:tblPr>
        <w:tblStyle w:val="OCETable"/>
        <w:tblW w:w="3188" w:type="pct"/>
        <w:tblInd w:w="1423" w:type="dxa"/>
        <w:tblLook w:val="04A0" w:firstRow="1" w:lastRow="0" w:firstColumn="1" w:lastColumn="0" w:noHBand="0" w:noVBand="1"/>
        <w:tblCaption w:val="Table 6.3"/>
        <w:tblDescription w:val="The estimated treatment effect is positive and significant in Manufacturing, professional and Scietific Services, and when using all industries."/>
      </w:tblPr>
      <w:tblGrid>
        <w:gridCol w:w="2269"/>
        <w:gridCol w:w="2127"/>
      </w:tblGrid>
      <w:tr w:rsidR="006A4C99" w:rsidRPr="001276C9" w14:paraId="21A30E07" w14:textId="20D9F4EE" w:rsidTr="00525FF1">
        <w:trPr>
          <w:cnfStyle w:val="100000000000" w:firstRow="1" w:lastRow="0" w:firstColumn="0" w:lastColumn="0" w:oddVBand="0" w:evenVBand="0" w:oddHBand="0" w:evenHBand="0" w:firstRowFirstColumn="0" w:firstRowLastColumn="0" w:lastRowFirstColumn="0" w:lastRowLastColumn="0"/>
          <w:tblHeader/>
        </w:trPr>
        <w:tc>
          <w:tcPr>
            <w:tcW w:w="2581" w:type="pct"/>
          </w:tcPr>
          <w:p w14:paraId="6F3E8CDE" w14:textId="3CF4A3E8" w:rsidR="006A4C99" w:rsidRPr="001276C9" w:rsidRDefault="006A4C99" w:rsidP="00FF52B7">
            <w:pPr>
              <w:pStyle w:val="Tableheadertext"/>
            </w:pPr>
            <w:r w:rsidRPr="001276C9">
              <w:t>R&amp;D (</w:t>
            </w:r>
            <w:r w:rsidRPr="001276C9">
              <w:rPr>
                <w:i/>
                <w:iCs/>
              </w:rPr>
              <w:t>t</w:t>
            </w:r>
            <w:r w:rsidRPr="001276C9">
              <w:t>=2)</w:t>
            </w:r>
          </w:p>
        </w:tc>
        <w:tc>
          <w:tcPr>
            <w:tcW w:w="2419" w:type="pct"/>
          </w:tcPr>
          <w:p w14:paraId="507B34BD" w14:textId="75095B2A" w:rsidR="006A4C99" w:rsidRPr="001276C9" w:rsidRDefault="006A4C99" w:rsidP="00FF52B7">
            <w:pPr>
              <w:pStyle w:val="Tableheadertext"/>
              <w:jc w:val="right"/>
            </w:pPr>
            <w:r w:rsidRPr="001276C9">
              <w:t>ATT</w:t>
            </w:r>
          </w:p>
        </w:tc>
      </w:tr>
      <w:tr w:rsidR="006A4C99" w:rsidRPr="001276C9" w14:paraId="275C8406" w14:textId="26964A28" w:rsidTr="003072A2">
        <w:trPr>
          <w:cnfStyle w:val="000000100000" w:firstRow="0" w:lastRow="0" w:firstColumn="0" w:lastColumn="0" w:oddVBand="0" w:evenVBand="0" w:oddHBand="1" w:evenHBand="0" w:firstRowFirstColumn="0" w:firstRowLastColumn="0" w:lastRowFirstColumn="0" w:lastRowLastColumn="0"/>
        </w:trPr>
        <w:tc>
          <w:tcPr>
            <w:tcW w:w="2581" w:type="pct"/>
          </w:tcPr>
          <w:p w14:paraId="075DF472" w14:textId="2FD5D145" w:rsidR="006A4C99" w:rsidRPr="001276C9" w:rsidRDefault="006A4C99" w:rsidP="00FF52B7">
            <w:pPr>
              <w:pStyle w:val="Tabletext"/>
            </w:pPr>
            <w:r w:rsidRPr="001276C9">
              <w:t xml:space="preserve">All </w:t>
            </w:r>
          </w:p>
        </w:tc>
        <w:tc>
          <w:tcPr>
            <w:tcW w:w="2419" w:type="pct"/>
          </w:tcPr>
          <w:p w14:paraId="0FEA3769" w14:textId="37E1458B" w:rsidR="006A4C99" w:rsidRPr="001276C9" w:rsidRDefault="006A4C99" w:rsidP="00FF52B7">
            <w:pPr>
              <w:pStyle w:val="Tabletext"/>
              <w:jc w:val="right"/>
            </w:pPr>
            <w:r w:rsidRPr="001276C9">
              <w:t>418,941.3 (97.5)***</w:t>
            </w:r>
          </w:p>
        </w:tc>
      </w:tr>
      <w:tr w:rsidR="006A4C99" w:rsidRPr="001276C9" w14:paraId="440A8599" w14:textId="56555BFD" w:rsidTr="003072A2">
        <w:trPr>
          <w:cnfStyle w:val="000000010000" w:firstRow="0" w:lastRow="0" w:firstColumn="0" w:lastColumn="0" w:oddVBand="0" w:evenVBand="0" w:oddHBand="0" w:evenHBand="1" w:firstRowFirstColumn="0" w:firstRowLastColumn="0" w:lastRowFirstColumn="0" w:lastRowLastColumn="0"/>
        </w:trPr>
        <w:tc>
          <w:tcPr>
            <w:tcW w:w="2581" w:type="pct"/>
          </w:tcPr>
          <w:p w14:paraId="23419B98" w14:textId="77777777" w:rsidR="006A4C99" w:rsidRPr="001276C9" w:rsidRDefault="006A4C99" w:rsidP="00FF52B7">
            <w:pPr>
              <w:pStyle w:val="Tabletext"/>
            </w:pPr>
            <w:r w:rsidRPr="001276C9">
              <w:t>Manufacturing</w:t>
            </w:r>
          </w:p>
        </w:tc>
        <w:tc>
          <w:tcPr>
            <w:tcW w:w="2419" w:type="pct"/>
          </w:tcPr>
          <w:p w14:paraId="0162BD73" w14:textId="39FA3EFE" w:rsidR="006A4C99" w:rsidRPr="001276C9" w:rsidRDefault="006A4C99" w:rsidP="00FF52B7">
            <w:pPr>
              <w:pStyle w:val="Tabletext"/>
              <w:jc w:val="right"/>
            </w:pPr>
            <w:r w:rsidRPr="001276C9">
              <w:t>82,303.3 (309.1)***</w:t>
            </w:r>
          </w:p>
        </w:tc>
      </w:tr>
      <w:tr w:rsidR="006A4C99" w:rsidRPr="001276C9" w14:paraId="26809128" w14:textId="09A11078" w:rsidTr="00FF52B7">
        <w:trPr>
          <w:cnfStyle w:val="000000100000" w:firstRow="0" w:lastRow="0" w:firstColumn="0" w:lastColumn="0" w:oddVBand="0" w:evenVBand="0" w:oddHBand="1" w:evenHBand="0" w:firstRowFirstColumn="0" w:firstRowLastColumn="0" w:lastRowFirstColumn="0" w:lastRowLastColumn="0"/>
        </w:trPr>
        <w:tc>
          <w:tcPr>
            <w:tcW w:w="2581" w:type="pct"/>
          </w:tcPr>
          <w:p w14:paraId="62B4077D" w14:textId="1B442A35" w:rsidR="006A4C99" w:rsidRPr="001276C9" w:rsidRDefault="006A4C99" w:rsidP="00FF52B7">
            <w:pPr>
              <w:pStyle w:val="Tabletext"/>
            </w:pPr>
            <w:r w:rsidRPr="001276C9">
              <w:t>Prof. Scientific and Tech. Services</w:t>
            </w:r>
          </w:p>
        </w:tc>
        <w:tc>
          <w:tcPr>
            <w:tcW w:w="2419" w:type="pct"/>
            <w:vAlign w:val="center"/>
          </w:tcPr>
          <w:p w14:paraId="4765C698" w14:textId="744010D8" w:rsidR="006A4C99" w:rsidRPr="001276C9" w:rsidRDefault="006A4C99" w:rsidP="00FF52B7">
            <w:pPr>
              <w:pStyle w:val="Tabletext"/>
              <w:jc w:val="right"/>
            </w:pPr>
            <w:r w:rsidRPr="001276C9">
              <w:t>388,179.8 (205.6)***</w:t>
            </w:r>
          </w:p>
        </w:tc>
      </w:tr>
      <w:tr w:rsidR="006A4C99" w:rsidRPr="001276C9" w14:paraId="5EBA028C" w14:textId="468C6FCC" w:rsidTr="003072A2">
        <w:trPr>
          <w:cnfStyle w:val="000000010000" w:firstRow="0" w:lastRow="0" w:firstColumn="0" w:lastColumn="0" w:oddVBand="0" w:evenVBand="0" w:oddHBand="0" w:evenHBand="1" w:firstRowFirstColumn="0" w:firstRowLastColumn="0" w:lastRowFirstColumn="0" w:lastRowLastColumn="0"/>
        </w:trPr>
        <w:tc>
          <w:tcPr>
            <w:tcW w:w="2581" w:type="pct"/>
          </w:tcPr>
          <w:p w14:paraId="2799ADCF" w14:textId="62061483" w:rsidR="006A4C99" w:rsidRPr="001276C9" w:rsidRDefault="006A4C99" w:rsidP="00FF52B7">
            <w:pPr>
              <w:pStyle w:val="Tabletext"/>
            </w:pPr>
            <w:r w:rsidRPr="001276C9">
              <w:t xml:space="preserve">Other industries </w:t>
            </w:r>
          </w:p>
        </w:tc>
        <w:tc>
          <w:tcPr>
            <w:tcW w:w="2419" w:type="pct"/>
          </w:tcPr>
          <w:p w14:paraId="1AA59E63" w14:textId="3D7F7A35" w:rsidR="006A4C99" w:rsidRPr="001276C9" w:rsidRDefault="006A4C99" w:rsidP="00FF52B7">
            <w:pPr>
              <w:pStyle w:val="Tabletext"/>
              <w:jc w:val="right"/>
            </w:pPr>
            <w:r w:rsidRPr="001276C9">
              <w:t>341,306.7 (3.4)***</w:t>
            </w:r>
          </w:p>
        </w:tc>
      </w:tr>
    </w:tbl>
    <w:p w14:paraId="0D61DA90" w14:textId="282880DB" w:rsidR="00F5215A" w:rsidRPr="001276C9" w:rsidRDefault="00BF2846" w:rsidP="00F5215A">
      <w:pPr>
        <w:pStyle w:val="Note"/>
        <w:rPr>
          <w:lang w:eastAsia="en-AU"/>
        </w:rPr>
      </w:pPr>
      <w:r w:rsidRPr="001276C9">
        <w:rPr>
          <w:lang w:eastAsia="en-AU"/>
        </w:rPr>
        <w:t xml:space="preserve">Notes: </w:t>
      </w:r>
      <w:r w:rsidR="00373F4D" w:rsidRPr="001276C9">
        <w:rPr>
          <w:lang w:eastAsia="en-AU"/>
        </w:rPr>
        <w:t>*** and ** denote significance at 1 and 5 per cent, respectively.</w:t>
      </w:r>
      <w:r w:rsidR="007B02FA" w:rsidRPr="001276C9">
        <w:rPr>
          <w:lang w:eastAsia="en-AU"/>
        </w:rPr>
        <w:t xml:space="preserve"> </w:t>
      </w:r>
      <w:r w:rsidR="00842F3E" w:rsidRPr="001276C9">
        <w:rPr>
          <w:lang w:eastAsia="en-AU"/>
        </w:rPr>
        <w:t xml:space="preserve">Firms </w:t>
      </w:r>
      <w:r w:rsidR="007B02FA" w:rsidRPr="001276C9">
        <w:rPr>
          <w:lang w:eastAsia="en-AU"/>
        </w:rPr>
        <w:t>in the upper 0.5 percentile are dropped as outliers.</w:t>
      </w:r>
      <w:r w:rsidR="009965A6" w:rsidRPr="001276C9">
        <w:rPr>
          <w:lang w:eastAsia="en-AU"/>
        </w:rPr>
        <w:t xml:space="preserve"> </w:t>
      </w:r>
    </w:p>
    <w:p w14:paraId="7E0A7C2F" w14:textId="2E988889" w:rsidR="00F5215A" w:rsidRPr="001276C9" w:rsidRDefault="00F5215A" w:rsidP="00F5215A">
      <w:pPr>
        <w:pStyle w:val="Source"/>
        <w:rPr>
          <w:lang w:eastAsia="en-AU"/>
        </w:rPr>
      </w:pPr>
      <w:r w:rsidRPr="001276C9">
        <w:rPr>
          <w:lang w:eastAsia="en-AU"/>
        </w:rPr>
        <w:t xml:space="preserve">Source: </w:t>
      </w:r>
      <w:r w:rsidR="00DF2825" w:rsidRPr="001276C9">
        <w:rPr>
          <w:lang w:eastAsia="en-AU"/>
        </w:rPr>
        <w:t>Department of Industry, Innovation and Science (2018)</w:t>
      </w:r>
    </w:p>
    <w:p w14:paraId="4A94F8A1" w14:textId="367544C1" w:rsidR="00196173" w:rsidRPr="001276C9" w:rsidRDefault="00A63EE3" w:rsidP="00DA0B06">
      <w:pPr>
        <w:pStyle w:val="BodyText"/>
      </w:pPr>
      <w:r w:rsidRPr="001276C9">
        <w:t>As w</w:t>
      </w:r>
      <w:r w:rsidR="00A2258B" w:rsidRPr="001276C9">
        <w:t>as</w:t>
      </w:r>
      <w:r w:rsidRPr="001276C9">
        <w:t xml:space="preserve"> the case with capital investments, o</w:t>
      </w:r>
      <w:r w:rsidR="00D20C4E" w:rsidRPr="001276C9">
        <w:t xml:space="preserve">ne observes </w:t>
      </w:r>
      <w:r w:rsidR="008A4FAB" w:rsidRPr="001276C9">
        <w:t xml:space="preserve">that </w:t>
      </w:r>
      <w:r w:rsidR="00A2258B" w:rsidRPr="001276C9">
        <w:t xml:space="preserve">participation in </w:t>
      </w:r>
      <w:r w:rsidR="008A4FAB" w:rsidRPr="001276C9">
        <w:t xml:space="preserve">the CA </w:t>
      </w:r>
      <w:r w:rsidR="00A2258B" w:rsidRPr="001276C9">
        <w:t>program</w:t>
      </w:r>
      <w:r w:rsidR="008A4FAB" w:rsidRPr="001276C9">
        <w:t xml:space="preserve"> </w:t>
      </w:r>
      <w:r w:rsidRPr="001276C9">
        <w:t xml:space="preserve">also </w:t>
      </w:r>
      <w:r w:rsidR="008A4FAB" w:rsidRPr="001276C9">
        <w:t>led to an increase in R&amp;D expenditures.</w:t>
      </w:r>
    </w:p>
    <w:p w14:paraId="606D52A8" w14:textId="172CA984" w:rsidR="009F5D54" w:rsidRPr="001276C9" w:rsidRDefault="009F5D54" w:rsidP="69C395A1">
      <w:pPr>
        <w:pStyle w:val="BodyText"/>
      </w:pPr>
      <w:r w:rsidRPr="001276C9">
        <w:t xml:space="preserve">The average increase in R&amp;D among the treated firms also appears to be larger than the increase in capital expenditures. </w:t>
      </w:r>
      <w:r w:rsidR="001A6A0D" w:rsidRPr="001276C9">
        <w:t>T</w:t>
      </w:r>
      <w:r w:rsidRPr="001276C9">
        <w:t xml:space="preserve">he ATT </w:t>
      </w:r>
      <w:r w:rsidR="001A6A0D" w:rsidRPr="001276C9">
        <w:t xml:space="preserve">statistic </w:t>
      </w:r>
      <w:r w:rsidRPr="001276C9">
        <w:t xml:space="preserve">for the pooled sample </w:t>
      </w:r>
      <w:r w:rsidR="00D81BA0" w:rsidRPr="001276C9">
        <w:t xml:space="preserve">of all participants </w:t>
      </w:r>
      <w:r w:rsidRPr="001276C9">
        <w:t xml:space="preserve">shows that the treated firms spent </w:t>
      </w:r>
      <w:r w:rsidR="00567906" w:rsidRPr="001276C9">
        <w:t xml:space="preserve">close to </w:t>
      </w:r>
      <w:r w:rsidRPr="001276C9">
        <w:t>$</w:t>
      </w:r>
      <w:r w:rsidR="00567906" w:rsidRPr="001276C9">
        <w:t>419</w:t>
      </w:r>
      <w:r w:rsidRPr="001276C9">
        <w:t xml:space="preserve">,000 more on R&amp;D than </w:t>
      </w:r>
      <w:r w:rsidR="00D81BA0" w:rsidRPr="001276C9">
        <w:t>the comparison group</w:t>
      </w:r>
      <w:r w:rsidRPr="001276C9">
        <w:t>. The numbers from Manufacturing and Professional, Scientific and Technical Services are also in the same line.</w:t>
      </w:r>
    </w:p>
    <w:p w14:paraId="26FEC57B" w14:textId="447C6F8D" w:rsidR="001A6A0D" w:rsidRPr="001276C9" w:rsidRDefault="00A21A91" w:rsidP="00DA0B06">
      <w:pPr>
        <w:pStyle w:val="BodyText"/>
      </w:pPr>
      <w:r w:rsidRPr="001276C9">
        <w:t>Given the size of ATT for R&amp;D versus that for capital investment</w:t>
      </w:r>
      <w:r w:rsidR="001A6A0D" w:rsidRPr="001276C9">
        <w:t xml:space="preserve">, </w:t>
      </w:r>
      <w:r w:rsidR="008A4157" w:rsidRPr="001276C9">
        <w:t xml:space="preserve">it </w:t>
      </w:r>
      <w:r w:rsidR="00AF2F03" w:rsidRPr="001276C9">
        <w:t>appears</w:t>
      </w:r>
      <w:r w:rsidR="008A4157" w:rsidRPr="001276C9">
        <w:t xml:space="preserve"> that </w:t>
      </w:r>
      <w:r w:rsidR="001A6A0D" w:rsidRPr="001276C9">
        <w:t xml:space="preserve">the </w:t>
      </w:r>
      <w:r w:rsidR="00017C0B" w:rsidRPr="001276C9">
        <w:t>participating firms from Professional, Scientific and Technical Services</w:t>
      </w:r>
      <w:r w:rsidR="001A6A0D" w:rsidRPr="001276C9">
        <w:t xml:space="preserve"> were </w:t>
      </w:r>
      <w:r w:rsidR="00017C0B" w:rsidRPr="001276C9">
        <w:t>more</w:t>
      </w:r>
      <w:r w:rsidR="001A6A0D" w:rsidRPr="001276C9">
        <w:t xml:space="preserve"> in need of the CA grants for R&amp;D investments and </w:t>
      </w:r>
      <w:r w:rsidR="00AF2F03" w:rsidRPr="001276C9">
        <w:t>rather than</w:t>
      </w:r>
      <w:r w:rsidR="001A6A0D" w:rsidRPr="001276C9">
        <w:t xml:space="preserve"> other f</w:t>
      </w:r>
      <w:r w:rsidR="00017C0B" w:rsidRPr="001276C9">
        <w:t>orms of capital investments (as wa</w:t>
      </w:r>
      <w:r w:rsidR="001A6A0D" w:rsidRPr="001276C9">
        <w:t>s shown in the last section</w:t>
      </w:r>
      <w:r w:rsidR="00017C0B" w:rsidRPr="001276C9">
        <w:t>)</w:t>
      </w:r>
      <w:r w:rsidR="001A6A0D" w:rsidRPr="001276C9">
        <w:t>.</w:t>
      </w:r>
    </w:p>
    <w:p w14:paraId="5AE8E915" w14:textId="77777777" w:rsidR="00B91298" w:rsidRPr="001276C9" w:rsidRDefault="00B91298">
      <w:pPr>
        <w:pStyle w:val="Heading2"/>
        <w:rPr>
          <w:rFonts w:asciiTheme="minorHAnsi" w:hAnsiTheme="minorHAnsi"/>
        </w:rPr>
      </w:pPr>
      <w:r w:rsidRPr="001276C9">
        <w:t>Exporting</w:t>
      </w:r>
    </w:p>
    <w:p w14:paraId="5D92D2F5" w14:textId="58B763B6" w:rsidR="005E0D4E" w:rsidRPr="001276C9" w:rsidRDefault="00B91298" w:rsidP="00B91298">
      <w:pPr>
        <w:pStyle w:val="BodyText"/>
      </w:pPr>
      <w:r w:rsidRPr="001276C9">
        <w:t xml:space="preserve">Whether the CA </w:t>
      </w:r>
      <w:r w:rsidR="007C258B" w:rsidRPr="001276C9">
        <w:t xml:space="preserve">program </w:t>
      </w:r>
      <w:r w:rsidRPr="001276C9">
        <w:t>had any impact on the volume of export</w:t>
      </w:r>
      <w:r w:rsidR="007C258B" w:rsidRPr="001276C9">
        <w:t>s</w:t>
      </w:r>
      <w:r w:rsidRPr="001276C9">
        <w:t xml:space="preserve"> by each firm is another topic of interest in most policy studies. However, </w:t>
      </w:r>
      <w:r w:rsidR="007C258B" w:rsidRPr="001276C9">
        <w:t>as with the turnover study in Section 6.1, the quality of analysis for exporting</w:t>
      </w:r>
      <w:r w:rsidR="009D134B" w:rsidRPr="001276C9">
        <w:t xml:space="preserve"> firms</w:t>
      </w:r>
      <w:r w:rsidR="007C258B" w:rsidRPr="001276C9">
        <w:t xml:space="preserve"> will b</w:t>
      </w:r>
      <w:r w:rsidR="009D134B" w:rsidRPr="001276C9">
        <w:t>e</w:t>
      </w:r>
      <w:r w:rsidR="007C258B" w:rsidRPr="001276C9">
        <w:t xml:space="preserve"> subject to the time truncation of data in 2014</w:t>
      </w:r>
      <w:r w:rsidR="007C258B" w:rsidRPr="001276C9">
        <w:sym w:font="Symbol" w:char="F02D"/>
      </w:r>
      <w:r w:rsidR="007C258B" w:rsidRPr="001276C9">
        <w:t>15</w:t>
      </w:r>
      <w:r w:rsidRPr="001276C9">
        <w:t xml:space="preserve">. Instead, we investigate whether there has been an increase in the number of the </w:t>
      </w:r>
      <w:r w:rsidR="005271C6" w:rsidRPr="001276C9">
        <w:t xml:space="preserve">participating </w:t>
      </w:r>
      <w:r w:rsidRPr="001276C9">
        <w:t xml:space="preserve">firms that are also exporters. </w:t>
      </w:r>
    </w:p>
    <w:p w14:paraId="364434C9" w14:textId="13F66EC9" w:rsidR="003A76BE" w:rsidRPr="001276C9" w:rsidRDefault="003A76BE" w:rsidP="00B91298">
      <w:pPr>
        <w:pStyle w:val="BodyText"/>
      </w:pPr>
      <w:r w:rsidRPr="001276C9">
        <w:t xml:space="preserve">We look at all the CA </w:t>
      </w:r>
      <w:r w:rsidR="00B74AA7" w:rsidRPr="001276C9">
        <w:t xml:space="preserve">participants </w:t>
      </w:r>
      <w:r w:rsidRPr="001276C9">
        <w:t>with non-missing value for their exports at one year before they receive their first grant</w:t>
      </w:r>
      <w:r w:rsidR="00E86E01" w:rsidRPr="001276C9">
        <w:t xml:space="preserve"> (</w:t>
      </w:r>
      <w:r w:rsidR="00E86E01" w:rsidRPr="001276C9">
        <w:rPr>
          <w:i/>
          <w:iCs/>
        </w:rPr>
        <w:t>t</w:t>
      </w:r>
      <w:r w:rsidR="00E86E01" w:rsidRPr="001276C9">
        <w:t>=0)</w:t>
      </w:r>
      <w:r w:rsidRPr="001276C9">
        <w:t xml:space="preserve"> and then in </w:t>
      </w:r>
      <w:r w:rsidR="00207D86" w:rsidRPr="001276C9">
        <w:t xml:space="preserve">fiscal year </w:t>
      </w:r>
      <w:r w:rsidR="00E86E01" w:rsidRPr="001276C9">
        <w:t>2014</w:t>
      </w:r>
      <w:r w:rsidR="00D16638" w:rsidRPr="001276C9">
        <w:rPr>
          <w:rFonts w:cstheme="minorHAnsi"/>
        </w:rPr>
        <w:sym w:font="Symbol" w:char="F02D"/>
      </w:r>
      <w:r w:rsidRPr="001276C9">
        <w:t>15 which is the last year of the data. The proportion of e</w:t>
      </w:r>
      <w:r w:rsidR="001326FA" w:rsidRPr="001276C9">
        <w:t xml:space="preserve">xporting firms in each case are </w:t>
      </w:r>
      <w:r w:rsidRPr="001276C9">
        <w:t xml:space="preserve">reported in </w:t>
      </w:r>
      <w:r w:rsidR="00A16B66" w:rsidRPr="001276C9">
        <w:fldChar w:fldCharType="begin"/>
      </w:r>
      <w:r w:rsidR="00A16B66" w:rsidRPr="001276C9">
        <w:instrText xml:space="preserve"> REF _Ref507400465 \h </w:instrText>
      </w:r>
      <w:r w:rsidR="001276C9">
        <w:instrText xml:space="preserve"> \* MERGEFORMAT </w:instrText>
      </w:r>
      <w:r w:rsidR="00A16B66" w:rsidRPr="001276C9">
        <w:fldChar w:fldCharType="separate"/>
      </w:r>
      <w:r w:rsidR="00F47C7A" w:rsidRPr="001276C9">
        <w:t xml:space="preserve">Table </w:t>
      </w:r>
      <w:r w:rsidR="00F47C7A">
        <w:rPr>
          <w:noProof/>
        </w:rPr>
        <w:t>6</w:t>
      </w:r>
      <w:r w:rsidR="00F47C7A" w:rsidRPr="001276C9">
        <w:rPr>
          <w:noProof/>
        </w:rPr>
        <w:t>.</w:t>
      </w:r>
      <w:r w:rsidR="00F47C7A">
        <w:rPr>
          <w:noProof/>
        </w:rPr>
        <w:t>4</w:t>
      </w:r>
      <w:r w:rsidR="00A16B66" w:rsidRPr="001276C9">
        <w:fldChar w:fldCharType="end"/>
      </w:r>
      <w:r w:rsidR="00A16B66" w:rsidRPr="001276C9">
        <w:t>.</w:t>
      </w:r>
    </w:p>
    <w:p w14:paraId="1BF0FD37" w14:textId="2315508F" w:rsidR="004454E4" w:rsidRPr="001276C9" w:rsidRDefault="004454E4" w:rsidP="004454E4">
      <w:pPr>
        <w:pStyle w:val="Caption"/>
      </w:pPr>
      <w:bookmarkStart w:id="13" w:name="_Ref507400465"/>
      <w:r w:rsidRPr="001276C9">
        <w:t xml:space="preserve">Table </w:t>
      </w:r>
      <w:r w:rsidR="00403214">
        <w:rPr>
          <w:noProof/>
        </w:rPr>
        <w:fldChar w:fldCharType="begin"/>
      </w:r>
      <w:r w:rsidR="00403214">
        <w:rPr>
          <w:noProof/>
        </w:rPr>
        <w:instrText xml:space="preserve"> STYLEREF 1 \s </w:instrText>
      </w:r>
      <w:r w:rsidR="00403214">
        <w:rPr>
          <w:noProof/>
        </w:rPr>
        <w:fldChar w:fldCharType="separate"/>
      </w:r>
      <w:r w:rsidR="00F47C7A">
        <w:rPr>
          <w:noProof/>
        </w:rPr>
        <w:t>6</w:t>
      </w:r>
      <w:r w:rsidR="00403214">
        <w:rPr>
          <w:noProof/>
        </w:rPr>
        <w:fldChar w:fldCharType="end"/>
      </w:r>
      <w:r w:rsidR="00B0666A" w:rsidRPr="001276C9">
        <w:t>.</w:t>
      </w:r>
      <w:r w:rsidR="00403214">
        <w:rPr>
          <w:noProof/>
        </w:rPr>
        <w:fldChar w:fldCharType="begin"/>
      </w:r>
      <w:r w:rsidR="00403214">
        <w:rPr>
          <w:noProof/>
        </w:rPr>
        <w:instrText xml:space="preserve"> SEQ Table \* ARABIC \s 1 </w:instrText>
      </w:r>
      <w:r w:rsidR="00403214">
        <w:rPr>
          <w:noProof/>
        </w:rPr>
        <w:fldChar w:fldCharType="separate"/>
      </w:r>
      <w:r w:rsidR="00F47C7A">
        <w:rPr>
          <w:noProof/>
        </w:rPr>
        <w:t>4</w:t>
      </w:r>
      <w:r w:rsidR="00403214">
        <w:rPr>
          <w:noProof/>
        </w:rPr>
        <w:fldChar w:fldCharType="end"/>
      </w:r>
      <w:bookmarkEnd w:id="13"/>
      <w:r w:rsidRPr="001276C9">
        <w:t xml:space="preserve"> Proportion of </w:t>
      </w:r>
      <w:r w:rsidR="00BC1207" w:rsidRPr="001276C9">
        <w:t xml:space="preserve">the </w:t>
      </w:r>
      <w:r w:rsidRPr="001276C9">
        <w:t xml:space="preserve">CA </w:t>
      </w:r>
      <w:r w:rsidR="00B74AA7" w:rsidRPr="001276C9">
        <w:t xml:space="preserve">participants </w:t>
      </w:r>
      <w:r w:rsidRPr="001276C9">
        <w:t>exporting.</w:t>
      </w:r>
    </w:p>
    <w:tbl>
      <w:tblPr>
        <w:tblStyle w:val="OCETable"/>
        <w:tblW w:w="5000" w:type="pct"/>
        <w:tblLook w:val="04A0" w:firstRow="1" w:lastRow="0" w:firstColumn="1" w:lastColumn="0" w:noHBand="0" w:noVBand="1"/>
        <w:tblCaption w:val="Table 6.4"/>
        <w:tblDescription w:val="There is an increase int he proportion of exporting firms from time zero to the last year observed in the data."/>
      </w:tblPr>
      <w:tblGrid>
        <w:gridCol w:w="2299"/>
        <w:gridCol w:w="2298"/>
        <w:gridCol w:w="2297"/>
      </w:tblGrid>
      <w:tr w:rsidR="000E11BE" w:rsidRPr="001276C9" w14:paraId="3B4CAE7B" w14:textId="77777777" w:rsidTr="00525FF1">
        <w:trPr>
          <w:cnfStyle w:val="100000000000" w:firstRow="1" w:lastRow="0" w:firstColumn="0" w:lastColumn="0" w:oddVBand="0" w:evenVBand="0" w:oddHBand="0" w:evenHBand="0" w:firstRowFirstColumn="0" w:firstRowLastColumn="0" w:lastRowFirstColumn="0" w:lastRowLastColumn="0"/>
          <w:tblHeader/>
        </w:trPr>
        <w:tc>
          <w:tcPr>
            <w:tcW w:w="1667" w:type="pct"/>
          </w:tcPr>
          <w:p w14:paraId="4806F08F" w14:textId="6FEF7738" w:rsidR="000E11BE" w:rsidRPr="001276C9" w:rsidRDefault="000E11BE" w:rsidP="009D7BE5">
            <w:pPr>
              <w:pStyle w:val="BodyText"/>
              <w:rPr>
                <w:color w:val="FFFFFF" w:themeColor="background1"/>
              </w:rPr>
            </w:pPr>
          </w:p>
        </w:tc>
        <w:tc>
          <w:tcPr>
            <w:tcW w:w="1667" w:type="pct"/>
          </w:tcPr>
          <w:p w14:paraId="4D478161" w14:textId="48662398" w:rsidR="000E11BE" w:rsidRPr="001276C9" w:rsidRDefault="000E11BE" w:rsidP="009160E4">
            <w:pPr>
              <w:pStyle w:val="Tableheadertext"/>
              <w:jc w:val="right"/>
            </w:pPr>
            <w:r w:rsidRPr="001276C9">
              <w:t>t=0</w:t>
            </w:r>
          </w:p>
        </w:tc>
        <w:tc>
          <w:tcPr>
            <w:tcW w:w="1666" w:type="pct"/>
          </w:tcPr>
          <w:p w14:paraId="4B3B4180" w14:textId="71ADB896" w:rsidR="000E11BE" w:rsidRPr="001276C9" w:rsidRDefault="000E11BE" w:rsidP="009160E4">
            <w:pPr>
              <w:pStyle w:val="Tableheadertext"/>
              <w:jc w:val="right"/>
            </w:pPr>
            <w:r w:rsidRPr="001276C9">
              <w:t>2014</w:t>
            </w:r>
            <w:r w:rsidR="00D16638" w:rsidRPr="001276C9">
              <w:rPr>
                <w:rFonts w:cstheme="minorHAnsi"/>
              </w:rPr>
              <w:sym w:font="Symbol" w:char="F02D"/>
            </w:r>
            <w:r w:rsidRPr="001276C9">
              <w:t>15</w:t>
            </w:r>
          </w:p>
        </w:tc>
      </w:tr>
      <w:tr w:rsidR="000E11BE" w:rsidRPr="001276C9" w14:paraId="0773EEBF" w14:textId="77777777" w:rsidTr="001276C9">
        <w:trPr>
          <w:cnfStyle w:val="000000100000" w:firstRow="0" w:lastRow="0" w:firstColumn="0" w:lastColumn="0" w:oddVBand="0" w:evenVBand="0" w:oddHBand="1" w:evenHBand="0" w:firstRowFirstColumn="0" w:firstRowLastColumn="0" w:lastRowFirstColumn="0" w:lastRowLastColumn="0"/>
        </w:trPr>
        <w:tc>
          <w:tcPr>
            <w:tcW w:w="1667" w:type="pct"/>
            <w:shd w:val="clear" w:color="auto" w:fill="FFFFFF" w:themeFill="background1"/>
          </w:tcPr>
          <w:p w14:paraId="07CE7C81" w14:textId="1BC99DE4" w:rsidR="000E11BE" w:rsidRPr="001276C9" w:rsidRDefault="000E11BE" w:rsidP="006A0EA3">
            <w:pPr>
              <w:pStyle w:val="Tabletext"/>
            </w:pPr>
            <w:r w:rsidRPr="001276C9">
              <w:t>Proportion Exporting</w:t>
            </w:r>
          </w:p>
        </w:tc>
        <w:tc>
          <w:tcPr>
            <w:tcW w:w="1667" w:type="pct"/>
            <w:shd w:val="clear" w:color="auto" w:fill="FFFFFF" w:themeFill="background1"/>
          </w:tcPr>
          <w:p w14:paraId="178B0FD9" w14:textId="45100948" w:rsidR="000E11BE" w:rsidRPr="001276C9" w:rsidRDefault="00432D4C" w:rsidP="009160E4">
            <w:pPr>
              <w:pStyle w:val="Tabletext"/>
              <w:jc w:val="right"/>
            </w:pPr>
            <w:r w:rsidRPr="001276C9">
              <w:t>28.3</w:t>
            </w:r>
            <w:r w:rsidR="000E11BE" w:rsidRPr="001276C9">
              <w:t>%</w:t>
            </w:r>
          </w:p>
        </w:tc>
        <w:tc>
          <w:tcPr>
            <w:tcW w:w="1666" w:type="pct"/>
            <w:shd w:val="clear" w:color="auto" w:fill="FFFFFF" w:themeFill="background1"/>
          </w:tcPr>
          <w:p w14:paraId="4CEBA709" w14:textId="1340EB19" w:rsidR="000E11BE" w:rsidRPr="001276C9" w:rsidRDefault="00432D4C" w:rsidP="009160E4">
            <w:pPr>
              <w:pStyle w:val="Tabletext"/>
              <w:jc w:val="right"/>
            </w:pPr>
            <w:r w:rsidRPr="001276C9">
              <w:t>31.7</w:t>
            </w:r>
            <w:r w:rsidR="000E11BE" w:rsidRPr="001276C9">
              <w:t>%</w:t>
            </w:r>
          </w:p>
        </w:tc>
      </w:tr>
      <w:tr w:rsidR="000E11BE" w:rsidRPr="001276C9" w14:paraId="0544AB7A" w14:textId="77777777" w:rsidTr="001276C9">
        <w:trPr>
          <w:cnfStyle w:val="000000010000" w:firstRow="0" w:lastRow="0" w:firstColumn="0" w:lastColumn="0" w:oddVBand="0" w:evenVBand="0" w:oddHBand="0" w:evenHBand="1" w:firstRowFirstColumn="0" w:firstRowLastColumn="0" w:lastRowFirstColumn="0" w:lastRowLastColumn="0"/>
        </w:trPr>
        <w:tc>
          <w:tcPr>
            <w:tcW w:w="1667" w:type="pct"/>
            <w:shd w:val="clear" w:color="auto" w:fill="DEE8F1"/>
          </w:tcPr>
          <w:p w14:paraId="059ACD23" w14:textId="0E9C06DB" w:rsidR="000E11BE" w:rsidRPr="001276C9" w:rsidRDefault="000E11BE" w:rsidP="006A0EA3">
            <w:pPr>
              <w:pStyle w:val="Tabletext"/>
            </w:pPr>
            <w:r w:rsidRPr="001276C9">
              <w:t>Total Number</w:t>
            </w:r>
          </w:p>
        </w:tc>
        <w:tc>
          <w:tcPr>
            <w:tcW w:w="1667" w:type="pct"/>
            <w:shd w:val="clear" w:color="auto" w:fill="DEE8F1"/>
          </w:tcPr>
          <w:p w14:paraId="1EBC7096" w14:textId="63103E75" w:rsidR="000E11BE" w:rsidRPr="001276C9" w:rsidRDefault="00432D4C" w:rsidP="009160E4">
            <w:pPr>
              <w:pStyle w:val="Tabletext"/>
              <w:jc w:val="right"/>
            </w:pPr>
            <w:r w:rsidRPr="001276C9">
              <w:t>453</w:t>
            </w:r>
          </w:p>
        </w:tc>
        <w:tc>
          <w:tcPr>
            <w:tcW w:w="1666" w:type="pct"/>
            <w:shd w:val="clear" w:color="auto" w:fill="DEE8F1"/>
          </w:tcPr>
          <w:p w14:paraId="3E37FF29" w14:textId="5A449722" w:rsidR="000E11BE" w:rsidRPr="001276C9" w:rsidRDefault="00432D4C" w:rsidP="009160E4">
            <w:pPr>
              <w:pStyle w:val="Tabletext"/>
              <w:jc w:val="right"/>
            </w:pPr>
            <w:r w:rsidRPr="001276C9">
              <w:t>539</w:t>
            </w:r>
          </w:p>
        </w:tc>
      </w:tr>
    </w:tbl>
    <w:p w14:paraId="39BE780A" w14:textId="3DA5A2A7" w:rsidR="003A693E" w:rsidRPr="001276C9" w:rsidRDefault="003A693E" w:rsidP="003A693E">
      <w:pPr>
        <w:pStyle w:val="Source"/>
        <w:spacing w:after="0"/>
        <w:rPr>
          <w:lang w:eastAsia="en-AU"/>
        </w:rPr>
      </w:pPr>
      <w:r w:rsidRPr="001276C9">
        <w:rPr>
          <w:lang w:eastAsia="en-AU"/>
        </w:rPr>
        <w:t>Notes: Only firms with non-missing report of exports are used.</w:t>
      </w:r>
    </w:p>
    <w:p w14:paraId="39285360" w14:textId="76E1B89A" w:rsidR="004454E4" w:rsidRPr="001276C9" w:rsidRDefault="004454E4" w:rsidP="004454E4">
      <w:pPr>
        <w:pStyle w:val="Source"/>
        <w:rPr>
          <w:lang w:eastAsia="en-AU"/>
        </w:rPr>
      </w:pPr>
      <w:r w:rsidRPr="001276C9">
        <w:rPr>
          <w:lang w:eastAsia="en-AU"/>
        </w:rPr>
        <w:t xml:space="preserve">Source: </w:t>
      </w:r>
      <w:r w:rsidR="001519FB" w:rsidRPr="001276C9">
        <w:rPr>
          <w:lang w:eastAsia="en-AU"/>
        </w:rPr>
        <w:t>Department of Industry, Innovation and Science (2018)</w:t>
      </w:r>
    </w:p>
    <w:p w14:paraId="3D9EE388" w14:textId="69E8D7F1" w:rsidR="005E0D4E" w:rsidRPr="001276C9" w:rsidRDefault="00207D86" w:rsidP="00E41C57">
      <w:pPr>
        <w:spacing w:after="200" w:line="276" w:lineRule="auto"/>
        <w:ind w:left="0"/>
        <w:jc w:val="left"/>
        <w:rPr>
          <w:rFonts w:asciiTheme="majorHAnsi" w:eastAsiaTheme="majorEastAsia" w:hAnsiTheme="majorHAnsi" w:cstheme="majorBidi"/>
        </w:rPr>
      </w:pPr>
      <w:r w:rsidRPr="001276C9">
        <w:rPr>
          <w:rFonts w:asciiTheme="majorHAnsi" w:eastAsiaTheme="majorEastAsia" w:hAnsiTheme="majorHAnsi" w:cstheme="majorBidi"/>
        </w:rPr>
        <w:lastRenderedPageBreak/>
        <w:t xml:space="preserve">The numbers show a </w:t>
      </w:r>
      <w:r w:rsidR="00196173" w:rsidRPr="001276C9">
        <w:rPr>
          <w:rFonts w:asciiTheme="majorHAnsi" w:eastAsiaTheme="majorEastAsia" w:hAnsiTheme="majorHAnsi" w:cstheme="majorBidi"/>
        </w:rPr>
        <w:t>three</w:t>
      </w:r>
      <w:r w:rsidRPr="001276C9">
        <w:rPr>
          <w:rFonts w:asciiTheme="majorHAnsi" w:eastAsiaTheme="majorEastAsia" w:hAnsiTheme="majorHAnsi" w:cstheme="majorBidi"/>
        </w:rPr>
        <w:t xml:space="preserve"> percent</w:t>
      </w:r>
      <w:r w:rsidR="00581435" w:rsidRPr="001276C9">
        <w:rPr>
          <w:rFonts w:asciiTheme="majorHAnsi" w:eastAsiaTheme="majorEastAsia" w:hAnsiTheme="majorHAnsi" w:cstheme="majorBidi"/>
        </w:rPr>
        <w:t>age point</w:t>
      </w:r>
      <w:r w:rsidRPr="001276C9">
        <w:rPr>
          <w:rFonts w:asciiTheme="majorHAnsi" w:eastAsiaTheme="majorEastAsia" w:hAnsiTheme="majorHAnsi" w:cstheme="majorBidi"/>
        </w:rPr>
        <w:t xml:space="preserve"> rise in the proportion of exporting firms among the CA </w:t>
      </w:r>
      <w:r w:rsidR="00EB3840" w:rsidRPr="001276C9">
        <w:rPr>
          <w:rFonts w:asciiTheme="majorHAnsi" w:eastAsiaTheme="majorEastAsia" w:hAnsiTheme="majorHAnsi" w:cstheme="majorBidi"/>
        </w:rPr>
        <w:t>participants</w:t>
      </w:r>
      <w:r w:rsidRPr="001276C9">
        <w:rPr>
          <w:rFonts w:asciiTheme="majorHAnsi" w:eastAsiaTheme="majorEastAsia" w:hAnsiTheme="majorHAnsi" w:cstheme="majorBidi"/>
        </w:rPr>
        <w:t xml:space="preserve">. To </w:t>
      </w:r>
      <w:r w:rsidR="007B2BD2" w:rsidRPr="001276C9">
        <w:rPr>
          <w:rFonts w:asciiTheme="majorHAnsi" w:eastAsiaTheme="majorEastAsia" w:hAnsiTheme="majorHAnsi" w:cstheme="majorBidi"/>
        </w:rPr>
        <w:t>see whether the change in the distribution of exporters is statistically significant,</w:t>
      </w:r>
      <w:r w:rsidRPr="001276C9">
        <w:rPr>
          <w:rFonts w:asciiTheme="majorHAnsi" w:eastAsiaTheme="majorEastAsia" w:hAnsiTheme="majorHAnsi" w:cstheme="majorBidi"/>
        </w:rPr>
        <w:t xml:space="preserve"> we form the </w:t>
      </w:r>
      <w:r w:rsidRPr="001276C9">
        <w:rPr>
          <w:rFonts w:asciiTheme="majorHAnsi" w:eastAsiaTheme="majorEastAsia" w:hAnsiTheme="majorHAnsi" w:cstheme="majorBidi"/>
        </w:rPr>
        <w:sym w:font="Symbol" w:char="F063"/>
      </w:r>
      <w:r w:rsidRPr="001276C9">
        <w:rPr>
          <w:rFonts w:asciiTheme="majorHAnsi" w:eastAsiaTheme="majorEastAsia" w:hAnsiTheme="majorHAnsi" w:cstheme="majorBidi"/>
          <w:vertAlign w:val="superscript"/>
        </w:rPr>
        <w:t>2</w:t>
      </w:r>
      <w:r w:rsidR="007A445E" w:rsidRPr="001276C9">
        <w:rPr>
          <w:rFonts w:asciiTheme="majorHAnsi" w:eastAsiaTheme="majorEastAsia" w:hAnsiTheme="majorHAnsi" w:cstheme="majorBidi"/>
        </w:rPr>
        <w:t xml:space="preserve"> statistic. The </w:t>
      </w:r>
      <m:oMath>
        <m:sSubSup>
          <m:sSubSupPr>
            <m:ctrlPr>
              <w:rPr>
                <w:rFonts w:ascii="Cambria Math" w:eastAsiaTheme="majorEastAsia" w:hAnsi="Cambria Math" w:cstheme="majorBidi"/>
                <w:i/>
              </w:rPr>
            </m:ctrlPr>
          </m:sSubSupPr>
          <m:e>
            <m:r>
              <w:rPr>
                <w:rFonts w:ascii="Cambria Math" w:eastAsiaTheme="majorEastAsia" w:hAnsi="Cambria Math" w:cstheme="majorBidi"/>
              </w:rPr>
              <m:t>χ</m:t>
            </m:r>
          </m:e>
          <m:sub>
            <m:r>
              <w:rPr>
                <w:rFonts w:ascii="Cambria Math" w:eastAsiaTheme="majorEastAsia" w:hAnsi="Cambria Math" w:cstheme="majorBidi"/>
              </w:rPr>
              <m:t>1</m:t>
            </m:r>
          </m:sub>
          <m:sup>
            <m:r>
              <w:rPr>
                <w:rFonts w:ascii="Cambria Math" w:eastAsiaTheme="majorEastAsia" w:hAnsi="Cambria Math" w:cstheme="majorBidi"/>
              </w:rPr>
              <m:t>2</m:t>
            </m:r>
          </m:sup>
        </m:sSubSup>
      </m:oMath>
      <w:r w:rsidRPr="001276C9">
        <w:rPr>
          <w:rFonts w:asciiTheme="majorHAnsi" w:eastAsiaTheme="majorEastAsia" w:hAnsiTheme="majorHAnsi" w:cstheme="majorBidi"/>
        </w:rPr>
        <w:t xml:space="preserve"> </w:t>
      </w:r>
      <w:r w:rsidR="007A445E" w:rsidRPr="001276C9">
        <w:rPr>
          <w:rFonts w:asciiTheme="majorHAnsi" w:eastAsiaTheme="majorEastAsia" w:hAnsiTheme="majorHAnsi" w:cstheme="majorBidi"/>
        </w:rPr>
        <w:t xml:space="preserve">statistic </w:t>
      </w:r>
      <w:r w:rsidRPr="001276C9">
        <w:rPr>
          <w:rFonts w:asciiTheme="majorHAnsi" w:eastAsiaTheme="majorEastAsia" w:hAnsiTheme="majorHAnsi" w:cstheme="majorBidi"/>
        </w:rPr>
        <w:t xml:space="preserve">in this case is equal to </w:t>
      </w:r>
      <w:r w:rsidR="0000603D" w:rsidRPr="001276C9">
        <w:rPr>
          <w:rFonts w:asciiTheme="majorHAnsi" w:eastAsiaTheme="majorEastAsia" w:hAnsiTheme="majorHAnsi" w:cstheme="majorBidi"/>
        </w:rPr>
        <w:t>20.1</w:t>
      </w:r>
      <w:r w:rsidRPr="001276C9">
        <w:rPr>
          <w:rFonts w:asciiTheme="majorHAnsi" w:eastAsiaTheme="majorEastAsia" w:hAnsiTheme="majorHAnsi" w:cstheme="majorBidi"/>
        </w:rPr>
        <w:t>. This statistic is significant at 1 per cent level</w:t>
      </w:r>
      <w:r w:rsidR="00B4607A" w:rsidRPr="001276C9">
        <w:rPr>
          <w:rFonts w:asciiTheme="majorHAnsi" w:eastAsiaTheme="majorEastAsia" w:hAnsiTheme="majorHAnsi" w:cstheme="majorBidi"/>
        </w:rPr>
        <w:t xml:space="preserve">, indicating that the increase in the proportion of exporters is </w:t>
      </w:r>
      <w:r w:rsidR="00117F4C" w:rsidRPr="001276C9">
        <w:rPr>
          <w:rFonts w:asciiTheme="majorHAnsi" w:eastAsiaTheme="majorEastAsia" w:hAnsiTheme="majorHAnsi" w:cstheme="majorBidi"/>
        </w:rPr>
        <w:t>statistically significant</w:t>
      </w:r>
      <w:r w:rsidR="00096B03" w:rsidRPr="001276C9">
        <w:rPr>
          <w:rFonts w:asciiTheme="majorHAnsi" w:eastAsiaTheme="majorEastAsia" w:hAnsiTheme="majorHAnsi" w:cstheme="majorBidi"/>
        </w:rPr>
        <w:t xml:space="preserve"> and a real effect</w:t>
      </w:r>
      <w:r w:rsidRPr="001276C9">
        <w:rPr>
          <w:rFonts w:asciiTheme="majorHAnsi" w:eastAsiaTheme="majorEastAsia" w:hAnsiTheme="majorHAnsi" w:cstheme="majorBidi"/>
        </w:rPr>
        <w:t>.</w:t>
      </w:r>
    </w:p>
    <w:p w14:paraId="01ADFE02" w14:textId="0D6C2C11" w:rsidR="002428C6" w:rsidRPr="001276C9" w:rsidRDefault="002428C6" w:rsidP="00E41C57">
      <w:pPr>
        <w:spacing w:after="200" w:line="276" w:lineRule="auto"/>
        <w:ind w:left="0"/>
        <w:jc w:val="left"/>
        <w:rPr>
          <w:rFonts w:asciiTheme="majorHAnsi" w:eastAsiaTheme="majorEastAsia" w:hAnsiTheme="majorHAnsi" w:cstheme="majorBidi"/>
        </w:rPr>
      </w:pPr>
      <w:r w:rsidRPr="001276C9">
        <w:rPr>
          <w:rFonts w:asciiTheme="majorHAnsi" w:eastAsiaTheme="majorEastAsia" w:hAnsiTheme="majorHAnsi" w:cstheme="majorBidi"/>
        </w:rPr>
        <w:t>The effect above constitutes the extensive margin of exporting in economics terminology, that is, the ability to encourage more firms to export. There is also an intensive margin effect, which is the case when the already exporting firms increase their volume of exports.</w:t>
      </w:r>
    </w:p>
    <w:p w14:paraId="742D6AEE" w14:textId="1A23D0C0" w:rsidR="002428C6" w:rsidRPr="001276C9" w:rsidRDefault="002428C6" w:rsidP="00E41C57">
      <w:pPr>
        <w:spacing w:after="200" w:line="276" w:lineRule="auto"/>
        <w:ind w:left="0"/>
        <w:jc w:val="left"/>
        <w:rPr>
          <w:rFonts w:asciiTheme="majorHAnsi" w:eastAsiaTheme="majorEastAsia" w:hAnsiTheme="majorHAnsi" w:cstheme="majorBidi"/>
        </w:rPr>
      </w:pPr>
      <w:r w:rsidRPr="001276C9">
        <w:rPr>
          <w:rFonts w:asciiTheme="majorHAnsi" w:eastAsiaTheme="majorEastAsia" w:hAnsiTheme="majorHAnsi" w:cstheme="majorBidi"/>
        </w:rPr>
        <w:t xml:space="preserve">To look at the intensive margin, we showcase the distribution of export intensity of participating firms ─ defined as value of exports over turnover ─ from the year prior to </w:t>
      </w:r>
      <w:r w:rsidR="003D2F08" w:rsidRPr="001276C9">
        <w:rPr>
          <w:rFonts w:asciiTheme="majorHAnsi" w:eastAsiaTheme="majorEastAsia" w:hAnsiTheme="majorHAnsi" w:cstheme="majorBidi"/>
        </w:rPr>
        <w:t xml:space="preserve">the </w:t>
      </w:r>
      <w:r w:rsidRPr="001276C9">
        <w:rPr>
          <w:rFonts w:asciiTheme="majorHAnsi" w:eastAsiaTheme="majorEastAsia" w:hAnsiTheme="majorHAnsi" w:cstheme="majorBidi"/>
        </w:rPr>
        <w:t>grant to a few years after the grant. The change in the different percentiles of the distribution would be useful in highlighting any trend that took place.</w:t>
      </w:r>
      <w:r w:rsidR="00B0666A" w:rsidRPr="001276C9">
        <w:rPr>
          <w:rFonts w:asciiTheme="majorHAnsi" w:eastAsiaTheme="majorEastAsia" w:hAnsiTheme="majorHAnsi" w:cstheme="majorBidi"/>
        </w:rPr>
        <w:t xml:space="preserve"> These percentiles are listed in </w:t>
      </w:r>
      <w:r w:rsidR="009575FC" w:rsidRPr="001276C9">
        <w:rPr>
          <w:rFonts w:asciiTheme="majorHAnsi" w:eastAsiaTheme="majorEastAsia" w:hAnsiTheme="majorHAnsi" w:cstheme="majorBidi"/>
        </w:rPr>
        <w:t>Table 6.5.</w:t>
      </w:r>
    </w:p>
    <w:p w14:paraId="5F0582D3" w14:textId="532324CC" w:rsidR="00201954" w:rsidRPr="001276C9" w:rsidRDefault="00B0666A">
      <w:pPr>
        <w:pStyle w:val="Caption"/>
      </w:pPr>
      <w:r w:rsidRPr="001276C9">
        <w:t xml:space="preserve">Table 6.5 The distribution of export intensity for </w:t>
      </w:r>
      <w:r w:rsidR="00117F4C" w:rsidRPr="001276C9">
        <w:t xml:space="preserve">CA </w:t>
      </w:r>
      <w:r w:rsidRPr="001276C9">
        <w:t>participa</w:t>
      </w:r>
      <w:r w:rsidR="00117F4C" w:rsidRPr="001276C9">
        <w:t>nts</w:t>
      </w:r>
      <w:r w:rsidR="001928FF" w:rsidRPr="001276C9">
        <w:t>.</w:t>
      </w:r>
    </w:p>
    <w:tbl>
      <w:tblPr>
        <w:tblStyle w:val="OCETable"/>
        <w:tblW w:w="5025" w:type="pct"/>
        <w:tblLook w:val="04A0" w:firstRow="1" w:lastRow="0" w:firstColumn="1" w:lastColumn="0" w:noHBand="0" w:noVBand="1"/>
        <w:tblCaption w:val="Table 6.5"/>
        <w:tblDescription w:val="There is an increase in the export intensity across all statistics from time zero to four years after starting participation."/>
      </w:tblPr>
      <w:tblGrid>
        <w:gridCol w:w="954"/>
        <w:gridCol w:w="606"/>
        <w:gridCol w:w="734"/>
        <w:gridCol w:w="955"/>
        <w:gridCol w:w="955"/>
        <w:gridCol w:w="919"/>
        <w:gridCol w:w="974"/>
        <w:gridCol w:w="831"/>
      </w:tblGrid>
      <w:tr w:rsidR="009160E4" w:rsidRPr="001276C9" w14:paraId="64E6E1A7" w14:textId="77777777" w:rsidTr="009160E4">
        <w:trPr>
          <w:cnfStyle w:val="100000000000" w:firstRow="1" w:lastRow="0" w:firstColumn="0" w:lastColumn="0" w:oddVBand="0" w:evenVBand="0" w:oddHBand="0" w:evenHBand="0" w:firstRowFirstColumn="0" w:firstRowLastColumn="0" w:lastRowFirstColumn="0" w:lastRowLastColumn="0"/>
          <w:trHeight w:val="454"/>
          <w:tblHeader/>
        </w:trPr>
        <w:tc>
          <w:tcPr>
            <w:tcW w:w="5000" w:type="pct"/>
            <w:gridSpan w:val="8"/>
          </w:tcPr>
          <w:p w14:paraId="7A069D62" w14:textId="0625E415" w:rsidR="009160E4" w:rsidRPr="001276C9" w:rsidRDefault="009160E4" w:rsidP="009160E4">
            <w:pPr>
              <w:pStyle w:val="Tableheadertext"/>
              <w:jc w:val="center"/>
              <w:rPr>
                <w:color w:val="FFFFFF" w:themeColor="background1"/>
              </w:rPr>
            </w:pPr>
            <w:r w:rsidRPr="001276C9">
              <w:t>Percentiles</w:t>
            </w:r>
          </w:p>
        </w:tc>
      </w:tr>
      <w:tr w:rsidR="000D409E" w:rsidRPr="001276C9" w14:paraId="748290DE" w14:textId="62A779BE" w:rsidTr="00167CAB">
        <w:trPr>
          <w:cnfStyle w:val="000000100000" w:firstRow="0" w:lastRow="0" w:firstColumn="0" w:lastColumn="0" w:oddVBand="0" w:evenVBand="0" w:oddHBand="1" w:evenHBand="0" w:firstRowFirstColumn="0" w:firstRowLastColumn="0" w:lastRowFirstColumn="0" w:lastRowLastColumn="0"/>
          <w:trHeight w:val="454"/>
        </w:trPr>
        <w:tc>
          <w:tcPr>
            <w:tcW w:w="689" w:type="pct"/>
            <w:shd w:val="clear" w:color="auto" w:fill="005CAF" w:themeFill="accent1"/>
          </w:tcPr>
          <w:p w14:paraId="7178BBB4" w14:textId="77777777" w:rsidR="000D409E" w:rsidRPr="001276C9" w:rsidRDefault="000D409E" w:rsidP="00587068">
            <w:pPr>
              <w:pStyle w:val="BodyText"/>
              <w:jc w:val="center"/>
              <w:rPr>
                <w:color w:val="FFFFFF" w:themeColor="background1"/>
              </w:rPr>
            </w:pPr>
          </w:p>
        </w:tc>
        <w:tc>
          <w:tcPr>
            <w:tcW w:w="437" w:type="pct"/>
            <w:shd w:val="clear" w:color="auto" w:fill="005CAF" w:themeFill="accent1"/>
          </w:tcPr>
          <w:p w14:paraId="3FC5ED8A" w14:textId="557A1179" w:rsidR="000D409E" w:rsidRPr="001276C9" w:rsidRDefault="000D409E" w:rsidP="009160E4">
            <w:pPr>
              <w:pStyle w:val="Tableheadertext"/>
              <w:jc w:val="right"/>
              <w:rPr>
                <w:i/>
                <w:iCs/>
              </w:rPr>
            </w:pPr>
            <w:r w:rsidRPr="001276C9">
              <w:t>10th</w:t>
            </w:r>
          </w:p>
        </w:tc>
        <w:tc>
          <w:tcPr>
            <w:tcW w:w="530" w:type="pct"/>
            <w:shd w:val="clear" w:color="auto" w:fill="005CAF" w:themeFill="accent1"/>
          </w:tcPr>
          <w:p w14:paraId="2736986F" w14:textId="756E52AE" w:rsidR="000D409E" w:rsidRPr="001276C9" w:rsidRDefault="000D409E" w:rsidP="009160E4">
            <w:pPr>
              <w:pStyle w:val="Tableheadertext"/>
              <w:jc w:val="right"/>
            </w:pPr>
            <w:r w:rsidRPr="001276C9">
              <w:t>25th</w:t>
            </w:r>
          </w:p>
        </w:tc>
        <w:tc>
          <w:tcPr>
            <w:tcW w:w="689" w:type="pct"/>
            <w:shd w:val="clear" w:color="auto" w:fill="005CAF" w:themeFill="accent1"/>
          </w:tcPr>
          <w:p w14:paraId="7FC3F7E3" w14:textId="5FFA17D6" w:rsidR="000D409E" w:rsidRPr="001276C9" w:rsidRDefault="000D409E" w:rsidP="009160E4">
            <w:pPr>
              <w:pStyle w:val="Tableheadertext"/>
              <w:jc w:val="right"/>
            </w:pPr>
            <w:r w:rsidRPr="001276C9">
              <w:t>50th</w:t>
            </w:r>
          </w:p>
        </w:tc>
        <w:tc>
          <w:tcPr>
            <w:tcW w:w="689" w:type="pct"/>
            <w:shd w:val="clear" w:color="auto" w:fill="005CAF" w:themeFill="accent1"/>
          </w:tcPr>
          <w:p w14:paraId="05AFDAF1" w14:textId="7188CFBB" w:rsidR="000D409E" w:rsidRPr="001276C9" w:rsidRDefault="000D409E" w:rsidP="009160E4">
            <w:pPr>
              <w:pStyle w:val="Tableheadertext"/>
              <w:jc w:val="right"/>
            </w:pPr>
            <w:r w:rsidRPr="001276C9">
              <w:t>75th</w:t>
            </w:r>
          </w:p>
        </w:tc>
        <w:tc>
          <w:tcPr>
            <w:tcW w:w="663" w:type="pct"/>
            <w:shd w:val="clear" w:color="auto" w:fill="005CAF" w:themeFill="accent1"/>
          </w:tcPr>
          <w:p w14:paraId="4AE06B99" w14:textId="0B54DCE7" w:rsidR="000D409E" w:rsidRPr="001276C9" w:rsidRDefault="000D409E" w:rsidP="009160E4">
            <w:pPr>
              <w:pStyle w:val="Tableheadertext"/>
              <w:jc w:val="right"/>
            </w:pPr>
            <w:r w:rsidRPr="001276C9">
              <w:t>90th</w:t>
            </w:r>
          </w:p>
        </w:tc>
        <w:tc>
          <w:tcPr>
            <w:tcW w:w="703" w:type="pct"/>
            <w:shd w:val="clear" w:color="auto" w:fill="005CAF" w:themeFill="accent1"/>
          </w:tcPr>
          <w:p w14:paraId="3A36FB37" w14:textId="4F5FCBFF" w:rsidR="000D409E" w:rsidRPr="001276C9" w:rsidRDefault="000D409E" w:rsidP="009160E4">
            <w:pPr>
              <w:pStyle w:val="Tableheadertext"/>
              <w:jc w:val="right"/>
            </w:pPr>
            <w:r w:rsidRPr="001276C9">
              <w:t>Count</w:t>
            </w:r>
          </w:p>
        </w:tc>
        <w:tc>
          <w:tcPr>
            <w:tcW w:w="600" w:type="pct"/>
            <w:shd w:val="clear" w:color="auto" w:fill="005CAF" w:themeFill="accent1"/>
          </w:tcPr>
          <w:p w14:paraId="5ED2B2BC" w14:textId="62144BC2" w:rsidR="000D409E" w:rsidRPr="001276C9" w:rsidRDefault="000D409E" w:rsidP="009160E4">
            <w:pPr>
              <w:pStyle w:val="Tableheadertext"/>
              <w:jc w:val="right"/>
            </w:pPr>
            <w:r w:rsidRPr="001276C9">
              <w:t>Mean</w:t>
            </w:r>
          </w:p>
        </w:tc>
      </w:tr>
      <w:tr w:rsidR="000D409E" w:rsidRPr="001276C9" w14:paraId="1C207615" w14:textId="7CBC949E" w:rsidTr="009160E4">
        <w:trPr>
          <w:cnfStyle w:val="000000010000" w:firstRow="0" w:lastRow="0" w:firstColumn="0" w:lastColumn="0" w:oddVBand="0" w:evenVBand="0" w:oddHBand="0" w:evenHBand="1" w:firstRowFirstColumn="0" w:firstRowLastColumn="0" w:lastRowFirstColumn="0" w:lastRowLastColumn="0"/>
          <w:trHeight w:val="441"/>
        </w:trPr>
        <w:tc>
          <w:tcPr>
            <w:tcW w:w="689" w:type="pct"/>
            <w:vAlign w:val="center"/>
          </w:tcPr>
          <w:p w14:paraId="4FFC9DD7" w14:textId="4E1797AF" w:rsidR="000D409E" w:rsidRPr="001276C9" w:rsidRDefault="000D409E" w:rsidP="00FF52B7">
            <w:pPr>
              <w:pStyle w:val="Tabletext"/>
            </w:pPr>
            <w:r w:rsidRPr="001276C9">
              <w:rPr>
                <w:i/>
                <w:iCs/>
              </w:rPr>
              <w:t xml:space="preserve">t </w:t>
            </w:r>
            <w:r w:rsidRPr="001276C9">
              <w:t>= 0</w:t>
            </w:r>
          </w:p>
        </w:tc>
        <w:tc>
          <w:tcPr>
            <w:tcW w:w="437" w:type="pct"/>
            <w:vAlign w:val="center"/>
          </w:tcPr>
          <w:p w14:paraId="2940316D" w14:textId="1BC1125B" w:rsidR="000D409E" w:rsidRPr="001276C9" w:rsidRDefault="000D409E" w:rsidP="009160E4">
            <w:pPr>
              <w:pStyle w:val="Tabletext"/>
              <w:jc w:val="right"/>
            </w:pPr>
            <w:r w:rsidRPr="001276C9">
              <w:t>0.3</w:t>
            </w:r>
          </w:p>
        </w:tc>
        <w:tc>
          <w:tcPr>
            <w:tcW w:w="530" w:type="pct"/>
            <w:vAlign w:val="center"/>
          </w:tcPr>
          <w:p w14:paraId="1EB4E0CA" w14:textId="5CF83C1D" w:rsidR="000D409E" w:rsidRPr="001276C9" w:rsidRDefault="000D409E" w:rsidP="009160E4">
            <w:pPr>
              <w:pStyle w:val="Tabletext"/>
              <w:jc w:val="right"/>
            </w:pPr>
            <w:r w:rsidRPr="001276C9">
              <w:t>1.8</w:t>
            </w:r>
          </w:p>
        </w:tc>
        <w:tc>
          <w:tcPr>
            <w:tcW w:w="689" w:type="pct"/>
            <w:vAlign w:val="center"/>
          </w:tcPr>
          <w:p w14:paraId="3A087787" w14:textId="3A4E9610" w:rsidR="000D409E" w:rsidRPr="001276C9" w:rsidRDefault="000D409E" w:rsidP="009160E4">
            <w:pPr>
              <w:pStyle w:val="Tabletext"/>
              <w:jc w:val="right"/>
            </w:pPr>
            <w:r w:rsidRPr="001276C9">
              <w:t>13.1</w:t>
            </w:r>
          </w:p>
        </w:tc>
        <w:tc>
          <w:tcPr>
            <w:tcW w:w="689" w:type="pct"/>
            <w:vAlign w:val="center"/>
          </w:tcPr>
          <w:p w14:paraId="2D524404" w14:textId="482AE3C1" w:rsidR="000D409E" w:rsidRPr="001276C9" w:rsidRDefault="000D409E" w:rsidP="009160E4">
            <w:pPr>
              <w:pStyle w:val="Tabletext"/>
              <w:jc w:val="right"/>
            </w:pPr>
            <w:r w:rsidRPr="001276C9">
              <w:t>47.6</w:t>
            </w:r>
          </w:p>
        </w:tc>
        <w:tc>
          <w:tcPr>
            <w:tcW w:w="663" w:type="pct"/>
            <w:vAlign w:val="center"/>
          </w:tcPr>
          <w:p w14:paraId="1765D18D" w14:textId="5BA2FC89" w:rsidR="000D409E" w:rsidRPr="001276C9" w:rsidRDefault="000D409E" w:rsidP="009160E4">
            <w:pPr>
              <w:pStyle w:val="Tabletext"/>
              <w:jc w:val="right"/>
            </w:pPr>
            <w:r w:rsidRPr="001276C9">
              <w:t>88.5</w:t>
            </w:r>
          </w:p>
        </w:tc>
        <w:tc>
          <w:tcPr>
            <w:tcW w:w="703" w:type="pct"/>
            <w:vAlign w:val="center"/>
          </w:tcPr>
          <w:p w14:paraId="241E7EF2" w14:textId="02CA3066" w:rsidR="000D409E" w:rsidRPr="001276C9" w:rsidRDefault="000D409E" w:rsidP="009160E4">
            <w:pPr>
              <w:pStyle w:val="Tabletext"/>
              <w:jc w:val="right"/>
            </w:pPr>
            <w:r w:rsidRPr="001276C9">
              <w:t>123</w:t>
            </w:r>
          </w:p>
        </w:tc>
        <w:tc>
          <w:tcPr>
            <w:tcW w:w="600" w:type="pct"/>
            <w:vAlign w:val="center"/>
          </w:tcPr>
          <w:p w14:paraId="632D0CEA" w14:textId="79C6B6D6" w:rsidR="000D409E" w:rsidRPr="001276C9" w:rsidRDefault="000D409E" w:rsidP="009160E4">
            <w:pPr>
              <w:pStyle w:val="Tabletext"/>
              <w:jc w:val="right"/>
            </w:pPr>
            <w:r w:rsidRPr="001276C9">
              <w:t>27.4</w:t>
            </w:r>
          </w:p>
        </w:tc>
      </w:tr>
      <w:tr w:rsidR="000D409E" w:rsidRPr="001276C9" w14:paraId="5D057837" w14:textId="7CE3A500" w:rsidTr="009160E4">
        <w:trPr>
          <w:cnfStyle w:val="000000100000" w:firstRow="0" w:lastRow="0" w:firstColumn="0" w:lastColumn="0" w:oddVBand="0" w:evenVBand="0" w:oddHBand="1" w:evenHBand="0" w:firstRowFirstColumn="0" w:firstRowLastColumn="0" w:lastRowFirstColumn="0" w:lastRowLastColumn="0"/>
          <w:trHeight w:val="454"/>
        </w:trPr>
        <w:tc>
          <w:tcPr>
            <w:tcW w:w="689" w:type="pct"/>
            <w:vAlign w:val="center"/>
          </w:tcPr>
          <w:p w14:paraId="245ECF29" w14:textId="27336115" w:rsidR="000D409E" w:rsidRPr="001276C9" w:rsidRDefault="000D409E" w:rsidP="00FF52B7">
            <w:pPr>
              <w:pStyle w:val="Tabletext"/>
            </w:pPr>
            <w:r w:rsidRPr="001276C9">
              <w:rPr>
                <w:i/>
                <w:iCs/>
              </w:rPr>
              <w:t xml:space="preserve">t </w:t>
            </w:r>
            <w:r w:rsidRPr="001276C9">
              <w:t>= 2</w:t>
            </w:r>
          </w:p>
        </w:tc>
        <w:tc>
          <w:tcPr>
            <w:tcW w:w="437" w:type="pct"/>
            <w:vAlign w:val="center"/>
          </w:tcPr>
          <w:p w14:paraId="643E0EF7" w14:textId="58E9DD9D" w:rsidR="000D409E" w:rsidRPr="001276C9" w:rsidRDefault="000D409E" w:rsidP="009160E4">
            <w:pPr>
              <w:pStyle w:val="Tabletext"/>
              <w:jc w:val="right"/>
            </w:pPr>
            <w:r w:rsidRPr="001276C9">
              <w:t>0.5</w:t>
            </w:r>
          </w:p>
        </w:tc>
        <w:tc>
          <w:tcPr>
            <w:tcW w:w="530" w:type="pct"/>
            <w:vAlign w:val="center"/>
          </w:tcPr>
          <w:p w14:paraId="3BD106FA" w14:textId="758B8A4B" w:rsidR="000D409E" w:rsidRPr="001276C9" w:rsidRDefault="000D409E" w:rsidP="009160E4">
            <w:pPr>
              <w:pStyle w:val="Tabletext"/>
              <w:jc w:val="right"/>
            </w:pPr>
            <w:r w:rsidRPr="001276C9">
              <w:t>3.9</w:t>
            </w:r>
          </w:p>
        </w:tc>
        <w:tc>
          <w:tcPr>
            <w:tcW w:w="689" w:type="pct"/>
            <w:vAlign w:val="center"/>
          </w:tcPr>
          <w:p w14:paraId="786F057C" w14:textId="3A2A5401" w:rsidR="000D409E" w:rsidRPr="001276C9" w:rsidRDefault="000D409E" w:rsidP="009160E4">
            <w:pPr>
              <w:pStyle w:val="Tabletext"/>
              <w:jc w:val="right"/>
            </w:pPr>
            <w:r w:rsidRPr="001276C9">
              <w:t>13.6</w:t>
            </w:r>
          </w:p>
        </w:tc>
        <w:tc>
          <w:tcPr>
            <w:tcW w:w="689" w:type="pct"/>
            <w:vAlign w:val="center"/>
          </w:tcPr>
          <w:p w14:paraId="7A206DB4" w14:textId="04E56ACE" w:rsidR="000D409E" w:rsidRPr="001276C9" w:rsidRDefault="000D409E" w:rsidP="009160E4">
            <w:pPr>
              <w:pStyle w:val="Tabletext"/>
              <w:jc w:val="right"/>
            </w:pPr>
            <w:r w:rsidRPr="001276C9">
              <w:t>37.2</w:t>
            </w:r>
          </w:p>
        </w:tc>
        <w:tc>
          <w:tcPr>
            <w:tcW w:w="663" w:type="pct"/>
            <w:vAlign w:val="center"/>
          </w:tcPr>
          <w:p w14:paraId="789FF9BC" w14:textId="5C213AF0" w:rsidR="000D409E" w:rsidRPr="001276C9" w:rsidRDefault="000D409E" w:rsidP="009160E4">
            <w:pPr>
              <w:pStyle w:val="Tabletext"/>
              <w:jc w:val="right"/>
            </w:pPr>
            <w:r w:rsidRPr="001276C9">
              <w:t>69.3</w:t>
            </w:r>
          </w:p>
        </w:tc>
        <w:tc>
          <w:tcPr>
            <w:tcW w:w="703" w:type="pct"/>
            <w:vAlign w:val="center"/>
          </w:tcPr>
          <w:p w14:paraId="260FC2C1" w14:textId="79A1C76A" w:rsidR="000D409E" w:rsidRPr="001276C9" w:rsidRDefault="000D409E" w:rsidP="009160E4">
            <w:pPr>
              <w:pStyle w:val="Tabletext"/>
              <w:jc w:val="right"/>
            </w:pPr>
            <w:r w:rsidRPr="001276C9">
              <w:t>160</w:t>
            </w:r>
          </w:p>
        </w:tc>
        <w:tc>
          <w:tcPr>
            <w:tcW w:w="600" w:type="pct"/>
            <w:vAlign w:val="center"/>
          </w:tcPr>
          <w:p w14:paraId="2DE4B4FC" w14:textId="4E6C1E46" w:rsidR="000D409E" w:rsidRPr="001276C9" w:rsidRDefault="000D409E" w:rsidP="009160E4">
            <w:pPr>
              <w:pStyle w:val="Tabletext"/>
              <w:jc w:val="right"/>
            </w:pPr>
            <w:r w:rsidRPr="001276C9">
              <w:t>24.6</w:t>
            </w:r>
          </w:p>
        </w:tc>
      </w:tr>
      <w:tr w:rsidR="000D409E" w:rsidRPr="001276C9" w14:paraId="7E723863" w14:textId="77777777" w:rsidTr="009160E4">
        <w:trPr>
          <w:cnfStyle w:val="000000010000" w:firstRow="0" w:lastRow="0" w:firstColumn="0" w:lastColumn="0" w:oddVBand="0" w:evenVBand="0" w:oddHBand="0" w:evenHBand="1" w:firstRowFirstColumn="0" w:firstRowLastColumn="0" w:lastRowFirstColumn="0" w:lastRowLastColumn="0"/>
          <w:trHeight w:val="454"/>
        </w:trPr>
        <w:tc>
          <w:tcPr>
            <w:tcW w:w="689" w:type="pct"/>
            <w:vAlign w:val="center"/>
          </w:tcPr>
          <w:p w14:paraId="00EE9F06" w14:textId="7A1F8B63" w:rsidR="000D409E" w:rsidRPr="001276C9" w:rsidRDefault="000D409E" w:rsidP="00FF52B7">
            <w:pPr>
              <w:pStyle w:val="Tabletext"/>
            </w:pPr>
            <w:r w:rsidRPr="001276C9">
              <w:rPr>
                <w:i/>
                <w:iCs/>
              </w:rPr>
              <w:t xml:space="preserve">t </w:t>
            </w:r>
            <w:r w:rsidRPr="001276C9">
              <w:t>= 3</w:t>
            </w:r>
          </w:p>
        </w:tc>
        <w:tc>
          <w:tcPr>
            <w:tcW w:w="437" w:type="pct"/>
            <w:vAlign w:val="center"/>
          </w:tcPr>
          <w:p w14:paraId="5D575277" w14:textId="3DC94638" w:rsidR="000D409E" w:rsidRPr="001276C9" w:rsidRDefault="000D409E" w:rsidP="009160E4">
            <w:pPr>
              <w:pStyle w:val="Tabletext"/>
              <w:jc w:val="right"/>
            </w:pPr>
            <w:r w:rsidRPr="001276C9">
              <w:t>0.5</w:t>
            </w:r>
          </w:p>
        </w:tc>
        <w:tc>
          <w:tcPr>
            <w:tcW w:w="530" w:type="pct"/>
            <w:vAlign w:val="center"/>
          </w:tcPr>
          <w:p w14:paraId="7A037C4A" w14:textId="751EEF23" w:rsidR="000D409E" w:rsidRPr="001276C9" w:rsidRDefault="000D409E" w:rsidP="009160E4">
            <w:pPr>
              <w:pStyle w:val="Tabletext"/>
              <w:jc w:val="right"/>
            </w:pPr>
            <w:r w:rsidRPr="001276C9">
              <w:t>2.7</w:t>
            </w:r>
          </w:p>
        </w:tc>
        <w:tc>
          <w:tcPr>
            <w:tcW w:w="689" w:type="pct"/>
            <w:vAlign w:val="center"/>
          </w:tcPr>
          <w:p w14:paraId="72C41F1C" w14:textId="13832038" w:rsidR="000D409E" w:rsidRPr="001276C9" w:rsidRDefault="000D409E" w:rsidP="009160E4">
            <w:pPr>
              <w:pStyle w:val="Tabletext"/>
              <w:jc w:val="right"/>
            </w:pPr>
            <w:r w:rsidRPr="001276C9">
              <w:t>20.3</w:t>
            </w:r>
          </w:p>
        </w:tc>
        <w:tc>
          <w:tcPr>
            <w:tcW w:w="689" w:type="pct"/>
            <w:vAlign w:val="center"/>
          </w:tcPr>
          <w:p w14:paraId="68EA7BAA" w14:textId="22221495" w:rsidR="000D409E" w:rsidRPr="001276C9" w:rsidRDefault="000D409E" w:rsidP="009160E4">
            <w:pPr>
              <w:pStyle w:val="Tabletext"/>
              <w:jc w:val="right"/>
            </w:pPr>
            <w:r w:rsidRPr="001276C9">
              <w:t>51.3</w:t>
            </w:r>
          </w:p>
        </w:tc>
        <w:tc>
          <w:tcPr>
            <w:tcW w:w="663" w:type="pct"/>
            <w:vAlign w:val="center"/>
          </w:tcPr>
          <w:p w14:paraId="06972AC3" w14:textId="102B7C99" w:rsidR="000D409E" w:rsidRPr="001276C9" w:rsidRDefault="000D409E" w:rsidP="009160E4">
            <w:pPr>
              <w:pStyle w:val="Tabletext"/>
              <w:jc w:val="right"/>
            </w:pPr>
            <w:r w:rsidRPr="001276C9">
              <w:t>70.9</w:t>
            </w:r>
          </w:p>
        </w:tc>
        <w:tc>
          <w:tcPr>
            <w:tcW w:w="703" w:type="pct"/>
            <w:vAlign w:val="center"/>
          </w:tcPr>
          <w:p w14:paraId="6CD9A078" w14:textId="7E984FB1" w:rsidR="000D409E" w:rsidRPr="001276C9" w:rsidRDefault="000D409E" w:rsidP="009160E4">
            <w:pPr>
              <w:pStyle w:val="Tabletext"/>
              <w:jc w:val="right"/>
            </w:pPr>
            <w:r w:rsidRPr="001276C9">
              <w:t>167</w:t>
            </w:r>
          </w:p>
        </w:tc>
        <w:tc>
          <w:tcPr>
            <w:tcW w:w="600" w:type="pct"/>
            <w:vAlign w:val="center"/>
          </w:tcPr>
          <w:p w14:paraId="2DD1BE2C" w14:textId="2E77B9D8" w:rsidR="000D409E" w:rsidRPr="001276C9" w:rsidRDefault="000D409E" w:rsidP="009160E4">
            <w:pPr>
              <w:pStyle w:val="Tabletext"/>
              <w:jc w:val="right"/>
            </w:pPr>
            <w:r w:rsidRPr="001276C9">
              <w:t>29.8</w:t>
            </w:r>
          </w:p>
        </w:tc>
      </w:tr>
      <w:tr w:rsidR="000D409E" w:rsidRPr="001276C9" w14:paraId="323A6135" w14:textId="77777777" w:rsidTr="009160E4">
        <w:trPr>
          <w:cnfStyle w:val="000000100000" w:firstRow="0" w:lastRow="0" w:firstColumn="0" w:lastColumn="0" w:oddVBand="0" w:evenVBand="0" w:oddHBand="1" w:evenHBand="0" w:firstRowFirstColumn="0" w:firstRowLastColumn="0" w:lastRowFirstColumn="0" w:lastRowLastColumn="0"/>
          <w:trHeight w:val="441"/>
        </w:trPr>
        <w:tc>
          <w:tcPr>
            <w:tcW w:w="689" w:type="pct"/>
            <w:vAlign w:val="center"/>
          </w:tcPr>
          <w:p w14:paraId="45FA0502" w14:textId="33FFDF20" w:rsidR="000D409E" w:rsidRPr="001276C9" w:rsidRDefault="000D409E" w:rsidP="00FF52B7">
            <w:pPr>
              <w:pStyle w:val="Tabletext"/>
            </w:pPr>
            <w:r w:rsidRPr="001276C9">
              <w:rPr>
                <w:i/>
                <w:iCs/>
              </w:rPr>
              <w:t xml:space="preserve">t </w:t>
            </w:r>
            <w:r w:rsidRPr="001276C9">
              <w:t>= 4</w:t>
            </w:r>
          </w:p>
        </w:tc>
        <w:tc>
          <w:tcPr>
            <w:tcW w:w="437" w:type="pct"/>
            <w:vAlign w:val="center"/>
          </w:tcPr>
          <w:p w14:paraId="239F0AE6" w14:textId="7311378E" w:rsidR="000D409E" w:rsidRPr="001276C9" w:rsidRDefault="000D409E" w:rsidP="009160E4">
            <w:pPr>
              <w:pStyle w:val="Tabletext"/>
              <w:jc w:val="right"/>
            </w:pPr>
            <w:r w:rsidRPr="001276C9">
              <w:t>0.8</w:t>
            </w:r>
          </w:p>
        </w:tc>
        <w:tc>
          <w:tcPr>
            <w:tcW w:w="530" w:type="pct"/>
            <w:vAlign w:val="center"/>
          </w:tcPr>
          <w:p w14:paraId="2771E5FC" w14:textId="0F3D4A7D" w:rsidR="000D409E" w:rsidRPr="001276C9" w:rsidRDefault="000D409E" w:rsidP="009160E4">
            <w:pPr>
              <w:pStyle w:val="Tabletext"/>
              <w:jc w:val="right"/>
            </w:pPr>
            <w:r w:rsidRPr="001276C9">
              <w:t>5.5</w:t>
            </w:r>
          </w:p>
        </w:tc>
        <w:tc>
          <w:tcPr>
            <w:tcW w:w="689" w:type="pct"/>
            <w:vAlign w:val="center"/>
          </w:tcPr>
          <w:p w14:paraId="5790B283" w14:textId="294F6484" w:rsidR="000D409E" w:rsidRPr="001276C9" w:rsidRDefault="000D409E" w:rsidP="009160E4">
            <w:pPr>
              <w:pStyle w:val="Tabletext"/>
              <w:jc w:val="right"/>
            </w:pPr>
            <w:r w:rsidRPr="001276C9">
              <w:t>25.7</w:t>
            </w:r>
          </w:p>
        </w:tc>
        <w:tc>
          <w:tcPr>
            <w:tcW w:w="689" w:type="pct"/>
            <w:vAlign w:val="center"/>
          </w:tcPr>
          <w:p w14:paraId="651D2DBE" w14:textId="4555CA88" w:rsidR="000D409E" w:rsidRPr="001276C9" w:rsidRDefault="000D409E" w:rsidP="009160E4">
            <w:pPr>
              <w:pStyle w:val="Tabletext"/>
              <w:jc w:val="right"/>
            </w:pPr>
            <w:r w:rsidRPr="001276C9">
              <w:t>57.1</w:t>
            </w:r>
          </w:p>
        </w:tc>
        <w:tc>
          <w:tcPr>
            <w:tcW w:w="663" w:type="pct"/>
            <w:vAlign w:val="center"/>
          </w:tcPr>
          <w:p w14:paraId="2B70D047" w14:textId="067711D4" w:rsidR="000D409E" w:rsidRPr="001276C9" w:rsidRDefault="000D409E" w:rsidP="009160E4">
            <w:pPr>
              <w:pStyle w:val="Tabletext"/>
              <w:jc w:val="right"/>
            </w:pPr>
            <w:r w:rsidRPr="001276C9">
              <w:t>89.0</w:t>
            </w:r>
          </w:p>
        </w:tc>
        <w:tc>
          <w:tcPr>
            <w:tcW w:w="703" w:type="pct"/>
            <w:vAlign w:val="center"/>
          </w:tcPr>
          <w:p w14:paraId="0E1250DD" w14:textId="000E4F20" w:rsidR="000D409E" w:rsidRPr="001276C9" w:rsidRDefault="000D409E" w:rsidP="009160E4">
            <w:pPr>
              <w:pStyle w:val="Tabletext"/>
              <w:jc w:val="right"/>
            </w:pPr>
            <w:r w:rsidRPr="001276C9">
              <w:t>124</w:t>
            </w:r>
          </w:p>
        </w:tc>
        <w:tc>
          <w:tcPr>
            <w:tcW w:w="600" w:type="pct"/>
            <w:vAlign w:val="center"/>
          </w:tcPr>
          <w:p w14:paraId="66C344AC" w14:textId="04E5BA32" w:rsidR="000D409E" w:rsidRPr="001276C9" w:rsidRDefault="000D409E" w:rsidP="009160E4">
            <w:pPr>
              <w:pStyle w:val="Tabletext"/>
              <w:jc w:val="right"/>
            </w:pPr>
            <w:r w:rsidRPr="001276C9">
              <w:t>35.9</w:t>
            </w:r>
          </w:p>
        </w:tc>
      </w:tr>
    </w:tbl>
    <w:p w14:paraId="35E1B630" w14:textId="24D4ECDE" w:rsidR="00201954" w:rsidRPr="001276C9" w:rsidRDefault="00201954" w:rsidP="00901AE4">
      <w:pPr>
        <w:pStyle w:val="Source"/>
        <w:pBdr>
          <w:bottom w:val="single" w:sz="4" w:space="0" w:color="595A5B"/>
        </w:pBdr>
        <w:spacing w:after="0"/>
        <w:rPr>
          <w:lang w:eastAsia="en-AU"/>
        </w:rPr>
      </w:pPr>
      <w:r w:rsidRPr="001276C9">
        <w:rPr>
          <w:lang w:eastAsia="en-AU"/>
        </w:rPr>
        <w:t xml:space="preserve">Notes: Export intensity is export sales divided by turnover </w:t>
      </w:r>
      <w:r w:rsidR="00681265" w:rsidRPr="001276C9">
        <w:rPr>
          <w:lang w:eastAsia="en-AU"/>
        </w:rPr>
        <w:t xml:space="preserve">and is expressed in </w:t>
      </w:r>
      <w:r w:rsidR="00F02086" w:rsidRPr="001276C9">
        <w:rPr>
          <w:lang w:eastAsia="en-AU"/>
        </w:rPr>
        <w:t>percentage</w:t>
      </w:r>
      <w:r w:rsidRPr="001276C9">
        <w:rPr>
          <w:lang w:eastAsia="en-AU"/>
        </w:rPr>
        <w:t xml:space="preserve">. </w:t>
      </w:r>
      <w:r w:rsidR="00E743E6" w:rsidRPr="001276C9">
        <w:rPr>
          <w:lang w:eastAsia="en-AU"/>
        </w:rPr>
        <w:t xml:space="preserve">Time </w:t>
      </w:r>
      <w:r w:rsidR="00E743E6" w:rsidRPr="001276C9">
        <w:rPr>
          <w:i/>
          <w:iCs/>
          <w:lang w:eastAsia="en-AU"/>
        </w:rPr>
        <w:t>t</w:t>
      </w:r>
      <w:r w:rsidR="00EB6E16" w:rsidRPr="001276C9">
        <w:rPr>
          <w:lang w:eastAsia="en-AU"/>
        </w:rPr>
        <w:t xml:space="preserve"> = 0</w:t>
      </w:r>
      <w:r w:rsidR="00E743E6" w:rsidRPr="001276C9">
        <w:rPr>
          <w:lang w:eastAsia="en-AU"/>
        </w:rPr>
        <w:t xml:space="preserve"> is </w:t>
      </w:r>
      <w:r w:rsidR="00EB6E16" w:rsidRPr="001276C9">
        <w:rPr>
          <w:lang w:eastAsia="en-AU"/>
        </w:rPr>
        <w:t xml:space="preserve">one </w:t>
      </w:r>
      <w:r w:rsidR="00E743E6" w:rsidRPr="001276C9">
        <w:rPr>
          <w:lang w:eastAsia="en-AU"/>
        </w:rPr>
        <w:t xml:space="preserve">year </w:t>
      </w:r>
      <w:r w:rsidR="00EB6E16" w:rsidRPr="001276C9">
        <w:rPr>
          <w:lang w:eastAsia="en-AU"/>
        </w:rPr>
        <w:t xml:space="preserve">before </w:t>
      </w:r>
      <w:r w:rsidR="00E743E6" w:rsidRPr="001276C9">
        <w:rPr>
          <w:lang w:eastAsia="en-AU"/>
        </w:rPr>
        <w:t>treatment.</w:t>
      </w:r>
    </w:p>
    <w:p w14:paraId="2F1731F8" w14:textId="6E619C72" w:rsidR="00201954" w:rsidRPr="001276C9" w:rsidRDefault="00201954" w:rsidP="00901AE4">
      <w:pPr>
        <w:pStyle w:val="Source"/>
        <w:pBdr>
          <w:bottom w:val="single" w:sz="4" w:space="0" w:color="595A5B"/>
        </w:pBdr>
        <w:rPr>
          <w:lang w:eastAsia="en-AU"/>
        </w:rPr>
      </w:pPr>
      <w:r w:rsidRPr="001276C9">
        <w:rPr>
          <w:lang w:eastAsia="en-AU"/>
        </w:rPr>
        <w:t xml:space="preserve">Source: </w:t>
      </w:r>
      <w:r w:rsidR="001519FB" w:rsidRPr="001276C9">
        <w:rPr>
          <w:lang w:eastAsia="en-AU"/>
        </w:rPr>
        <w:t>Department of Industry, Innovation and Science (2018)</w:t>
      </w:r>
    </w:p>
    <w:p w14:paraId="1218B994" w14:textId="669316CA" w:rsidR="001B0DE3" w:rsidRPr="001276C9" w:rsidRDefault="009575FC" w:rsidP="00DA0B06">
      <w:pPr>
        <w:pStyle w:val="BodyText"/>
      </w:pPr>
      <w:r w:rsidRPr="001276C9">
        <w:t>As the numbers</w:t>
      </w:r>
      <w:r w:rsidR="00147571" w:rsidRPr="001276C9">
        <w:t xml:space="preserve"> </w:t>
      </w:r>
      <w:r w:rsidRPr="001276C9">
        <w:t xml:space="preserve">in the table show, the average export intensity of </w:t>
      </w:r>
      <w:r w:rsidR="00C27532" w:rsidRPr="001276C9">
        <w:t>a</w:t>
      </w:r>
      <w:r w:rsidRPr="001276C9">
        <w:t xml:space="preserve"> CA </w:t>
      </w:r>
      <w:r w:rsidR="00C27532" w:rsidRPr="001276C9">
        <w:t xml:space="preserve">participant </w:t>
      </w:r>
      <w:r w:rsidRPr="001276C9">
        <w:t xml:space="preserve">starts to increase two years after receiving the </w:t>
      </w:r>
      <w:r w:rsidR="00540193" w:rsidRPr="001276C9">
        <w:t>first grant</w:t>
      </w:r>
      <w:r w:rsidRPr="001276C9">
        <w:t xml:space="preserve">, after a dip in the first year.  </w:t>
      </w:r>
    </w:p>
    <w:p w14:paraId="4C310F86" w14:textId="33F195AD" w:rsidR="00F71CD5" w:rsidRPr="001276C9" w:rsidRDefault="009575FC" w:rsidP="00DA0B06">
      <w:pPr>
        <w:pStyle w:val="BodyText"/>
      </w:pPr>
      <w:r w:rsidRPr="001276C9">
        <w:t xml:space="preserve">The reported percentile also corroborate that the whole distribution of export intensity starts to move towards higher values two years after </w:t>
      </w:r>
      <w:r w:rsidR="00F71CD5" w:rsidRPr="001276C9">
        <w:t xml:space="preserve">receiving the grant. The distribution moves even further towards higher values in the third year after receiving the grant. In this sense, the intensive margin of export intensity is also responding to the CA </w:t>
      </w:r>
      <w:r w:rsidR="008D2D4B" w:rsidRPr="001276C9">
        <w:t>program</w:t>
      </w:r>
      <w:r w:rsidR="00F71CD5" w:rsidRPr="001276C9">
        <w:t>.</w:t>
      </w:r>
    </w:p>
    <w:p w14:paraId="363AFE8B" w14:textId="6B41E7D6" w:rsidR="00B0666A" w:rsidRPr="001276C9" w:rsidRDefault="00E771B2" w:rsidP="00694C94">
      <w:pPr>
        <w:pStyle w:val="Heading2"/>
      </w:pPr>
      <w:r w:rsidRPr="001276C9">
        <w:t>Intellectual Property</w:t>
      </w:r>
    </w:p>
    <w:p w14:paraId="64E240FB" w14:textId="3FD6EEE0" w:rsidR="003463A4" w:rsidRPr="001276C9" w:rsidRDefault="00B22E66" w:rsidP="009965A6">
      <w:pPr>
        <w:pStyle w:val="BodyText"/>
      </w:pPr>
      <w:r w:rsidRPr="001276C9">
        <w:t>P</w:t>
      </w:r>
      <w:r w:rsidR="009965A6" w:rsidRPr="001276C9">
        <w:t xml:space="preserve">atent and trademark activity among the CA </w:t>
      </w:r>
      <w:r w:rsidR="00540193" w:rsidRPr="001276C9">
        <w:t xml:space="preserve">participants </w:t>
      </w:r>
      <w:r w:rsidR="003C2345" w:rsidRPr="001276C9">
        <w:t>potentially</w:t>
      </w:r>
      <w:r w:rsidR="009965A6" w:rsidRPr="001276C9">
        <w:t xml:space="preserve"> signal</w:t>
      </w:r>
      <w:r w:rsidR="00540193" w:rsidRPr="001276C9">
        <w:t>s</w:t>
      </w:r>
      <w:r w:rsidR="009965A6" w:rsidRPr="001276C9">
        <w:t xml:space="preserve"> the introduction or the </w:t>
      </w:r>
      <w:r w:rsidR="00540193" w:rsidRPr="001276C9">
        <w:t>im</w:t>
      </w:r>
      <w:r w:rsidR="009965A6" w:rsidRPr="001276C9">
        <w:t xml:space="preserve">minent introduction of a new product. </w:t>
      </w:r>
      <w:r w:rsidR="00401575" w:rsidRPr="001276C9">
        <w:t xml:space="preserve">This section explores these activities among the CA </w:t>
      </w:r>
      <w:r w:rsidR="00540193" w:rsidRPr="001276C9">
        <w:t>participants</w:t>
      </w:r>
      <w:r w:rsidR="00401575" w:rsidRPr="001276C9">
        <w:t>.</w:t>
      </w:r>
    </w:p>
    <w:p w14:paraId="29E5201B" w14:textId="5C210BAE" w:rsidR="003463A4" w:rsidRPr="001276C9" w:rsidRDefault="003463A4" w:rsidP="009965A6">
      <w:pPr>
        <w:pStyle w:val="BodyText"/>
      </w:pPr>
      <w:r w:rsidRPr="001276C9">
        <w:t xml:space="preserve">The economic literature generally contemplates a lag of one to three years from research to patenting depending on the area and the type of patent (for </w:t>
      </w:r>
      <w:r w:rsidRPr="001276C9">
        <w:lastRenderedPageBreak/>
        <w:t>instance</w:t>
      </w:r>
      <w:r w:rsidR="00B55AD1" w:rsidRPr="001276C9">
        <w:t>, see</w:t>
      </w:r>
      <w:r w:rsidRPr="001276C9">
        <w:t xml:space="preserve"> Kondo, 1999; Wang &amp; Hagedoom, 2014). Most economist</w:t>
      </w:r>
      <w:r w:rsidR="00E771B2" w:rsidRPr="001276C9">
        <w:t>s</w:t>
      </w:r>
      <w:r w:rsidRPr="001276C9">
        <w:t xml:space="preserve"> use an average lag of two years from research to patenting as a rule of thumb.</w:t>
      </w:r>
    </w:p>
    <w:p w14:paraId="173734D2" w14:textId="06478BDE" w:rsidR="00722C6C" w:rsidRPr="001276C9" w:rsidRDefault="00927C3F" w:rsidP="009965A6">
      <w:pPr>
        <w:pStyle w:val="BodyText"/>
      </w:pPr>
      <w:r w:rsidRPr="001276C9">
        <w:t xml:space="preserve">Table 6.6 lists the </w:t>
      </w:r>
      <w:r w:rsidR="003C2345" w:rsidRPr="001276C9">
        <w:t xml:space="preserve">count of </w:t>
      </w:r>
      <w:r w:rsidR="006E42E1" w:rsidRPr="001276C9">
        <w:t>participating firms</w:t>
      </w:r>
      <w:r w:rsidR="008450B9" w:rsidRPr="001276C9">
        <w:t xml:space="preserve"> that applied for patent or trademarks in each year </w:t>
      </w:r>
      <w:r w:rsidR="00891ACE" w:rsidRPr="001276C9">
        <w:t xml:space="preserve">before, </w:t>
      </w:r>
      <w:r w:rsidR="008450B9" w:rsidRPr="001276C9">
        <w:t xml:space="preserve">during and after </w:t>
      </w:r>
      <w:r w:rsidR="00891ACE" w:rsidRPr="001276C9">
        <w:t>the</w:t>
      </w:r>
      <w:r w:rsidR="008450B9" w:rsidRPr="001276C9">
        <w:t xml:space="preserve"> grant </w:t>
      </w:r>
      <w:r w:rsidRPr="001276C9">
        <w:t>was awarded</w:t>
      </w:r>
      <w:r w:rsidR="008450B9" w:rsidRPr="001276C9">
        <w:t>. The table also lists the number of patents and trademarks applied for</w:t>
      </w:r>
      <w:r w:rsidRPr="001276C9">
        <w:t>. The number of patents</w:t>
      </w:r>
      <w:r w:rsidR="00EB4A17" w:rsidRPr="001276C9">
        <w:t xml:space="preserve"> (trademarks)</w:t>
      </w:r>
      <w:r w:rsidRPr="001276C9">
        <w:t xml:space="preserve"> </w:t>
      </w:r>
      <w:r w:rsidR="00732A6F" w:rsidRPr="001276C9">
        <w:t>are</w:t>
      </w:r>
      <w:r w:rsidR="004F31E4" w:rsidRPr="001276C9">
        <w:t xml:space="preserve"> larger than</w:t>
      </w:r>
      <w:r w:rsidR="00732A6F" w:rsidRPr="001276C9">
        <w:t xml:space="preserve"> or equal to</w:t>
      </w:r>
      <w:r w:rsidR="004F31E4" w:rsidRPr="001276C9">
        <w:t xml:space="preserve"> the number of </w:t>
      </w:r>
      <w:r w:rsidRPr="001276C9">
        <w:t>firms</w:t>
      </w:r>
      <w:r w:rsidR="004F31E4" w:rsidRPr="001276C9">
        <w:t xml:space="preserve"> in each year</w:t>
      </w:r>
      <w:r w:rsidR="00A04AB8" w:rsidRPr="001276C9">
        <w:t xml:space="preserve"> </w:t>
      </w:r>
      <w:r w:rsidR="008450B9" w:rsidRPr="001276C9">
        <w:t>as</w:t>
      </w:r>
      <w:r w:rsidRPr="001276C9">
        <w:t xml:space="preserve"> a firm may </w:t>
      </w:r>
      <w:r w:rsidR="00A04AB8" w:rsidRPr="001276C9">
        <w:t xml:space="preserve">apply for more than one patent </w:t>
      </w:r>
      <w:r w:rsidR="00EB4A17" w:rsidRPr="001276C9">
        <w:t>(</w:t>
      </w:r>
      <w:r w:rsidR="00A04AB8" w:rsidRPr="001276C9">
        <w:t>or trademark</w:t>
      </w:r>
      <w:r w:rsidR="00EB4A17" w:rsidRPr="001276C9">
        <w:t>)</w:t>
      </w:r>
      <w:r w:rsidR="00A04AB8" w:rsidRPr="001276C9">
        <w:t xml:space="preserve"> in a </w:t>
      </w:r>
      <w:r w:rsidR="00891ACE" w:rsidRPr="001276C9">
        <w:t xml:space="preserve">given </w:t>
      </w:r>
      <w:r w:rsidR="00A04AB8" w:rsidRPr="001276C9">
        <w:t>year.</w:t>
      </w:r>
    </w:p>
    <w:p w14:paraId="21F73E9A" w14:textId="40772E48" w:rsidR="00116423" w:rsidRPr="001276C9" w:rsidRDefault="0038538B" w:rsidP="00A04AB8">
      <w:pPr>
        <w:pStyle w:val="BodyText"/>
      </w:pPr>
      <w:r w:rsidRPr="001276C9">
        <w:t>First of all, t</w:t>
      </w:r>
      <w:r w:rsidR="003C2345" w:rsidRPr="001276C9">
        <w:t>he numbers in the table show</w:t>
      </w:r>
      <w:r w:rsidR="009965A6" w:rsidRPr="001276C9">
        <w:t xml:space="preserve"> that the CA </w:t>
      </w:r>
      <w:r w:rsidR="00FA0300" w:rsidRPr="001276C9">
        <w:t xml:space="preserve">participants </w:t>
      </w:r>
      <w:r w:rsidR="009965A6" w:rsidRPr="001276C9">
        <w:t xml:space="preserve">are </w:t>
      </w:r>
      <w:r w:rsidR="003C2345" w:rsidRPr="001276C9">
        <w:t xml:space="preserve">quite </w:t>
      </w:r>
      <w:r w:rsidR="009965A6" w:rsidRPr="001276C9">
        <w:t xml:space="preserve">active in applying </w:t>
      </w:r>
      <w:r w:rsidR="00820E0A" w:rsidRPr="001276C9">
        <w:t>for</w:t>
      </w:r>
      <w:r w:rsidR="003C2345" w:rsidRPr="001276C9">
        <w:t xml:space="preserve"> </w:t>
      </w:r>
      <w:r w:rsidR="009965A6" w:rsidRPr="001276C9">
        <w:t>patents and trademarks</w:t>
      </w:r>
      <w:r w:rsidR="003C2345" w:rsidRPr="001276C9">
        <w:t xml:space="preserve"> after being awarded the grant</w:t>
      </w:r>
      <w:r w:rsidR="009965A6" w:rsidRPr="001276C9">
        <w:t>.</w:t>
      </w:r>
      <w:r w:rsidR="00BA641D" w:rsidRPr="001276C9">
        <w:t xml:space="preserve"> </w:t>
      </w:r>
    </w:p>
    <w:p w14:paraId="560DA80E" w14:textId="291E2CF3" w:rsidR="000A02A3" w:rsidRPr="001276C9" w:rsidRDefault="003C2345" w:rsidP="000A02A3">
      <w:pPr>
        <w:pStyle w:val="Caption"/>
      </w:pPr>
      <w:r w:rsidRPr="001276C9">
        <w:t xml:space="preserve">Table 6.6 Count of patents and </w:t>
      </w:r>
      <w:r w:rsidR="00C36292" w:rsidRPr="001276C9">
        <w:t>trade</w:t>
      </w:r>
      <w:r w:rsidR="00384B2F" w:rsidRPr="001276C9">
        <w:t>mark</w:t>
      </w:r>
      <w:r w:rsidRPr="001276C9">
        <w:t>s by the CA firms.</w:t>
      </w:r>
    </w:p>
    <w:tbl>
      <w:tblPr>
        <w:tblStyle w:val="OCETable"/>
        <w:tblW w:w="4893" w:type="pct"/>
        <w:tblInd w:w="57" w:type="dxa"/>
        <w:tblLayout w:type="fixed"/>
        <w:tblLook w:val="04A0" w:firstRow="1" w:lastRow="0" w:firstColumn="1" w:lastColumn="0" w:noHBand="0" w:noVBand="1"/>
        <w:tblCaption w:val="Table 6.6"/>
        <w:tblDescription w:val="The number of patents and trademarks applied for increases over the first three years from the time of grant being made available and then slowly drops off."/>
      </w:tblPr>
      <w:tblGrid>
        <w:gridCol w:w="1218"/>
        <w:gridCol w:w="1551"/>
        <w:gridCol w:w="1285"/>
        <w:gridCol w:w="1483"/>
        <w:gridCol w:w="1209"/>
      </w:tblGrid>
      <w:tr w:rsidR="000A02A3" w:rsidRPr="001276C9" w14:paraId="75456109" w14:textId="5A7DFCA3" w:rsidTr="00525FF1">
        <w:trPr>
          <w:cnfStyle w:val="100000000000" w:firstRow="1" w:lastRow="0" w:firstColumn="0" w:lastColumn="0" w:oddVBand="0" w:evenVBand="0" w:oddHBand="0" w:evenHBand="0" w:firstRowFirstColumn="0" w:firstRowLastColumn="0" w:lastRowFirstColumn="0" w:lastRowLastColumn="0"/>
          <w:trHeight w:val="435"/>
          <w:tblHeader/>
        </w:trPr>
        <w:tc>
          <w:tcPr>
            <w:tcW w:w="1218" w:type="dxa"/>
          </w:tcPr>
          <w:p w14:paraId="64F50304" w14:textId="77777777" w:rsidR="000A02A3" w:rsidRPr="001276C9" w:rsidRDefault="000A02A3" w:rsidP="00235F34">
            <w:pPr>
              <w:pStyle w:val="Tableheader"/>
              <w:jc w:val="center"/>
              <w:rPr>
                <w:lang w:eastAsia="en-AU"/>
              </w:rPr>
            </w:pPr>
          </w:p>
        </w:tc>
        <w:tc>
          <w:tcPr>
            <w:tcW w:w="1551" w:type="dxa"/>
          </w:tcPr>
          <w:p w14:paraId="268199CE" w14:textId="608E91F0" w:rsidR="000A02A3" w:rsidRPr="001276C9" w:rsidRDefault="000A02A3" w:rsidP="008A4E23">
            <w:pPr>
              <w:pStyle w:val="Tableheader"/>
              <w:jc w:val="right"/>
              <w:rPr>
                <w:lang w:eastAsia="en-AU"/>
              </w:rPr>
            </w:pPr>
            <w:r w:rsidRPr="001276C9">
              <w:rPr>
                <w:lang w:eastAsia="en-AU"/>
              </w:rPr>
              <w:t>Patent applicant</w:t>
            </w:r>
            <w:r w:rsidR="00125559" w:rsidRPr="001276C9">
              <w:rPr>
                <w:lang w:eastAsia="en-AU"/>
              </w:rPr>
              <w:t>s</w:t>
            </w:r>
          </w:p>
        </w:tc>
        <w:tc>
          <w:tcPr>
            <w:tcW w:w="1285" w:type="dxa"/>
          </w:tcPr>
          <w:p w14:paraId="54F63626" w14:textId="2227C485" w:rsidR="000A02A3" w:rsidRPr="001276C9" w:rsidRDefault="000A02A3" w:rsidP="008A4E23">
            <w:pPr>
              <w:pStyle w:val="Tableheader"/>
              <w:jc w:val="right"/>
              <w:rPr>
                <w:lang w:eastAsia="en-AU"/>
              </w:rPr>
            </w:pPr>
            <w:r w:rsidRPr="001276C9">
              <w:rPr>
                <w:lang w:eastAsia="en-AU"/>
              </w:rPr>
              <w:t>Patent count</w:t>
            </w:r>
          </w:p>
        </w:tc>
        <w:tc>
          <w:tcPr>
            <w:tcW w:w="1483" w:type="dxa"/>
          </w:tcPr>
          <w:p w14:paraId="04882022" w14:textId="5625EE48" w:rsidR="000A02A3" w:rsidRPr="001276C9" w:rsidRDefault="00235F34" w:rsidP="008A4E23">
            <w:pPr>
              <w:pStyle w:val="Tableheader"/>
              <w:jc w:val="right"/>
              <w:rPr>
                <w:lang w:eastAsia="en-AU"/>
              </w:rPr>
            </w:pPr>
            <w:r w:rsidRPr="001276C9">
              <w:rPr>
                <w:lang w:eastAsia="en-AU"/>
              </w:rPr>
              <w:t>Trade</w:t>
            </w:r>
            <w:r w:rsidR="000A02A3" w:rsidRPr="001276C9">
              <w:rPr>
                <w:lang w:eastAsia="en-AU"/>
              </w:rPr>
              <w:t xml:space="preserve">mark applicants </w:t>
            </w:r>
          </w:p>
        </w:tc>
        <w:tc>
          <w:tcPr>
            <w:tcW w:w="1209" w:type="dxa"/>
          </w:tcPr>
          <w:p w14:paraId="2E51E556" w14:textId="7D56380C" w:rsidR="000A02A3" w:rsidRPr="001276C9" w:rsidRDefault="00235F34" w:rsidP="008A4E23">
            <w:pPr>
              <w:pStyle w:val="Tableheader"/>
              <w:jc w:val="right"/>
              <w:rPr>
                <w:lang w:eastAsia="en-AU"/>
              </w:rPr>
            </w:pPr>
            <w:r w:rsidRPr="001276C9">
              <w:rPr>
                <w:lang w:eastAsia="en-AU"/>
              </w:rPr>
              <w:t>Trade</w:t>
            </w:r>
            <w:r w:rsidR="000A02A3" w:rsidRPr="001276C9">
              <w:rPr>
                <w:lang w:eastAsia="en-AU"/>
              </w:rPr>
              <w:t>mark count</w:t>
            </w:r>
          </w:p>
        </w:tc>
      </w:tr>
      <w:tr w:rsidR="000A02A3" w:rsidRPr="001276C9" w14:paraId="56B3425C" w14:textId="16D7F235" w:rsidTr="001276C9">
        <w:trPr>
          <w:cnfStyle w:val="000000100000" w:firstRow="0" w:lastRow="0" w:firstColumn="0" w:lastColumn="0" w:oddVBand="0" w:evenVBand="0" w:oddHBand="1" w:evenHBand="0" w:firstRowFirstColumn="0" w:firstRowLastColumn="0" w:lastRowFirstColumn="0" w:lastRowLastColumn="0"/>
          <w:trHeight w:val="320"/>
        </w:trPr>
        <w:tc>
          <w:tcPr>
            <w:tcW w:w="1218" w:type="dxa"/>
            <w:shd w:val="clear" w:color="auto" w:fill="FFFFFF" w:themeFill="background1"/>
          </w:tcPr>
          <w:p w14:paraId="01A88851" w14:textId="6F353C59" w:rsidR="000A02A3" w:rsidRPr="001276C9" w:rsidRDefault="000A02A3" w:rsidP="009160E4">
            <w:pPr>
              <w:pStyle w:val="Tabletext"/>
            </w:pPr>
            <w:r w:rsidRPr="001276C9">
              <w:t>t = 0</w:t>
            </w:r>
          </w:p>
        </w:tc>
        <w:tc>
          <w:tcPr>
            <w:tcW w:w="1551" w:type="dxa"/>
            <w:shd w:val="clear" w:color="auto" w:fill="FFFFFF" w:themeFill="background1"/>
          </w:tcPr>
          <w:p w14:paraId="39822A39" w14:textId="38B65444" w:rsidR="000A02A3" w:rsidRPr="001276C9" w:rsidRDefault="00444E33" w:rsidP="009160E4">
            <w:pPr>
              <w:pStyle w:val="Tabletext"/>
              <w:jc w:val="right"/>
            </w:pPr>
            <w:r w:rsidRPr="001276C9">
              <w:t>49</w:t>
            </w:r>
          </w:p>
        </w:tc>
        <w:tc>
          <w:tcPr>
            <w:tcW w:w="1285" w:type="dxa"/>
            <w:shd w:val="clear" w:color="auto" w:fill="FFFFFF" w:themeFill="background1"/>
          </w:tcPr>
          <w:p w14:paraId="519A9949" w14:textId="6695FE69" w:rsidR="000A02A3" w:rsidRPr="001276C9" w:rsidRDefault="00FD7366" w:rsidP="009160E4">
            <w:pPr>
              <w:pStyle w:val="Tabletext"/>
              <w:jc w:val="right"/>
            </w:pPr>
            <w:r w:rsidRPr="001276C9">
              <w:t>141</w:t>
            </w:r>
          </w:p>
        </w:tc>
        <w:tc>
          <w:tcPr>
            <w:tcW w:w="1483" w:type="dxa"/>
            <w:shd w:val="clear" w:color="auto" w:fill="FFFFFF" w:themeFill="background1"/>
          </w:tcPr>
          <w:p w14:paraId="32F75CE3" w14:textId="11F0ACDF" w:rsidR="000A02A3" w:rsidRPr="001276C9" w:rsidRDefault="00ED3B05" w:rsidP="009160E4">
            <w:pPr>
              <w:pStyle w:val="Tabletext"/>
              <w:jc w:val="right"/>
            </w:pPr>
            <w:r w:rsidRPr="001276C9">
              <w:t>84</w:t>
            </w:r>
          </w:p>
        </w:tc>
        <w:tc>
          <w:tcPr>
            <w:tcW w:w="1209" w:type="dxa"/>
            <w:shd w:val="clear" w:color="auto" w:fill="FFFFFF" w:themeFill="background1"/>
          </w:tcPr>
          <w:p w14:paraId="7573862F" w14:textId="7EBB8A91" w:rsidR="000A02A3" w:rsidRPr="001276C9" w:rsidRDefault="00ED3B05" w:rsidP="009160E4">
            <w:pPr>
              <w:pStyle w:val="Tabletext"/>
              <w:jc w:val="right"/>
            </w:pPr>
            <w:r w:rsidRPr="001276C9">
              <w:t>177</w:t>
            </w:r>
          </w:p>
        </w:tc>
      </w:tr>
      <w:tr w:rsidR="000A02A3" w:rsidRPr="001276C9" w14:paraId="20955323" w14:textId="6BEFBC59" w:rsidTr="001276C9">
        <w:trPr>
          <w:cnfStyle w:val="000000010000" w:firstRow="0" w:lastRow="0" w:firstColumn="0" w:lastColumn="0" w:oddVBand="0" w:evenVBand="0" w:oddHBand="0" w:evenHBand="1" w:firstRowFirstColumn="0" w:firstRowLastColumn="0" w:lastRowFirstColumn="0" w:lastRowLastColumn="0"/>
          <w:trHeight w:val="320"/>
        </w:trPr>
        <w:tc>
          <w:tcPr>
            <w:tcW w:w="1218" w:type="dxa"/>
            <w:shd w:val="clear" w:color="auto" w:fill="DEE8F1"/>
          </w:tcPr>
          <w:p w14:paraId="3605B1B8" w14:textId="68591F16" w:rsidR="000A02A3" w:rsidRPr="001276C9" w:rsidRDefault="000A02A3" w:rsidP="009160E4">
            <w:pPr>
              <w:pStyle w:val="Tabletext"/>
            </w:pPr>
            <w:r w:rsidRPr="001276C9">
              <w:t>t = 1</w:t>
            </w:r>
          </w:p>
        </w:tc>
        <w:tc>
          <w:tcPr>
            <w:tcW w:w="1551" w:type="dxa"/>
            <w:shd w:val="clear" w:color="auto" w:fill="DEE8F1"/>
          </w:tcPr>
          <w:p w14:paraId="137FA1B5" w14:textId="6B6DD66E" w:rsidR="000A02A3" w:rsidRPr="001276C9" w:rsidRDefault="00444E33" w:rsidP="009160E4">
            <w:pPr>
              <w:pStyle w:val="Tabletext"/>
              <w:jc w:val="right"/>
            </w:pPr>
            <w:r w:rsidRPr="001276C9">
              <w:t>59</w:t>
            </w:r>
          </w:p>
        </w:tc>
        <w:tc>
          <w:tcPr>
            <w:tcW w:w="1285" w:type="dxa"/>
            <w:shd w:val="clear" w:color="auto" w:fill="DEE8F1"/>
          </w:tcPr>
          <w:p w14:paraId="226B69A2" w14:textId="770F0F9F" w:rsidR="000A02A3" w:rsidRPr="001276C9" w:rsidRDefault="00FD7366" w:rsidP="009160E4">
            <w:pPr>
              <w:pStyle w:val="Tabletext"/>
              <w:jc w:val="right"/>
            </w:pPr>
            <w:r w:rsidRPr="001276C9">
              <w:t>166</w:t>
            </w:r>
          </w:p>
        </w:tc>
        <w:tc>
          <w:tcPr>
            <w:tcW w:w="1483" w:type="dxa"/>
            <w:shd w:val="clear" w:color="auto" w:fill="DEE8F1"/>
          </w:tcPr>
          <w:p w14:paraId="0DC02D44" w14:textId="1679AC10" w:rsidR="000A02A3" w:rsidRPr="001276C9" w:rsidRDefault="00ED3B05" w:rsidP="009160E4">
            <w:pPr>
              <w:pStyle w:val="Tabletext"/>
              <w:jc w:val="right"/>
            </w:pPr>
            <w:r w:rsidRPr="001276C9">
              <w:t>90</w:t>
            </w:r>
          </w:p>
        </w:tc>
        <w:tc>
          <w:tcPr>
            <w:tcW w:w="1209" w:type="dxa"/>
            <w:shd w:val="clear" w:color="auto" w:fill="DEE8F1"/>
          </w:tcPr>
          <w:p w14:paraId="67198529" w14:textId="54A3EF34" w:rsidR="000A02A3" w:rsidRPr="001276C9" w:rsidRDefault="00ED3B05" w:rsidP="009160E4">
            <w:pPr>
              <w:pStyle w:val="Tabletext"/>
              <w:jc w:val="right"/>
            </w:pPr>
            <w:r w:rsidRPr="001276C9">
              <w:t>200</w:t>
            </w:r>
          </w:p>
        </w:tc>
      </w:tr>
      <w:tr w:rsidR="000A02A3" w:rsidRPr="001276C9" w14:paraId="40C1F42E" w14:textId="59166636" w:rsidTr="001276C9">
        <w:trPr>
          <w:cnfStyle w:val="000000100000" w:firstRow="0" w:lastRow="0" w:firstColumn="0" w:lastColumn="0" w:oddVBand="0" w:evenVBand="0" w:oddHBand="1" w:evenHBand="0" w:firstRowFirstColumn="0" w:firstRowLastColumn="0" w:lastRowFirstColumn="0" w:lastRowLastColumn="0"/>
          <w:trHeight w:val="320"/>
        </w:trPr>
        <w:tc>
          <w:tcPr>
            <w:tcW w:w="1218" w:type="dxa"/>
            <w:shd w:val="clear" w:color="auto" w:fill="FFFFFF" w:themeFill="background1"/>
          </w:tcPr>
          <w:p w14:paraId="1BA3197E" w14:textId="77777777" w:rsidR="000A02A3" w:rsidRPr="001276C9" w:rsidRDefault="000A02A3" w:rsidP="009160E4">
            <w:pPr>
              <w:pStyle w:val="Tabletext"/>
            </w:pPr>
            <w:r w:rsidRPr="001276C9">
              <w:t>t = 2</w:t>
            </w:r>
          </w:p>
        </w:tc>
        <w:tc>
          <w:tcPr>
            <w:tcW w:w="1551" w:type="dxa"/>
            <w:shd w:val="clear" w:color="auto" w:fill="FFFFFF" w:themeFill="background1"/>
          </w:tcPr>
          <w:p w14:paraId="5B15BDF4" w14:textId="45026D7E" w:rsidR="000A02A3" w:rsidRPr="001276C9" w:rsidRDefault="00444E33" w:rsidP="009160E4">
            <w:pPr>
              <w:pStyle w:val="Tabletext"/>
              <w:jc w:val="right"/>
            </w:pPr>
            <w:r w:rsidRPr="001276C9">
              <w:t>60</w:t>
            </w:r>
          </w:p>
        </w:tc>
        <w:tc>
          <w:tcPr>
            <w:tcW w:w="1285" w:type="dxa"/>
            <w:shd w:val="clear" w:color="auto" w:fill="FFFFFF" w:themeFill="background1"/>
          </w:tcPr>
          <w:p w14:paraId="6C2528E8" w14:textId="4244D19B" w:rsidR="000A02A3" w:rsidRPr="001276C9" w:rsidRDefault="00FD7366" w:rsidP="009160E4">
            <w:pPr>
              <w:pStyle w:val="Tabletext"/>
              <w:jc w:val="right"/>
            </w:pPr>
            <w:r w:rsidRPr="001276C9">
              <w:t>144</w:t>
            </w:r>
          </w:p>
        </w:tc>
        <w:tc>
          <w:tcPr>
            <w:tcW w:w="1483" w:type="dxa"/>
            <w:shd w:val="clear" w:color="auto" w:fill="FFFFFF" w:themeFill="background1"/>
          </w:tcPr>
          <w:p w14:paraId="689F425E" w14:textId="42AA3559" w:rsidR="000A02A3" w:rsidRPr="001276C9" w:rsidRDefault="00ED3B05" w:rsidP="009160E4">
            <w:pPr>
              <w:pStyle w:val="Tabletext"/>
              <w:jc w:val="right"/>
            </w:pPr>
            <w:r w:rsidRPr="001276C9">
              <w:t>82</w:t>
            </w:r>
          </w:p>
        </w:tc>
        <w:tc>
          <w:tcPr>
            <w:tcW w:w="1209" w:type="dxa"/>
            <w:shd w:val="clear" w:color="auto" w:fill="FFFFFF" w:themeFill="background1"/>
          </w:tcPr>
          <w:p w14:paraId="4B5C0A2C" w14:textId="59C28036" w:rsidR="000A02A3" w:rsidRPr="001276C9" w:rsidRDefault="00ED3B05" w:rsidP="009160E4">
            <w:pPr>
              <w:pStyle w:val="Tabletext"/>
              <w:jc w:val="right"/>
            </w:pPr>
            <w:r w:rsidRPr="001276C9">
              <w:t>201</w:t>
            </w:r>
          </w:p>
        </w:tc>
      </w:tr>
      <w:tr w:rsidR="000A02A3" w:rsidRPr="001276C9" w14:paraId="644A3543" w14:textId="24FF0AAF" w:rsidTr="001276C9">
        <w:trPr>
          <w:cnfStyle w:val="000000010000" w:firstRow="0" w:lastRow="0" w:firstColumn="0" w:lastColumn="0" w:oddVBand="0" w:evenVBand="0" w:oddHBand="0" w:evenHBand="1" w:firstRowFirstColumn="0" w:firstRowLastColumn="0" w:lastRowFirstColumn="0" w:lastRowLastColumn="0"/>
          <w:trHeight w:val="320"/>
        </w:trPr>
        <w:tc>
          <w:tcPr>
            <w:tcW w:w="1218" w:type="dxa"/>
            <w:shd w:val="clear" w:color="auto" w:fill="DEE8F1"/>
          </w:tcPr>
          <w:p w14:paraId="6BC14EFE" w14:textId="77777777" w:rsidR="000A02A3" w:rsidRPr="001276C9" w:rsidRDefault="000A02A3" w:rsidP="009160E4">
            <w:pPr>
              <w:pStyle w:val="Tabletext"/>
            </w:pPr>
            <w:r w:rsidRPr="001276C9">
              <w:t>t = 3</w:t>
            </w:r>
          </w:p>
        </w:tc>
        <w:tc>
          <w:tcPr>
            <w:tcW w:w="1551" w:type="dxa"/>
            <w:shd w:val="clear" w:color="auto" w:fill="DEE8F1"/>
          </w:tcPr>
          <w:p w14:paraId="72004EA5" w14:textId="23FF5908" w:rsidR="000A02A3" w:rsidRPr="001276C9" w:rsidRDefault="00444E33" w:rsidP="009160E4">
            <w:pPr>
              <w:pStyle w:val="Tabletext"/>
              <w:jc w:val="right"/>
            </w:pPr>
            <w:r w:rsidRPr="001276C9">
              <w:t>67</w:t>
            </w:r>
          </w:p>
        </w:tc>
        <w:tc>
          <w:tcPr>
            <w:tcW w:w="1285" w:type="dxa"/>
            <w:shd w:val="clear" w:color="auto" w:fill="DEE8F1"/>
          </w:tcPr>
          <w:p w14:paraId="10D61132" w14:textId="5A3E77F7" w:rsidR="000A02A3" w:rsidRPr="001276C9" w:rsidRDefault="00FD7366" w:rsidP="009160E4">
            <w:pPr>
              <w:pStyle w:val="Tabletext"/>
              <w:jc w:val="right"/>
            </w:pPr>
            <w:r w:rsidRPr="001276C9">
              <w:t>200</w:t>
            </w:r>
          </w:p>
        </w:tc>
        <w:tc>
          <w:tcPr>
            <w:tcW w:w="1483" w:type="dxa"/>
            <w:shd w:val="clear" w:color="auto" w:fill="DEE8F1"/>
          </w:tcPr>
          <w:p w14:paraId="7F5E6B60" w14:textId="7FAF2000" w:rsidR="000A02A3" w:rsidRPr="001276C9" w:rsidRDefault="00ED3B05" w:rsidP="009160E4">
            <w:pPr>
              <w:pStyle w:val="Tabletext"/>
              <w:jc w:val="right"/>
            </w:pPr>
            <w:r w:rsidRPr="001276C9">
              <w:t>63</w:t>
            </w:r>
          </w:p>
        </w:tc>
        <w:tc>
          <w:tcPr>
            <w:tcW w:w="1209" w:type="dxa"/>
            <w:shd w:val="clear" w:color="auto" w:fill="DEE8F1"/>
          </w:tcPr>
          <w:p w14:paraId="6749A71A" w14:textId="5AAFD15C" w:rsidR="000A02A3" w:rsidRPr="001276C9" w:rsidRDefault="00ED3B05" w:rsidP="009160E4">
            <w:pPr>
              <w:pStyle w:val="Tabletext"/>
              <w:jc w:val="right"/>
            </w:pPr>
            <w:r w:rsidRPr="001276C9">
              <w:t>141</w:t>
            </w:r>
          </w:p>
        </w:tc>
      </w:tr>
      <w:tr w:rsidR="000A02A3" w:rsidRPr="001276C9" w14:paraId="5FEE0064" w14:textId="0F9C6DE2" w:rsidTr="001276C9">
        <w:trPr>
          <w:cnfStyle w:val="000000100000" w:firstRow="0" w:lastRow="0" w:firstColumn="0" w:lastColumn="0" w:oddVBand="0" w:evenVBand="0" w:oddHBand="1" w:evenHBand="0" w:firstRowFirstColumn="0" w:firstRowLastColumn="0" w:lastRowFirstColumn="0" w:lastRowLastColumn="0"/>
          <w:trHeight w:val="320"/>
        </w:trPr>
        <w:tc>
          <w:tcPr>
            <w:tcW w:w="1218" w:type="dxa"/>
            <w:shd w:val="clear" w:color="auto" w:fill="FFFFFF" w:themeFill="background1"/>
          </w:tcPr>
          <w:p w14:paraId="0DEA410E" w14:textId="77777777" w:rsidR="000A02A3" w:rsidRPr="001276C9" w:rsidRDefault="000A02A3" w:rsidP="009160E4">
            <w:pPr>
              <w:pStyle w:val="Tabletext"/>
            </w:pPr>
            <w:r w:rsidRPr="001276C9">
              <w:t>t = 4</w:t>
            </w:r>
          </w:p>
        </w:tc>
        <w:tc>
          <w:tcPr>
            <w:tcW w:w="1551" w:type="dxa"/>
            <w:shd w:val="clear" w:color="auto" w:fill="FFFFFF" w:themeFill="background1"/>
          </w:tcPr>
          <w:p w14:paraId="6ECE7745" w14:textId="1EABDEF6" w:rsidR="000A02A3" w:rsidRPr="001276C9" w:rsidRDefault="00444E33" w:rsidP="009160E4">
            <w:pPr>
              <w:pStyle w:val="Tabletext"/>
              <w:jc w:val="right"/>
            </w:pPr>
            <w:r w:rsidRPr="001276C9">
              <w:t>49</w:t>
            </w:r>
          </w:p>
        </w:tc>
        <w:tc>
          <w:tcPr>
            <w:tcW w:w="1285" w:type="dxa"/>
            <w:shd w:val="clear" w:color="auto" w:fill="FFFFFF" w:themeFill="background1"/>
          </w:tcPr>
          <w:p w14:paraId="01C29352" w14:textId="4CE73CD9" w:rsidR="000A02A3" w:rsidRPr="001276C9" w:rsidRDefault="00FD7366" w:rsidP="009160E4">
            <w:pPr>
              <w:pStyle w:val="Tabletext"/>
              <w:jc w:val="right"/>
            </w:pPr>
            <w:r w:rsidRPr="001276C9">
              <w:t>127</w:t>
            </w:r>
          </w:p>
        </w:tc>
        <w:tc>
          <w:tcPr>
            <w:tcW w:w="1483" w:type="dxa"/>
            <w:shd w:val="clear" w:color="auto" w:fill="FFFFFF" w:themeFill="background1"/>
          </w:tcPr>
          <w:p w14:paraId="209A7101" w14:textId="3C2C495B" w:rsidR="000A02A3" w:rsidRPr="001276C9" w:rsidRDefault="00ED3B05" w:rsidP="009160E4">
            <w:pPr>
              <w:pStyle w:val="Tabletext"/>
              <w:jc w:val="right"/>
            </w:pPr>
            <w:r w:rsidRPr="001276C9">
              <w:t>50</w:t>
            </w:r>
          </w:p>
        </w:tc>
        <w:tc>
          <w:tcPr>
            <w:tcW w:w="1209" w:type="dxa"/>
            <w:shd w:val="clear" w:color="auto" w:fill="FFFFFF" w:themeFill="background1"/>
          </w:tcPr>
          <w:p w14:paraId="7F303DFB" w14:textId="75C8DEC3" w:rsidR="000A02A3" w:rsidRPr="001276C9" w:rsidRDefault="00ED3B05" w:rsidP="009160E4">
            <w:pPr>
              <w:pStyle w:val="Tabletext"/>
              <w:jc w:val="right"/>
            </w:pPr>
            <w:r w:rsidRPr="001276C9">
              <w:t>93</w:t>
            </w:r>
          </w:p>
        </w:tc>
      </w:tr>
      <w:tr w:rsidR="000A02A3" w:rsidRPr="001276C9" w14:paraId="425BF36D" w14:textId="78C6BFF0" w:rsidTr="001276C9">
        <w:trPr>
          <w:cnfStyle w:val="000000010000" w:firstRow="0" w:lastRow="0" w:firstColumn="0" w:lastColumn="0" w:oddVBand="0" w:evenVBand="0" w:oddHBand="0" w:evenHBand="1" w:firstRowFirstColumn="0" w:firstRowLastColumn="0" w:lastRowFirstColumn="0" w:lastRowLastColumn="0"/>
          <w:trHeight w:val="320"/>
        </w:trPr>
        <w:tc>
          <w:tcPr>
            <w:tcW w:w="1218" w:type="dxa"/>
            <w:shd w:val="clear" w:color="auto" w:fill="DEE8F1"/>
          </w:tcPr>
          <w:p w14:paraId="4891E2AE" w14:textId="77777777" w:rsidR="000A02A3" w:rsidRPr="001276C9" w:rsidRDefault="000A02A3" w:rsidP="009160E4">
            <w:pPr>
              <w:pStyle w:val="Tabletext"/>
            </w:pPr>
            <w:r w:rsidRPr="001276C9">
              <w:t>t = 5</w:t>
            </w:r>
          </w:p>
        </w:tc>
        <w:tc>
          <w:tcPr>
            <w:tcW w:w="1551" w:type="dxa"/>
            <w:shd w:val="clear" w:color="auto" w:fill="DEE8F1"/>
          </w:tcPr>
          <w:p w14:paraId="1FB20BB3" w14:textId="3200CFA6" w:rsidR="000A02A3" w:rsidRPr="001276C9" w:rsidRDefault="00444E33" w:rsidP="009160E4">
            <w:pPr>
              <w:pStyle w:val="Tabletext"/>
              <w:jc w:val="right"/>
            </w:pPr>
            <w:r w:rsidRPr="001276C9">
              <w:t>31</w:t>
            </w:r>
          </w:p>
        </w:tc>
        <w:tc>
          <w:tcPr>
            <w:tcW w:w="1285" w:type="dxa"/>
            <w:shd w:val="clear" w:color="auto" w:fill="DEE8F1"/>
          </w:tcPr>
          <w:p w14:paraId="0C778761" w14:textId="67335CE8" w:rsidR="000A02A3" w:rsidRPr="001276C9" w:rsidRDefault="00FD7366" w:rsidP="009160E4">
            <w:pPr>
              <w:pStyle w:val="Tabletext"/>
              <w:jc w:val="right"/>
            </w:pPr>
            <w:r w:rsidRPr="001276C9">
              <w:t>93</w:t>
            </w:r>
          </w:p>
        </w:tc>
        <w:tc>
          <w:tcPr>
            <w:tcW w:w="1483" w:type="dxa"/>
            <w:shd w:val="clear" w:color="auto" w:fill="DEE8F1"/>
          </w:tcPr>
          <w:p w14:paraId="6091544D" w14:textId="4FD8CC93" w:rsidR="000A02A3" w:rsidRPr="001276C9" w:rsidRDefault="00ED3B05" w:rsidP="009160E4">
            <w:pPr>
              <w:pStyle w:val="Tabletext"/>
              <w:jc w:val="right"/>
            </w:pPr>
            <w:r w:rsidRPr="001276C9">
              <w:t>26</w:t>
            </w:r>
          </w:p>
        </w:tc>
        <w:tc>
          <w:tcPr>
            <w:tcW w:w="1209" w:type="dxa"/>
            <w:shd w:val="clear" w:color="auto" w:fill="DEE8F1"/>
          </w:tcPr>
          <w:p w14:paraId="7BBE60D5" w14:textId="69D26F2E" w:rsidR="000A02A3" w:rsidRPr="001276C9" w:rsidRDefault="00ED3B05" w:rsidP="009160E4">
            <w:pPr>
              <w:pStyle w:val="Tabletext"/>
              <w:jc w:val="right"/>
            </w:pPr>
            <w:r w:rsidRPr="001276C9">
              <w:t>59</w:t>
            </w:r>
          </w:p>
        </w:tc>
      </w:tr>
      <w:tr w:rsidR="000A02A3" w:rsidRPr="001276C9" w14:paraId="7FF8D310" w14:textId="5195B4F4" w:rsidTr="001276C9">
        <w:trPr>
          <w:cnfStyle w:val="000000100000" w:firstRow="0" w:lastRow="0" w:firstColumn="0" w:lastColumn="0" w:oddVBand="0" w:evenVBand="0" w:oddHBand="1" w:evenHBand="0" w:firstRowFirstColumn="0" w:firstRowLastColumn="0" w:lastRowFirstColumn="0" w:lastRowLastColumn="0"/>
          <w:trHeight w:val="320"/>
        </w:trPr>
        <w:tc>
          <w:tcPr>
            <w:tcW w:w="1218" w:type="dxa"/>
            <w:shd w:val="clear" w:color="auto" w:fill="FFFFFF" w:themeFill="background1"/>
          </w:tcPr>
          <w:p w14:paraId="5C967430" w14:textId="77777777" w:rsidR="000A02A3" w:rsidRPr="001276C9" w:rsidRDefault="000A02A3" w:rsidP="009160E4">
            <w:pPr>
              <w:pStyle w:val="Tabletext"/>
            </w:pPr>
            <w:r w:rsidRPr="001276C9">
              <w:t>t = 6</w:t>
            </w:r>
          </w:p>
        </w:tc>
        <w:tc>
          <w:tcPr>
            <w:tcW w:w="1551" w:type="dxa"/>
            <w:shd w:val="clear" w:color="auto" w:fill="FFFFFF" w:themeFill="background1"/>
          </w:tcPr>
          <w:p w14:paraId="12F43C3E" w14:textId="46A8D23A" w:rsidR="000A02A3" w:rsidRPr="001276C9" w:rsidRDefault="00444E33" w:rsidP="009160E4">
            <w:pPr>
              <w:pStyle w:val="Tabletext"/>
              <w:jc w:val="right"/>
            </w:pPr>
            <w:r w:rsidRPr="001276C9">
              <w:t>21</w:t>
            </w:r>
          </w:p>
        </w:tc>
        <w:tc>
          <w:tcPr>
            <w:tcW w:w="1285" w:type="dxa"/>
            <w:shd w:val="clear" w:color="auto" w:fill="FFFFFF" w:themeFill="background1"/>
          </w:tcPr>
          <w:p w14:paraId="3EB7D218" w14:textId="441C6E8C" w:rsidR="000A02A3" w:rsidRPr="001276C9" w:rsidRDefault="00FD7366" w:rsidP="009160E4">
            <w:pPr>
              <w:pStyle w:val="Tabletext"/>
              <w:jc w:val="right"/>
            </w:pPr>
            <w:r w:rsidRPr="001276C9">
              <w:t>92</w:t>
            </w:r>
          </w:p>
        </w:tc>
        <w:tc>
          <w:tcPr>
            <w:tcW w:w="1483" w:type="dxa"/>
            <w:shd w:val="clear" w:color="auto" w:fill="FFFFFF" w:themeFill="background1"/>
          </w:tcPr>
          <w:p w14:paraId="2D03A5B5" w14:textId="0489FC03" w:rsidR="000A02A3" w:rsidRPr="001276C9" w:rsidRDefault="00116423" w:rsidP="009160E4">
            <w:pPr>
              <w:pStyle w:val="Tabletext"/>
              <w:jc w:val="right"/>
            </w:pPr>
            <w:r w:rsidRPr="001276C9">
              <w:t>n/a</w:t>
            </w:r>
          </w:p>
        </w:tc>
        <w:tc>
          <w:tcPr>
            <w:tcW w:w="1209" w:type="dxa"/>
            <w:shd w:val="clear" w:color="auto" w:fill="FFFFFF" w:themeFill="background1"/>
          </w:tcPr>
          <w:p w14:paraId="774BCBEE" w14:textId="4CE94DCD" w:rsidR="000A02A3" w:rsidRPr="001276C9" w:rsidRDefault="00116423" w:rsidP="009160E4">
            <w:pPr>
              <w:pStyle w:val="Tabletext"/>
              <w:jc w:val="right"/>
            </w:pPr>
            <w:r w:rsidRPr="001276C9">
              <w:t>n/a</w:t>
            </w:r>
          </w:p>
        </w:tc>
      </w:tr>
      <w:tr w:rsidR="000A02A3" w:rsidRPr="001276C9" w14:paraId="60F6B319" w14:textId="31DB5AC1" w:rsidTr="001276C9">
        <w:trPr>
          <w:cnfStyle w:val="000000010000" w:firstRow="0" w:lastRow="0" w:firstColumn="0" w:lastColumn="0" w:oddVBand="0" w:evenVBand="0" w:oddHBand="0" w:evenHBand="1" w:firstRowFirstColumn="0" w:firstRowLastColumn="0" w:lastRowFirstColumn="0" w:lastRowLastColumn="0"/>
          <w:trHeight w:val="320"/>
        </w:trPr>
        <w:tc>
          <w:tcPr>
            <w:tcW w:w="1218" w:type="dxa"/>
            <w:shd w:val="clear" w:color="auto" w:fill="DEE8F1"/>
          </w:tcPr>
          <w:p w14:paraId="07C60381" w14:textId="77777777" w:rsidR="000A02A3" w:rsidRPr="001276C9" w:rsidRDefault="000A02A3" w:rsidP="009160E4">
            <w:pPr>
              <w:pStyle w:val="Tabletext"/>
            </w:pPr>
            <w:r w:rsidRPr="001276C9">
              <w:t>t = 7</w:t>
            </w:r>
          </w:p>
        </w:tc>
        <w:tc>
          <w:tcPr>
            <w:tcW w:w="1551" w:type="dxa"/>
            <w:shd w:val="clear" w:color="auto" w:fill="DEE8F1"/>
          </w:tcPr>
          <w:p w14:paraId="5281148C" w14:textId="6CB5D3E4" w:rsidR="000A02A3" w:rsidRPr="001276C9" w:rsidRDefault="00444E33" w:rsidP="009160E4">
            <w:pPr>
              <w:pStyle w:val="Tabletext"/>
              <w:jc w:val="right"/>
            </w:pPr>
            <w:r w:rsidRPr="001276C9">
              <w:t>13</w:t>
            </w:r>
          </w:p>
        </w:tc>
        <w:tc>
          <w:tcPr>
            <w:tcW w:w="1285" w:type="dxa"/>
            <w:shd w:val="clear" w:color="auto" w:fill="DEE8F1"/>
          </w:tcPr>
          <w:p w14:paraId="3CFE30E7" w14:textId="51DE9C3A" w:rsidR="000A02A3" w:rsidRPr="001276C9" w:rsidRDefault="00FD7366" w:rsidP="009160E4">
            <w:pPr>
              <w:pStyle w:val="Tabletext"/>
              <w:jc w:val="right"/>
            </w:pPr>
            <w:r w:rsidRPr="001276C9">
              <w:t>58</w:t>
            </w:r>
          </w:p>
        </w:tc>
        <w:tc>
          <w:tcPr>
            <w:tcW w:w="1483" w:type="dxa"/>
            <w:shd w:val="clear" w:color="auto" w:fill="DEE8F1"/>
          </w:tcPr>
          <w:p w14:paraId="7EA6D2EC" w14:textId="455D4613" w:rsidR="000A02A3" w:rsidRPr="001276C9" w:rsidRDefault="00116423" w:rsidP="009160E4">
            <w:pPr>
              <w:pStyle w:val="Tabletext"/>
              <w:jc w:val="right"/>
            </w:pPr>
            <w:r w:rsidRPr="001276C9">
              <w:t>n/a</w:t>
            </w:r>
          </w:p>
        </w:tc>
        <w:tc>
          <w:tcPr>
            <w:tcW w:w="1209" w:type="dxa"/>
            <w:shd w:val="clear" w:color="auto" w:fill="DEE8F1"/>
          </w:tcPr>
          <w:p w14:paraId="47356A2A" w14:textId="6E7562B3" w:rsidR="000A02A3" w:rsidRPr="001276C9" w:rsidRDefault="00116423" w:rsidP="009160E4">
            <w:pPr>
              <w:pStyle w:val="Tabletext"/>
              <w:jc w:val="right"/>
            </w:pPr>
            <w:r w:rsidRPr="001276C9">
              <w:t>n/a</w:t>
            </w:r>
          </w:p>
        </w:tc>
      </w:tr>
    </w:tbl>
    <w:p w14:paraId="46F2E9F8" w14:textId="1C045A5B" w:rsidR="007D1C63" w:rsidRPr="001276C9" w:rsidRDefault="007D1C63" w:rsidP="007D1C63">
      <w:pPr>
        <w:pStyle w:val="Source"/>
        <w:spacing w:after="0"/>
        <w:rPr>
          <w:lang w:eastAsia="en-AU"/>
        </w:rPr>
      </w:pPr>
      <w:r w:rsidRPr="001276C9">
        <w:rPr>
          <w:lang w:eastAsia="en-AU"/>
        </w:rPr>
        <w:t xml:space="preserve">Note: </w:t>
      </w:r>
      <w:r w:rsidRPr="001276C9">
        <w:rPr>
          <w:i/>
          <w:iCs/>
          <w:lang w:eastAsia="en-AU"/>
        </w:rPr>
        <w:t>t</w:t>
      </w:r>
      <w:r w:rsidRPr="001276C9">
        <w:rPr>
          <w:lang w:eastAsia="en-AU"/>
        </w:rPr>
        <w:t>=0 is the year before the grant</w:t>
      </w:r>
      <w:r w:rsidR="00587068" w:rsidRPr="001276C9">
        <w:rPr>
          <w:lang w:eastAsia="en-AU"/>
        </w:rPr>
        <w:t>.</w:t>
      </w:r>
    </w:p>
    <w:p w14:paraId="7341C096" w14:textId="77777777" w:rsidR="000A02A3" w:rsidRPr="001276C9" w:rsidRDefault="000A02A3" w:rsidP="000A02A3">
      <w:pPr>
        <w:pStyle w:val="Source"/>
        <w:rPr>
          <w:lang w:eastAsia="en-AU"/>
        </w:rPr>
      </w:pPr>
      <w:r w:rsidRPr="001276C9">
        <w:rPr>
          <w:lang w:eastAsia="en-AU"/>
        </w:rPr>
        <w:t xml:space="preserve">Source: Department of Industry, Innovation and Science (2018); Intellectual Property Government Open Data (2017) </w:t>
      </w:r>
    </w:p>
    <w:p w14:paraId="2653BABD" w14:textId="29CC2DB9" w:rsidR="0062279B" w:rsidRPr="001276C9" w:rsidRDefault="00FC1268" w:rsidP="00DA36CB">
      <w:pPr>
        <w:pStyle w:val="BodyText"/>
        <w:rPr>
          <w:lang w:val="en" w:eastAsia="en-AU"/>
        </w:rPr>
      </w:pPr>
      <w:r w:rsidRPr="001276C9">
        <w:rPr>
          <w:lang w:val="en" w:eastAsia="en-AU"/>
        </w:rPr>
        <w:t>Furthermore</w:t>
      </w:r>
      <w:r w:rsidR="00BA641D" w:rsidRPr="001276C9">
        <w:rPr>
          <w:lang w:val="en" w:eastAsia="en-AU"/>
        </w:rPr>
        <w:t xml:space="preserve">, </w:t>
      </w:r>
      <w:r w:rsidR="00E46E35" w:rsidRPr="001276C9">
        <w:rPr>
          <w:lang w:val="en" w:eastAsia="en-AU"/>
        </w:rPr>
        <w:t>t</w:t>
      </w:r>
      <w:r w:rsidR="00BA641D" w:rsidRPr="001276C9">
        <w:rPr>
          <w:lang w:val="en" w:eastAsia="en-AU"/>
        </w:rPr>
        <w:t xml:space="preserve">he number of </w:t>
      </w:r>
      <w:r w:rsidR="00E36094" w:rsidRPr="001276C9">
        <w:rPr>
          <w:lang w:val="en" w:eastAsia="en-AU"/>
        </w:rPr>
        <w:t>applications</w:t>
      </w:r>
      <w:r w:rsidR="000E3DE3" w:rsidRPr="001276C9">
        <w:rPr>
          <w:lang w:val="en" w:eastAsia="en-AU"/>
        </w:rPr>
        <w:t xml:space="preserve"> for </w:t>
      </w:r>
      <w:r w:rsidR="00BA641D" w:rsidRPr="001276C9">
        <w:rPr>
          <w:lang w:val="en" w:eastAsia="en-AU"/>
        </w:rPr>
        <w:t xml:space="preserve">both patents and </w:t>
      </w:r>
      <w:r w:rsidR="00122E74" w:rsidRPr="001276C9">
        <w:rPr>
          <w:lang w:val="en" w:eastAsia="en-AU"/>
        </w:rPr>
        <w:t>trade</w:t>
      </w:r>
      <w:r w:rsidR="00384B2F" w:rsidRPr="001276C9">
        <w:rPr>
          <w:lang w:val="en" w:eastAsia="en-AU"/>
        </w:rPr>
        <w:t>mark</w:t>
      </w:r>
      <w:r w:rsidR="00BA641D" w:rsidRPr="001276C9">
        <w:rPr>
          <w:lang w:val="en" w:eastAsia="en-AU"/>
        </w:rPr>
        <w:t xml:space="preserve">s (and the number of firms that apply for them) increases over the period </w:t>
      </w:r>
      <w:r w:rsidR="00BA641D" w:rsidRPr="001276C9">
        <w:rPr>
          <w:i/>
          <w:iCs/>
          <w:lang w:val="en" w:eastAsia="en-AU"/>
        </w:rPr>
        <w:t>t</w:t>
      </w:r>
      <w:r w:rsidR="00BA641D" w:rsidRPr="001276C9">
        <w:rPr>
          <w:lang w:val="en" w:eastAsia="en-AU"/>
        </w:rPr>
        <w:t xml:space="preserve">=1 to </w:t>
      </w:r>
      <w:r w:rsidR="00BA641D" w:rsidRPr="001276C9">
        <w:rPr>
          <w:i/>
          <w:iCs/>
          <w:lang w:val="en" w:eastAsia="en-AU"/>
        </w:rPr>
        <w:t>t</w:t>
      </w:r>
      <w:r w:rsidR="00BA641D" w:rsidRPr="001276C9">
        <w:rPr>
          <w:lang w:val="en" w:eastAsia="en-AU"/>
        </w:rPr>
        <w:t xml:space="preserve">=3. The trend hits a peak in </w:t>
      </w:r>
      <w:r w:rsidR="00BA641D" w:rsidRPr="001276C9">
        <w:rPr>
          <w:i/>
          <w:iCs/>
          <w:lang w:val="en" w:eastAsia="en-AU"/>
        </w:rPr>
        <w:t>t</w:t>
      </w:r>
      <w:r w:rsidR="00BA641D" w:rsidRPr="001276C9">
        <w:rPr>
          <w:lang w:val="en" w:eastAsia="en-AU"/>
        </w:rPr>
        <w:t>=3 (th</w:t>
      </w:r>
      <w:r w:rsidR="00DC3A75" w:rsidRPr="001276C9">
        <w:rPr>
          <w:lang w:val="en" w:eastAsia="en-AU"/>
        </w:rPr>
        <w:t>ird year of</w:t>
      </w:r>
      <w:r w:rsidR="00BA641D" w:rsidRPr="001276C9">
        <w:rPr>
          <w:lang w:val="en" w:eastAsia="en-AU"/>
        </w:rPr>
        <w:t xml:space="preserve"> the grant).</w:t>
      </w:r>
      <w:r w:rsidR="0062279B" w:rsidRPr="001276C9">
        <w:rPr>
          <w:lang w:val="en" w:eastAsia="en-AU"/>
        </w:rPr>
        <w:t xml:space="preserve"> With an average lag of two years from research to product, one finds the pattern </w:t>
      </w:r>
      <w:r w:rsidR="008B42AB" w:rsidRPr="001276C9">
        <w:rPr>
          <w:lang w:val="en" w:eastAsia="en-AU"/>
        </w:rPr>
        <w:t>suggestive of new product introduction tied to the CA grants</w:t>
      </w:r>
      <w:r w:rsidR="0062279B" w:rsidRPr="001276C9">
        <w:rPr>
          <w:lang w:val="en" w:eastAsia="en-AU"/>
        </w:rPr>
        <w:t>.</w:t>
      </w:r>
    </w:p>
    <w:p w14:paraId="0E89AEAB" w14:textId="2D9C64EC" w:rsidR="000A02A3" w:rsidRPr="001276C9" w:rsidRDefault="0062279B" w:rsidP="00DA36CB">
      <w:pPr>
        <w:pStyle w:val="BodyText"/>
        <w:rPr>
          <w:lang w:val="en" w:eastAsia="en-AU"/>
        </w:rPr>
      </w:pPr>
      <w:r w:rsidRPr="001276C9">
        <w:rPr>
          <w:lang w:val="en" w:eastAsia="en-AU"/>
        </w:rPr>
        <w:t xml:space="preserve">The numbers start to drop after year </w:t>
      </w:r>
      <w:r w:rsidRPr="001276C9">
        <w:rPr>
          <w:i/>
          <w:iCs/>
          <w:lang w:val="en" w:eastAsia="en-AU"/>
        </w:rPr>
        <w:t>t</w:t>
      </w:r>
      <w:r w:rsidRPr="001276C9">
        <w:rPr>
          <w:lang w:val="en" w:eastAsia="en-AU"/>
        </w:rPr>
        <w:t>=3. This drop c</w:t>
      </w:r>
      <w:r w:rsidR="00384B2F" w:rsidRPr="001276C9">
        <w:rPr>
          <w:lang w:val="en" w:eastAsia="en-AU"/>
        </w:rPr>
        <w:t>ould</w:t>
      </w:r>
      <w:r w:rsidRPr="001276C9">
        <w:rPr>
          <w:lang w:val="en" w:eastAsia="en-AU"/>
        </w:rPr>
        <w:t xml:space="preserve"> be caused by the firm having already registered its </w:t>
      </w:r>
      <w:r w:rsidR="006E6F07" w:rsidRPr="001276C9">
        <w:rPr>
          <w:lang w:val="en" w:eastAsia="en-AU"/>
        </w:rPr>
        <w:t xml:space="preserve">developed </w:t>
      </w:r>
      <w:r w:rsidRPr="001276C9">
        <w:rPr>
          <w:lang w:val="en" w:eastAsia="en-AU"/>
        </w:rPr>
        <w:t>product. The drop can also be a result of time truncation. Future updates to the data would eliminate this ambiguity.</w:t>
      </w:r>
    </w:p>
    <w:p w14:paraId="2957BBF1" w14:textId="1EEA2842" w:rsidR="000A02A3" w:rsidRPr="001276C9" w:rsidRDefault="00D13739" w:rsidP="00DA36CB">
      <w:pPr>
        <w:pStyle w:val="Heading2"/>
      </w:pPr>
      <w:r w:rsidRPr="001276C9">
        <w:t>From</w:t>
      </w:r>
      <w:r w:rsidR="00E0295D" w:rsidRPr="001276C9">
        <w:t xml:space="preserve"> </w:t>
      </w:r>
      <w:r w:rsidRPr="001276C9">
        <w:t>CA to</w:t>
      </w:r>
      <w:r w:rsidR="000A02A3" w:rsidRPr="001276C9">
        <w:t xml:space="preserve"> R&amp;D </w:t>
      </w:r>
      <w:r w:rsidR="005550C6" w:rsidRPr="001276C9">
        <w:t>t</w:t>
      </w:r>
      <w:r w:rsidR="00E0295D" w:rsidRPr="001276C9">
        <w:t xml:space="preserve">ax </w:t>
      </w:r>
      <w:r w:rsidR="005550C6" w:rsidRPr="001276C9">
        <w:t>assistance</w:t>
      </w:r>
    </w:p>
    <w:p w14:paraId="3AA14AFA" w14:textId="18173E53" w:rsidR="00733365" w:rsidRPr="001276C9" w:rsidRDefault="00D63A8C" w:rsidP="00DA36CB">
      <w:pPr>
        <w:pStyle w:val="BodyText"/>
      </w:pPr>
      <w:r w:rsidRPr="001276C9">
        <w:t>Between 1985 and 2011</w:t>
      </w:r>
      <w:r w:rsidR="00733365" w:rsidRPr="001276C9">
        <w:t xml:space="preserve">, the Australian government </w:t>
      </w:r>
      <w:r w:rsidRPr="001276C9">
        <w:t>offered the</w:t>
      </w:r>
      <w:r w:rsidR="00733365" w:rsidRPr="001276C9">
        <w:t xml:space="preserve"> R&amp;D Tax </w:t>
      </w:r>
      <w:r w:rsidR="008819EB" w:rsidRPr="001276C9">
        <w:t>Concession</w:t>
      </w:r>
      <w:r w:rsidR="00733365" w:rsidRPr="001276C9">
        <w:t xml:space="preserve"> (RDTC) </w:t>
      </w:r>
      <w:r w:rsidR="008D2D4B" w:rsidRPr="001276C9">
        <w:t>program</w:t>
      </w:r>
      <w:r w:rsidR="00733365" w:rsidRPr="001276C9">
        <w:t xml:space="preserve">. This </w:t>
      </w:r>
      <w:r w:rsidR="008D2D4B" w:rsidRPr="001276C9">
        <w:t>program</w:t>
      </w:r>
      <w:r w:rsidR="00733365" w:rsidRPr="001276C9">
        <w:t xml:space="preserve"> g</w:t>
      </w:r>
      <w:r w:rsidRPr="001276C9">
        <w:t>ave</w:t>
      </w:r>
      <w:r w:rsidR="00733365" w:rsidRPr="001276C9">
        <w:t xml:space="preserve"> firms </w:t>
      </w:r>
      <w:r w:rsidR="00C238C2" w:rsidRPr="001276C9">
        <w:t>carrying out</w:t>
      </w:r>
      <w:r w:rsidR="00733365" w:rsidRPr="001276C9">
        <w:t xml:space="preserve"> R&amp;D projects a proportion of their R&amp;D expenditures as tax </w:t>
      </w:r>
      <w:r w:rsidR="0067588A" w:rsidRPr="001276C9">
        <w:t>deductions</w:t>
      </w:r>
      <w:r w:rsidR="00733365" w:rsidRPr="001276C9">
        <w:t xml:space="preserve">. In </w:t>
      </w:r>
      <w:r w:rsidR="00260936" w:rsidRPr="001276C9">
        <w:t>2011</w:t>
      </w:r>
      <w:r w:rsidR="005A0179" w:rsidRPr="001276C9">
        <w:sym w:font="Symbol" w:char="F02D"/>
      </w:r>
      <w:r w:rsidR="00733365" w:rsidRPr="001276C9">
        <w:t xml:space="preserve">12, the </w:t>
      </w:r>
      <w:r w:rsidR="008D2D4B" w:rsidRPr="001276C9">
        <w:t>program</w:t>
      </w:r>
      <w:r w:rsidR="00733365" w:rsidRPr="001276C9">
        <w:t xml:space="preserve"> </w:t>
      </w:r>
      <w:r w:rsidRPr="001276C9">
        <w:t>was replace</w:t>
      </w:r>
      <w:r w:rsidR="00B34EF5" w:rsidRPr="001276C9">
        <w:t>d</w:t>
      </w:r>
      <w:r w:rsidRPr="001276C9">
        <w:t xml:space="preserve"> by the</w:t>
      </w:r>
      <w:r w:rsidR="00733365" w:rsidRPr="001276C9">
        <w:t xml:space="preserve"> R&amp;D Tax Incentive (RDTI). </w:t>
      </w:r>
      <w:r w:rsidR="006F03F6" w:rsidRPr="001276C9">
        <w:t xml:space="preserve">A firm has to spend at least $20,000 on R&amp;D to be eligible for either </w:t>
      </w:r>
      <w:r w:rsidR="008D2D4B" w:rsidRPr="001276C9">
        <w:t>program</w:t>
      </w:r>
      <w:r w:rsidR="006F03F6" w:rsidRPr="001276C9">
        <w:t>.</w:t>
      </w:r>
    </w:p>
    <w:p w14:paraId="361D9744" w14:textId="0AA08C69" w:rsidR="006D5F28" w:rsidRPr="001276C9" w:rsidRDefault="006D5F28" w:rsidP="00DA36CB">
      <w:pPr>
        <w:pStyle w:val="BodyText"/>
      </w:pPr>
      <w:r w:rsidRPr="001276C9">
        <w:t xml:space="preserve">Table 6.7 shows the counts of </w:t>
      </w:r>
      <w:r w:rsidR="00C238C2" w:rsidRPr="001276C9">
        <w:t xml:space="preserve">the CA </w:t>
      </w:r>
      <w:r w:rsidR="00F93344" w:rsidRPr="001276C9">
        <w:t xml:space="preserve">participants who </w:t>
      </w:r>
      <w:r w:rsidR="00C238C2" w:rsidRPr="001276C9">
        <w:t>appl</w:t>
      </w:r>
      <w:r w:rsidR="00F93344" w:rsidRPr="001276C9">
        <w:t>ied</w:t>
      </w:r>
      <w:r w:rsidR="00C238C2" w:rsidRPr="001276C9">
        <w:t xml:space="preserve"> for the RDTC or RDTI </w:t>
      </w:r>
      <w:r w:rsidR="00F93344" w:rsidRPr="001276C9">
        <w:t xml:space="preserve">from the year before the first grant was awarded and for </w:t>
      </w:r>
      <w:r w:rsidR="00C238C2" w:rsidRPr="001276C9">
        <w:t>each year after th</w:t>
      </w:r>
      <w:r w:rsidR="00F93344" w:rsidRPr="001276C9">
        <w:t>at</w:t>
      </w:r>
      <w:r w:rsidR="00C238C2" w:rsidRPr="001276C9">
        <w:t xml:space="preserve">. </w:t>
      </w:r>
      <w:r w:rsidR="009D1940" w:rsidRPr="001276C9">
        <w:t xml:space="preserve"> </w:t>
      </w:r>
    </w:p>
    <w:p w14:paraId="6C2B1183" w14:textId="68BD98D9" w:rsidR="008A1239" w:rsidRPr="001276C9" w:rsidRDefault="008A1239" w:rsidP="008A1239">
      <w:pPr>
        <w:pStyle w:val="Caption"/>
      </w:pPr>
      <w:r w:rsidRPr="001276C9">
        <w:lastRenderedPageBreak/>
        <w:t xml:space="preserve">Table 6.7 </w:t>
      </w:r>
      <w:r w:rsidR="000768B8" w:rsidRPr="001276C9">
        <w:t>CA</w:t>
      </w:r>
      <w:r w:rsidRPr="001276C9">
        <w:t xml:space="preserve"> participation </w:t>
      </w:r>
      <w:r w:rsidR="000768B8" w:rsidRPr="001276C9">
        <w:t xml:space="preserve">in R&amp;D Tax Concession/Incentive </w:t>
      </w:r>
      <w:r w:rsidR="00995EE5" w:rsidRPr="001276C9">
        <w:t>(firm counts)</w:t>
      </w:r>
    </w:p>
    <w:tbl>
      <w:tblPr>
        <w:tblStyle w:val="OCETable"/>
        <w:tblW w:w="4160" w:type="pct"/>
        <w:jc w:val="center"/>
        <w:tblLayout w:type="fixed"/>
        <w:tblLook w:val="04A0" w:firstRow="1" w:lastRow="0" w:firstColumn="1" w:lastColumn="0" w:noHBand="0" w:noVBand="1"/>
        <w:tblCaption w:val="Table 6.7"/>
        <w:tblDescription w:val="Table 6.7 shows the CA participation in R&amp;D Tax Concession/Incentive (firm counts)"/>
      </w:tblPr>
      <w:tblGrid>
        <w:gridCol w:w="964"/>
        <w:gridCol w:w="236"/>
        <w:gridCol w:w="2268"/>
        <w:gridCol w:w="2268"/>
      </w:tblGrid>
      <w:tr w:rsidR="009160E4" w:rsidRPr="001276C9" w14:paraId="138725D0" w14:textId="77777777" w:rsidTr="001276C9">
        <w:trPr>
          <w:cnfStyle w:val="100000000000" w:firstRow="1" w:lastRow="0" w:firstColumn="0" w:lastColumn="0" w:oddVBand="0" w:evenVBand="0" w:oddHBand="0" w:evenHBand="0" w:firstRowFirstColumn="0" w:firstRowLastColumn="0" w:lastRowFirstColumn="0" w:lastRowLastColumn="0"/>
          <w:trHeight w:val="457"/>
          <w:tblHeader/>
          <w:jc w:val="center"/>
        </w:trPr>
        <w:tc>
          <w:tcPr>
            <w:tcW w:w="964" w:type="dxa"/>
          </w:tcPr>
          <w:p w14:paraId="4B4BBDEF" w14:textId="77777777" w:rsidR="008A1239" w:rsidRPr="001276C9" w:rsidRDefault="008A1239" w:rsidP="007E589F">
            <w:pPr>
              <w:pStyle w:val="Tableheader"/>
              <w:rPr>
                <w:lang w:eastAsia="en-AU"/>
              </w:rPr>
            </w:pPr>
          </w:p>
        </w:tc>
        <w:tc>
          <w:tcPr>
            <w:tcW w:w="236" w:type="dxa"/>
          </w:tcPr>
          <w:p w14:paraId="33C250AB" w14:textId="77777777" w:rsidR="008A1239" w:rsidRPr="001276C9" w:rsidRDefault="008A1239" w:rsidP="007E589F">
            <w:pPr>
              <w:pStyle w:val="Tableheader"/>
              <w:rPr>
                <w:lang w:eastAsia="en-AU"/>
              </w:rPr>
            </w:pPr>
          </w:p>
        </w:tc>
        <w:tc>
          <w:tcPr>
            <w:tcW w:w="2268" w:type="dxa"/>
            <w:vAlign w:val="center"/>
          </w:tcPr>
          <w:p w14:paraId="409D779A" w14:textId="38376A6D" w:rsidR="008A1239" w:rsidRPr="001276C9" w:rsidRDefault="000768B8" w:rsidP="009160E4">
            <w:pPr>
              <w:pStyle w:val="Tableheader"/>
              <w:jc w:val="right"/>
              <w:rPr>
                <w:lang w:eastAsia="en-AU"/>
              </w:rPr>
            </w:pPr>
            <w:r w:rsidRPr="001276C9">
              <w:rPr>
                <w:lang w:eastAsia="en-AU"/>
              </w:rPr>
              <w:t>R&amp;D Tax Concession</w:t>
            </w:r>
          </w:p>
        </w:tc>
        <w:tc>
          <w:tcPr>
            <w:tcW w:w="2268" w:type="dxa"/>
          </w:tcPr>
          <w:p w14:paraId="740233B9" w14:textId="5D3E56D0" w:rsidR="008A1239" w:rsidRPr="001276C9" w:rsidRDefault="000768B8" w:rsidP="008A4E23">
            <w:pPr>
              <w:pStyle w:val="Tableheader"/>
              <w:jc w:val="right"/>
              <w:rPr>
                <w:lang w:eastAsia="en-AU"/>
              </w:rPr>
            </w:pPr>
            <w:r w:rsidRPr="001276C9">
              <w:rPr>
                <w:lang w:eastAsia="en-AU"/>
              </w:rPr>
              <w:t xml:space="preserve">R&amp;D Tax Incentive </w:t>
            </w:r>
            <w:r w:rsidR="008A1239" w:rsidRPr="001276C9">
              <w:rPr>
                <w:lang w:eastAsia="en-AU"/>
              </w:rPr>
              <w:t xml:space="preserve"> </w:t>
            </w:r>
          </w:p>
        </w:tc>
      </w:tr>
      <w:tr w:rsidR="009160E4" w:rsidRPr="001276C9" w14:paraId="4F6EEA6D" w14:textId="77777777" w:rsidTr="001276C9">
        <w:trPr>
          <w:cnfStyle w:val="000000100000" w:firstRow="0" w:lastRow="0" w:firstColumn="0" w:lastColumn="0" w:oddVBand="0" w:evenVBand="0" w:oddHBand="1" w:evenHBand="0" w:firstRowFirstColumn="0" w:firstRowLastColumn="0" w:lastRowFirstColumn="0" w:lastRowLastColumn="0"/>
          <w:trHeight w:val="336"/>
          <w:jc w:val="center"/>
        </w:trPr>
        <w:tc>
          <w:tcPr>
            <w:tcW w:w="964" w:type="dxa"/>
            <w:shd w:val="clear" w:color="auto" w:fill="FFFFFF" w:themeFill="background1"/>
          </w:tcPr>
          <w:p w14:paraId="42C25BBA" w14:textId="77777777" w:rsidR="008A1239" w:rsidRPr="001276C9" w:rsidRDefault="008A1239" w:rsidP="007E589F">
            <w:pPr>
              <w:pStyle w:val="Tabletext"/>
              <w:rPr>
                <w:lang w:eastAsia="en-AU"/>
              </w:rPr>
            </w:pPr>
            <w:r w:rsidRPr="001276C9">
              <w:rPr>
                <w:i/>
                <w:iCs/>
                <w:lang w:eastAsia="en-AU"/>
              </w:rPr>
              <w:t xml:space="preserve">t </w:t>
            </w:r>
            <w:r w:rsidRPr="001276C9">
              <w:rPr>
                <w:lang w:eastAsia="en-AU"/>
              </w:rPr>
              <w:t xml:space="preserve">= 0 </w:t>
            </w:r>
          </w:p>
        </w:tc>
        <w:tc>
          <w:tcPr>
            <w:tcW w:w="236" w:type="dxa"/>
            <w:shd w:val="clear" w:color="auto" w:fill="FFFFFF" w:themeFill="background1"/>
          </w:tcPr>
          <w:p w14:paraId="3545CD21" w14:textId="77777777" w:rsidR="008A1239" w:rsidRPr="001276C9" w:rsidRDefault="008A1239" w:rsidP="007E589F">
            <w:pPr>
              <w:pStyle w:val="Tabletext"/>
              <w:rPr>
                <w:lang w:eastAsia="en-AU"/>
              </w:rPr>
            </w:pPr>
          </w:p>
        </w:tc>
        <w:tc>
          <w:tcPr>
            <w:tcW w:w="2268" w:type="dxa"/>
            <w:shd w:val="clear" w:color="auto" w:fill="FFFFFF" w:themeFill="background1"/>
          </w:tcPr>
          <w:p w14:paraId="51DB4DAB" w14:textId="0DA0FB5D" w:rsidR="008A1239" w:rsidRPr="001276C9" w:rsidRDefault="000768B8" w:rsidP="008A4E23">
            <w:pPr>
              <w:pStyle w:val="Tabletext"/>
              <w:jc w:val="right"/>
              <w:rPr>
                <w:lang w:eastAsia="en-AU"/>
              </w:rPr>
            </w:pPr>
            <w:r w:rsidRPr="001276C9">
              <w:rPr>
                <w:lang w:eastAsia="en-AU"/>
              </w:rPr>
              <w:t>14</w:t>
            </w:r>
            <w:r w:rsidR="001B5DF3" w:rsidRPr="001276C9">
              <w:rPr>
                <w:lang w:eastAsia="en-AU"/>
              </w:rPr>
              <w:t>5</w:t>
            </w:r>
          </w:p>
        </w:tc>
        <w:tc>
          <w:tcPr>
            <w:tcW w:w="2268" w:type="dxa"/>
            <w:shd w:val="clear" w:color="auto" w:fill="FFFFFF" w:themeFill="background1"/>
          </w:tcPr>
          <w:p w14:paraId="653F7B6D" w14:textId="78BBE665" w:rsidR="008A1239" w:rsidRPr="001276C9" w:rsidRDefault="000768B8" w:rsidP="008A4E23">
            <w:pPr>
              <w:pStyle w:val="Tabletext"/>
              <w:jc w:val="right"/>
              <w:rPr>
                <w:lang w:eastAsia="en-AU"/>
              </w:rPr>
            </w:pPr>
            <w:r w:rsidRPr="001276C9">
              <w:rPr>
                <w:lang w:eastAsia="en-AU"/>
              </w:rPr>
              <w:t>12</w:t>
            </w:r>
            <w:r w:rsidR="005F09D0" w:rsidRPr="001276C9">
              <w:rPr>
                <w:lang w:eastAsia="en-AU"/>
              </w:rPr>
              <w:t>9</w:t>
            </w:r>
          </w:p>
        </w:tc>
      </w:tr>
      <w:tr w:rsidR="009160E4" w:rsidRPr="001276C9" w14:paraId="20AA5D9E" w14:textId="77777777" w:rsidTr="001276C9">
        <w:trPr>
          <w:cnfStyle w:val="000000010000" w:firstRow="0" w:lastRow="0" w:firstColumn="0" w:lastColumn="0" w:oddVBand="0" w:evenVBand="0" w:oddHBand="0" w:evenHBand="1" w:firstRowFirstColumn="0" w:firstRowLastColumn="0" w:lastRowFirstColumn="0" w:lastRowLastColumn="0"/>
          <w:trHeight w:val="336"/>
          <w:jc w:val="center"/>
        </w:trPr>
        <w:tc>
          <w:tcPr>
            <w:tcW w:w="964" w:type="dxa"/>
            <w:shd w:val="clear" w:color="auto" w:fill="DEE8F1"/>
          </w:tcPr>
          <w:p w14:paraId="6D242BAA" w14:textId="77777777" w:rsidR="008A1239" w:rsidRPr="001276C9" w:rsidRDefault="008A1239" w:rsidP="007E589F">
            <w:pPr>
              <w:pStyle w:val="Tabletext"/>
              <w:rPr>
                <w:lang w:eastAsia="en-AU"/>
              </w:rPr>
            </w:pPr>
            <w:r w:rsidRPr="001276C9">
              <w:rPr>
                <w:i/>
                <w:iCs/>
                <w:lang w:eastAsia="en-AU"/>
              </w:rPr>
              <w:t>t</w:t>
            </w:r>
            <w:r w:rsidRPr="001276C9">
              <w:rPr>
                <w:lang w:eastAsia="en-AU"/>
              </w:rPr>
              <w:t xml:space="preserve"> = 1 </w:t>
            </w:r>
          </w:p>
        </w:tc>
        <w:tc>
          <w:tcPr>
            <w:tcW w:w="236" w:type="dxa"/>
            <w:shd w:val="clear" w:color="auto" w:fill="DEE8F1"/>
          </w:tcPr>
          <w:p w14:paraId="1FAC1152" w14:textId="77777777" w:rsidR="008A1239" w:rsidRPr="001276C9" w:rsidRDefault="008A1239" w:rsidP="007E589F">
            <w:pPr>
              <w:pStyle w:val="Tabletext"/>
              <w:rPr>
                <w:lang w:eastAsia="en-AU"/>
              </w:rPr>
            </w:pPr>
          </w:p>
        </w:tc>
        <w:tc>
          <w:tcPr>
            <w:tcW w:w="2268" w:type="dxa"/>
            <w:shd w:val="clear" w:color="auto" w:fill="DEE8F1"/>
          </w:tcPr>
          <w:p w14:paraId="2721344F" w14:textId="6385821D" w:rsidR="008A1239" w:rsidRPr="001276C9" w:rsidRDefault="000768B8" w:rsidP="008A4E23">
            <w:pPr>
              <w:pStyle w:val="Tabletext"/>
              <w:jc w:val="right"/>
              <w:rPr>
                <w:lang w:eastAsia="en-AU"/>
              </w:rPr>
            </w:pPr>
            <w:r w:rsidRPr="001276C9">
              <w:rPr>
                <w:lang w:eastAsia="en-AU"/>
              </w:rPr>
              <w:t>6</w:t>
            </w:r>
            <w:r w:rsidR="001B5DF3" w:rsidRPr="001276C9">
              <w:rPr>
                <w:lang w:eastAsia="en-AU"/>
              </w:rPr>
              <w:t>4</w:t>
            </w:r>
          </w:p>
        </w:tc>
        <w:tc>
          <w:tcPr>
            <w:tcW w:w="2268" w:type="dxa"/>
            <w:shd w:val="clear" w:color="auto" w:fill="DEE8F1"/>
          </w:tcPr>
          <w:p w14:paraId="3FE0730C" w14:textId="538B822E" w:rsidR="008A1239" w:rsidRPr="001276C9" w:rsidRDefault="000768B8" w:rsidP="008A4E23">
            <w:pPr>
              <w:pStyle w:val="Tabletext"/>
              <w:jc w:val="right"/>
              <w:rPr>
                <w:lang w:eastAsia="en-AU"/>
              </w:rPr>
            </w:pPr>
            <w:r w:rsidRPr="001276C9">
              <w:rPr>
                <w:lang w:eastAsia="en-AU"/>
              </w:rPr>
              <w:t>2</w:t>
            </w:r>
            <w:r w:rsidR="005F09D0" w:rsidRPr="001276C9">
              <w:rPr>
                <w:lang w:eastAsia="en-AU"/>
              </w:rPr>
              <w:t>50</w:t>
            </w:r>
          </w:p>
        </w:tc>
      </w:tr>
      <w:tr w:rsidR="009160E4" w:rsidRPr="001276C9" w14:paraId="1BE824AF" w14:textId="77777777" w:rsidTr="001276C9">
        <w:trPr>
          <w:cnfStyle w:val="000000100000" w:firstRow="0" w:lastRow="0" w:firstColumn="0" w:lastColumn="0" w:oddVBand="0" w:evenVBand="0" w:oddHBand="1" w:evenHBand="0" w:firstRowFirstColumn="0" w:firstRowLastColumn="0" w:lastRowFirstColumn="0" w:lastRowLastColumn="0"/>
          <w:trHeight w:val="336"/>
          <w:jc w:val="center"/>
        </w:trPr>
        <w:tc>
          <w:tcPr>
            <w:tcW w:w="964" w:type="dxa"/>
            <w:shd w:val="clear" w:color="auto" w:fill="FFFFFF" w:themeFill="background1"/>
          </w:tcPr>
          <w:p w14:paraId="42D62A19" w14:textId="77777777" w:rsidR="008A1239" w:rsidRPr="001276C9" w:rsidRDefault="008A1239" w:rsidP="007E589F">
            <w:pPr>
              <w:pStyle w:val="Tabletext"/>
              <w:rPr>
                <w:lang w:eastAsia="en-AU"/>
              </w:rPr>
            </w:pPr>
            <w:r w:rsidRPr="001276C9">
              <w:rPr>
                <w:i/>
                <w:iCs/>
                <w:lang w:eastAsia="en-AU"/>
              </w:rPr>
              <w:t>t</w:t>
            </w:r>
            <w:r w:rsidRPr="001276C9">
              <w:rPr>
                <w:lang w:eastAsia="en-AU"/>
              </w:rPr>
              <w:t xml:space="preserve"> = 2</w:t>
            </w:r>
          </w:p>
        </w:tc>
        <w:tc>
          <w:tcPr>
            <w:tcW w:w="236" w:type="dxa"/>
            <w:shd w:val="clear" w:color="auto" w:fill="FFFFFF" w:themeFill="background1"/>
          </w:tcPr>
          <w:p w14:paraId="2D19E7A9" w14:textId="77777777" w:rsidR="008A1239" w:rsidRPr="001276C9" w:rsidRDefault="008A1239" w:rsidP="007E589F">
            <w:pPr>
              <w:pStyle w:val="Tabletext"/>
              <w:rPr>
                <w:lang w:eastAsia="en-AU"/>
              </w:rPr>
            </w:pPr>
          </w:p>
        </w:tc>
        <w:tc>
          <w:tcPr>
            <w:tcW w:w="2268" w:type="dxa"/>
            <w:shd w:val="clear" w:color="auto" w:fill="FFFFFF" w:themeFill="background1"/>
          </w:tcPr>
          <w:p w14:paraId="55D90B6B" w14:textId="07B47856" w:rsidR="008A1239" w:rsidRPr="001276C9" w:rsidRDefault="000768B8" w:rsidP="008A4E23">
            <w:pPr>
              <w:pStyle w:val="Tabletext"/>
              <w:jc w:val="right"/>
              <w:rPr>
                <w:lang w:eastAsia="en-AU"/>
              </w:rPr>
            </w:pPr>
            <w:r w:rsidRPr="001276C9">
              <w:rPr>
                <w:lang w:eastAsia="en-AU"/>
              </w:rPr>
              <w:t>1</w:t>
            </w:r>
            <w:r w:rsidR="001B5DF3" w:rsidRPr="001276C9">
              <w:rPr>
                <w:lang w:eastAsia="en-AU"/>
              </w:rPr>
              <w:t>3</w:t>
            </w:r>
          </w:p>
        </w:tc>
        <w:tc>
          <w:tcPr>
            <w:tcW w:w="2268" w:type="dxa"/>
            <w:shd w:val="clear" w:color="auto" w:fill="FFFFFF" w:themeFill="background1"/>
          </w:tcPr>
          <w:p w14:paraId="0297FD96" w14:textId="4F4F621E" w:rsidR="008A1239" w:rsidRPr="001276C9" w:rsidRDefault="000768B8" w:rsidP="008A4E23">
            <w:pPr>
              <w:pStyle w:val="Tabletext"/>
              <w:jc w:val="right"/>
            </w:pPr>
            <w:r w:rsidRPr="001276C9">
              <w:t>29</w:t>
            </w:r>
            <w:r w:rsidR="005F09D0" w:rsidRPr="001276C9">
              <w:t>9</w:t>
            </w:r>
          </w:p>
        </w:tc>
      </w:tr>
      <w:tr w:rsidR="009160E4" w:rsidRPr="001276C9" w14:paraId="6E455AB9" w14:textId="77777777" w:rsidTr="001276C9">
        <w:trPr>
          <w:cnfStyle w:val="000000010000" w:firstRow="0" w:lastRow="0" w:firstColumn="0" w:lastColumn="0" w:oddVBand="0" w:evenVBand="0" w:oddHBand="0" w:evenHBand="1" w:firstRowFirstColumn="0" w:firstRowLastColumn="0" w:lastRowFirstColumn="0" w:lastRowLastColumn="0"/>
          <w:trHeight w:val="336"/>
          <w:jc w:val="center"/>
        </w:trPr>
        <w:tc>
          <w:tcPr>
            <w:tcW w:w="964" w:type="dxa"/>
            <w:shd w:val="clear" w:color="auto" w:fill="DEE8F1"/>
          </w:tcPr>
          <w:p w14:paraId="33D4021A" w14:textId="77777777" w:rsidR="008A1239" w:rsidRPr="001276C9" w:rsidRDefault="008A1239" w:rsidP="007E589F">
            <w:pPr>
              <w:pStyle w:val="Tabletext"/>
              <w:rPr>
                <w:lang w:eastAsia="en-AU"/>
              </w:rPr>
            </w:pPr>
            <w:r w:rsidRPr="001276C9">
              <w:rPr>
                <w:i/>
                <w:iCs/>
                <w:lang w:eastAsia="en-AU"/>
              </w:rPr>
              <w:t>t</w:t>
            </w:r>
            <w:r w:rsidRPr="001276C9">
              <w:rPr>
                <w:lang w:eastAsia="en-AU"/>
              </w:rPr>
              <w:t xml:space="preserve"> = 3</w:t>
            </w:r>
          </w:p>
        </w:tc>
        <w:tc>
          <w:tcPr>
            <w:tcW w:w="236" w:type="dxa"/>
            <w:shd w:val="clear" w:color="auto" w:fill="DEE8F1"/>
          </w:tcPr>
          <w:p w14:paraId="67617696" w14:textId="77777777" w:rsidR="008A1239" w:rsidRPr="001276C9" w:rsidRDefault="008A1239" w:rsidP="007E589F">
            <w:pPr>
              <w:pStyle w:val="Tabletext"/>
              <w:rPr>
                <w:lang w:eastAsia="en-AU"/>
              </w:rPr>
            </w:pPr>
          </w:p>
        </w:tc>
        <w:tc>
          <w:tcPr>
            <w:tcW w:w="2268" w:type="dxa"/>
            <w:shd w:val="clear" w:color="auto" w:fill="DEE8F1"/>
          </w:tcPr>
          <w:p w14:paraId="210F3BD9" w14:textId="46CF34C2" w:rsidR="008A1239" w:rsidRPr="001276C9" w:rsidRDefault="00995EE5" w:rsidP="008A4E23">
            <w:pPr>
              <w:pStyle w:val="Tabletext"/>
              <w:jc w:val="right"/>
              <w:rPr>
                <w:lang w:eastAsia="en-AU"/>
              </w:rPr>
            </w:pPr>
            <w:r w:rsidRPr="001276C9">
              <w:rPr>
                <w:lang w:eastAsia="en-AU"/>
              </w:rPr>
              <w:t>n/a</w:t>
            </w:r>
          </w:p>
        </w:tc>
        <w:tc>
          <w:tcPr>
            <w:tcW w:w="2268" w:type="dxa"/>
            <w:shd w:val="clear" w:color="auto" w:fill="DEE8F1"/>
          </w:tcPr>
          <w:p w14:paraId="6077C820" w14:textId="19B0CDD0" w:rsidR="008A1239" w:rsidRPr="001276C9" w:rsidRDefault="000768B8" w:rsidP="008A4E23">
            <w:pPr>
              <w:pStyle w:val="Tabletext"/>
              <w:jc w:val="right"/>
            </w:pPr>
            <w:r w:rsidRPr="001276C9">
              <w:t>24</w:t>
            </w:r>
            <w:r w:rsidR="005F09D0" w:rsidRPr="001276C9">
              <w:t>4</w:t>
            </w:r>
          </w:p>
        </w:tc>
      </w:tr>
      <w:tr w:rsidR="009160E4" w:rsidRPr="001276C9" w14:paraId="3693EC94" w14:textId="77777777" w:rsidTr="001276C9">
        <w:trPr>
          <w:cnfStyle w:val="000000100000" w:firstRow="0" w:lastRow="0" w:firstColumn="0" w:lastColumn="0" w:oddVBand="0" w:evenVBand="0" w:oddHBand="1" w:evenHBand="0" w:firstRowFirstColumn="0" w:firstRowLastColumn="0" w:lastRowFirstColumn="0" w:lastRowLastColumn="0"/>
          <w:trHeight w:val="336"/>
          <w:jc w:val="center"/>
        </w:trPr>
        <w:tc>
          <w:tcPr>
            <w:tcW w:w="964" w:type="dxa"/>
            <w:shd w:val="clear" w:color="auto" w:fill="FFFFFF" w:themeFill="background1"/>
          </w:tcPr>
          <w:p w14:paraId="75B66902" w14:textId="77777777" w:rsidR="008A1239" w:rsidRPr="001276C9" w:rsidRDefault="008A1239" w:rsidP="007E589F">
            <w:pPr>
              <w:pStyle w:val="Tabletext"/>
              <w:rPr>
                <w:lang w:eastAsia="en-AU"/>
              </w:rPr>
            </w:pPr>
            <w:r w:rsidRPr="001276C9">
              <w:rPr>
                <w:i/>
                <w:iCs/>
                <w:lang w:eastAsia="en-AU"/>
              </w:rPr>
              <w:t>t</w:t>
            </w:r>
            <w:r w:rsidRPr="001276C9">
              <w:rPr>
                <w:lang w:eastAsia="en-AU"/>
              </w:rPr>
              <w:t xml:space="preserve"> = 4</w:t>
            </w:r>
          </w:p>
        </w:tc>
        <w:tc>
          <w:tcPr>
            <w:tcW w:w="236" w:type="dxa"/>
            <w:shd w:val="clear" w:color="auto" w:fill="FFFFFF" w:themeFill="background1"/>
          </w:tcPr>
          <w:p w14:paraId="71E77107" w14:textId="77777777" w:rsidR="008A1239" w:rsidRPr="001276C9" w:rsidRDefault="008A1239" w:rsidP="007E589F">
            <w:pPr>
              <w:pStyle w:val="Tabletext"/>
              <w:rPr>
                <w:lang w:eastAsia="en-AU"/>
              </w:rPr>
            </w:pPr>
          </w:p>
        </w:tc>
        <w:tc>
          <w:tcPr>
            <w:tcW w:w="2268" w:type="dxa"/>
            <w:shd w:val="clear" w:color="auto" w:fill="FFFFFF" w:themeFill="background1"/>
          </w:tcPr>
          <w:p w14:paraId="56E80AC2" w14:textId="1BE01939" w:rsidR="008A1239" w:rsidRPr="001276C9" w:rsidRDefault="00995EE5" w:rsidP="008A4E23">
            <w:pPr>
              <w:pStyle w:val="Tabletext"/>
              <w:jc w:val="right"/>
              <w:rPr>
                <w:lang w:eastAsia="en-AU"/>
              </w:rPr>
            </w:pPr>
            <w:r w:rsidRPr="001276C9">
              <w:rPr>
                <w:lang w:eastAsia="en-AU"/>
              </w:rPr>
              <w:t>n/a</w:t>
            </w:r>
          </w:p>
        </w:tc>
        <w:tc>
          <w:tcPr>
            <w:tcW w:w="2268" w:type="dxa"/>
            <w:shd w:val="clear" w:color="auto" w:fill="FFFFFF" w:themeFill="background1"/>
          </w:tcPr>
          <w:p w14:paraId="1EF1A000" w14:textId="369B5584" w:rsidR="008A1239" w:rsidRPr="001276C9" w:rsidRDefault="000768B8" w:rsidP="008A4E23">
            <w:pPr>
              <w:pStyle w:val="Tabletext"/>
              <w:jc w:val="right"/>
            </w:pPr>
            <w:r w:rsidRPr="001276C9">
              <w:t>1</w:t>
            </w:r>
            <w:r w:rsidR="005F09D0" w:rsidRPr="001276C9">
              <w:t>41</w:t>
            </w:r>
          </w:p>
        </w:tc>
      </w:tr>
      <w:tr w:rsidR="009160E4" w:rsidRPr="001276C9" w14:paraId="6841E29B" w14:textId="77777777" w:rsidTr="001276C9">
        <w:trPr>
          <w:cnfStyle w:val="000000010000" w:firstRow="0" w:lastRow="0" w:firstColumn="0" w:lastColumn="0" w:oddVBand="0" w:evenVBand="0" w:oddHBand="0" w:evenHBand="1" w:firstRowFirstColumn="0" w:firstRowLastColumn="0" w:lastRowFirstColumn="0" w:lastRowLastColumn="0"/>
          <w:trHeight w:val="336"/>
          <w:jc w:val="center"/>
        </w:trPr>
        <w:tc>
          <w:tcPr>
            <w:tcW w:w="964" w:type="dxa"/>
            <w:shd w:val="clear" w:color="auto" w:fill="DEE8F1"/>
          </w:tcPr>
          <w:p w14:paraId="63E7B5AB" w14:textId="77777777" w:rsidR="008A1239" w:rsidRPr="001276C9" w:rsidRDefault="008A1239" w:rsidP="007E589F">
            <w:pPr>
              <w:pStyle w:val="Tabletext"/>
              <w:rPr>
                <w:lang w:eastAsia="en-AU"/>
              </w:rPr>
            </w:pPr>
            <w:r w:rsidRPr="001276C9">
              <w:rPr>
                <w:i/>
                <w:iCs/>
                <w:lang w:eastAsia="en-AU"/>
              </w:rPr>
              <w:t>t</w:t>
            </w:r>
            <w:r w:rsidRPr="001276C9">
              <w:rPr>
                <w:lang w:eastAsia="en-AU"/>
              </w:rPr>
              <w:t xml:space="preserve"> = 5</w:t>
            </w:r>
          </w:p>
        </w:tc>
        <w:tc>
          <w:tcPr>
            <w:tcW w:w="236" w:type="dxa"/>
            <w:shd w:val="clear" w:color="auto" w:fill="DEE8F1"/>
          </w:tcPr>
          <w:p w14:paraId="4B313B09" w14:textId="77777777" w:rsidR="008A1239" w:rsidRPr="001276C9" w:rsidRDefault="008A1239" w:rsidP="007E589F">
            <w:pPr>
              <w:pStyle w:val="Tabletext"/>
              <w:rPr>
                <w:lang w:eastAsia="en-AU"/>
              </w:rPr>
            </w:pPr>
          </w:p>
        </w:tc>
        <w:tc>
          <w:tcPr>
            <w:tcW w:w="2268" w:type="dxa"/>
            <w:shd w:val="clear" w:color="auto" w:fill="DEE8F1"/>
          </w:tcPr>
          <w:p w14:paraId="3AB2A0E9" w14:textId="49634875" w:rsidR="008A1239" w:rsidRPr="001276C9" w:rsidRDefault="00995EE5" w:rsidP="008A4E23">
            <w:pPr>
              <w:pStyle w:val="Tabletext"/>
              <w:jc w:val="right"/>
              <w:rPr>
                <w:lang w:eastAsia="en-AU"/>
              </w:rPr>
            </w:pPr>
            <w:r w:rsidRPr="001276C9">
              <w:rPr>
                <w:lang w:eastAsia="en-AU"/>
              </w:rPr>
              <w:t>n/a</w:t>
            </w:r>
          </w:p>
        </w:tc>
        <w:tc>
          <w:tcPr>
            <w:tcW w:w="2268" w:type="dxa"/>
            <w:shd w:val="clear" w:color="auto" w:fill="DEE8F1"/>
          </w:tcPr>
          <w:p w14:paraId="71D3DFE9" w14:textId="5AEDB651" w:rsidR="008A1239" w:rsidRPr="001276C9" w:rsidRDefault="005F09D0" w:rsidP="008A4E23">
            <w:pPr>
              <w:pStyle w:val="Tabletext"/>
              <w:jc w:val="right"/>
            </w:pPr>
            <w:r w:rsidRPr="001276C9">
              <w:t>53</w:t>
            </w:r>
          </w:p>
        </w:tc>
      </w:tr>
      <w:tr w:rsidR="009160E4" w:rsidRPr="001276C9" w14:paraId="2A47062D" w14:textId="77777777" w:rsidTr="001276C9">
        <w:trPr>
          <w:cnfStyle w:val="000000100000" w:firstRow="0" w:lastRow="0" w:firstColumn="0" w:lastColumn="0" w:oddVBand="0" w:evenVBand="0" w:oddHBand="1" w:evenHBand="0" w:firstRowFirstColumn="0" w:firstRowLastColumn="0" w:lastRowFirstColumn="0" w:lastRowLastColumn="0"/>
          <w:trHeight w:val="336"/>
          <w:jc w:val="center"/>
        </w:trPr>
        <w:tc>
          <w:tcPr>
            <w:tcW w:w="964" w:type="dxa"/>
            <w:shd w:val="clear" w:color="auto" w:fill="FFFFFF" w:themeFill="background1"/>
          </w:tcPr>
          <w:p w14:paraId="429F42FA" w14:textId="77777777" w:rsidR="008A1239" w:rsidRPr="001276C9" w:rsidRDefault="008A1239" w:rsidP="007E589F">
            <w:pPr>
              <w:pStyle w:val="Tabletext"/>
              <w:rPr>
                <w:lang w:eastAsia="en-AU"/>
              </w:rPr>
            </w:pPr>
            <w:r w:rsidRPr="001276C9">
              <w:rPr>
                <w:i/>
                <w:iCs/>
                <w:lang w:eastAsia="en-AU"/>
              </w:rPr>
              <w:t>t</w:t>
            </w:r>
            <w:r w:rsidRPr="001276C9">
              <w:rPr>
                <w:lang w:eastAsia="en-AU"/>
              </w:rPr>
              <w:t xml:space="preserve"> = 6</w:t>
            </w:r>
          </w:p>
        </w:tc>
        <w:tc>
          <w:tcPr>
            <w:tcW w:w="236" w:type="dxa"/>
            <w:shd w:val="clear" w:color="auto" w:fill="FFFFFF" w:themeFill="background1"/>
          </w:tcPr>
          <w:p w14:paraId="72D95585" w14:textId="77777777" w:rsidR="008A1239" w:rsidRPr="001276C9" w:rsidRDefault="008A1239" w:rsidP="007E589F">
            <w:pPr>
              <w:pStyle w:val="Tabletext"/>
              <w:rPr>
                <w:lang w:eastAsia="en-AU"/>
              </w:rPr>
            </w:pPr>
          </w:p>
        </w:tc>
        <w:tc>
          <w:tcPr>
            <w:tcW w:w="2268" w:type="dxa"/>
            <w:shd w:val="clear" w:color="auto" w:fill="FFFFFF" w:themeFill="background1"/>
          </w:tcPr>
          <w:p w14:paraId="16B2D451" w14:textId="2A54B2C0" w:rsidR="008A1239" w:rsidRPr="001276C9" w:rsidRDefault="00995EE5" w:rsidP="008A4E23">
            <w:pPr>
              <w:pStyle w:val="Tabletext"/>
              <w:jc w:val="right"/>
              <w:rPr>
                <w:lang w:eastAsia="en-AU"/>
              </w:rPr>
            </w:pPr>
            <w:r w:rsidRPr="001276C9">
              <w:rPr>
                <w:lang w:eastAsia="en-AU"/>
              </w:rPr>
              <w:t>n/a</w:t>
            </w:r>
          </w:p>
        </w:tc>
        <w:tc>
          <w:tcPr>
            <w:tcW w:w="2268" w:type="dxa"/>
            <w:shd w:val="clear" w:color="auto" w:fill="FFFFFF" w:themeFill="background1"/>
          </w:tcPr>
          <w:p w14:paraId="6587EAC9" w14:textId="0A4A684C" w:rsidR="008A1239" w:rsidRPr="001276C9" w:rsidRDefault="005F09D0" w:rsidP="008A4E23">
            <w:pPr>
              <w:pStyle w:val="Tabletext"/>
              <w:jc w:val="right"/>
            </w:pPr>
            <w:r w:rsidRPr="001276C9">
              <w:t>9</w:t>
            </w:r>
          </w:p>
        </w:tc>
      </w:tr>
      <w:tr w:rsidR="009160E4" w:rsidRPr="001276C9" w14:paraId="3697B1D9" w14:textId="77777777" w:rsidTr="001276C9">
        <w:trPr>
          <w:cnfStyle w:val="000000010000" w:firstRow="0" w:lastRow="0" w:firstColumn="0" w:lastColumn="0" w:oddVBand="0" w:evenVBand="0" w:oddHBand="0" w:evenHBand="1" w:firstRowFirstColumn="0" w:firstRowLastColumn="0" w:lastRowFirstColumn="0" w:lastRowLastColumn="0"/>
          <w:trHeight w:val="336"/>
          <w:jc w:val="center"/>
        </w:trPr>
        <w:tc>
          <w:tcPr>
            <w:tcW w:w="964" w:type="dxa"/>
            <w:shd w:val="clear" w:color="auto" w:fill="DEE8F1"/>
          </w:tcPr>
          <w:p w14:paraId="01C4A812" w14:textId="77777777" w:rsidR="008A1239" w:rsidRPr="001276C9" w:rsidRDefault="008A1239" w:rsidP="007E589F">
            <w:pPr>
              <w:pStyle w:val="Tabletext"/>
              <w:rPr>
                <w:lang w:eastAsia="en-AU"/>
              </w:rPr>
            </w:pPr>
            <w:r w:rsidRPr="001276C9">
              <w:rPr>
                <w:i/>
                <w:iCs/>
                <w:lang w:eastAsia="en-AU"/>
              </w:rPr>
              <w:t>t</w:t>
            </w:r>
            <w:r w:rsidRPr="001276C9">
              <w:rPr>
                <w:lang w:eastAsia="en-AU"/>
              </w:rPr>
              <w:t xml:space="preserve"> = 7</w:t>
            </w:r>
          </w:p>
        </w:tc>
        <w:tc>
          <w:tcPr>
            <w:tcW w:w="236" w:type="dxa"/>
            <w:shd w:val="clear" w:color="auto" w:fill="DEE8F1"/>
          </w:tcPr>
          <w:p w14:paraId="70706519" w14:textId="77777777" w:rsidR="008A1239" w:rsidRPr="001276C9" w:rsidRDefault="008A1239" w:rsidP="007E589F">
            <w:pPr>
              <w:pStyle w:val="Tabletext"/>
              <w:rPr>
                <w:lang w:eastAsia="en-AU"/>
              </w:rPr>
            </w:pPr>
          </w:p>
        </w:tc>
        <w:tc>
          <w:tcPr>
            <w:tcW w:w="2268" w:type="dxa"/>
            <w:shd w:val="clear" w:color="auto" w:fill="DEE8F1"/>
          </w:tcPr>
          <w:p w14:paraId="22E35085" w14:textId="3D7201E6" w:rsidR="008A1239" w:rsidRPr="001276C9" w:rsidRDefault="008A1239" w:rsidP="008A4E23">
            <w:pPr>
              <w:pStyle w:val="Tabletext"/>
              <w:jc w:val="right"/>
              <w:rPr>
                <w:lang w:eastAsia="en-AU"/>
              </w:rPr>
            </w:pPr>
          </w:p>
        </w:tc>
        <w:tc>
          <w:tcPr>
            <w:tcW w:w="2268" w:type="dxa"/>
            <w:shd w:val="clear" w:color="auto" w:fill="DEE8F1"/>
          </w:tcPr>
          <w:p w14:paraId="0594C008" w14:textId="77777777" w:rsidR="008A1239" w:rsidRPr="001276C9" w:rsidRDefault="008A1239" w:rsidP="008A4E23">
            <w:pPr>
              <w:pStyle w:val="Tabletext"/>
              <w:jc w:val="right"/>
            </w:pPr>
          </w:p>
        </w:tc>
      </w:tr>
    </w:tbl>
    <w:p w14:paraId="23D87379" w14:textId="61604A71" w:rsidR="00DF3662" w:rsidRPr="001276C9" w:rsidRDefault="00DF3662" w:rsidP="00965177">
      <w:pPr>
        <w:pStyle w:val="Source"/>
        <w:spacing w:after="0"/>
        <w:rPr>
          <w:lang w:eastAsia="en-AU"/>
        </w:rPr>
      </w:pPr>
      <w:r w:rsidRPr="001276C9">
        <w:rPr>
          <w:lang w:eastAsia="en-AU"/>
        </w:rPr>
        <w:t xml:space="preserve">Notes: </w:t>
      </w:r>
      <w:r w:rsidR="00995EE5" w:rsidRPr="001276C9">
        <w:rPr>
          <w:lang w:eastAsia="en-AU"/>
        </w:rPr>
        <w:t>The R&amp;D Tax Concession was replaced by the R&amp;D Tax Incentive in 2011-12</w:t>
      </w:r>
      <w:r w:rsidR="00965177" w:rsidRPr="001276C9">
        <w:rPr>
          <w:lang w:eastAsia="en-AU"/>
        </w:rPr>
        <w:t xml:space="preserve">. </w:t>
      </w:r>
      <w:r w:rsidR="00965177" w:rsidRPr="001276C9">
        <w:rPr>
          <w:i/>
          <w:iCs/>
          <w:lang w:eastAsia="en-AU"/>
        </w:rPr>
        <w:t>t</w:t>
      </w:r>
      <w:r w:rsidR="00965177" w:rsidRPr="001276C9">
        <w:rPr>
          <w:lang w:eastAsia="en-AU"/>
        </w:rPr>
        <w:t xml:space="preserve"> = 0 is the year before the grant.</w:t>
      </w:r>
    </w:p>
    <w:p w14:paraId="748E9B7C" w14:textId="597B09E7" w:rsidR="008A1239" w:rsidRPr="001276C9" w:rsidRDefault="008A1239" w:rsidP="008A1239">
      <w:pPr>
        <w:pStyle w:val="Source"/>
        <w:rPr>
          <w:lang w:eastAsia="en-AU"/>
        </w:rPr>
      </w:pPr>
      <w:r w:rsidRPr="001276C9">
        <w:rPr>
          <w:lang w:eastAsia="en-AU"/>
        </w:rPr>
        <w:t xml:space="preserve">Source: Department of Industry, Innovation and Science (2018) </w:t>
      </w:r>
    </w:p>
    <w:p w14:paraId="4D77482E" w14:textId="20C1BBD4" w:rsidR="009965A6" w:rsidRPr="001276C9" w:rsidRDefault="003675CF" w:rsidP="006C58E9">
      <w:pPr>
        <w:pStyle w:val="BodyText"/>
      </w:pPr>
      <w:r w:rsidRPr="001276C9">
        <w:t xml:space="preserve">The notable pattern in Table 6.7 is that the number of R&amp;D </w:t>
      </w:r>
      <w:r w:rsidR="008D2D4B" w:rsidRPr="001276C9">
        <w:t>program</w:t>
      </w:r>
      <w:r w:rsidR="001B6098" w:rsidRPr="001276C9">
        <w:t xml:space="preserve"> </w:t>
      </w:r>
      <w:r w:rsidRPr="001276C9">
        <w:t xml:space="preserve">participants jumps </w:t>
      </w:r>
      <w:r w:rsidR="00F92470" w:rsidRPr="001276C9">
        <w:t xml:space="preserve">in </w:t>
      </w:r>
      <w:r w:rsidR="00B15CFD" w:rsidRPr="001276C9">
        <w:t xml:space="preserve">the </w:t>
      </w:r>
      <w:r w:rsidR="00F92470" w:rsidRPr="001276C9">
        <w:t xml:space="preserve">first </w:t>
      </w:r>
      <w:r w:rsidR="00B15CFD" w:rsidRPr="001276C9">
        <w:t xml:space="preserve">year </w:t>
      </w:r>
      <w:r w:rsidR="00F92470" w:rsidRPr="001276C9">
        <w:t xml:space="preserve">of </w:t>
      </w:r>
      <w:r w:rsidR="00B15CFD" w:rsidRPr="001276C9">
        <w:t>the grant (</w:t>
      </w:r>
      <w:r w:rsidR="00B15CFD" w:rsidRPr="001276C9">
        <w:rPr>
          <w:i/>
          <w:iCs/>
        </w:rPr>
        <w:t>t=</w:t>
      </w:r>
      <w:r w:rsidR="00B15CFD" w:rsidRPr="001276C9">
        <w:t xml:space="preserve">1) and afterwards. This pattern is most likely </w:t>
      </w:r>
      <w:r w:rsidR="0007701F" w:rsidRPr="001276C9">
        <w:t>driven by</w:t>
      </w:r>
      <w:r w:rsidR="00B15CFD" w:rsidRPr="001276C9">
        <w:t xml:space="preserve"> th</w:t>
      </w:r>
      <w:r w:rsidR="00412A4D" w:rsidRPr="001276C9">
        <w:t xml:space="preserve">e CA </w:t>
      </w:r>
      <w:r w:rsidR="00DB3566" w:rsidRPr="001276C9">
        <w:t xml:space="preserve">program </w:t>
      </w:r>
      <w:r w:rsidR="0007701F" w:rsidRPr="001276C9">
        <w:t>encouraging</w:t>
      </w:r>
      <w:r w:rsidR="00B15CFD" w:rsidRPr="001276C9">
        <w:t xml:space="preserve"> firms to invest more on R&amp;D (</w:t>
      </w:r>
      <w:r w:rsidR="00C238C2" w:rsidRPr="001276C9">
        <w:t xml:space="preserve">Table 6.3). By doing this, the firms </w:t>
      </w:r>
      <w:r w:rsidR="00823F6A" w:rsidRPr="001276C9">
        <w:t>are more likely</w:t>
      </w:r>
      <w:r w:rsidR="00C238C2" w:rsidRPr="001276C9">
        <w:t xml:space="preserve"> to cross the $20,00</w:t>
      </w:r>
      <w:r w:rsidR="00B15CFD" w:rsidRPr="001276C9">
        <w:t xml:space="preserve">0 threshold </w:t>
      </w:r>
      <w:r w:rsidR="00823F6A" w:rsidRPr="001276C9">
        <w:t>r</w:t>
      </w:r>
      <w:r w:rsidR="00CE079B" w:rsidRPr="001276C9">
        <w:t>equired by the R&amp;D</w:t>
      </w:r>
      <w:r w:rsidR="00823F6A" w:rsidRPr="001276C9">
        <w:t xml:space="preserve"> </w:t>
      </w:r>
      <w:r w:rsidR="008D2D4B" w:rsidRPr="001276C9">
        <w:t>program</w:t>
      </w:r>
      <w:r w:rsidR="00CE079B" w:rsidRPr="001276C9">
        <w:t>s</w:t>
      </w:r>
      <w:r w:rsidR="00BF6312" w:rsidRPr="001276C9">
        <w:t xml:space="preserve"> and be eligible for the associated tax rebates</w:t>
      </w:r>
      <w:r w:rsidR="00B15CFD" w:rsidRPr="001276C9">
        <w:t xml:space="preserve">. </w:t>
      </w:r>
    </w:p>
    <w:p w14:paraId="7797A71A" w14:textId="297EE4F3" w:rsidR="00C238C2" w:rsidRPr="001276C9" w:rsidRDefault="00C238C2" w:rsidP="006C58E9">
      <w:pPr>
        <w:pStyle w:val="BodyText"/>
      </w:pPr>
      <w:r w:rsidRPr="001276C9">
        <w:t xml:space="preserve">Again, the number of the CA </w:t>
      </w:r>
      <w:r w:rsidR="00DB3566" w:rsidRPr="001276C9">
        <w:t>participant</w:t>
      </w:r>
      <w:r w:rsidRPr="001276C9">
        <w:t xml:space="preserve">s registered for RDTC and RDTI tapers off </w:t>
      </w:r>
      <w:r w:rsidR="00D63992" w:rsidRPr="001276C9">
        <w:t xml:space="preserve">over </w:t>
      </w:r>
      <w:r w:rsidRPr="001276C9">
        <w:t xml:space="preserve">time. This decline in numbers could be because firms are reducing R&amp;D expenditures as a result of the product </w:t>
      </w:r>
      <w:r w:rsidR="006D38BF" w:rsidRPr="001276C9">
        <w:t>development concluding</w:t>
      </w:r>
      <w:r w:rsidRPr="001276C9">
        <w:t xml:space="preserve"> or simpl</w:t>
      </w:r>
      <w:r w:rsidR="006D38BF" w:rsidRPr="001276C9">
        <w:t>y</w:t>
      </w:r>
      <w:r w:rsidRPr="001276C9">
        <w:t xml:space="preserve"> because of time truncation. Future updates to the data will determine the </w:t>
      </w:r>
      <w:r w:rsidR="00C15402" w:rsidRPr="001276C9">
        <w:t xml:space="preserve">exact </w:t>
      </w:r>
      <w:r w:rsidRPr="001276C9">
        <w:t>caus</w:t>
      </w:r>
      <w:r w:rsidR="00393BBC" w:rsidRPr="001276C9">
        <w:t>e</w:t>
      </w:r>
      <w:r w:rsidRPr="001276C9">
        <w:t>.</w:t>
      </w:r>
    </w:p>
    <w:p w14:paraId="63A30670" w14:textId="03ADE6C6" w:rsidR="009965A6" w:rsidRPr="001276C9" w:rsidRDefault="00211165" w:rsidP="00211165">
      <w:pPr>
        <w:pStyle w:val="Heading2"/>
      </w:pPr>
      <w:r w:rsidRPr="001276C9">
        <w:t>Survival Rates</w:t>
      </w:r>
    </w:p>
    <w:p w14:paraId="25516AA1" w14:textId="35D3B77C" w:rsidR="009D7A6B" w:rsidRPr="001276C9" w:rsidRDefault="0005790F" w:rsidP="00211165">
      <w:pPr>
        <w:pStyle w:val="BodyText"/>
      </w:pPr>
      <w:r w:rsidRPr="001276C9">
        <w:t>As noted earlier, the majority of</w:t>
      </w:r>
      <w:r w:rsidR="000B39BB" w:rsidRPr="001276C9">
        <w:t xml:space="preserve"> CA </w:t>
      </w:r>
      <w:r w:rsidRPr="001276C9">
        <w:t>participants</w:t>
      </w:r>
      <w:r w:rsidR="000B39BB" w:rsidRPr="001276C9">
        <w:t xml:space="preserve"> </w:t>
      </w:r>
      <w:r w:rsidR="00CE55A4" w:rsidRPr="001276C9">
        <w:t>are</w:t>
      </w:r>
      <w:r w:rsidR="000B39BB" w:rsidRPr="001276C9">
        <w:t xml:space="preserve"> small and young firms. Bakhtiari (2017</w:t>
      </w:r>
      <w:r w:rsidR="00136F02" w:rsidRPr="001276C9">
        <w:t>b</w:t>
      </w:r>
      <w:r w:rsidR="000B39BB" w:rsidRPr="001276C9">
        <w:t>) shows that about a quarter of these firm</w:t>
      </w:r>
      <w:r w:rsidR="00015629" w:rsidRPr="001276C9">
        <w:t>s</w:t>
      </w:r>
      <w:r w:rsidR="000B39BB" w:rsidRPr="001276C9">
        <w:t xml:space="preserve"> fail and exit the market in the first three years. Consequently, one </w:t>
      </w:r>
      <w:r w:rsidR="002A1CE6" w:rsidRPr="001276C9">
        <w:t xml:space="preserve">basic </w:t>
      </w:r>
      <w:r w:rsidR="000B39BB" w:rsidRPr="001276C9">
        <w:t xml:space="preserve">measure of success for the CA </w:t>
      </w:r>
      <w:r w:rsidR="008D2D4B" w:rsidRPr="001276C9">
        <w:t>program</w:t>
      </w:r>
      <w:r w:rsidR="000B39BB" w:rsidRPr="001276C9">
        <w:t xml:space="preserve"> can be the rate of survival among the participant firms. </w:t>
      </w:r>
      <w:r w:rsidR="009D7A6B" w:rsidRPr="001276C9">
        <w:t xml:space="preserve"> </w:t>
      </w:r>
    </w:p>
    <w:p w14:paraId="4915E219" w14:textId="16566ACF" w:rsidR="00211165" w:rsidRPr="001276C9" w:rsidRDefault="00CE55A4" w:rsidP="00211165">
      <w:pPr>
        <w:pStyle w:val="BodyText"/>
      </w:pPr>
      <w:r w:rsidRPr="001276C9">
        <w:t>Analysis shows that m</w:t>
      </w:r>
      <w:r w:rsidR="00FF758F" w:rsidRPr="001276C9">
        <w:t xml:space="preserve">ost </w:t>
      </w:r>
      <w:r w:rsidR="00211165" w:rsidRPr="001276C9">
        <w:t xml:space="preserve">CA </w:t>
      </w:r>
      <w:r w:rsidR="001928FF" w:rsidRPr="001276C9">
        <w:t xml:space="preserve">participants </w:t>
      </w:r>
      <w:r w:rsidRPr="001276C9">
        <w:t>do</w:t>
      </w:r>
      <w:r w:rsidR="002A1CE6" w:rsidRPr="001276C9">
        <w:t xml:space="preserve"> </w:t>
      </w:r>
      <w:r w:rsidR="00FF758F" w:rsidRPr="001276C9">
        <w:t>survive</w:t>
      </w:r>
      <w:r w:rsidR="00887C7C" w:rsidRPr="001276C9">
        <w:t>. Overall,</w:t>
      </w:r>
      <w:r w:rsidR="00211165" w:rsidRPr="001276C9">
        <w:t xml:space="preserve"> </w:t>
      </w:r>
      <w:r w:rsidR="00D44604" w:rsidRPr="001276C9">
        <w:t>98.0</w:t>
      </w:r>
      <w:r w:rsidR="00211165" w:rsidRPr="001276C9">
        <w:t xml:space="preserve"> per cent of </w:t>
      </w:r>
      <w:r w:rsidR="000B39BB" w:rsidRPr="001276C9">
        <w:t xml:space="preserve">CA </w:t>
      </w:r>
      <w:r w:rsidRPr="001276C9">
        <w:t xml:space="preserve">participants </w:t>
      </w:r>
      <w:r w:rsidR="000B39BB" w:rsidRPr="001276C9">
        <w:t>survive</w:t>
      </w:r>
      <w:r w:rsidR="00211165" w:rsidRPr="001276C9">
        <w:t xml:space="preserve"> </w:t>
      </w:r>
      <w:r w:rsidR="00C33B0B" w:rsidRPr="001276C9">
        <w:t>and can still be observed by</w:t>
      </w:r>
      <w:r w:rsidR="00211165" w:rsidRPr="001276C9">
        <w:t xml:space="preserve"> 2014-15</w:t>
      </w:r>
      <w:r w:rsidR="00C33B0B" w:rsidRPr="001276C9">
        <w:t xml:space="preserve">, which is the last year of the </w:t>
      </w:r>
      <w:r w:rsidR="00015629" w:rsidRPr="001276C9">
        <w:t xml:space="preserve">available </w:t>
      </w:r>
      <w:r w:rsidR="00C33B0B" w:rsidRPr="001276C9">
        <w:t>data</w:t>
      </w:r>
      <w:r w:rsidR="00D554BB" w:rsidRPr="001276C9">
        <w:t xml:space="preserve"> (Table 6.8</w:t>
      </w:r>
      <w:r w:rsidR="00211165" w:rsidRPr="001276C9">
        <w:t>).</w:t>
      </w:r>
    </w:p>
    <w:p w14:paraId="678FAA01" w14:textId="5191B9A2" w:rsidR="00211165" w:rsidRPr="001276C9" w:rsidRDefault="00211165" w:rsidP="00211165">
      <w:pPr>
        <w:pStyle w:val="Caption"/>
      </w:pPr>
      <w:r w:rsidRPr="001276C9">
        <w:lastRenderedPageBreak/>
        <w:t xml:space="preserve">Table </w:t>
      </w:r>
      <w:r w:rsidR="00D554BB" w:rsidRPr="001276C9">
        <w:t>6.8</w:t>
      </w:r>
      <w:r w:rsidRPr="001276C9">
        <w:t xml:space="preserve"> </w:t>
      </w:r>
      <w:r w:rsidR="00F30F14" w:rsidRPr="001276C9">
        <w:t xml:space="preserve">The rate of survival among the CA </w:t>
      </w:r>
      <w:r w:rsidR="00DD6BB7" w:rsidRPr="001276C9">
        <w:t>participants.</w:t>
      </w:r>
    </w:p>
    <w:tbl>
      <w:tblPr>
        <w:tblStyle w:val="OCETable"/>
        <w:tblW w:w="4965" w:type="pct"/>
        <w:tblInd w:w="57" w:type="dxa"/>
        <w:tblLayout w:type="fixed"/>
        <w:tblLook w:val="04A0" w:firstRow="1" w:lastRow="0" w:firstColumn="1" w:lastColumn="0" w:noHBand="0" w:noVBand="1"/>
        <w:tblCaption w:val="Table 6.8"/>
        <w:tblDescription w:val="Overall, the survival rate among firms in all categories of participants is very high and close to hundred per cent."/>
      </w:tblPr>
      <w:tblGrid>
        <w:gridCol w:w="2070"/>
        <w:gridCol w:w="1354"/>
        <w:gridCol w:w="1711"/>
        <w:gridCol w:w="1711"/>
      </w:tblGrid>
      <w:tr w:rsidR="00211165" w:rsidRPr="001276C9" w14:paraId="25A8CFA0" w14:textId="77777777" w:rsidTr="00FF52B7">
        <w:trPr>
          <w:cnfStyle w:val="100000000000" w:firstRow="1" w:lastRow="0" w:firstColumn="0" w:lastColumn="0" w:oddVBand="0" w:evenVBand="0" w:oddHBand="0" w:evenHBand="0" w:firstRowFirstColumn="0" w:firstRowLastColumn="0" w:lastRowFirstColumn="0" w:lastRowLastColumn="0"/>
          <w:trHeight w:val="457"/>
          <w:tblHeader/>
        </w:trPr>
        <w:tc>
          <w:tcPr>
            <w:tcW w:w="2070" w:type="dxa"/>
          </w:tcPr>
          <w:p w14:paraId="0D79C8CD" w14:textId="77777777" w:rsidR="00211165" w:rsidRPr="001276C9" w:rsidRDefault="00211165" w:rsidP="00D63A8C">
            <w:pPr>
              <w:pStyle w:val="Tableheader"/>
              <w:rPr>
                <w:lang w:eastAsia="en-AU"/>
              </w:rPr>
            </w:pPr>
          </w:p>
        </w:tc>
        <w:tc>
          <w:tcPr>
            <w:tcW w:w="1354" w:type="dxa"/>
          </w:tcPr>
          <w:p w14:paraId="14190B2F" w14:textId="2C0E7A8B" w:rsidR="00211165" w:rsidRPr="001276C9" w:rsidRDefault="00211165" w:rsidP="008A4E23">
            <w:pPr>
              <w:pStyle w:val="Tableheader"/>
              <w:jc w:val="right"/>
              <w:rPr>
                <w:lang w:eastAsia="en-AU"/>
              </w:rPr>
            </w:pPr>
            <w:r w:rsidRPr="001276C9">
              <w:rPr>
                <w:lang w:eastAsia="en-AU"/>
              </w:rPr>
              <w:t>Count of firms</w:t>
            </w:r>
          </w:p>
        </w:tc>
        <w:tc>
          <w:tcPr>
            <w:tcW w:w="1711" w:type="dxa"/>
          </w:tcPr>
          <w:p w14:paraId="1FCED215" w14:textId="77777777" w:rsidR="00211165" w:rsidRPr="001276C9" w:rsidRDefault="00211165" w:rsidP="008A4E23">
            <w:pPr>
              <w:pStyle w:val="Tableheader"/>
              <w:jc w:val="right"/>
              <w:rPr>
                <w:lang w:eastAsia="en-AU"/>
              </w:rPr>
            </w:pPr>
            <w:r w:rsidRPr="001276C9">
              <w:rPr>
                <w:lang w:eastAsia="en-AU"/>
              </w:rPr>
              <w:t>Firms surviving up to 2014-15</w:t>
            </w:r>
          </w:p>
        </w:tc>
        <w:tc>
          <w:tcPr>
            <w:tcW w:w="1711" w:type="dxa"/>
            <w:vAlign w:val="center"/>
          </w:tcPr>
          <w:p w14:paraId="5C5E3875" w14:textId="428000C9" w:rsidR="00211165" w:rsidRPr="001276C9" w:rsidRDefault="00211165" w:rsidP="00FF52B7">
            <w:pPr>
              <w:pStyle w:val="Tableheader"/>
              <w:jc w:val="right"/>
              <w:rPr>
                <w:lang w:eastAsia="en-AU"/>
              </w:rPr>
            </w:pPr>
            <w:r w:rsidRPr="001276C9">
              <w:rPr>
                <w:lang w:eastAsia="en-AU"/>
              </w:rPr>
              <w:t>Survival rate</w:t>
            </w:r>
          </w:p>
        </w:tc>
      </w:tr>
      <w:tr w:rsidR="00211165" w:rsidRPr="001276C9" w14:paraId="74AB51E6" w14:textId="77777777" w:rsidTr="001276C9">
        <w:trPr>
          <w:cnfStyle w:val="000000100000" w:firstRow="0" w:lastRow="0" w:firstColumn="0" w:lastColumn="0" w:oddVBand="0" w:evenVBand="0" w:oddHBand="1" w:evenHBand="0" w:firstRowFirstColumn="0" w:firstRowLastColumn="0" w:lastRowFirstColumn="0" w:lastRowLastColumn="0"/>
          <w:trHeight w:val="336"/>
        </w:trPr>
        <w:tc>
          <w:tcPr>
            <w:tcW w:w="2070" w:type="dxa"/>
            <w:shd w:val="clear" w:color="auto" w:fill="FFFFFF" w:themeFill="background1"/>
            <w:vAlign w:val="center"/>
          </w:tcPr>
          <w:p w14:paraId="5831EEE9" w14:textId="5E8B6234" w:rsidR="00211165" w:rsidRPr="001276C9" w:rsidRDefault="00211165" w:rsidP="009160E4">
            <w:pPr>
              <w:pStyle w:val="Tabletext"/>
              <w:jc w:val="right"/>
              <w:rPr>
                <w:lang w:eastAsia="en-AU"/>
              </w:rPr>
            </w:pPr>
            <w:r w:rsidRPr="001276C9">
              <w:rPr>
                <w:lang w:eastAsia="en-AU"/>
              </w:rPr>
              <w:t xml:space="preserve">All </w:t>
            </w:r>
          </w:p>
        </w:tc>
        <w:tc>
          <w:tcPr>
            <w:tcW w:w="1354" w:type="dxa"/>
            <w:shd w:val="clear" w:color="auto" w:fill="FFFFFF" w:themeFill="background1"/>
            <w:vAlign w:val="center"/>
          </w:tcPr>
          <w:p w14:paraId="0EA74CEB" w14:textId="77777777" w:rsidR="00211165" w:rsidRPr="001276C9" w:rsidRDefault="00211165" w:rsidP="009160E4">
            <w:pPr>
              <w:pStyle w:val="Tabletext"/>
              <w:jc w:val="right"/>
              <w:rPr>
                <w:lang w:eastAsia="en-AU"/>
              </w:rPr>
            </w:pPr>
            <w:r w:rsidRPr="001276C9">
              <w:rPr>
                <w:lang w:eastAsia="en-AU"/>
              </w:rPr>
              <w:t>552</w:t>
            </w:r>
          </w:p>
        </w:tc>
        <w:tc>
          <w:tcPr>
            <w:tcW w:w="1711" w:type="dxa"/>
            <w:shd w:val="clear" w:color="auto" w:fill="FFFFFF" w:themeFill="background1"/>
            <w:vAlign w:val="center"/>
          </w:tcPr>
          <w:p w14:paraId="433E98E8" w14:textId="769529E4" w:rsidR="00211165" w:rsidRPr="001276C9" w:rsidRDefault="00F24610" w:rsidP="009160E4">
            <w:pPr>
              <w:pStyle w:val="Tabletext"/>
              <w:jc w:val="right"/>
              <w:rPr>
                <w:lang w:eastAsia="en-AU"/>
              </w:rPr>
            </w:pPr>
            <w:r w:rsidRPr="001276C9">
              <w:rPr>
                <w:lang w:eastAsia="en-AU"/>
              </w:rPr>
              <w:t>541</w:t>
            </w:r>
          </w:p>
        </w:tc>
        <w:tc>
          <w:tcPr>
            <w:tcW w:w="1711" w:type="dxa"/>
            <w:shd w:val="clear" w:color="auto" w:fill="FFFFFF" w:themeFill="background1"/>
            <w:vAlign w:val="center"/>
          </w:tcPr>
          <w:p w14:paraId="537CC556" w14:textId="6B9AED5D" w:rsidR="00211165" w:rsidRPr="001276C9" w:rsidRDefault="002F0A72" w:rsidP="009160E4">
            <w:pPr>
              <w:pStyle w:val="Tabletext"/>
              <w:jc w:val="right"/>
              <w:rPr>
                <w:lang w:eastAsia="en-AU"/>
              </w:rPr>
            </w:pPr>
            <w:r w:rsidRPr="001276C9">
              <w:rPr>
                <w:lang w:eastAsia="en-AU"/>
              </w:rPr>
              <w:t>98.0</w:t>
            </w:r>
          </w:p>
        </w:tc>
      </w:tr>
      <w:tr w:rsidR="00211165" w:rsidRPr="001276C9" w14:paraId="7282B8C4" w14:textId="77777777" w:rsidTr="001276C9">
        <w:trPr>
          <w:cnfStyle w:val="000000010000" w:firstRow="0" w:lastRow="0" w:firstColumn="0" w:lastColumn="0" w:oddVBand="0" w:evenVBand="0" w:oddHBand="0" w:evenHBand="1" w:firstRowFirstColumn="0" w:firstRowLastColumn="0" w:lastRowFirstColumn="0" w:lastRowLastColumn="0"/>
          <w:trHeight w:val="336"/>
        </w:trPr>
        <w:tc>
          <w:tcPr>
            <w:tcW w:w="2070" w:type="dxa"/>
            <w:shd w:val="clear" w:color="auto" w:fill="DEE8F1"/>
            <w:vAlign w:val="center"/>
          </w:tcPr>
          <w:p w14:paraId="6B71E6B4" w14:textId="77777777" w:rsidR="00211165" w:rsidRPr="001276C9" w:rsidRDefault="00211165" w:rsidP="009160E4">
            <w:pPr>
              <w:pStyle w:val="Tabletext"/>
              <w:jc w:val="right"/>
              <w:rPr>
                <w:lang w:eastAsia="en-AU"/>
              </w:rPr>
            </w:pPr>
            <w:r w:rsidRPr="001276C9">
              <w:rPr>
                <w:lang w:eastAsia="en-AU"/>
              </w:rPr>
              <w:t xml:space="preserve">Manufacturing </w:t>
            </w:r>
          </w:p>
        </w:tc>
        <w:tc>
          <w:tcPr>
            <w:tcW w:w="1354" w:type="dxa"/>
            <w:shd w:val="clear" w:color="auto" w:fill="DEE8F1"/>
            <w:vAlign w:val="center"/>
          </w:tcPr>
          <w:p w14:paraId="0BAC74DD" w14:textId="256A3B14" w:rsidR="00211165" w:rsidRPr="001276C9" w:rsidRDefault="00F24610" w:rsidP="009160E4">
            <w:pPr>
              <w:pStyle w:val="Tabletext"/>
              <w:jc w:val="right"/>
              <w:rPr>
                <w:lang w:eastAsia="en-AU"/>
              </w:rPr>
            </w:pPr>
            <w:r w:rsidRPr="001276C9">
              <w:rPr>
                <w:lang w:eastAsia="en-AU"/>
              </w:rPr>
              <w:t>121</w:t>
            </w:r>
          </w:p>
        </w:tc>
        <w:tc>
          <w:tcPr>
            <w:tcW w:w="1711" w:type="dxa"/>
            <w:shd w:val="clear" w:color="auto" w:fill="DEE8F1"/>
            <w:vAlign w:val="center"/>
          </w:tcPr>
          <w:p w14:paraId="720C044B" w14:textId="079D0D7A" w:rsidR="00211165" w:rsidRPr="001276C9" w:rsidRDefault="00F24610" w:rsidP="009160E4">
            <w:pPr>
              <w:pStyle w:val="Tabletext"/>
              <w:jc w:val="right"/>
              <w:rPr>
                <w:lang w:eastAsia="en-AU"/>
              </w:rPr>
            </w:pPr>
            <w:r w:rsidRPr="001276C9">
              <w:rPr>
                <w:lang w:eastAsia="en-AU"/>
              </w:rPr>
              <w:t>121</w:t>
            </w:r>
          </w:p>
        </w:tc>
        <w:tc>
          <w:tcPr>
            <w:tcW w:w="1711" w:type="dxa"/>
            <w:shd w:val="clear" w:color="auto" w:fill="DEE8F1"/>
            <w:vAlign w:val="center"/>
          </w:tcPr>
          <w:p w14:paraId="520DB26C" w14:textId="2C365609" w:rsidR="00211165" w:rsidRPr="001276C9" w:rsidRDefault="002F0A72" w:rsidP="009160E4">
            <w:pPr>
              <w:pStyle w:val="Tabletext"/>
              <w:jc w:val="right"/>
              <w:rPr>
                <w:lang w:eastAsia="en-AU"/>
              </w:rPr>
            </w:pPr>
            <w:r w:rsidRPr="001276C9">
              <w:rPr>
                <w:lang w:eastAsia="en-AU"/>
              </w:rPr>
              <w:t>100.0</w:t>
            </w:r>
          </w:p>
        </w:tc>
      </w:tr>
      <w:tr w:rsidR="00211165" w:rsidRPr="001276C9" w14:paraId="6AC1EEA1" w14:textId="77777777" w:rsidTr="001276C9">
        <w:trPr>
          <w:cnfStyle w:val="000000100000" w:firstRow="0" w:lastRow="0" w:firstColumn="0" w:lastColumn="0" w:oddVBand="0" w:evenVBand="0" w:oddHBand="1" w:evenHBand="0" w:firstRowFirstColumn="0" w:firstRowLastColumn="0" w:lastRowFirstColumn="0" w:lastRowLastColumn="0"/>
          <w:trHeight w:val="327"/>
        </w:trPr>
        <w:tc>
          <w:tcPr>
            <w:tcW w:w="2070" w:type="dxa"/>
            <w:shd w:val="clear" w:color="auto" w:fill="FFFFFF" w:themeFill="background1"/>
            <w:vAlign w:val="center"/>
          </w:tcPr>
          <w:p w14:paraId="1BF727BF" w14:textId="77777777" w:rsidR="00211165" w:rsidRPr="001276C9" w:rsidRDefault="00211165" w:rsidP="009160E4">
            <w:pPr>
              <w:pStyle w:val="Tabletext"/>
              <w:jc w:val="right"/>
              <w:rPr>
                <w:lang w:eastAsia="en-AU"/>
              </w:rPr>
            </w:pPr>
            <w:r w:rsidRPr="001276C9">
              <w:rPr>
                <w:lang w:eastAsia="en-AU"/>
              </w:rPr>
              <w:t>Prof. Scientific and Tech. Services</w:t>
            </w:r>
          </w:p>
        </w:tc>
        <w:tc>
          <w:tcPr>
            <w:tcW w:w="1354" w:type="dxa"/>
            <w:shd w:val="clear" w:color="auto" w:fill="FFFFFF" w:themeFill="background1"/>
            <w:vAlign w:val="center"/>
          </w:tcPr>
          <w:p w14:paraId="73BC9DA1" w14:textId="6C0C3FBA" w:rsidR="00211165" w:rsidRPr="001276C9" w:rsidRDefault="00F24610" w:rsidP="009160E4">
            <w:pPr>
              <w:pStyle w:val="Tabletext"/>
              <w:jc w:val="right"/>
              <w:rPr>
                <w:lang w:eastAsia="en-AU"/>
              </w:rPr>
            </w:pPr>
            <w:r w:rsidRPr="001276C9">
              <w:rPr>
                <w:lang w:eastAsia="en-AU"/>
              </w:rPr>
              <w:t>231</w:t>
            </w:r>
          </w:p>
        </w:tc>
        <w:tc>
          <w:tcPr>
            <w:tcW w:w="1711" w:type="dxa"/>
            <w:shd w:val="clear" w:color="auto" w:fill="FFFFFF" w:themeFill="background1"/>
            <w:vAlign w:val="center"/>
          </w:tcPr>
          <w:p w14:paraId="25F82220" w14:textId="787D6AA9" w:rsidR="00211165" w:rsidRPr="001276C9" w:rsidRDefault="00F24610" w:rsidP="009160E4">
            <w:pPr>
              <w:pStyle w:val="Tabletext"/>
              <w:jc w:val="right"/>
            </w:pPr>
            <w:r w:rsidRPr="001276C9">
              <w:t>226</w:t>
            </w:r>
          </w:p>
        </w:tc>
        <w:tc>
          <w:tcPr>
            <w:tcW w:w="1711" w:type="dxa"/>
            <w:shd w:val="clear" w:color="auto" w:fill="FFFFFF" w:themeFill="background1"/>
            <w:vAlign w:val="center"/>
          </w:tcPr>
          <w:p w14:paraId="3B41EA2F" w14:textId="23DB9952" w:rsidR="00211165" w:rsidRPr="001276C9" w:rsidRDefault="002F0A72" w:rsidP="009160E4">
            <w:pPr>
              <w:pStyle w:val="Tabletext"/>
              <w:jc w:val="right"/>
            </w:pPr>
            <w:r w:rsidRPr="001276C9">
              <w:t>97.8</w:t>
            </w:r>
          </w:p>
        </w:tc>
      </w:tr>
      <w:tr w:rsidR="00211165" w:rsidRPr="001276C9" w14:paraId="16A37F01" w14:textId="77777777" w:rsidTr="001276C9">
        <w:trPr>
          <w:cnfStyle w:val="000000010000" w:firstRow="0" w:lastRow="0" w:firstColumn="0" w:lastColumn="0" w:oddVBand="0" w:evenVBand="0" w:oddHBand="0" w:evenHBand="1" w:firstRowFirstColumn="0" w:firstRowLastColumn="0" w:lastRowFirstColumn="0" w:lastRowLastColumn="0"/>
          <w:trHeight w:val="336"/>
        </w:trPr>
        <w:tc>
          <w:tcPr>
            <w:tcW w:w="2070" w:type="dxa"/>
            <w:shd w:val="clear" w:color="auto" w:fill="DEE8F1"/>
            <w:vAlign w:val="center"/>
          </w:tcPr>
          <w:p w14:paraId="2CEC835C" w14:textId="77777777" w:rsidR="00211165" w:rsidRPr="001276C9" w:rsidRDefault="00211165" w:rsidP="009160E4">
            <w:pPr>
              <w:pStyle w:val="Tabletext"/>
              <w:jc w:val="right"/>
              <w:rPr>
                <w:lang w:eastAsia="en-AU"/>
              </w:rPr>
            </w:pPr>
            <w:r w:rsidRPr="001276C9">
              <w:rPr>
                <w:lang w:eastAsia="en-AU"/>
              </w:rPr>
              <w:t>Other industries</w:t>
            </w:r>
          </w:p>
        </w:tc>
        <w:tc>
          <w:tcPr>
            <w:tcW w:w="1354" w:type="dxa"/>
            <w:shd w:val="clear" w:color="auto" w:fill="DEE8F1"/>
            <w:vAlign w:val="center"/>
          </w:tcPr>
          <w:p w14:paraId="08783758" w14:textId="01B0B8D5" w:rsidR="00211165" w:rsidRPr="001276C9" w:rsidRDefault="00F24610" w:rsidP="009160E4">
            <w:pPr>
              <w:pStyle w:val="Tabletext"/>
              <w:jc w:val="right"/>
              <w:rPr>
                <w:lang w:eastAsia="en-AU"/>
              </w:rPr>
            </w:pPr>
            <w:r w:rsidRPr="001276C9">
              <w:rPr>
                <w:lang w:eastAsia="en-AU"/>
              </w:rPr>
              <w:t>200</w:t>
            </w:r>
          </w:p>
        </w:tc>
        <w:tc>
          <w:tcPr>
            <w:tcW w:w="1711" w:type="dxa"/>
            <w:shd w:val="clear" w:color="auto" w:fill="DEE8F1"/>
            <w:vAlign w:val="center"/>
          </w:tcPr>
          <w:p w14:paraId="06EFD30F" w14:textId="5AA02A99" w:rsidR="00211165" w:rsidRPr="001276C9" w:rsidRDefault="00F24610" w:rsidP="009160E4">
            <w:pPr>
              <w:pStyle w:val="Tabletext"/>
              <w:jc w:val="right"/>
            </w:pPr>
            <w:r w:rsidRPr="001276C9">
              <w:t>194</w:t>
            </w:r>
          </w:p>
        </w:tc>
        <w:tc>
          <w:tcPr>
            <w:tcW w:w="1711" w:type="dxa"/>
            <w:shd w:val="clear" w:color="auto" w:fill="DEE8F1"/>
            <w:vAlign w:val="center"/>
          </w:tcPr>
          <w:p w14:paraId="3980A0BF" w14:textId="7C5A59B0" w:rsidR="00211165" w:rsidRPr="001276C9" w:rsidRDefault="002F0A72" w:rsidP="009160E4">
            <w:pPr>
              <w:pStyle w:val="Tabletext"/>
              <w:jc w:val="right"/>
            </w:pPr>
            <w:r w:rsidRPr="001276C9">
              <w:t>97.0</w:t>
            </w:r>
          </w:p>
        </w:tc>
      </w:tr>
    </w:tbl>
    <w:p w14:paraId="194C0502" w14:textId="77777777" w:rsidR="00211165" w:rsidRPr="001276C9" w:rsidRDefault="00211165" w:rsidP="00211165">
      <w:pPr>
        <w:pStyle w:val="Source"/>
        <w:rPr>
          <w:lang w:eastAsia="en-AU"/>
        </w:rPr>
      </w:pPr>
      <w:r w:rsidRPr="001276C9">
        <w:rPr>
          <w:lang w:eastAsia="en-AU"/>
        </w:rPr>
        <w:t xml:space="preserve">Source: Department of Industry, Innovation and Science (2018) </w:t>
      </w:r>
    </w:p>
    <w:p w14:paraId="6C974E90" w14:textId="68AB2E6B" w:rsidR="00211165" w:rsidRPr="001276C9" w:rsidRDefault="00D554BB" w:rsidP="00211165">
      <w:pPr>
        <w:pStyle w:val="BodyText"/>
      </w:pPr>
      <w:r w:rsidRPr="001276C9">
        <w:t xml:space="preserve">In the previous sections, the evidence pointed to better performance by </w:t>
      </w:r>
      <w:r w:rsidR="00A46FB3" w:rsidRPr="001276C9">
        <w:t>participating</w:t>
      </w:r>
      <w:r w:rsidRPr="001276C9">
        <w:t xml:space="preserve"> firms in terms of turnover growth and R&amp;D and capital investments. In Table 6.8 one observes again that the CA </w:t>
      </w:r>
      <w:r w:rsidR="00B27D2D" w:rsidRPr="001276C9">
        <w:t xml:space="preserve">participants </w:t>
      </w:r>
      <w:r w:rsidR="00C44AE4" w:rsidRPr="001276C9">
        <w:t xml:space="preserve">from all groups of industries are </w:t>
      </w:r>
      <w:r w:rsidRPr="001276C9">
        <w:t>also more likely to survive.</w:t>
      </w:r>
    </w:p>
    <w:p w14:paraId="68366005" w14:textId="601722C5" w:rsidR="00C017BD" w:rsidRPr="001276C9" w:rsidRDefault="00C017BD" w:rsidP="00C017BD">
      <w:pPr>
        <w:pStyle w:val="Heading1"/>
      </w:pPr>
      <w:r w:rsidRPr="001276C9">
        <w:t>Conclusion</w:t>
      </w:r>
    </w:p>
    <w:p w14:paraId="2F5E3442" w14:textId="4F3EF0A3" w:rsidR="004B7702" w:rsidRPr="001276C9" w:rsidRDefault="00067FB4" w:rsidP="004B7702">
      <w:pPr>
        <w:pStyle w:val="BodyText"/>
      </w:pPr>
      <w:r w:rsidRPr="001276C9">
        <w:t xml:space="preserve">The CA </w:t>
      </w:r>
      <w:r w:rsidR="008D2D4B" w:rsidRPr="001276C9">
        <w:t>program</w:t>
      </w:r>
      <w:r w:rsidR="00A532A1" w:rsidRPr="001276C9">
        <w:t>’s</w:t>
      </w:r>
      <w:r w:rsidRPr="001276C9">
        <w:t xml:space="preserve"> </w:t>
      </w:r>
      <w:r w:rsidR="002B5631" w:rsidRPr="001276C9">
        <w:t xml:space="preserve">main </w:t>
      </w:r>
      <w:r w:rsidR="00FC708F" w:rsidRPr="001276C9">
        <w:t xml:space="preserve">target </w:t>
      </w:r>
      <w:r w:rsidR="002B5631" w:rsidRPr="001276C9">
        <w:t xml:space="preserve">was </w:t>
      </w:r>
      <w:r w:rsidR="00A532A1" w:rsidRPr="001276C9">
        <w:t xml:space="preserve">to support </w:t>
      </w:r>
      <w:r w:rsidR="00D453B2" w:rsidRPr="001276C9">
        <w:t xml:space="preserve">innovative firms and </w:t>
      </w:r>
      <w:r w:rsidR="00FC708F" w:rsidRPr="001276C9">
        <w:t xml:space="preserve">entrepreneurs </w:t>
      </w:r>
      <w:r w:rsidR="00A532A1" w:rsidRPr="001276C9">
        <w:t>in</w:t>
      </w:r>
      <w:r w:rsidRPr="001276C9">
        <w:t xml:space="preserve"> commercialis</w:t>
      </w:r>
      <w:r w:rsidR="00A532A1" w:rsidRPr="001276C9">
        <w:t>ing</w:t>
      </w:r>
      <w:r w:rsidRPr="001276C9">
        <w:t xml:space="preserve"> their ideas. </w:t>
      </w:r>
      <w:r w:rsidR="00EE7E70" w:rsidRPr="001276C9">
        <w:t xml:space="preserve">We find that most firms in the </w:t>
      </w:r>
      <w:r w:rsidR="008D2D4B" w:rsidRPr="001276C9">
        <w:t>program</w:t>
      </w:r>
      <w:r w:rsidR="00EE7E70" w:rsidRPr="001276C9">
        <w:t xml:space="preserve"> are indeed small</w:t>
      </w:r>
      <w:r w:rsidR="00D453B2" w:rsidRPr="001276C9">
        <w:t>,</w:t>
      </w:r>
      <w:r w:rsidR="00EE7E70" w:rsidRPr="001276C9">
        <w:t xml:space="preserve"> young and</w:t>
      </w:r>
      <w:r w:rsidR="00976973" w:rsidRPr="001276C9">
        <w:t xml:space="preserve"> innovative</w:t>
      </w:r>
      <w:r w:rsidR="00EE7E70" w:rsidRPr="001276C9">
        <w:t>. Focusing on these firms</w:t>
      </w:r>
      <w:r w:rsidR="004B7702" w:rsidRPr="001276C9">
        <w:t xml:space="preserve">, we observe that most </w:t>
      </w:r>
      <w:r w:rsidR="0047176F" w:rsidRPr="001276C9">
        <w:t>CA participants</w:t>
      </w:r>
      <w:r w:rsidR="004B7702" w:rsidRPr="001276C9">
        <w:t xml:space="preserve"> invested in R&amp;D and physical capital in higher volumes than other firms. A proportion of these firms also commence exporting</w:t>
      </w:r>
      <w:r w:rsidR="0047176F" w:rsidRPr="001276C9">
        <w:t xml:space="preserve"> in the years after their first grant</w:t>
      </w:r>
      <w:r w:rsidR="004B7702" w:rsidRPr="001276C9">
        <w:t xml:space="preserve">, while already exporting firms appear to increase their volume of exports. </w:t>
      </w:r>
      <w:r w:rsidR="0005071F" w:rsidRPr="001276C9">
        <w:t xml:space="preserve">Participating </w:t>
      </w:r>
      <w:r w:rsidR="004B7702" w:rsidRPr="001276C9">
        <w:t xml:space="preserve">firms </w:t>
      </w:r>
      <w:r w:rsidR="0005071F" w:rsidRPr="001276C9">
        <w:t>in</w:t>
      </w:r>
      <w:r w:rsidR="004B7702" w:rsidRPr="001276C9">
        <w:t xml:space="preserve"> Manufacturing and Professional, Scientific and Technical Services</w:t>
      </w:r>
      <w:r w:rsidR="0005071F" w:rsidRPr="001276C9">
        <w:t xml:space="preserve"> industries experienced higher turnover growth than the comparison firms</w:t>
      </w:r>
      <w:r w:rsidR="004B7702" w:rsidRPr="001276C9">
        <w:t xml:space="preserve">. The bulk of </w:t>
      </w:r>
      <w:r w:rsidR="001D1659" w:rsidRPr="001276C9">
        <w:t xml:space="preserve">participating </w:t>
      </w:r>
      <w:r w:rsidR="004B7702" w:rsidRPr="001276C9">
        <w:t xml:space="preserve">firms and especially </w:t>
      </w:r>
      <w:r w:rsidR="001D1659" w:rsidRPr="001276C9">
        <w:t xml:space="preserve">advanced-technology </w:t>
      </w:r>
      <w:r w:rsidR="004B7702" w:rsidRPr="001276C9">
        <w:t xml:space="preserve">firms in the </w:t>
      </w:r>
      <w:r w:rsidR="008D2D4B" w:rsidRPr="001276C9">
        <w:t>program</w:t>
      </w:r>
      <w:r w:rsidR="004B7702" w:rsidRPr="001276C9">
        <w:t xml:space="preserve"> </w:t>
      </w:r>
      <w:r w:rsidR="0005071F" w:rsidRPr="001276C9">
        <w:t xml:space="preserve">also </w:t>
      </w:r>
      <w:r w:rsidR="004B7702" w:rsidRPr="001276C9">
        <w:t>belong</w:t>
      </w:r>
      <w:r w:rsidR="00D81CE9" w:rsidRPr="001276C9">
        <w:t>ed</w:t>
      </w:r>
      <w:r w:rsidR="004B7702" w:rsidRPr="001276C9">
        <w:t xml:space="preserve"> to these industries. As a result, the longer term impact on innovation and growth is expected to be substantial. There are also other positive effects </w:t>
      </w:r>
      <w:r w:rsidR="00231C3E" w:rsidRPr="001276C9">
        <w:t>in terms of survival</w:t>
      </w:r>
      <w:r w:rsidR="004B7702" w:rsidRPr="001276C9">
        <w:t xml:space="preserve"> </w:t>
      </w:r>
      <w:r w:rsidR="001D1659" w:rsidRPr="001276C9">
        <w:t xml:space="preserve">rates </w:t>
      </w:r>
      <w:r w:rsidR="004B7702" w:rsidRPr="001276C9">
        <w:t>and patenting/</w:t>
      </w:r>
      <w:r w:rsidR="00384B2F" w:rsidRPr="001276C9">
        <w:t>trade mark</w:t>
      </w:r>
      <w:r w:rsidR="004B7702" w:rsidRPr="001276C9">
        <w:t>ing.</w:t>
      </w:r>
    </w:p>
    <w:p w14:paraId="28B22325" w14:textId="6B64DCF4" w:rsidR="00D524E2" w:rsidRPr="001276C9" w:rsidRDefault="00E451E8" w:rsidP="00C017BD">
      <w:pPr>
        <w:pStyle w:val="BodyText"/>
      </w:pPr>
      <w:r w:rsidRPr="001276C9">
        <w:t xml:space="preserve">Our </w:t>
      </w:r>
      <w:r w:rsidR="005122F6" w:rsidRPr="001276C9">
        <w:t>analysis faces some shortcomings mainly due to issues related to data availability. For one thing</w:t>
      </w:r>
      <w:r w:rsidR="00D524E2" w:rsidRPr="001276C9">
        <w:t xml:space="preserve">, the availability of </w:t>
      </w:r>
      <w:r w:rsidR="00186814" w:rsidRPr="001276C9">
        <w:t>the BLADE dat</w:t>
      </w:r>
      <w:r w:rsidR="00D524E2" w:rsidRPr="001276C9">
        <w:t>a for fiscal years after 2014</w:t>
      </w:r>
      <w:r w:rsidR="00D524E2" w:rsidRPr="001276C9">
        <w:sym w:font="Symbol" w:char="F02D"/>
      </w:r>
      <w:r w:rsidR="00D524E2" w:rsidRPr="001276C9">
        <w:t xml:space="preserve">15 </w:t>
      </w:r>
      <w:r w:rsidRPr="001276C9">
        <w:t xml:space="preserve">will </w:t>
      </w:r>
      <w:r w:rsidR="00D524E2" w:rsidRPr="001276C9">
        <w:t xml:space="preserve">help to build a better and </w:t>
      </w:r>
      <w:r w:rsidR="00E65A41" w:rsidRPr="001276C9">
        <w:t>longer-term</w:t>
      </w:r>
      <w:r w:rsidR="00D524E2" w:rsidRPr="001276C9">
        <w:t xml:space="preserve"> picture of the </w:t>
      </w:r>
      <w:r w:rsidR="008D2D4B" w:rsidRPr="001276C9">
        <w:t>program</w:t>
      </w:r>
      <w:r w:rsidR="00C21F4B" w:rsidRPr="001276C9">
        <w:t>’</w:t>
      </w:r>
      <w:r w:rsidR="00D524E2" w:rsidRPr="001276C9">
        <w:t xml:space="preserve">s effect. </w:t>
      </w:r>
      <w:r w:rsidR="008861A9" w:rsidRPr="001276C9">
        <w:t>The availability of data on unsuccessful applicants could also help build a</w:t>
      </w:r>
      <w:r w:rsidRPr="001276C9">
        <w:t xml:space="preserve"> useful </w:t>
      </w:r>
      <w:r w:rsidR="000F1606" w:rsidRPr="001276C9">
        <w:t>comparison group of firms</w:t>
      </w:r>
      <w:r w:rsidR="008861A9" w:rsidRPr="001276C9">
        <w:t xml:space="preserve"> based on firms that have the intent to commercialise.</w:t>
      </w:r>
      <w:r w:rsidR="005776D6" w:rsidRPr="001276C9">
        <w:t xml:space="preserve"> </w:t>
      </w:r>
      <w:r w:rsidR="003118C0" w:rsidRPr="001276C9">
        <w:t>The type of gra</w:t>
      </w:r>
      <w:r w:rsidR="005122F6" w:rsidRPr="001276C9">
        <w:t xml:space="preserve">nt a firm received </w:t>
      </w:r>
      <w:r w:rsidR="001F3BD4" w:rsidRPr="001276C9">
        <w:t xml:space="preserve">was unavailable </w:t>
      </w:r>
      <w:r w:rsidRPr="001276C9">
        <w:t xml:space="preserve">in our dataset. It would be useful to analyse individual components of the CA </w:t>
      </w:r>
      <w:r w:rsidR="008D2D4B" w:rsidRPr="001276C9">
        <w:t>program</w:t>
      </w:r>
      <w:r w:rsidRPr="001276C9">
        <w:t xml:space="preserve">, </w:t>
      </w:r>
      <w:r w:rsidR="001F3BD4" w:rsidRPr="001276C9">
        <w:t xml:space="preserve">but </w:t>
      </w:r>
      <w:r w:rsidRPr="001276C9">
        <w:t xml:space="preserve">it should be noted that </w:t>
      </w:r>
      <w:r w:rsidR="003118C0" w:rsidRPr="001276C9">
        <w:t xml:space="preserve">splitting the </w:t>
      </w:r>
      <w:r w:rsidR="00526FC4" w:rsidRPr="001276C9">
        <w:t xml:space="preserve">already small </w:t>
      </w:r>
      <w:r w:rsidR="003118C0" w:rsidRPr="001276C9">
        <w:t xml:space="preserve">sample </w:t>
      </w:r>
      <w:r w:rsidR="000A4A22" w:rsidRPr="001276C9">
        <w:t xml:space="preserve">of recipient firms by the type of grant </w:t>
      </w:r>
      <w:r w:rsidR="003118C0" w:rsidRPr="001276C9">
        <w:t>can also undermine the law of large number</w:t>
      </w:r>
      <w:r w:rsidR="00365FEB" w:rsidRPr="001276C9">
        <w:t>s</w:t>
      </w:r>
      <w:r w:rsidR="003118C0" w:rsidRPr="001276C9">
        <w:t xml:space="preserve"> and the qu</w:t>
      </w:r>
      <w:r w:rsidR="000A4A22" w:rsidRPr="001276C9">
        <w:t>ality of statistical results</w:t>
      </w:r>
      <w:r w:rsidRPr="001276C9">
        <w:t xml:space="preserve">. Such an analysis </w:t>
      </w:r>
      <w:r w:rsidR="000A4A22" w:rsidRPr="001276C9">
        <w:t>therefore</w:t>
      </w:r>
      <w:r w:rsidR="003118C0" w:rsidRPr="001276C9">
        <w:t xml:space="preserve"> needs to be exercised with care.</w:t>
      </w:r>
    </w:p>
    <w:p w14:paraId="36807C31" w14:textId="77777777" w:rsidR="001D7EAD" w:rsidRPr="001276C9" w:rsidRDefault="001D7EAD" w:rsidP="001D7EAD">
      <w:pPr>
        <w:pStyle w:val="Heading6"/>
      </w:pPr>
      <w:r w:rsidRPr="001276C9">
        <w:lastRenderedPageBreak/>
        <w:t xml:space="preserve">Appendix A – Average treatment effects </w:t>
      </w:r>
    </w:p>
    <w:p w14:paraId="51441C00" w14:textId="4CCAD2D2" w:rsidR="00424C2F" w:rsidRPr="001276C9" w:rsidRDefault="00BC7EA4" w:rsidP="00E83372">
      <w:pPr>
        <w:pStyle w:val="BodyText"/>
      </w:pPr>
      <w:r w:rsidRPr="001276C9">
        <w:t>We also compute</w:t>
      </w:r>
      <w:r w:rsidR="008740DD" w:rsidRPr="001276C9">
        <w:t xml:space="preserve"> the ATE statistic for each of the exercises conducted in the main text and report them in Table A.1.</w:t>
      </w:r>
    </w:p>
    <w:p w14:paraId="7A293BC4" w14:textId="3354B3BB" w:rsidR="001D7EAD" w:rsidRPr="001276C9" w:rsidRDefault="001D7EAD" w:rsidP="001D7EAD">
      <w:pPr>
        <w:pStyle w:val="Caption"/>
      </w:pPr>
      <w:r w:rsidRPr="001276C9">
        <w:t>Table A.1 The impact of the CA program on turnover growth, capital expenditures and R&amp;D expenditures (dollars)</w:t>
      </w:r>
      <w:r w:rsidR="001C5390" w:rsidRPr="001276C9">
        <w:t xml:space="preserve">, average treatment effects </w:t>
      </w:r>
      <w:r w:rsidR="00BC7EA4" w:rsidRPr="001276C9">
        <w:t>(ATEs)</w:t>
      </w:r>
    </w:p>
    <w:tbl>
      <w:tblPr>
        <w:tblStyle w:val="OCETable"/>
        <w:tblW w:w="5346" w:type="pct"/>
        <w:tblLayout w:type="fixed"/>
        <w:tblLook w:val="04A0" w:firstRow="1" w:lastRow="0" w:firstColumn="1" w:lastColumn="0" w:noHBand="0" w:noVBand="1"/>
        <w:tblCaption w:val="Table A.1"/>
        <w:tblDescription w:val="Table A.1 shows the impact of the CA program on turnover growth, capital expenditures and R&amp;D expenditures (dollars), average treatment effects (ATEs)"/>
      </w:tblPr>
      <w:tblGrid>
        <w:gridCol w:w="2127"/>
        <w:gridCol w:w="1843"/>
        <w:gridCol w:w="1701"/>
        <w:gridCol w:w="1700"/>
      </w:tblGrid>
      <w:tr w:rsidR="001D7EAD" w:rsidRPr="001276C9" w14:paraId="292C3375" w14:textId="77777777" w:rsidTr="00525FF1">
        <w:trPr>
          <w:cnfStyle w:val="100000000000" w:firstRow="1" w:lastRow="0" w:firstColumn="0" w:lastColumn="0" w:oddVBand="0" w:evenVBand="0" w:oddHBand="0" w:evenHBand="0" w:firstRowFirstColumn="0" w:firstRowLastColumn="0" w:lastRowFirstColumn="0" w:lastRowLastColumn="0"/>
          <w:trHeight w:val="354"/>
          <w:tblHeader/>
        </w:trPr>
        <w:tc>
          <w:tcPr>
            <w:tcW w:w="1443" w:type="pct"/>
            <w:shd w:val="clear" w:color="auto" w:fill="005CAF" w:themeFill="accent1"/>
          </w:tcPr>
          <w:p w14:paraId="1AE6C87D" w14:textId="4D4731EC" w:rsidR="001D7EAD" w:rsidRPr="001276C9" w:rsidRDefault="001D7EAD" w:rsidP="003A24B3">
            <w:pPr>
              <w:pStyle w:val="BodyText"/>
              <w:rPr>
                <w:color w:val="FFFFFF" w:themeColor="background1"/>
              </w:rPr>
            </w:pPr>
          </w:p>
        </w:tc>
        <w:tc>
          <w:tcPr>
            <w:tcW w:w="1250" w:type="pct"/>
            <w:shd w:val="clear" w:color="auto" w:fill="005CAF" w:themeFill="accent1"/>
          </w:tcPr>
          <w:p w14:paraId="22A627AC" w14:textId="77777777" w:rsidR="001D7EAD" w:rsidRPr="001276C9" w:rsidRDefault="001D7EAD" w:rsidP="00FF52B7">
            <w:pPr>
              <w:pStyle w:val="Tableheadertext"/>
              <w:jc w:val="right"/>
            </w:pPr>
            <w:r w:rsidRPr="001276C9">
              <w:t>Turnover</w:t>
            </w:r>
          </w:p>
        </w:tc>
        <w:tc>
          <w:tcPr>
            <w:tcW w:w="1154" w:type="pct"/>
            <w:shd w:val="clear" w:color="auto" w:fill="005CAF" w:themeFill="accent1"/>
          </w:tcPr>
          <w:p w14:paraId="5B4CB72B" w14:textId="7705C88D" w:rsidR="001D7EAD" w:rsidRPr="001276C9" w:rsidRDefault="001D7EAD" w:rsidP="00FF52B7">
            <w:pPr>
              <w:pStyle w:val="Tableheadertext"/>
              <w:jc w:val="right"/>
            </w:pPr>
            <w:r w:rsidRPr="001276C9">
              <w:t xml:space="preserve">Capex </w:t>
            </w:r>
          </w:p>
        </w:tc>
        <w:tc>
          <w:tcPr>
            <w:tcW w:w="1153" w:type="pct"/>
            <w:shd w:val="clear" w:color="auto" w:fill="005CAF" w:themeFill="accent1"/>
          </w:tcPr>
          <w:p w14:paraId="291BC39D" w14:textId="77777777" w:rsidR="001D7EAD" w:rsidRPr="001276C9" w:rsidRDefault="001D7EAD" w:rsidP="00FF52B7">
            <w:pPr>
              <w:pStyle w:val="Tableheadertext"/>
              <w:jc w:val="right"/>
            </w:pPr>
            <w:r w:rsidRPr="001276C9">
              <w:t xml:space="preserve">R&amp;D </w:t>
            </w:r>
          </w:p>
        </w:tc>
      </w:tr>
      <w:tr w:rsidR="001C5390" w:rsidRPr="001276C9" w14:paraId="1F05A3D9" w14:textId="77777777" w:rsidTr="001276C9">
        <w:trPr>
          <w:cnfStyle w:val="000000100000" w:firstRow="0" w:lastRow="0" w:firstColumn="0" w:lastColumn="0" w:oddVBand="0" w:evenVBand="0" w:oddHBand="1" w:evenHBand="0" w:firstRowFirstColumn="0" w:firstRowLastColumn="0" w:lastRowFirstColumn="0" w:lastRowLastColumn="0"/>
          <w:trHeight w:val="354"/>
        </w:trPr>
        <w:tc>
          <w:tcPr>
            <w:tcW w:w="1443" w:type="pct"/>
            <w:shd w:val="clear" w:color="auto" w:fill="FFFFFF" w:themeFill="background1"/>
            <w:vAlign w:val="center"/>
          </w:tcPr>
          <w:p w14:paraId="1FBEC5AE" w14:textId="4782329A" w:rsidR="001C5390" w:rsidRPr="001276C9" w:rsidRDefault="001C5390" w:rsidP="00FF52B7">
            <w:pPr>
              <w:pStyle w:val="Tabletext"/>
            </w:pPr>
            <w:r w:rsidRPr="001276C9">
              <w:t>All</w:t>
            </w:r>
          </w:p>
        </w:tc>
        <w:tc>
          <w:tcPr>
            <w:tcW w:w="1250" w:type="pct"/>
            <w:shd w:val="clear" w:color="auto" w:fill="FFFFFF" w:themeFill="background1"/>
            <w:vAlign w:val="center"/>
          </w:tcPr>
          <w:p w14:paraId="74B26432" w14:textId="1AFDA5DA" w:rsidR="001C5390" w:rsidRPr="001276C9" w:rsidRDefault="001C5390" w:rsidP="00FF52B7">
            <w:pPr>
              <w:pStyle w:val="Tabletext"/>
              <w:jc w:val="right"/>
            </w:pPr>
            <w:r w:rsidRPr="001276C9">
              <w:t>322,771.0 (10,916.9)***</w:t>
            </w:r>
          </w:p>
        </w:tc>
        <w:tc>
          <w:tcPr>
            <w:tcW w:w="1154" w:type="pct"/>
            <w:shd w:val="clear" w:color="auto" w:fill="FFFFFF" w:themeFill="background1"/>
            <w:vAlign w:val="center"/>
          </w:tcPr>
          <w:p w14:paraId="7ABAD702" w14:textId="304EE570" w:rsidR="001C5390" w:rsidRPr="001276C9" w:rsidRDefault="001C5390" w:rsidP="00FF52B7">
            <w:pPr>
              <w:pStyle w:val="Tabletext"/>
              <w:jc w:val="right"/>
            </w:pPr>
            <w:r w:rsidRPr="001276C9">
              <w:t>10,716.5 (1,364.2)***</w:t>
            </w:r>
          </w:p>
        </w:tc>
        <w:tc>
          <w:tcPr>
            <w:tcW w:w="1153" w:type="pct"/>
            <w:shd w:val="clear" w:color="auto" w:fill="FFFFFF" w:themeFill="background1"/>
            <w:vAlign w:val="center"/>
          </w:tcPr>
          <w:p w14:paraId="6CD769E0" w14:textId="746AFD3E" w:rsidR="001C5390" w:rsidRPr="001276C9" w:rsidRDefault="001C5390" w:rsidP="00FF52B7">
            <w:pPr>
              <w:pStyle w:val="Tabletext"/>
              <w:jc w:val="right"/>
            </w:pPr>
            <w:r w:rsidRPr="001276C9">
              <w:t>696,788.3 (18,477.7)***</w:t>
            </w:r>
          </w:p>
        </w:tc>
      </w:tr>
      <w:tr w:rsidR="001C5390" w:rsidRPr="001276C9" w14:paraId="47162CC7" w14:textId="77777777" w:rsidTr="001276C9">
        <w:trPr>
          <w:cnfStyle w:val="000000010000" w:firstRow="0" w:lastRow="0" w:firstColumn="0" w:lastColumn="0" w:oddVBand="0" w:evenVBand="0" w:oddHBand="0" w:evenHBand="1" w:firstRowFirstColumn="0" w:firstRowLastColumn="0" w:lastRowFirstColumn="0" w:lastRowLastColumn="0"/>
          <w:trHeight w:val="354"/>
        </w:trPr>
        <w:tc>
          <w:tcPr>
            <w:tcW w:w="1443" w:type="pct"/>
            <w:shd w:val="clear" w:color="auto" w:fill="DEE8F1"/>
            <w:vAlign w:val="center"/>
          </w:tcPr>
          <w:p w14:paraId="366B7DD8" w14:textId="0B772249" w:rsidR="001C5390" w:rsidRPr="001276C9" w:rsidRDefault="001C5390" w:rsidP="00FF52B7">
            <w:pPr>
              <w:pStyle w:val="Tabletext"/>
            </w:pPr>
            <w:r w:rsidRPr="001276C9">
              <w:t>Manufacturing</w:t>
            </w:r>
          </w:p>
        </w:tc>
        <w:tc>
          <w:tcPr>
            <w:tcW w:w="1250" w:type="pct"/>
            <w:shd w:val="clear" w:color="auto" w:fill="DEE8F1"/>
            <w:vAlign w:val="center"/>
          </w:tcPr>
          <w:p w14:paraId="54C7A248" w14:textId="0FD05D63" w:rsidR="001C5390" w:rsidRPr="001276C9" w:rsidRDefault="001C5390" w:rsidP="00FF52B7">
            <w:pPr>
              <w:pStyle w:val="Tabletext"/>
              <w:jc w:val="right"/>
            </w:pPr>
            <w:r w:rsidRPr="001276C9">
              <w:t>71,426.4 (36,504.9)*</w:t>
            </w:r>
          </w:p>
        </w:tc>
        <w:tc>
          <w:tcPr>
            <w:tcW w:w="1154" w:type="pct"/>
            <w:shd w:val="clear" w:color="auto" w:fill="DEE8F1"/>
            <w:vAlign w:val="center"/>
          </w:tcPr>
          <w:p w14:paraId="09A983B2" w14:textId="5DC4D194" w:rsidR="001C5390" w:rsidRPr="001276C9" w:rsidRDefault="001C5390" w:rsidP="00FF52B7">
            <w:pPr>
              <w:pStyle w:val="Tabletext"/>
              <w:jc w:val="right"/>
            </w:pPr>
            <w:r w:rsidRPr="001276C9">
              <w:t>58,475.0 (17,468.6)***</w:t>
            </w:r>
          </w:p>
        </w:tc>
        <w:tc>
          <w:tcPr>
            <w:tcW w:w="1153" w:type="pct"/>
            <w:shd w:val="clear" w:color="auto" w:fill="DEE8F1"/>
            <w:vAlign w:val="center"/>
          </w:tcPr>
          <w:p w14:paraId="472DE77B" w14:textId="3DCA0D90" w:rsidR="001C5390" w:rsidRPr="001276C9" w:rsidRDefault="001C5390" w:rsidP="00FF52B7">
            <w:pPr>
              <w:pStyle w:val="Tabletext"/>
              <w:jc w:val="right"/>
            </w:pPr>
            <w:r w:rsidRPr="001276C9">
              <w:t>-36,637.5 (15,595.3)***</w:t>
            </w:r>
          </w:p>
        </w:tc>
      </w:tr>
      <w:tr w:rsidR="001C5390" w:rsidRPr="001276C9" w14:paraId="11E08A7C" w14:textId="77777777" w:rsidTr="001276C9">
        <w:trPr>
          <w:cnfStyle w:val="000000100000" w:firstRow="0" w:lastRow="0" w:firstColumn="0" w:lastColumn="0" w:oddVBand="0" w:evenVBand="0" w:oddHBand="1" w:evenHBand="0" w:firstRowFirstColumn="0" w:firstRowLastColumn="0" w:lastRowFirstColumn="0" w:lastRowLastColumn="0"/>
          <w:trHeight w:val="572"/>
        </w:trPr>
        <w:tc>
          <w:tcPr>
            <w:tcW w:w="1443" w:type="pct"/>
            <w:shd w:val="clear" w:color="auto" w:fill="FFFFFF" w:themeFill="background1"/>
            <w:vAlign w:val="center"/>
          </w:tcPr>
          <w:p w14:paraId="38C0B8FE" w14:textId="10879E21" w:rsidR="001C5390" w:rsidRPr="001276C9" w:rsidRDefault="001C5390" w:rsidP="00FF52B7">
            <w:pPr>
              <w:pStyle w:val="Tabletext"/>
            </w:pPr>
            <w:r w:rsidRPr="001276C9">
              <w:t>Prof. Scientific and Tech. Services</w:t>
            </w:r>
          </w:p>
        </w:tc>
        <w:tc>
          <w:tcPr>
            <w:tcW w:w="1250" w:type="pct"/>
            <w:shd w:val="clear" w:color="auto" w:fill="FFFFFF" w:themeFill="background1"/>
            <w:vAlign w:val="center"/>
          </w:tcPr>
          <w:p w14:paraId="5485B4ED" w14:textId="479B537D" w:rsidR="001C5390" w:rsidRPr="001276C9" w:rsidRDefault="001C5390" w:rsidP="00FF52B7">
            <w:pPr>
              <w:pStyle w:val="Tabletext"/>
              <w:jc w:val="right"/>
            </w:pPr>
            <w:r w:rsidRPr="001276C9">
              <w:t>205,812.3 (29,700.6)***</w:t>
            </w:r>
          </w:p>
        </w:tc>
        <w:tc>
          <w:tcPr>
            <w:tcW w:w="1154" w:type="pct"/>
            <w:shd w:val="clear" w:color="auto" w:fill="FFFFFF" w:themeFill="background1"/>
            <w:vAlign w:val="center"/>
          </w:tcPr>
          <w:p w14:paraId="287ABAF8" w14:textId="62A8F713" w:rsidR="001C5390" w:rsidRPr="001276C9" w:rsidRDefault="001C5390" w:rsidP="00FF52B7">
            <w:pPr>
              <w:pStyle w:val="Tabletext"/>
              <w:jc w:val="right"/>
            </w:pPr>
            <w:r w:rsidRPr="001276C9">
              <w:t>-11,297.7 (1,252.1)***</w:t>
            </w:r>
          </w:p>
        </w:tc>
        <w:tc>
          <w:tcPr>
            <w:tcW w:w="1153" w:type="pct"/>
            <w:shd w:val="clear" w:color="auto" w:fill="FFFFFF" w:themeFill="background1"/>
            <w:vAlign w:val="center"/>
          </w:tcPr>
          <w:p w14:paraId="076391E4" w14:textId="6A8BCEC0" w:rsidR="001C5390" w:rsidRPr="001276C9" w:rsidRDefault="001C5390" w:rsidP="00FF52B7">
            <w:pPr>
              <w:pStyle w:val="Tabletext"/>
              <w:jc w:val="right"/>
            </w:pPr>
            <w:r w:rsidRPr="001276C9">
              <w:t>735,568.3 (53,290.7)***</w:t>
            </w:r>
          </w:p>
        </w:tc>
      </w:tr>
      <w:tr w:rsidR="001C5390" w:rsidRPr="001276C9" w14:paraId="0DB6282E" w14:textId="77777777" w:rsidTr="001276C9">
        <w:trPr>
          <w:cnfStyle w:val="000000010000" w:firstRow="0" w:lastRow="0" w:firstColumn="0" w:lastColumn="0" w:oddVBand="0" w:evenVBand="0" w:oddHBand="0" w:evenHBand="1" w:firstRowFirstColumn="0" w:firstRowLastColumn="0" w:lastRowFirstColumn="0" w:lastRowLastColumn="0"/>
          <w:trHeight w:val="354"/>
        </w:trPr>
        <w:tc>
          <w:tcPr>
            <w:tcW w:w="1443" w:type="pct"/>
            <w:shd w:val="clear" w:color="auto" w:fill="DEE8F1"/>
            <w:vAlign w:val="center"/>
          </w:tcPr>
          <w:p w14:paraId="6E2D626E" w14:textId="7CA49ECB" w:rsidR="001C5390" w:rsidRPr="001276C9" w:rsidRDefault="001C5390" w:rsidP="00FF52B7">
            <w:pPr>
              <w:pStyle w:val="Tabletext"/>
            </w:pPr>
            <w:r w:rsidRPr="001276C9">
              <w:t>Other industries</w:t>
            </w:r>
          </w:p>
        </w:tc>
        <w:tc>
          <w:tcPr>
            <w:tcW w:w="1250" w:type="pct"/>
            <w:shd w:val="clear" w:color="auto" w:fill="DEE8F1"/>
            <w:vAlign w:val="center"/>
          </w:tcPr>
          <w:p w14:paraId="5E25F651" w14:textId="2CDEC8EA" w:rsidR="001C5390" w:rsidRPr="001276C9" w:rsidRDefault="001C5390" w:rsidP="00FF52B7">
            <w:pPr>
              <w:pStyle w:val="Tabletext"/>
              <w:jc w:val="right"/>
            </w:pPr>
            <w:r w:rsidRPr="001276C9">
              <w:t>-67,317.0 (18,198.7)***</w:t>
            </w:r>
          </w:p>
        </w:tc>
        <w:tc>
          <w:tcPr>
            <w:tcW w:w="1154" w:type="pct"/>
            <w:shd w:val="clear" w:color="auto" w:fill="DEE8F1"/>
            <w:vAlign w:val="center"/>
          </w:tcPr>
          <w:p w14:paraId="4CB05D03" w14:textId="77777777" w:rsidR="00E83372" w:rsidRPr="001276C9" w:rsidRDefault="001C5390" w:rsidP="00FF52B7">
            <w:pPr>
              <w:pStyle w:val="Tabletext"/>
              <w:jc w:val="right"/>
            </w:pPr>
            <w:r w:rsidRPr="001276C9">
              <w:t>-29,598.2</w:t>
            </w:r>
          </w:p>
          <w:p w14:paraId="7167720A" w14:textId="24ED2A9C" w:rsidR="001C5390" w:rsidRPr="001276C9" w:rsidRDefault="001C5390" w:rsidP="00FF52B7">
            <w:pPr>
              <w:pStyle w:val="Tabletext"/>
              <w:jc w:val="right"/>
            </w:pPr>
            <w:r w:rsidRPr="001276C9">
              <w:t>(1,001.9)***</w:t>
            </w:r>
          </w:p>
        </w:tc>
        <w:tc>
          <w:tcPr>
            <w:tcW w:w="1153" w:type="pct"/>
            <w:shd w:val="clear" w:color="auto" w:fill="DEE8F1"/>
            <w:vAlign w:val="center"/>
          </w:tcPr>
          <w:p w14:paraId="288EEA10" w14:textId="75F0FA5A" w:rsidR="001C5390" w:rsidRPr="001276C9" w:rsidRDefault="001C5390" w:rsidP="00FF52B7">
            <w:pPr>
              <w:pStyle w:val="Tabletext"/>
              <w:jc w:val="right"/>
            </w:pPr>
            <w:r w:rsidRPr="001276C9">
              <w:t xml:space="preserve">2,667.6 </w:t>
            </w:r>
            <w:r w:rsidR="00FF52B7" w:rsidRPr="001276C9">
              <w:br/>
            </w:r>
            <w:r w:rsidRPr="001276C9">
              <w:t>(12,753.8)</w:t>
            </w:r>
          </w:p>
        </w:tc>
      </w:tr>
    </w:tbl>
    <w:p w14:paraId="20302150" w14:textId="5D24FCB2" w:rsidR="001D7EAD" w:rsidRPr="001276C9" w:rsidRDefault="001D7EAD" w:rsidP="00B50EA3">
      <w:pPr>
        <w:pStyle w:val="Source"/>
        <w:spacing w:after="0"/>
        <w:rPr>
          <w:lang w:eastAsia="en-AU"/>
        </w:rPr>
      </w:pPr>
      <w:r w:rsidRPr="001276C9">
        <w:rPr>
          <w:lang w:eastAsia="en-AU"/>
        </w:rPr>
        <w:t xml:space="preserve">Notes: </w:t>
      </w:r>
      <w:r w:rsidR="00DE0E67" w:rsidRPr="001276C9">
        <w:rPr>
          <w:lang w:eastAsia="en-AU"/>
        </w:rPr>
        <w:t>*** and * denote significance at 1 and 10 per cent, respectively. Firms in the upper 0.5 percentile are dropped as outliers.</w:t>
      </w:r>
    </w:p>
    <w:p w14:paraId="717AC12B" w14:textId="77777777" w:rsidR="001D7EAD" w:rsidRPr="001276C9" w:rsidRDefault="001D7EAD" w:rsidP="00801C26">
      <w:pPr>
        <w:pStyle w:val="Source"/>
        <w:rPr>
          <w:lang w:eastAsia="en-AU"/>
        </w:rPr>
      </w:pPr>
      <w:r w:rsidRPr="001276C9">
        <w:rPr>
          <w:lang w:eastAsia="en-AU"/>
        </w:rPr>
        <w:t>Source: Department of Industry, Innovation and Science (2018)</w:t>
      </w:r>
    </w:p>
    <w:p w14:paraId="0D5176ED" w14:textId="6F4F00CD" w:rsidR="001D7EAD" w:rsidRPr="001276C9" w:rsidRDefault="008740DD" w:rsidP="001D7EAD">
      <w:pPr>
        <w:pStyle w:val="BodyText"/>
      </w:pPr>
      <w:r w:rsidRPr="001276C9">
        <w:t>In most cases, the ATE statistics reported in the table have larger differences from the corresponding ATTs computed in Tables 6.1 to 6.3. The difference highlights that the CA program was very selective in the firms being awarded the grants. Such level of selection is generally expected in government programs due to the scarcity of the grants and the large number of applicants.</w:t>
      </w:r>
    </w:p>
    <w:p w14:paraId="094C0F95" w14:textId="77777777" w:rsidR="001D7EAD" w:rsidRPr="001276C9" w:rsidRDefault="001D7EAD" w:rsidP="001D7EAD">
      <w:pPr>
        <w:pStyle w:val="AgendaBodyText"/>
      </w:pPr>
    </w:p>
    <w:p w14:paraId="551EA442" w14:textId="21F4C8EA" w:rsidR="00BD742A" w:rsidRPr="001276C9" w:rsidRDefault="001D7EAD" w:rsidP="00BD742A">
      <w:pPr>
        <w:pStyle w:val="AgendaTableColHeading0"/>
      </w:pPr>
      <w:r w:rsidRPr="001276C9">
        <w:br w:type="page"/>
      </w:r>
      <w:r w:rsidR="00BD742A" w:rsidRPr="001276C9">
        <w:lastRenderedPageBreak/>
        <w:t>Disclaimer</w:t>
      </w:r>
    </w:p>
    <w:p w14:paraId="0E49E41A" w14:textId="3B865ED9" w:rsidR="00BD742A" w:rsidRPr="001276C9" w:rsidRDefault="00BD742A" w:rsidP="00B50EA3">
      <w:pPr>
        <w:pStyle w:val="BodyText"/>
      </w:pPr>
      <w:r w:rsidRPr="001276C9">
        <w:t xml:space="preserve">The results of these studies are based, in part, on ABR data supplied by the Registrar to the ABS under A New Tax System (Australian Business Number) Act 1999 and tax data supplied by the ATO to the ABS under the Taxation Administration Act 1953. These require that such data is only used for the purpose of carrying out functions of the ABS. No individual information collected under the </w:t>
      </w:r>
      <w:r w:rsidR="00DD6427" w:rsidRPr="001276C9">
        <w:t xml:space="preserve">Census and Statistics Act 1905 </w:t>
      </w:r>
      <w:r w:rsidRPr="001276C9">
        <w:t>is provided back to the Registrar or ATO for administrative or regulatory purposes. Any discussion of data limitations or weaknesses is in the context of using the data for statistical purposes, and is not related to the ability of the data to support the ABR or ATO's core operational requirements. Legislative requirements to ensure privacy and secrecy of this data have been followed. Only people authorised under the Australian Bureau of Statistics Act 1975 have been allowed to view data about any particular firm in conducting these analyses. In accordance with the Census and Statistics Act 1905, results have been confidentialised to ensure that they are not likely to enable identification of a particular person or organisation.</w:t>
      </w:r>
    </w:p>
    <w:p w14:paraId="1390EE9F" w14:textId="77777777" w:rsidR="00BD742A" w:rsidRPr="001276C9" w:rsidRDefault="00BD742A" w:rsidP="00BD742A">
      <w:pPr>
        <w:pStyle w:val="AgendaBodyText"/>
      </w:pPr>
    </w:p>
    <w:p w14:paraId="1D7E7547" w14:textId="2912837F" w:rsidR="0091618D" w:rsidRPr="001276C9" w:rsidRDefault="0091618D" w:rsidP="0091618D">
      <w:pPr>
        <w:pStyle w:val="Heading3"/>
      </w:pPr>
      <w:r w:rsidRPr="001276C9">
        <w:t>References</w:t>
      </w:r>
    </w:p>
    <w:p w14:paraId="24FD95FF" w14:textId="3145B700" w:rsidR="001D1130" w:rsidRPr="001276C9" w:rsidRDefault="001D1130" w:rsidP="00E41C57">
      <w:pPr>
        <w:pStyle w:val="PlainText"/>
        <w:spacing w:after="180"/>
        <w:rPr>
          <w:rFonts w:asciiTheme="minorHAnsi" w:hAnsiTheme="minorHAnsi"/>
          <w:sz w:val="20"/>
          <w:szCs w:val="20"/>
        </w:rPr>
      </w:pPr>
      <w:r w:rsidRPr="001276C9">
        <w:rPr>
          <w:rFonts w:asciiTheme="minorHAnsi" w:hAnsiTheme="minorHAnsi"/>
          <w:sz w:val="20"/>
          <w:szCs w:val="20"/>
        </w:rPr>
        <w:t xml:space="preserve">Akerlof, George A. (1970) “The market for `Lemons': Quality Uncertainty and Market Mechanism,” </w:t>
      </w:r>
      <w:r w:rsidRPr="001276C9">
        <w:rPr>
          <w:rFonts w:asciiTheme="minorHAnsi" w:hAnsiTheme="minorHAnsi"/>
          <w:i/>
          <w:iCs/>
          <w:sz w:val="20"/>
          <w:szCs w:val="20"/>
        </w:rPr>
        <w:t>Quarterly Journal of Economics</w:t>
      </w:r>
      <w:r w:rsidRPr="001276C9">
        <w:rPr>
          <w:rFonts w:asciiTheme="minorHAnsi" w:hAnsiTheme="minorHAnsi"/>
          <w:sz w:val="20"/>
          <w:szCs w:val="20"/>
        </w:rPr>
        <w:t>, 84(3), 488</w:t>
      </w:r>
      <w:r w:rsidRPr="001276C9">
        <w:rPr>
          <w:rFonts w:asciiTheme="minorHAnsi" w:hAnsiTheme="minorHAnsi" w:cstheme="minorHAnsi"/>
          <w:sz w:val="20"/>
          <w:szCs w:val="20"/>
        </w:rPr>
        <w:sym w:font="Symbol" w:char="F02D"/>
      </w:r>
      <w:r w:rsidRPr="001276C9">
        <w:rPr>
          <w:rFonts w:asciiTheme="minorHAnsi" w:hAnsiTheme="minorHAnsi"/>
          <w:sz w:val="20"/>
          <w:szCs w:val="20"/>
        </w:rPr>
        <w:t>500.</w:t>
      </w:r>
    </w:p>
    <w:p w14:paraId="1218F836" w14:textId="68904CA2" w:rsidR="00111830" w:rsidRPr="001276C9" w:rsidRDefault="00111830" w:rsidP="00E41C57">
      <w:pPr>
        <w:pStyle w:val="PlainText"/>
        <w:spacing w:after="180"/>
        <w:rPr>
          <w:rFonts w:asciiTheme="minorHAnsi" w:hAnsiTheme="minorHAnsi"/>
          <w:sz w:val="20"/>
          <w:szCs w:val="20"/>
        </w:rPr>
      </w:pPr>
      <w:r w:rsidRPr="001276C9">
        <w:rPr>
          <w:rFonts w:asciiTheme="minorHAnsi" w:hAnsiTheme="minorHAnsi"/>
          <w:sz w:val="20"/>
          <w:szCs w:val="20"/>
        </w:rPr>
        <w:t>ANAO (2014) “</w:t>
      </w:r>
      <w:hyperlink r:id="rId26" w:history="1">
        <w:r w:rsidRPr="001276C9">
          <w:rPr>
            <w:rStyle w:val="Hyperlink"/>
            <w:rFonts w:asciiTheme="minorHAnsi" w:hAnsiTheme="minorHAnsi"/>
            <w:sz w:val="20"/>
            <w:szCs w:val="20"/>
          </w:rPr>
          <w:t>Commercialisation Australia Program</w:t>
        </w:r>
      </w:hyperlink>
      <w:r w:rsidRPr="001276C9">
        <w:rPr>
          <w:rFonts w:asciiTheme="minorHAnsi" w:hAnsiTheme="minorHAnsi"/>
          <w:sz w:val="20"/>
          <w:szCs w:val="20"/>
        </w:rPr>
        <w:t xml:space="preserve">,” </w:t>
      </w:r>
      <w:r w:rsidRPr="001276C9">
        <w:rPr>
          <w:rFonts w:asciiTheme="minorHAnsi" w:hAnsiTheme="minorHAnsi"/>
          <w:i/>
          <w:iCs/>
          <w:sz w:val="20"/>
          <w:szCs w:val="20"/>
        </w:rPr>
        <w:t>Australian National Audit Office</w:t>
      </w:r>
      <w:r w:rsidRPr="001276C9">
        <w:rPr>
          <w:rFonts w:asciiTheme="minorHAnsi" w:hAnsiTheme="minorHAnsi"/>
          <w:sz w:val="20"/>
          <w:szCs w:val="20"/>
        </w:rPr>
        <w:t>, Audit Report No.41 2013</w:t>
      </w:r>
      <w:r w:rsidRPr="001276C9">
        <w:rPr>
          <w:rFonts w:asciiTheme="minorHAnsi" w:hAnsiTheme="minorHAnsi" w:cstheme="minorHAnsi"/>
          <w:sz w:val="20"/>
          <w:szCs w:val="20"/>
        </w:rPr>
        <w:sym w:font="Symbol" w:char="F02D"/>
      </w:r>
      <w:r w:rsidRPr="001276C9">
        <w:rPr>
          <w:rFonts w:asciiTheme="minorHAnsi" w:hAnsiTheme="minorHAnsi"/>
          <w:sz w:val="20"/>
          <w:szCs w:val="20"/>
        </w:rPr>
        <w:t>14.</w:t>
      </w:r>
    </w:p>
    <w:p w14:paraId="1A7F84B3" w14:textId="35FBC6C2" w:rsidR="0091618D" w:rsidRPr="001276C9" w:rsidRDefault="0091618D" w:rsidP="0091618D">
      <w:pPr>
        <w:pStyle w:val="BodyText"/>
      </w:pPr>
      <w:r w:rsidRPr="001276C9">
        <w:t>Bakhtiari, Sasan (2017</w:t>
      </w:r>
      <w:r w:rsidR="00CB704B" w:rsidRPr="001276C9">
        <w:t>a</w:t>
      </w:r>
      <w:r w:rsidRPr="001276C9">
        <w:t xml:space="preserve">) “Government Financial Assistance as Catalyst for External Financing,” </w:t>
      </w:r>
      <w:r w:rsidRPr="001276C9">
        <w:rPr>
          <w:i/>
          <w:iCs/>
        </w:rPr>
        <w:t>Department of Industry, Innovation, and Science</w:t>
      </w:r>
      <w:r w:rsidRPr="001276C9">
        <w:t>, Working Paper.</w:t>
      </w:r>
    </w:p>
    <w:p w14:paraId="76340CA8" w14:textId="6CF4B35E" w:rsidR="009211C9" w:rsidRPr="001276C9" w:rsidRDefault="001D1130" w:rsidP="0091618D">
      <w:pPr>
        <w:pStyle w:val="BodyText"/>
      </w:pPr>
      <w:r w:rsidRPr="001276C9">
        <w:t>Bakhtiari, Sas</w:t>
      </w:r>
      <w:r w:rsidR="009211C9" w:rsidRPr="001276C9">
        <w:t>an (2017</w:t>
      </w:r>
      <w:r w:rsidR="00CB704B" w:rsidRPr="001276C9">
        <w:t>b</w:t>
      </w:r>
      <w:r w:rsidR="009211C9" w:rsidRPr="001276C9">
        <w:t>) “</w:t>
      </w:r>
      <w:hyperlink r:id="rId27" w:history="1">
        <w:r w:rsidR="009211C9" w:rsidRPr="001276C9">
          <w:rPr>
            <w:rStyle w:val="Hyperlink"/>
          </w:rPr>
          <w:t>Entrepreneurship Dynamics in Australia: Lessons from Microdata</w:t>
        </w:r>
      </w:hyperlink>
      <w:r w:rsidR="009211C9" w:rsidRPr="001276C9">
        <w:t xml:space="preserve">”, </w:t>
      </w:r>
      <w:r w:rsidR="009211C9" w:rsidRPr="001276C9">
        <w:rPr>
          <w:i/>
          <w:iCs/>
        </w:rPr>
        <w:t>Department of Industry, Innovation, and Science</w:t>
      </w:r>
      <w:r w:rsidR="009211C9" w:rsidRPr="001276C9">
        <w:t>, Research Paper 5/2017.</w:t>
      </w:r>
    </w:p>
    <w:p w14:paraId="1C84E1E2" w14:textId="2E4F913A" w:rsidR="002F3F7B" w:rsidRPr="001276C9" w:rsidRDefault="002F3F7B" w:rsidP="00E41C57">
      <w:pPr>
        <w:pStyle w:val="PlainText"/>
        <w:spacing w:after="180" w:line="270" w:lineRule="exact"/>
        <w:rPr>
          <w:rFonts w:asciiTheme="minorHAnsi" w:hAnsiTheme="minorHAnsi"/>
          <w:sz w:val="20"/>
          <w:szCs w:val="20"/>
        </w:rPr>
      </w:pPr>
      <w:r w:rsidRPr="001276C9">
        <w:rPr>
          <w:rFonts w:asciiTheme="minorHAnsi" w:hAnsiTheme="minorHAnsi"/>
          <w:sz w:val="20"/>
          <w:szCs w:val="20"/>
        </w:rPr>
        <w:t>Carpenter, Robert E., and Bruce C. Petersen (2002) “</w:t>
      </w:r>
      <w:hyperlink r:id="rId28" w:history="1">
        <w:r w:rsidRPr="001276C9">
          <w:rPr>
            <w:rStyle w:val="Hyperlink"/>
            <w:rFonts w:asciiTheme="minorHAnsi" w:hAnsiTheme="minorHAnsi"/>
            <w:sz w:val="20"/>
            <w:szCs w:val="20"/>
          </w:rPr>
          <w:t>Capital Market Imperfections, High-tech Investment, and New Equity Financing</w:t>
        </w:r>
      </w:hyperlink>
      <w:r w:rsidRPr="001276C9">
        <w:rPr>
          <w:rFonts w:asciiTheme="minorHAnsi" w:hAnsiTheme="minorHAnsi"/>
          <w:sz w:val="20"/>
          <w:szCs w:val="20"/>
        </w:rPr>
        <w:t xml:space="preserve">,” </w:t>
      </w:r>
      <w:r w:rsidRPr="001276C9">
        <w:rPr>
          <w:rFonts w:asciiTheme="minorHAnsi" w:hAnsiTheme="minorHAnsi"/>
          <w:i/>
          <w:iCs/>
          <w:sz w:val="20"/>
          <w:szCs w:val="20"/>
        </w:rPr>
        <w:t>Economic Journal</w:t>
      </w:r>
      <w:r w:rsidRPr="001276C9">
        <w:rPr>
          <w:rFonts w:asciiTheme="minorHAnsi" w:hAnsiTheme="minorHAnsi"/>
          <w:sz w:val="20"/>
          <w:szCs w:val="20"/>
        </w:rPr>
        <w:t>, 112(477), F54</w:t>
      </w:r>
      <w:r w:rsidRPr="001276C9">
        <w:rPr>
          <w:rFonts w:asciiTheme="minorHAnsi" w:hAnsiTheme="minorHAnsi" w:cstheme="minorHAnsi"/>
          <w:sz w:val="20"/>
          <w:szCs w:val="20"/>
        </w:rPr>
        <w:sym w:font="Symbol" w:char="F02D"/>
      </w:r>
      <w:r w:rsidRPr="001276C9">
        <w:rPr>
          <w:rFonts w:asciiTheme="minorHAnsi" w:hAnsiTheme="minorHAnsi"/>
          <w:sz w:val="20"/>
          <w:szCs w:val="20"/>
        </w:rPr>
        <w:t>F72.</w:t>
      </w:r>
    </w:p>
    <w:p w14:paraId="2DBE0D25" w14:textId="2727281B" w:rsidR="00AF57F9" w:rsidRPr="001276C9" w:rsidRDefault="00AF57F9" w:rsidP="00E41C57">
      <w:pPr>
        <w:pStyle w:val="PlainText"/>
        <w:spacing w:after="180" w:line="270" w:lineRule="exact"/>
        <w:rPr>
          <w:rFonts w:asciiTheme="minorHAnsi" w:hAnsiTheme="minorHAnsi"/>
          <w:sz w:val="20"/>
          <w:szCs w:val="20"/>
        </w:rPr>
      </w:pPr>
      <w:r w:rsidRPr="001276C9">
        <w:rPr>
          <w:rFonts w:asciiTheme="minorHAnsi" w:hAnsiTheme="minorHAnsi"/>
          <w:sz w:val="20"/>
          <w:szCs w:val="20"/>
        </w:rPr>
        <w:t>Freel, Mark S. (1999) “</w:t>
      </w:r>
      <w:hyperlink r:id="rId29" w:history="1">
        <w:r w:rsidRPr="001276C9">
          <w:rPr>
            <w:rStyle w:val="Hyperlink"/>
            <w:rFonts w:asciiTheme="minorHAnsi" w:hAnsiTheme="minorHAnsi"/>
            <w:sz w:val="20"/>
            <w:szCs w:val="20"/>
          </w:rPr>
          <w:t>The Financing of Small Firm Product Innovation within the UK</w:t>
        </w:r>
      </w:hyperlink>
      <w:r w:rsidRPr="001276C9">
        <w:rPr>
          <w:rFonts w:asciiTheme="minorHAnsi" w:hAnsiTheme="minorHAnsi"/>
          <w:sz w:val="20"/>
          <w:szCs w:val="20"/>
        </w:rPr>
        <w:t xml:space="preserve">,” </w:t>
      </w:r>
      <w:r w:rsidRPr="001276C9">
        <w:rPr>
          <w:rFonts w:asciiTheme="minorHAnsi" w:hAnsiTheme="minorHAnsi"/>
          <w:i/>
          <w:iCs/>
          <w:sz w:val="20"/>
          <w:szCs w:val="20"/>
        </w:rPr>
        <w:t>Technovation</w:t>
      </w:r>
      <w:r w:rsidRPr="001276C9">
        <w:rPr>
          <w:rFonts w:asciiTheme="minorHAnsi" w:hAnsiTheme="minorHAnsi"/>
          <w:sz w:val="20"/>
          <w:szCs w:val="20"/>
        </w:rPr>
        <w:t>, 19(12), 707</w:t>
      </w:r>
      <w:r w:rsidRPr="001276C9">
        <w:rPr>
          <w:rFonts w:asciiTheme="minorHAnsi" w:hAnsiTheme="minorHAnsi" w:cstheme="minorHAnsi"/>
          <w:sz w:val="20"/>
          <w:szCs w:val="20"/>
        </w:rPr>
        <w:sym w:font="Symbol" w:char="F02D"/>
      </w:r>
      <w:r w:rsidRPr="001276C9">
        <w:rPr>
          <w:rFonts w:asciiTheme="minorHAnsi" w:hAnsiTheme="minorHAnsi"/>
          <w:sz w:val="20"/>
          <w:szCs w:val="20"/>
        </w:rPr>
        <w:t>719.</w:t>
      </w:r>
    </w:p>
    <w:p w14:paraId="15B2C311" w14:textId="2E4B8EB9" w:rsidR="00AF57F9" w:rsidRPr="001276C9" w:rsidRDefault="00AF57F9" w:rsidP="00E41C57">
      <w:pPr>
        <w:pStyle w:val="PlainText"/>
        <w:spacing w:after="180" w:line="270" w:lineRule="exact"/>
        <w:rPr>
          <w:rFonts w:asciiTheme="minorHAnsi" w:hAnsiTheme="minorHAnsi"/>
          <w:sz w:val="20"/>
          <w:szCs w:val="20"/>
        </w:rPr>
      </w:pPr>
      <w:r w:rsidRPr="001276C9">
        <w:rPr>
          <w:rFonts w:asciiTheme="minorHAnsi" w:hAnsiTheme="minorHAnsi"/>
          <w:sz w:val="20"/>
          <w:szCs w:val="20"/>
        </w:rPr>
        <w:t>Freel, Mark S. (2007) “</w:t>
      </w:r>
      <w:hyperlink r:id="rId30" w:history="1">
        <w:r w:rsidRPr="001276C9">
          <w:rPr>
            <w:rStyle w:val="Hyperlink"/>
            <w:rFonts w:asciiTheme="minorHAnsi" w:hAnsiTheme="minorHAnsi"/>
            <w:sz w:val="20"/>
            <w:szCs w:val="20"/>
          </w:rPr>
          <w:t>Are Small Innovators Credit Rationed?</w:t>
        </w:r>
      </w:hyperlink>
      <w:r w:rsidRPr="001276C9">
        <w:rPr>
          <w:rFonts w:asciiTheme="minorHAnsi" w:hAnsiTheme="minorHAnsi"/>
          <w:sz w:val="20"/>
          <w:szCs w:val="20"/>
        </w:rPr>
        <w:t xml:space="preserve">” </w:t>
      </w:r>
      <w:r w:rsidRPr="001276C9">
        <w:rPr>
          <w:rFonts w:asciiTheme="minorHAnsi" w:hAnsiTheme="minorHAnsi"/>
          <w:i/>
          <w:iCs/>
          <w:sz w:val="20"/>
          <w:szCs w:val="20"/>
        </w:rPr>
        <w:t>Small Business Economics</w:t>
      </w:r>
      <w:r w:rsidRPr="001276C9">
        <w:rPr>
          <w:rFonts w:asciiTheme="minorHAnsi" w:hAnsiTheme="minorHAnsi"/>
          <w:sz w:val="20"/>
          <w:szCs w:val="20"/>
        </w:rPr>
        <w:t>, 28(1), 23</w:t>
      </w:r>
      <w:r w:rsidRPr="001276C9">
        <w:rPr>
          <w:rFonts w:asciiTheme="minorHAnsi" w:hAnsiTheme="minorHAnsi" w:cstheme="minorHAnsi"/>
          <w:sz w:val="20"/>
          <w:szCs w:val="20"/>
        </w:rPr>
        <w:sym w:font="Symbol" w:char="F02D"/>
      </w:r>
      <w:r w:rsidRPr="001276C9">
        <w:rPr>
          <w:rFonts w:asciiTheme="minorHAnsi" w:hAnsiTheme="minorHAnsi"/>
          <w:sz w:val="20"/>
          <w:szCs w:val="20"/>
        </w:rPr>
        <w:t>35.</w:t>
      </w:r>
    </w:p>
    <w:p w14:paraId="7346F2EF" w14:textId="208DA8C4" w:rsidR="0080240E" w:rsidRPr="001276C9" w:rsidRDefault="0080240E" w:rsidP="00E41C57">
      <w:pPr>
        <w:pStyle w:val="PlainText"/>
        <w:spacing w:after="180" w:line="270" w:lineRule="exact"/>
        <w:rPr>
          <w:rFonts w:asciiTheme="minorHAnsi" w:hAnsiTheme="minorHAnsi"/>
          <w:sz w:val="20"/>
          <w:szCs w:val="20"/>
        </w:rPr>
      </w:pPr>
      <w:r w:rsidRPr="001276C9">
        <w:rPr>
          <w:rFonts w:asciiTheme="minorHAnsi" w:hAnsiTheme="minorHAnsi"/>
          <w:sz w:val="20"/>
          <w:szCs w:val="20"/>
        </w:rPr>
        <w:t xml:space="preserve">Hansell, David, and Bilal Rafi (2018) “Firm Level Analysis Using the ABS Business Longitudinal Analysis Data Environment (BLADE),” </w:t>
      </w:r>
      <w:r w:rsidRPr="001276C9">
        <w:rPr>
          <w:rFonts w:asciiTheme="minorHAnsi" w:hAnsiTheme="minorHAnsi"/>
          <w:i/>
          <w:iCs/>
          <w:sz w:val="20"/>
          <w:szCs w:val="20"/>
        </w:rPr>
        <w:t>Australian Economic Review</w:t>
      </w:r>
      <w:r w:rsidRPr="001276C9">
        <w:rPr>
          <w:rFonts w:asciiTheme="minorHAnsi" w:hAnsiTheme="minorHAnsi"/>
          <w:sz w:val="20"/>
          <w:szCs w:val="20"/>
        </w:rPr>
        <w:t>, 51(1), 132</w:t>
      </w:r>
      <w:r w:rsidRPr="001276C9">
        <w:rPr>
          <w:rFonts w:asciiTheme="minorHAnsi" w:hAnsiTheme="minorHAnsi" w:cstheme="minorHAnsi"/>
          <w:sz w:val="20"/>
          <w:szCs w:val="20"/>
        </w:rPr>
        <w:sym w:font="Symbol" w:char="F02D"/>
      </w:r>
      <w:r w:rsidRPr="001276C9">
        <w:rPr>
          <w:rFonts w:asciiTheme="minorHAnsi" w:hAnsiTheme="minorHAnsi"/>
          <w:sz w:val="20"/>
          <w:szCs w:val="20"/>
        </w:rPr>
        <w:t>138.</w:t>
      </w:r>
    </w:p>
    <w:p w14:paraId="5E2D5E42" w14:textId="7F7125EC" w:rsidR="00BC7C9F" w:rsidRPr="001276C9" w:rsidRDefault="00BC7C9F" w:rsidP="00E41C57">
      <w:pPr>
        <w:pStyle w:val="Default"/>
        <w:spacing w:after="180"/>
        <w:rPr>
          <w:rFonts w:asciiTheme="minorHAnsi" w:hAnsiTheme="minorHAnsi" w:cstheme="minorBidi"/>
          <w:sz w:val="20"/>
          <w:szCs w:val="20"/>
        </w:rPr>
      </w:pPr>
      <w:r w:rsidRPr="001276C9">
        <w:rPr>
          <w:rFonts w:asciiTheme="minorHAnsi" w:hAnsiTheme="minorHAnsi" w:cstheme="minorBidi"/>
          <w:sz w:val="20"/>
          <w:szCs w:val="20"/>
        </w:rPr>
        <w:t>Hirano, Keisuke, Guido W. Imbens, and Geert Ridder (2003) “</w:t>
      </w:r>
      <w:hyperlink r:id="rId31" w:history="1">
        <w:r w:rsidRPr="001276C9">
          <w:rPr>
            <w:rStyle w:val="Hyperlink"/>
            <w:rFonts w:asciiTheme="minorHAnsi" w:hAnsiTheme="minorHAnsi" w:cstheme="minorBidi"/>
            <w:sz w:val="20"/>
            <w:szCs w:val="20"/>
          </w:rPr>
          <w:t>Efficient Estimation of Average Treatment Effects Using the Estimated Propensity Score</w:t>
        </w:r>
      </w:hyperlink>
      <w:r w:rsidRPr="001276C9">
        <w:rPr>
          <w:rFonts w:asciiTheme="minorHAnsi" w:hAnsiTheme="minorHAnsi" w:cstheme="minorBidi"/>
          <w:sz w:val="20"/>
          <w:szCs w:val="20"/>
        </w:rPr>
        <w:t xml:space="preserve">” </w:t>
      </w:r>
      <w:r w:rsidRPr="001276C9">
        <w:rPr>
          <w:rFonts w:asciiTheme="minorHAnsi" w:hAnsiTheme="minorHAnsi" w:cstheme="minorBidi"/>
          <w:i/>
          <w:iCs/>
          <w:sz w:val="20"/>
          <w:szCs w:val="20"/>
        </w:rPr>
        <w:t>Econometrica</w:t>
      </w:r>
      <w:r w:rsidRPr="001276C9">
        <w:rPr>
          <w:rFonts w:asciiTheme="minorHAnsi" w:hAnsiTheme="minorHAnsi" w:cstheme="minorBidi"/>
          <w:sz w:val="20"/>
          <w:szCs w:val="20"/>
        </w:rPr>
        <w:t>, 71(4), 1161</w:t>
      </w:r>
      <w:r w:rsidRPr="001276C9">
        <w:rPr>
          <w:rFonts w:asciiTheme="minorHAnsi" w:hAnsiTheme="minorHAnsi" w:cstheme="minorHAnsi"/>
          <w:sz w:val="20"/>
          <w:szCs w:val="20"/>
        </w:rPr>
        <w:sym w:font="Symbol" w:char="F02D"/>
      </w:r>
      <w:r w:rsidRPr="001276C9">
        <w:rPr>
          <w:rFonts w:asciiTheme="minorHAnsi" w:hAnsiTheme="minorHAnsi" w:cstheme="minorBidi"/>
          <w:sz w:val="20"/>
          <w:szCs w:val="20"/>
        </w:rPr>
        <w:t>1189.</w:t>
      </w:r>
    </w:p>
    <w:p w14:paraId="4C0F1155" w14:textId="009639F7" w:rsidR="00ED05D4" w:rsidRPr="001276C9" w:rsidRDefault="00ED05D4" w:rsidP="00E41C57">
      <w:pPr>
        <w:pStyle w:val="Default"/>
        <w:spacing w:after="180"/>
        <w:rPr>
          <w:rFonts w:asciiTheme="minorHAnsi" w:hAnsiTheme="minorHAnsi" w:cstheme="minorBidi"/>
          <w:sz w:val="20"/>
          <w:szCs w:val="20"/>
        </w:rPr>
      </w:pPr>
      <w:r w:rsidRPr="001276C9">
        <w:rPr>
          <w:rFonts w:asciiTheme="minorHAnsi" w:hAnsiTheme="minorHAnsi" w:cstheme="minorBidi"/>
          <w:sz w:val="20"/>
          <w:szCs w:val="20"/>
        </w:rPr>
        <w:t xml:space="preserve">Kondo, Masayuki (1999) </w:t>
      </w:r>
      <w:r w:rsidR="00496E10" w:rsidRPr="001276C9">
        <w:rPr>
          <w:rFonts w:asciiTheme="minorHAnsi" w:hAnsiTheme="minorHAnsi" w:cstheme="minorBidi"/>
          <w:sz w:val="20"/>
          <w:szCs w:val="20"/>
        </w:rPr>
        <w:t>“</w:t>
      </w:r>
      <w:hyperlink r:id="rId32" w:history="1">
        <w:r w:rsidRPr="001276C9">
          <w:rPr>
            <w:rStyle w:val="Hyperlink"/>
            <w:rFonts w:asciiTheme="minorHAnsi" w:hAnsiTheme="minorHAnsi" w:cstheme="minorBidi"/>
            <w:sz w:val="20"/>
            <w:szCs w:val="20"/>
          </w:rPr>
          <w:t xml:space="preserve">R&amp;D Dynamics of Creating Patents in the Japanese </w:t>
        </w:r>
        <w:r w:rsidR="00DD5C28" w:rsidRPr="001276C9">
          <w:rPr>
            <w:rStyle w:val="Hyperlink"/>
            <w:rFonts w:asciiTheme="minorHAnsi" w:hAnsiTheme="minorHAnsi" w:cstheme="minorBidi"/>
            <w:sz w:val="20"/>
            <w:szCs w:val="20"/>
          </w:rPr>
          <w:t>Industry</w:t>
        </w:r>
      </w:hyperlink>
      <w:r w:rsidRPr="001276C9">
        <w:rPr>
          <w:rFonts w:asciiTheme="minorHAnsi" w:hAnsiTheme="minorHAnsi" w:cstheme="minorBidi"/>
          <w:sz w:val="20"/>
          <w:szCs w:val="20"/>
        </w:rPr>
        <w:t>,</w:t>
      </w:r>
      <w:r w:rsidR="00496E10" w:rsidRPr="001276C9">
        <w:rPr>
          <w:rFonts w:asciiTheme="minorHAnsi" w:hAnsiTheme="minorHAnsi" w:cstheme="minorBidi"/>
          <w:sz w:val="20"/>
          <w:szCs w:val="20"/>
        </w:rPr>
        <w:t>”</w:t>
      </w:r>
      <w:r w:rsidRPr="001276C9">
        <w:rPr>
          <w:rFonts w:asciiTheme="minorHAnsi" w:hAnsiTheme="minorHAnsi" w:cstheme="minorBidi"/>
          <w:sz w:val="20"/>
          <w:szCs w:val="20"/>
        </w:rPr>
        <w:t xml:space="preserve"> </w:t>
      </w:r>
      <w:r w:rsidRPr="001276C9">
        <w:rPr>
          <w:rFonts w:asciiTheme="minorHAnsi" w:hAnsiTheme="minorHAnsi" w:cstheme="minorBidi"/>
          <w:i/>
          <w:iCs/>
          <w:sz w:val="20"/>
          <w:szCs w:val="20"/>
        </w:rPr>
        <w:t>Research Policy</w:t>
      </w:r>
      <w:r w:rsidRPr="001276C9">
        <w:rPr>
          <w:rFonts w:asciiTheme="minorHAnsi" w:hAnsiTheme="minorHAnsi" w:cstheme="minorBidi"/>
          <w:sz w:val="20"/>
          <w:szCs w:val="20"/>
        </w:rPr>
        <w:t>, 28(6), 587</w:t>
      </w:r>
      <w:r w:rsidRPr="001276C9">
        <w:rPr>
          <w:rFonts w:asciiTheme="minorHAnsi" w:hAnsiTheme="minorHAnsi" w:cstheme="minorHAnsi"/>
          <w:sz w:val="20"/>
          <w:szCs w:val="20"/>
        </w:rPr>
        <w:sym w:font="Symbol" w:char="F02D"/>
      </w:r>
      <w:r w:rsidRPr="001276C9">
        <w:rPr>
          <w:rFonts w:asciiTheme="minorHAnsi" w:hAnsiTheme="minorHAnsi" w:cstheme="minorBidi"/>
          <w:sz w:val="20"/>
          <w:szCs w:val="20"/>
        </w:rPr>
        <w:t>600.</w:t>
      </w:r>
    </w:p>
    <w:p w14:paraId="62C102A5" w14:textId="43348EC0" w:rsidR="008C02BC" w:rsidRPr="001276C9" w:rsidRDefault="008C02BC" w:rsidP="00E41C57">
      <w:pPr>
        <w:pStyle w:val="Default"/>
        <w:spacing w:after="180"/>
        <w:rPr>
          <w:rFonts w:asciiTheme="minorHAnsi" w:hAnsiTheme="minorHAnsi" w:cstheme="minorBidi"/>
          <w:sz w:val="20"/>
          <w:szCs w:val="20"/>
        </w:rPr>
      </w:pPr>
      <w:r w:rsidRPr="001276C9">
        <w:rPr>
          <w:rFonts w:asciiTheme="minorHAnsi" w:hAnsiTheme="minorHAnsi" w:cstheme="minorBidi"/>
          <w:sz w:val="20"/>
          <w:szCs w:val="20"/>
        </w:rPr>
        <w:lastRenderedPageBreak/>
        <w:t>Wang, Ning, and John Hagedoom (2014) “</w:t>
      </w:r>
      <w:hyperlink r:id="rId33" w:history="1">
        <w:r w:rsidRPr="001276C9">
          <w:rPr>
            <w:rStyle w:val="Hyperlink"/>
            <w:rFonts w:asciiTheme="minorHAnsi" w:hAnsiTheme="minorHAnsi" w:cstheme="minorBidi"/>
            <w:sz w:val="20"/>
            <w:szCs w:val="20"/>
          </w:rPr>
          <w:t>The Lag Structure of the Relationship between Patenting and Internal R&amp;D Revisited</w:t>
        </w:r>
      </w:hyperlink>
      <w:r w:rsidRPr="001276C9">
        <w:rPr>
          <w:rFonts w:asciiTheme="minorHAnsi" w:hAnsiTheme="minorHAnsi" w:cstheme="minorBidi"/>
          <w:sz w:val="20"/>
          <w:szCs w:val="20"/>
        </w:rPr>
        <w:t xml:space="preserve">,” </w:t>
      </w:r>
      <w:r w:rsidRPr="001276C9">
        <w:rPr>
          <w:rFonts w:asciiTheme="minorHAnsi" w:hAnsiTheme="minorHAnsi" w:cstheme="minorBidi"/>
          <w:i/>
          <w:iCs/>
          <w:sz w:val="20"/>
          <w:szCs w:val="20"/>
        </w:rPr>
        <w:t>Research Policy</w:t>
      </w:r>
      <w:r w:rsidRPr="001276C9">
        <w:rPr>
          <w:rFonts w:asciiTheme="minorHAnsi" w:hAnsiTheme="minorHAnsi" w:cstheme="minorBidi"/>
          <w:sz w:val="20"/>
          <w:szCs w:val="20"/>
        </w:rPr>
        <w:t>, 43(8), 1275</w:t>
      </w:r>
      <w:r w:rsidRPr="001276C9">
        <w:rPr>
          <w:rFonts w:asciiTheme="minorHAnsi" w:hAnsiTheme="minorHAnsi" w:cstheme="minorHAnsi"/>
          <w:sz w:val="20"/>
          <w:szCs w:val="20"/>
        </w:rPr>
        <w:sym w:font="Symbol" w:char="F02D"/>
      </w:r>
      <w:r w:rsidRPr="001276C9">
        <w:rPr>
          <w:rFonts w:asciiTheme="minorHAnsi" w:hAnsiTheme="minorHAnsi" w:cstheme="minorBidi"/>
          <w:sz w:val="20"/>
          <w:szCs w:val="20"/>
        </w:rPr>
        <w:t>1285.</w:t>
      </w:r>
    </w:p>
    <w:p w14:paraId="7434EC87" w14:textId="0701C689" w:rsidR="0081720E" w:rsidRPr="001276C9" w:rsidRDefault="0081720E" w:rsidP="00E41C57">
      <w:pPr>
        <w:pStyle w:val="PlainText"/>
        <w:spacing w:after="180" w:line="270" w:lineRule="exact"/>
        <w:rPr>
          <w:rFonts w:asciiTheme="minorHAnsi" w:hAnsiTheme="minorHAnsi"/>
          <w:sz w:val="20"/>
          <w:szCs w:val="20"/>
        </w:rPr>
      </w:pPr>
      <w:r w:rsidRPr="001276C9">
        <w:rPr>
          <w:rFonts w:asciiTheme="minorHAnsi" w:hAnsiTheme="minorHAnsi"/>
          <w:sz w:val="20"/>
          <w:szCs w:val="20"/>
        </w:rPr>
        <w:t>Westhead, Paul, and David J. Storey (1997) “</w:t>
      </w:r>
      <w:hyperlink r:id="rId34" w:history="1">
        <w:r w:rsidRPr="001276C9">
          <w:rPr>
            <w:rStyle w:val="Hyperlink"/>
            <w:rFonts w:asciiTheme="minorHAnsi" w:hAnsiTheme="minorHAnsi"/>
            <w:sz w:val="20"/>
            <w:szCs w:val="20"/>
          </w:rPr>
          <w:t>Financial Constraints on the Growth of High Technology Small Firms in the United Kingdom</w:t>
        </w:r>
      </w:hyperlink>
      <w:r w:rsidRPr="001276C9">
        <w:rPr>
          <w:rFonts w:asciiTheme="minorHAnsi" w:hAnsiTheme="minorHAnsi"/>
          <w:sz w:val="20"/>
          <w:szCs w:val="20"/>
        </w:rPr>
        <w:t xml:space="preserve">,” </w:t>
      </w:r>
      <w:r w:rsidRPr="001276C9">
        <w:rPr>
          <w:rFonts w:asciiTheme="minorHAnsi" w:hAnsiTheme="minorHAnsi"/>
          <w:i/>
          <w:iCs/>
          <w:sz w:val="20"/>
          <w:szCs w:val="20"/>
        </w:rPr>
        <w:t>Applied Financial Economics</w:t>
      </w:r>
      <w:r w:rsidR="00AF57F9" w:rsidRPr="001276C9">
        <w:rPr>
          <w:rFonts w:asciiTheme="minorHAnsi" w:hAnsiTheme="minorHAnsi"/>
          <w:sz w:val="20"/>
          <w:szCs w:val="20"/>
        </w:rPr>
        <w:t>, 7(2), 197</w:t>
      </w:r>
      <w:r w:rsidR="00AF57F9" w:rsidRPr="001276C9">
        <w:rPr>
          <w:rFonts w:asciiTheme="minorHAnsi" w:hAnsiTheme="minorHAnsi" w:cstheme="minorHAnsi"/>
          <w:sz w:val="20"/>
          <w:szCs w:val="20"/>
        </w:rPr>
        <w:sym w:font="Symbol" w:char="F02D"/>
      </w:r>
      <w:r w:rsidRPr="001276C9">
        <w:rPr>
          <w:rFonts w:asciiTheme="minorHAnsi" w:hAnsiTheme="minorHAnsi"/>
          <w:sz w:val="20"/>
          <w:szCs w:val="20"/>
        </w:rPr>
        <w:t>201.</w:t>
      </w:r>
    </w:p>
    <w:p w14:paraId="2154B46F" w14:textId="64A4D93C" w:rsidR="00BB5EA1" w:rsidRPr="00E41C57" w:rsidRDefault="00BB5EA1" w:rsidP="00E41C57">
      <w:pPr>
        <w:pStyle w:val="PlainText"/>
        <w:spacing w:after="180" w:line="270" w:lineRule="exact"/>
        <w:rPr>
          <w:rFonts w:asciiTheme="minorHAnsi" w:hAnsiTheme="minorHAnsi"/>
          <w:sz w:val="20"/>
          <w:szCs w:val="20"/>
        </w:rPr>
      </w:pPr>
      <w:r w:rsidRPr="001276C9">
        <w:rPr>
          <w:rFonts w:asciiTheme="minorHAnsi" w:hAnsiTheme="minorHAnsi"/>
          <w:sz w:val="20"/>
          <w:szCs w:val="20"/>
        </w:rPr>
        <w:t xml:space="preserve">Wooldridge, Jeffrey (2010) </w:t>
      </w:r>
      <w:r w:rsidRPr="001276C9">
        <w:rPr>
          <w:rFonts w:asciiTheme="minorHAnsi" w:hAnsiTheme="minorHAnsi"/>
          <w:i/>
          <w:iCs/>
          <w:sz w:val="20"/>
          <w:szCs w:val="20"/>
        </w:rPr>
        <w:t>Econometric Analysis of Cross Section and Panel Data</w:t>
      </w:r>
      <w:r w:rsidRPr="001276C9">
        <w:rPr>
          <w:rFonts w:asciiTheme="minorHAnsi" w:hAnsiTheme="minorHAnsi"/>
          <w:sz w:val="20"/>
          <w:szCs w:val="20"/>
        </w:rPr>
        <w:t>, 2</w:t>
      </w:r>
      <w:r w:rsidRPr="001276C9">
        <w:rPr>
          <w:rFonts w:asciiTheme="minorHAnsi" w:hAnsiTheme="minorHAnsi"/>
          <w:sz w:val="20"/>
          <w:szCs w:val="20"/>
          <w:vertAlign w:val="superscript"/>
        </w:rPr>
        <w:t>nd</w:t>
      </w:r>
      <w:r w:rsidRPr="001276C9">
        <w:rPr>
          <w:rFonts w:asciiTheme="minorHAnsi" w:hAnsiTheme="minorHAnsi"/>
          <w:sz w:val="20"/>
          <w:szCs w:val="20"/>
        </w:rPr>
        <w:t xml:space="preserve"> Edition, MIT Press, Cambridge, Massachusetts.</w:t>
      </w:r>
    </w:p>
    <w:p w14:paraId="518EC7DF" w14:textId="77777777" w:rsidR="0081720E" w:rsidRPr="0091618D" w:rsidRDefault="0081720E" w:rsidP="0091618D">
      <w:pPr>
        <w:pStyle w:val="BodyText"/>
      </w:pPr>
    </w:p>
    <w:sectPr w:rsidR="0081720E" w:rsidRPr="0091618D" w:rsidSect="00597605">
      <w:footerReference w:type="default" r:id="rId35"/>
      <w:footerReference w:type="first" r:id="rId36"/>
      <w:pgSz w:w="11906" w:h="16838" w:code="9"/>
      <w:pgMar w:top="1440" w:right="1440" w:bottom="1440" w:left="357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32F95" w14:textId="77777777" w:rsidR="00403214" w:rsidRDefault="00403214" w:rsidP="00F244EA">
      <w:pPr>
        <w:spacing w:after="0" w:line="240" w:lineRule="auto"/>
      </w:pPr>
      <w:r>
        <w:separator/>
      </w:r>
    </w:p>
  </w:endnote>
  <w:endnote w:type="continuationSeparator" w:id="0">
    <w:p w14:paraId="55973AF0" w14:textId="77777777" w:rsidR="00403214" w:rsidRDefault="00403214" w:rsidP="00F244EA">
      <w:pPr>
        <w:spacing w:after="0" w:line="240" w:lineRule="auto"/>
      </w:pPr>
      <w:r>
        <w:continuationSeparator/>
      </w:r>
    </w:p>
  </w:endnote>
  <w:endnote w:type="continuationNotice" w:id="1">
    <w:p w14:paraId="5A21F7EE" w14:textId="77777777" w:rsidR="00403214" w:rsidRDefault="00403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C720" w14:textId="77777777" w:rsidR="00403214" w:rsidRPr="001C2E57" w:rsidRDefault="00403214" w:rsidP="00301D88">
    <w:pPr>
      <w:pStyle w:val="Footer"/>
      <w:tabs>
        <w:tab w:val="clear" w:pos="9680"/>
      </w:tabs>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F47C7A">
      <w:rPr>
        <w:noProof/>
      </w:rPr>
      <w:instrText>Impact of Commercialisation Australia on Business Performance</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F47C7A">
      <w:rPr>
        <w:noProof/>
      </w:rPr>
      <w:instrText>Impact of Commercialisation Australia on Business Performance</w:instrText>
    </w:r>
    <w:r>
      <w:rPr>
        <w:noProof/>
      </w:rPr>
      <w:fldChar w:fldCharType="end"/>
    </w:r>
    <w:r w:rsidRPr="001C2E57">
      <w:instrText xml:space="preserve"> </w:instrText>
    </w:r>
    <w:r w:rsidRPr="001C2E57">
      <w:fldChar w:fldCharType="separate"/>
    </w:r>
    <w:r w:rsidR="00F47C7A">
      <w:rPr>
        <w:noProof/>
      </w:rPr>
      <w:t>Impact of Commercialisation Australia on Business Performance</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F47C7A">
      <w:rPr>
        <w:noProof/>
      </w:rPr>
      <w:t>3</w:t>
    </w:r>
    <w:r w:rsidRPr="001C2E5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EDD9" w14:textId="77777777" w:rsidR="00403214" w:rsidRPr="001C2E57" w:rsidRDefault="00403214"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F47C7A">
      <w:rPr>
        <w:noProof/>
      </w:rPr>
      <w:instrText>Impact of Commercialisation Australia on Business Performance</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F47C7A">
      <w:rPr>
        <w:noProof/>
      </w:rPr>
      <w:instrText>Impact of Commercialisation Australia on Business Performance</w:instrText>
    </w:r>
    <w:r>
      <w:rPr>
        <w:noProof/>
      </w:rPr>
      <w:fldChar w:fldCharType="end"/>
    </w:r>
    <w:r w:rsidRPr="001C2E57">
      <w:instrText xml:space="preserve"> </w:instrText>
    </w:r>
    <w:r w:rsidRPr="001C2E57">
      <w:fldChar w:fldCharType="separate"/>
    </w:r>
    <w:r w:rsidR="00F47C7A">
      <w:rPr>
        <w:noProof/>
      </w:rPr>
      <w:t>Impact of Commercialisation Australia on Business Performance</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E5A03" w14:textId="77777777" w:rsidR="00403214" w:rsidRDefault="00403214" w:rsidP="009547C4">
      <w:pPr>
        <w:spacing w:after="0" w:line="240" w:lineRule="auto"/>
        <w:ind w:left="0"/>
      </w:pPr>
      <w:r>
        <w:separator/>
      </w:r>
    </w:p>
  </w:footnote>
  <w:footnote w:type="continuationSeparator" w:id="0">
    <w:p w14:paraId="48056708" w14:textId="77777777" w:rsidR="00403214" w:rsidRDefault="00403214" w:rsidP="00F244EA">
      <w:pPr>
        <w:spacing w:after="0" w:line="240" w:lineRule="auto"/>
      </w:pPr>
      <w:r>
        <w:continuationSeparator/>
      </w:r>
    </w:p>
  </w:footnote>
  <w:footnote w:type="continuationNotice" w:id="1">
    <w:p w14:paraId="66BC52E9" w14:textId="77777777" w:rsidR="00403214" w:rsidRDefault="00403214">
      <w:pPr>
        <w:spacing w:after="0" w:line="240" w:lineRule="auto"/>
      </w:pPr>
    </w:p>
  </w:footnote>
  <w:footnote w:id="2">
    <w:p w14:paraId="1C842C46" w14:textId="77777777" w:rsidR="00403214" w:rsidRDefault="00403214" w:rsidP="002F1551">
      <w:pPr>
        <w:pStyle w:val="FootnoteText"/>
        <w:ind w:left="0" w:firstLine="0"/>
      </w:pPr>
      <w:r>
        <w:rPr>
          <w:rStyle w:val="FootnoteReference"/>
        </w:rPr>
        <w:footnoteRef/>
      </w:r>
      <w:r>
        <w:t xml:space="preserve"> Other changes made to the programme in December 2011 included lifting the repayable grant requirement and expanding </w:t>
      </w:r>
      <w:r w:rsidRPr="005768E9">
        <w:t xml:space="preserve">eligible expenditure guidelines for </w:t>
      </w:r>
      <w:r w:rsidRPr="00A7435F">
        <w:t>Early Stage Commercialisation</w:t>
      </w:r>
      <w:r w:rsidRPr="005768E9">
        <w:t xml:space="preserve"> to allow more generous support for the development of pilot plant and innovative manufacturing facilities.</w:t>
      </w:r>
    </w:p>
  </w:footnote>
  <w:footnote w:id="3">
    <w:p w14:paraId="37251EAF" w14:textId="2FF399DE" w:rsidR="00403214" w:rsidRDefault="00403214" w:rsidP="00B50EA3">
      <w:pPr>
        <w:pStyle w:val="DisclaimerandAcknowledgement"/>
      </w:pPr>
      <w:r>
        <w:rPr>
          <w:rStyle w:val="FootnoteReference"/>
        </w:rPr>
        <w:footnoteRef/>
      </w:r>
      <w:r w:rsidRPr="004D7C6B">
        <w:t xml:space="preserve"> </w:t>
      </w:r>
      <w:r>
        <w:t>The ABS defines Type-of activity Unit as “</w:t>
      </w:r>
      <w:r w:rsidRPr="004D7C6B">
        <w:t>a producing unit comprising one or more legal entities, sub-entities or branches of a legal entity that can report productive and employment activities via a minimum set of data items'' (ABS Cat.No.1292.0)</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59A6EC1"/>
    <w:multiLevelType w:val="multilevel"/>
    <w:tmpl w:val="3BFA39A6"/>
    <w:numStyleLink w:val="OCENumberedList"/>
  </w:abstractNum>
  <w:abstractNum w:abstractNumId="2"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3"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4"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5" w15:restartNumberingAfterBreak="0">
    <w:nsid w:val="3B1E3903"/>
    <w:multiLevelType w:val="hybridMultilevel"/>
    <w:tmpl w:val="858E3C28"/>
    <w:lvl w:ilvl="0" w:tplc="F6CA497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7"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 w15:restartNumberingAfterBreak="0">
    <w:nsid w:val="4B94390E"/>
    <w:multiLevelType w:val="multilevel"/>
    <w:tmpl w:val="7D22E52C"/>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3813CDC"/>
    <w:multiLevelType w:val="multilevel"/>
    <w:tmpl w:val="D5BAF582"/>
    <w:numStyleLink w:val="OCEHeadings"/>
  </w:abstractNum>
  <w:abstractNum w:abstractNumId="10" w15:restartNumberingAfterBreak="0">
    <w:nsid w:val="65E13EBD"/>
    <w:multiLevelType w:val="hybridMultilevel"/>
    <w:tmpl w:val="4948D2E2"/>
    <w:lvl w:ilvl="0" w:tplc="84E2506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6C66B6"/>
    <w:multiLevelType w:val="hybridMultilevel"/>
    <w:tmpl w:val="246A6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2"/>
  </w:num>
  <w:num w:numId="3">
    <w:abstractNumId w:val="0"/>
  </w:num>
  <w:num w:numId="4">
    <w:abstractNumId w:val="8"/>
  </w:num>
  <w:num w:numId="5">
    <w:abstractNumId w:val="4"/>
  </w:num>
  <w:num w:numId="6">
    <w:abstractNumId w:val="3"/>
  </w:num>
  <w:num w:numId="7">
    <w:abstractNumId w:val="7"/>
  </w:num>
  <w:num w:numId="8">
    <w:abstractNumId w:val="2"/>
  </w:num>
  <w:num w:numId="9">
    <w:abstractNumId w:val="9"/>
  </w:num>
  <w:num w:numId="10">
    <w:abstractNumId w:val="9"/>
  </w:num>
  <w:num w:numId="11">
    <w:abstractNumId w:val="1"/>
  </w:num>
  <w:num w:numId="12">
    <w:abstractNumId w:val="2"/>
  </w:num>
  <w:num w:numId="13">
    <w:abstractNumId w:val="9"/>
  </w:num>
  <w:num w:numId="14">
    <w:abstractNumId w:val="8"/>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4F"/>
    <w:rsid w:val="00000A47"/>
    <w:rsid w:val="00001F7F"/>
    <w:rsid w:val="00002F55"/>
    <w:rsid w:val="000032D0"/>
    <w:rsid w:val="000036F1"/>
    <w:rsid w:val="00003B81"/>
    <w:rsid w:val="00004365"/>
    <w:rsid w:val="00004BF6"/>
    <w:rsid w:val="00004E23"/>
    <w:rsid w:val="0000603D"/>
    <w:rsid w:val="0000642F"/>
    <w:rsid w:val="00007EBB"/>
    <w:rsid w:val="00010903"/>
    <w:rsid w:val="0001161C"/>
    <w:rsid w:val="00011BE7"/>
    <w:rsid w:val="00011DDE"/>
    <w:rsid w:val="000122D8"/>
    <w:rsid w:val="00012989"/>
    <w:rsid w:val="00013F4A"/>
    <w:rsid w:val="00013F80"/>
    <w:rsid w:val="00014119"/>
    <w:rsid w:val="0001514E"/>
    <w:rsid w:val="00015629"/>
    <w:rsid w:val="000156A5"/>
    <w:rsid w:val="00016BCF"/>
    <w:rsid w:val="00017BB5"/>
    <w:rsid w:val="00017C0B"/>
    <w:rsid w:val="00022E9A"/>
    <w:rsid w:val="000238B9"/>
    <w:rsid w:val="0002648C"/>
    <w:rsid w:val="000266A5"/>
    <w:rsid w:val="000270C8"/>
    <w:rsid w:val="00027EE0"/>
    <w:rsid w:val="0003058C"/>
    <w:rsid w:val="000318FC"/>
    <w:rsid w:val="00032E9F"/>
    <w:rsid w:val="00033321"/>
    <w:rsid w:val="0003407D"/>
    <w:rsid w:val="00035325"/>
    <w:rsid w:val="00035485"/>
    <w:rsid w:val="000362B9"/>
    <w:rsid w:val="00037B42"/>
    <w:rsid w:val="00041FA2"/>
    <w:rsid w:val="00041FE3"/>
    <w:rsid w:val="000428B4"/>
    <w:rsid w:val="00043051"/>
    <w:rsid w:val="00047373"/>
    <w:rsid w:val="000503A8"/>
    <w:rsid w:val="0005071F"/>
    <w:rsid w:val="00050BCE"/>
    <w:rsid w:val="000542AD"/>
    <w:rsid w:val="000545EC"/>
    <w:rsid w:val="00054ADF"/>
    <w:rsid w:val="000556DA"/>
    <w:rsid w:val="00055B61"/>
    <w:rsid w:val="00055EB7"/>
    <w:rsid w:val="00056956"/>
    <w:rsid w:val="00056E49"/>
    <w:rsid w:val="000573CC"/>
    <w:rsid w:val="0005753A"/>
    <w:rsid w:val="0005790F"/>
    <w:rsid w:val="00060184"/>
    <w:rsid w:val="00060761"/>
    <w:rsid w:val="000607D2"/>
    <w:rsid w:val="00060CE1"/>
    <w:rsid w:val="0006114F"/>
    <w:rsid w:val="000614AF"/>
    <w:rsid w:val="0006186C"/>
    <w:rsid w:val="000618FB"/>
    <w:rsid w:val="00062AB5"/>
    <w:rsid w:val="000637C6"/>
    <w:rsid w:val="000641E0"/>
    <w:rsid w:val="0006492D"/>
    <w:rsid w:val="000661A5"/>
    <w:rsid w:val="0006696D"/>
    <w:rsid w:val="00066AF9"/>
    <w:rsid w:val="00066EE7"/>
    <w:rsid w:val="00067812"/>
    <w:rsid w:val="00067FB4"/>
    <w:rsid w:val="00070749"/>
    <w:rsid w:val="0007137D"/>
    <w:rsid w:val="000728D2"/>
    <w:rsid w:val="000729B2"/>
    <w:rsid w:val="000731E4"/>
    <w:rsid w:val="00074CB9"/>
    <w:rsid w:val="00075558"/>
    <w:rsid w:val="00075C8C"/>
    <w:rsid w:val="0007641A"/>
    <w:rsid w:val="000768B8"/>
    <w:rsid w:val="00076E42"/>
    <w:rsid w:val="0007701F"/>
    <w:rsid w:val="00081168"/>
    <w:rsid w:val="00082113"/>
    <w:rsid w:val="00082BF4"/>
    <w:rsid w:val="0008304F"/>
    <w:rsid w:val="0008317E"/>
    <w:rsid w:val="00086450"/>
    <w:rsid w:val="00090174"/>
    <w:rsid w:val="000904D3"/>
    <w:rsid w:val="000907D4"/>
    <w:rsid w:val="00091BC7"/>
    <w:rsid w:val="000920D2"/>
    <w:rsid w:val="0009527F"/>
    <w:rsid w:val="000952B5"/>
    <w:rsid w:val="00096250"/>
    <w:rsid w:val="00096B03"/>
    <w:rsid w:val="00096BFD"/>
    <w:rsid w:val="00096D68"/>
    <w:rsid w:val="00096F0A"/>
    <w:rsid w:val="000A011E"/>
    <w:rsid w:val="000A02A3"/>
    <w:rsid w:val="000A23E5"/>
    <w:rsid w:val="000A29BA"/>
    <w:rsid w:val="000A3D02"/>
    <w:rsid w:val="000A3D7F"/>
    <w:rsid w:val="000A4055"/>
    <w:rsid w:val="000A4A22"/>
    <w:rsid w:val="000A4E45"/>
    <w:rsid w:val="000A5452"/>
    <w:rsid w:val="000A5CFF"/>
    <w:rsid w:val="000A6370"/>
    <w:rsid w:val="000A63C0"/>
    <w:rsid w:val="000A654E"/>
    <w:rsid w:val="000A6647"/>
    <w:rsid w:val="000A67E3"/>
    <w:rsid w:val="000A6865"/>
    <w:rsid w:val="000A6F5B"/>
    <w:rsid w:val="000A7D3E"/>
    <w:rsid w:val="000B072A"/>
    <w:rsid w:val="000B279E"/>
    <w:rsid w:val="000B2C1B"/>
    <w:rsid w:val="000B2DFC"/>
    <w:rsid w:val="000B39BB"/>
    <w:rsid w:val="000B3B60"/>
    <w:rsid w:val="000B4B4C"/>
    <w:rsid w:val="000B4C4B"/>
    <w:rsid w:val="000B4F79"/>
    <w:rsid w:val="000B5616"/>
    <w:rsid w:val="000B5BC7"/>
    <w:rsid w:val="000B6D68"/>
    <w:rsid w:val="000B7F7A"/>
    <w:rsid w:val="000C021C"/>
    <w:rsid w:val="000C0221"/>
    <w:rsid w:val="000C03CF"/>
    <w:rsid w:val="000C0DD7"/>
    <w:rsid w:val="000C19CB"/>
    <w:rsid w:val="000C34F9"/>
    <w:rsid w:val="000C4B3F"/>
    <w:rsid w:val="000C5C3C"/>
    <w:rsid w:val="000C6AD6"/>
    <w:rsid w:val="000C6D96"/>
    <w:rsid w:val="000C7045"/>
    <w:rsid w:val="000D33DA"/>
    <w:rsid w:val="000D3F13"/>
    <w:rsid w:val="000D409E"/>
    <w:rsid w:val="000D4A18"/>
    <w:rsid w:val="000D5123"/>
    <w:rsid w:val="000D6FF3"/>
    <w:rsid w:val="000E0724"/>
    <w:rsid w:val="000E11BE"/>
    <w:rsid w:val="000E1562"/>
    <w:rsid w:val="000E3576"/>
    <w:rsid w:val="000E3CAC"/>
    <w:rsid w:val="000E3DE3"/>
    <w:rsid w:val="000E407F"/>
    <w:rsid w:val="000E415F"/>
    <w:rsid w:val="000E4F13"/>
    <w:rsid w:val="000E537C"/>
    <w:rsid w:val="000E5A78"/>
    <w:rsid w:val="000F0460"/>
    <w:rsid w:val="000F0E5C"/>
    <w:rsid w:val="000F1606"/>
    <w:rsid w:val="000F34ED"/>
    <w:rsid w:val="000F410B"/>
    <w:rsid w:val="000F5573"/>
    <w:rsid w:val="000F5C78"/>
    <w:rsid w:val="000F5EC4"/>
    <w:rsid w:val="000F5F45"/>
    <w:rsid w:val="000F6052"/>
    <w:rsid w:val="000F6120"/>
    <w:rsid w:val="00100B74"/>
    <w:rsid w:val="00101688"/>
    <w:rsid w:val="00101A29"/>
    <w:rsid w:val="00102DBC"/>
    <w:rsid w:val="00105697"/>
    <w:rsid w:val="00107A3F"/>
    <w:rsid w:val="0011131F"/>
    <w:rsid w:val="0011171A"/>
    <w:rsid w:val="00111830"/>
    <w:rsid w:val="00112208"/>
    <w:rsid w:val="00114BB1"/>
    <w:rsid w:val="00116191"/>
    <w:rsid w:val="0011640A"/>
    <w:rsid w:val="00116423"/>
    <w:rsid w:val="00116E58"/>
    <w:rsid w:val="0011746D"/>
    <w:rsid w:val="001175E1"/>
    <w:rsid w:val="00117988"/>
    <w:rsid w:val="00117EC0"/>
    <w:rsid w:val="00117F4C"/>
    <w:rsid w:val="0012045F"/>
    <w:rsid w:val="00120AE7"/>
    <w:rsid w:val="00120E94"/>
    <w:rsid w:val="00121220"/>
    <w:rsid w:val="00121511"/>
    <w:rsid w:val="00122E74"/>
    <w:rsid w:val="001243D4"/>
    <w:rsid w:val="0012454D"/>
    <w:rsid w:val="001246EC"/>
    <w:rsid w:val="00125559"/>
    <w:rsid w:val="00125971"/>
    <w:rsid w:val="00126565"/>
    <w:rsid w:val="001276C9"/>
    <w:rsid w:val="0013066A"/>
    <w:rsid w:val="00131A24"/>
    <w:rsid w:val="00131CB5"/>
    <w:rsid w:val="001326FA"/>
    <w:rsid w:val="00132BF7"/>
    <w:rsid w:val="001335DD"/>
    <w:rsid w:val="00134B28"/>
    <w:rsid w:val="00135E19"/>
    <w:rsid w:val="001366E8"/>
    <w:rsid w:val="00136990"/>
    <w:rsid w:val="00136F02"/>
    <w:rsid w:val="001403CB"/>
    <w:rsid w:val="00140672"/>
    <w:rsid w:val="001409E1"/>
    <w:rsid w:val="0014137D"/>
    <w:rsid w:val="001413F9"/>
    <w:rsid w:val="00141E83"/>
    <w:rsid w:val="001422F4"/>
    <w:rsid w:val="00143B0D"/>
    <w:rsid w:val="001463EE"/>
    <w:rsid w:val="00147571"/>
    <w:rsid w:val="0015000D"/>
    <w:rsid w:val="001509B7"/>
    <w:rsid w:val="001517A1"/>
    <w:rsid w:val="001519FB"/>
    <w:rsid w:val="00155DB0"/>
    <w:rsid w:val="001563AA"/>
    <w:rsid w:val="001567DA"/>
    <w:rsid w:val="001569F7"/>
    <w:rsid w:val="00156B5B"/>
    <w:rsid w:val="00156D99"/>
    <w:rsid w:val="001571B9"/>
    <w:rsid w:val="001579D0"/>
    <w:rsid w:val="001613B4"/>
    <w:rsid w:val="001638E7"/>
    <w:rsid w:val="00163D6E"/>
    <w:rsid w:val="001651ED"/>
    <w:rsid w:val="001658D2"/>
    <w:rsid w:val="00165EED"/>
    <w:rsid w:val="00166576"/>
    <w:rsid w:val="0016686E"/>
    <w:rsid w:val="00166996"/>
    <w:rsid w:val="00167C19"/>
    <w:rsid w:val="00167CAB"/>
    <w:rsid w:val="00167D0E"/>
    <w:rsid w:val="00167EBC"/>
    <w:rsid w:val="0017007B"/>
    <w:rsid w:val="00171242"/>
    <w:rsid w:val="00171D34"/>
    <w:rsid w:val="001723B4"/>
    <w:rsid w:val="0017293E"/>
    <w:rsid w:val="00172990"/>
    <w:rsid w:val="001732B4"/>
    <w:rsid w:val="0017431B"/>
    <w:rsid w:val="00174624"/>
    <w:rsid w:val="0017468E"/>
    <w:rsid w:val="001747F7"/>
    <w:rsid w:val="0017517E"/>
    <w:rsid w:val="00176DDA"/>
    <w:rsid w:val="0017752C"/>
    <w:rsid w:val="00177832"/>
    <w:rsid w:val="00180A49"/>
    <w:rsid w:val="00180E4F"/>
    <w:rsid w:val="00181C21"/>
    <w:rsid w:val="00181D3C"/>
    <w:rsid w:val="001828D1"/>
    <w:rsid w:val="00182B15"/>
    <w:rsid w:val="001848A8"/>
    <w:rsid w:val="001851B5"/>
    <w:rsid w:val="001862AC"/>
    <w:rsid w:val="00186814"/>
    <w:rsid w:val="00186D3D"/>
    <w:rsid w:val="00187673"/>
    <w:rsid w:val="001900EE"/>
    <w:rsid w:val="0019168F"/>
    <w:rsid w:val="00192602"/>
    <w:rsid w:val="001928FF"/>
    <w:rsid w:val="00194DDE"/>
    <w:rsid w:val="00195C83"/>
    <w:rsid w:val="00196173"/>
    <w:rsid w:val="001976CC"/>
    <w:rsid w:val="001A0FBF"/>
    <w:rsid w:val="001A1CF4"/>
    <w:rsid w:val="001A2C7C"/>
    <w:rsid w:val="001A322A"/>
    <w:rsid w:val="001A3451"/>
    <w:rsid w:val="001A425B"/>
    <w:rsid w:val="001A48B2"/>
    <w:rsid w:val="001A4E10"/>
    <w:rsid w:val="001A5959"/>
    <w:rsid w:val="001A5A82"/>
    <w:rsid w:val="001A60A9"/>
    <w:rsid w:val="001A6352"/>
    <w:rsid w:val="001A6A0D"/>
    <w:rsid w:val="001A744E"/>
    <w:rsid w:val="001A797E"/>
    <w:rsid w:val="001B032F"/>
    <w:rsid w:val="001B04D7"/>
    <w:rsid w:val="001B0DE3"/>
    <w:rsid w:val="001B1F17"/>
    <w:rsid w:val="001B2A91"/>
    <w:rsid w:val="001B345E"/>
    <w:rsid w:val="001B3F96"/>
    <w:rsid w:val="001B4024"/>
    <w:rsid w:val="001B419D"/>
    <w:rsid w:val="001B49DC"/>
    <w:rsid w:val="001B54B9"/>
    <w:rsid w:val="001B5DF3"/>
    <w:rsid w:val="001B6098"/>
    <w:rsid w:val="001B61E8"/>
    <w:rsid w:val="001B6316"/>
    <w:rsid w:val="001B6554"/>
    <w:rsid w:val="001B6583"/>
    <w:rsid w:val="001C0CD7"/>
    <w:rsid w:val="001C1A5A"/>
    <w:rsid w:val="001C1BA9"/>
    <w:rsid w:val="001C1E85"/>
    <w:rsid w:val="001C4733"/>
    <w:rsid w:val="001C49E7"/>
    <w:rsid w:val="001C4B1A"/>
    <w:rsid w:val="001C4FFC"/>
    <w:rsid w:val="001C5291"/>
    <w:rsid w:val="001C5390"/>
    <w:rsid w:val="001C606C"/>
    <w:rsid w:val="001C7589"/>
    <w:rsid w:val="001C7FEA"/>
    <w:rsid w:val="001D0363"/>
    <w:rsid w:val="001D07A5"/>
    <w:rsid w:val="001D0910"/>
    <w:rsid w:val="001D1130"/>
    <w:rsid w:val="001D12B3"/>
    <w:rsid w:val="001D1659"/>
    <w:rsid w:val="001D1B60"/>
    <w:rsid w:val="001D204F"/>
    <w:rsid w:val="001D2268"/>
    <w:rsid w:val="001D2932"/>
    <w:rsid w:val="001D2E2D"/>
    <w:rsid w:val="001D331A"/>
    <w:rsid w:val="001D33F4"/>
    <w:rsid w:val="001D4374"/>
    <w:rsid w:val="001D4E68"/>
    <w:rsid w:val="001D72E6"/>
    <w:rsid w:val="001D7953"/>
    <w:rsid w:val="001D7EAD"/>
    <w:rsid w:val="001E00DE"/>
    <w:rsid w:val="001E2136"/>
    <w:rsid w:val="001E2461"/>
    <w:rsid w:val="001E2AE9"/>
    <w:rsid w:val="001E3FC7"/>
    <w:rsid w:val="001E4942"/>
    <w:rsid w:val="001E7B97"/>
    <w:rsid w:val="001F1004"/>
    <w:rsid w:val="001F1E5D"/>
    <w:rsid w:val="001F1F04"/>
    <w:rsid w:val="001F3BD4"/>
    <w:rsid w:val="001F551B"/>
    <w:rsid w:val="001F5BC1"/>
    <w:rsid w:val="001F5C2A"/>
    <w:rsid w:val="001F5F85"/>
    <w:rsid w:val="001F61C6"/>
    <w:rsid w:val="001F67A9"/>
    <w:rsid w:val="001F6DD4"/>
    <w:rsid w:val="001F6FAB"/>
    <w:rsid w:val="001F7477"/>
    <w:rsid w:val="001F74CA"/>
    <w:rsid w:val="00200191"/>
    <w:rsid w:val="002010AF"/>
    <w:rsid w:val="00201954"/>
    <w:rsid w:val="002029E0"/>
    <w:rsid w:val="002029FA"/>
    <w:rsid w:val="00203E4D"/>
    <w:rsid w:val="00205A0A"/>
    <w:rsid w:val="002064AB"/>
    <w:rsid w:val="002068DE"/>
    <w:rsid w:val="00207392"/>
    <w:rsid w:val="002076C8"/>
    <w:rsid w:val="002079EE"/>
    <w:rsid w:val="00207D37"/>
    <w:rsid w:val="00207D86"/>
    <w:rsid w:val="00210189"/>
    <w:rsid w:val="00211165"/>
    <w:rsid w:val="002116F6"/>
    <w:rsid w:val="002118CB"/>
    <w:rsid w:val="00211CF1"/>
    <w:rsid w:val="0021266B"/>
    <w:rsid w:val="0021306F"/>
    <w:rsid w:val="0021337C"/>
    <w:rsid w:val="00213BFE"/>
    <w:rsid w:val="00214241"/>
    <w:rsid w:val="002143B8"/>
    <w:rsid w:val="00214633"/>
    <w:rsid w:val="00216B4D"/>
    <w:rsid w:val="0022074A"/>
    <w:rsid w:val="00220E3F"/>
    <w:rsid w:val="0022378D"/>
    <w:rsid w:val="00224E78"/>
    <w:rsid w:val="00225842"/>
    <w:rsid w:val="002266DC"/>
    <w:rsid w:val="0022763F"/>
    <w:rsid w:val="00230351"/>
    <w:rsid w:val="002309CC"/>
    <w:rsid w:val="00231C3E"/>
    <w:rsid w:val="002329E0"/>
    <w:rsid w:val="00233506"/>
    <w:rsid w:val="00234282"/>
    <w:rsid w:val="00234CEA"/>
    <w:rsid w:val="00235C61"/>
    <w:rsid w:val="00235F34"/>
    <w:rsid w:val="00236A0C"/>
    <w:rsid w:val="002400CF"/>
    <w:rsid w:val="002403C4"/>
    <w:rsid w:val="00240DBB"/>
    <w:rsid w:val="00241B50"/>
    <w:rsid w:val="002428C6"/>
    <w:rsid w:val="00242CF1"/>
    <w:rsid w:val="00244687"/>
    <w:rsid w:val="002452A6"/>
    <w:rsid w:val="00246360"/>
    <w:rsid w:val="00246D01"/>
    <w:rsid w:val="00246F21"/>
    <w:rsid w:val="002473F5"/>
    <w:rsid w:val="00247B26"/>
    <w:rsid w:val="002500A9"/>
    <w:rsid w:val="00250593"/>
    <w:rsid w:val="002507F4"/>
    <w:rsid w:val="00251254"/>
    <w:rsid w:val="00251756"/>
    <w:rsid w:val="00252C28"/>
    <w:rsid w:val="00254207"/>
    <w:rsid w:val="00255773"/>
    <w:rsid w:val="00256BD3"/>
    <w:rsid w:val="002602DD"/>
    <w:rsid w:val="00260901"/>
    <w:rsid w:val="00260936"/>
    <w:rsid w:val="00260D4F"/>
    <w:rsid w:val="002610D8"/>
    <w:rsid w:val="002619D0"/>
    <w:rsid w:val="002630DD"/>
    <w:rsid w:val="002656FB"/>
    <w:rsid w:val="0026576F"/>
    <w:rsid w:val="0026658D"/>
    <w:rsid w:val="00267507"/>
    <w:rsid w:val="002718DA"/>
    <w:rsid w:val="00272952"/>
    <w:rsid w:val="00272B64"/>
    <w:rsid w:val="00272EC9"/>
    <w:rsid w:val="00273A42"/>
    <w:rsid w:val="00274DC6"/>
    <w:rsid w:val="002757A5"/>
    <w:rsid w:val="00275967"/>
    <w:rsid w:val="00276AFF"/>
    <w:rsid w:val="002773E1"/>
    <w:rsid w:val="0027757B"/>
    <w:rsid w:val="00280EB9"/>
    <w:rsid w:val="002812A8"/>
    <w:rsid w:val="0028144D"/>
    <w:rsid w:val="002830F6"/>
    <w:rsid w:val="00285332"/>
    <w:rsid w:val="002855AD"/>
    <w:rsid w:val="00285A2F"/>
    <w:rsid w:val="0028643A"/>
    <w:rsid w:val="002866DE"/>
    <w:rsid w:val="00287953"/>
    <w:rsid w:val="0029196F"/>
    <w:rsid w:val="0029234D"/>
    <w:rsid w:val="00292AE8"/>
    <w:rsid w:val="0029356F"/>
    <w:rsid w:val="002A1CE6"/>
    <w:rsid w:val="002A284C"/>
    <w:rsid w:val="002A2EC7"/>
    <w:rsid w:val="002A33E7"/>
    <w:rsid w:val="002A3D82"/>
    <w:rsid w:val="002A41F0"/>
    <w:rsid w:val="002A4D0A"/>
    <w:rsid w:val="002A4E8E"/>
    <w:rsid w:val="002A6979"/>
    <w:rsid w:val="002A7790"/>
    <w:rsid w:val="002A7F2D"/>
    <w:rsid w:val="002B1DAD"/>
    <w:rsid w:val="002B1DD2"/>
    <w:rsid w:val="002B22C0"/>
    <w:rsid w:val="002B2B51"/>
    <w:rsid w:val="002B3209"/>
    <w:rsid w:val="002B3220"/>
    <w:rsid w:val="002B3BA4"/>
    <w:rsid w:val="002B5631"/>
    <w:rsid w:val="002B66F2"/>
    <w:rsid w:val="002B6805"/>
    <w:rsid w:val="002B74EC"/>
    <w:rsid w:val="002B779D"/>
    <w:rsid w:val="002B7825"/>
    <w:rsid w:val="002B79CB"/>
    <w:rsid w:val="002C04E0"/>
    <w:rsid w:val="002C1206"/>
    <w:rsid w:val="002C121C"/>
    <w:rsid w:val="002C2492"/>
    <w:rsid w:val="002C28D9"/>
    <w:rsid w:val="002C2ED8"/>
    <w:rsid w:val="002C46B8"/>
    <w:rsid w:val="002C46C9"/>
    <w:rsid w:val="002C6DF2"/>
    <w:rsid w:val="002C7B38"/>
    <w:rsid w:val="002D00F6"/>
    <w:rsid w:val="002D0127"/>
    <w:rsid w:val="002D034F"/>
    <w:rsid w:val="002D0CA9"/>
    <w:rsid w:val="002D24E3"/>
    <w:rsid w:val="002D322E"/>
    <w:rsid w:val="002D4188"/>
    <w:rsid w:val="002D4DC6"/>
    <w:rsid w:val="002D51A9"/>
    <w:rsid w:val="002D56BA"/>
    <w:rsid w:val="002D5C65"/>
    <w:rsid w:val="002D5DD5"/>
    <w:rsid w:val="002D62C7"/>
    <w:rsid w:val="002D7112"/>
    <w:rsid w:val="002E2C69"/>
    <w:rsid w:val="002E3270"/>
    <w:rsid w:val="002E3B47"/>
    <w:rsid w:val="002E3D51"/>
    <w:rsid w:val="002E43BD"/>
    <w:rsid w:val="002E4F74"/>
    <w:rsid w:val="002E5008"/>
    <w:rsid w:val="002E5396"/>
    <w:rsid w:val="002E54DD"/>
    <w:rsid w:val="002E64B1"/>
    <w:rsid w:val="002F03AE"/>
    <w:rsid w:val="002F0A72"/>
    <w:rsid w:val="002F0EEF"/>
    <w:rsid w:val="002F1551"/>
    <w:rsid w:val="002F2208"/>
    <w:rsid w:val="002F254D"/>
    <w:rsid w:val="002F3F7B"/>
    <w:rsid w:val="002F487F"/>
    <w:rsid w:val="002F56EE"/>
    <w:rsid w:val="002F6208"/>
    <w:rsid w:val="002F7794"/>
    <w:rsid w:val="003000C1"/>
    <w:rsid w:val="0030045C"/>
    <w:rsid w:val="00300738"/>
    <w:rsid w:val="00301D88"/>
    <w:rsid w:val="00302BAF"/>
    <w:rsid w:val="00303EF6"/>
    <w:rsid w:val="0030442F"/>
    <w:rsid w:val="003072A2"/>
    <w:rsid w:val="003076BF"/>
    <w:rsid w:val="0030785A"/>
    <w:rsid w:val="00307AD6"/>
    <w:rsid w:val="003118C0"/>
    <w:rsid w:val="00311A07"/>
    <w:rsid w:val="00311B71"/>
    <w:rsid w:val="003129F3"/>
    <w:rsid w:val="003142A9"/>
    <w:rsid w:val="003144B6"/>
    <w:rsid w:val="00315AE5"/>
    <w:rsid w:val="00315B65"/>
    <w:rsid w:val="00315C5C"/>
    <w:rsid w:val="00315CD4"/>
    <w:rsid w:val="00317418"/>
    <w:rsid w:val="00317635"/>
    <w:rsid w:val="00317D6F"/>
    <w:rsid w:val="0032074E"/>
    <w:rsid w:val="00321DFA"/>
    <w:rsid w:val="00322656"/>
    <w:rsid w:val="00323780"/>
    <w:rsid w:val="0032574C"/>
    <w:rsid w:val="00331B0F"/>
    <w:rsid w:val="003322B1"/>
    <w:rsid w:val="00335408"/>
    <w:rsid w:val="003361E8"/>
    <w:rsid w:val="00336C41"/>
    <w:rsid w:val="00337220"/>
    <w:rsid w:val="00337566"/>
    <w:rsid w:val="003375F7"/>
    <w:rsid w:val="00340E62"/>
    <w:rsid w:val="00341251"/>
    <w:rsid w:val="003416A1"/>
    <w:rsid w:val="00343CB7"/>
    <w:rsid w:val="00345121"/>
    <w:rsid w:val="00345516"/>
    <w:rsid w:val="003463A4"/>
    <w:rsid w:val="00346DF2"/>
    <w:rsid w:val="00347980"/>
    <w:rsid w:val="00347A36"/>
    <w:rsid w:val="00347A7F"/>
    <w:rsid w:val="003502C7"/>
    <w:rsid w:val="00350C19"/>
    <w:rsid w:val="003518F4"/>
    <w:rsid w:val="00352356"/>
    <w:rsid w:val="00354E7E"/>
    <w:rsid w:val="00354EA2"/>
    <w:rsid w:val="003554CD"/>
    <w:rsid w:val="0035590C"/>
    <w:rsid w:val="00357143"/>
    <w:rsid w:val="003578A6"/>
    <w:rsid w:val="00357A40"/>
    <w:rsid w:val="00362235"/>
    <w:rsid w:val="003641D9"/>
    <w:rsid w:val="00364772"/>
    <w:rsid w:val="00364824"/>
    <w:rsid w:val="00364BAD"/>
    <w:rsid w:val="00364F52"/>
    <w:rsid w:val="00365FEB"/>
    <w:rsid w:val="00366824"/>
    <w:rsid w:val="003675CF"/>
    <w:rsid w:val="003676B3"/>
    <w:rsid w:val="00370105"/>
    <w:rsid w:val="00370CD0"/>
    <w:rsid w:val="00371054"/>
    <w:rsid w:val="003712D9"/>
    <w:rsid w:val="0037198C"/>
    <w:rsid w:val="00371F36"/>
    <w:rsid w:val="00372572"/>
    <w:rsid w:val="00373F4D"/>
    <w:rsid w:val="00374425"/>
    <w:rsid w:val="00375BF8"/>
    <w:rsid w:val="00375D57"/>
    <w:rsid w:val="00376F19"/>
    <w:rsid w:val="0037708E"/>
    <w:rsid w:val="003779DD"/>
    <w:rsid w:val="00380C44"/>
    <w:rsid w:val="003811D3"/>
    <w:rsid w:val="00382BE7"/>
    <w:rsid w:val="00384B2F"/>
    <w:rsid w:val="0038534A"/>
    <w:rsid w:val="0038538B"/>
    <w:rsid w:val="00385BB6"/>
    <w:rsid w:val="00387C0E"/>
    <w:rsid w:val="00387E13"/>
    <w:rsid w:val="00387F73"/>
    <w:rsid w:val="00391C8F"/>
    <w:rsid w:val="00393BBC"/>
    <w:rsid w:val="00394DC3"/>
    <w:rsid w:val="003960C5"/>
    <w:rsid w:val="003967EE"/>
    <w:rsid w:val="00396E87"/>
    <w:rsid w:val="003972A0"/>
    <w:rsid w:val="003A0A61"/>
    <w:rsid w:val="003A24B3"/>
    <w:rsid w:val="003A253A"/>
    <w:rsid w:val="003A3259"/>
    <w:rsid w:val="003A33D9"/>
    <w:rsid w:val="003A46F1"/>
    <w:rsid w:val="003A4FD3"/>
    <w:rsid w:val="003A52E3"/>
    <w:rsid w:val="003A564E"/>
    <w:rsid w:val="003A5A88"/>
    <w:rsid w:val="003A6301"/>
    <w:rsid w:val="003A690B"/>
    <w:rsid w:val="003A693E"/>
    <w:rsid w:val="003A6D9F"/>
    <w:rsid w:val="003A76BE"/>
    <w:rsid w:val="003B12F3"/>
    <w:rsid w:val="003B141B"/>
    <w:rsid w:val="003B2607"/>
    <w:rsid w:val="003B4554"/>
    <w:rsid w:val="003B7ABC"/>
    <w:rsid w:val="003B7C70"/>
    <w:rsid w:val="003C07DE"/>
    <w:rsid w:val="003C0FAA"/>
    <w:rsid w:val="003C19B6"/>
    <w:rsid w:val="003C2345"/>
    <w:rsid w:val="003C2DBA"/>
    <w:rsid w:val="003C5819"/>
    <w:rsid w:val="003C587D"/>
    <w:rsid w:val="003C6503"/>
    <w:rsid w:val="003C710A"/>
    <w:rsid w:val="003D07CE"/>
    <w:rsid w:val="003D0E4F"/>
    <w:rsid w:val="003D1C53"/>
    <w:rsid w:val="003D1CCE"/>
    <w:rsid w:val="003D2F08"/>
    <w:rsid w:val="003D39ED"/>
    <w:rsid w:val="003D424E"/>
    <w:rsid w:val="003D62EB"/>
    <w:rsid w:val="003D6AAF"/>
    <w:rsid w:val="003D6F04"/>
    <w:rsid w:val="003D7074"/>
    <w:rsid w:val="003D75FB"/>
    <w:rsid w:val="003D7F9C"/>
    <w:rsid w:val="003E2143"/>
    <w:rsid w:val="003E246C"/>
    <w:rsid w:val="003E3145"/>
    <w:rsid w:val="003E31B9"/>
    <w:rsid w:val="003E32D9"/>
    <w:rsid w:val="003E50C4"/>
    <w:rsid w:val="003E762E"/>
    <w:rsid w:val="003F2474"/>
    <w:rsid w:val="003F54C3"/>
    <w:rsid w:val="003F7E51"/>
    <w:rsid w:val="00401294"/>
    <w:rsid w:val="00401575"/>
    <w:rsid w:val="004019B8"/>
    <w:rsid w:val="00402056"/>
    <w:rsid w:val="00403214"/>
    <w:rsid w:val="00404780"/>
    <w:rsid w:val="004065B3"/>
    <w:rsid w:val="00407BFB"/>
    <w:rsid w:val="00410B42"/>
    <w:rsid w:val="004118D4"/>
    <w:rsid w:val="0041256E"/>
    <w:rsid w:val="00412A4D"/>
    <w:rsid w:val="00414AB3"/>
    <w:rsid w:val="00414E1E"/>
    <w:rsid w:val="0041518D"/>
    <w:rsid w:val="00415428"/>
    <w:rsid w:val="004155DA"/>
    <w:rsid w:val="004179B3"/>
    <w:rsid w:val="00422327"/>
    <w:rsid w:val="004223F1"/>
    <w:rsid w:val="004238A8"/>
    <w:rsid w:val="00423951"/>
    <w:rsid w:val="00424C2F"/>
    <w:rsid w:val="004253A5"/>
    <w:rsid w:val="00426883"/>
    <w:rsid w:val="0042731F"/>
    <w:rsid w:val="00430E39"/>
    <w:rsid w:val="00431C6A"/>
    <w:rsid w:val="00432ABB"/>
    <w:rsid w:val="00432D4C"/>
    <w:rsid w:val="00433BB1"/>
    <w:rsid w:val="00434C78"/>
    <w:rsid w:val="00435FDB"/>
    <w:rsid w:val="00440C63"/>
    <w:rsid w:val="004424F9"/>
    <w:rsid w:val="0044360D"/>
    <w:rsid w:val="00443EC2"/>
    <w:rsid w:val="00444290"/>
    <w:rsid w:val="00444E33"/>
    <w:rsid w:val="004454E4"/>
    <w:rsid w:val="004459B3"/>
    <w:rsid w:val="00445DE2"/>
    <w:rsid w:val="00446C1F"/>
    <w:rsid w:val="00447193"/>
    <w:rsid w:val="004476D3"/>
    <w:rsid w:val="00447972"/>
    <w:rsid w:val="00447B15"/>
    <w:rsid w:val="00452AE1"/>
    <w:rsid w:val="00453DB8"/>
    <w:rsid w:val="0045506C"/>
    <w:rsid w:val="004561DA"/>
    <w:rsid w:val="00456205"/>
    <w:rsid w:val="0045635D"/>
    <w:rsid w:val="004569DC"/>
    <w:rsid w:val="00457D05"/>
    <w:rsid w:val="00457E7D"/>
    <w:rsid w:val="00460082"/>
    <w:rsid w:val="00462D7C"/>
    <w:rsid w:val="0046406C"/>
    <w:rsid w:val="00464C8C"/>
    <w:rsid w:val="00464D20"/>
    <w:rsid w:val="00464F71"/>
    <w:rsid w:val="004654FF"/>
    <w:rsid w:val="0047176F"/>
    <w:rsid w:val="0047180F"/>
    <w:rsid w:val="00472624"/>
    <w:rsid w:val="00472F5A"/>
    <w:rsid w:val="0047305E"/>
    <w:rsid w:val="00474C4B"/>
    <w:rsid w:val="00474CAB"/>
    <w:rsid w:val="004750F2"/>
    <w:rsid w:val="0047563C"/>
    <w:rsid w:val="004771E2"/>
    <w:rsid w:val="00477C01"/>
    <w:rsid w:val="0048023B"/>
    <w:rsid w:val="00480CAF"/>
    <w:rsid w:val="004812C0"/>
    <w:rsid w:val="0048212E"/>
    <w:rsid w:val="00482E3C"/>
    <w:rsid w:val="00483169"/>
    <w:rsid w:val="00483F96"/>
    <w:rsid w:val="004841AA"/>
    <w:rsid w:val="004856D6"/>
    <w:rsid w:val="00487ACC"/>
    <w:rsid w:val="00487CB6"/>
    <w:rsid w:val="00493446"/>
    <w:rsid w:val="004939EA"/>
    <w:rsid w:val="0049413E"/>
    <w:rsid w:val="004942C4"/>
    <w:rsid w:val="004942FD"/>
    <w:rsid w:val="0049585C"/>
    <w:rsid w:val="00495C1B"/>
    <w:rsid w:val="00496236"/>
    <w:rsid w:val="00496875"/>
    <w:rsid w:val="00496ADE"/>
    <w:rsid w:val="00496DA4"/>
    <w:rsid w:val="00496E10"/>
    <w:rsid w:val="00497880"/>
    <w:rsid w:val="004A05F6"/>
    <w:rsid w:val="004A0612"/>
    <w:rsid w:val="004A09E7"/>
    <w:rsid w:val="004A16EB"/>
    <w:rsid w:val="004A19B6"/>
    <w:rsid w:val="004A46E3"/>
    <w:rsid w:val="004A5598"/>
    <w:rsid w:val="004A5BD2"/>
    <w:rsid w:val="004A6042"/>
    <w:rsid w:val="004A60B4"/>
    <w:rsid w:val="004A6D0D"/>
    <w:rsid w:val="004A752B"/>
    <w:rsid w:val="004A756B"/>
    <w:rsid w:val="004A79B9"/>
    <w:rsid w:val="004B0E4F"/>
    <w:rsid w:val="004B1379"/>
    <w:rsid w:val="004B2C98"/>
    <w:rsid w:val="004B2FEA"/>
    <w:rsid w:val="004B3DA9"/>
    <w:rsid w:val="004B4E62"/>
    <w:rsid w:val="004B50CC"/>
    <w:rsid w:val="004B53E7"/>
    <w:rsid w:val="004B60F0"/>
    <w:rsid w:val="004B6491"/>
    <w:rsid w:val="004B65A3"/>
    <w:rsid w:val="004B70E3"/>
    <w:rsid w:val="004B7702"/>
    <w:rsid w:val="004B7AEA"/>
    <w:rsid w:val="004C1602"/>
    <w:rsid w:val="004C1692"/>
    <w:rsid w:val="004C190C"/>
    <w:rsid w:val="004C2892"/>
    <w:rsid w:val="004C36C2"/>
    <w:rsid w:val="004C3A58"/>
    <w:rsid w:val="004C5DC3"/>
    <w:rsid w:val="004C6E98"/>
    <w:rsid w:val="004C7203"/>
    <w:rsid w:val="004C76F0"/>
    <w:rsid w:val="004C7B38"/>
    <w:rsid w:val="004C7CDB"/>
    <w:rsid w:val="004D00BC"/>
    <w:rsid w:val="004D1B1F"/>
    <w:rsid w:val="004D36E6"/>
    <w:rsid w:val="004D5BFE"/>
    <w:rsid w:val="004D6D17"/>
    <w:rsid w:val="004D7C6B"/>
    <w:rsid w:val="004E0288"/>
    <w:rsid w:val="004E0B4D"/>
    <w:rsid w:val="004E1819"/>
    <w:rsid w:val="004E1CA5"/>
    <w:rsid w:val="004E1D68"/>
    <w:rsid w:val="004E203D"/>
    <w:rsid w:val="004E2AAA"/>
    <w:rsid w:val="004E2E6A"/>
    <w:rsid w:val="004E33DE"/>
    <w:rsid w:val="004E3D67"/>
    <w:rsid w:val="004E42AA"/>
    <w:rsid w:val="004E5700"/>
    <w:rsid w:val="004E5779"/>
    <w:rsid w:val="004E5E98"/>
    <w:rsid w:val="004E744E"/>
    <w:rsid w:val="004E748B"/>
    <w:rsid w:val="004F0959"/>
    <w:rsid w:val="004F2FB6"/>
    <w:rsid w:val="004F31E4"/>
    <w:rsid w:val="004F377C"/>
    <w:rsid w:val="004F3AB0"/>
    <w:rsid w:val="004F6824"/>
    <w:rsid w:val="004F7D5E"/>
    <w:rsid w:val="00500AD9"/>
    <w:rsid w:val="00500F0D"/>
    <w:rsid w:val="0050115B"/>
    <w:rsid w:val="00501230"/>
    <w:rsid w:val="00501ADA"/>
    <w:rsid w:val="00502804"/>
    <w:rsid w:val="00502AC0"/>
    <w:rsid w:val="00502B97"/>
    <w:rsid w:val="00503256"/>
    <w:rsid w:val="00503C02"/>
    <w:rsid w:val="005050FA"/>
    <w:rsid w:val="00505701"/>
    <w:rsid w:val="00505F39"/>
    <w:rsid w:val="00507206"/>
    <w:rsid w:val="0051017B"/>
    <w:rsid w:val="0051079B"/>
    <w:rsid w:val="00510827"/>
    <w:rsid w:val="0051099B"/>
    <w:rsid w:val="00510F1B"/>
    <w:rsid w:val="005110A0"/>
    <w:rsid w:val="00511438"/>
    <w:rsid w:val="00511756"/>
    <w:rsid w:val="00511DE9"/>
    <w:rsid w:val="005122F6"/>
    <w:rsid w:val="005126DB"/>
    <w:rsid w:val="00513F90"/>
    <w:rsid w:val="005141A1"/>
    <w:rsid w:val="00514A59"/>
    <w:rsid w:val="005150F1"/>
    <w:rsid w:val="0051588C"/>
    <w:rsid w:val="00516A09"/>
    <w:rsid w:val="00516CD5"/>
    <w:rsid w:val="00516CEF"/>
    <w:rsid w:val="00516D57"/>
    <w:rsid w:val="00517816"/>
    <w:rsid w:val="00517CA4"/>
    <w:rsid w:val="00520ACA"/>
    <w:rsid w:val="00520CFF"/>
    <w:rsid w:val="00521151"/>
    <w:rsid w:val="00522523"/>
    <w:rsid w:val="00522EBD"/>
    <w:rsid w:val="00523B54"/>
    <w:rsid w:val="00523E97"/>
    <w:rsid w:val="00525CAD"/>
    <w:rsid w:val="00525FF1"/>
    <w:rsid w:val="00526C16"/>
    <w:rsid w:val="00526FC4"/>
    <w:rsid w:val="005271C6"/>
    <w:rsid w:val="00527C0E"/>
    <w:rsid w:val="00527CD7"/>
    <w:rsid w:val="00530869"/>
    <w:rsid w:val="00532498"/>
    <w:rsid w:val="00534466"/>
    <w:rsid w:val="00534D9B"/>
    <w:rsid w:val="00535115"/>
    <w:rsid w:val="005351FD"/>
    <w:rsid w:val="00535201"/>
    <w:rsid w:val="00535FCE"/>
    <w:rsid w:val="00536276"/>
    <w:rsid w:val="005362E1"/>
    <w:rsid w:val="00540193"/>
    <w:rsid w:val="005401E2"/>
    <w:rsid w:val="005402E4"/>
    <w:rsid w:val="005413AB"/>
    <w:rsid w:val="005432A0"/>
    <w:rsid w:val="005453E2"/>
    <w:rsid w:val="00550103"/>
    <w:rsid w:val="00550C82"/>
    <w:rsid w:val="005518F3"/>
    <w:rsid w:val="0055207D"/>
    <w:rsid w:val="00552D5F"/>
    <w:rsid w:val="00553942"/>
    <w:rsid w:val="005550C6"/>
    <w:rsid w:val="005569C4"/>
    <w:rsid w:val="00556CF7"/>
    <w:rsid w:val="005577F2"/>
    <w:rsid w:val="005611AF"/>
    <w:rsid w:val="00562489"/>
    <w:rsid w:val="00563C5A"/>
    <w:rsid w:val="00564EDE"/>
    <w:rsid w:val="00566993"/>
    <w:rsid w:val="00566C72"/>
    <w:rsid w:val="00567838"/>
    <w:rsid w:val="00567906"/>
    <w:rsid w:val="00570C8E"/>
    <w:rsid w:val="0057169D"/>
    <w:rsid w:val="00571E38"/>
    <w:rsid w:val="005726EC"/>
    <w:rsid w:val="00573E79"/>
    <w:rsid w:val="00573F05"/>
    <w:rsid w:val="00575302"/>
    <w:rsid w:val="0057530F"/>
    <w:rsid w:val="0057549B"/>
    <w:rsid w:val="00576504"/>
    <w:rsid w:val="005768E9"/>
    <w:rsid w:val="00576B53"/>
    <w:rsid w:val="005776D6"/>
    <w:rsid w:val="0058026C"/>
    <w:rsid w:val="0058050B"/>
    <w:rsid w:val="005805B0"/>
    <w:rsid w:val="00581435"/>
    <w:rsid w:val="00582AA1"/>
    <w:rsid w:val="00584542"/>
    <w:rsid w:val="00584E3F"/>
    <w:rsid w:val="00584FF8"/>
    <w:rsid w:val="00585BB3"/>
    <w:rsid w:val="00585DAF"/>
    <w:rsid w:val="00585F85"/>
    <w:rsid w:val="005862E9"/>
    <w:rsid w:val="00587068"/>
    <w:rsid w:val="00587701"/>
    <w:rsid w:val="005922A6"/>
    <w:rsid w:val="005944F0"/>
    <w:rsid w:val="00594919"/>
    <w:rsid w:val="00594F97"/>
    <w:rsid w:val="00595866"/>
    <w:rsid w:val="00596F6E"/>
    <w:rsid w:val="005971FA"/>
    <w:rsid w:val="00597605"/>
    <w:rsid w:val="00597F15"/>
    <w:rsid w:val="005A0179"/>
    <w:rsid w:val="005A09DF"/>
    <w:rsid w:val="005A1BF9"/>
    <w:rsid w:val="005A1C44"/>
    <w:rsid w:val="005A35FC"/>
    <w:rsid w:val="005A39A1"/>
    <w:rsid w:val="005A409E"/>
    <w:rsid w:val="005A65AA"/>
    <w:rsid w:val="005A66BB"/>
    <w:rsid w:val="005A7416"/>
    <w:rsid w:val="005A746D"/>
    <w:rsid w:val="005B2498"/>
    <w:rsid w:val="005B31C9"/>
    <w:rsid w:val="005B3694"/>
    <w:rsid w:val="005B525D"/>
    <w:rsid w:val="005B59FF"/>
    <w:rsid w:val="005B602D"/>
    <w:rsid w:val="005B78FA"/>
    <w:rsid w:val="005C07E7"/>
    <w:rsid w:val="005C181D"/>
    <w:rsid w:val="005C34EC"/>
    <w:rsid w:val="005C359A"/>
    <w:rsid w:val="005C3EA4"/>
    <w:rsid w:val="005C4001"/>
    <w:rsid w:val="005C4185"/>
    <w:rsid w:val="005C47F7"/>
    <w:rsid w:val="005C4DA4"/>
    <w:rsid w:val="005C5D37"/>
    <w:rsid w:val="005C683C"/>
    <w:rsid w:val="005C6FB9"/>
    <w:rsid w:val="005D0BB0"/>
    <w:rsid w:val="005D0DE5"/>
    <w:rsid w:val="005D13A8"/>
    <w:rsid w:val="005D3502"/>
    <w:rsid w:val="005D3ECB"/>
    <w:rsid w:val="005D53C9"/>
    <w:rsid w:val="005D672C"/>
    <w:rsid w:val="005D68F1"/>
    <w:rsid w:val="005D7981"/>
    <w:rsid w:val="005E07CB"/>
    <w:rsid w:val="005E0D4E"/>
    <w:rsid w:val="005E1007"/>
    <w:rsid w:val="005E121F"/>
    <w:rsid w:val="005E2C47"/>
    <w:rsid w:val="005E356D"/>
    <w:rsid w:val="005E4338"/>
    <w:rsid w:val="005E5407"/>
    <w:rsid w:val="005E5562"/>
    <w:rsid w:val="005E5930"/>
    <w:rsid w:val="005E5AE3"/>
    <w:rsid w:val="005E5E46"/>
    <w:rsid w:val="005E6AC0"/>
    <w:rsid w:val="005E72C6"/>
    <w:rsid w:val="005E7981"/>
    <w:rsid w:val="005F0239"/>
    <w:rsid w:val="005F09D0"/>
    <w:rsid w:val="005F3159"/>
    <w:rsid w:val="005F32D8"/>
    <w:rsid w:val="005F4627"/>
    <w:rsid w:val="005F5226"/>
    <w:rsid w:val="005F74B5"/>
    <w:rsid w:val="00600149"/>
    <w:rsid w:val="00600E7F"/>
    <w:rsid w:val="00601442"/>
    <w:rsid w:val="006027B3"/>
    <w:rsid w:val="00603E97"/>
    <w:rsid w:val="00603F30"/>
    <w:rsid w:val="00604241"/>
    <w:rsid w:val="006043C0"/>
    <w:rsid w:val="0060599C"/>
    <w:rsid w:val="00607464"/>
    <w:rsid w:val="00611312"/>
    <w:rsid w:val="0061140B"/>
    <w:rsid w:val="0061194E"/>
    <w:rsid w:val="006128D9"/>
    <w:rsid w:val="00614D49"/>
    <w:rsid w:val="00615953"/>
    <w:rsid w:val="006169F9"/>
    <w:rsid w:val="00616A03"/>
    <w:rsid w:val="00617473"/>
    <w:rsid w:val="00617990"/>
    <w:rsid w:val="00617E83"/>
    <w:rsid w:val="0062058C"/>
    <w:rsid w:val="00620945"/>
    <w:rsid w:val="0062274E"/>
    <w:rsid w:val="0062279B"/>
    <w:rsid w:val="00623506"/>
    <w:rsid w:val="006237C5"/>
    <w:rsid w:val="00623AE7"/>
    <w:rsid w:val="00623D34"/>
    <w:rsid w:val="00625E1B"/>
    <w:rsid w:val="00626031"/>
    <w:rsid w:val="00627FB6"/>
    <w:rsid w:val="0063036B"/>
    <w:rsid w:val="006305A7"/>
    <w:rsid w:val="006321E5"/>
    <w:rsid w:val="00632C94"/>
    <w:rsid w:val="00633462"/>
    <w:rsid w:val="006334D7"/>
    <w:rsid w:val="006337C8"/>
    <w:rsid w:val="006346A5"/>
    <w:rsid w:val="00635987"/>
    <w:rsid w:val="00635FEE"/>
    <w:rsid w:val="00636A30"/>
    <w:rsid w:val="006370E6"/>
    <w:rsid w:val="00637DCD"/>
    <w:rsid w:val="00640B00"/>
    <w:rsid w:val="00640E91"/>
    <w:rsid w:val="00641B71"/>
    <w:rsid w:val="00641BBD"/>
    <w:rsid w:val="00641E17"/>
    <w:rsid w:val="00643398"/>
    <w:rsid w:val="00643766"/>
    <w:rsid w:val="006440AB"/>
    <w:rsid w:val="006446EF"/>
    <w:rsid w:val="0064473C"/>
    <w:rsid w:val="00644877"/>
    <w:rsid w:val="00646666"/>
    <w:rsid w:val="00646731"/>
    <w:rsid w:val="00646834"/>
    <w:rsid w:val="006469B7"/>
    <w:rsid w:val="0065093E"/>
    <w:rsid w:val="00651316"/>
    <w:rsid w:val="00651AB0"/>
    <w:rsid w:val="0065213F"/>
    <w:rsid w:val="00652811"/>
    <w:rsid w:val="00652BF5"/>
    <w:rsid w:val="00652D18"/>
    <w:rsid w:val="0065357F"/>
    <w:rsid w:val="0065385C"/>
    <w:rsid w:val="00654047"/>
    <w:rsid w:val="00654720"/>
    <w:rsid w:val="00654DC5"/>
    <w:rsid w:val="0065565D"/>
    <w:rsid w:val="0065696F"/>
    <w:rsid w:val="00657C90"/>
    <w:rsid w:val="00660349"/>
    <w:rsid w:val="00660836"/>
    <w:rsid w:val="006629DD"/>
    <w:rsid w:val="006636EF"/>
    <w:rsid w:val="00665B3D"/>
    <w:rsid w:val="00666017"/>
    <w:rsid w:val="00666676"/>
    <w:rsid w:val="00667EB2"/>
    <w:rsid w:val="00670810"/>
    <w:rsid w:val="00671AAA"/>
    <w:rsid w:val="00671ACF"/>
    <w:rsid w:val="00671B11"/>
    <w:rsid w:val="00672152"/>
    <w:rsid w:val="006721A2"/>
    <w:rsid w:val="0067300A"/>
    <w:rsid w:val="00674521"/>
    <w:rsid w:val="0067459B"/>
    <w:rsid w:val="0067588A"/>
    <w:rsid w:val="006762A0"/>
    <w:rsid w:val="00681265"/>
    <w:rsid w:val="00684893"/>
    <w:rsid w:val="00685F6E"/>
    <w:rsid w:val="0068643E"/>
    <w:rsid w:val="00687CCE"/>
    <w:rsid w:val="006915ED"/>
    <w:rsid w:val="00692166"/>
    <w:rsid w:val="00692411"/>
    <w:rsid w:val="00692627"/>
    <w:rsid w:val="006933D8"/>
    <w:rsid w:val="00694BA8"/>
    <w:rsid w:val="00694C94"/>
    <w:rsid w:val="006953AE"/>
    <w:rsid w:val="00697C74"/>
    <w:rsid w:val="00697F96"/>
    <w:rsid w:val="006A0ACB"/>
    <w:rsid w:val="006A0B03"/>
    <w:rsid w:val="006A0EA3"/>
    <w:rsid w:val="006A12D8"/>
    <w:rsid w:val="006A2228"/>
    <w:rsid w:val="006A3983"/>
    <w:rsid w:val="006A4C99"/>
    <w:rsid w:val="006A4E9D"/>
    <w:rsid w:val="006A553E"/>
    <w:rsid w:val="006A6873"/>
    <w:rsid w:val="006B019D"/>
    <w:rsid w:val="006B104E"/>
    <w:rsid w:val="006B2DAB"/>
    <w:rsid w:val="006B2E5D"/>
    <w:rsid w:val="006B52BA"/>
    <w:rsid w:val="006B5F12"/>
    <w:rsid w:val="006B70AF"/>
    <w:rsid w:val="006C003E"/>
    <w:rsid w:val="006C0A8C"/>
    <w:rsid w:val="006C295D"/>
    <w:rsid w:val="006C4B70"/>
    <w:rsid w:val="006C558F"/>
    <w:rsid w:val="006C58E9"/>
    <w:rsid w:val="006C5E1A"/>
    <w:rsid w:val="006C604E"/>
    <w:rsid w:val="006C7124"/>
    <w:rsid w:val="006C7692"/>
    <w:rsid w:val="006D16BD"/>
    <w:rsid w:val="006D2CF1"/>
    <w:rsid w:val="006D3274"/>
    <w:rsid w:val="006D34D5"/>
    <w:rsid w:val="006D38BF"/>
    <w:rsid w:val="006D467B"/>
    <w:rsid w:val="006D5B68"/>
    <w:rsid w:val="006D5F28"/>
    <w:rsid w:val="006D6C5F"/>
    <w:rsid w:val="006D7511"/>
    <w:rsid w:val="006D7B80"/>
    <w:rsid w:val="006E1824"/>
    <w:rsid w:val="006E271D"/>
    <w:rsid w:val="006E42E1"/>
    <w:rsid w:val="006E4627"/>
    <w:rsid w:val="006E5E84"/>
    <w:rsid w:val="006E6F07"/>
    <w:rsid w:val="006F03F6"/>
    <w:rsid w:val="006F0FCE"/>
    <w:rsid w:val="006F1DD9"/>
    <w:rsid w:val="006F1F8D"/>
    <w:rsid w:val="006F380A"/>
    <w:rsid w:val="006F398D"/>
    <w:rsid w:val="006F45CB"/>
    <w:rsid w:val="006F45D2"/>
    <w:rsid w:val="006F5CFE"/>
    <w:rsid w:val="006F74EB"/>
    <w:rsid w:val="0070073C"/>
    <w:rsid w:val="00700C58"/>
    <w:rsid w:val="007010F6"/>
    <w:rsid w:val="00701D77"/>
    <w:rsid w:val="00703105"/>
    <w:rsid w:val="00704145"/>
    <w:rsid w:val="00705F06"/>
    <w:rsid w:val="00712467"/>
    <w:rsid w:val="007124B7"/>
    <w:rsid w:val="00712521"/>
    <w:rsid w:val="00712F84"/>
    <w:rsid w:val="0071423D"/>
    <w:rsid w:val="00714F2C"/>
    <w:rsid w:val="007151CC"/>
    <w:rsid w:val="00715553"/>
    <w:rsid w:val="00717263"/>
    <w:rsid w:val="007172AC"/>
    <w:rsid w:val="007179CB"/>
    <w:rsid w:val="0072065A"/>
    <w:rsid w:val="00722986"/>
    <w:rsid w:val="00722993"/>
    <w:rsid w:val="00722C6C"/>
    <w:rsid w:val="0072328B"/>
    <w:rsid w:val="00723559"/>
    <w:rsid w:val="00724DF5"/>
    <w:rsid w:val="00725E1D"/>
    <w:rsid w:val="00726970"/>
    <w:rsid w:val="00727D3D"/>
    <w:rsid w:val="00730ADA"/>
    <w:rsid w:val="00731E8B"/>
    <w:rsid w:val="00732022"/>
    <w:rsid w:val="00732A6F"/>
    <w:rsid w:val="00732BB5"/>
    <w:rsid w:val="007332A0"/>
    <w:rsid w:val="00733365"/>
    <w:rsid w:val="0073384B"/>
    <w:rsid w:val="00733E0D"/>
    <w:rsid w:val="00734279"/>
    <w:rsid w:val="00734F5C"/>
    <w:rsid w:val="00736917"/>
    <w:rsid w:val="007369B6"/>
    <w:rsid w:val="00740477"/>
    <w:rsid w:val="00740593"/>
    <w:rsid w:val="00742131"/>
    <w:rsid w:val="0074222A"/>
    <w:rsid w:val="007428E2"/>
    <w:rsid w:val="007431ED"/>
    <w:rsid w:val="00743D57"/>
    <w:rsid w:val="00745250"/>
    <w:rsid w:val="00746272"/>
    <w:rsid w:val="00746291"/>
    <w:rsid w:val="00746DCC"/>
    <w:rsid w:val="007474EF"/>
    <w:rsid w:val="00750BFE"/>
    <w:rsid w:val="00751128"/>
    <w:rsid w:val="00751CA6"/>
    <w:rsid w:val="00752049"/>
    <w:rsid w:val="00752783"/>
    <w:rsid w:val="007529B4"/>
    <w:rsid w:val="0075406D"/>
    <w:rsid w:val="007547FC"/>
    <w:rsid w:val="00754819"/>
    <w:rsid w:val="00755CB9"/>
    <w:rsid w:val="00756268"/>
    <w:rsid w:val="00756B41"/>
    <w:rsid w:val="00757EE9"/>
    <w:rsid w:val="007602FD"/>
    <w:rsid w:val="00763E70"/>
    <w:rsid w:val="00765582"/>
    <w:rsid w:val="00765905"/>
    <w:rsid w:val="00765BAA"/>
    <w:rsid w:val="00766E58"/>
    <w:rsid w:val="00767248"/>
    <w:rsid w:val="00767274"/>
    <w:rsid w:val="00767496"/>
    <w:rsid w:val="007710E1"/>
    <w:rsid w:val="007719E5"/>
    <w:rsid w:val="00771CB7"/>
    <w:rsid w:val="00771CCC"/>
    <w:rsid w:val="00772100"/>
    <w:rsid w:val="00773D5C"/>
    <w:rsid w:val="0077620B"/>
    <w:rsid w:val="007763C8"/>
    <w:rsid w:val="00776541"/>
    <w:rsid w:val="007765E4"/>
    <w:rsid w:val="007771A4"/>
    <w:rsid w:val="00777CD1"/>
    <w:rsid w:val="0078001B"/>
    <w:rsid w:val="007812AE"/>
    <w:rsid w:val="0078276E"/>
    <w:rsid w:val="00783448"/>
    <w:rsid w:val="0078512D"/>
    <w:rsid w:val="0078541A"/>
    <w:rsid w:val="00786ADB"/>
    <w:rsid w:val="0079046B"/>
    <w:rsid w:val="00792D85"/>
    <w:rsid w:val="00793947"/>
    <w:rsid w:val="0079410D"/>
    <w:rsid w:val="00794C92"/>
    <w:rsid w:val="00795CA9"/>
    <w:rsid w:val="00796467"/>
    <w:rsid w:val="00796AFB"/>
    <w:rsid w:val="007A1F2E"/>
    <w:rsid w:val="007A317A"/>
    <w:rsid w:val="007A355A"/>
    <w:rsid w:val="007A38DF"/>
    <w:rsid w:val="007A445E"/>
    <w:rsid w:val="007A4602"/>
    <w:rsid w:val="007A59E6"/>
    <w:rsid w:val="007A60B8"/>
    <w:rsid w:val="007A6224"/>
    <w:rsid w:val="007A6B7C"/>
    <w:rsid w:val="007A6BA0"/>
    <w:rsid w:val="007A7202"/>
    <w:rsid w:val="007A7D5A"/>
    <w:rsid w:val="007A7F39"/>
    <w:rsid w:val="007B02FA"/>
    <w:rsid w:val="007B09E7"/>
    <w:rsid w:val="007B0CF5"/>
    <w:rsid w:val="007B1790"/>
    <w:rsid w:val="007B2BD2"/>
    <w:rsid w:val="007B315F"/>
    <w:rsid w:val="007B3AAC"/>
    <w:rsid w:val="007B4069"/>
    <w:rsid w:val="007B5106"/>
    <w:rsid w:val="007B72FD"/>
    <w:rsid w:val="007C0B05"/>
    <w:rsid w:val="007C12FD"/>
    <w:rsid w:val="007C258B"/>
    <w:rsid w:val="007C3EC5"/>
    <w:rsid w:val="007C48BB"/>
    <w:rsid w:val="007C5A95"/>
    <w:rsid w:val="007C5B63"/>
    <w:rsid w:val="007C5BEA"/>
    <w:rsid w:val="007C6619"/>
    <w:rsid w:val="007C6B1E"/>
    <w:rsid w:val="007C6F2D"/>
    <w:rsid w:val="007D1C63"/>
    <w:rsid w:val="007D4E74"/>
    <w:rsid w:val="007D5E09"/>
    <w:rsid w:val="007D7031"/>
    <w:rsid w:val="007D7C0B"/>
    <w:rsid w:val="007D7D86"/>
    <w:rsid w:val="007E0554"/>
    <w:rsid w:val="007E13BC"/>
    <w:rsid w:val="007E14DD"/>
    <w:rsid w:val="007E186C"/>
    <w:rsid w:val="007E2255"/>
    <w:rsid w:val="007E2BC8"/>
    <w:rsid w:val="007E42AC"/>
    <w:rsid w:val="007E589F"/>
    <w:rsid w:val="007E6036"/>
    <w:rsid w:val="007E60D8"/>
    <w:rsid w:val="007F066F"/>
    <w:rsid w:val="007F08E3"/>
    <w:rsid w:val="007F13C4"/>
    <w:rsid w:val="007F194E"/>
    <w:rsid w:val="007F2299"/>
    <w:rsid w:val="007F29F9"/>
    <w:rsid w:val="007F2FE4"/>
    <w:rsid w:val="007F3356"/>
    <w:rsid w:val="007F75D3"/>
    <w:rsid w:val="008006BA"/>
    <w:rsid w:val="00800FC5"/>
    <w:rsid w:val="0080152C"/>
    <w:rsid w:val="00801C26"/>
    <w:rsid w:val="0080240E"/>
    <w:rsid w:val="008024F4"/>
    <w:rsid w:val="00802621"/>
    <w:rsid w:val="008035AF"/>
    <w:rsid w:val="00803C6B"/>
    <w:rsid w:val="008043CD"/>
    <w:rsid w:val="00804785"/>
    <w:rsid w:val="008057E6"/>
    <w:rsid w:val="0080637F"/>
    <w:rsid w:val="008102C9"/>
    <w:rsid w:val="00810F3D"/>
    <w:rsid w:val="008110F9"/>
    <w:rsid w:val="00811315"/>
    <w:rsid w:val="00812B9F"/>
    <w:rsid w:val="0081720E"/>
    <w:rsid w:val="008174F6"/>
    <w:rsid w:val="00817A6A"/>
    <w:rsid w:val="00817F1A"/>
    <w:rsid w:val="00820307"/>
    <w:rsid w:val="00820D47"/>
    <w:rsid w:val="00820E0A"/>
    <w:rsid w:val="00820F49"/>
    <w:rsid w:val="008218F3"/>
    <w:rsid w:val="0082285F"/>
    <w:rsid w:val="008230C6"/>
    <w:rsid w:val="008233B0"/>
    <w:rsid w:val="0082355B"/>
    <w:rsid w:val="00823F43"/>
    <w:rsid w:val="00823F6A"/>
    <w:rsid w:val="008240FF"/>
    <w:rsid w:val="008255DB"/>
    <w:rsid w:val="00827350"/>
    <w:rsid w:val="008274AC"/>
    <w:rsid w:val="0083193C"/>
    <w:rsid w:val="00832170"/>
    <w:rsid w:val="00832CAA"/>
    <w:rsid w:val="008338C6"/>
    <w:rsid w:val="00833DD0"/>
    <w:rsid w:val="008344F4"/>
    <w:rsid w:val="00835AB9"/>
    <w:rsid w:val="00835EBA"/>
    <w:rsid w:val="00836BF4"/>
    <w:rsid w:val="00836F73"/>
    <w:rsid w:val="0084004C"/>
    <w:rsid w:val="0084017B"/>
    <w:rsid w:val="00841EA9"/>
    <w:rsid w:val="00842911"/>
    <w:rsid w:val="00842F3E"/>
    <w:rsid w:val="00843EB4"/>
    <w:rsid w:val="008450B9"/>
    <w:rsid w:val="0084660D"/>
    <w:rsid w:val="00846CF7"/>
    <w:rsid w:val="00847122"/>
    <w:rsid w:val="00850C5D"/>
    <w:rsid w:val="008515B0"/>
    <w:rsid w:val="00851838"/>
    <w:rsid w:val="00851D4F"/>
    <w:rsid w:val="00853A42"/>
    <w:rsid w:val="00853A4C"/>
    <w:rsid w:val="008542C2"/>
    <w:rsid w:val="008549FC"/>
    <w:rsid w:val="00854C41"/>
    <w:rsid w:val="00855182"/>
    <w:rsid w:val="008552B8"/>
    <w:rsid w:val="00856AA3"/>
    <w:rsid w:val="00856BE7"/>
    <w:rsid w:val="0086009A"/>
    <w:rsid w:val="00861B19"/>
    <w:rsid w:val="008620BF"/>
    <w:rsid w:val="00862354"/>
    <w:rsid w:val="0086343F"/>
    <w:rsid w:val="00863460"/>
    <w:rsid w:val="00863DB8"/>
    <w:rsid w:val="008646D7"/>
    <w:rsid w:val="0086611B"/>
    <w:rsid w:val="0086626D"/>
    <w:rsid w:val="008664F0"/>
    <w:rsid w:val="008667B2"/>
    <w:rsid w:val="00866CB9"/>
    <w:rsid w:val="00870795"/>
    <w:rsid w:val="008710FC"/>
    <w:rsid w:val="008716D6"/>
    <w:rsid w:val="0087267D"/>
    <w:rsid w:val="008729B5"/>
    <w:rsid w:val="00872AC4"/>
    <w:rsid w:val="008735F6"/>
    <w:rsid w:val="008740DD"/>
    <w:rsid w:val="00875350"/>
    <w:rsid w:val="00875FF4"/>
    <w:rsid w:val="00876BAA"/>
    <w:rsid w:val="0088069A"/>
    <w:rsid w:val="00880EA9"/>
    <w:rsid w:val="008819EB"/>
    <w:rsid w:val="00881C1C"/>
    <w:rsid w:val="0088317C"/>
    <w:rsid w:val="0088529F"/>
    <w:rsid w:val="00885BCA"/>
    <w:rsid w:val="008861A9"/>
    <w:rsid w:val="008861B3"/>
    <w:rsid w:val="00887C7C"/>
    <w:rsid w:val="00890F2D"/>
    <w:rsid w:val="00891ACE"/>
    <w:rsid w:val="00891F7E"/>
    <w:rsid w:val="0089465B"/>
    <w:rsid w:val="00894D49"/>
    <w:rsid w:val="00895006"/>
    <w:rsid w:val="00895030"/>
    <w:rsid w:val="00896BAD"/>
    <w:rsid w:val="008970B0"/>
    <w:rsid w:val="008A1239"/>
    <w:rsid w:val="008A19C1"/>
    <w:rsid w:val="008A1DCB"/>
    <w:rsid w:val="008A1F4D"/>
    <w:rsid w:val="008A25C6"/>
    <w:rsid w:val="008A2BF8"/>
    <w:rsid w:val="008A2F9C"/>
    <w:rsid w:val="008A3D49"/>
    <w:rsid w:val="008A4157"/>
    <w:rsid w:val="008A4DB6"/>
    <w:rsid w:val="008A4E23"/>
    <w:rsid w:val="008A4FAB"/>
    <w:rsid w:val="008A5DA3"/>
    <w:rsid w:val="008A5F79"/>
    <w:rsid w:val="008A6906"/>
    <w:rsid w:val="008B2BC9"/>
    <w:rsid w:val="008B3755"/>
    <w:rsid w:val="008B42AB"/>
    <w:rsid w:val="008B4542"/>
    <w:rsid w:val="008B461A"/>
    <w:rsid w:val="008B4FA8"/>
    <w:rsid w:val="008B5C93"/>
    <w:rsid w:val="008B5EA3"/>
    <w:rsid w:val="008B6233"/>
    <w:rsid w:val="008C02BC"/>
    <w:rsid w:val="008C07C5"/>
    <w:rsid w:val="008C1E95"/>
    <w:rsid w:val="008C23AD"/>
    <w:rsid w:val="008C2FEE"/>
    <w:rsid w:val="008C3D52"/>
    <w:rsid w:val="008C3E24"/>
    <w:rsid w:val="008C543A"/>
    <w:rsid w:val="008C5650"/>
    <w:rsid w:val="008C6145"/>
    <w:rsid w:val="008C6CC0"/>
    <w:rsid w:val="008C7439"/>
    <w:rsid w:val="008D0065"/>
    <w:rsid w:val="008D01DA"/>
    <w:rsid w:val="008D0685"/>
    <w:rsid w:val="008D1F5D"/>
    <w:rsid w:val="008D2D4B"/>
    <w:rsid w:val="008D2E53"/>
    <w:rsid w:val="008D4ADD"/>
    <w:rsid w:val="008D4E56"/>
    <w:rsid w:val="008D5B59"/>
    <w:rsid w:val="008E041A"/>
    <w:rsid w:val="008E1D4C"/>
    <w:rsid w:val="008E1D66"/>
    <w:rsid w:val="008E20BC"/>
    <w:rsid w:val="008E224D"/>
    <w:rsid w:val="008E47DA"/>
    <w:rsid w:val="008E4D04"/>
    <w:rsid w:val="008F03FE"/>
    <w:rsid w:val="008F068B"/>
    <w:rsid w:val="008F0A0A"/>
    <w:rsid w:val="008F1C98"/>
    <w:rsid w:val="008F28CD"/>
    <w:rsid w:val="008F3372"/>
    <w:rsid w:val="008F4093"/>
    <w:rsid w:val="008F55F3"/>
    <w:rsid w:val="008F5AC4"/>
    <w:rsid w:val="008F7039"/>
    <w:rsid w:val="009007B4"/>
    <w:rsid w:val="00900D70"/>
    <w:rsid w:val="00901805"/>
    <w:rsid w:val="00901AE4"/>
    <w:rsid w:val="0090240E"/>
    <w:rsid w:val="00903197"/>
    <w:rsid w:val="00903E9B"/>
    <w:rsid w:val="0090405B"/>
    <w:rsid w:val="009047B8"/>
    <w:rsid w:val="00905364"/>
    <w:rsid w:val="00905FBD"/>
    <w:rsid w:val="00906AA1"/>
    <w:rsid w:val="00906DEC"/>
    <w:rsid w:val="009074A3"/>
    <w:rsid w:val="00907B0C"/>
    <w:rsid w:val="00907FC4"/>
    <w:rsid w:val="009105B5"/>
    <w:rsid w:val="00911575"/>
    <w:rsid w:val="009116E5"/>
    <w:rsid w:val="0091201E"/>
    <w:rsid w:val="00912099"/>
    <w:rsid w:val="00912210"/>
    <w:rsid w:val="00913417"/>
    <w:rsid w:val="00915B63"/>
    <w:rsid w:val="00915E21"/>
    <w:rsid w:val="009160E4"/>
    <w:rsid w:val="0091618D"/>
    <w:rsid w:val="009173AD"/>
    <w:rsid w:val="00917C8D"/>
    <w:rsid w:val="00917F97"/>
    <w:rsid w:val="00920982"/>
    <w:rsid w:val="00920D3A"/>
    <w:rsid w:val="009211C9"/>
    <w:rsid w:val="00921365"/>
    <w:rsid w:val="009216CA"/>
    <w:rsid w:val="00921942"/>
    <w:rsid w:val="00921E88"/>
    <w:rsid w:val="009224F8"/>
    <w:rsid w:val="009236C9"/>
    <w:rsid w:val="00924996"/>
    <w:rsid w:val="0092504F"/>
    <w:rsid w:val="00927C3F"/>
    <w:rsid w:val="009301C2"/>
    <w:rsid w:val="009328AF"/>
    <w:rsid w:val="0093309C"/>
    <w:rsid w:val="009330FB"/>
    <w:rsid w:val="00933161"/>
    <w:rsid w:val="00933185"/>
    <w:rsid w:val="00935433"/>
    <w:rsid w:val="009366BF"/>
    <w:rsid w:val="00940A3B"/>
    <w:rsid w:val="00941097"/>
    <w:rsid w:val="00941AFF"/>
    <w:rsid w:val="009420FA"/>
    <w:rsid w:val="00942665"/>
    <w:rsid w:val="00942D24"/>
    <w:rsid w:val="00944424"/>
    <w:rsid w:val="0094477D"/>
    <w:rsid w:val="00944C03"/>
    <w:rsid w:val="00944CFE"/>
    <w:rsid w:val="009451EA"/>
    <w:rsid w:val="00946980"/>
    <w:rsid w:val="00947AD1"/>
    <w:rsid w:val="00950125"/>
    <w:rsid w:val="00951561"/>
    <w:rsid w:val="00952649"/>
    <w:rsid w:val="009526F7"/>
    <w:rsid w:val="00952F2D"/>
    <w:rsid w:val="009547C4"/>
    <w:rsid w:val="009547E5"/>
    <w:rsid w:val="00954D62"/>
    <w:rsid w:val="00954EBB"/>
    <w:rsid w:val="00955AA1"/>
    <w:rsid w:val="00955BA4"/>
    <w:rsid w:val="00955D34"/>
    <w:rsid w:val="009568F6"/>
    <w:rsid w:val="009575FC"/>
    <w:rsid w:val="00960F04"/>
    <w:rsid w:val="00963135"/>
    <w:rsid w:val="009635EF"/>
    <w:rsid w:val="00965177"/>
    <w:rsid w:val="009710C4"/>
    <w:rsid w:val="0097382A"/>
    <w:rsid w:val="00973C7C"/>
    <w:rsid w:val="00975F0F"/>
    <w:rsid w:val="00976973"/>
    <w:rsid w:val="00976F48"/>
    <w:rsid w:val="00977E29"/>
    <w:rsid w:val="00981319"/>
    <w:rsid w:val="0098255E"/>
    <w:rsid w:val="009828CA"/>
    <w:rsid w:val="00982AC8"/>
    <w:rsid w:val="00984653"/>
    <w:rsid w:val="0098484A"/>
    <w:rsid w:val="009861EC"/>
    <w:rsid w:val="009864A5"/>
    <w:rsid w:val="00987CF2"/>
    <w:rsid w:val="0099012D"/>
    <w:rsid w:val="00991785"/>
    <w:rsid w:val="00991BAA"/>
    <w:rsid w:val="00992256"/>
    <w:rsid w:val="00993F72"/>
    <w:rsid w:val="009945F0"/>
    <w:rsid w:val="009950B4"/>
    <w:rsid w:val="00995260"/>
    <w:rsid w:val="00995758"/>
    <w:rsid w:val="00995EE5"/>
    <w:rsid w:val="009965A6"/>
    <w:rsid w:val="009975AA"/>
    <w:rsid w:val="009978EE"/>
    <w:rsid w:val="00997FE9"/>
    <w:rsid w:val="009A3B62"/>
    <w:rsid w:val="009A47F8"/>
    <w:rsid w:val="009A5597"/>
    <w:rsid w:val="009A69A9"/>
    <w:rsid w:val="009B0563"/>
    <w:rsid w:val="009B0947"/>
    <w:rsid w:val="009B1585"/>
    <w:rsid w:val="009B2094"/>
    <w:rsid w:val="009B214C"/>
    <w:rsid w:val="009B263F"/>
    <w:rsid w:val="009B313E"/>
    <w:rsid w:val="009B3448"/>
    <w:rsid w:val="009B4AB7"/>
    <w:rsid w:val="009B4B0C"/>
    <w:rsid w:val="009B5262"/>
    <w:rsid w:val="009B5C1C"/>
    <w:rsid w:val="009B6BD7"/>
    <w:rsid w:val="009B7107"/>
    <w:rsid w:val="009B7C95"/>
    <w:rsid w:val="009C0ED3"/>
    <w:rsid w:val="009C187E"/>
    <w:rsid w:val="009C2074"/>
    <w:rsid w:val="009C25FD"/>
    <w:rsid w:val="009C345F"/>
    <w:rsid w:val="009C3B91"/>
    <w:rsid w:val="009C4A1B"/>
    <w:rsid w:val="009C5219"/>
    <w:rsid w:val="009C58A4"/>
    <w:rsid w:val="009C5995"/>
    <w:rsid w:val="009D1323"/>
    <w:rsid w:val="009D134B"/>
    <w:rsid w:val="009D1940"/>
    <w:rsid w:val="009D1BB7"/>
    <w:rsid w:val="009D2673"/>
    <w:rsid w:val="009D2EB7"/>
    <w:rsid w:val="009D33CA"/>
    <w:rsid w:val="009D341E"/>
    <w:rsid w:val="009D383F"/>
    <w:rsid w:val="009D40A4"/>
    <w:rsid w:val="009D501B"/>
    <w:rsid w:val="009D54DF"/>
    <w:rsid w:val="009D6B76"/>
    <w:rsid w:val="009D6D28"/>
    <w:rsid w:val="009D7A6B"/>
    <w:rsid w:val="009D7BE5"/>
    <w:rsid w:val="009E01B6"/>
    <w:rsid w:val="009E122A"/>
    <w:rsid w:val="009E16E5"/>
    <w:rsid w:val="009E29F9"/>
    <w:rsid w:val="009E3066"/>
    <w:rsid w:val="009E33B1"/>
    <w:rsid w:val="009E410B"/>
    <w:rsid w:val="009E42B5"/>
    <w:rsid w:val="009E44E0"/>
    <w:rsid w:val="009E4E51"/>
    <w:rsid w:val="009E508D"/>
    <w:rsid w:val="009E5DBE"/>
    <w:rsid w:val="009E7AFC"/>
    <w:rsid w:val="009F02A0"/>
    <w:rsid w:val="009F2590"/>
    <w:rsid w:val="009F25CE"/>
    <w:rsid w:val="009F321D"/>
    <w:rsid w:val="009F4D94"/>
    <w:rsid w:val="009F51DF"/>
    <w:rsid w:val="009F5D54"/>
    <w:rsid w:val="009F5FB3"/>
    <w:rsid w:val="009F750A"/>
    <w:rsid w:val="009F78F1"/>
    <w:rsid w:val="00A001C7"/>
    <w:rsid w:val="00A015DA"/>
    <w:rsid w:val="00A01741"/>
    <w:rsid w:val="00A01B49"/>
    <w:rsid w:val="00A03095"/>
    <w:rsid w:val="00A03212"/>
    <w:rsid w:val="00A03C28"/>
    <w:rsid w:val="00A04AB8"/>
    <w:rsid w:val="00A05049"/>
    <w:rsid w:val="00A05086"/>
    <w:rsid w:val="00A0588D"/>
    <w:rsid w:val="00A06BD7"/>
    <w:rsid w:val="00A0712A"/>
    <w:rsid w:val="00A07FE5"/>
    <w:rsid w:val="00A108C6"/>
    <w:rsid w:val="00A10E1D"/>
    <w:rsid w:val="00A12A31"/>
    <w:rsid w:val="00A130FD"/>
    <w:rsid w:val="00A13119"/>
    <w:rsid w:val="00A13A84"/>
    <w:rsid w:val="00A151E9"/>
    <w:rsid w:val="00A15233"/>
    <w:rsid w:val="00A15A6F"/>
    <w:rsid w:val="00A16B66"/>
    <w:rsid w:val="00A21A91"/>
    <w:rsid w:val="00A220AC"/>
    <w:rsid w:val="00A2258B"/>
    <w:rsid w:val="00A22938"/>
    <w:rsid w:val="00A24056"/>
    <w:rsid w:val="00A24938"/>
    <w:rsid w:val="00A25395"/>
    <w:rsid w:val="00A30089"/>
    <w:rsid w:val="00A32349"/>
    <w:rsid w:val="00A32C6A"/>
    <w:rsid w:val="00A33530"/>
    <w:rsid w:val="00A33903"/>
    <w:rsid w:val="00A3749F"/>
    <w:rsid w:val="00A374F9"/>
    <w:rsid w:val="00A37E2A"/>
    <w:rsid w:val="00A4080A"/>
    <w:rsid w:val="00A41D01"/>
    <w:rsid w:val="00A42587"/>
    <w:rsid w:val="00A426CF"/>
    <w:rsid w:val="00A42727"/>
    <w:rsid w:val="00A42A41"/>
    <w:rsid w:val="00A43EC9"/>
    <w:rsid w:val="00A450C0"/>
    <w:rsid w:val="00A45C3D"/>
    <w:rsid w:val="00A45EA5"/>
    <w:rsid w:val="00A46192"/>
    <w:rsid w:val="00A46516"/>
    <w:rsid w:val="00A465BB"/>
    <w:rsid w:val="00A46FB3"/>
    <w:rsid w:val="00A47533"/>
    <w:rsid w:val="00A503BF"/>
    <w:rsid w:val="00A527F7"/>
    <w:rsid w:val="00A52AFD"/>
    <w:rsid w:val="00A532A1"/>
    <w:rsid w:val="00A540AC"/>
    <w:rsid w:val="00A55F30"/>
    <w:rsid w:val="00A56AEF"/>
    <w:rsid w:val="00A56D66"/>
    <w:rsid w:val="00A5742D"/>
    <w:rsid w:val="00A61083"/>
    <w:rsid w:val="00A61308"/>
    <w:rsid w:val="00A619C6"/>
    <w:rsid w:val="00A6268C"/>
    <w:rsid w:val="00A63EE3"/>
    <w:rsid w:val="00A646CC"/>
    <w:rsid w:val="00A65155"/>
    <w:rsid w:val="00A6595C"/>
    <w:rsid w:val="00A66141"/>
    <w:rsid w:val="00A665F6"/>
    <w:rsid w:val="00A66F26"/>
    <w:rsid w:val="00A67E54"/>
    <w:rsid w:val="00A67E97"/>
    <w:rsid w:val="00A7049C"/>
    <w:rsid w:val="00A70ECE"/>
    <w:rsid w:val="00A71905"/>
    <w:rsid w:val="00A71A91"/>
    <w:rsid w:val="00A72252"/>
    <w:rsid w:val="00A72264"/>
    <w:rsid w:val="00A73287"/>
    <w:rsid w:val="00A7435F"/>
    <w:rsid w:val="00A7578F"/>
    <w:rsid w:val="00A75AE9"/>
    <w:rsid w:val="00A83CF7"/>
    <w:rsid w:val="00A84600"/>
    <w:rsid w:val="00A84879"/>
    <w:rsid w:val="00A84D04"/>
    <w:rsid w:val="00A860CB"/>
    <w:rsid w:val="00A87C5A"/>
    <w:rsid w:val="00A90D4B"/>
    <w:rsid w:val="00A9133A"/>
    <w:rsid w:val="00A92ACD"/>
    <w:rsid w:val="00A9350B"/>
    <w:rsid w:val="00A93A3D"/>
    <w:rsid w:val="00A940D2"/>
    <w:rsid w:val="00A9444E"/>
    <w:rsid w:val="00A951B1"/>
    <w:rsid w:val="00A955B9"/>
    <w:rsid w:val="00A95B4E"/>
    <w:rsid w:val="00A95F9C"/>
    <w:rsid w:val="00A97978"/>
    <w:rsid w:val="00AA23B0"/>
    <w:rsid w:val="00AA249A"/>
    <w:rsid w:val="00AA2B13"/>
    <w:rsid w:val="00AA3DF2"/>
    <w:rsid w:val="00AA46B2"/>
    <w:rsid w:val="00AA5220"/>
    <w:rsid w:val="00AA71B0"/>
    <w:rsid w:val="00AA7485"/>
    <w:rsid w:val="00AA785F"/>
    <w:rsid w:val="00AB1623"/>
    <w:rsid w:val="00AB23AB"/>
    <w:rsid w:val="00AB28E0"/>
    <w:rsid w:val="00AB296D"/>
    <w:rsid w:val="00AB35F7"/>
    <w:rsid w:val="00AB3710"/>
    <w:rsid w:val="00AB3F23"/>
    <w:rsid w:val="00AB4530"/>
    <w:rsid w:val="00AB46B7"/>
    <w:rsid w:val="00AB4844"/>
    <w:rsid w:val="00AB4C03"/>
    <w:rsid w:val="00AB4D42"/>
    <w:rsid w:val="00AC0A27"/>
    <w:rsid w:val="00AC0EE4"/>
    <w:rsid w:val="00AC1505"/>
    <w:rsid w:val="00AC18EE"/>
    <w:rsid w:val="00AC4372"/>
    <w:rsid w:val="00AC4B25"/>
    <w:rsid w:val="00AC52B7"/>
    <w:rsid w:val="00AC7146"/>
    <w:rsid w:val="00AD0224"/>
    <w:rsid w:val="00AD0733"/>
    <w:rsid w:val="00AD3BE8"/>
    <w:rsid w:val="00AD3C3B"/>
    <w:rsid w:val="00AD449B"/>
    <w:rsid w:val="00AD6E41"/>
    <w:rsid w:val="00AE154D"/>
    <w:rsid w:val="00AE1B6C"/>
    <w:rsid w:val="00AE2258"/>
    <w:rsid w:val="00AE2708"/>
    <w:rsid w:val="00AE2998"/>
    <w:rsid w:val="00AE325D"/>
    <w:rsid w:val="00AE3349"/>
    <w:rsid w:val="00AE43CA"/>
    <w:rsid w:val="00AE4486"/>
    <w:rsid w:val="00AE46E9"/>
    <w:rsid w:val="00AE6429"/>
    <w:rsid w:val="00AE7142"/>
    <w:rsid w:val="00AF0124"/>
    <w:rsid w:val="00AF0526"/>
    <w:rsid w:val="00AF07A1"/>
    <w:rsid w:val="00AF1D6E"/>
    <w:rsid w:val="00AF2C7B"/>
    <w:rsid w:val="00AF2E7A"/>
    <w:rsid w:val="00AF2F00"/>
    <w:rsid w:val="00AF2F03"/>
    <w:rsid w:val="00AF57F9"/>
    <w:rsid w:val="00AF5E2A"/>
    <w:rsid w:val="00AF6BAF"/>
    <w:rsid w:val="00AF795F"/>
    <w:rsid w:val="00AF79A9"/>
    <w:rsid w:val="00B0037C"/>
    <w:rsid w:val="00B0306F"/>
    <w:rsid w:val="00B03F93"/>
    <w:rsid w:val="00B0602D"/>
    <w:rsid w:val="00B0666A"/>
    <w:rsid w:val="00B06A4A"/>
    <w:rsid w:val="00B06AB9"/>
    <w:rsid w:val="00B11254"/>
    <w:rsid w:val="00B11CF5"/>
    <w:rsid w:val="00B124FA"/>
    <w:rsid w:val="00B127A5"/>
    <w:rsid w:val="00B1321A"/>
    <w:rsid w:val="00B1364A"/>
    <w:rsid w:val="00B15477"/>
    <w:rsid w:val="00B15760"/>
    <w:rsid w:val="00B15BF2"/>
    <w:rsid w:val="00B15CFD"/>
    <w:rsid w:val="00B16326"/>
    <w:rsid w:val="00B16F86"/>
    <w:rsid w:val="00B173D5"/>
    <w:rsid w:val="00B22E66"/>
    <w:rsid w:val="00B2365E"/>
    <w:rsid w:val="00B23C19"/>
    <w:rsid w:val="00B242FB"/>
    <w:rsid w:val="00B24442"/>
    <w:rsid w:val="00B24A52"/>
    <w:rsid w:val="00B279C0"/>
    <w:rsid w:val="00B27CBF"/>
    <w:rsid w:val="00B27D2D"/>
    <w:rsid w:val="00B31438"/>
    <w:rsid w:val="00B31763"/>
    <w:rsid w:val="00B3291A"/>
    <w:rsid w:val="00B343CA"/>
    <w:rsid w:val="00B34DE7"/>
    <w:rsid w:val="00B34EF5"/>
    <w:rsid w:val="00B35B9B"/>
    <w:rsid w:val="00B360FB"/>
    <w:rsid w:val="00B366E3"/>
    <w:rsid w:val="00B37320"/>
    <w:rsid w:val="00B37A63"/>
    <w:rsid w:val="00B40841"/>
    <w:rsid w:val="00B40C1B"/>
    <w:rsid w:val="00B42D88"/>
    <w:rsid w:val="00B4359C"/>
    <w:rsid w:val="00B438A3"/>
    <w:rsid w:val="00B43FC1"/>
    <w:rsid w:val="00B44F7B"/>
    <w:rsid w:val="00B4607A"/>
    <w:rsid w:val="00B4758B"/>
    <w:rsid w:val="00B476D4"/>
    <w:rsid w:val="00B47F99"/>
    <w:rsid w:val="00B505C2"/>
    <w:rsid w:val="00B507B1"/>
    <w:rsid w:val="00B50D9B"/>
    <w:rsid w:val="00B50EA3"/>
    <w:rsid w:val="00B51CF2"/>
    <w:rsid w:val="00B5262B"/>
    <w:rsid w:val="00B54719"/>
    <w:rsid w:val="00B553E4"/>
    <w:rsid w:val="00B55AD1"/>
    <w:rsid w:val="00B55B3D"/>
    <w:rsid w:val="00B564D2"/>
    <w:rsid w:val="00B56E74"/>
    <w:rsid w:val="00B56EDD"/>
    <w:rsid w:val="00B5752F"/>
    <w:rsid w:val="00B6022F"/>
    <w:rsid w:val="00B60CB8"/>
    <w:rsid w:val="00B611F2"/>
    <w:rsid w:val="00B649BD"/>
    <w:rsid w:val="00B6551D"/>
    <w:rsid w:val="00B67312"/>
    <w:rsid w:val="00B67813"/>
    <w:rsid w:val="00B71F29"/>
    <w:rsid w:val="00B7235A"/>
    <w:rsid w:val="00B72E9A"/>
    <w:rsid w:val="00B73184"/>
    <w:rsid w:val="00B74AA7"/>
    <w:rsid w:val="00B76076"/>
    <w:rsid w:val="00B762FC"/>
    <w:rsid w:val="00B766F7"/>
    <w:rsid w:val="00B76E6A"/>
    <w:rsid w:val="00B80788"/>
    <w:rsid w:val="00B80B54"/>
    <w:rsid w:val="00B81082"/>
    <w:rsid w:val="00B8247E"/>
    <w:rsid w:val="00B84180"/>
    <w:rsid w:val="00B857CA"/>
    <w:rsid w:val="00B907D5"/>
    <w:rsid w:val="00B9115F"/>
    <w:rsid w:val="00B9127E"/>
    <w:rsid w:val="00B91298"/>
    <w:rsid w:val="00B924E8"/>
    <w:rsid w:val="00B924F0"/>
    <w:rsid w:val="00B940DA"/>
    <w:rsid w:val="00B94BB0"/>
    <w:rsid w:val="00B961E8"/>
    <w:rsid w:val="00B96F46"/>
    <w:rsid w:val="00BA041A"/>
    <w:rsid w:val="00BA05AA"/>
    <w:rsid w:val="00BA1714"/>
    <w:rsid w:val="00BA2410"/>
    <w:rsid w:val="00BA268A"/>
    <w:rsid w:val="00BA299A"/>
    <w:rsid w:val="00BA31B0"/>
    <w:rsid w:val="00BA478A"/>
    <w:rsid w:val="00BA4E20"/>
    <w:rsid w:val="00BA5C72"/>
    <w:rsid w:val="00BA641D"/>
    <w:rsid w:val="00BB087B"/>
    <w:rsid w:val="00BB1481"/>
    <w:rsid w:val="00BB2A04"/>
    <w:rsid w:val="00BB3907"/>
    <w:rsid w:val="00BB394D"/>
    <w:rsid w:val="00BB5EA1"/>
    <w:rsid w:val="00BB72B7"/>
    <w:rsid w:val="00BC01BA"/>
    <w:rsid w:val="00BC05D4"/>
    <w:rsid w:val="00BC0E01"/>
    <w:rsid w:val="00BC1207"/>
    <w:rsid w:val="00BC1869"/>
    <w:rsid w:val="00BC1A7A"/>
    <w:rsid w:val="00BC1EBA"/>
    <w:rsid w:val="00BC302C"/>
    <w:rsid w:val="00BC3338"/>
    <w:rsid w:val="00BC3C18"/>
    <w:rsid w:val="00BC412E"/>
    <w:rsid w:val="00BC433E"/>
    <w:rsid w:val="00BC4932"/>
    <w:rsid w:val="00BC56D0"/>
    <w:rsid w:val="00BC573D"/>
    <w:rsid w:val="00BC65A3"/>
    <w:rsid w:val="00BC6A35"/>
    <w:rsid w:val="00BC7C9F"/>
    <w:rsid w:val="00BC7EA4"/>
    <w:rsid w:val="00BD03CA"/>
    <w:rsid w:val="00BD0BAB"/>
    <w:rsid w:val="00BD1765"/>
    <w:rsid w:val="00BD1815"/>
    <w:rsid w:val="00BD2332"/>
    <w:rsid w:val="00BD36FC"/>
    <w:rsid w:val="00BD3E6F"/>
    <w:rsid w:val="00BD4710"/>
    <w:rsid w:val="00BD4780"/>
    <w:rsid w:val="00BD5E4C"/>
    <w:rsid w:val="00BD6A29"/>
    <w:rsid w:val="00BD742A"/>
    <w:rsid w:val="00BD771A"/>
    <w:rsid w:val="00BD7CD0"/>
    <w:rsid w:val="00BD7D60"/>
    <w:rsid w:val="00BE3B70"/>
    <w:rsid w:val="00BE4A77"/>
    <w:rsid w:val="00BE53F2"/>
    <w:rsid w:val="00BF18E2"/>
    <w:rsid w:val="00BF2846"/>
    <w:rsid w:val="00BF3FF7"/>
    <w:rsid w:val="00BF5A21"/>
    <w:rsid w:val="00BF6312"/>
    <w:rsid w:val="00BF6986"/>
    <w:rsid w:val="00BF7413"/>
    <w:rsid w:val="00BF7420"/>
    <w:rsid w:val="00C003CB"/>
    <w:rsid w:val="00C00493"/>
    <w:rsid w:val="00C005AE"/>
    <w:rsid w:val="00C0070E"/>
    <w:rsid w:val="00C017BD"/>
    <w:rsid w:val="00C01981"/>
    <w:rsid w:val="00C039FD"/>
    <w:rsid w:val="00C058FD"/>
    <w:rsid w:val="00C05DA9"/>
    <w:rsid w:val="00C06D83"/>
    <w:rsid w:val="00C07B0D"/>
    <w:rsid w:val="00C11226"/>
    <w:rsid w:val="00C1210C"/>
    <w:rsid w:val="00C15402"/>
    <w:rsid w:val="00C15FC6"/>
    <w:rsid w:val="00C16EC7"/>
    <w:rsid w:val="00C20521"/>
    <w:rsid w:val="00C206CF"/>
    <w:rsid w:val="00C2096E"/>
    <w:rsid w:val="00C218F8"/>
    <w:rsid w:val="00C21AA3"/>
    <w:rsid w:val="00C21AAD"/>
    <w:rsid w:val="00C21F4B"/>
    <w:rsid w:val="00C2262E"/>
    <w:rsid w:val="00C22EC2"/>
    <w:rsid w:val="00C230F2"/>
    <w:rsid w:val="00C238A8"/>
    <w:rsid w:val="00C238C2"/>
    <w:rsid w:val="00C26600"/>
    <w:rsid w:val="00C27532"/>
    <w:rsid w:val="00C3014C"/>
    <w:rsid w:val="00C30253"/>
    <w:rsid w:val="00C3063D"/>
    <w:rsid w:val="00C3130D"/>
    <w:rsid w:val="00C314B2"/>
    <w:rsid w:val="00C3151B"/>
    <w:rsid w:val="00C31C7D"/>
    <w:rsid w:val="00C325FC"/>
    <w:rsid w:val="00C33A7A"/>
    <w:rsid w:val="00C33B0B"/>
    <w:rsid w:val="00C343E2"/>
    <w:rsid w:val="00C347B5"/>
    <w:rsid w:val="00C36292"/>
    <w:rsid w:val="00C365E5"/>
    <w:rsid w:val="00C36E29"/>
    <w:rsid w:val="00C36EE4"/>
    <w:rsid w:val="00C410DF"/>
    <w:rsid w:val="00C4172F"/>
    <w:rsid w:val="00C41A3F"/>
    <w:rsid w:val="00C41EC3"/>
    <w:rsid w:val="00C42514"/>
    <w:rsid w:val="00C439E0"/>
    <w:rsid w:val="00C43FBF"/>
    <w:rsid w:val="00C4445F"/>
    <w:rsid w:val="00C445C7"/>
    <w:rsid w:val="00C44A93"/>
    <w:rsid w:val="00C44ADA"/>
    <w:rsid w:val="00C44AE4"/>
    <w:rsid w:val="00C45B3C"/>
    <w:rsid w:val="00C4754D"/>
    <w:rsid w:val="00C50557"/>
    <w:rsid w:val="00C50571"/>
    <w:rsid w:val="00C506AF"/>
    <w:rsid w:val="00C51D12"/>
    <w:rsid w:val="00C527E6"/>
    <w:rsid w:val="00C52A15"/>
    <w:rsid w:val="00C52A27"/>
    <w:rsid w:val="00C52AEF"/>
    <w:rsid w:val="00C53E86"/>
    <w:rsid w:val="00C545A1"/>
    <w:rsid w:val="00C5557C"/>
    <w:rsid w:val="00C55C83"/>
    <w:rsid w:val="00C55CFB"/>
    <w:rsid w:val="00C57069"/>
    <w:rsid w:val="00C5773F"/>
    <w:rsid w:val="00C5799E"/>
    <w:rsid w:val="00C618E2"/>
    <w:rsid w:val="00C62EB3"/>
    <w:rsid w:val="00C63584"/>
    <w:rsid w:val="00C63C0C"/>
    <w:rsid w:val="00C63CCD"/>
    <w:rsid w:val="00C63F7B"/>
    <w:rsid w:val="00C648E0"/>
    <w:rsid w:val="00C64A50"/>
    <w:rsid w:val="00C64F71"/>
    <w:rsid w:val="00C6537B"/>
    <w:rsid w:val="00C65595"/>
    <w:rsid w:val="00C67B5E"/>
    <w:rsid w:val="00C711C6"/>
    <w:rsid w:val="00C7181E"/>
    <w:rsid w:val="00C71CBD"/>
    <w:rsid w:val="00C726CD"/>
    <w:rsid w:val="00C72E71"/>
    <w:rsid w:val="00C73580"/>
    <w:rsid w:val="00C8039D"/>
    <w:rsid w:val="00C83A93"/>
    <w:rsid w:val="00C8472D"/>
    <w:rsid w:val="00C85326"/>
    <w:rsid w:val="00C856CF"/>
    <w:rsid w:val="00C8621D"/>
    <w:rsid w:val="00C90B13"/>
    <w:rsid w:val="00C90C6F"/>
    <w:rsid w:val="00C923D6"/>
    <w:rsid w:val="00C9326C"/>
    <w:rsid w:val="00C9416A"/>
    <w:rsid w:val="00C95179"/>
    <w:rsid w:val="00C95344"/>
    <w:rsid w:val="00C95CC4"/>
    <w:rsid w:val="00C9605B"/>
    <w:rsid w:val="00CA001F"/>
    <w:rsid w:val="00CA1216"/>
    <w:rsid w:val="00CA2ABF"/>
    <w:rsid w:val="00CA362B"/>
    <w:rsid w:val="00CA3E78"/>
    <w:rsid w:val="00CA3EC9"/>
    <w:rsid w:val="00CA423D"/>
    <w:rsid w:val="00CA5CC4"/>
    <w:rsid w:val="00CA5CE2"/>
    <w:rsid w:val="00CA6073"/>
    <w:rsid w:val="00CB1567"/>
    <w:rsid w:val="00CB267B"/>
    <w:rsid w:val="00CB284C"/>
    <w:rsid w:val="00CB2A39"/>
    <w:rsid w:val="00CB3347"/>
    <w:rsid w:val="00CB3CFE"/>
    <w:rsid w:val="00CB448F"/>
    <w:rsid w:val="00CB5264"/>
    <w:rsid w:val="00CB5C82"/>
    <w:rsid w:val="00CB5EBB"/>
    <w:rsid w:val="00CB6E05"/>
    <w:rsid w:val="00CB704B"/>
    <w:rsid w:val="00CB72BF"/>
    <w:rsid w:val="00CB7876"/>
    <w:rsid w:val="00CC2CAB"/>
    <w:rsid w:val="00CC3238"/>
    <w:rsid w:val="00CC38E3"/>
    <w:rsid w:val="00CC45C3"/>
    <w:rsid w:val="00CC480B"/>
    <w:rsid w:val="00CC4FD7"/>
    <w:rsid w:val="00CC5632"/>
    <w:rsid w:val="00CC5E8B"/>
    <w:rsid w:val="00CC6865"/>
    <w:rsid w:val="00CC6E13"/>
    <w:rsid w:val="00CD007B"/>
    <w:rsid w:val="00CD00E3"/>
    <w:rsid w:val="00CD1F60"/>
    <w:rsid w:val="00CD342D"/>
    <w:rsid w:val="00CD3477"/>
    <w:rsid w:val="00CD40AA"/>
    <w:rsid w:val="00CD4674"/>
    <w:rsid w:val="00CD46B1"/>
    <w:rsid w:val="00CD4BFC"/>
    <w:rsid w:val="00CD595F"/>
    <w:rsid w:val="00CD6ED5"/>
    <w:rsid w:val="00CD785F"/>
    <w:rsid w:val="00CE044E"/>
    <w:rsid w:val="00CE079B"/>
    <w:rsid w:val="00CE2C82"/>
    <w:rsid w:val="00CE390A"/>
    <w:rsid w:val="00CE477F"/>
    <w:rsid w:val="00CE4A1E"/>
    <w:rsid w:val="00CE51A0"/>
    <w:rsid w:val="00CE55A4"/>
    <w:rsid w:val="00CF00FA"/>
    <w:rsid w:val="00CF0D24"/>
    <w:rsid w:val="00CF0D8C"/>
    <w:rsid w:val="00CF0FB2"/>
    <w:rsid w:val="00CF30D8"/>
    <w:rsid w:val="00CF357C"/>
    <w:rsid w:val="00CF3BB2"/>
    <w:rsid w:val="00CF4326"/>
    <w:rsid w:val="00CF4508"/>
    <w:rsid w:val="00CF4D53"/>
    <w:rsid w:val="00CF52CC"/>
    <w:rsid w:val="00CF6976"/>
    <w:rsid w:val="00D006FC"/>
    <w:rsid w:val="00D00847"/>
    <w:rsid w:val="00D010F6"/>
    <w:rsid w:val="00D01FAB"/>
    <w:rsid w:val="00D02298"/>
    <w:rsid w:val="00D025EE"/>
    <w:rsid w:val="00D03244"/>
    <w:rsid w:val="00D03D24"/>
    <w:rsid w:val="00D06B48"/>
    <w:rsid w:val="00D06D88"/>
    <w:rsid w:val="00D07077"/>
    <w:rsid w:val="00D078C6"/>
    <w:rsid w:val="00D100A8"/>
    <w:rsid w:val="00D111E2"/>
    <w:rsid w:val="00D12B36"/>
    <w:rsid w:val="00D13739"/>
    <w:rsid w:val="00D14C82"/>
    <w:rsid w:val="00D14D7D"/>
    <w:rsid w:val="00D14F9C"/>
    <w:rsid w:val="00D1580C"/>
    <w:rsid w:val="00D15868"/>
    <w:rsid w:val="00D15C73"/>
    <w:rsid w:val="00D15F7F"/>
    <w:rsid w:val="00D16630"/>
    <w:rsid w:val="00D16638"/>
    <w:rsid w:val="00D1663A"/>
    <w:rsid w:val="00D16DBB"/>
    <w:rsid w:val="00D1716E"/>
    <w:rsid w:val="00D17B64"/>
    <w:rsid w:val="00D17B6E"/>
    <w:rsid w:val="00D17C33"/>
    <w:rsid w:val="00D20C4E"/>
    <w:rsid w:val="00D21908"/>
    <w:rsid w:val="00D21DB8"/>
    <w:rsid w:val="00D22326"/>
    <w:rsid w:val="00D24CDF"/>
    <w:rsid w:val="00D2558F"/>
    <w:rsid w:val="00D25AF0"/>
    <w:rsid w:val="00D25F55"/>
    <w:rsid w:val="00D263EC"/>
    <w:rsid w:val="00D26B1E"/>
    <w:rsid w:val="00D30438"/>
    <w:rsid w:val="00D30E8E"/>
    <w:rsid w:val="00D31767"/>
    <w:rsid w:val="00D33027"/>
    <w:rsid w:val="00D344C6"/>
    <w:rsid w:val="00D34F5C"/>
    <w:rsid w:val="00D35D6F"/>
    <w:rsid w:val="00D35E1B"/>
    <w:rsid w:val="00D35ECD"/>
    <w:rsid w:val="00D367B5"/>
    <w:rsid w:val="00D36807"/>
    <w:rsid w:val="00D3718D"/>
    <w:rsid w:val="00D37E46"/>
    <w:rsid w:val="00D415AB"/>
    <w:rsid w:val="00D41B12"/>
    <w:rsid w:val="00D43764"/>
    <w:rsid w:val="00D437D7"/>
    <w:rsid w:val="00D44604"/>
    <w:rsid w:val="00D453B2"/>
    <w:rsid w:val="00D45BAF"/>
    <w:rsid w:val="00D45F2A"/>
    <w:rsid w:val="00D50174"/>
    <w:rsid w:val="00D51050"/>
    <w:rsid w:val="00D5121F"/>
    <w:rsid w:val="00D519D2"/>
    <w:rsid w:val="00D523F3"/>
    <w:rsid w:val="00D524E2"/>
    <w:rsid w:val="00D53B4E"/>
    <w:rsid w:val="00D53B84"/>
    <w:rsid w:val="00D54477"/>
    <w:rsid w:val="00D54621"/>
    <w:rsid w:val="00D554BB"/>
    <w:rsid w:val="00D56EFB"/>
    <w:rsid w:val="00D57890"/>
    <w:rsid w:val="00D60E2F"/>
    <w:rsid w:val="00D6151E"/>
    <w:rsid w:val="00D6198D"/>
    <w:rsid w:val="00D61EEF"/>
    <w:rsid w:val="00D620AE"/>
    <w:rsid w:val="00D62D33"/>
    <w:rsid w:val="00D62DC1"/>
    <w:rsid w:val="00D62FB0"/>
    <w:rsid w:val="00D63992"/>
    <w:rsid w:val="00D63A8C"/>
    <w:rsid w:val="00D64753"/>
    <w:rsid w:val="00D6476D"/>
    <w:rsid w:val="00D64B49"/>
    <w:rsid w:val="00D65087"/>
    <w:rsid w:val="00D66B6D"/>
    <w:rsid w:val="00D67873"/>
    <w:rsid w:val="00D70552"/>
    <w:rsid w:val="00D70AF6"/>
    <w:rsid w:val="00D71A31"/>
    <w:rsid w:val="00D71BBF"/>
    <w:rsid w:val="00D73DEA"/>
    <w:rsid w:val="00D74021"/>
    <w:rsid w:val="00D74AFB"/>
    <w:rsid w:val="00D74CBE"/>
    <w:rsid w:val="00D74D92"/>
    <w:rsid w:val="00D755C0"/>
    <w:rsid w:val="00D76621"/>
    <w:rsid w:val="00D7677C"/>
    <w:rsid w:val="00D76CB1"/>
    <w:rsid w:val="00D773E4"/>
    <w:rsid w:val="00D77D5B"/>
    <w:rsid w:val="00D80407"/>
    <w:rsid w:val="00D81209"/>
    <w:rsid w:val="00D81793"/>
    <w:rsid w:val="00D81BA0"/>
    <w:rsid w:val="00D81CE9"/>
    <w:rsid w:val="00D829BB"/>
    <w:rsid w:val="00D82B8D"/>
    <w:rsid w:val="00D839C3"/>
    <w:rsid w:val="00D84868"/>
    <w:rsid w:val="00D84AAE"/>
    <w:rsid w:val="00D8534F"/>
    <w:rsid w:val="00D85F56"/>
    <w:rsid w:val="00D86837"/>
    <w:rsid w:val="00D869EB"/>
    <w:rsid w:val="00D924A8"/>
    <w:rsid w:val="00D927E0"/>
    <w:rsid w:val="00D9288D"/>
    <w:rsid w:val="00D9323A"/>
    <w:rsid w:val="00D93801"/>
    <w:rsid w:val="00D94E01"/>
    <w:rsid w:val="00D96158"/>
    <w:rsid w:val="00D9622C"/>
    <w:rsid w:val="00D96249"/>
    <w:rsid w:val="00D96258"/>
    <w:rsid w:val="00D963AE"/>
    <w:rsid w:val="00D9649E"/>
    <w:rsid w:val="00D9650E"/>
    <w:rsid w:val="00D96E4F"/>
    <w:rsid w:val="00D97D5D"/>
    <w:rsid w:val="00DA046E"/>
    <w:rsid w:val="00DA04D0"/>
    <w:rsid w:val="00DA0B06"/>
    <w:rsid w:val="00DA0E72"/>
    <w:rsid w:val="00DA1203"/>
    <w:rsid w:val="00DA21C7"/>
    <w:rsid w:val="00DA2273"/>
    <w:rsid w:val="00DA22DC"/>
    <w:rsid w:val="00DA36CB"/>
    <w:rsid w:val="00DA74F0"/>
    <w:rsid w:val="00DA7831"/>
    <w:rsid w:val="00DB2638"/>
    <w:rsid w:val="00DB3566"/>
    <w:rsid w:val="00DB387B"/>
    <w:rsid w:val="00DB6CC7"/>
    <w:rsid w:val="00DB6D06"/>
    <w:rsid w:val="00DB7A2F"/>
    <w:rsid w:val="00DC0E9F"/>
    <w:rsid w:val="00DC10F5"/>
    <w:rsid w:val="00DC2AD9"/>
    <w:rsid w:val="00DC337E"/>
    <w:rsid w:val="00DC3774"/>
    <w:rsid w:val="00DC3A75"/>
    <w:rsid w:val="00DC400D"/>
    <w:rsid w:val="00DC430C"/>
    <w:rsid w:val="00DC5EFA"/>
    <w:rsid w:val="00DC618E"/>
    <w:rsid w:val="00DC637E"/>
    <w:rsid w:val="00DC69C9"/>
    <w:rsid w:val="00DD1EB7"/>
    <w:rsid w:val="00DD2175"/>
    <w:rsid w:val="00DD2763"/>
    <w:rsid w:val="00DD3C2F"/>
    <w:rsid w:val="00DD43BB"/>
    <w:rsid w:val="00DD4AAB"/>
    <w:rsid w:val="00DD50F8"/>
    <w:rsid w:val="00DD5C28"/>
    <w:rsid w:val="00DD6427"/>
    <w:rsid w:val="00DD6BB7"/>
    <w:rsid w:val="00DD6DB2"/>
    <w:rsid w:val="00DE0E67"/>
    <w:rsid w:val="00DE1337"/>
    <w:rsid w:val="00DE3586"/>
    <w:rsid w:val="00DE3FC8"/>
    <w:rsid w:val="00DE40EE"/>
    <w:rsid w:val="00DE4703"/>
    <w:rsid w:val="00DE7755"/>
    <w:rsid w:val="00DE7987"/>
    <w:rsid w:val="00DF1E20"/>
    <w:rsid w:val="00DF2825"/>
    <w:rsid w:val="00DF2F03"/>
    <w:rsid w:val="00DF3662"/>
    <w:rsid w:val="00DF3931"/>
    <w:rsid w:val="00DF4D1D"/>
    <w:rsid w:val="00DF4FDC"/>
    <w:rsid w:val="00DF53F2"/>
    <w:rsid w:val="00DF64BA"/>
    <w:rsid w:val="00DF6ED8"/>
    <w:rsid w:val="00DF7BBA"/>
    <w:rsid w:val="00E016B9"/>
    <w:rsid w:val="00E0295D"/>
    <w:rsid w:val="00E0295F"/>
    <w:rsid w:val="00E03969"/>
    <w:rsid w:val="00E045B6"/>
    <w:rsid w:val="00E07307"/>
    <w:rsid w:val="00E104A1"/>
    <w:rsid w:val="00E11E58"/>
    <w:rsid w:val="00E1222F"/>
    <w:rsid w:val="00E122F2"/>
    <w:rsid w:val="00E12B1D"/>
    <w:rsid w:val="00E1300A"/>
    <w:rsid w:val="00E13636"/>
    <w:rsid w:val="00E1402C"/>
    <w:rsid w:val="00E17034"/>
    <w:rsid w:val="00E20241"/>
    <w:rsid w:val="00E2097B"/>
    <w:rsid w:val="00E20BC8"/>
    <w:rsid w:val="00E23181"/>
    <w:rsid w:val="00E2409B"/>
    <w:rsid w:val="00E24E45"/>
    <w:rsid w:val="00E2503E"/>
    <w:rsid w:val="00E255C4"/>
    <w:rsid w:val="00E26E73"/>
    <w:rsid w:val="00E27448"/>
    <w:rsid w:val="00E2785A"/>
    <w:rsid w:val="00E278C0"/>
    <w:rsid w:val="00E31395"/>
    <w:rsid w:val="00E31B05"/>
    <w:rsid w:val="00E327B3"/>
    <w:rsid w:val="00E32D2C"/>
    <w:rsid w:val="00E3314E"/>
    <w:rsid w:val="00E33F83"/>
    <w:rsid w:val="00E35ECE"/>
    <w:rsid w:val="00E36094"/>
    <w:rsid w:val="00E36A04"/>
    <w:rsid w:val="00E379FD"/>
    <w:rsid w:val="00E37C47"/>
    <w:rsid w:val="00E402B4"/>
    <w:rsid w:val="00E4080F"/>
    <w:rsid w:val="00E41C57"/>
    <w:rsid w:val="00E42758"/>
    <w:rsid w:val="00E429B4"/>
    <w:rsid w:val="00E42A39"/>
    <w:rsid w:val="00E43580"/>
    <w:rsid w:val="00E43581"/>
    <w:rsid w:val="00E43A0B"/>
    <w:rsid w:val="00E451E8"/>
    <w:rsid w:val="00E45298"/>
    <w:rsid w:val="00E45C78"/>
    <w:rsid w:val="00E45CFD"/>
    <w:rsid w:val="00E46010"/>
    <w:rsid w:val="00E46E35"/>
    <w:rsid w:val="00E501EA"/>
    <w:rsid w:val="00E52C9F"/>
    <w:rsid w:val="00E52D65"/>
    <w:rsid w:val="00E52D8E"/>
    <w:rsid w:val="00E530CD"/>
    <w:rsid w:val="00E532B0"/>
    <w:rsid w:val="00E53C53"/>
    <w:rsid w:val="00E53C9B"/>
    <w:rsid w:val="00E54C4E"/>
    <w:rsid w:val="00E56A58"/>
    <w:rsid w:val="00E57835"/>
    <w:rsid w:val="00E60973"/>
    <w:rsid w:val="00E609D5"/>
    <w:rsid w:val="00E60AF7"/>
    <w:rsid w:val="00E60B1F"/>
    <w:rsid w:val="00E60F84"/>
    <w:rsid w:val="00E614C0"/>
    <w:rsid w:val="00E6177D"/>
    <w:rsid w:val="00E622CC"/>
    <w:rsid w:val="00E6342F"/>
    <w:rsid w:val="00E63818"/>
    <w:rsid w:val="00E6385A"/>
    <w:rsid w:val="00E63CA4"/>
    <w:rsid w:val="00E64624"/>
    <w:rsid w:val="00E65392"/>
    <w:rsid w:val="00E65A41"/>
    <w:rsid w:val="00E65E5E"/>
    <w:rsid w:val="00E66313"/>
    <w:rsid w:val="00E667BC"/>
    <w:rsid w:val="00E66DFD"/>
    <w:rsid w:val="00E702BF"/>
    <w:rsid w:val="00E70C38"/>
    <w:rsid w:val="00E71F15"/>
    <w:rsid w:val="00E7204D"/>
    <w:rsid w:val="00E72C5F"/>
    <w:rsid w:val="00E730D2"/>
    <w:rsid w:val="00E7350B"/>
    <w:rsid w:val="00E743E6"/>
    <w:rsid w:val="00E746E8"/>
    <w:rsid w:val="00E75E82"/>
    <w:rsid w:val="00E763BD"/>
    <w:rsid w:val="00E771B2"/>
    <w:rsid w:val="00E77520"/>
    <w:rsid w:val="00E776DF"/>
    <w:rsid w:val="00E77B01"/>
    <w:rsid w:val="00E80CBC"/>
    <w:rsid w:val="00E8157A"/>
    <w:rsid w:val="00E81C89"/>
    <w:rsid w:val="00E827BF"/>
    <w:rsid w:val="00E82990"/>
    <w:rsid w:val="00E830C8"/>
    <w:rsid w:val="00E83372"/>
    <w:rsid w:val="00E83525"/>
    <w:rsid w:val="00E845F8"/>
    <w:rsid w:val="00E84DF0"/>
    <w:rsid w:val="00E85A86"/>
    <w:rsid w:val="00E86E01"/>
    <w:rsid w:val="00E91C14"/>
    <w:rsid w:val="00E9309F"/>
    <w:rsid w:val="00E94BE2"/>
    <w:rsid w:val="00E9567E"/>
    <w:rsid w:val="00E96792"/>
    <w:rsid w:val="00EA00C5"/>
    <w:rsid w:val="00EA0F8A"/>
    <w:rsid w:val="00EA268D"/>
    <w:rsid w:val="00EA34B8"/>
    <w:rsid w:val="00EA5A4D"/>
    <w:rsid w:val="00EA6129"/>
    <w:rsid w:val="00EA6FAC"/>
    <w:rsid w:val="00EA7F44"/>
    <w:rsid w:val="00EB0030"/>
    <w:rsid w:val="00EB3840"/>
    <w:rsid w:val="00EB38F2"/>
    <w:rsid w:val="00EB4A17"/>
    <w:rsid w:val="00EB4E04"/>
    <w:rsid w:val="00EB6204"/>
    <w:rsid w:val="00EB68CB"/>
    <w:rsid w:val="00EB6E16"/>
    <w:rsid w:val="00EB736A"/>
    <w:rsid w:val="00EC0098"/>
    <w:rsid w:val="00EC032C"/>
    <w:rsid w:val="00EC0548"/>
    <w:rsid w:val="00EC120E"/>
    <w:rsid w:val="00EC1ECE"/>
    <w:rsid w:val="00EC3441"/>
    <w:rsid w:val="00EC3CCE"/>
    <w:rsid w:val="00EC42AE"/>
    <w:rsid w:val="00EC532E"/>
    <w:rsid w:val="00EC662E"/>
    <w:rsid w:val="00EC67EE"/>
    <w:rsid w:val="00EC700F"/>
    <w:rsid w:val="00ED0207"/>
    <w:rsid w:val="00ED05D4"/>
    <w:rsid w:val="00ED1389"/>
    <w:rsid w:val="00ED1746"/>
    <w:rsid w:val="00ED1AF6"/>
    <w:rsid w:val="00ED2384"/>
    <w:rsid w:val="00ED37CB"/>
    <w:rsid w:val="00ED3B05"/>
    <w:rsid w:val="00ED42F6"/>
    <w:rsid w:val="00EE0371"/>
    <w:rsid w:val="00EE0A8B"/>
    <w:rsid w:val="00EE1981"/>
    <w:rsid w:val="00EE19A4"/>
    <w:rsid w:val="00EE6FA3"/>
    <w:rsid w:val="00EE7A67"/>
    <w:rsid w:val="00EE7E70"/>
    <w:rsid w:val="00EF054B"/>
    <w:rsid w:val="00EF0AB2"/>
    <w:rsid w:val="00EF1636"/>
    <w:rsid w:val="00EF37CC"/>
    <w:rsid w:val="00EF3FC1"/>
    <w:rsid w:val="00EF4C7C"/>
    <w:rsid w:val="00EF4E66"/>
    <w:rsid w:val="00EF5107"/>
    <w:rsid w:val="00EF55BC"/>
    <w:rsid w:val="00EF5B80"/>
    <w:rsid w:val="00EF5C45"/>
    <w:rsid w:val="00EF63AC"/>
    <w:rsid w:val="00EF73C5"/>
    <w:rsid w:val="00EF7E47"/>
    <w:rsid w:val="00F00257"/>
    <w:rsid w:val="00F00432"/>
    <w:rsid w:val="00F0063D"/>
    <w:rsid w:val="00F00D23"/>
    <w:rsid w:val="00F02086"/>
    <w:rsid w:val="00F022DE"/>
    <w:rsid w:val="00F02EE9"/>
    <w:rsid w:val="00F04158"/>
    <w:rsid w:val="00F04CC2"/>
    <w:rsid w:val="00F055B2"/>
    <w:rsid w:val="00F057A8"/>
    <w:rsid w:val="00F06DE9"/>
    <w:rsid w:val="00F07260"/>
    <w:rsid w:val="00F079E2"/>
    <w:rsid w:val="00F07BDD"/>
    <w:rsid w:val="00F1013F"/>
    <w:rsid w:val="00F1070F"/>
    <w:rsid w:val="00F117EB"/>
    <w:rsid w:val="00F1195C"/>
    <w:rsid w:val="00F12AAF"/>
    <w:rsid w:val="00F132F5"/>
    <w:rsid w:val="00F140E1"/>
    <w:rsid w:val="00F158C4"/>
    <w:rsid w:val="00F16E1E"/>
    <w:rsid w:val="00F17117"/>
    <w:rsid w:val="00F17779"/>
    <w:rsid w:val="00F1782E"/>
    <w:rsid w:val="00F20A86"/>
    <w:rsid w:val="00F20F51"/>
    <w:rsid w:val="00F228DB"/>
    <w:rsid w:val="00F244EA"/>
    <w:rsid w:val="00F24610"/>
    <w:rsid w:val="00F24982"/>
    <w:rsid w:val="00F25A33"/>
    <w:rsid w:val="00F26232"/>
    <w:rsid w:val="00F26825"/>
    <w:rsid w:val="00F27390"/>
    <w:rsid w:val="00F30F14"/>
    <w:rsid w:val="00F313C0"/>
    <w:rsid w:val="00F317E0"/>
    <w:rsid w:val="00F32A6C"/>
    <w:rsid w:val="00F334D2"/>
    <w:rsid w:val="00F34137"/>
    <w:rsid w:val="00F37625"/>
    <w:rsid w:val="00F4086C"/>
    <w:rsid w:val="00F4471C"/>
    <w:rsid w:val="00F44BE9"/>
    <w:rsid w:val="00F45969"/>
    <w:rsid w:val="00F47C7A"/>
    <w:rsid w:val="00F47E0A"/>
    <w:rsid w:val="00F507F1"/>
    <w:rsid w:val="00F508FB"/>
    <w:rsid w:val="00F520A0"/>
    <w:rsid w:val="00F5215A"/>
    <w:rsid w:val="00F52750"/>
    <w:rsid w:val="00F53776"/>
    <w:rsid w:val="00F558B0"/>
    <w:rsid w:val="00F56A1E"/>
    <w:rsid w:val="00F56F63"/>
    <w:rsid w:val="00F60481"/>
    <w:rsid w:val="00F617B7"/>
    <w:rsid w:val="00F61ECB"/>
    <w:rsid w:val="00F6200B"/>
    <w:rsid w:val="00F621E5"/>
    <w:rsid w:val="00F6389D"/>
    <w:rsid w:val="00F6588C"/>
    <w:rsid w:val="00F65CD1"/>
    <w:rsid w:val="00F66A47"/>
    <w:rsid w:val="00F67D7A"/>
    <w:rsid w:val="00F71329"/>
    <w:rsid w:val="00F71CD5"/>
    <w:rsid w:val="00F73401"/>
    <w:rsid w:val="00F73CF2"/>
    <w:rsid w:val="00F73FA8"/>
    <w:rsid w:val="00F753C6"/>
    <w:rsid w:val="00F775DD"/>
    <w:rsid w:val="00F83140"/>
    <w:rsid w:val="00F83A5D"/>
    <w:rsid w:val="00F83B2F"/>
    <w:rsid w:val="00F83C99"/>
    <w:rsid w:val="00F854A6"/>
    <w:rsid w:val="00F87674"/>
    <w:rsid w:val="00F87774"/>
    <w:rsid w:val="00F87BD3"/>
    <w:rsid w:val="00F90462"/>
    <w:rsid w:val="00F90693"/>
    <w:rsid w:val="00F9245E"/>
    <w:rsid w:val="00F92470"/>
    <w:rsid w:val="00F9249F"/>
    <w:rsid w:val="00F93344"/>
    <w:rsid w:val="00F93661"/>
    <w:rsid w:val="00F93FC9"/>
    <w:rsid w:val="00F94061"/>
    <w:rsid w:val="00F946CA"/>
    <w:rsid w:val="00F9479A"/>
    <w:rsid w:val="00F94AF6"/>
    <w:rsid w:val="00F950A9"/>
    <w:rsid w:val="00F954B5"/>
    <w:rsid w:val="00F9601F"/>
    <w:rsid w:val="00F96739"/>
    <w:rsid w:val="00F9755B"/>
    <w:rsid w:val="00F97C86"/>
    <w:rsid w:val="00F97FCE"/>
    <w:rsid w:val="00FA0300"/>
    <w:rsid w:val="00FA77A1"/>
    <w:rsid w:val="00FB1482"/>
    <w:rsid w:val="00FB1CF4"/>
    <w:rsid w:val="00FB28D2"/>
    <w:rsid w:val="00FB2996"/>
    <w:rsid w:val="00FB2BF6"/>
    <w:rsid w:val="00FB3DCF"/>
    <w:rsid w:val="00FB4B8B"/>
    <w:rsid w:val="00FB61FB"/>
    <w:rsid w:val="00FC05A6"/>
    <w:rsid w:val="00FC0912"/>
    <w:rsid w:val="00FC0F72"/>
    <w:rsid w:val="00FC1268"/>
    <w:rsid w:val="00FC2A98"/>
    <w:rsid w:val="00FC33ED"/>
    <w:rsid w:val="00FC4433"/>
    <w:rsid w:val="00FC4D5C"/>
    <w:rsid w:val="00FC708F"/>
    <w:rsid w:val="00FC74EA"/>
    <w:rsid w:val="00FC7A74"/>
    <w:rsid w:val="00FC7F20"/>
    <w:rsid w:val="00FD0B43"/>
    <w:rsid w:val="00FD13F9"/>
    <w:rsid w:val="00FD2B62"/>
    <w:rsid w:val="00FD31E6"/>
    <w:rsid w:val="00FD3EBC"/>
    <w:rsid w:val="00FD44D8"/>
    <w:rsid w:val="00FD5C6B"/>
    <w:rsid w:val="00FD62ED"/>
    <w:rsid w:val="00FD6F22"/>
    <w:rsid w:val="00FD7366"/>
    <w:rsid w:val="00FD756A"/>
    <w:rsid w:val="00FE046E"/>
    <w:rsid w:val="00FE08FC"/>
    <w:rsid w:val="00FE0DDB"/>
    <w:rsid w:val="00FE2220"/>
    <w:rsid w:val="00FE4A3C"/>
    <w:rsid w:val="00FE6FA3"/>
    <w:rsid w:val="00FF00C9"/>
    <w:rsid w:val="00FF0280"/>
    <w:rsid w:val="00FF18D8"/>
    <w:rsid w:val="00FF209A"/>
    <w:rsid w:val="00FF217C"/>
    <w:rsid w:val="00FF3F08"/>
    <w:rsid w:val="00FF48C7"/>
    <w:rsid w:val="00FF52B7"/>
    <w:rsid w:val="00FF758F"/>
    <w:rsid w:val="031D8533"/>
    <w:rsid w:val="06F48727"/>
    <w:rsid w:val="0AAD283B"/>
    <w:rsid w:val="0D648E14"/>
    <w:rsid w:val="10F62422"/>
    <w:rsid w:val="17BAFB29"/>
    <w:rsid w:val="1A45E01D"/>
    <w:rsid w:val="1B301692"/>
    <w:rsid w:val="2422A0F5"/>
    <w:rsid w:val="26D053D9"/>
    <w:rsid w:val="28DF0C0D"/>
    <w:rsid w:val="2CA76200"/>
    <w:rsid w:val="2DCD940D"/>
    <w:rsid w:val="3519490D"/>
    <w:rsid w:val="367AAA50"/>
    <w:rsid w:val="3D275ADF"/>
    <w:rsid w:val="4AC4FCA6"/>
    <w:rsid w:val="4B3209B5"/>
    <w:rsid w:val="4BB68B1B"/>
    <w:rsid w:val="4DA7868F"/>
    <w:rsid w:val="4EEB2ED3"/>
    <w:rsid w:val="58507147"/>
    <w:rsid w:val="5C926891"/>
    <w:rsid w:val="629E0035"/>
    <w:rsid w:val="69C39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2AC5"/>
  <w15:docId w15:val="{9C75C39D-2CE2-4FD6-809E-5599C600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iPriority="9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A86"/>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13"/>
      </w:numPr>
      <w:spacing w:before="300" w:line="280" w:lineRule="atLeast"/>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outlineLvl w:val="1"/>
    </w:pPr>
    <w:rPr>
      <w:bCs w:val="0"/>
      <w:iCs/>
      <w:color w:val="56B4DF"/>
      <w:sz w:val="22"/>
      <w:szCs w:val="28"/>
    </w:rPr>
  </w:style>
  <w:style w:type="paragraph" w:styleId="Heading3">
    <w:name w:val="heading 3"/>
    <w:basedOn w:val="BodyText"/>
    <w:next w:val="BodyText"/>
    <w:link w:val="Heading3Char"/>
    <w:qFormat/>
    <w:rsid w:val="002C7B38"/>
    <w:pPr>
      <w:keepNext/>
      <w:numPr>
        <w:ilvl w:val="2"/>
        <w:numId w:val="13"/>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13"/>
      </w:numPr>
      <w:spacing w:before="300" w:line="280" w:lineRule="atLeast"/>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13"/>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0"/>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aliases w:val="List Bullet Cab,L,List Paragraph1,List Paragraph11,Recommendation,bullet point list,1 heading,Bullet point,Dot point 1.5 line spacing,List Paragraph - bullets,NFP GP Bulleted List"/>
    <w:basedOn w:val="ListBullet"/>
    <w:link w:val="ListParagraphChar"/>
    <w:uiPriority w:val="34"/>
    <w:qFormat/>
    <w:rsid w:val="009F2590"/>
    <w:rPr>
      <w:lang w:val="en"/>
    </w:rPr>
  </w:style>
  <w:style w:type="character" w:customStyle="1" w:styleId="ListParagraphChar">
    <w:name w:val="List Paragraph Char"/>
    <w:aliases w:val="List Bullet Cab Char,L Char,List Paragraph1 Char,List Paragraph11 Char,Recommendation Char,bullet point list Char,1 heading Char,Bullet point Char,Dot point 1.5 line spacing Char,List Paragraph - bullets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numPr>
        <w:numId w:val="14"/>
      </w:num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4C7203"/>
    <w:pPr>
      <w:numPr>
        <w:numId w:val="11"/>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nhideWhenUsed/>
    <w:rsid w:val="00E35ECE"/>
    <w:pPr>
      <w:spacing w:after="0" w:line="240" w:lineRule="auto"/>
      <w:ind w:left="0"/>
    </w:pPr>
  </w:style>
  <w:style w:type="character" w:customStyle="1" w:styleId="HeaderChar">
    <w:name w:val="Header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B50EA3"/>
    <w:pPr>
      <w:spacing w:after="140" w:line="270" w:lineRule="exact"/>
      <w:ind w:left="0"/>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B50EA3"/>
    <w:rPr>
      <w:rFonts w:ascii="Arial" w:eastAsia="Calibri" w:hAnsi="Arial" w:cs="Arial"/>
      <w:color w:val="373737"/>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2"/>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1"/>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paragraph" w:styleId="PlainText">
    <w:name w:val="Plain Text"/>
    <w:basedOn w:val="Normal"/>
    <w:link w:val="PlainTextChar"/>
    <w:uiPriority w:val="99"/>
    <w:unhideWhenUsed/>
    <w:rsid w:val="0081720E"/>
    <w:pPr>
      <w:spacing w:after="0" w:line="240" w:lineRule="auto"/>
      <w:ind w:left="0"/>
      <w:jc w:val="left"/>
    </w:pPr>
    <w:rPr>
      <w:rFonts w:ascii="Consolas" w:hAnsi="Consolas"/>
      <w:color w:val="auto"/>
      <w:sz w:val="21"/>
      <w:szCs w:val="21"/>
    </w:rPr>
  </w:style>
  <w:style w:type="character" w:customStyle="1" w:styleId="PlainTextChar">
    <w:name w:val="Plain Text Char"/>
    <w:basedOn w:val="DefaultParagraphFont"/>
    <w:link w:val="PlainText"/>
    <w:uiPriority w:val="99"/>
    <w:rsid w:val="0081720E"/>
    <w:rPr>
      <w:rFonts w:ascii="Consolas" w:hAnsi="Consolas"/>
      <w:sz w:val="21"/>
      <w:szCs w:val="21"/>
    </w:rPr>
  </w:style>
  <w:style w:type="paragraph" w:customStyle="1" w:styleId="Default">
    <w:name w:val="Default"/>
    <w:rsid w:val="00BC7C9F"/>
    <w:pPr>
      <w:autoSpaceDE w:val="0"/>
      <w:autoSpaceDN w:val="0"/>
      <w:adjustRightInd w:val="0"/>
      <w:spacing w:after="0" w:line="240" w:lineRule="auto"/>
    </w:pPr>
    <w:rPr>
      <w:rFonts w:ascii="Code" w:hAnsi="Code" w:cs="Code"/>
      <w:color w:val="000000"/>
      <w:sz w:val="24"/>
      <w:szCs w:val="24"/>
    </w:rPr>
  </w:style>
  <w:style w:type="character" w:styleId="CommentReference">
    <w:name w:val="annotation reference"/>
    <w:basedOn w:val="DefaultParagraphFont"/>
    <w:semiHidden/>
    <w:unhideWhenUsed/>
    <w:rsid w:val="00014119"/>
    <w:rPr>
      <w:sz w:val="16"/>
      <w:szCs w:val="16"/>
    </w:rPr>
  </w:style>
  <w:style w:type="paragraph" w:styleId="CommentText">
    <w:name w:val="annotation text"/>
    <w:basedOn w:val="Normal"/>
    <w:link w:val="CommentTextChar"/>
    <w:semiHidden/>
    <w:unhideWhenUsed/>
    <w:rsid w:val="00014119"/>
    <w:pPr>
      <w:spacing w:line="240" w:lineRule="auto"/>
    </w:pPr>
    <w:rPr>
      <w:szCs w:val="20"/>
    </w:rPr>
  </w:style>
  <w:style w:type="character" w:customStyle="1" w:styleId="CommentTextChar">
    <w:name w:val="Comment Text Char"/>
    <w:basedOn w:val="DefaultParagraphFont"/>
    <w:link w:val="CommentText"/>
    <w:semiHidden/>
    <w:rsid w:val="00014119"/>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014119"/>
    <w:rPr>
      <w:b/>
      <w:bCs/>
    </w:rPr>
  </w:style>
  <w:style w:type="character" w:customStyle="1" w:styleId="CommentSubjectChar">
    <w:name w:val="Comment Subject Char"/>
    <w:basedOn w:val="CommentTextChar"/>
    <w:link w:val="CommentSubject"/>
    <w:semiHidden/>
    <w:rsid w:val="00014119"/>
    <w:rPr>
      <w:rFonts w:ascii="Arial" w:hAnsi="Arial"/>
      <w:b/>
      <w:bCs/>
      <w:color w:val="373737"/>
      <w:sz w:val="20"/>
      <w:szCs w:val="20"/>
    </w:rPr>
  </w:style>
  <w:style w:type="paragraph" w:customStyle="1" w:styleId="NormalItalics">
    <w:name w:val="Normal + Italics"/>
    <w:basedOn w:val="Normal"/>
    <w:qFormat/>
    <w:rsid w:val="008E47DA"/>
    <w:pPr>
      <w:spacing w:after="120" w:line="280" w:lineRule="atLeast"/>
      <w:ind w:left="0"/>
      <w:jc w:val="left"/>
    </w:pPr>
    <w:rPr>
      <w:rFonts w:eastAsia="Times New Roman" w:cs="Times New Roman"/>
      <w:i/>
      <w:color w:val="auto"/>
      <w:szCs w:val="24"/>
      <w:lang w:eastAsia="en-AU"/>
    </w:rPr>
  </w:style>
  <w:style w:type="character" w:styleId="FollowedHyperlink">
    <w:name w:val="FollowedHyperlink"/>
    <w:basedOn w:val="DefaultParagraphFont"/>
    <w:uiPriority w:val="19"/>
    <w:semiHidden/>
    <w:unhideWhenUsed/>
    <w:rsid w:val="00E622CC"/>
    <w:rPr>
      <w:color w:val="56B4E9" w:themeColor="followedHyperlink"/>
      <w:u w:val="single"/>
    </w:rPr>
  </w:style>
  <w:style w:type="paragraph" w:styleId="Revision">
    <w:name w:val="Revision"/>
    <w:hidden/>
    <w:uiPriority w:val="99"/>
    <w:semiHidden/>
    <w:rsid w:val="00B907D5"/>
    <w:pPr>
      <w:spacing w:after="0" w:line="240" w:lineRule="auto"/>
    </w:pPr>
    <w:rPr>
      <w:rFonts w:ascii="Arial" w:hAnsi="Arial"/>
      <w:color w:val="37373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6329">
      <w:bodyDiv w:val="1"/>
      <w:marLeft w:val="0"/>
      <w:marRight w:val="0"/>
      <w:marTop w:val="0"/>
      <w:marBottom w:val="0"/>
      <w:divBdr>
        <w:top w:val="none" w:sz="0" w:space="0" w:color="auto"/>
        <w:left w:val="none" w:sz="0" w:space="0" w:color="auto"/>
        <w:bottom w:val="none" w:sz="0" w:space="0" w:color="auto"/>
        <w:right w:val="none" w:sz="0" w:space="0" w:color="auto"/>
      </w:divBdr>
    </w:div>
    <w:div w:id="167329465">
      <w:bodyDiv w:val="1"/>
      <w:marLeft w:val="0"/>
      <w:marRight w:val="0"/>
      <w:marTop w:val="0"/>
      <w:marBottom w:val="0"/>
      <w:divBdr>
        <w:top w:val="none" w:sz="0" w:space="0" w:color="auto"/>
        <w:left w:val="none" w:sz="0" w:space="0" w:color="auto"/>
        <w:bottom w:val="none" w:sz="0" w:space="0" w:color="auto"/>
        <w:right w:val="none" w:sz="0" w:space="0" w:color="auto"/>
      </w:divBdr>
    </w:div>
    <w:div w:id="208492999">
      <w:bodyDiv w:val="1"/>
      <w:marLeft w:val="0"/>
      <w:marRight w:val="0"/>
      <w:marTop w:val="0"/>
      <w:marBottom w:val="0"/>
      <w:divBdr>
        <w:top w:val="none" w:sz="0" w:space="0" w:color="auto"/>
        <w:left w:val="none" w:sz="0" w:space="0" w:color="auto"/>
        <w:bottom w:val="none" w:sz="0" w:space="0" w:color="auto"/>
        <w:right w:val="none" w:sz="0" w:space="0" w:color="auto"/>
      </w:divBdr>
    </w:div>
    <w:div w:id="755595334">
      <w:bodyDiv w:val="1"/>
      <w:marLeft w:val="0"/>
      <w:marRight w:val="0"/>
      <w:marTop w:val="0"/>
      <w:marBottom w:val="0"/>
      <w:divBdr>
        <w:top w:val="none" w:sz="0" w:space="0" w:color="auto"/>
        <w:left w:val="none" w:sz="0" w:space="0" w:color="auto"/>
        <w:bottom w:val="none" w:sz="0" w:space="0" w:color="auto"/>
        <w:right w:val="none" w:sz="0" w:space="0" w:color="auto"/>
      </w:divBdr>
    </w:div>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082919145">
      <w:bodyDiv w:val="1"/>
      <w:marLeft w:val="0"/>
      <w:marRight w:val="0"/>
      <w:marTop w:val="0"/>
      <w:marBottom w:val="0"/>
      <w:divBdr>
        <w:top w:val="none" w:sz="0" w:space="0" w:color="auto"/>
        <w:left w:val="none" w:sz="0" w:space="0" w:color="auto"/>
        <w:bottom w:val="none" w:sz="0" w:space="0" w:color="auto"/>
        <w:right w:val="none" w:sz="0" w:space="0" w:color="auto"/>
      </w:divBdr>
    </w:div>
    <w:div w:id="1102456930">
      <w:bodyDiv w:val="1"/>
      <w:marLeft w:val="0"/>
      <w:marRight w:val="0"/>
      <w:marTop w:val="0"/>
      <w:marBottom w:val="0"/>
      <w:divBdr>
        <w:top w:val="none" w:sz="0" w:space="0" w:color="auto"/>
        <w:left w:val="none" w:sz="0" w:space="0" w:color="auto"/>
        <w:bottom w:val="none" w:sz="0" w:space="0" w:color="auto"/>
        <w:right w:val="none" w:sz="0" w:space="0" w:color="auto"/>
      </w:divBdr>
    </w:div>
    <w:div w:id="1258709149">
      <w:bodyDiv w:val="1"/>
      <w:marLeft w:val="0"/>
      <w:marRight w:val="0"/>
      <w:marTop w:val="0"/>
      <w:marBottom w:val="0"/>
      <w:divBdr>
        <w:top w:val="none" w:sz="0" w:space="0" w:color="auto"/>
        <w:left w:val="none" w:sz="0" w:space="0" w:color="auto"/>
        <w:bottom w:val="none" w:sz="0" w:space="0" w:color="auto"/>
        <w:right w:val="none" w:sz="0" w:space="0" w:color="auto"/>
      </w:divBdr>
    </w:div>
    <w:div w:id="1377242126">
      <w:bodyDiv w:val="1"/>
      <w:marLeft w:val="0"/>
      <w:marRight w:val="0"/>
      <w:marTop w:val="0"/>
      <w:marBottom w:val="0"/>
      <w:divBdr>
        <w:top w:val="none" w:sz="0" w:space="0" w:color="auto"/>
        <w:left w:val="none" w:sz="0" w:space="0" w:color="auto"/>
        <w:bottom w:val="none" w:sz="0" w:space="0" w:color="auto"/>
        <w:right w:val="none" w:sz="0" w:space="0" w:color="auto"/>
      </w:divBdr>
    </w:div>
    <w:div w:id="1549875920">
      <w:bodyDiv w:val="1"/>
      <w:marLeft w:val="0"/>
      <w:marRight w:val="0"/>
      <w:marTop w:val="0"/>
      <w:marBottom w:val="0"/>
      <w:divBdr>
        <w:top w:val="none" w:sz="0" w:space="0" w:color="auto"/>
        <w:left w:val="none" w:sz="0" w:space="0" w:color="auto"/>
        <w:bottom w:val="none" w:sz="0" w:space="0" w:color="auto"/>
        <w:right w:val="none" w:sz="0" w:space="0" w:color="auto"/>
      </w:divBdr>
    </w:div>
    <w:div w:id="1587348730">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 w:id="20246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www.anao.gov.au/sites/g/files/net4141/f/AuditReport_2013-2014_41.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hyperlink" Target="https://doi.org/10.1080/09603109733376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ndustry.gov.au/OCE" TargetMode="External"/><Relationship Id="rId25" Type="http://schemas.openxmlformats.org/officeDocument/2006/relationships/image" Target="media/image6.png"/><Relationship Id="rId33" Type="http://schemas.openxmlformats.org/officeDocument/2006/relationships/hyperlink" Target="https://doi.org/10.1016/j.respol.2014.03.010"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hiefeconomist@industry.gov.au" TargetMode="External"/><Relationship Id="rId20" Type="http://schemas.openxmlformats.org/officeDocument/2006/relationships/chart" Target="charts/chart2.xml"/><Relationship Id="rId29" Type="http://schemas.openxmlformats.org/officeDocument/2006/relationships/hyperlink" Target="https://doi.org/10.1016/S0166-4972(99)00082-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s://doi.org/10.1016/S0048-7333(98)00129-2"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chart" Target="charts/chart5.xml"/><Relationship Id="rId28" Type="http://schemas.openxmlformats.org/officeDocument/2006/relationships/hyperlink" Target="https://doi.org/10.1111/1468-0297.00683"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hyperlink" Target="https://doi.org/10.1111/1468-0262.0044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40949.9BC99910" TargetMode="External"/><Relationship Id="rId22" Type="http://schemas.openxmlformats.org/officeDocument/2006/relationships/chart" Target="charts/chart4.xml"/><Relationship Id="rId27" Type="http://schemas.openxmlformats.org/officeDocument/2006/relationships/hyperlink" Target="https://industry.gov.au/Office-of-the-Chief-Economist/Research-Papers/Pages/Entrepreneurship-Dynamics-in-Australia-Lessons-from-Micro-data.aspx" TargetMode="External"/><Relationship Id="rId30" Type="http://schemas.openxmlformats.org/officeDocument/2006/relationships/hyperlink" Target="https://doi.org/10.1007/s11187-005-6058-6"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http://dochub/div/economicanalyticalservices/businessfunctions/dataanalyticalservices/impactevaluationresearch/docs/Industry%20counts%20and%20grant%20distribution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dochub/div/economicanalyticalservices/businessfunctions/dataanalyticalservices/impactevaluationresearch/docs/Industry%20counts%20and%20grant%20distribution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dochub/div/economicanalyticalservices/businessfunctions/dataanalyticalservices/impactevaluationresearch/docs/Industry%20counts%20and%20grant%20distribution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dochub/div/economicanalyticalservices/businessfunctions/dataanalyticalservices/impactevaluationresearch/docs/Industry%20counts%20and%20grant%20distributions.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prod.protected.ind\User\User06\ABruno\My%20Documents\IFA\New%20CA\CA_Cleared_June%2018_18\Age%20distribution_saf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2"/>
                </a:solidFill>
                <a:latin typeface="Arial" panose="020B0604020202020204" pitchFamily="34" charset="0"/>
                <a:ea typeface="+mn-ea"/>
                <a:cs typeface="Arial" panose="020B0604020202020204" pitchFamily="34" charset="0"/>
              </a:defRPr>
            </a:pPr>
            <a:r>
              <a:rPr lang="en-AU" sz="900" b="0">
                <a:solidFill>
                  <a:schemeClr val="tx2"/>
                </a:solidFill>
              </a:rPr>
              <a:t>Number of Firms </a:t>
            </a:r>
          </a:p>
        </c:rich>
      </c:tx>
      <c:layout>
        <c:manualLayout>
          <c:xMode val="edge"/>
          <c:yMode val="edge"/>
          <c:x val="0.57761079473420918"/>
          <c:y val="0.93574322077664818"/>
        </c:manualLayout>
      </c:layout>
      <c:overlay val="0"/>
      <c:spPr>
        <a:noFill/>
        <a:ln w="25400">
          <a:noFill/>
        </a:ln>
      </c:spPr>
    </c:title>
    <c:autoTitleDeleted val="0"/>
    <c:plotArea>
      <c:layout>
        <c:manualLayout>
          <c:layoutTarget val="inner"/>
          <c:xMode val="edge"/>
          <c:yMode val="edge"/>
          <c:x val="0.38231989930762578"/>
          <c:y val="2.3925122567226266E-2"/>
          <c:w val="0.55674316820058067"/>
          <c:h val="0.83988539168453002"/>
        </c:manualLayout>
      </c:layout>
      <c:barChart>
        <c:barDir val="bar"/>
        <c:grouping val="clustered"/>
        <c:varyColors val="0"/>
        <c:ser>
          <c:idx val="1"/>
          <c:order val="0"/>
          <c:tx>
            <c:v>Number of Firms (%)</c:v>
          </c:tx>
          <c:spPr>
            <a:solidFill>
              <a:schemeClr val="accent1"/>
            </a:solidFill>
            <a:ln w="25400">
              <a:noFill/>
            </a:ln>
          </c:spPr>
          <c:invertIfNegative val="0"/>
          <c:cat>
            <c:strRef>
              <c:f>'Industry 1 digit summary'!$B$2:$B$13</c:f>
              <c:strCache>
                <c:ptCount val="12"/>
                <c:pt idx="0">
                  <c:v>Unknown</c:v>
                </c:pt>
                <c:pt idx="1">
                  <c:v>Other </c:v>
                </c:pt>
                <c:pt idx="2">
                  <c:v>Administrative &amp; Support Serv.</c:v>
                </c:pt>
                <c:pt idx="3">
                  <c:v>Rental, Hiring and Real Estate</c:v>
                </c:pt>
                <c:pt idx="4">
                  <c:v>Finance &amp; Insurance Serv.</c:v>
                </c:pt>
                <c:pt idx="5">
                  <c:v>Retail Trade</c:v>
                </c:pt>
                <c:pt idx="6">
                  <c:v>Education &amp; Training</c:v>
                </c:pt>
                <c:pt idx="7">
                  <c:v>Information &amp; Telecom.</c:v>
                </c:pt>
                <c:pt idx="8">
                  <c:v>Health Care &amp; Social Serv.</c:v>
                </c:pt>
                <c:pt idx="9">
                  <c:v>Wholesale Trade</c:v>
                </c:pt>
                <c:pt idx="10">
                  <c:v>Manufacturing</c:v>
                </c:pt>
                <c:pt idx="11">
                  <c:v>Prof., Scientific &amp; Tech Serv.</c:v>
                </c:pt>
              </c:strCache>
            </c:strRef>
          </c:cat>
          <c:val>
            <c:numRef>
              <c:f>'Industry 1 digit summary'!$F$2:$F$13</c:f>
              <c:numCache>
                <c:formatCode>General</c:formatCode>
                <c:ptCount val="12"/>
                <c:pt idx="0">
                  <c:v>3.9497307001795332</c:v>
                </c:pt>
                <c:pt idx="1">
                  <c:v>6.2836624775583481</c:v>
                </c:pt>
                <c:pt idx="2">
                  <c:v>1.7953321364452424</c:v>
                </c:pt>
                <c:pt idx="3">
                  <c:v>2.1543985637342908</c:v>
                </c:pt>
                <c:pt idx="4">
                  <c:v>2.3339317773788149</c:v>
                </c:pt>
                <c:pt idx="5">
                  <c:v>2.8725314183123878</c:v>
                </c:pt>
                <c:pt idx="6">
                  <c:v>3.5906642728904847</c:v>
                </c:pt>
                <c:pt idx="7">
                  <c:v>3.7701974865350087</c:v>
                </c:pt>
                <c:pt idx="8">
                  <c:v>5.0269299820466786</c:v>
                </c:pt>
                <c:pt idx="9">
                  <c:v>5.2064631956912031</c:v>
                </c:pt>
                <c:pt idx="10">
                  <c:v>21.364452423698385</c:v>
                </c:pt>
                <c:pt idx="11">
                  <c:v>41.651705565529625</c:v>
                </c:pt>
              </c:numCache>
            </c:numRef>
          </c:val>
        </c:ser>
        <c:ser>
          <c:idx val="2"/>
          <c:order val="1"/>
          <c:tx>
            <c:v>Number of Firms (%)</c:v>
          </c:tx>
          <c:spPr>
            <a:solidFill>
              <a:schemeClr val="accent1"/>
            </a:solidFill>
            <a:ln w="25400">
              <a:noFill/>
            </a:ln>
          </c:spPr>
          <c:invertIfNegative val="0"/>
          <c:cat>
            <c:strRef>
              <c:f>'Industry 1 digit summary'!$B$2:$B$13</c:f>
              <c:strCache>
                <c:ptCount val="12"/>
                <c:pt idx="0">
                  <c:v>Unknown</c:v>
                </c:pt>
                <c:pt idx="1">
                  <c:v>Other </c:v>
                </c:pt>
                <c:pt idx="2">
                  <c:v>Administrative &amp; Support Serv.</c:v>
                </c:pt>
                <c:pt idx="3">
                  <c:v>Rental, Hiring and Real Estate</c:v>
                </c:pt>
                <c:pt idx="4">
                  <c:v>Finance &amp; Insurance Serv.</c:v>
                </c:pt>
                <c:pt idx="5">
                  <c:v>Retail Trade</c:v>
                </c:pt>
                <c:pt idx="6">
                  <c:v>Education &amp; Training</c:v>
                </c:pt>
                <c:pt idx="7">
                  <c:v>Information &amp; Telecom.</c:v>
                </c:pt>
                <c:pt idx="8">
                  <c:v>Health Care &amp; Social Serv.</c:v>
                </c:pt>
                <c:pt idx="9">
                  <c:v>Wholesale Trade</c:v>
                </c:pt>
                <c:pt idx="10">
                  <c:v>Manufacturing</c:v>
                </c:pt>
                <c:pt idx="11">
                  <c:v>Prof., Scientific &amp; Tech Serv.</c:v>
                </c:pt>
              </c:strCache>
            </c:strRef>
          </c:cat>
          <c:val>
            <c:numRef>
              <c:f>'Industry 1 digit summary'!$F$2:$F$13</c:f>
              <c:numCache>
                <c:formatCode>General</c:formatCode>
                <c:ptCount val="12"/>
                <c:pt idx="0">
                  <c:v>3.9497307001795332</c:v>
                </c:pt>
                <c:pt idx="1">
                  <c:v>6.2836624775583481</c:v>
                </c:pt>
                <c:pt idx="2">
                  <c:v>1.7953321364452424</c:v>
                </c:pt>
                <c:pt idx="3">
                  <c:v>2.1543985637342908</c:v>
                </c:pt>
                <c:pt idx="4">
                  <c:v>2.3339317773788149</c:v>
                </c:pt>
                <c:pt idx="5">
                  <c:v>2.8725314183123878</c:v>
                </c:pt>
                <c:pt idx="6">
                  <c:v>3.5906642728904847</c:v>
                </c:pt>
                <c:pt idx="7">
                  <c:v>3.7701974865350087</c:v>
                </c:pt>
                <c:pt idx="8">
                  <c:v>5.0269299820466786</c:v>
                </c:pt>
                <c:pt idx="9">
                  <c:v>5.2064631956912031</c:v>
                </c:pt>
                <c:pt idx="10">
                  <c:v>21.364452423698385</c:v>
                </c:pt>
                <c:pt idx="11">
                  <c:v>41.651705565529625</c:v>
                </c:pt>
              </c:numCache>
            </c:numRef>
          </c:val>
        </c:ser>
        <c:ser>
          <c:idx val="0"/>
          <c:order val="2"/>
          <c:tx>
            <c:v>Number of Firms (%)</c:v>
          </c:tx>
          <c:spPr>
            <a:solidFill>
              <a:schemeClr val="accent1"/>
            </a:solidFill>
            <a:ln w="25400">
              <a:noFill/>
            </a:ln>
          </c:spPr>
          <c:invertIfNegative val="0"/>
          <c:cat>
            <c:strRef>
              <c:f>'Industry 1 digit summary'!$B$2:$B$13</c:f>
              <c:strCache>
                <c:ptCount val="12"/>
                <c:pt idx="0">
                  <c:v>Unknown</c:v>
                </c:pt>
                <c:pt idx="1">
                  <c:v>Other </c:v>
                </c:pt>
                <c:pt idx="2">
                  <c:v>Administrative &amp; Support Serv.</c:v>
                </c:pt>
                <c:pt idx="3">
                  <c:v>Rental, Hiring and Real Estate</c:v>
                </c:pt>
                <c:pt idx="4">
                  <c:v>Finance &amp; Insurance Serv.</c:v>
                </c:pt>
                <c:pt idx="5">
                  <c:v>Retail Trade</c:v>
                </c:pt>
                <c:pt idx="6">
                  <c:v>Education &amp; Training</c:v>
                </c:pt>
                <c:pt idx="7">
                  <c:v>Information &amp; Telecom.</c:v>
                </c:pt>
                <c:pt idx="8">
                  <c:v>Health Care &amp; Social Serv.</c:v>
                </c:pt>
                <c:pt idx="9">
                  <c:v>Wholesale Trade</c:v>
                </c:pt>
                <c:pt idx="10">
                  <c:v>Manufacturing</c:v>
                </c:pt>
                <c:pt idx="11">
                  <c:v>Prof., Scientific &amp; Tech Serv.</c:v>
                </c:pt>
              </c:strCache>
            </c:strRef>
          </c:cat>
          <c:val>
            <c:numRef>
              <c:f>'Industry 1 digit summary'!$F$2:$F$13</c:f>
              <c:numCache>
                <c:formatCode>General</c:formatCode>
                <c:ptCount val="12"/>
                <c:pt idx="0">
                  <c:v>3.9497307001795332</c:v>
                </c:pt>
                <c:pt idx="1">
                  <c:v>6.2836624775583481</c:v>
                </c:pt>
                <c:pt idx="2">
                  <c:v>1.7953321364452424</c:v>
                </c:pt>
                <c:pt idx="3">
                  <c:v>2.1543985637342908</c:v>
                </c:pt>
                <c:pt idx="4">
                  <c:v>2.3339317773788149</c:v>
                </c:pt>
                <c:pt idx="5">
                  <c:v>2.8725314183123878</c:v>
                </c:pt>
                <c:pt idx="6">
                  <c:v>3.5906642728904847</c:v>
                </c:pt>
                <c:pt idx="7">
                  <c:v>3.7701974865350087</c:v>
                </c:pt>
                <c:pt idx="8">
                  <c:v>5.0269299820466786</c:v>
                </c:pt>
                <c:pt idx="9">
                  <c:v>5.2064631956912031</c:v>
                </c:pt>
                <c:pt idx="10">
                  <c:v>21.364452423698385</c:v>
                </c:pt>
                <c:pt idx="11">
                  <c:v>41.651705565529625</c:v>
                </c:pt>
              </c:numCache>
            </c:numRef>
          </c:val>
        </c:ser>
        <c:dLbls>
          <c:showLegendKey val="0"/>
          <c:showVal val="0"/>
          <c:showCatName val="0"/>
          <c:showSerName val="0"/>
          <c:showPercent val="0"/>
          <c:showBubbleSize val="0"/>
        </c:dLbls>
        <c:gapWidth val="50"/>
        <c:axId val="326864968"/>
        <c:axId val="326864576"/>
      </c:barChart>
      <c:catAx>
        <c:axId val="326864968"/>
        <c:scaling>
          <c:orientation val="minMax"/>
        </c:scaling>
        <c:delete val="0"/>
        <c:axPos val="l"/>
        <c:numFmt formatCode="General" sourceLinked="1"/>
        <c:majorTickMark val="none"/>
        <c:minorTickMark val="none"/>
        <c:tickLblPos val="nextTo"/>
        <c:spPr>
          <a:noFill/>
          <a:ln w="12700" cap="flat" cmpd="sng" algn="ctr">
            <a:solidFill>
              <a:srgbClr val="BCBFC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326864576"/>
        <c:crosses val="autoZero"/>
        <c:auto val="1"/>
        <c:lblAlgn val="ctr"/>
        <c:lblOffset val="100"/>
        <c:noMultiLvlLbl val="0"/>
      </c:catAx>
      <c:valAx>
        <c:axId val="326864576"/>
        <c:scaling>
          <c:orientation val="minMax"/>
        </c:scaling>
        <c:delete val="0"/>
        <c:axPos val="b"/>
        <c:numFmt formatCode="General" sourceLinked="1"/>
        <c:majorTickMark val="out"/>
        <c:minorTickMark val="none"/>
        <c:tickLblPos val="nextTo"/>
        <c:spPr>
          <a:ln w="12700">
            <a:solidFill>
              <a:srgbClr val="BCBFC1"/>
            </a:solid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6864968"/>
        <c:crosses val="autoZero"/>
        <c:crossBetween val="between"/>
      </c:valAx>
      <c:spPr>
        <a:noFill/>
        <a:ln w="25400">
          <a:noFill/>
        </a:ln>
      </c:spPr>
    </c:plotArea>
    <c:plotVisOnly val="1"/>
    <c:dispBlanksAs val="gap"/>
    <c:showDLblsOverMax val="0"/>
  </c:chart>
  <c:spPr>
    <a:solidFill>
      <a:schemeClr val="bg1"/>
    </a:solidFill>
    <a:ln w="12700"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102311949909657"/>
          <c:y val="3.7308078633950352E-2"/>
          <c:w val="0.55674316820058067"/>
          <c:h val="0.84652030420433344"/>
        </c:manualLayout>
      </c:layout>
      <c:barChart>
        <c:barDir val="bar"/>
        <c:grouping val="clustered"/>
        <c:varyColors val="0"/>
        <c:ser>
          <c:idx val="0"/>
          <c:order val="0"/>
          <c:tx>
            <c:v>Grnat Amount (%)</c:v>
          </c:tx>
          <c:spPr>
            <a:solidFill>
              <a:schemeClr val="accent1"/>
            </a:solidFill>
            <a:ln w="25400">
              <a:noFill/>
            </a:ln>
          </c:spPr>
          <c:invertIfNegative val="0"/>
          <c:cat>
            <c:strRef>
              <c:f>'Industry 1 digit summary'!$B$2:$B$13</c:f>
              <c:strCache>
                <c:ptCount val="12"/>
                <c:pt idx="0">
                  <c:v>Unknown</c:v>
                </c:pt>
                <c:pt idx="1">
                  <c:v>Other </c:v>
                </c:pt>
                <c:pt idx="2">
                  <c:v>Administrative &amp; Support Serv.</c:v>
                </c:pt>
                <c:pt idx="3">
                  <c:v>Rental, Hiring and Real Estate</c:v>
                </c:pt>
                <c:pt idx="4">
                  <c:v>Finance &amp; Insurance Serv.</c:v>
                </c:pt>
                <c:pt idx="5">
                  <c:v>Retail Trade</c:v>
                </c:pt>
                <c:pt idx="6">
                  <c:v>Education &amp; Training</c:v>
                </c:pt>
                <c:pt idx="7">
                  <c:v>Information &amp; Telecom.</c:v>
                </c:pt>
                <c:pt idx="8">
                  <c:v>Health Care &amp; Social Serv.</c:v>
                </c:pt>
                <c:pt idx="9">
                  <c:v>Wholesale Trade</c:v>
                </c:pt>
                <c:pt idx="10">
                  <c:v>Manufacturing</c:v>
                </c:pt>
                <c:pt idx="11">
                  <c:v>Prof., Scientific &amp; Tech Serv.</c:v>
                </c:pt>
              </c:strCache>
            </c:strRef>
          </c:cat>
          <c:val>
            <c:numRef>
              <c:f>'Industry 1 digit summary'!$J$2:$J$13</c:f>
              <c:numCache>
                <c:formatCode>General</c:formatCode>
                <c:ptCount val="12"/>
                <c:pt idx="0">
                  <c:v>3.927422099817778</c:v>
                </c:pt>
                <c:pt idx="1">
                  <c:v>6.413058039891312</c:v>
                </c:pt>
                <c:pt idx="2">
                  <c:v>0.88024234018433956</c:v>
                </c:pt>
                <c:pt idx="3">
                  <c:v>1.7447676259247207</c:v>
                </c:pt>
                <c:pt idx="4">
                  <c:v>3.3913736415172506</c:v>
                </c:pt>
                <c:pt idx="5">
                  <c:v>1.7003615228881079</c:v>
                </c:pt>
                <c:pt idx="6">
                  <c:v>0.98065547910299866</c:v>
                </c:pt>
                <c:pt idx="7">
                  <c:v>2.5440502020454185</c:v>
                </c:pt>
                <c:pt idx="8">
                  <c:v>1.501900504158588</c:v>
                </c:pt>
                <c:pt idx="9">
                  <c:v>6.0938634695391594</c:v>
                </c:pt>
                <c:pt idx="10">
                  <c:v>23.954320669088659</c:v>
                </c:pt>
                <c:pt idx="11">
                  <c:v>46.867984405841668</c:v>
                </c:pt>
              </c:numCache>
            </c:numRef>
          </c:val>
        </c:ser>
        <c:dLbls>
          <c:showLegendKey val="0"/>
          <c:showVal val="0"/>
          <c:showCatName val="0"/>
          <c:showSerName val="0"/>
          <c:showPercent val="0"/>
          <c:showBubbleSize val="0"/>
        </c:dLbls>
        <c:gapWidth val="50"/>
        <c:axId val="326867712"/>
        <c:axId val="326866928"/>
      </c:barChart>
      <c:catAx>
        <c:axId val="326867712"/>
        <c:scaling>
          <c:orientation val="minMax"/>
        </c:scaling>
        <c:delete val="0"/>
        <c:axPos val="l"/>
        <c:numFmt formatCode="General" sourceLinked="1"/>
        <c:majorTickMark val="none"/>
        <c:minorTickMark val="none"/>
        <c:tickLblPos val="nextTo"/>
        <c:spPr>
          <a:noFill/>
          <a:ln w="9525" cap="flat" cmpd="sng" algn="ctr">
            <a:solidFill>
              <a:srgbClr val="BCBFC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326866928"/>
        <c:crosses val="autoZero"/>
        <c:auto val="1"/>
        <c:lblAlgn val="ctr"/>
        <c:lblOffset val="100"/>
        <c:noMultiLvlLbl val="0"/>
      </c:catAx>
      <c:valAx>
        <c:axId val="326866928"/>
        <c:scaling>
          <c:orientation val="minMax"/>
        </c:scaling>
        <c:delete val="0"/>
        <c:axPos val="b"/>
        <c:title>
          <c:tx>
            <c:rich>
              <a:bodyPr/>
              <a:lstStyle/>
              <a:p>
                <a:pPr>
                  <a:defRPr sz="900"/>
                </a:pPr>
                <a:r>
                  <a:rPr lang="en-AU" sz="900" b="0"/>
                  <a:t>Share (per cent)</a:t>
                </a:r>
              </a:p>
            </c:rich>
          </c:tx>
          <c:layout/>
          <c:overlay val="0"/>
        </c:title>
        <c:numFmt formatCode="General" sourceLinked="1"/>
        <c:majorTickMark val="out"/>
        <c:minorTickMark val="none"/>
        <c:tickLblPos val="nextTo"/>
        <c:spPr>
          <a:ln w="9525">
            <a:solidFill>
              <a:srgbClr val="BCBFC1"/>
            </a:solidFill>
          </a:ln>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326867712"/>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261916672948519"/>
          <c:y val="4.2841842199214566E-2"/>
          <c:w val="0.46094926776450595"/>
          <c:h val="0.80906818993216711"/>
        </c:manualLayout>
      </c:layout>
      <c:barChart>
        <c:barDir val="bar"/>
        <c:grouping val="clustered"/>
        <c:varyColors val="0"/>
        <c:ser>
          <c:idx val="0"/>
          <c:order val="0"/>
          <c:tx>
            <c:v>Number of Firms (%)</c:v>
          </c:tx>
          <c:spPr>
            <a:solidFill>
              <a:srgbClr val="005CAF"/>
            </a:solidFill>
            <a:ln w="25400">
              <a:noFill/>
            </a:ln>
          </c:spPr>
          <c:invertIfNegative val="0"/>
          <c:cat>
            <c:strRef>
              <c:f>'Industry 2 digit summary'!$B$2:$B$12</c:f>
              <c:strCache>
                <c:ptCount val="11"/>
                <c:pt idx="0">
                  <c:v>Unknown</c:v>
                </c:pt>
                <c:pt idx="1">
                  <c:v>Other</c:v>
                </c:pt>
                <c:pt idx="2">
                  <c:v>Transport Equipment Manufacturing </c:v>
                </c:pt>
                <c:pt idx="3">
                  <c:v>Machinery and Equipment Wholesale</c:v>
                </c:pt>
                <c:pt idx="4">
                  <c:v>Rental and Hiring Services</c:v>
                </c:pt>
                <c:pt idx="5">
                  <c:v>Publishing (except Internet and Music) </c:v>
                </c:pt>
                <c:pt idx="6">
                  <c:v>Tertiary Education </c:v>
                </c:pt>
                <c:pt idx="7">
                  <c:v>Hospitals </c:v>
                </c:pt>
                <c:pt idx="8">
                  <c:v>Machinery &amp; Equip. Manufacturing</c:v>
                </c:pt>
                <c:pt idx="9">
                  <c:v>PST Computer System Design</c:v>
                </c:pt>
                <c:pt idx="10">
                  <c:v>PST Excluding Computer Services </c:v>
                </c:pt>
              </c:strCache>
            </c:strRef>
          </c:cat>
          <c:val>
            <c:numRef>
              <c:f>'Industry 2 digit summary'!$F$2:$F$12</c:f>
              <c:numCache>
                <c:formatCode>General</c:formatCode>
                <c:ptCount val="11"/>
                <c:pt idx="0">
                  <c:v>3.9497307001795332</c:v>
                </c:pt>
                <c:pt idx="1">
                  <c:v>27.648114901256733</c:v>
                </c:pt>
                <c:pt idx="2">
                  <c:v>1.9748653500897666</c:v>
                </c:pt>
                <c:pt idx="3">
                  <c:v>1.9748653500897666</c:v>
                </c:pt>
                <c:pt idx="4">
                  <c:v>2.1543985637342908</c:v>
                </c:pt>
                <c:pt idx="5">
                  <c:v>2.6929982046678633</c:v>
                </c:pt>
                <c:pt idx="6">
                  <c:v>3.2315978456014358</c:v>
                </c:pt>
                <c:pt idx="7">
                  <c:v>3.4111310592459607</c:v>
                </c:pt>
                <c:pt idx="8">
                  <c:v>11.310592459605028</c:v>
                </c:pt>
                <c:pt idx="9">
                  <c:v>17.953321364452425</c:v>
                </c:pt>
                <c:pt idx="10">
                  <c:v>23.6983842010772</c:v>
                </c:pt>
              </c:numCache>
            </c:numRef>
          </c:val>
        </c:ser>
        <c:dLbls>
          <c:showLegendKey val="0"/>
          <c:showVal val="0"/>
          <c:showCatName val="0"/>
          <c:showSerName val="0"/>
          <c:showPercent val="0"/>
          <c:showBubbleSize val="0"/>
        </c:dLbls>
        <c:gapWidth val="50"/>
        <c:axId val="326866144"/>
        <c:axId val="326867320"/>
      </c:barChart>
      <c:catAx>
        <c:axId val="326866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326867320"/>
        <c:crosses val="autoZero"/>
        <c:auto val="1"/>
        <c:lblAlgn val="ctr"/>
        <c:lblOffset val="100"/>
        <c:noMultiLvlLbl val="0"/>
      </c:catAx>
      <c:valAx>
        <c:axId val="326867320"/>
        <c:scaling>
          <c:orientation val="minMax"/>
        </c:scaling>
        <c:delete val="0"/>
        <c:axPos val="b"/>
        <c:title>
          <c:tx>
            <c:rich>
              <a:bodyPr/>
              <a:lstStyle/>
              <a:p>
                <a:pPr>
                  <a:defRPr sz="900"/>
                </a:pPr>
                <a:r>
                  <a:rPr lang="en-AU" sz="900" b="0"/>
                  <a:t>Number of firms</a:t>
                </a:r>
              </a:p>
            </c:rich>
          </c:tx>
          <c:layout/>
          <c:overlay val="0"/>
        </c:title>
        <c:numFmt formatCode="General" sourceLinked="1"/>
        <c:majorTickMark val="out"/>
        <c:minorTickMark val="none"/>
        <c:tickLblPos val="nextTo"/>
        <c:spPr>
          <a:ln w="9525">
            <a:solidFill>
              <a:srgbClr val="BCBFC1"/>
            </a:solidFill>
          </a:ln>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326866144"/>
        <c:crosses val="autoZero"/>
        <c:crossBetween val="between"/>
      </c:valAx>
      <c:spPr>
        <a:noFill/>
        <a:ln w="25400">
          <a:noFill/>
        </a:ln>
      </c:spPr>
    </c:plotArea>
    <c:plotVisOnly val="1"/>
    <c:dispBlanksAs val="gap"/>
    <c:showDLblsOverMax val="0"/>
  </c:chart>
  <c:spPr>
    <a:solidFill>
      <a:schemeClr val="bg1"/>
    </a:solidFill>
    <a:ln w="12700"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Grant Amount (%)</c:v>
          </c:tx>
          <c:spPr>
            <a:solidFill>
              <a:srgbClr val="005CAF"/>
            </a:solidFill>
            <a:ln>
              <a:noFill/>
            </a:ln>
            <a:effectLst/>
          </c:spPr>
          <c:invertIfNegative val="0"/>
          <c:cat>
            <c:strRef>
              <c:f>'Industry 2 digit summary'!$B$2:$B$12</c:f>
              <c:strCache>
                <c:ptCount val="11"/>
                <c:pt idx="0">
                  <c:v>Unknown</c:v>
                </c:pt>
                <c:pt idx="1">
                  <c:v>Other</c:v>
                </c:pt>
                <c:pt idx="2">
                  <c:v>Transport Equipment Manufacturing </c:v>
                </c:pt>
                <c:pt idx="3">
                  <c:v>Machinery and Equipment Wholesale</c:v>
                </c:pt>
                <c:pt idx="4">
                  <c:v>Rental and Hiring Services</c:v>
                </c:pt>
                <c:pt idx="5">
                  <c:v>Publishing (except Internet and Music) </c:v>
                </c:pt>
                <c:pt idx="6">
                  <c:v>Tertiary Education </c:v>
                </c:pt>
                <c:pt idx="7">
                  <c:v>Hospitals </c:v>
                </c:pt>
                <c:pt idx="8">
                  <c:v>Machinery &amp; Equip. Manufacturing</c:v>
                </c:pt>
                <c:pt idx="9">
                  <c:v>PST Computer System Design</c:v>
                </c:pt>
                <c:pt idx="10">
                  <c:v>PST Excluding Computer Services </c:v>
                </c:pt>
              </c:strCache>
            </c:strRef>
          </c:cat>
          <c:val>
            <c:numRef>
              <c:f>'Industry 2 digit summary'!$J$2:$J$12</c:f>
              <c:numCache>
                <c:formatCode>General</c:formatCode>
                <c:ptCount val="11"/>
                <c:pt idx="0">
                  <c:v>3.927422099817778</c:v>
                </c:pt>
                <c:pt idx="1">
                  <c:v>26.414404172807242</c:v>
                </c:pt>
                <c:pt idx="2">
                  <c:v>2.1368617817698299</c:v>
                </c:pt>
                <c:pt idx="3">
                  <c:v>2.6091623943509559</c:v>
                </c:pt>
                <c:pt idx="4">
                  <c:v>1.7447676259247207</c:v>
                </c:pt>
                <c:pt idx="5">
                  <c:v>2.2787324235669417</c:v>
                </c:pt>
                <c:pt idx="6">
                  <c:v>0.85480489336017795</c:v>
                </c:pt>
                <c:pt idx="7">
                  <c:v>0.43645661322040008</c:v>
                </c:pt>
                <c:pt idx="8">
                  <c:v>12.729403589340288</c:v>
                </c:pt>
                <c:pt idx="9">
                  <c:v>19.335057342551153</c:v>
                </c:pt>
                <c:pt idx="10">
                  <c:v>27.532927063290515</c:v>
                </c:pt>
              </c:numCache>
            </c:numRef>
          </c:val>
        </c:ser>
        <c:dLbls>
          <c:showLegendKey val="0"/>
          <c:showVal val="0"/>
          <c:showCatName val="0"/>
          <c:showSerName val="0"/>
          <c:showPercent val="0"/>
          <c:showBubbleSize val="0"/>
        </c:dLbls>
        <c:gapWidth val="50"/>
        <c:axId val="413039152"/>
        <c:axId val="413038760"/>
      </c:barChart>
      <c:catAx>
        <c:axId val="413039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413038760"/>
        <c:crosses val="autoZero"/>
        <c:auto val="1"/>
        <c:lblAlgn val="ctr"/>
        <c:lblOffset val="100"/>
        <c:noMultiLvlLbl val="0"/>
      </c:catAx>
      <c:valAx>
        <c:axId val="413038760"/>
        <c:scaling>
          <c:orientation val="minMax"/>
        </c:scaling>
        <c:delete val="0"/>
        <c:axPos val="b"/>
        <c:title>
          <c:tx>
            <c:rich>
              <a:bodyPr/>
              <a:lstStyle/>
              <a:p>
                <a:pPr>
                  <a:defRPr/>
                </a:pPr>
                <a:r>
                  <a:rPr lang="en-AU" sz="900" b="0" baseline="0">
                    <a:solidFill>
                      <a:srgbClr val="373737"/>
                    </a:solidFill>
                  </a:rPr>
                  <a:t>Share (per cent)</a:t>
                </a:r>
              </a:p>
            </c:rich>
          </c:tx>
          <c:layout/>
          <c:overlay val="0"/>
        </c:title>
        <c:numFmt formatCode="General" sourceLinked="1"/>
        <c:majorTickMark val="out"/>
        <c:minorTickMark val="none"/>
        <c:tickLblPos val="nextTo"/>
        <c:spPr>
          <a:noFill/>
          <a:ln>
            <a:solidFill>
              <a:srgbClr val="BCBFC1"/>
            </a:solidFill>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413039152"/>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5CAF"/>
            </a:solidFill>
            <a:ln>
              <a:noFill/>
            </a:ln>
            <a:effectLst/>
          </c:spPr>
          <c:invertIfNegative val="0"/>
          <c:cat>
            <c:strRef>
              <c:f>Sheet1!$E$2:$E$12</c:f>
              <c:strCache>
                <c:ptCount val="11"/>
                <c:pt idx="0">
                  <c:v>1</c:v>
                </c:pt>
                <c:pt idx="1">
                  <c:v>2</c:v>
                </c:pt>
                <c:pt idx="2">
                  <c:v>3</c:v>
                </c:pt>
                <c:pt idx="3">
                  <c:v>4</c:v>
                </c:pt>
                <c:pt idx="4">
                  <c:v>5</c:v>
                </c:pt>
                <c:pt idx="5">
                  <c:v>6</c:v>
                </c:pt>
                <c:pt idx="6">
                  <c:v>7</c:v>
                </c:pt>
                <c:pt idx="7">
                  <c:v>8</c:v>
                </c:pt>
                <c:pt idx="8">
                  <c:v>9</c:v>
                </c:pt>
                <c:pt idx="9">
                  <c:v>10 to 14</c:v>
                </c:pt>
                <c:pt idx="10">
                  <c:v>15+</c:v>
                </c:pt>
              </c:strCache>
            </c:strRef>
          </c:cat>
          <c:val>
            <c:numRef>
              <c:f>Sheet1!$G$2:$G$12</c:f>
              <c:numCache>
                <c:formatCode>General</c:formatCode>
                <c:ptCount val="11"/>
                <c:pt idx="0">
                  <c:v>20.087336244541483</c:v>
                </c:pt>
                <c:pt idx="1">
                  <c:v>12.663755458515283</c:v>
                </c:pt>
                <c:pt idx="2">
                  <c:v>6.7685589519650664</c:v>
                </c:pt>
                <c:pt idx="3">
                  <c:v>8.0786026200873362</c:v>
                </c:pt>
                <c:pt idx="4">
                  <c:v>7.2052401746724897</c:v>
                </c:pt>
                <c:pt idx="5">
                  <c:v>6.3318777292576414</c:v>
                </c:pt>
                <c:pt idx="6">
                  <c:v>4.3668122270742353</c:v>
                </c:pt>
                <c:pt idx="7">
                  <c:v>4.1484716157205241</c:v>
                </c:pt>
                <c:pt idx="8">
                  <c:v>2.4017467248908297</c:v>
                </c:pt>
                <c:pt idx="9">
                  <c:v>13.100436681222707</c:v>
                </c:pt>
                <c:pt idx="10">
                  <c:v>14.847161572052403</c:v>
                </c:pt>
              </c:numCache>
            </c:numRef>
          </c:val>
        </c:ser>
        <c:dLbls>
          <c:showLegendKey val="0"/>
          <c:showVal val="0"/>
          <c:showCatName val="0"/>
          <c:showSerName val="0"/>
          <c:showPercent val="0"/>
          <c:showBubbleSize val="0"/>
        </c:dLbls>
        <c:gapWidth val="50"/>
        <c:axId val="413036800"/>
        <c:axId val="413042680"/>
      </c:barChart>
      <c:catAx>
        <c:axId val="413036800"/>
        <c:scaling>
          <c:orientation val="minMax"/>
        </c:scaling>
        <c:delete val="0"/>
        <c:axPos val="b"/>
        <c:title>
          <c:tx>
            <c:rich>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Age (years)</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13042680"/>
        <c:crosses val="autoZero"/>
        <c:auto val="1"/>
        <c:lblAlgn val="ctr"/>
        <c:lblOffset val="100"/>
        <c:noMultiLvlLbl val="0"/>
      </c:catAx>
      <c:valAx>
        <c:axId val="413042680"/>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Share (per cent)</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13036800"/>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F8F38B84904F8E828C43E2D997CAE7"/>
        <w:category>
          <w:name w:val="General"/>
          <w:gallery w:val="placeholder"/>
        </w:category>
        <w:types>
          <w:type w:val="bbPlcHdr"/>
        </w:types>
        <w:behaviors>
          <w:behavior w:val="content"/>
        </w:behaviors>
        <w:guid w:val="{FA81CE4C-CDC9-4044-8080-03D25022610A}"/>
      </w:docPartPr>
      <w:docPartBody>
        <w:p w:rsidR="00B3464F" w:rsidRDefault="00151EBA" w:rsidP="00151EBA">
          <w:pPr>
            <w:pStyle w:val="BFF8F38B84904F8E828C43E2D997CAE7"/>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BA"/>
    <w:rsid w:val="000A1DDA"/>
    <w:rsid w:val="000D1D46"/>
    <w:rsid w:val="000D60D9"/>
    <w:rsid w:val="00151EBA"/>
    <w:rsid w:val="00171F2F"/>
    <w:rsid w:val="001847FC"/>
    <w:rsid w:val="00185F57"/>
    <w:rsid w:val="001C1A87"/>
    <w:rsid w:val="00252397"/>
    <w:rsid w:val="00292E60"/>
    <w:rsid w:val="003406C4"/>
    <w:rsid w:val="0043745C"/>
    <w:rsid w:val="00566227"/>
    <w:rsid w:val="005856A3"/>
    <w:rsid w:val="005E48DE"/>
    <w:rsid w:val="00642F1D"/>
    <w:rsid w:val="00651F9C"/>
    <w:rsid w:val="006F010B"/>
    <w:rsid w:val="00705B98"/>
    <w:rsid w:val="007626C1"/>
    <w:rsid w:val="007C41E1"/>
    <w:rsid w:val="0082225A"/>
    <w:rsid w:val="0084716E"/>
    <w:rsid w:val="00881D4F"/>
    <w:rsid w:val="0088282A"/>
    <w:rsid w:val="00895B1A"/>
    <w:rsid w:val="008A4D5B"/>
    <w:rsid w:val="0098265C"/>
    <w:rsid w:val="0099222B"/>
    <w:rsid w:val="009953F1"/>
    <w:rsid w:val="00A35995"/>
    <w:rsid w:val="00A60C61"/>
    <w:rsid w:val="00A921AE"/>
    <w:rsid w:val="00B3464F"/>
    <w:rsid w:val="00B45E6B"/>
    <w:rsid w:val="00B65FA8"/>
    <w:rsid w:val="00BE5CB7"/>
    <w:rsid w:val="00BE662A"/>
    <w:rsid w:val="00C0277E"/>
    <w:rsid w:val="00C24395"/>
    <w:rsid w:val="00C84802"/>
    <w:rsid w:val="00CB730A"/>
    <w:rsid w:val="00E15689"/>
    <w:rsid w:val="00E22B5A"/>
    <w:rsid w:val="00E342DB"/>
    <w:rsid w:val="00E50AC2"/>
    <w:rsid w:val="00E652F5"/>
    <w:rsid w:val="00EA69BE"/>
    <w:rsid w:val="00EF6761"/>
    <w:rsid w:val="00F260CE"/>
    <w:rsid w:val="00F658C9"/>
    <w:rsid w:val="00F70927"/>
    <w:rsid w:val="00F70B6A"/>
    <w:rsid w:val="00F71514"/>
    <w:rsid w:val="00FB0140"/>
    <w:rsid w:val="00FE40B2"/>
    <w:rsid w:val="00FE4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6C4"/>
    <w:rPr>
      <w:color w:val="808080"/>
    </w:rPr>
  </w:style>
  <w:style w:type="paragraph" w:customStyle="1" w:styleId="BFF8F38B84904F8E828C43E2D997CAE7">
    <w:name w:val="BFF8F38B84904F8E828C43E2D997CAE7"/>
    <w:rsid w:val="00151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13" ma:contentTypeDescription="Create a new document." ma:contentTypeScope="" ma:versionID="e3126c604c76e54e3eb2d9ee7f5a9183">
  <xsd:schema xmlns:xsd="http://www.w3.org/2001/XMLSchema" xmlns:xs="http://www.w3.org/2001/XMLSchema" xmlns:p="http://schemas.microsoft.com/office/2006/metadata/properties" xmlns:ns1="http://schemas.microsoft.com/sharepoint/v3" xmlns:ns2="46486fd5-fff8-4cbe-a2d1-89ce7ea547a7" xmlns:ns3="e47d1c65-9f6c-49e5-a774-2c92ccb46d02" targetNamespace="http://schemas.microsoft.com/office/2006/metadata/properties" ma:root="true" ma:fieldsID="b6d96a828f635981de61a75ca72f0890" ns1:_="" ns2:_="" ns3:_="">
    <xsd:import namespace="http://schemas.microsoft.com/sharepoint/v3"/>
    <xsd:import namespace="46486fd5-fff8-4cbe-a2d1-89ce7ea547a7"/>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Using new BLADE to evaluate Commercialisation Australia</Comments>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BLADE</TermName>
          <TermId xmlns="http://schemas.microsoft.com/office/infopath/2007/PartnerControls">cdd3fb11-98fb-4f14-b93b-6cd6a8863386</TermId>
        </TermInfo>
        <TermInfo xmlns="http://schemas.microsoft.com/office/infopath/2007/PartnerControls">
          <TermName xmlns="http://schemas.microsoft.com/office/infopath/2007/PartnerControls">EASD</TermName>
          <TermId xmlns="http://schemas.microsoft.com/office/infopath/2007/PartnerControls">1266620e-6595-4ae2-a8cd-6f84eea2d88d</TermId>
        </TermInfo>
        <TermInfo xmlns="http://schemas.microsoft.com/office/infopath/2007/PartnerControls">
          <TermName xmlns="http://schemas.microsoft.com/office/infopath/2007/PartnerControls">Industry and Firm Analysis</TermName>
          <TermId xmlns="http://schemas.microsoft.com/office/infopath/2007/PartnerControls">3ff126b2-147f-4cb5-8d09-938d9b8c6ab1</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defa610e-19fa-4ca0-b3b7-de93969f2717</TermId>
        </TermInfo>
      </Terms>
    </pe2555c81638466f9eb614edb9ecde52>
    <TaxCatchAll xmlns="46486fd5-fff8-4cbe-a2d1-89ce7ea547a7">
      <Value>31</Value>
      <Value>1304</Value>
      <Value>1480</Value>
      <Value>196</Value>
      <Value>159</Value>
      <Value>3</Value>
      <Value>239</Value>
    </TaxCatchAll>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Policy Research</TermName>
          <TermId xmlns="http://schemas.microsoft.com/office/infopath/2007/PartnerControls">e37dcd1c-eb92-4942-9b42-d64910ae459a</TermId>
        </TermInfo>
      </Terms>
    </g7bcb40ba23249a78edca7d43a67c1c9>
    <_dlc_DocId xmlns="46486fd5-fff8-4cbe-a2d1-89ce7ea547a7">EUCW2WRC2PUD-263124784-43</_dlc_DocId>
    <_dlc_DocIdUrl xmlns="46486fd5-fff8-4cbe-a2d1-89ce7ea547a7">
      <Url>https://dochub/div/economicanalyticalservices/businessfunctions/dataanalyticalservices/impactevaluationresearch/_layouts/15/DocIdRedir.aspx?ID=EUCW2WRC2PUD-263124784-43</Url>
      <Description>EUCW2WRC2PUD-263124784-43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E961-D204-40E1-BDF2-A96B28D2D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DAB23-F7DA-4BF4-9C3F-C72EEFC19545}">
  <ds:schemaRefs>
    <ds:schemaRef ds:uri="http://schemas.microsoft.com/sharepoint/events"/>
  </ds:schemaRefs>
</ds:datastoreItem>
</file>

<file path=customXml/itemProps3.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4.xml><?xml version="1.0" encoding="utf-8"?>
<ds:datastoreItem xmlns:ds="http://schemas.openxmlformats.org/officeDocument/2006/customXml" ds:itemID="{7C82E28D-6947-480F-BBF1-3DFDF858D2E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47d1c65-9f6c-49e5-a774-2c92ccb46d02"/>
    <ds:schemaRef ds:uri="46486fd5-fff8-4cbe-a2d1-89ce7ea547a7"/>
    <ds:schemaRef ds:uri="http://www.w3.org/XML/1998/namespace"/>
    <ds:schemaRef ds:uri="http://purl.org/dc/dcmitype/"/>
  </ds:schemaRefs>
</ds:datastoreItem>
</file>

<file path=customXml/itemProps5.xml><?xml version="1.0" encoding="utf-8"?>
<ds:datastoreItem xmlns:ds="http://schemas.openxmlformats.org/officeDocument/2006/customXml" ds:itemID="{C9439274-7748-4461-9FF1-F74210AF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7623</Words>
  <Characters>43455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50977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creator>Bakhtiari, Sasan</dc:creator>
  <cp:lastModifiedBy>Ruth, Jodie</cp:lastModifiedBy>
  <cp:revision>4</cp:revision>
  <cp:lastPrinted>2020-05-11T06:56:00Z</cp:lastPrinted>
  <dcterms:created xsi:type="dcterms:W3CDTF">2020-05-10T23:35:00Z</dcterms:created>
  <dcterms:modified xsi:type="dcterms:W3CDTF">2020-05-11T06:56:00Z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0x010100642ABE2D4EDB3C45BCCA6C138F7C803F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48ab8f1e-b26a-4c62-9f7c-6160f315c292</vt:lpwstr>
  </property>
  <property fmtid="{D5CDD505-2E9C-101B-9397-08002B2CF9AE}" pid="8" name="DocHub_Year">
    <vt:lpwstr>1480;#2018|224abc7b-6f7e-4064-b773-6750976429b5</vt:lpwstr>
  </property>
  <property fmtid="{D5CDD505-2E9C-101B-9397-08002B2CF9AE}" pid="9" name="DocHub_DocumentType">
    <vt:lpwstr>159;#Evaluation|defa610e-19fa-4ca0-b3b7-de93969f2717</vt:lpwstr>
  </property>
  <property fmtid="{D5CDD505-2E9C-101B-9397-08002B2CF9AE}" pid="10" name="DocHub_SecurityClassification">
    <vt:lpwstr>3;#UNCLASSIFIED|6106d03b-a1a0-4e30-9d91-d5e9fb4314f9</vt:lpwstr>
  </property>
  <property fmtid="{D5CDD505-2E9C-101B-9397-08002B2CF9AE}" pid="11" name="DocHub_Keywords">
    <vt:lpwstr>196;#BLADE|cdd3fb11-98fb-4f14-b93b-6cd6a8863386;#31;#EASD|1266620e-6595-4ae2-a8cd-6f84eea2d88d;#239;#Industry and Firm Analysis|3ff126b2-147f-4cb5-8d09-938d9b8c6ab1</vt:lpwstr>
  </property>
  <property fmtid="{D5CDD505-2E9C-101B-9397-08002B2CF9AE}" pid="12" name="DocHub_WorkActivity">
    <vt:lpwstr>1304;#Policy Research|e37dcd1c-eb92-4942-9b42-d64910ae459a</vt:lpwstr>
  </property>
  <property fmtid="{D5CDD505-2E9C-101B-9397-08002B2CF9AE}" pid="13" name="DocHub_DataType">
    <vt:lpwstr/>
  </property>
</Properties>
</file>