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Calibri" w:hAnsi="Arial" w:cs="Arial"/>
          <w:sz w:val="16"/>
          <w:szCs w:val="18"/>
          <w:lang w:val="en"/>
        </w:rPr>
        <w:id w:val="-650445367"/>
        <w:docPartObj>
          <w:docPartGallery w:val="Cover Pages"/>
          <w:docPartUnique/>
        </w:docPartObj>
      </w:sdtPr>
      <w:sdtEndPr/>
      <w:sdtContent>
        <w:tbl>
          <w:tblPr>
            <w:tblW w:w="0" w:type="auto"/>
            <w:tblLook w:val="04A0" w:firstRow="1" w:lastRow="0" w:firstColumn="1" w:lastColumn="0" w:noHBand="0" w:noVBand="1"/>
          </w:tblPr>
          <w:tblGrid>
            <w:gridCol w:w="9026"/>
          </w:tblGrid>
          <w:tr w:rsidR="00285F19" w14:paraId="489698FE" w14:textId="77777777" w:rsidTr="006129E3">
            <w:trPr>
              <w:cantSplit/>
              <w:trHeight w:val="1418"/>
            </w:trPr>
            <w:tc>
              <w:tcPr>
                <w:tcW w:w="9242" w:type="dxa"/>
              </w:tcPr>
              <w:p w14:paraId="306C5F73" w14:textId="77777777" w:rsidR="00285F19" w:rsidRDefault="00285F19" w:rsidP="006129E3">
                <w:pPr>
                  <w:pStyle w:val="CoverNormal"/>
                </w:pPr>
                <w:r>
                  <w:rPr>
                    <w:noProof/>
                    <w:lang w:eastAsia="en-AU"/>
                  </w:rPr>
                  <w:drawing>
                    <wp:inline distT="0" distB="0" distL="0" distR="0" wp14:anchorId="1D0F1299" wp14:editId="6649383E">
                      <wp:extent cx="3836582" cy="604080"/>
                      <wp:effectExtent l="0" t="0" r="0" b="5715"/>
                      <wp:docPr id="14" name="Picture 14" descr="Image shows a logo with the Australian Government Department of Industry, Innovation and Science&#10;alongside the logo of the Office of the Chief Economi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36582" cy="604080"/>
                              </a:xfrm>
                              <a:prstGeom prst="rect">
                                <a:avLst/>
                              </a:prstGeom>
                            </pic:spPr>
                          </pic:pic>
                        </a:graphicData>
                      </a:graphic>
                    </wp:inline>
                  </w:drawing>
                </w:r>
              </w:p>
            </w:tc>
          </w:tr>
          <w:tr w:rsidR="00285F19" w14:paraId="1E011862" w14:textId="77777777" w:rsidTr="006129E3">
            <w:trPr>
              <w:cantSplit/>
              <w:trHeight w:hRule="exact" w:val="1417"/>
            </w:trPr>
            <w:tc>
              <w:tcPr>
                <w:tcW w:w="9242" w:type="dxa"/>
                <w:vAlign w:val="bottom"/>
              </w:tcPr>
              <w:p w14:paraId="5478166C" w14:textId="2971AA1A" w:rsidR="00285F19" w:rsidRDefault="00285F19" w:rsidP="004723CA">
                <w:pPr>
                  <w:pStyle w:val="ResearchPaper"/>
                </w:pPr>
                <w:r>
                  <w:t xml:space="preserve">Research Paper </w:t>
                </w:r>
                <w:r w:rsidR="004723CA">
                  <w:t>5</w:t>
                </w:r>
                <w:bookmarkStart w:id="0" w:name="_GoBack"/>
                <w:bookmarkEnd w:id="0"/>
                <w:r>
                  <w:t>/2019</w:t>
                </w:r>
              </w:p>
            </w:tc>
          </w:tr>
          <w:tr w:rsidR="00285F19" w:rsidRPr="00CF654B" w14:paraId="4E92AE89" w14:textId="77777777" w:rsidTr="006129E3">
            <w:trPr>
              <w:cantSplit/>
            </w:trPr>
            <w:sdt>
              <w:sdtPr>
                <w:rPr>
                  <w:rStyle w:val="TitleHeadingChar"/>
                  <w:b/>
                </w:rPr>
                <w:alias w:val="Research Paper Title"/>
                <w:tag w:val="Research Paper Title"/>
                <w:id w:val="803742244"/>
                <w:placeholder>
                  <w:docPart w:val="F9F184CCB68D4A34B39D5AF1D23F20C1"/>
                </w:placeholder>
              </w:sdtPr>
              <w:sdtEndPr>
                <w:rPr>
                  <w:rStyle w:val="DefaultParagraphFont"/>
                </w:rPr>
              </w:sdtEndPr>
              <w:sdtContent>
                <w:tc>
                  <w:tcPr>
                    <w:tcW w:w="9242" w:type="dxa"/>
                  </w:tcPr>
                  <w:p w14:paraId="2B1137B4" w14:textId="7DC94FC9" w:rsidR="00285F19" w:rsidRPr="00E018A4" w:rsidRDefault="00285F19" w:rsidP="00C46613">
                    <w:pPr>
                      <w:pStyle w:val="TitleHeading"/>
                      <w:rPr>
                        <w:b/>
                      </w:rPr>
                    </w:pPr>
                    <w:r>
                      <w:rPr>
                        <w:rStyle w:val="TitleHeadingChar"/>
                      </w:rPr>
                      <w:t>The characteristics and performance of 457 migrant visa sponsoring businesses</w:t>
                    </w:r>
                  </w:p>
                </w:tc>
              </w:sdtContent>
            </w:sdt>
          </w:tr>
          <w:tr w:rsidR="00285F19" w14:paraId="5BB1D521" w14:textId="77777777" w:rsidTr="006129E3">
            <w:trPr>
              <w:cantSplit/>
            </w:trPr>
            <w:tc>
              <w:tcPr>
                <w:tcW w:w="9242" w:type="dxa"/>
                <w:vAlign w:val="center"/>
              </w:tcPr>
              <w:p w14:paraId="6C3E95CF" w14:textId="77777777" w:rsidR="00285F19" w:rsidRDefault="00285F19" w:rsidP="006129E3">
                <w:pPr>
                  <w:pStyle w:val="Author"/>
                </w:pPr>
                <w:r>
                  <w:t>Bilal Rafi</w:t>
                </w:r>
              </w:p>
              <w:p w14:paraId="38061073" w14:textId="77777777" w:rsidR="00285F19" w:rsidRDefault="00285F19" w:rsidP="006129E3">
                <w:pPr>
                  <w:pStyle w:val="Author"/>
                </w:pPr>
                <w:r>
                  <w:t>Tala Talgaswatta</w:t>
                </w:r>
              </w:p>
            </w:tc>
          </w:tr>
          <w:tr w:rsidR="00285F19" w14:paraId="4D667BFB" w14:textId="77777777" w:rsidTr="006129E3">
            <w:trPr>
              <w:cantSplit/>
            </w:trPr>
            <w:tc>
              <w:tcPr>
                <w:tcW w:w="9242" w:type="dxa"/>
                <w:vAlign w:val="center"/>
              </w:tcPr>
              <w:p w14:paraId="504A4C85" w14:textId="77777777" w:rsidR="00285F19" w:rsidRDefault="00285F19" w:rsidP="006129E3">
                <w:pPr>
                  <w:pStyle w:val="MonthYear"/>
                </w:pPr>
                <w:r>
                  <w:fldChar w:fldCharType="begin"/>
                </w:r>
                <w:r>
                  <w:instrText xml:space="preserve"> DATE  \@ "MMMM yyyy"  \* MERGEFORMAT </w:instrText>
                </w:r>
                <w:r>
                  <w:fldChar w:fldCharType="separate"/>
                </w:r>
                <w:r w:rsidR="004723CA">
                  <w:rPr>
                    <w:noProof/>
                  </w:rPr>
                  <w:t>June 2019</w:t>
                </w:r>
                <w:r>
                  <w:fldChar w:fldCharType="end"/>
                </w:r>
              </w:p>
            </w:tc>
          </w:tr>
          <w:tr w:rsidR="00285F19" w14:paraId="307A4183" w14:textId="77777777" w:rsidTr="006129E3">
            <w:trPr>
              <w:cantSplit/>
              <w:trHeight w:val="765"/>
            </w:trPr>
            <w:tc>
              <w:tcPr>
                <w:tcW w:w="9242" w:type="dxa"/>
              </w:tcPr>
              <w:p w14:paraId="6FAF3B13" w14:textId="77777777" w:rsidR="00285F19" w:rsidRDefault="00285F19" w:rsidP="006129E3">
                <w:pPr>
                  <w:pStyle w:val="AbstractHeader"/>
                </w:pPr>
                <w:r w:rsidRPr="002054C2">
                  <w:t>Abstract</w:t>
                </w:r>
              </w:p>
            </w:tc>
          </w:tr>
          <w:tr w:rsidR="00285F19" w14:paraId="18069291" w14:textId="77777777" w:rsidTr="006129E3">
            <w:trPr>
              <w:cantSplit/>
              <w:trHeight w:val="1125"/>
            </w:trPr>
            <w:tc>
              <w:tcPr>
                <w:tcW w:w="9242" w:type="dxa"/>
              </w:tcPr>
              <w:p w14:paraId="5D3010EF" w14:textId="57D7ACA7" w:rsidR="00285F19" w:rsidRPr="00C63547" w:rsidRDefault="00285F19" w:rsidP="004A1092">
                <w:pPr>
                  <w:pStyle w:val="AbstractText"/>
                </w:pPr>
                <w:r>
                  <w:t>T</w:t>
                </w:r>
                <w:r w:rsidRPr="008E45D1">
                  <w:t>he</w:t>
                </w:r>
                <w:r>
                  <w:t xml:space="preserve"> sub-class 457 </w:t>
                </w:r>
                <w:r w:rsidRPr="008E45D1">
                  <w:t>temporary skilled migrant visa</w:t>
                </w:r>
                <w:r>
                  <w:t xml:space="preserve"> program</w:t>
                </w:r>
                <w:r w:rsidRPr="008E45D1">
                  <w:t xml:space="preserve"> </w:t>
                </w:r>
                <w:r>
                  <w:t>provide</w:t>
                </w:r>
                <w:r w:rsidR="004A1092">
                  <w:t>d</w:t>
                </w:r>
                <w:r w:rsidRPr="008E45D1">
                  <w:t xml:space="preserve"> Australian </w:t>
                </w:r>
                <w:r w:rsidR="00E30D22">
                  <w:t>businesses</w:t>
                </w:r>
                <w:r w:rsidRPr="008E45D1">
                  <w:t xml:space="preserve"> with</w:t>
                </w:r>
                <w:r w:rsidR="00E30D22">
                  <w:t xml:space="preserve"> mean</w:t>
                </w:r>
                <w:r w:rsidR="004A1092">
                  <w:t>s</w:t>
                </w:r>
                <w:r>
                  <w:t xml:space="preserve"> to address short-ter</w:t>
                </w:r>
                <w:r w:rsidR="00E30D22">
                  <w:t xml:space="preserve">m skill shortages. Due to </w:t>
                </w:r>
                <w:r>
                  <w:t xml:space="preserve">data limitations there has been a lack of empirical research on the program. </w:t>
                </w:r>
                <w:r w:rsidRPr="008E45D1">
                  <w:t>T</w:t>
                </w:r>
                <w:r>
                  <w:t xml:space="preserve">his paper circumvents this </w:t>
                </w:r>
                <w:r w:rsidRPr="008E45D1">
                  <w:t>limitation by</w:t>
                </w:r>
                <w:r>
                  <w:t xml:space="preserve"> linking data</w:t>
                </w:r>
                <w:r w:rsidRPr="008E45D1">
                  <w:t xml:space="preserve"> from the Department of </w:t>
                </w:r>
                <w:r>
                  <w:t>Home Affairs (DHA</w:t>
                </w:r>
                <w:r w:rsidRPr="008E45D1">
                  <w:t>)</w:t>
                </w:r>
                <w:r>
                  <w:t xml:space="preserve"> — previously the Department of Immigration and Border Protection (DIBP) </w:t>
                </w:r>
                <w:r>
                  <w:rPr>
                    <w:rFonts w:cstheme="minorHAnsi"/>
                  </w:rPr>
                  <w:t>—</w:t>
                </w:r>
                <w:r w:rsidRPr="008E45D1">
                  <w:t xml:space="preserve"> on </w:t>
                </w:r>
                <w:r w:rsidR="00E30D22">
                  <w:t xml:space="preserve">457 migrant sponsors to financial information on </w:t>
                </w:r>
                <w:r w:rsidRPr="008E45D1">
                  <w:t xml:space="preserve">sponsoring </w:t>
                </w:r>
                <w:r w:rsidR="00E30D22">
                  <w:t>businesses</w:t>
                </w:r>
                <w:r w:rsidRPr="008E45D1">
                  <w:t xml:space="preserve"> from the Business Longitudinal Analysis Data Environment (BLADE)</w:t>
                </w:r>
                <w:r>
                  <w:t>. T</w:t>
                </w:r>
                <w:r w:rsidR="00E30D22">
                  <w:t xml:space="preserve">his allows for an assessment </w:t>
                </w:r>
                <w:r>
                  <w:t>of performance differentials between spo</w:t>
                </w:r>
                <w:r w:rsidR="00E30D22">
                  <w:t>nsoring and non-sponsoring businesses</w:t>
                </w:r>
                <w:r>
                  <w:t>.</w:t>
                </w:r>
                <w:r w:rsidR="00E30D22">
                  <w:t xml:space="preserve"> We find that on average sponsoring businesses had higher levels of performance.</w:t>
                </w:r>
              </w:p>
            </w:tc>
          </w:tr>
          <w:tr w:rsidR="00285F19" w14:paraId="35A53833" w14:textId="77777777" w:rsidTr="006129E3">
            <w:trPr>
              <w:cantSplit/>
              <w:trHeight w:val="1125"/>
            </w:trPr>
            <w:tc>
              <w:tcPr>
                <w:tcW w:w="9242" w:type="dxa"/>
              </w:tcPr>
              <w:p w14:paraId="4F31942D" w14:textId="77777777" w:rsidR="00285F19" w:rsidRPr="00116A9D" w:rsidRDefault="00285F19" w:rsidP="006129E3">
                <w:pPr>
                  <w:pStyle w:val="JELCodeheader"/>
                  <w:rPr>
                    <w:b w:val="0"/>
                  </w:rPr>
                </w:pPr>
                <w:r w:rsidRPr="000502F2">
                  <w:rPr>
                    <w:color w:val="005CAF"/>
                  </w:rPr>
                  <w:t>JEL Codes:</w:t>
                </w:r>
                <w:r w:rsidRPr="000502F2">
                  <w:rPr>
                    <w:b w:val="0"/>
                    <w:color w:val="005CAF"/>
                  </w:rPr>
                  <w:t xml:space="preserve"> </w:t>
                </w:r>
                <w:r>
                  <w:rPr>
                    <w:b w:val="0"/>
                  </w:rPr>
                  <w:t>J44</w:t>
                </w:r>
                <w:r w:rsidRPr="00116A9D">
                  <w:rPr>
                    <w:b w:val="0"/>
                  </w:rPr>
                  <w:t xml:space="preserve">, </w:t>
                </w:r>
                <w:r>
                  <w:rPr>
                    <w:b w:val="0"/>
                  </w:rPr>
                  <w:t>J61, L25</w:t>
                </w:r>
              </w:p>
              <w:p w14:paraId="3C0E5179" w14:textId="77777777" w:rsidR="00285F19" w:rsidRDefault="00285F19" w:rsidP="006129E3">
                <w:pPr>
                  <w:pStyle w:val="JELCodeheader"/>
                  <w:rPr>
                    <w:b w:val="0"/>
                  </w:rPr>
                </w:pPr>
                <w:r w:rsidRPr="000502F2">
                  <w:rPr>
                    <w:color w:val="005CAF"/>
                  </w:rPr>
                  <w:t>Keywords:</w:t>
                </w:r>
                <w:r w:rsidRPr="00116A9D">
                  <w:rPr>
                    <w:b w:val="0"/>
                  </w:rPr>
                  <w:t xml:space="preserve"> </w:t>
                </w:r>
                <w:r>
                  <w:rPr>
                    <w:b w:val="0"/>
                  </w:rPr>
                  <w:t>Temporary skilled migrants, firm performance, BLADE</w:t>
                </w:r>
              </w:p>
              <w:p w14:paraId="0C58619B" w14:textId="77777777" w:rsidR="00285F19" w:rsidRPr="002054C2" w:rsidRDefault="00285F19" w:rsidP="006129E3">
                <w:pPr>
                  <w:pStyle w:val="JELCodeheader"/>
                </w:pPr>
              </w:p>
            </w:tc>
          </w:tr>
        </w:tbl>
        <w:p w14:paraId="1E69BB8B" w14:textId="77777777" w:rsidR="00285F19" w:rsidRDefault="00285F19" w:rsidP="00285F19"/>
        <w:p w14:paraId="594C941E" w14:textId="77777777" w:rsidR="00285F19" w:rsidRDefault="00285F19" w:rsidP="00285F19">
          <w:pPr>
            <w:pStyle w:val="CoverNormal"/>
          </w:pPr>
          <w:r>
            <w:rPr>
              <w:noProof/>
              <w:lang w:eastAsia="en-AU"/>
            </w:rPr>
            <w:drawing>
              <wp:anchor distT="0" distB="0" distL="114300" distR="114300" simplePos="0" relativeHeight="251660288" behindDoc="0" locked="0" layoutInCell="1" allowOverlap="1" wp14:anchorId="21FF995D" wp14:editId="65AB3B68">
                <wp:simplePos x="0" y="0"/>
                <wp:positionH relativeFrom="column">
                  <wp:posOffset>1371600</wp:posOffset>
                </wp:positionH>
                <wp:positionV relativeFrom="paragraph">
                  <wp:posOffset>-66675</wp:posOffset>
                </wp:positionV>
                <wp:extent cx="3841040" cy="604800"/>
                <wp:effectExtent l="0" t="0" r="7620" b="5080"/>
                <wp:wrapSquare wrapText="bothSides"/>
                <wp:docPr id="15" name="Picture 15" descr="Image shows a logo with the Australian Government Department of Industry, Innovation and Science&#10;alongside the logo of the Office of the Chief Economi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40804 OCE lockup 01 RGB 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1040" cy="604800"/>
                        </a:xfrm>
                        <a:prstGeom prst="rect">
                          <a:avLst/>
                        </a:prstGeom>
                      </pic:spPr>
                    </pic:pic>
                  </a:graphicData>
                </a:graphic>
                <wp14:sizeRelH relativeFrom="margin">
                  <wp14:pctWidth>0</wp14:pctWidth>
                </wp14:sizeRelH>
                <wp14:sizeRelV relativeFrom="margin">
                  <wp14:pctHeight>0</wp14:pctHeight>
                </wp14:sizeRelV>
              </wp:anchor>
            </w:drawing>
          </w:r>
          <w:r>
            <w:br/>
          </w:r>
        </w:p>
        <w:p w14:paraId="69DB2DD2" w14:textId="77777777" w:rsidR="00285F19" w:rsidRDefault="00285F19" w:rsidP="00285F19">
          <w:pPr>
            <w:pStyle w:val="CoverNormal"/>
          </w:pPr>
        </w:p>
        <w:p w14:paraId="1879B2D9" w14:textId="77777777" w:rsidR="00285F19" w:rsidRDefault="00285F19" w:rsidP="00285F19">
          <w:pPr>
            <w:pStyle w:val="DisclaimerHeading"/>
            <w:keepNext/>
            <w:numPr>
              <w:ilvl w:val="7"/>
              <w:numId w:val="3"/>
            </w:numPr>
            <w:spacing w:before="600"/>
            <w:ind w:left="2160" w:right="521"/>
            <w:outlineLvl w:val="7"/>
          </w:pPr>
          <w:r>
            <w:t>For</w:t>
          </w:r>
          <w:r w:rsidRPr="00F12E30">
            <w:t xml:space="preserve"> </w:t>
          </w:r>
          <w:r>
            <w:t xml:space="preserve">further </w:t>
          </w:r>
          <w:r w:rsidRPr="00F12E30">
            <w:t>informatio</w:t>
          </w:r>
          <w:r>
            <w:t xml:space="preserve">n on this research paper please </w:t>
          </w:r>
          <w:r w:rsidRPr="00B91524">
            <w:t xml:space="preserve">contact: </w:t>
          </w:r>
        </w:p>
        <w:p w14:paraId="0FCEF558" w14:textId="77777777" w:rsidR="00285F19" w:rsidRPr="00EC76AE" w:rsidRDefault="00285F19" w:rsidP="00285F19">
          <w:pPr>
            <w:pStyle w:val="DisclaimerandAcknowledgement"/>
          </w:pPr>
          <w:r>
            <w:t>Bilal Rafi</w:t>
          </w:r>
          <w:r>
            <w:tab/>
          </w:r>
        </w:p>
        <w:p w14:paraId="11A6E187" w14:textId="77777777" w:rsidR="00285F19" w:rsidRPr="00EC76AE" w:rsidRDefault="00285F19" w:rsidP="00285F19">
          <w:pPr>
            <w:pStyle w:val="DisclaimerandAcknowledgement"/>
          </w:pPr>
          <w:r>
            <w:t>Industry and Firm Analysis</w:t>
          </w:r>
        </w:p>
        <w:p w14:paraId="4A26A021" w14:textId="77777777" w:rsidR="00285F19" w:rsidRPr="00B91524" w:rsidRDefault="00285F19" w:rsidP="00285F19">
          <w:pPr>
            <w:pStyle w:val="DisclaimerandAcknowledgement"/>
          </w:pPr>
          <w:r w:rsidRPr="00B91524">
            <w:t>Department of Industry</w:t>
          </w:r>
          <w:r>
            <w:t>, Innovation and Science</w:t>
          </w:r>
        </w:p>
        <w:p w14:paraId="46D9F2A5" w14:textId="77777777" w:rsidR="00285F19" w:rsidRPr="00EC76AE" w:rsidRDefault="00285F19" w:rsidP="00285F19">
          <w:pPr>
            <w:pStyle w:val="DisclaimerandAcknowledgement"/>
          </w:pPr>
          <w:r w:rsidRPr="00EC76AE">
            <w:t>GPO Box 9839</w:t>
          </w:r>
        </w:p>
        <w:p w14:paraId="323E89EC" w14:textId="77777777" w:rsidR="00285F19" w:rsidRPr="00EC76AE" w:rsidRDefault="00285F19" w:rsidP="00285F19">
          <w:pPr>
            <w:pStyle w:val="DisclaimerandAcknowledgement"/>
          </w:pPr>
          <w:r w:rsidRPr="00EC76AE">
            <w:t>Canberra ACT 2601</w:t>
          </w:r>
        </w:p>
        <w:p w14:paraId="243DDE61" w14:textId="77777777" w:rsidR="00285F19" w:rsidRPr="00EC76AE" w:rsidRDefault="00285F19" w:rsidP="00285F19">
          <w:pPr>
            <w:pStyle w:val="DisclaimerandAcknowledgement"/>
          </w:pPr>
          <w:r>
            <w:t>Phone</w:t>
          </w:r>
          <w:r w:rsidRPr="00EC76AE">
            <w:t>:</w:t>
          </w:r>
          <w:r>
            <w:t xml:space="preserve"> +61 2 6276 1946</w:t>
          </w:r>
        </w:p>
        <w:p w14:paraId="7488F931" w14:textId="77777777" w:rsidR="00285F19" w:rsidRDefault="00285F19" w:rsidP="00285F19">
          <w:pPr>
            <w:pStyle w:val="DisclaimerandAcknowledgement"/>
            <w:rPr>
              <w:rStyle w:val="HyperlinkStyleChar"/>
            </w:rPr>
          </w:pPr>
          <w:r w:rsidRPr="00EC76AE">
            <w:t xml:space="preserve">Email: </w:t>
          </w:r>
          <w:r>
            <w:t>bilal.rafi@industry.gov.au</w:t>
          </w:r>
        </w:p>
        <w:p w14:paraId="45CCB15B" w14:textId="77777777" w:rsidR="00285F19" w:rsidRPr="00EC76AE" w:rsidRDefault="00285F19" w:rsidP="00285F19">
          <w:pPr>
            <w:pStyle w:val="DisclaimerHeading"/>
            <w:keepNext/>
            <w:numPr>
              <w:ilvl w:val="7"/>
              <w:numId w:val="3"/>
            </w:numPr>
            <w:spacing w:before="600"/>
            <w:ind w:left="2160"/>
            <w:outlineLvl w:val="7"/>
          </w:pPr>
          <w:r w:rsidRPr="00EC76AE">
            <w:t>Disclaimer</w:t>
          </w:r>
        </w:p>
        <w:p w14:paraId="58BCC0E8" w14:textId="77777777" w:rsidR="00285F19" w:rsidRDefault="00285F19" w:rsidP="00285F19">
          <w:pPr>
            <w:pStyle w:val="DisclaimerandAcknowledgement"/>
          </w:pPr>
          <w:r>
            <w:t xml:space="preserve">The views expressed in this report are those of the author(s) and do not necessarily reflect those of the Australian Government or the Department of </w:t>
          </w:r>
          <w:r w:rsidRPr="00B91524">
            <w:t>Industry</w:t>
          </w:r>
          <w:r>
            <w:t>, Innovation and Science.</w:t>
          </w:r>
        </w:p>
        <w:p w14:paraId="5C415DBF" w14:textId="77777777" w:rsidR="00285F19" w:rsidRPr="00EC76AE" w:rsidRDefault="00285F19" w:rsidP="00285F19">
          <w:pPr>
            <w:pStyle w:val="DisclaimerandAcknowledgement"/>
          </w:pPr>
          <w:r w:rsidRPr="00EC76AE">
            <w:sym w:font="Symbol" w:char="F0D3"/>
          </w:r>
          <w:r w:rsidRPr="00EC76AE">
            <w:t xml:space="preserve"> Commonwealth of Australia</w:t>
          </w:r>
          <w:r>
            <w:t xml:space="preserve"> 2019.</w:t>
          </w:r>
          <w:r w:rsidRPr="00EC76AE">
            <w:t xml:space="preserve"> </w:t>
          </w:r>
        </w:p>
        <w:p w14:paraId="52B63D94" w14:textId="77777777" w:rsidR="00285F19" w:rsidRDefault="00285F19" w:rsidP="00285F19">
          <w:pPr>
            <w:pStyle w:val="DisclaimerandAcknowledgement"/>
            <w:rPr>
              <w:rStyle w:val="HyperlinkStyleChar"/>
              <w:sz w:val="18"/>
            </w:rPr>
          </w:pPr>
          <w:r>
            <w:rPr>
              <w:rFonts w:ascii="inherit" w:hAnsi="inherit"/>
              <w:noProof/>
              <w:sz w:val="20"/>
              <w:szCs w:val="20"/>
              <w:lang w:val="en-AU" w:eastAsia="en-AU"/>
            </w:rPr>
            <w:drawing>
              <wp:anchor distT="0" distB="0" distL="114300" distR="114300" simplePos="0" relativeHeight="251659264" behindDoc="0" locked="0" layoutInCell="1" allowOverlap="1" wp14:anchorId="7512EE94" wp14:editId="72578FE2">
                <wp:simplePos x="0" y="0"/>
                <wp:positionH relativeFrom="column">
                  <wp:posOffset>1374140</wp:posOffset>
                </wp:positionH>
                <wp:positionV relativeFrom="paragraph">
                  <wp:posOffset>1024890</wp:posOffset>
                </wp:positionV>
                <wp:extent cx="1189355" cy="407035"/>
                <wp:effectExtent l="0" t="0" r="0" b="0"/>
                <wp:wrapSquare wrapText="bothSides"/>
                <wp:docPr id="16" name="Picture 16" descr="CC-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935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76AE">
            <w:t xml:space="preserve">This work is copyright. Apart from use under Copyright Act 1968, no part may be reproduced or altered by any process without prior written permission from the Australian Government. Requests and inquiries concerning reproduction and rights should be addressed to </w:t>
          </w:r>
          <w:hyperlink r:id="rId14" w:history="1">
            <w:r w:rsidRPr="001B6EF9">
              <w:rPr>
                <w:rStyle w:val="Hyperlink"/>
              </w:rPr>
              <w:t>chiefeconomist@industry.gov.au</w:t>
            </w:r>
          </w:hyperlink>
          <w:r w:rsidRPr="00B461F3">
            <w:rPr>
              <w:rFonts w:asciiTheme="minorHAnsi" w:hAnsiTheme="minorHAnsi" w:cstheme="minorHAnsi"/>
              <w:color w:val="666666"/>
              <w:szCs w:val="16"/>
            </w:rPr>
            <w:t>.</w:t>
          </w:r>
          <w:r>
            <w:rPr>
              <w:rFonts w:ascii="Tahoma" w:hAnsi="Tahoma" w:cs="Tahoma"/>
              <w:color w:val="666666"/>
              <w:sz w:val="18"/>
            </w:rPr>
            <w:t> </w:t>
          </w:r>
          <w:r w:rsidRPr="00EC76AE">
            <w:t xml:space="preserve">For more information on Office of the Chief Economist research papers please access the Department’s website at: </w:t>
          </w:r>
          <w:hyperlink r:id="rId15" w:history="1">
            <w:r w:rsidRPr="001B6EF9">
              <w:rPr>
                <w:rStyle w:val="Hyperlink"/>
              </w:rPr>
              <w:t>www.industry.gov.au/OCE</w:t>
            </w:r>
          </w:hyperlink>
        </w:p>
        <w:p w14:paraId="346544C3" w14:textId="77777777" w:rsidR="00285F19" w:rsidRDefault="00285F19" w:rsidP="00285F19">
          <w:pPr>
            <w:pStyle w:val="DisclaimerandAcknowledgement"/>
            <w:rPr>
              <w:rStyle w:val="HyperlinkStyleChar"/>
              <w:sz w:val="18"/>
            </w:rPr>
          </w:pPr>
        </w:p>
        <w:p w14:paraId="2C0BB931" w14:textId="77777777" w:rsidR="00285F19" w:rsidRDefault="00285F19" w:rsidP="00285F19">
          <w:pPr>
            <w:rPr>
              <w:rStyle w:val="HyperlinkStyleChar"/>
              <w:rFonts w:cs="Arial"/>
              <w:b/>
              <w:color w:val="595A5B"/>
              <w:sz w:val="18"/>
            </w:rPr>
          </w:pPr>
        </w:p>
        <w:p w14:paraId="58CC6A29" w14:textId="77777777" w:rsidR="00285F19" w:rsidRPr="004D7A11" w:rsidRDefault="00285F19" w:rsidP="00285F19">
          <w:pPr>
            <w:pStyle w:val="DisclaimerHeading"/>
            <w:keepNext/>
            <w:numPr>
              <w:ilvl w:val="7"/>
              <w:numId w:val="3"/>
            </w:numPr>
            <w:spacing w:before="600"/>
            <w:ind w:left="2160"/>
            <w:outlineLvl w:val="7"/>
            <w:rPr>
              <w:rFonts w:eastAsia="Calibri"/>
            </w:rPr>
          </w:pPr>
          <w:r w:rsidRPr="004D7A11">
            <w:t>Creative Commons Licence</w:t>
          </w:r>
        </w:p>
        <w:p w14:paraId="35118D2C" w14:textId="77777777" w:rsidR="00285F19" w:rsidRPr="00A1774F" w:rsidRDefault="00285F19" w:rsidP="00285F19">
          <w:pPr>
            <w:pStyle w:val="DisclaimerandAcknowledgement"/>
          </w:pPr>
          <w:r w:rsidRPr="00A1774F">
            <w:t>With the exception of the Coat of Arms, this publication is licensed under a Creative Commons Attribution 3.0 Australia Licence.</w:t>
          </w:r>
        </w:p>
        <w:p w14:paraId="7D61A87F" w14:textId="77777777" w:rsidR="00285F19" w:rsidRPr="00A1774F" w:rsidRDefault="00285F19" w:rsidP="00285F19">
          <w:pPr>
            <w:pStyle w:val="DisclaimerandAcknowledgement"/>
          </w:pPr>
          <w:r w:rsidRPr="00A1774F">
            <w:t>Creative Commons Attribution 3.0 Australia Licence is a standard form license agreement that allows you to copy, distrib</w:t>
          </w:r>
          <w:r>
            <w:t xml:space="preserve">ute, </w:t>
          </w:r>
          <w:r w:rsidRPr="00A1774F">
            <w:t xml:space="preserve">transmit and adapt this publication provided that you attribute the work. A summary of the licence </w:t>
          </w:r>
          <w:r>
            <w:t>terms is available from http://</w:t>
          </w:r>
          <w:r w:rsidRPr="00A1774F">
            <w:t>creativecommons.org/licenses/by/3.0/au/deed.en. The full licence terms are available from http://creativecommons.org/lic</w:t>
          </w:r>
          <w:r>
            <w:t>enses/</w:t>
          </w:r>
          <w:r w:rsidRPr="00A1774F">
            <w:t>by/3.0/au/legalcode.</w:t>
          </w:r>
        </w:p>
        <w:p w14:paraId="268A1656" w14:textId="77777777" w:rsidR="00285F19" w:rsidRPr="00A1774F" w:rsidRDefault="00285F19" w:rsidP="00285F19">
          <w:pPr>
            <w:pStyle w:val="DisclaimerandAcknowledgement"/>
          </w:pPr>
          <w:r w:rsidRPr="00A1774F">
            <w:t>The Commonwealth’s preference is that you attribute this publication (and any material sourc</w:t>
          </w:r>
          <w:r>
            <w:t xml:space="preserve">ed from it) using the following </w:t>
          </w:r>
          <w:r w:rsidRPr="00A1774F">
            <w:t>wording:</w:t>
          </w:r>
        </w:p>
        <w:p w14:paraId="1A87A102" w14:textId="77777777" w:rsidR="00285F19" w:rsidRDefault="00285F19" w:rsidP="00285F19">
          <w:pPr>
            <w:pStyle w:val="DisclaimerandAcknowledgement"/>
            <w:sectPr w:rsidR="00285F19" w:rsidSect="006129E3">
              <w:headerReference w:type="even" r:id="rId16"/>
              <w:headerReference w:type="default" r:id="rId17"/>
              <w:footerReference w:type="default" r:id="rId18"/>
              <w:headerReference w:type="first" r:id="rId19"/>
              <w:pgSz w:w="11906" w:h="16838" w:code="9"/>
              <w:pgMar w:top="1440" w:right="1440" w:bottom="1440" w:left="1440" w:header="709" w:footer="709" w:gutter="0"/>
              <w:pgNumType w:start="1"/>
              <w:cols w:space="708"/>
              <w:titlePg/>
              <w:docGrid w:linePitch="360"/>
            </w:sectPr>
          </w:pPr>
          <w:r w:rsidRPr="00A1774F">
            <w:t>Source: Licensed from the Commonwealth of Australia under a Creative Commons Attribution 3.0 Australia Licence.</w:t>
          </w:r>
          <w:r>
            <w:t xml:space="preserve"> </w:t>
          </w:r>
          <w:r w:rsidRPr="00A1774F">
            <w:t>The Commonwealth of Australia does not necessarily endorse</w:t>
          </w:r>
          <w:r>
            <w:t xml:space="preserve"> the content of this publication. </w:t>
          </w:r>
        </w:p>
      </w:sdtContent>
    </w:sdt>
    <w:tbl>
      <w:tblPr>
        <w:tblW w:w="7007" w:type="dxa"/>
        <w:shd w:val="clear" w:color="auto" w:fill="DEE8F1"/>
        <w:tblLayout w:type="fixed"/>
        <w:tblLook w:val="04A0" w:firstRow="1" w:lastRow="0" w:firstColumn="1" w:lastColumn="0" w:noHBand="0" w:noVBand="1"/>
      </w:tblPr>
      <w:tblGrid>
        <w:gridCol w:w="7007"/>
      </w:tblGrid>
      <w:tr w:rsidR="00285F19" w14:paraId="1A45C2FD" w14:textId="77777777" w:rsidTr="00E30D22">
        <w:tc>
          <w:tcPr>
            <w:tcW w:w="7007" w:type="dxa"/>
            <w:shd w:val="clear" w:color="auto" w:fill="DEE8F1"/>
          </w:tcPr>
          <w:p w14:paraId="6038934E" w14:textId="77777777" w:rsidR="00285F19" w:rsidRPr="001835DD" w:rsidRDefault="00285F19" w:rsidP="006129E3">
            <w:pPr>
              <w:pStyle w:val="Keypointsheader"/>
            </w:pPr>
            <w:r w:rsidRPr="00AC3DDE">
              <w:lastRenderedPageBreak/>
              <w:t>Key points</w:t>
            </w:r>
          </w:p>
          <w:p w14:paraId="7577FF69" w14:textId="652C4C79" w:rsidR="00285F19" w:rsidRDefault="00285F19" w:rsidP="006129E3">
            <w:pPr>
              <w:pStyle w:val="Keypointsbullet"/>
              <w:ind w:left="317" w:right="155" w:hanging="252"/>
            </w:pPr>
            <w:r>
              <w:t>The 457 program was used by a diverse array of</w:t>
            </w:r>
            <w:r w:rsidR="00C9626D">
              <w:t xml:space="preserve"> Australian industries and businesses</w:t>
            </w:r>
            <w:r>
              <w:t>.</w:t>
            </w:r>
          </w:p>
          <w:p w14:paraId="178E4473" w14:textId="0485DF19" w:rsidR="00285F19" w:rsidRDefault="00285F19" w:rsidP="006129E3">
            <w:pPr>
              <w:pStyle w:val="Keypointsbullet"/>
              <w:ind w:left="317" w:right="155" w:hanging="252"/>
            </w:pPr>
            <w:r>
              <w:t>Using linked administrative data this paper assesses whether there were performance differ</w:t>
            </w:r>
            <w:r w:rsidR="00C9626D">
              <w:t>entials between Australian businesses</w:t>
            </w:r>
            <w:r>
              <w:t xml:space="preserve"> that sponsored 457 visa migrants and those that did not.</w:t>
            </w:r>
          </w:p>
          <w:p w14:paraId="47E4B96F" w14:textId="619BFBA9" w:rsidR="00285F19" w:rsidRDefault="00285F19" w:rsidP="006129E3">
            <w:pPr>
              <w:pStyle w:val="Keypointsbullet"/>
              <w:ind w:left="317" w:right="155" w:hanging="252"/>
            </w:pPr>
            <w:r>
              <w:t xml:space="preserve">The findings of this paper identify that 457 sponsoring </w:t>
            </w:r>
            <w:r w:rsidR="00C9626D">
              <w:t xml:space="preserve">businesses </w:t>
            </w:r>
            <w:r>
              <w:t>outperformed non-sponsoring firms particularly in terms of turnover performance and employment creation.</w:t>
            </w:r>
          </w:p>
          <w:p w14:paraId="47FEEFE3" w14:textId="6D6F4BEB" w:rsidR="00285F19" w:rsidRDefault="00285F19" w:rsidP="006129E3">
            <w:pPr>
              <w:pStyle w:val="Keypointsbullet"/>
              <w:ind w:left="317" w:right="155" w:hanging="252"/>
            </w:pPr>
            <w:r>
              <w:t>While access to temporary skilled migrants is likely to ha</w:t>
            </w:r>
            <w:r w:rsidR="00C9626D">
              <w:t>ve contributed to these</w:t>
            </w:r>
            <w:r>
              <w:t xml:space="preserve"> performance premium</w:t>
            </w:r>
            <w:r w:rsidR="00C9626D">
              <w:t>s</w:t>
            </w:r>
            <w:r>
              <w:t>, it is unlikely that they were the exclusive source.</w:t>
            </w:r>
          </w:p>
        </w:tc>
      </w:tr>
    </w:tbl>
    <w:p w14:paraId="0156307E" w14:textId="77777777" w:rsidR="00285F19" w:rsidRDefault="00285F19" w:rsidP="00285F19">
      <w:pPr>
        <w:pStyle w:val="BodyText"/>
      </w:pPr>
    </w:p>
    <w:p w14:paraId="628EF750" w14:textId="77777777" w:rsidR="00285F19" w:rsidRDefault="00285F19" w:rsidP="00285F19">
      <w:pPr>
        <w:spacing w:after="200" w:line="276" w:lineRule="auto"/>
        <w:ind w:left="0"/>
        <w:jc w:val="left"/>
        <w:rPr>
          <w:rFonts w:asciiTheme="minorHAnsi" w:hAnsiTheme="minorHAnsi"/>
        </w:rPr>
      </w:pPr>
      <w:r>
        <w:br w:type="page"/>
      </w:r>
    </w:p>
    <w:p w14:paraId="21B291FB" w14:textId="77777777" w:rsidR="00285F19" w:rsidRDefault="00285F19" w:rsidP="00364C8A">
      <w:pPr>
        <w:pStyle w:val="Heading1"/>
        <w:numPr>
          <w:ilvl w:val="0"/>
          <w:numId w:val="9"/>
        </w:numPr>
      </w:pPr>
      <w:r>
        <w:lastRenderedPageBreak/>
        <w:t>Introduction</w:t>
      </w:r>
    </w:p>
    <w:p w14:paraId="5A9707EC" w14:textId="77777777" w:rsidR="00285F19" w:rsidRPr="001D68B0" w:rsidRDefault="00285F19" w:rsidP="00364C8A">
      <w:pPr>
        <w:pStyle w:val="BodyText"/>
      </w:pPr>
      <w:r w:rsidRPr="001D68B0">
        <w:t>Australia has for a number of years utilised a temporar</w:t>
      </w:r>
      <w:r>
        <w:t>y skilled migrant visa program</w:t>
      </w:r>
      <w:r w:rsidRPr="001D68B0">
        <w:t xml:space="preserve"> to provide Australian businesses</w:t>
      </w:r>
      <w:r>
        <w:rPr>
          <w:rStyle w:val="FootnoteReference"/>
        </w:rPr>
        <w:footnoteReference w:id="1"/>
      </w:r>
      <w:r w:rsidRPr="001D68B0">
        <w:t xml:space="preserve"> with access to labour with specialised skillsets</w:t>
      </w:r>
      <w:r>
        <w:t xml:space="preserve"> that were deemed to be in short supply. These temporary migrants </w:t>
      </w:r>
      <w:r w:rsidRPr="001D68B0">
        <w:t xml:space="preserve">were sponsored by Australian employers via a sub-class 457 visa </w:t>
      </w:r>
      <w:r>
        <w:t xml:space="preserve">and </w:t>
      </w:r>
      <w:r w:rsidRPr="001D68B0">
        <w:t>were entitled to work and stay in Australia for up to fo</w:t>
      </w:r>
      <w:r>
        <w:t>ur years. The 457 visa program</w:t>
      </w:r>
      <w:r w:rsidRPr="001D68B0">
        <w:t xml:space="preserve"> was introduced in 1996 and </w:t>
      </w:r>
      <w:r>
        <w:t>was</w:t>
      </w:r>
      <w:r w:rsidRPr="001D68B0">
        <w:t xml:space="preserve"> in effect for over 20 years. In early 2017 the Government annou</w:t>
      </w:r>
      <w:r>
        <w:t>nced that the 457 visa program would</w:t>
      </w:r>
      <w:r w:rsidRPr="001D68B0">
        <w:t xml:space="preserve"> be abolished in March 2018</w:t>
      </w:r>
      <w:r>
        <w:t>, subsequently it was</w:t>
      </w:r>
      <w:r w:rsidRPr="001D68B0">
        <w:t xml:space="preserve"> replaced by a new Temporary Skill Shortage (TSS) visa.</w:t>
      </w:r>
    </w:p>
    <w:p w14:paraId="6F17DC59" w14:textId="4D2ED3F4" w:rsidR="00285F19" w:rsidRPr="001D68B0" w:rsidRDefault="00285F19" w:rsidP="00364C8A">
      <w:pPr>
        <w:pStyle w:val="BodyText"/>
      </w:pPr>
      <w:r w:rsidRPr="001D68B0">
        <w:t xml:space="preserve">Considerable media attention has been given to the perceived </w:t>
      </w:r>
      <w:r>
        <w:t>rorting of the 457 program</w:t>
      </w:r>
      <w:r w:rsidRPr="001D68B0">
        <w:t xml:space="preserve"> and the under payment and abuse of 457 migrant workers. However, Australi</w:t>
      </w:r>
      <w:r>
        <w:t xml:space="preserve">an industries and employers were broadly </w:t>
      </w:r>
      <w:r w:rsidRPr="001D68B0">
        <w:t>supp</w:t>
      </w:r>
      <w:r>
        <w:t>ortive of the 457 visa program</w:t>
      </w:r>
      <w:r w:rsidRPr="001D68B0">
        <w:t xml:space="preserve"> and the labour mar</w:t>
      </w:r>
      <w:r>
        <w:t>ket flexibility that it provided</w:t>
      </w:r>
      <w:r w:rsidRPr="001D68B0">
        <w:t>. Notably in sectors such as Health and Social Assistance, Professional, Scientific and Technical Services,</w:t>
      </w:r>
      <w:r>
        <w:t xml:space="preserve"> Information, Media and Telecommunications,</w:t>
      </w:r>
      <w:r w:rsidRPr="001D68B0">
        <w:t xml:space="preserve"> and Accommodation and Food Services. </w:t>
      </w:r>
    </w:p>
    <w:p w14:paraId="016D2697" w14:textId="43DAFE50" w:rsidR="00285F19" w:rsidRPr="001D68B0" w:rsidRDefault="00285F19" w:rsidP="00364C8A">
      <w:pPr>
        <w:pStyle w:val="BodyText"/>
      </w:pPr>
      <w:r>
        <w:t>Distinct from</w:t>
      </w:r>
      <w:r w:rsidRPr="001D68B0">
        <w:t xml:space="preserve"> the ongoing debate surrounding the</w:t>
      </w:r>
      <w:r>
        <w:t xml:space="preserve"> utility of the 457 visa program</w:t>
      </w:r>
      <w:r w:rsidRPr="001D68B0">
        <w:t>, there is sparse empirical researc</w:t>
      </w:r>
      <w:r>
        <w:t>h on the impact of the program</w:t>
      </w:r>
      <w:r w:rsidRPr="001D68B0">
        <w:t xml:space="preserve"> on the Australian businesses that employ</w:t>
      </w:r>
      <w:r>
        <w:t>ed</w:t>
      </w:r>
      <w:r w:rsidRPr="001D68B0">
        <w:t xml:space="preserve"> </w:t>
      </w:r>
      <w:r>
        <w:t xml:space="preserve">these </w:t>
      </w:r>
      <w:r w:rsidRPr="001D68B0">
        <w:t xml:space="preserve">temporary skilled migrant workers. This lack of research is primarily due to a lack of </w:t>
      </w:r>
      <w:r>
        <w:t xml:space="preserve">publically available </w:t>
      </w:r>
      <w:r w:rsidRPr="001D68B0">
        <w:t>d</w:t>
      </w:r>
      <w:r>
        <w:t>ata</w:t>
      </w:r>
      <w:r w:rsidRPr="001D68B0">
        <w:t>. Existing data sources such as the Census of Population and Housing, the Continuous Survey of Australian Migrants (CSAM) and the Household Income and Labour Dynamics Australia (HILDA) survey do not adequately capture information on</w:t>
      </w:r>
      <w:r w:rsidR="00C5633C">
        <w:t xml:space="preserve"> temporary</w:t>
      </w:r>
      <w:r w:rsidRPr="001D68B0">
        <w:t xml:space="preserve"> migrants and specifically, the Australian businesse</w:t>
      </w:r>
      <w:r>
        <w:t>s that sponsor and employ them.</w:t>
      </w:r>
    </w:p>
    <w:p w14:paraId="536E23D4" w14:textId="4AC34984" w:rsidR="00285F19" w:rsidRDefault="00285F19" w:rsidP="00364C8A">
      <w:pPr>
        <w:pStyle w:val="BodyText"/>
      </w:pPr>
      <w:r w:rsidRPr="001D68B0">
        <w:t xml:space="preserve">This research paper </w:t>
      </w:r>
      <w:r>
        <w:t>draws on administrative data</w:t>
      </w:r>
      <w:r w:rsidRPr="001D68B0">
        <w:t xml:space="preserve"> from the Department of </w:t>
      </w:r>
      <w:r>
        <w:t>Home Affairs</w:t>
      </w:r>
      <w:r w:rsidRPr="001D68B0">
        <w:t xml:space="preserve"> (D</w:t>
      </w:r>
      <w:r>
        <w:t>HA</w:t>
      </w:r>
      <w:r w:rsidRPr="001D68B0">
        <w:t>)</w:t>
      </w:r>
      <w:r>
        <w:t xml:space="preserve"> </w:t>
      </w:r>
      <w:r>
        <w:rPr>
          <w:rFonts w:cstheme="minorHAnsi"/>
        </w:rPr>
        <w:t>—</w:t>
      </w:r>
      <w:r>
        <w:t xml:space="preserve"> previously known as the Department of Immigration and Border Protection (DIBP)</w:t>
      </w:r>
      <w:r>
        <w:rPr>
          <w:rStyle w:val="FootnoteReference"/>
        </w:rPr>
        <w:footnoteReference w:id="2"/>
      </w:r>
      <w:r w:rsidRPr="001D68B0">
        <w:t xml:space="preserve"> </w:t>
      </w:r>
      <w:r>
        <w:rPr>
          <w:rFonts w:cstheme="minorHAnsi"/>
        </w:rPr>
        <w:t>—</w:t>
      </w:r>
      <w:r>
        <w:t xml:space="preserve"> </w:t>
      </w:r>
      <w:r w:rsidRPr="001D68B0">
        <w:t xml:space="preserve">on 457 migrant sponsoring employers to financial information from tax data on these sponsoring businesses from the Business Longitudinal Analysis Data Environment (BLADE). Doing so results in a longitudinal data set that allows for the comparison of aspects of </w:t>
      </w:r>
      <w:r>
        <w:t xml:space="preserve">business performance such as </w:t>
      </w:r>
      <w:r w:rsidRPr="001D68B0">
        <w:t>turnover, employment, wage per employee and labour productivity.</w:t>
      </w:r>
      <w:r>
        <w:t xml:space="preserve"> This</w:t>
      </w:r>
      <w:r w:rsidRPr="001D68B0">
        <w:t xml:space="preserve"> allows for a comparison of the performance of 457 migrant sponsoring businesses with otherwise similar businesses that did not spon</w:t>
      </w:r>
      <w:r>
        <w:t>sor 457 migrants</w:t>
      </w:r>
      <w:r w:rsidRPr="001D68B0">
        <w:t>.</w:t>
      </w:r>
      <w:r>
        <w:t xml:space="preserve"> Simply put, did Australian businesses that sponsor temporary skilled migrants outperform</w:t>
      </w:r>
      <w:r w:rsidR="00772A9A">
        <w:t xml:space="preserve"> similar</w:t>
      </w:r>
      <w:r>
        <w:t xml:space="preserve"> non-sponsoring businesses? </w:t>
      </w:r>
    </w:p>
    <w:p w14:paraId="436165F7" w14:textId="77777777" w:rsidR="00285F19" w:rsidRDefault="00285F19" w:rsidP="00364C8A">
      <w:pPr>
        <w:pStyle w:val="BodyText"/>
      </w:pPr>
      <w:r w:rsidRPr="001D68B0">
        <w:t xml:space="preserve">This </w:t>
      </w:r>
      <w:r>
        <w:t xml:space="preserve">exploratory </w:t>
      </w:r>
      <w:r w:rsidRPr="001D68B0">
        <w:t xml:space="preserve">research paper begins by providing </w:t>
      </w:r>
      <w:r>
        <w:t>an overview of the 457 program</w:t>
      </w:r>
      <w:r w:rsidRPr="001D68B0">
        <w:t xml:space="preserve">, and its evolution over the years. This is followed by an outline </w:t>
      </w:r>
      <w:r>
        <w:t>of the data linking methodology</w:t>
      </w:r>
      <w:r w:rsidRPr="001D68B0">
        <w:t xml:space="preserve">. Salient recent statistical characteristics of the 457 sponsoring businesses relative to all industry benchmarks are presented next. </w:t>
      </w:r>
      <w:r w:rsidRPr="001D68B0">
        <w:lastRenderedPageBreak/>
        <w:t>This is followed by the results from the matching estimation</w:t>
      </w:r>
      <w:r>
        <w:t xml:space="preserve"> which establishes a synthetic counterfactual to assess performance differentials,</w:t>
      </w:r>
      <w:r w:rsidRPr="001D68B0">
        <w:t xml:space="preserve"> </w:t>
      </w:r>
      <w:r>
        <w:t xml:space="preserve">followed by a brief discussion and some </w:t>
      </w:r>
      <w:r w:rsidRPr="001D68B0">
        <w:t>concluding remarks.</w:t>
      </w:r>
    </w:p>
    <w:p w14:paraId="0DE35F88" w14:textId="77777777" w:rsidR="00285F19" w:rsidRDefault="00285F19" w:rsidP="00364C8A">
      <w:pPr>
        <w:pStyle w:val="Heading1"/>
        <w:numPr>
          <w:ilvl w:val="0"/>
          <w:numId w:val="9"/>
        </w:numPr>
      </w:pPr>
      <w:r>
        <w:t>The 457 program</w:t>
      </w:r>
    </w:p>
    <w:p w14:paraId="66D4A5BE" w14:textId="4CB3D668" w:rsidR="00285F19" w:rsidRDefault="00285F19" w:rsidP="00364C8A">
      <w:pPr>
        <w:pStyle w:val="BodyText"/>
      </w:pPr>
      <w:r>
        <w:t>Prior to discussion of the data and results</w:t>
      </w:r>
      <w:r w:rsidR="00A70018">
        <w:t>,</w:t>
      </w:r>
      <w:r>
        <w:t xml:space="preserve"> some context is provided. This section draws on the work of Campbell and Tham (2014)</w:t>
      </w:r>
      <w:r w:rsidRPr="00110A66">
        <w:rPr>
          <w:vertAlign w:val="superscript"/>
        </w:rPr>
        <w:footnoteReference w:id="3"/>
      </w:r>
      <w:r>
        <w:t xml:space="preserve"> who provided a comprehensive overview of the 457 program, as well as Larsen (2013)</w:t>
      </w:r>
      <w:r w:rsidRPr="00420D9B">
        <w:rPr>
          <w:vertAlign w:val="superscript"/>
        </w:rPr>
        <w:footnoteReference w:id="4"/>
      </w:r>
      <w:r w:rsidRPr="00420D9B">
        <w:rPr>
          <w:vertAlign w:val="superscript"/>
        </w:rPr>
        <w:t xml:space="preserve"> </w:t>
      </w:r>
      <w:r>
        <w:t>and DIBP (2017).</w:t>
      </w:r>
      <w:r w:rsidRPr="00420D9B">
        <w:rPr>
          <w:vertAlign w:val="superscript"/>
        </w:rPr>
        <w:footnoteReference w:id="5"/>
      </w:r>
      <w:r w:rsidR="00B07217">
        <w:t xml:space="preserve"> As pointed out by</w:t>
      </w:r>
      <w:r>
        <w:t xml:space="preserve"> Campbell and Tham (2014) the genesis of the 457 program can be traced back to the 1995 inquiry report into the </w:t>
      </w:r>
      <w:r w:rsidRPr="00147D3F">
        <w:t>Temporary Entry of Business People and Highly Skilled Specialists</w:t>
      </w:r>
      <w:r>
        <w:t>.</w:t>
      </w:r>
      <w:r w:rsidRPr="00B07217">
        <w:rPr>
          <w:vertAlign w:val="superscript"/>
        </w:rPr>
        <w:footnoteReference w:id="6"/>
      </w:r>
      <w:r>
        <w:t xml:space="preserve"> The report which is </w:t>
      </w:r>
      <w:r w:rsidR="000D030B">
        <w:t>colloquially</w:t>
      </w:r>
      <w:r>
        <w:t xml:space="preserve"> referred to as the ‘Roach Report’ — named after Neville Roach, the chair of the inquiry — recommended a streamlining of migration procedures particularly those related to temporary skilled migration in order to address skills shortages and maintain the international competitivenes</w:t>
      </w:r>
      <w:r w:rsidR="000D030B">
        <w:t xml:space="preserve">s of Australian businesses. </w:t>
      </w:r>
      <w:r>
        <w:t>The incoming Coalition government adopted the recommendations of the Roach Report and introduced the 457 visa program in 1996.</w:t>
      </w:r>
    </w:p>
    <w:p w14:paraId="06E752DA" w14:textId="57CB0310" w:rsidR="00285F19" w:rsidRDefault="00285F19" w:rsidP="00364C8A">
      <w:pPr>
        <w:pStyle w:val="BodyText"/>
      </w:pPr>
      <w:r>
        <w:t>The reliance by firms on temporary skilled migrants is not an intrinsically Australian phenomena, other advanced economies have also made use of schemes to source skilled labour from overseas. For example, the most notable of these is the H1-B visa in the United States which has been a mainstay of the US higher education, software development and IT ind</w:t>
      </w:r>
      <w:r w:rsidR="00F53D90">
        <w:t xml:space="preserve">ustries. The United Kingdom has </w:t>
      </w:r>
      <w:r>
        <w:t>made use of tiered work permit programs, Canadian employers can also temporarily sponsor foreign workers as part of the global talent stream. While the mechanics of each of these visas and programs vary according to the context of each country, they are similarly motivated to the 457 program in Australia, requiring an eligible employer to sponsor a migrant worker based on a set criteria.</w:t>
      </w:r>
    </w:p>
    <w:p w14:paraId="73622D17" w14:textId="2F9FC1DC" w:rsidR="00285F19" w:rsidRDefault="00285F19" w:rsidP="00364C8A">
      <w:pPr>
        <w:pStyle w:val="BodyText"/>
      </w:pPr>
      <w:r>
        <w:t xml:space="preserve">Given its twenty year history the 457 visa program </w:t>
      </w:r>
      <w:r w:rsidR="00B9059F">
        <w:t>went</w:t>
      </w:r>
      <w:r>
        <w:t xml:space="preserve"> through a number of notable revisions that were implemented in response to evolving labour market trends and economic conditions. A comprehensive review or discussion of the evolution of the 457 program is beyond the scope of this paper. However, the salient features and notable legislative changes to the program, as well as recent summary statistics from the program are presented in this section. </w:t>
      </w:r>
    </w:p>
    <w:p w14:paraId="1868B887" w14:textId="78F9B9A1" w:rsidR="00285F19" w:rsidRDefault="00285F19" w:rsidP="00364C8A">
      <w:pPr>
        <w:pStyle w:val="BodyText"/>
      </w:pPr>
      <w:r>
        <w:t xml:space="preserve">Despite revisions over the last twenty years the core aspects of the program remained broadly the same. The 457 program was an uncapped, demand (employer) driven program. To make use of the program Australian businesses </w:t>
      </w:r>
      <w:r>
        <w:lastRenderedPageBreak/>
        <w:t>had to register with</w:t>
      </w:r>
      <w:r w:rsidR="006169F8">
        <w:t xml:space="preserve"> the immigration department, </w:t>
      </w:r>
      <w:r>
        <w:t>be approved and maintain their status as a sponsoring business. They could then lodge applications to sponsor overseas workers with skillsets that were deemed to be in short supply in the Australian labour market. In the final stage of the sponsorship process the overseas worker would lodge a linked visa application to the immigration department.</w:t>
      </w:r>
    </w:p>
    <w:p w14:paraId="047BDF8C" w14:textId="7F5DBCDE" w:rsidR="00285F19" w:rsidRDefault="00285F19" w:rsidP="00364C8A">
      <w:pPr>
        <w:pStyle w:val="BodyText"/>
      </w:pPr>
      <w:r>
        <w:t>Sponsoring businesses were required to demonstrate that employment of overseas workers on 457 visas would be beneficial to Australia by resulting in the creation or maintenance of employment for local workers, and/or the introduction of new or improved technologies or business skills. The program required a commitment from sponsoring employers in terms of training local employees particularly by leveraging off the skills of sponsored overseas workers to reduce the prevalence of skill shortages and reliance on migrant labour in the long run. The program also stipulated that the number of 457 sponsored workers by a business should not exceed a “reasonable proportion”</w:t>
      </w:r>
      <w:r>
        <w:rPr>
          <w:rStyle w:val="FootnoteReference"/>
        </w:rPr>
        <w:footnoteReference w:id="7"/>
      </w:r>
      <w:r>
        <w:t xml:space="preserve"> of the workforce of a sponsoring business in order to minimise crowding out of suitable local workers. Additionally</w:t>
      </w:r>
      <w:r w:rsidR="00C27B67">
        <w:t>,</w:t>
      </w:r>
      <w:r>
        <w:t xml:space="preserve"> sponsoring employers were obligated to offer the same broad employment and wage conditions to sponsored workers as their local workers.</w:t>
      </w:r>
    </w:p>
    <w:p w14:paraId="1F3BC2CC" w14:textId="4BF17196" w:rsidR="00285F19" w:rsidRDefault="00285F19" w:rsidP="00364C8A">
      <w:pPr>
        <w:pStyle w:val="BodyText"/>
      </w:pPr>
      <w:r>
        <w:t>457 visas could be granted for a maximum of four years with the possibility of renewal. Visa holders were able to</w:t>
      </w:r>
      <w:r w:rsidR="00147D3F">
        <w:t>:</w:t>
      </w:r>
      <w:r>
        <w:t xml:space="preserve"> </w:t>
      </w:r>
    </w:p>
    <w:p w14:paraId="52ACC3C8" w14:textId="2687E677" w:rsidR="00285F19" w:rsidRDefault="00285F19" w:rsidP="00D542AF">
      <w:pPr>
        <w:pStyle w:val="ListBullet"/>
        <w:ind w:left="426"/>
      </w:pPr>
      <w:r>
        <w:t xml:space="preserve">work in Australia for an approved sponsor for the </w:t>
      </w:r>
      <w:r w:rsidR="00AA1AF9">
        <w:t>duration</w:t>
      </w:r>
      <w:r>
        <w:t xml:space="preserve"> of their visa </w:t>
      </w:r>
    </w:p>
    <w:p w14:paraId="48DFA7EC" w14:textId="77777777" w:rsidR="00285F19" w:rsidRDefault="00285F19" w:rsidP="00D542AF">
      <w:pPr>
        <w:pStyle w:val="ListBullet"/>
        <w:ind w:left="426"/>
      </w:pPr>
      <w:r>
        <w:t>bring their family to work or study in Australia</w:t>
      </w:r>
    </w:p>
    <w:p w14:paraId="4739E186" w14:textId="77777777" w:rsidR="00285F19" w:rsidRDefault="00285F19" w:rsidP="00D542AF">
      <w:pPr>
        <w:pStyle w:val="ListBullet"/>
        <w:ind w:left="426"/>
      </w:pPr>
      <w:r>
        <w:t>travel in and out of Australia as often as they liked</w:t>
      </w:r>
    </w:p>
    <w:p w14:paraId="128DB4E3" w14:textId="048624F2" w:rsidR="00285F19" w:rsidRDefault="00285F19" w:rsidP="00D542AF">
      <w:pPr>
        <w:pStyle w:val="ListBullet"/>
        <w:ind w:left="426"/>
      </w:pPr>
      <w:r>
        <w:t>apply for permanent residency (PR) at a later stage as long</w:t>
      </w:r>
      <w:r w:rsidR="009927A3">
        <w:t xml:space="preserve"> as</w:t>
      </w:r>
      <w:r>
        <w:t xml:space="preserve"> they satisfied the pre-requisites for PR.</w:t>
      </w:r>
    </w:p>
    <w:p w14:paraId="61612ED2" w14:textId="75ACB627" w:rsidR="00285F19" w:rsidRDefault="00285F19" w:rsidP="00364C8A">
      <w:pPr>
        <w:pStyle w:val="BodyText"/>
      </w:pPr>
      <w:r>
        <w:t>Additionally visa holders had to maintain their employment with their sponsor or find employment with another approved sponsor within 60 days of ceasing employment with their initial sponsor. They were also required to obtain and maintain licences, registrations and accreditations necessary for their nominated occupation.</w:t>
      </w:r>
    </w:p>
    <w:p w14:paraId="684E1DA1" w14:textId="1218CC7F" w:rsidR="00285F19" w:rsidRDefault="00285F19" w:rsidP="00364C8A">
      <w:pPr>
        <w:pStyle w:val="BodyText"/>
      </w:pPr>
      <w:r>
        <w:t xml:space="preserve">Notable revisions to the 457 program occurred in 2001 and 2003 which collapsed the business sponsor categories from two to one and relaxed the sponsorship requirements for regional areas. Later revisions, notably in 2007 and 2009 rolled back some of the earlier changes by strengthening the obligations of sponsoring employers in terms of compliance, particularly towards their sponsored employees. </w:t>
      </w:r>
      <w:r w:rsidR="00B41006">
        <w:t xml:space="preserve">Notably it was required that </w:t>
      </w:r>
      <w:r>
        <w:t xml:space="preserve">a nominated sponsored position for an overseas worker could not be approved unless the terms of employment and employment conditions offered to the sponsored employee were at least as favourable as those provided to local workers. The revisions also guaranteed a base rate of pay for 457 migrants that needed to be greater than an indexed ‘temporary skilled migrant income threshold (TSMIT)’. The latter revisions also rolled back regional concessions and imposed English language requirements as well as introduced formal skills </w:t>
      </w:r>
      <w:r>
        <w:lastRenderedPageBreak/>
        <w:t>assessments for certain (but not all) occupations for which overseas skilled workers could be sponsored.</w:t>
      </w:r>
    </w:p>
    <w:p w14:paraId="17D3A68C" w14:textId="64103D2D" w:rsidR="00285F19" w:rsidRPr="00147D3F" w:rsidRDefault="00285F19" w:rsidP="00364C8A">
      <w:pPr>
        <w:pStyle w:val="BodyText"/>
      </w:pPr>
      <w:r>
        <w:t xml:space="preserve">As shown in Figure 1, in recent years the intake of 457 migrants exhibited cyclicality, with the use of the program waning in the wake of the Global Financial Crisis (GFC) and picking up particularly during the mining boom years. Despite trending downwards since the winding down of the resources boom, in recent years, 457 visas grants outnumbered permanent </w:t>
      </w:r>
      <w:r w:rsidR="000737AA">
        <w:t>visa grants</w:t>
      </w:r>
      <w:r>
        <w:t xml:space="preserve"> by a ratio of three to one,</w:t>
      </w:r>
      <w:r w:rsidRPr="000737AA">
        <w:rPr>
          <w:vertAlign w:val="superscript"/>
        </w:rPr>
        <w:footnoteReference w:id="8"/>
      </w:r>
      <w:r w:rsidRPr="000737AA">
        <w:rPr>
          <w:vertAlign w:val="superscript"/>
        </w:rPr>
        <w:t xml:space="preserve"> </w:t>
      </w:r>
      <w:r>
        <w:t>however when the inflows and outflows of 457 migrants (the stock) is taken into consideration, 457 migrant stocks have been stable in recent years.</w:t>
      </w:r>
      <w:r w:rsidRPr="009E68A2">
        <w:rPr>
          <w:vertAlign w:val="superscript"/>
        </w:rPr>
        <w:footnoteReference w:id="9"/>
      </w:r>
    </w:p>
    <w:p w14:paraId="2DA90268" w14:textId="77777777" w:rsidR="00285F19" w:rsidRDefault="00285F19" w:rsidP="00285F19">
      <w:pPr>
        <w:pStyle w:val="Caption"/>
      </w:pPr>
      <w:r>
        <w:t>Figure 1: 457 visa grants by financial year</w:t>
      </w:r>
    </w:p>
    <w:p w14:paraId="47CE1670" w14:textId="77777777" w:rsidR="00285F19" w:rsidRPr="003449B9" w:rsidRDefault="00285F19" w:rsidP="00285F19">
      <w:pPr>
        <w:pStyle w:val="Placeholder"/>
      </w:pPr>
      <w:r>
        <w:rPr>
          <w:noProof/>
          <w:lang w:eastAsia="en-AU"/>
        </w:rPr>
        <w:drawing>
          <wp:inline distT="0" distB="0" distL="0" distR="0" wp14:anchorId="2437D580" wp14:editId="0D0667D8">
            <wp:extent cx="4377690" cy="2926080"/>
            <wp:effectExtent l="0" t="0" r="3810" b="7620"/>
            <wp:docPr id="1" name="Chart 1" descr="This chart shows information on how primary and secondary 457 visa grants have tracked over time from 2005-06 to 2016-17. Visa grants peaked in 2011-12 and then subsequently declined." title="Figure 1: 457 Visa grants by financial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3FAB8A" w14:textId="77777777" w:rsidR="00285F19" w:rsidRDefault="00285F19" w:rsidP="00285F19">
      <w:pPr>
        <w:pStyle w:val="Source"/>
      </w:pPr>
      <w:r>
        <w:t xml:space="preserve">Source: DIBP (2017) </w:t>
      </w:r>
      <w:r w:rsidRPr="006E0A3D">
        <w:rPr>
          <w:i/>
        </w:rPr>
        <w:t>Subclass 457 visas granted pivot table</w:t>
      </w:r>
      <w:r>
        <w:t>. Department of Immigration and Border Protection, Canberra</w:t>
      </w:r>
    </w:p>
    <w:p w14:paraId="4DA4B9B4" w14:textId="214209E4" w:rsidR="00285F19" w:rsidRDefault="00285F19" w:rsidP="00364C8A">
      <w:pPr>
        <w:pStyle w:val="BodyText"/>
      </w:pPr>
      <w:r w:rsidRPr="001B6C23">
        <w:t xml:space="preserve">In terms of </w:t>
      </w:r>
      <w:r>
        <w:t>the origin of 457 sponsored migrants, the program attracted migrants from a diverse range of nationalities although as shown in Figure 2 in recent years, India</w:t>
      </w:r>
      <w:r w:rsidR="00806251">
        <w:t>, the UK and China were</w:t>
      </w:r>
      <w:r>
        <w:t xml:space="preserve"> the three largest sources of temporary skilled migrants, accounting for 47 per cent of all grants in 2016-17. With temporary migrants from India surpassing those from the UK in recent years and Chinese migrants maintaining a relatively consistent trend.</w:t>
      </w:r>
    </w:p>
    <w:p w14:paraId="43750FCC" w14:textId="77777777" w:rsidR="00285F19" w:rsidRDefault="00285F19" w:rsidP="00285F19">
      <w:pPr>
        <w:pStyle w:val="Caption"/>
      </w:pPr>
      <w:r>
        <w:lastRenderedPageBreak/>
        <w:t>Figure 2: 457 primary visa grants by financial year – top three source countries</w:t>
      </w:r>
    </w:p>
    <w:tbl>
      <w:tblPr>
        <w:tblStyle w:val="OCETable"/>
        <w:tblW w:w="4940" w:type="pct"/>
        <w:tblInd w:w="108" w:type="dxa"/>
        <w:tblLayout w:type="fixed"/>
        <w:tblLook w:val="04A0" w:firstRow="1" w:lastRow="0" w:firstColumn="1" w:lastColumn="0" w:noHBand="0" w:noVBand="1"/>
        <w:tblCaption w:val="This table contains Figure 2: 457 visa grants by financial year"/>
        <w:tblDescription w:val="This table contains information about the top three source counties for 457 visas granted. The top three countries in recent years are India, the United Kingdom, and China."/>
      </w:tblPr>
      <w:tblGrid>
        <w:gridCol w:w="6839"/>
      </w:tblGrid>
      <w:tr w:rsidR="00285F19" w14:paraId="00985929" w14:textId="77777777" w:rsidTr="006129E3">
        <w:trPr>
          <w:cnfStyle w:val="100000000000" w:firstRow="1" w:lastRow="0" w:firstColumn="0" w:lastColumn="0" w:oddVBand="0" w:evenVBand="0" w:oddHBand="0" w:evenHBand="0" w:firstRowFirstColumn="0" w:firstRowLastColumn="0" w:lastRowFirstColumn="0" w:lastRowLastColumn="0"/>
          <w:tblHeader/>
        </w:trPr>
        <w:tc>
          <w:tcPr>
            <w:tcW w:w="6811" w:type="dxa"/>
            <w:shd w:val="clear" w:color="auto" w:fill="auto"/>
          </w:tcPr>
          <w:p w14:paraId="7CEBE40A" w14:textId="77777777" w:rsidR="00285F19" w:rsidRDefault="00285F19" w:rsidP="006129E3">
            <w:pPr>
              <w:pStyle w:val="PlaceholderWide"/>
              <w:spacing w:before="240"/>
            </w:pPr>
            <w:r>
              <w:rPr>
                <w:noProof/>
                <w:lang w:eastAsia="en-AU"/>
              </w:rPr>
              <w:drawing>
                <wp:inline distT="0" distB="0" distL="0" distR="0" wp14:anchorId="49CA82DD" wp14:editId="790B375E">
                  <wp:extent cx="4187825" cy="2765425"/>
                  <wp:effectExtent l="0" t="0" r="3175" b="0"/>
                  <wp:docPr id="2" name="Chart 2" descr="This charts shows  the top three source countries for 457 visa grants and how the grants have trended from 2005-06 to 2016-17. The top three source countries are India, the United Kingdom and China. " title="Figure 2: 457 primary visa grants by financial year – top three source countries"/>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6FA12161" w14:textId="77777777" w:rsidR="00285F19" w:rsidRDefault="00285F19" w:rsidP="00285F19">
      <w:pPr>
        <w:pStyle w:val="Source"/>
      </w:pPr>
      <w:r>
        <w:t xml:space="preserve">Source: DIBP (2017) </w:t>
      </w:r>
      <w:r w:rsidRPr="006E0A3D">
        <w:rPr>
          <w:i/>
        </w:rPr>
        <w:t>Subclass 457 visas granted pivot table</w:t>
      </w:r>
      <w:r>
        <w:t>. Department of Immigration and Border Protection, Canberra</w:t>
      </w:r>
    </w:p>
    <w:p w14:paraId="138A7BE1" w14:textId="5AEA6738" w:rsidR="00285F19" w:rsidRDefault="00285F19" w:rsidP="00364C8A">
      <w:pPr>
        <w:pStyle w:val="BodyText"/>
      </w:pPr>
      <w:r>
        <w:t xml:space="preserve">All Australian </w:t>
      </w:r>
      <w:r w:rsidR="00602C85">
        <w:t>industries</w:t>
      </w:r>
      <w:r>
        <w:t xml:space="preserve"> made use of the 457 program although not to the same extent and with varying intensity of use. Table 1 reports the top 10 sponsoring industries for 2016-17. 457 migrants sponsored by the Mining industry peaked in 2011-12 with approximately 6,400 primary grants (9.4 per cent of total annual 457 grants) and with the winding down in mining investment subsequently trend</w:t>
      </w:r>
      <w:r w:rsidR="00DD18BE">
        <w:t>ed</w:t>
      </w:r>
      <w:r>
        <w:t xml:space="preserve"> downwards to a relatively lower 1,000 grants in 2016-17 (2.2 per cent of total annual 457 grants).</w:t>
      </w:r>
    </w:p>
    <w:p w14:paraId="42BF2C7F" w14:textId="77777777" w:rsidR="00285F19" w:rsidRDefault="00285F19" w:rsidP="00285F19">
      <w:pPr>
        <w:pStyle w:val="Caption"/>
      </w:pPr>
      <w:r>
        <w:t>Table 1: 457 visa primary grants by top 10 sponsoring industries, 2016-17</w:t>
      </w:r>
    </w:p>
    <w:tbl>
      <w:tblPr>
        <w:tblStyle w:val="OCETable"/>
        <w:tblW w:w="5000" w:type="pct"/>
        <w:tblLook w:val="04A0" w:firstRow="1" w:lastRow="0" w:firstColumn="1" w:lastColumn="0" w:noHBand="0" w:noVBand="1"/>
        <w:tblCaption w:val="Table 1: 457 primary visa grants by top 10 sponsoring industries"/>
        <w:tblDescription w:val="This table contains information about the top 10 Australian industries that sponsored temporary skilled migrants on 457 visas."/>
      </w:tblPr>
      <w:tblGrid>
        <w:gridCol w:w="4372"/>
        <w:gridCol w:w="2550"/>
      </w:tblGrid>
      <w:tr w:rsidR="00285F19" w:rsidRPr="001F0985" w14:paraId="44752826" w14:textId="77777777" w:rsidTr="006129E3">
        <w:trPr>
          <w:cnfStyle w:val="100000000000" w:firstRow="1" w:lastRow="0" w:firstColumn="0" w:lastColumn="0" w:oddVBand="0" w:evenVBand="0" w:oddHBand="0" w:evenHBand="0" w:firstRowFirstColumn="0" w:firstRowLastColumn="0" w:lastRowFirstColumn="0" w:lastRowLastColumn="0"/>
          <w:trHeight w:val="300"/>
          <w:tblHeader/>
        </w:trPr>
        <w:tc>
          <w:tcPr>
            <w:tcW w:w="3158" w:type="pct"/>
            <w:noWrap/>
            <w:hideMark/>
          </w:tcPr>
          <w:p w14:paraId="3B1AE219" w14:textId="77777777" w:rsidR="00285F19" w:rsidRPr="001F0985" w:rsidRDefault="00285F19" w:rsidP="006129E3">
            <w:pPr>
              <w:pStyle w:val="Tableheadertext"/>
              <w:rPr>
                <w:lang w:eastAsia="en-AU"/>
              </w:rPr>
            </w:pPr>
          </w:p>
        </w:tc>
        <w:tc>
          <w:tcPr>
            <w:tcW w:w="1842" w:type="pct"/>
            <w:noWrap/>
            <w:hideMark/>
          </w:tcPr>
          <w:p w14:paraId="1160AA62" w14:textId="77777777" w:rsidR="00285F19" w:rsidRPr="00F551D5" w:rsidRDefault="00285F19" w:rsidP="00F551D5">
            <w:pPr>
              <w:pStyle w:val="Tableheadertext"/>
              <w:jc w:val="right"/>
            </w:pPr>
            <w:r w:rsidRPr="00F551D5">
              <w:t>Per cent of 2016-17 grants</w:t>
            </w:r>
          </w:p>
        </w:tc>
      </w:tr>
      <w:tr w:rsidR="00285F19" w:rsidRPr="001F0985" w14:paraId="38236D4E"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3158" w:type="pct"/>
            <w:noWrap/>
            <w:hideMark/>
          </w:tcPr>
          <w:p w14:paraId="5D921CA2" w14:textId="77777777" w:rsidR="00285F19" w:rsidRPr="00F551D5" w:rsidRDefault="00285F19" w:rsidP="00F551D5">
            <w:pPr>
              <w:pStyle w:val="Tabletext"/>
              <w:rPr>
                <w:lang w:eastAsia="en-AU"/>
              </w:rPr>
            </w:pPr>
            <w:r w:rsidRPr="00F551D5">
              <w:rPr>
                <w:lang w:eastAsia="en-AU"/>
              </w:rPr>
              <w:t>Other Services</w:t>
            </w:r>
          </w:p>
        </w:tc>
        <w:tc>
          <w:tcPr>
            <w:tcW w:w="1842" w:type="pct"/>
            <w:noWrap/>
            <w:hideMark/>
          </w:tcPr>
          <w:p w14:paraId="49616318" w14:textId="77777777" w:rsidR="00285F19" w:rsidRPr="00F551D5" w:rsidRDefault="00285F19" w:rsidP="00F551D5">
            <w:pPr>
              <w:pStyle w:val="Tabletext"/>
              <w:jc w:val="right"/>
              <w:rPr>
                <w:lang w:eastAsia="en-AU"/>
              </w:rPr>
            </w:pPr>
            <w:r w:rsidRPr="00F551D5">
              <w:rPr>
                <w:lang w:eastAsia="en-AU"/>
              </w:rPr>
              <w:t>17.3</w:t>
            </w:r>
          </w:p>
        </w:tc>
      </w:tr>
      <w:tr w:rsidR="00285F19" w:rsidRPr="001F0985" w14:paraId="731AAD87"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3158" w:type="pct"/>
            <w:noWrap/>
            <w:hideMark/>
          </w:tcPr>
          <w:p w14:paraId="42251E28" w14:textId="77777777" w:rsidR="00285F19" w:rsidRPr="00F551D5" w:rsidRDefault="00285F19" w:rsidP="00F551D5">
            <w:pPr>
              <w:pStyle w:val="Tabletext"/>
              <w:rPr>
                <w:lang w:eastAsia="en-AU"/>
              </w:rPr>
            </w:pPr>
            <w:r w:rsidRPr="00F551D5">
              <w:rPr>
                <w:lang w:eastAsia="en-AU"/>
              </w:rPr>
              <w:t>Professional, Scientific and Technical</w:t>
            </w:r>
          </w:p>
        </w:tc>
        <w:tc>
          <w:tcPr>
            <w:tcW w:w="1842" w:type="pct"/>
            <w:noWrap/>
            <w:hideMark/>
          </w:tcPr>
          <w:p w14:paraId="2502AFB0" w14:textId="77777777" w:rsidR="00285F19" w:rsidRPr="00F551D5" w:rsidRDefault="00285F19" w:rsidP="00F551D5">
            <w:pPr>
              <w:pStyle w:val="Tabletext"/>
              <w:jc w:val="right"/>
              <w:rPr>
                <w:lang w:eastAsia="en-AU"/>
              </w:rPr>
            </w:pPr>
            <w:r w:rsidRPr="00F551D5">
              <w:rPr>
                <w:lang w:eastAsia="en-AU"/>
              </w:rPr>
              <w:t>13.2</w:t>
            </w:r>
          </w:p>
        </w:tc>
      </w:tr>
      <w:tr w:rsidR="00285F19" w:rsidRPr="001F0985" w14:paraId="4267EECE"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3158" w:type="pct"/>
            <w:noWrap/>
            <w:hideMark/>
          </w:tcPr>
          <w:p w14:paraId="618015E4" w14:textId="77777777" w:rsidR="00285F19" w:rsidRPr="00F551D5" w:rsidRDefault="00285F19" w:rsidP="00F551D5">
            <w:pPr>
              <w:pStyle w:val="Tabletext"/>
              <w:rPr>
                <w:lang w:eastAsia="en-AU"/>
              </w:rPr>
            </w:pPr>
            <w:r w:rsidRPr="00F551D5">
              <w:rPr>
                <w:lang w:eastAsia="en-AU"/>
              </w:rPr>
              <w:t>Information Media and Telecommunications</w:t>
            </w:r>
          </w:p>
        </w:tc>
        <w:tc>
          <w:tcPr>
            <w:tcW w:w="1842" w:type="pct"/>
            <w:noWrap/>
            <w:hideMark/>
          </w:tcPr>
          <w:p w14:paraId="09D4C3CB" w14:textId="77777777" w:rsidR="00285F19" w:rsidRPr="00F551D5" w:rsidRDefault="00285F19" w:rsidP="00F551D5">
            <w:pPr>
              <w:pStyle w:val="Tabletext"/>
              <w:jc w:val="right"/>
              <w:rPr>
                <w:lang w:eastAsia="en-AU"/>
              </w:rPr>
            </w:pPr>
            <w:r w:rsidRPr="00F551D5">
              <w:rPr>
                <w:lang w:eastAsia="en-AU"/>
              </w:rPr>
              <w:t>12.9</w:t>
            </w:r>
          </w:p>
        </w:tc>
      </w:tr>
      <w:tr w:rsidR="00285F19" w:rsidRPr="001F0985" w14:paraId="31098EA4"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3158" w:type="pct"/>
            <w:noWrap/>
            <w:hideMark/>
          </w:tcPr>
          <w:p w14:paraId="2841272F" w14:textId="77777777" w:rsidR="00285F19" w:rsidRPr="00F551D5" w:rsidRDefault="00285F19" w:rsidP="00F551D5">
            <w:pPr>
              <w:pStyle w:val="Tabletext"/>
              <w:rPr>
                <w:lang w:eastAsia="en-AU"/>
              </w:rPr>
            </w:pPr>
            <w:r w:rsidRPr="00F551D5">
              <w:rPr>
                <w:lang w:eastAsia="en-AU"/>
              </w:rPr>
              <w:t>Accommodation and Food Services</w:t>
            </w:r>
          </w:p>
        </w:tc>
        <w:tc>
          <w:tcPr>
            <w:tcW w:w="1842" w:type="pct"/>
            <w:noWrap/>
            <w:hideMark/>
          </w:tcPr>
          <w:p w14:paraId="66890173" w14:textId="77777777" w:rsidR="00285F19" w:rsidRPr="00F551D5" w:rsidRDefault="00285F19" w:rsidP="00F551D5">
            <w:pPr>
              <w:pStyle w:val="Tabletext"/>
              <w:jc w:val="right"/>
              <w:rPr>
                <w:lang w:eastAsia="en-AU"/>
              </w:rPr>
            </w:pPr>
            <w:r w:rsidRPr="00F551D5">
              <w:rPr>
                <w:lang w:eastAsia="en-AU"/>
              </w:rPr>
              <w:t>11</w:t>
            </w:r>
          </w:p>
        </w:tc>
      </w:tr>
      <w:tr w:rsidR="00285F19" w:rsidRPr="001F0985" w14:paraId="5E9F1485"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3158" w:type="pct"/>
            <w:noWrap/>
            <w:hideMark/>
          </w:tcPr>
          <w:p w14:paraId="56B1F8B4" w14:textId="77777777" w:rsidR="00285F19" w:rsidRPr="00F551D5" w:rsidRDefault="00285F19" w:rsidP="00F551D5">
            <w:pPr>
              <w:pStyle w:val="Tabletext"/>
              <w:rPr>
                <w:lang w:eastAsia="en-AU"/>
              </w:rPr>
            </w:pPr>
            <w:r w:rsidRPr="00F551D5">
              <w:rPr>
                <w:lang w:eastAsia="en-AU"/>
              </w:rPr>
              <w:t>Health Care and Social Assistance</w:t>
            </w:r>
          </w:p>
        </w:tc>
        <w:tc>
          <w:tcPr>
            <w:tcW w:w="1842" w:type="pct"/>
            <w:noWrap/>
            <w:hideMark/>
          </w:tcPr>
          <w:p w14:paraId="049EE40A" w14:textId="77777777" w:rsidR="00285F19" w:rsidRPr="00F551D5" w:rsidRDefault="00285F19" w:rsidP="00F551D5">
            <w:pPr>
              <w:pStyle w:val="Tabletext"/>
              <w:jc w:val="right"/>
              <w:rPr>
                <w:lang w:eastAsia="en-AU"/>
              </w:rPr>
            </w:pPr>
            <w:r w:rsidRPr="00F551D5">
              <w:rPr>
                <w:lang w:eastAsia="en-AU"/>
              </w:rPr>
              <w:t>10.6</w:t>
            </w:r>
          </w:p>
        </w:tc>
      </w:tr>
      <w:tr w:rsidR="00285F19" w:rsidRPr="001F0985" w14:paraId="67465371"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3158" w:type="pct"/>
            <w:noWrap/>
            <w:hideMark/>
          </w:tcPr>
          <w:p w14:paraId="17E317B2" w14:textId="77777777" w:rsidR="00285F19" w:rsidRPr="00F551D5" w:rsidRDefault="00285F19" w:rsidP="00F551D5">
            <w:pPr>
              <w:pStyle w:val="Tabletext"/>
              <w:rPr>
                <w:lang w:eastAsia="en-AU"/>
              </w:rPr>
            </w:pPr>
            <w:r w:rsidRPr="00F551D5">
              <w:rPr>
                <w:lang w:eastAsia="en-AU"/>
              </w:rPr>
              <w:t>Construction</w:t>
            </w:r>
          </w:p>
        </w:tc>
        <w:tc>
          <w:tcPr>
            <w:tcW w:w="1842" w:type="pct"/>
            <w:noWrap/>
            <w:hideMark/>
          </w:tcPr>
          <w:p w14:paraId="7E10D849" w14:textId="77777777" w:rsidR="00285F19" w:rsidRPr="00F551D5" w:rsidRDefault="00285F19" w:rsidP="00F551D5">
            <w:pPr>
              <w:pStyle w:val="Tabletext"/>
              <w:jc w:val="right"/>
              <w:rPr>
                <w:lang w:eastAsia="en-AU"/>
              </w:rPr>
            </w:pPr>
            <w:r w:rsidRPr="00F551D5">
              <w:rPr>
                <w:lang w:eastAsia="en-AU"/>
              </w:rPr>
              <w:t>7.3</w:t>
            </w:r>
          </w:p>
        </w:tc>
      </w:tr>
      <w:tr w:rsidR="00285F19" w:rsidRPr="001F0985" w14:paraId="1E763F85"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3158" w:type="pct"/>
            <w:noWrap/>
            <w:hideMark/>
          </w:tcPr>
          <w:p w14:paraId="0FFBF7B0" w14:textId="77777777" w:rsidR="00285F19" w:rsidRPr="00F551D5" w:rsidRDefault="00285F19" w:rsidP="00F551D5">
            <w:pPr>
              <w:pStyle w:val="Tabletext"/>
              <w:rPr>
                <w:lang w:eastAsia="en-AU"/>
              </w:rPr>
            </w:pPr>
            <w:r w:rsidRPr="00F551D5">
              <w:rPr>
                <w:lang w:eastAsia="en-AU"/>
              </w:rPr>
              <w:t>Education and Training</w:t>
            </w:r>
          </w:p>
        </w:tc>
        <w:tc>
          <w:tcPr>
            <w:tcW w:w="1842" w:type="pct"/>
            <w:noWrap/>
            <w:hideMark/>
          </w:tcPr>
          <w:p w14:paraId="5059C20D" w14:textId="77777777" w:rsidR="00285F19" w:rsidRPr="00F551D5" w:rsidRDefault="00285F19" w:rsidP="00F551D5">
            <w:pPr>
              <w:pStyle w:val="Tabletext"/>
              <w:jc w:val="right"/>
              <w:rPr>
                <w:lang w:eastAsia="en-AU"/>
              </w:rPr>
            </w:pPr>
            <w:r w:rsidRPr="00F551D5">
              <w:rPr>
                <w:lang w:eastAsia="en-AU"/>
              </w:rPr>
              <w:t>5.4</w:t>
            </w:r>
          </w:p>
        </w:tc>
      </w:tr>
      <w:tr w:rsidR="00285F19" w:rsidRPr="001F0985" w14:paraId="0847A95B"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3158" w:type="pct"/>
            <w:noWrap/>
            <w:hideMark/>
          </w:tcPr>
          <w:p w14:paraId="396FA024" w14:textId="77777777" w:rsidR="00285F19" w:rsidRPr="00F551D5" w:rsidRDefault="00285F19" w:rsidP="00F551D5">
            <w:pPr>
              <w:pStyle w:val="Tabletext"/>
              <w:rPr>
                <w:lang w:eastAsia="en-AU"/>
              </w:rPr>
            </w:pPr>
            <w:r w:rsidRPr="00F551D5">
              <w:rPr>
                <w:lang w:eastAsia="en-AU"/>
              </w:rPr>
              <w:t>Manufacturing</w:t>
            </w:r>
          </w:p>
        </w:tc>
        <w:tc>
          <w:tcPr>
            <w:tcW w:w="1842" w:type="pct"/>
            <w:noWrap/>
            <w:hideMark/>
          </w:tcPr>
          <w:p w14:paraId="0A5F6238" w14:textId="77777777" w:rsidR="00285F19" w:rsidRPr="00F551D5" w:rsidRDefault="00285F19" w:rsidP="00F551D5">
            <w:pPr>
              <w:pStyle w:val="Tabletext"/>
              <w:jc w:val="right"/>
              <w:rPr>
                <w:lang w:eastAsia="en-AU"/>
              </w:rPr>
            </w:pPr>
            <w:r w:rsidRPr="00F551D5">
              <w:rPr>
                <w:lang w:eastAsia="en-AU"/>
              </w:rPr>
              <w:t>4.3</w:t>
            </w:r>
          </w:p>
        </w:tc>
      </w:tr>
      <w:tr w:rsidR="00285F19" w:rsidRPr="001F0985" w14:paraId="75E65DC9"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3158" w:type="pct"/>
            <w:noWrap/>
            <w:hideMark/>
          </w:tcPr>
          <w:p w14:paraId="4038C593" w14:textId="77777777" w:rsidR="00285F19" w:rsidRPr="00F551D5" w:rsidRDefault="00285F19" w:rsidP="00F551D5">
            <w:pPr>
              <w:pStyle w:val="Tabletext"/>
              <w:rPr>
                <w:lang w:eastAsia="en-AU"/>
              </w:rPr>
            </w:pPr>
            <w:r w:rsidRPr="00F551D5">
              <w:rPr>
                <w:lang w:eastAsia="en-AU"/>
              </w:rPr>
              <w:t>Financial and Insurance Services</w:t>
            </w:r>
          </w:p>
        </w:tc>
        <w:tc>
          <w:tcPr>
            <w:tcW w:w="1842" w:type="pct"/>
            <w:noWrap/>
            <w:hideMark/>
          </w:tcPr>
          <w:p w14:paraId="5D00771C" w14:textId="77777777" w:rsidR="00285F19" w:rsidRPr="00F551D5" w:rsidRDefault="00285F19" w:rsidP="00F551D5">
            <w:pPr>
              <w:pStyle w:val="Tabletext"/>
              <w:jc w:val="right"/>
              <w:rPr>
                <w:lang w:eastAsia="en-AU"/>
              </w:rPr>
            </w:pPr>
            <w:r w:rsidRPr="00F551D5">
              <w:rPr>
                <w:lang w:eastAsia="en-AU"/>
              </w:rPr>
              <w:t>3.7</w:t>
            </w:r>
          </w:p>
        </w:tc>
      </w:tr>
      <w:tr w:rsidR="00285F19" w:rsidRPr="001F0985" w14:paraId="2144F40B"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3158" w:type="pct"/>
            <w:noWrap/>
            <w:hideMark/>
          </w:tcPr>
          <w:p w14:paraId="21A8E873" w14:textId="77777777" w:rsidR="00285F19" w:rsidRPr="00F551D5" w:rsidRDefault="00285F19" w:rsidP="00F551D5">
            <w:pPr>
              <w:pStyle w:val="Tabletext"/>
              <w:rPr>
                <w:lang w:eastAsia="en-AU"/>
              </w:rPr>
            </w:pPr>
            <w:r w:rsidRPr="00F551D5">
              <w:rPr>
                <w:lang w:eastAsia="en-AU"/>
              </w:rPr>
              <w:t>Retail Trade</w:t>
            </w:r>
          </w:p>
        </w:tc>
        <w:tc>
          <w:tcPr>
            <w:tcW w:w="1842" w:type="pct"/>
            <w:noWrap/>
            <w:hideMark/>
          </w:tcPr>
          <w:p w14:paraId="67EA4423" w14:textId="77777777" w:rsidR="00285F19" w:rsidRPr="00F551D5" w:rsidRDefault="00285F19" w:rsidP="00F551D5">
            <w:pPr>
              <w:pStyle w:val="Tabletext"/>
              <w:jc w:val="right"/>
              <w:rPr>
                <w:lang w:eastAsia="en-AU"/>
              </w:rPr>
            </w:pPr>
            <w:r w:rsidRPr="00F551D5">
              <w:rPr>
                <w:lang w:eastAsia="en-AU"/>
              </w:rPr>
              <w:t>3.5</w:t>
            </w:r>
          </w:p>
        </w:tc>
      </w:tr>
    </w:tbl>
    <w:p w14:paraId="6D53111A" w14:textId="77777777" w:rsidR="00285F19" w:rsidRPr="001F0985" w:rsidRDefault="00285F19" w:rsidP="00285F19">
      <w:pPr>
        <w:pStyle w:val="Placeholder"/>
      </w:pPr>
    </w:p>
    <w:p w14:paraId="26C3FABF" w14:textId="77777777" w:rsidR="00285F19" w:rsidRPr="00C62F3A" w:rsidRDefault="00285F19" w:rsidP="00285F19">
      <w:pPr>
        <w:pStyle w:val="Note"/>
      </w:pPr>
      <w:r>
        <w:t>Notes: Proportions reported relate to total primary grants across all industries in 2016-17.</w:t>
      </w:r>
    </w:p>
    <w:p w14:paraId="4777453B" w14:textId="77777777" w:rsidR="00285F19" w:rsidRDefault="00285F19" w:rsidP="00285F19">
      <w:pPr>
        <w:pStyle w:val="Source"/>
      </w:pPr>
      <w:r>
        <w:t xml:space="preserve">Source: DIBP (2017) </w:t>
      </w:r>
      <w:r w:rsidRPr="006E0A3D">
        <w:rPr>
          <w:i/>
        </w:rPr>
        <w:t>Subclass 457 visas granted pivot table</w:t>
      </w:r>
      <w:r>
        <w:t>. Department of Immigration and Border Protection, Canberra</w:t>
      </w:r>
    </w:p>
    <w:p w14:paraId="45A7CC17" w14:textId="07EDD08B" w:rsidR="00285F19" w:rsidRDefault="00285F19" w:rsidP="00364C8A">
      <w:pPr>
        <w:pStyle w:val="BodyText"/>
      </w:pPr>
      <w:r>
        <w:lastRenderedPageBreak/>
        <w:t xml:space="preserve">In terms of nominated occupations, Table 2 reports the top ten occupations along with their skill level. </w:t>
      </w:r>
      <w:r w:rsidR="001E6BC8">
        <w:t>Consistent with patterns of economic activity, s</w:t>
      </w:r>
      <w:r>
        <w:t xml:space="preserve">tatistics from </w:t>
      </w:r>
      <w:r w:rsidR="001E6BC8">
        <w:t>the immigration department</w:t>
      </w:r>
      <w:r>
        <w:t xml:space="preserve"> reveal</w:t>
      </w:r>
      <w:r w:rsidR="001E6BC8">
        <w:t>ed</w:t>
      </w:r>
      <w:r>
        <w:t xml:space="preserve"> that the bulk of nominated positions were located in New South Wales (43 per cent), Victoria (25 per cent) and Western Australia (13 per cent).</w:t>
      </w:r>
      <w:r w:rsidRPr="001E6BC8">
        <w:rPr>
          <w:vertAlign w:val="superscript"/>
        </w:rPr>
        <w:footnoteReference w:id="10"/>
      </w:r>
    </w:p>
    <w:p w14:paraId="514D5829" w14:textId="77777777" w:rsidR="00285F19" w:rsidRDefault="00285F19" w:rsidP="00285F19">
      <w:pPr>
        <w:pStyle w:val="Caption"/>
      </w:pPr>
      <w:r w:rsidRPr="000618FB">
        <w:t>Table</w:t>
      </w:r>
      <w:r>
        <w:t xml:space="preserve"> 2</w:t>
      </w:r>
      <w:r w:rsidRPr="000618FB">
        <w:t xml:space="preserve">: </w:t>
      </w:r>
      <w:r>
        <w:t>457 primary visa grants by top 10 nominated occupations, 2016-17</w:t>
      </w:r>
    </w:p>
    <w:tbl>
      <w:tblPr>
        <w:tblStyle w:val="OCETable"/>
        <w:tblW w:w="5000" w:type="pct"/>
        <w:tblLayout w:type="fixed"/>
        <w:tblLook w:val="04A0" w:firstRow="1" w:lastRow="0" w:firstColumn="1" w:lastColumn="0" w:noHBand="0" w:noVBand="1"/>
        <w:tblCaption w:val="Table 2: 457 primary visa grants by top 10 nominated occupations, 2016-17"/>
        <w:tblDescription w:val="This table contains information about the top ten occupations nominated by 457 visa applicants. The table also reports the skill level of these occupations. The majority of the nominated occupations were highly skilled."/>
      </w:tblPr>
      <w:tblGrid>
        <w:gridCol w:w="3720"/>
        <w:gridCol w:w="2115"/>
        <w:gridCol w:w="969"/>
        <w:gridCol w:w="118"/>
      </w:tblGrid>
      <w:tr w:rsidR="00285F19" w:rsidRPr="00047610" w14:paraId="6A3E748D" w14:textId="77777777" w:rsidTr="006129E3">
        <w:trPr>
          <w:cnfStyle w:val="100000000000" w:firstRow="1" w:lastRow="0" w:firstColumn="0" w:lastColumn="0" w:oddVBand="0" w:evenVBand="0" w:oddHBand="0" w:evenHBand="0" w:firstRowFirstColumn="0" w:firstRowLastColumn="0" w:lastRowFirstColumn="0" w:lastRowLastColumn="0"/>
          <w:trHeight w:val="300"/>
          <w:tblHeader/>
        </w:trPr>
        <w:tc>
          <w:tcPr>
            <w:tcW w:w="2687" w:type="pct"/>
            <w:noWrap/>
            <w:hideMark/>
          </w:tcPr>
          <w:p w14:paraId="1F3BF384" w14:textId="77777777" w:rsidR="00285F19" w:rsidRPr="00047610" w:rsidRDefault="00285F19" w:rsidP="006129E3">
            <w:pPr>
              <w:pStyle w:val="Tableheadertext"/>
              <w:rPr>
                <w:lang w:eastAsia="en-AU"/>
              </w:rPr>
            </w:pPr>
          </w:p>
        </w:tc>
        <w:tc>
          <w:tcPr>
            <w:tcW w:w="1528" w:type="pct"/>
            <w:noWrap/>
            <w:hideMark/>
          </w:tcPr>
          <w:p w14:paraId="59F9C187" w14:textId="5382639C" w:rsidR="00285F19" w:rsidRPr="00F551D5" w:rsidRDefault="00285F19" w:rsidP="00F551D5">
            <w:pPr>
              <w:pStyle w:val="Tableheadertext"/>
              <w:jc w:val="right"/>
            </w:pPr>
            <w:r w:rsidRPr="00F551D5">
              <w:t xml:space="preserve">Per cent of </w:t>
            </w:r>
            <w:r w:rsidR="00F8591F">
              <w:br/>
            </w:r>
            <w:r w:rsidRPr="00F551D5">
              <w:t>2016-17 grants</w:t>
            </w:r>
          </w:p>
        </w:tc>
        <w:tc>
          <w:tcPr>
            <w:tcW w:w="785" w:type="pct"/>
            <w:gridSpan w:val="2"/>
            <w:noWrap/>
            <w:hideMark/>
          </w:tcPr>
          <w:p w14:paraId="5D82492F" w14:textId="77777777" w:rsidR="00285F19" w:rsidRPr="00F551D5" w:rsidRDefault="00285F19" w:rsidP="00F551D5">
            <w:pPr>
              <w:pStyle w:val="Tableheadertext"/>
              <w:jc w:val="right"/>
            </w:pPr>
            <w:r w:rsidRPr="00F551D5">
              <w:t>ANZSCO skill level</w:t>
            </w:r>
          </w:p>
        </w:tc>
      </w:tr>
      <w:tr w:rsidR="00285F19" w:rsidRPr="00047610" w14:paraId="49604301" w14:textId="77777777" w:rsidTr="00F551D5">
        <w:trPr>
          <w:gridAfter w:val="1"/>
          <w:cnfStyle w:val="000000100000" w:firstRow="0" w:lastRow="0" w:firstColumn="0" w:lastColumn="0" w:oddVBand="0" w:evenVBand="0" w:oddHBand="1" w:evenHBand="0" w:firstRowFirstColumn="0" w:firstRowLastColumn="0" w:lastRowFirstColumn="0" w:lastRowLastColumn="0"/>
          <w:wAfter w:w="85" w:type="pct"/>
          <w:trHeight w:val="300"/>
        </w:trPr>
        <w:tc>
          <w:tcPr>
            <w:tcW w:w="2687" w:type="pct"/>
            <w:noWrap/>
            <w:hideMark/>
          </w:tcPr>
          <w:p w14:paraId="790A3550" w14:textId="77777777" w:rsidR="00285F19" w:rsidRPr="00F551D5" w:rsidRDefault="00285F19" w:rsidP="00F551D5">
            <w:pPr>
              <w:pStyle w:val="Tablebodytext"/>
            </w:pPr>
            <w:r w:rsidRPr="00F551D5">
              <w:t>Software and Applications Programmers</w:t>
            </w:r>
          </w:p>
        </w:tc>
        <w:tc>
          <w:tcPr>
            <w:tcW w:w="1528" w:type="pct"/>
            <w:noWrap/>
            <w:hideMark/>
          </w:tcPr>
          <w:p w14:paraId="17AC3414" w14:textId="77777777" w:rsidR="00285F19" w:rsidRPr="00F551D5" w:rsidRDefault="00285F19" w:rsidP="00F551D5">
            <w:pPr>
              <w:pStyle w:val="Tablebodytext"/>
              <w:jc w:val="right"/>
            </w:pPr>
            <w:r w:rsidRPr="00F551D5">
              <w:t>10.6</w:t>
            </w:r>
          </w:p>
        </w:tc>
        <w:tc>
          <w:tcPr>
            <w:tcW w:w="700" w:type="pct"/>
            <w:noWrap/>
            <w:hideMark/>
          </w:tcPr>
          <w:p w14:paraId="44569A0A" w14:textId="77777777" w:rsidR="00285F19" w:rsidRPr="00F551D5" w:rsidRDefault="00285F19" w:rsidP="00F551D5">
            <w:pPr>
              <w:pStyle w:val="Tablebodytext"/>
              <w:jc w:val="right"/>
            </w:pPr>
            <w:r w:rsidRPr="00F551D5">
              <w:t>1</w:t>
            </w:r>
          </w:p>
        </w:tc>
      </w:tr>
      <w:tr w:rsidR="00285F19" w:rsidRPr="00047610" w14:paraId="5CF08AC9" w14:textId="77777777" w:rsidTr="00F551D5">
        <w:trPr>
          <w:gridAfter w:val="1"/>
          <w:cnfStyle w:val="000000010000" w:firstRow="0" w:lastRow="0" w:firstColumn="0" w:lastColumn="0" w:oddVBand="0" w:evenVBand="0" w:oddHBand="0" w:evenHBand="1" w:firstRowFirstColumn="0" w:firstRowLastColumn="0" w:lastRowFirstColumn="0" w:lastRowLastColumn="0"/>
          <w:wAfter w:w="85" w:type="pct"/>
          <w:trHeight w:val="300"/>
        </w:trPr>
        <w:tc>
          <w:tcPr>
            <w:tcW w:w="2687" w:type="pct"/>
            <w:noWrap/>
            <w:hideMark/>
          </w:tcPr>
          <w:p w14:paraId="0CF7613F" w14:textId="77777777" w:rsidR="00285F19" w:rsidRPr="00F551D5" w:rsidRDefault="00285F19" w:rsidP="00F551D5">
            <w:pPr>
              <w:pStyle w:val="Tablebodytext"/>
            </w:pPr>
            <w:r w:rsidRPr="00F551D5">
              <w:t>General Practitioners and Resident Medical Officers</w:t>
            </w:r>
          </w:p>
        </w:tc>
        <w:tc>
          <w:tcPr>
            <w:tcW w:w="1528" w:type="pct"/>
            <w:noWrap/>
            <w:hideMark/>
          </w:tcPr>
          <w:p w14:paraId="095A663D" w14:textId="77777777" w:rsidR="00285F19" w:rsidRPr="00F551D5" w:rsidRDefault="00285F19" w:rsidP="00F551D5">
            <w:pPr>
              <w:pStyle w:val="Tablebodytext"/>
              <w:jc w:val="right"/>
            </w:pPr>
            <w:r w:rsidRPr="00F551D5">
              <w:t>5.1</w:t>
            </w:r>
          </w:p>
        </w:tc>
        <w:tc>
          <w:tcPr>
            <w:tcW w:w="700" w:type="pct"/>
            <w:noWrap/>
            <w:hideMark/>
          </w:tcPr>
          <w:p w14:paraId="6C10D60C" w14:textId="77777777" w:rsidR="00285F19" w:rsidRPr="00F551D5" w:rsidRDefault="00285F19" w:rsidP="00F551D5">
            <w:pPr>
              <w:pStyle w:val="Tablebodytext"/>
              <w:jc w:val="right"/>
            </w:pPr>
            <w:r w:rsidRPr="00F551D5">
              <w:t>1</w:t>
            </w:r>
          </w:p>
        </w:tc>
      </w:tr>
      <w:tr w:rsidR="00285F19" w:rsidRPr="00047610" w14:paraId="7CF084C5" w14:textId="77777777" w:rsidTr="00F551D5">
        <w:trPr>
          <w:gridAfter w:val="1"/>
          <w:cnfStyle w:val="000000100000" w:firstRow="0" w:lastRow="0" w:firstColumn="0" w:lastColumn="0" w:oddVBand="0" w:evenVBand="0" w:oddHBand="1" w:evenHBand="0" w:firstRowFirstColumn="0" w:firstRowLastColumn="0" w:lastRowFirstColumn="0" w:lastRowLastColumn="0"/>
          <w:wAfter w:w="85" w:type="pct"/>
          <w:trHeight w:val="300"/>
        </w:trPr>
        <w:tc>
          <w:tcPr>
            <w:tcW w:w="2687" w:type="pct"/>
            <w:noWrap/>
            <w:hideMark/>
          </w:tcPr>
          <w:p w14:paraId="130927C0" w14:textId="77777777" w:rsidR="00285F19" w:rsidRPr="00F551D5" w:rsidRDefault="00285F19" w:rsidP="00F551D5">
            <w:pPr>
              <w:pStyle w:val="Tablebodytext"/>
            </w:pPr>
            <w:r w:rsidRPr="00F551D5">
              <w:t>Cooks</w:t>
            </w:r>
          </w:p>
        </w:tc>
        <w:tc>
          <w:tcPr>
            <w:tcW w:w="1528" w:type="pct"/>
            <w:noWrap/>
            <w:hideMark/>
          </w:tcPr>
          <w:p w14:paraId="6146A559" w14:textId="77777777" w:rsidR="00285F19" w:rsidRPr="00F551D5" w:rsidRDefault="00285F19" w:rsidP="00F551D5">
            <w:pPr>
              <w:pStyle w:val="Tablebodytext"/>
              <w:jc w:val="right"/>
            </w:pPr>
            <w:r w:rsidRPr="00F551D5">
              <w:t>4.7</w:t>
            </w:r>
          </w:p>
        </w:tc>
        <w:tc>
          <w:tcPr>
            <w:tcW w:w="700" w:type="pct"/>
            <w:noWrap/>
            <w:hideMark/>
          </w:tcPr>
          <w:p w14:paraId="6E4234CD" w14:textId="77777777" w:rsidR="00285F19" w:rsidRPr="00F551D5" w:rsidRDefault="00285F19" w:rsidP="00F551D5">
            <w:pPr>
              <w:pStyle w:val="Tablebodytext"/>
              <w:jc w:val="right"/>
            </w:pPr>
            <w:r w:rsidRPr="00F551D5">
              <w:t>3</w:t>
            </w:r>
          </w:p>
        </w:tc>
      </w:tr>
      <w:tr w:rsidR="00285F19" w:rsidRPr="00047610" w14:paraId="3FC7DE44" w14:textId="77777777" w:rsidTr="00F551D5">
        <w:trPr>
          <w:gridAfter w:val="1"/>
          <w:cnfStyle w:val="000000010000" w:firstRow="0" w:lastRow="0" w:firstColumn="0" w:lastColumn="0" w:oddVBand="0" w:evenVBand="0" w:oddHBand="0" w:evenHBand="1" w:firstRowFirstColumn="0" w:firstRowLastColumn="0" w:lastRowFirstColumn="0" w:lastRowLastColumn="0"/>
          <w:wAfter w:w="85" w:type="pct"/>
          <w:trHeight w:val="300"/>
        </w:trPr>
        <w:tc>
          <w:tcPr>
            <w:tcW w:w="2687" w:type="pct"/>
            <w:noWrap/>
            <w:hideMark/>
          </w:tcPr>
          <w:p w14:paraId="322273C7" w14:textId="77777777" w:rsidR="00285F19" w:rsidRPr="00F551D5" w:rsidRDefault="00285F19" w:rsidP="00F551D5">
            <w:pPr>
              <w:pStyle w:val="Tablebodytext"/>
            </w:pPr>
            <w:r w:rsidRPr="00F551D5">
              <w:t>ICT Business and Systems Analysts</w:t>
            </w:r>
          </w:p>
        </w:tc>
        <w:tc>
          <w:tcPr>
            <w:tcW w:w="1528" w:type="pct"/>
            <w:noWrap/>
            <w:hideMark/>
          </w:tcPr>
          <w:p w14:paraId="6EC056A8" w14:textId="77777777" w:rsidR="00285F19" w:rsidRPr="00F551D5" w:rsidRDefault="00285F19" w:rsidP="00F551D5">
            <w:pPr>
              <w:pStyle w:val="Tablebodytext"/>
              <w:jc w:val="right"/>
            </w:pPr>
            <w:r w:rsidRPr="00F551D5">
              <w:t>4.6</w:t>
            </w:r>
          </w:p>
        </w:tc>
        <w:tc>
          <w:tcPr>
            <w:tcW w:w="700" w:type="pct"/>
            <w:noWrap/>
            <w:hideMark/>
          </w:tcPr>
          <w:p w14:paraId="63C9622A" w14:textId="77777777" w:rsidR="00285F19" w:rsidRPr="00F551D5" w:rsidRDefault="00285F19" w:rsidP="00F551D5">
            <w:pPr>
              <w:pStyle w:val="Tablebodytext"/>
              <w:jc w:val="right"/>
            </w:pPr>
            <w:r w:rsidRPr="00F551D5">
              <w:t>1</w:t>
            </w:r>
          </w:p>
        </w:tc>
      </w:tr>
      <w:tr w:rsidR="00285F19" w:rsidRPr="00047610" w14:paraId="1D4B3A7C" w14:textId="77777777" w:rsidTr="00F551D5">
        <w:trPr>
          <w:gridAfter w:val="1"/>
          <w:cnfStyle w:val="000000100000" w:firstRow="0" w:lastRow="0" w:firstColumn="0" w:lastColumn="0" w:oddVBand="0" w:evenVBand="0" w:oddHBand="1" w:evenHBand="0" w:firstRowFirstColumn="0" w:firstRowLastColumn="0" w:lastRowFirstColumn="0" w:lastRowLastColumn="0"/>
          <w:wAfter w:w="85" w:type="pct"/>
          <w:trHeight w:val="300"/>
        </w:trPr>
        <w:tc>
          <w:tcPr>
            <w:tcW w:w="2687" w:type="pct"/>
            <w:noWrap/>
            <w:hideMark/>
          </w:tcPr>
          <w:p w14:paraId="71A6BDF4" w14:textId="77777777" w:rsidR="00285F19" w:rsidRPr="00F551D5" w:rsidRDefault="00285F19" w:rsidP="00F551D5">
            <w:pPr>
              <w:pStyle w:val="Tablebodytext"/>
            </w:pPr>
            <w:r w:rsidRPr="00F551D5">
              <w:t>University Lecturers and Tutors</w:t>
            </w:r>
          </w:p>
        </w:tc>
        <w:tc>
          <w:tcPr>
            <w:tcW w:w="1528" w:type="pct"/>
            <w:noWrap/>
            <w:hideMark/>
          </w:tcPr>
          <w:p w14:paraId="24D21F05" w14:textId="77777777" w:rsidR="00285F19" w:rsidRPr="00F551D5" w:rsidRDefault="00285F19" w:rsidP="00F551D5">
            <w:pPr>
              <w:pStyle w:val="Tablebodytext"/>
              <w:jc w:val="right"/>
            </w:pPr>
            <w:r w:rsidRPr="00F551D5">
              <w:t>3.3</w:t>
            </w:r>
          </w:p>
        </w:tc>
        <w:tc>
          <w:tcPr>
            <w:tcW w:w="700" w:type="pct"/>
            <w:noWrap/>
            <w:hideMark/>
          </w:tcPr>
          <w:p w14:paraId="2BFCD384" w14:textId="77777777" w:rsidR="00285F19" w:rsidRPr="00F551D5" w:rsidRDefault="00285F19" w:rsidP="00F551D5">
            <w:pPr>
              <w:pStyle w:val="Tablebodytext"/>
              <w:jc w:val="right"/>
            </w:pPr>
            <w:r w:rsidRPr="00F551D5">
              <w:t>1</w:t>
            </w:r>
          </w:p>
        </w:tc>
      </w:tr>
      <w:tr w:rsidR="00285F19" w:rsidRPr="00047610" w14:paraId="69F3B9F3" w14:textId="77777777" w:rsidTr="00F551D5">
        <w:trPr>
          <w:gridAfter w:val="1"/>
          <w:cnfStyle w:val="000000010000" w:firstRow="0" w:lastRow="0" w:firstColumn="0" w:lastColumn="0" w:oddVBand="0" w:evenVBand="0" w:oddHBand="0" w:evenHBand="1" w:firstRowFirstColumn="0" w:firstRowLastColumn="0" w:lastRowFirstColumn="0" w:lastRowLastColumn="0"/>
          <w:wAfter w:w="85" w:type="pct"/>
          <w:trHeight w:val="300"/>
        </w:trPr>
        <w:tc>
          <w:tcPr>
            <w:tcW w:w="2687" w:type="pct"/>
            <w:noWrap/>
            <w:hideMark/>
          </w:tcPr>
          <w:p w14:paraId="6A0F5E1E" w14:textId="77777777" w:rsidR="00285F19" w:rsidRPr="00F551D5" w:rsidRDefault="00285F19" w:rsidP="00F551D5">
            <w:pPr>
              <w:pStyle w:val="Tablebodytext"/>
            </w:pPr>
            <w:r w:rsidRPr="00F551D5">
              <w:t>Cafe and Restaurant Managers</w:t>
            </w:r>
          </w:p>
        </w:tc>
        <w:tc>
          <w:tcPr>
            <w:tcW w:w="1528" w:type="pct"/>
            <w:noWrap/>
            <w:hideMark/>
          </w:tcPr>
          <w:p w14:paraId="6A9A9224" w14:textId="77777777" w:rsidR="00285F19" w:rsidRPr="00F551D5" w:rsidRDefault="00285F19" w:rsidP="00F551D5">
            <w:pPr>
              <w:pStyle w:val="Tablebodytext"/>
              <w:jc w:val="right"/>
            </w:pPr>
            <w:r w:rsidRPr="00F551D5">
              <w:t>3.1</w:t>
            </w:r>
          </w:p>
        </w:tc>
        <w:tc>
          <w:tcPr>
            <w:tcW w:w="700" w:type="pct"/>
            <w:noWrap/>
            <w:hideMark/>
          </w:tcPr>
          <w:p w14:paraId="46E568D6" w14:textId="77777777" w:rsidR="00285F19" w:rsidRPr="00F551D5" w:rsidRDefault="00285F19" w:rsidP="00F551D5">
            <w:pPr>
              <w:pStyle w:val="Tablebodytext"/>
              <w:jc w:val="right"/>
            </w:pPr>
            <w:r w:rsidRPr="00F551D5">
              <w:t>2</w:t>
            </w:r>
          </w:p>
        </w:tc>
      </w:tr>
      <w:tr w:rsidR="00285F19" w:rsidRPr="00047610" w14:paraId="161260C9" w14:textId="77777777" w:rsidTr="00F551D5">
        <w:trPr>
          <w:gridAfter w:val="1"/>
          <w:cnfStyle w:val="000000100000" w:firstRow="0" w:lastRow="0" w:firstColumn="0" w:lastColumn="0" w:oddVBand="0" w:evenVBand="0" w:oddHBand="1" w:evenHBand="0" w:firstRowFirstColumn="0" w:firstRowLastColumn="0" w:lastRowFirstColumn="0" w:lastRowLastColumn="0"/>
          <w:wAfter w:w="85" w:type="pct"/>
          <w:trHeight w:val="300"/>
        </w:trPr>
        <w:tc>
          <w:tcPr>
            <w:tcW w:w="2687" w:type="pct"/>
            <w:noWrap/>
            <w:hideMark/>
          </w:tcPr>
          <w:p w14:paraId="463181CF" w14:textId="77777777" w:rsidR="00285F19" w:rsidRPr="00F551D5" w:rsidRDefault="00285F19" w:rsidP="00F551D5">
            <w:pPr>
              <w:pStyle w:val="Tablebodytext"/>
            </w:pPr>
            <w:r w:rsidRPr="00F551D5">
              <w:t>Advertising and Marketing Professionals</w:t>
            </w:r>
          </w:p>
        </w:tc>
        <w:tc>
          <w:tcPr>
            <w:tcW w:w="1528" w:type="pct"/>
            <w:noWrap/>
            <w:hideMark/>
          </w:tcPr>
          <w:p w14:paraId="744DB691" w14:textId="77777777" w:rsidR="00285F19" w:rsidRPr="00F551D5" w:rsidRDefault="00285F19" w:rsidP="00F551D5">
            <w:pPr>
              <w:pStyle w:val="Tablebodytext"/>
              <w:jc w:val="right"/>
            </w:pPr>
            <w:r w:rsidRPr="00F551D5">
              <w:t>3</w:t>
            </w:r>
          </w:p>
        </w:tc>
        <w:tc>
          <w:tcPr>
            <w:tcW w:w="700" w:type="pct"/>
            <w:noWrap/>
            <w:hideMark/>
          </w:tcPr>
          <w:p w14:paraId="6461C6BE" w14:textId="77777777" w:rsidR="00285F19" w:rsidRPr="00F551D5" w:rsidRDefault="00285F19" w:rsidP="00F551D5">
            <w:pPr>
              <w:pStyle w:val="Tablebodytext"/>
              <w:jc w:val="right"/>
            </w:pPr>
            <w:r w:rsidRPr="00F551D5">
              <w:t>1</w:t>
            </w:r>
          </w:p>
        </w:tc>
      </w:tr>
      <w:tr w:rsidR="00285F19" w:rsidRPr="00047610" w14:paraId="471A9151" w14:textId="77777777" w:rsidTr="00F551D5">
        <w:trPr>
          <w:gridAfter w:val="1"/>
          <w:cnfStyle w:val="000000010000" w:firstRow="0" w:lastRow="0" w:firstColumn="0" w:lastColumn="0" w:oddVBand="0" w:evenVBand="0" w:oddHBand="0" w:evenHBand="1" w:firstRowFirstColumn="0" w:firstRowLastColumn="0" w:lastRowFirstColumn="0" w:lastRowLastColumn="0"/>
          <w:wAfter w:w="85" w:type="pct"/>
          <w:trHeight w:val="300"/>
        </w:trPr>
        <w:tc>
          <w:tcPr>
            <w:tcW w:w="2687" w:type="pct"/>
            <w:noWrap/>
            <w:hideMark/>
          </w:tcPr>
          <w:p w14:paraId="5A17B8DD" w14:textId="77777777" w:rsidR="00285F19" w:rsidRPr="00F551D5" w:rsidRDefault="00285F19" w:rsidP="00F551D5">
            <w:pPr>
              <w:pStyle w:val="Tablebodytext"/>
            </w:pPr>
            <w:r w:rsidRPr="00F551D5">
              <w:t>Management and Organisation Analysts</w:t>
            </w:r>
          </w:p>
        </w:tc>
        <w:tc>
          <w:tcPr>
            <w:tcW w:w="1528" w:type="pct"/>
            <w:noWrap/>
            <w:hideMark/>
          </w:tcPr>
          <w:p w14:paraId="5B1BD8D1" w14:textId="77777777" w:rsidR="00285F19" w:rsidRPr="00F551D5" w:rsidRDefault="00285F19" w:rsidP="00F551D5">
            <w:pPr>
              <w:pStyle w:val="Tablebodytext"/>
              <w:jc w:val="right"/>
            </w:pPr>
            <w:r w:rsidRPr="00F551D5">
              <w:t>2.9</w:t>
            </w:r>
          </w:p>
        </w:tc>
        <w:tc>
          <w:tcPr>
            <w:tcW w:w="700" w:type="pct"/>
            <w:noWrap/>
            <w:hideMark/>
          </w:tcPr>
          <w:p w14:paraId="56599E4B" w14:textId="77777777" w:rsidR="00285F19" w:rsidRPr="00F551D5" w:rsidRDefault="00285F19" w:rsidP="00F551D5">
            <w:pPr>
              <w:pStyle w:val="Tablebodytext"/>
              <w:jc w:val="right"/>
            </w:pPr>
            <w:r w:rsidRPr="00F551D5">
              <w:t>1</w:t>
            </w:r>
          </w:p>
        </w:tc>
      </w:tr>
      <w:tr w:rsidR="00285F19" w:rsidRPr="00047610" w14:paraId="10AB6D4A" w14:textId="77777777" w:rsidTr="00F551D5">
        <w:trPr>
          <w:gridAfter w:val="1"/>
          <w:cnfStyle w:val="000000100000" w:firstRow="0" w:lastRow="0" w:firstColumn="0" w:lastColumn="0" w:oddVBand="0" w:evenVBand="0" w:oddHBand="1" w:evenHBand="0" w:firstRowFirstColumn="0" w:firstRowLastColumn="0" w:lastRowFirstColumn="0" w:lastRowLastColumn="0"/>
          <w:wAfter w:w="85" w:type="pct"/>
          <w:trHeight w:val="300"/>
        </w:trPr>
        <w:tc>
          <w:tcPr>
            <w:tcW w:w="2687" w:type="pct"/>
            <w:noWrap/>
            <w:hideMark/>
          </w:tcPr>
          <w:p w14:paraId="6145A3BF" w14:textId="77777777" w:rsidR="00285F19" w:rsidRPr="00F551D5" w:rsidRDefault="00285F19" w:rsidP="00F551D5">
            <w:pPr>
              <w:pStyle w:val="Tablebodytext"/>
            </w:pPr>
            <w:r w:rsidRPr="00F551D5">
              <w:t>Accountants</w:t>
            </w:r>
          </w:p>
        </w:tc>
        <w:tc>
          <w:tcPr>
            <w:tcW w:w="1528" w:type="pct"/>
            <w:noWrap/>
            <w:hideMark/>
          </w:tcPr>
          <w:p w14:paraId="47A7AFA0" w14:textId="77777777" w:rsidR="00285F19" w:rsidRPr="00F551D5" w:rsidRDefault="00285F19" w:rsidP="00F551D5">
            <w:pPr>
              <w:pStyle w:val="Tablebodytext"/>
              <w:jc w:val="right"/>
            </w:pPr>
            <w:r w:rsidRPr="00F551D5">
              <w:t>2.7</w:t>
            </w:r>
          </w:p>
        </w:tc>
        <w:tc>
          <w:tcPr>
            <w:tcW w:w="700" w:type="pct"/>
            <w:noWrap/>
            <w:hideMark/>
          </w:tcPr>
          <w:p w14:paraId="070973C8" w14:textId="77777777" w:rsidR="00285F19" w:rsidRPr="00F551D5" w:rsidRDefault="00285F19" w:rsidP="00F551D5">
            <w:pPr>
              <w:pStyle w:val="Tablebodytext"/>
              <w:jc w:val="right"/>
            </w:pPr>
            <w:r w:rsidRPr="00F551D5">
              <w:t>1</w:t>
            </w:r>
          </w:p>
        </w:tc>
      </w:tr>
      <w:tr w:rsidR="00285F19" w:rsidRPr="00047610" w14:paraId="57DE5CD3" w14:textId="77777777" w:rsidTr="00F551D5">
        <w:trPr>
          <w:gridAfter w:val="1"/>
          <w:cnfStyle w:val="000000010000" w:firstRow="0" w:lastRow="0" w:firstColumn="0" w:lastColumn="0" w:oddVBand="0" w:evenVBand="0" w:oddHBand="0" w:evenHBand="1" w:firstRowFirstColumn="0" w:firstRowLastColumn="0" w:lastRowFirstColumn="0" w:lastRowLastColumn="0"/>
          <w:wAfter w:w="85" w:type="pct"/>
          <w:trHeight w:val="300"/>
        </w:trPr>
        <w:tc>
          <w:tcPr>
            <w:tcW w:w="2687" w:type="pct"/>
            <w:noWrap/>
            <w:hideMark/>
          </w:tcPr>
          <w:p w14:paraId="1B8C7B1D" w14:textId="77777777" w:rsidR="00285F19" w:rsidRPr="00F551D5" w:rsidRDefault="00285F19" w:rsidP="00F551D5">
            <w:pPr>
              <w:pStyle w:val="Tablebodytext"/>
            </w:pPr>
            <w:r w:rsidRPr="00F551D5">
              <w:t>Chefs</w:t>
            </w:r>
          </w:p>
        </w:tc>
        <w:tc>
          <w:tcPr>
            <w:tcW w:w="1528" w:type="pct"/>
            <w:noWrap/>
            <w:hideMark/>
          </w:tcPr>
          <w:p w14:paraId="775BC918" w14:textId="77777777" w:rsidR="00285F19" w:rsidRPr="00F551D5" w:rsidRDefault="00285F19" w:rsidP="00F551D5">
            <w:pPr>
              <w:pStyle w:val="Tablebodytext"/>
              <w:jc w:val="right"/>
            </w:pPr>
            <w:r w:rsidRPr="00F551D5">
              <w:t>2.4</w:t>
            </w:r>
          </w:p>
        </w:tc>
        <w:tc>
          <w:tcPr>
            <w:tcW w:w="700" w:type="pct"/>
            <w:noWrap/>
            <w:hideMark/>
          </w:tcPr>
          <w:p w14:paraId="173E9B74" w14:textId="77777777" w:rsidR="00285F19" w:rsidRPr="00F551D5" w:rsidRDefault="00285F19" w:rsidP="00F551D5">
            <w:pPr>
              <w:pStyle w:val="Tablebodytext"/>
              <w:jc w:val="right"/>
            </w:pPr>
            <w:r w:rsidRPr="00F551D5">
              <w:t>2</w:t>
            </w:r>
          </w:p>
        </w:tc>
      </w:tr>
    </w:tbl>
    <w:p w14:paraId="089BE086" w14:textId="77777777" w:rsidR="00285F19" w:rsidRPr="00047610" w:rsidRDefault="00285F19" w:rsidP="00285F19">
      <w:pPr>
        <w:pStyle w:val="Placeholder"/>
      </w:pPr>
    </w:p>
    <w:p w14:paraId="5F012E4C" w14:textId="77777777" w:rsidR="00285F19" w:rsidRPr="00C62F3A" w:rsidRDefault="00285F19" w:rsidP="00285F19">
      <w:pPr>
        <w:pStyle w:val="Note"/>
      </w:pPr>
      <w:r>
        <w:t>Notes: Proportions reported relate to total primary grants across all industries in 2016-17. Smaller values of ANZSCO skill levels represent higher skills, e.g. an occupation with a skill level of 1 is considered more skill intensive and technical than an occupation with a skill level of 2 and so on. ANZSCO skill levels range from 1 to 5.</w:t>
      </w:r>
    </w:p>
    <w:p w14:paraId="4B5A0D99" w14:textId="77777777" w:rsidR="00285F19" w:rsidRDefault="00285F19" w:rsidP="00285F19">
      <w:pPr>
        <w:pStyle w:val="Source"/>
      </w:pPr>
      <w:r>
        <w:t xml:space="preserve">Source: DIBP (2017) </w:t>
      </w:r>
      <w:r w:rsidRPr="006E0A3D">
        <w:rPr>
          <w:i/>
        </w:rPr>
        <w:t>Subclass 457 visas granted pivot table</w:t>
      </w:r>
      <w:r>
        <w:t>. Department of Immigration and Border Protection, Canberra</w:t>
      </w:r>
    </w:p>
    <w:p w14:paraId="58C88750" w14:textId="47D802DB" w:rsidR="00285F19" w:rsidRDefault="00285F19" w:rsidP="00364C8A">
      <w:pPr>
        <w:pStyle w:val="BodyText"/>
      </w:pPr>
      <w:r>
        <w:t>On 18</w:t>
      </w:r>
      <w:r w:rsidRPr="006129E3">
        <w:t xml:space="preserve"> </w:t>
      </w:r>
      <w:r>
        <w:t xml:space="preserve">April 2017 the Federal Government announced the abolishment of the 457 program, which </w:t>
      </w:r>
      <w:r w:rsidR="00B916D7">
        <w:t>was</w:t>
      </w:r>
      <w:r>
        <w:t xml:space="preserve"> replaced by a dual stream Temporary Skill Shortage (TSS) visa </w:t>
      </w:r>
      <w:r w:rsidR="00B916D7">
        <w:t>on</w:t>
      </w:r>
      <w:r>
        <w:t xml:space="preserve"> March 2018.</w:t>
      </w:r>
      <w:r w:rsidRPr="00B916D7">
        <w:rPr>
          <w:vertAlign w:val="superscript"/>
        </w:rPr>
        <w:footnoteReference w:id="11"/>
      </w:r>
      <w:r>
        <w:t xml:space="preserve"> The new TS</w:t>
      </w:r>
      <w:r w:rsidR="00224137">
        <w:t>S visa is a part of Government</w:t>
      </w:r>
      <w:r>
        <w:t xml:space="preserve"> reforms which strengthen the integrity and quality of temporary and permanent skilled migration. Notable new reform measures introduced via the TSS include:</w:t>
      </w:r>
    </w:p>
    <w:p w14:paraId="1FFBF503" w14:textId="77777777" w:rsidR="00285F19" w:rsidRDefault="00285F19" w:rsidP="00B916D7">
      <w:pPr>
        <w:pStyle w:val="ListBullet"/>
        <w:ind w:left="426"/>
      </w:pPr>
      <w:r>
        <w:t>more targeted occupation lists from which occupations can be nominated</w:t>
      </w:r>
    </w:p>
    <w:p w14:paraId="1FF32B9D" w14:textId="77777777" w:rsidR="00285F19" w:rsidRDefault="00285F19" w:rsidP="00B916D7">
      <w:pPr>
        <w:pStyle w:val="ListBullet"/>
        <w:ind w:left="426"/>
      </w:pPr>
      <w:r>
        <w:t>a two year mandatory work experience requirement relevant to the nominated occupation</w:t>
      </w:r>
    </w:p>
    <w:p w14:paraId="4EDCF05D" w14:textId="1447B68F" w:rsidR="00285F19" w:rsidRDefault="00285F19" w:rsidP="00B916D7">
      <w:pPr>
        <w:pStyle w:val="ListBullet"/>
        <w:ind w:left="426"/>
      </w:pPr>
      <w:r>
        <w:t xml:space="preserve">limited (one) onshore visa renewal for migrants under the TSS </w:t>
      </w:r>
      <w:r w:rsidR="00F551D5">
        <w:br/>
      </w:r>
      <w:r>
        <w:t xml:space="preserve">Short-Term stream </w:t>
      </w:r>
    </w:p>
    <w:p w14:paraId="0CFE00D2" w14:textId="77777777" w:rsidR="00285F19" w:rsidRDefault="00285F19" w:rsidP="00B916D7">
      <w:pPr>
        <w:pStyle w:val="ListBullet"/>
        <w:ind w:left="426"/>
      </w:pPr>
      <w:r>
        <w:lastRenderedPageBreak/>
        <w:t>extension of the permanent residence (PR) eligibility period from two to three years</w:t>
      </w:r>
    </w:p>
    <w:p w14:paraId="07723463" w14:textId="77777777" w:rsidR="00285F19" w:rsidRDefault="00285F19" w:rsidP="00B916D7">
      <w:pPr>
        <w:pStyle w:val="ListBullet"/>
        <w:ind w:left="426"/>
      </w:pPr>
      <w:r>
        <w:t>removal of PR pathway for TSS Short-Term Visa holders with the pathway only available to TSS Medium-Term visa holders</w:t>
      </w:r>
    </w:p>
    <w:p w14:paraId="43506101" w14:textId="77777777" w:rsidR="00285F19" w:rsidRDefault="00285F19" w:rsidP="00B916D7">
      <w:pPr>
        <w:pStyle w:val="ListBullet"/>
        <w:ind w:left="426"/>
      </w:pPr>
      <w:r>
        <w:t>introduction of a non-discriminatory workforce test to prevent employer discrimination against suitable Australian workers</w:t>
      </w:r>
    </w:p>
    <w:p w14:paraId="7DA62F30" w14:textId="77777777" w:rsidR="00285F19" w:rsidRDefault="00285F19" w:rsidP="00B916D7">
      <w:pPr>
        <w:pStyle w:val="ListBullet"/>
        <w:ind w:left="426"/>
      </w:pPr>
      <w:r>
        <w:t>a requirement for  sponsored migrant workers  to pay a contribution to the newly created Skilling Australians Fund</w:t>
      </w:r>
    </w:p>
    <w:p w14:paraId="6B6D3DBE" w14:textId="55690560" w:rsidR="00285F19" w:rsidRPr="003D4322" w:rsidRDefault="00224137" w:rsidP="00B916D7">
      <w:pPr>
        <w:pStyle w:val="ListBullet"/>
        <w:ind w:left="426"/>
      </w:pPr>
      <w:r>
        <w:t>s</w:t>
      </w:r>
      <w:r w:rsidR="00285F19">
        <w:t>tricter English language requirements requiring a higher level of proficiency for the TSS Medium-Term stream.</w:t>
      </w:r>
    </w:p>
    <w:p w14:paraId="58E6A539" w14:textId="1EC414E4" w:rsidR="00285F19" w:rsidRDefault="00285F19" w:rsidP="00364C8A">
      <w:pPr>
        <w:pStyle w:val="BodyText"/>
      </w:pPr>
      <w:r>
        <w:t xml:space="preserve">These recent changes to skilled migration policy and the availability of a new source of unit record data on Australian firms provides an opportunity to conduct a preliminary </w:t>
      </w:r>
      <w:r w:rsidR="00941C35">
        <w:t xml:space="preserve">retrospective </w:t>
      </w:r>
      <w:r>
        <w:t>analysis of performance differentials between Australian businesses that employed 457 workers and those that did not. The motivation of this research paper is introduce a viable new source of data</w:t>
      </w:r>
      <w:r w:rsidR="00524743">
        <w:t xml:space="preserve"> (BLADE)</w:t>
      </w:r>
      <w:r>
        <w:t xml:space="preserve"> that can </w:t>
      </w:r>
      <w:r w:rsidR="00524743">
        <w:t>facilitate this sort of analysis. We outline</w:t>
      </w:r>
      <w:r>
        <w:t xml:space="preserve"> a compact methodology for assessing performance differentials, and contribute evidence that can </w:t>
      </w:r>
      <w:r w:rsidR="00524743">
        <w:t xml:space="preserve">further </w:t>
      </w:r>
      <w:r>
        <w:t>inform</w:t>
      </w:r>
      <w:r w:rsidR="00524743">
        <w:t xml:space="preserve"> migration</w:t>
      </w:r>
      <w:r>
        <w:t xml:space="preserve"> </w:t>
      </w:r>
      <w:r w:rsidR="00524743">
        <w:t>policy.</w:t>
      </w:r>
    </w:p>
    <w:p w14:paraId="235D57A5" w14:textId="77777777" w:rsidR="00285F19" w:rsidRDefault="00285F19" w:rsidP="00364C8A">
      <w:pPr>
        <w:pStyle w:val="Heading2"/>
        <w:numPr>
          <w:ilvl w:val="1"/>
          <w:numId w:val="9"/>
        </w:numPr>
        <w:ind w:left="709"/>
      </w:pPr>
      <w:r>
        <w:t>Previous research on 457 migrants</w:t>
      </w:r>
    </w:p>
    <w:p w14:paraId="4EF829E9" w14:textId="0476E4A8" w:rsidR="00285F19" w:rsidRDefault="00285F19" w:rsidP="00AE46D9">
      <w:pPr>
        <w:pStyle w:val="BodyText"/>
      </w:pPr>
      <w:r>
        <w:t>There is no shortage of academic research on skilled migrants in the Australian context. However, the majority of this research considers the labour market outcomes of skilled migrants, particularly in the context of their earnings and employment outcomes relative to each other and to local workers.</w:t>
      </w:r>
      <w:r w:rsidRPr="00075B39">
        <w:rPr>
          <w:vertAlign w:val="superscript"/>
        </w:rPr>
        <w:footnoteReference w:id="12"/>
      </w:r>
      <w:r>
        <w:t xml:space="preserve"> More recently, given their increasing numbers relative to other streams of skilled migration, 457 migrants have been the subject of academic research. Gregory (2014)</w:t>
      </w:r>
      <w:r w:rsidRPr="00B30D53">
        <w:rPr>
          <w:vertAlign w:val="superscript"/>
        </w:rPr>
        <w:footnoteReference w:id="13"/>
      </w:r>
      <w:r>
        <w:t xml:space="preserve"> identified the increasing importance of 457 migrants in the labour force and provided insights into the employment outcomes of 457 migrants, notably Gregory (2014) </w:t>
      </w:r>
      <w:r w:rsidR="00B30D53">
        <w:t>argued that</w:t>
      </w:r>
      <w:r>
        <w:t xml:space="preserve"> the lack of suitable micro-data on 457 migrants limits the scope of quantitative analysis on 457 migrants. Other authors have </w:t>
      </w:r>
      <w:r w:rsidR="00B30D53">
        <w:t xml:space="preserve">also </w:t>
      </w:r>
      <w:r>
        <w:t>attempted to qualitatively assess and analyse issues surrounding the 457 program such as attitudes towards and perceptions of the program from the perspective of Australian employers, the migrants, and the wider community,</w:t>
      </w:r>
      <w:r w:rsidRPr="00B30D53">
        <w:rPr>
          <w:vertAlign w:val="superscript"/>
        </w:rPr>
        <w:footnoteReference w:id="14"/>
      </w:r>
      <w:r>
        <w:t xml:space="preserve"> </w:t>
      </w:r>
      <w:r>
        <w:lastRenderedPageBreak/>
        <w:t>and the vulnerability and precariousness of 457 migrant workers from certain backgrounds, such as Indians in the Australian labour market.</w:t>
      </w:r>
      <w:r w:rsidRPr="00B30D53">
        <w:rPr>
          <w:vertAlign w:val="superscript"/>
        </w:rPr>
        <w:footnoteReference w:id="15"/>
      </w:r>
      <w:r>
        <w:t xml:space="preserve"> </w:t>
      </w:r>
    </w:p>
    <w:p w14:paraId="216CA8BD" w14:textId="77777777" w:rsidR="00285F19" w:rsidRDefault="00285F19" w:rsidP="00AE46D9">
      <w:pPr>
        <w:pStyle w:val="BodyText"/>
      </w:pPr>
      <w:r>
        <w:t>Temporary skilled migrants have also featured in economy wide impact analyses and Computable General Equilibrium (CGE) modelling such as that commissioned by the Centre for International Economics (CIE) for the New South Wales economy</w:t>
      </w:r>
      <w:r w:rsidRPr="00F415DF">
        <w:rPr>
          <w:vertAlign w:val="superscript"/>
        </w:rPr>
        <w:footnoteReference w:id="16"/>
      </w:r>
      <w:r>
        <w:t xml:space="preserve"> and the Productivity Commission as part of their reviews and reports on Australia’s migrant intake and population growth.</w:t>
      </w:r>
      <w:r w:rsidRPr="00F415DF">
        <w:rPr>
          <w:vertAlign w:val="superscript"/>
        </w:rPr>
        <w:footnoteReference w:id="17"/>
      </w:r>
      <w:r w:rsidRPr="00F415DF">
        <w:rPr>
          <w:vertAlign w:val="superscript"/>
        </w:rPr>
        <w:t xml:space="preserve"> </w:t>
      </w:r>
      <w:r>
        <w:t xml:space="preserve"> With the CIE reporting that in the absence of skilled and business migration (which includes 457 migrants) the NSW economy would be 2.3 per cent smaller in terms of its Gross State Product (GSP) and the welfare of NSW residents (proxied by real household consumption) would be lower by 3.6 per cent. </w:t>
      </w:r>
    </w:p>
    <w:p w14:paraId="60920D03" w14:textId="042063D9" w:rsidR="00285F19" w:rsidRDefault="00F415DF" w:rsidP="00AE46D9">
      <w:pPr>
        <w:pStyle w:val="BodyText"/>
      </w:pPr>
      <w:r>
        <w:t xml:space="preserve">The immigration department </w:t>
      </w:r>
      <w:r w:rsidR="00285F19">
        <w:t>has also contributed in this area by producing quarterly reports, and provision of detailed statistics on the 457 visa program via publically available pivot tables, and publishing findings from occasional surveys of cohorts of 457 sponsors and sponsored employees.</w:t>
      </w:r>
      <w:r w:rsidR="00285F19" w:rsidRPr="00F415DF">
        <w:rPr>
          <w:vertAlign w:val="superscript"/>
        </w:rPr>
        <w:footnoteReference w:id="18"/>
      </w:r>
    </w:p>
    <w:p w14:paraId="5E0A0853" w14:textId="4A25EDE8" w:rsidR="00285F19" w:rsidRPr="000423D4" w:rsidRDefault="00285F19" w:rsidP="00AE46D9">
      <w:pPr>
        <w:pStyle w:val="BodyText"/>
      </w:pPr>
      <w:r>
        <w:t xml:space="preserve">Despite an increasing body of qualitative and </w:t>
      </w:r>
      <w:r w:rsidRPr="006129E3">
        <w:t>quantitative</w:t>
      </w:r>
      <w:r>
        <w:t xml:space="preserve"> research on 457 migrants most of this research is still focused on the labour market outcomes of 457 migrants and their </w:t>
      </w:r>
      <w:r w:rsidR="00F415DF">
        <w:t xml:space="preserve">broader </w:t>
      </w:r>
      <w:r>
        <w:t>impact on the Australian labour market. There is comparatively limited empirical research from the perspective of sponsoring employers (the firms), primarily due to limited availability of data. Given the strong reliance on the program by Australian employers, the recent development of the ABS BLADE offers an opportunity to address this gap.</w:t>
      </w:r>
    </w:p>
    <w:p w14:paraId="41EE48FF" w14:textId="77777777" w:rsidR="00285F19" w:rsidRDefault="00285F19" w:rsidP="00AE46D9">
      <w:pPr>
        <w:pStyle w:val="Heading1"/>
        <w:numPr>
          <w:ilvl w:val="0"/>
          <w:numId w:val="9"/>
        </w:numPr>
      </w:pPr>
      <w:r>
        <w:t>Data</w:t>
      </w:r>
    </w:p>
    <w:p w14:paraId="6D73273D" w14:textId="2664FF01" w:rsidR="00285F19" w:rsidRDefault="00285F19" w:rsidP="00AE46D9">
      <w:pPr>
        <w:pStyle w:val="BodyText"/>
      </w:pPr>
      <w:r>
        <w:t>This research primarily draws on firm-level data from the ABS Business Longitudinal Analysis Data Environment (BLADE) an</w:t>
      </w:r>
      <w:r w:rsidR="00F415DF">
        <w:t>d unpublished data from the immigration department</w:t>
      </w:r>
      <w:r>
        <w:t xml:space="preserve"> on employers who sponsored 457 visa migrants. Figure 3 provides a graphical overview of BLADE which is best thought of as a diverse and evolving data asset that consists of a collection of interlinked data-sets. </w:t>
      </w:r>
    </w:p>
    <w:p w14:paraId="75B54FBC" w14:textId="77777777" w:rsidR="00285F19" w:rsidRPr="006F71C3" w:rsidRDefault="00285F19" w:rsidP="00AE46D9">
      <w:pPr>
        <w:pStyle w:val="BodyText"/>
      </w:pPr>
      <w:r w:rsidRPr="006F71C3">
        <w:t>BLADE contains administrative data on more than two million actively trading Australian businesses. It includes Australian Taxation Office (ATO) data, IP Australia data and some Department of Industry, Innovation and Science (DIIS) program data. The bulk of BLADE data items are sourced from the ATO from:</w:t>
      </w:r>
    </w:p>
    <w:p w14:paraId="47C0D3CF" w14:textId="77777777" w:rsidR="00285F19" w:rsidRPr="00401E23" w:rsidRDefault="00285F19" w:rsidP="00F415DF">
      <w:pPr>
        <w:pStyle w:val="ListBullet"/>
        <w:ind w:left="426"/>
        <w:rPr>
          <w:lang w:val="en-US"/>
        </w:rPr>
      </w:pPr>
      <w:r w:rsidRPr="00401E23">
        <w:rPr>
          <w:b/>
          <w:lang w:val="en-US"/>
        </w:rPr>
        <w:lastRenderedPageBreak/>
        <w:t>Business Activity Statements (BAS)</w:t>
      </w:r>
      <w:r w:rsidRPr="00401E23">
        <w:rPr>
          <w:lang w:val="en-US"/>
        </w:rPr>
        <w:t xml:space="preserve"> that are submitted by businesses to report their </w:t>
      </w:r>
      <w:r>
        <w:rPr>
          <w:lang w:val="en-US"/>
        </w:rPr>
        <w:t>Goods and Services Tax (</w:t>
      </w:r>
      <w:r w:rsidRPr="00401E23">
        <w:rPr>
          <w:lang w:val="en-US"/>
        </w:rPr>
        <w:t>GST</w:t>
      </w:r>
      <w:r>
        <w:rPr>
          <w:lang w:val="en-US"/>
        </w:rPr>
        <w:t>)</w:t>
      </w:r>
      <w:r w:rsidRPr="00401E23">
        <w:rPr>
          <w:lang w:val="en-US"/>
        </w:rPr>
        <w:t xml:space="preserve"> obligations. </w:t>
      </w:r>
      <w:r>
        <w:rPr>
          <w:lang w:val="en-US"/>
        </w:rPr>
        <w:t>Examples of d</w:t>
      </w:r>
      <w:r w:rsidRPr="00401E23">
        <w:rPr>
          <w:lang w:val="en-US"/>
        </w:rPr>
        <w:t>ata items include</w:t>
      </w:r>
      <w:r>
        <w:rPr>
          <w:lang w:val="en-US"/>
        </w:rPr>
        <w:t>d are</w:t>
      </w:r>
      <w:r w:rsidRPr="00401E23">
        <w:rPr>
          <w:lang w:val="en-US"/>
        </w:rPr>
        <w:t xml:space="preserve"> total sales, export sales, wages &amp; salaries, </w:t>
      </w:r>
      <w:r>
        <w:rPr>
          <w:lang w:val="en-US"/>
        </w:rPr>
        <w:t>capital &amp; non-capital purchases</w:t>
      </w:r>
      <w:r w:rsidRPr="00401E23">
        <w:rPr>
          <w:lang w:val="en-US"/>
        </w:rPr>
        <w:t xml:space="preserve"> </w:t>
      </w:r>
    </w:p>
    <w:p w14:paraId="4B8A976C" w14:textId="77777777" w:rsidR="00285F19" w:rsidRPr="00401E23" w:rsidRDefault="00285F19" w:rsidP="00F415DF">
      <w:pPr>
        <w:pStyle w:val="ListBullet"/>
        <w:ind w:left="426"/>
        <w:rPr>
          <w:lang w:val="en-US"/>
        </w:rPr>
      </w:pPr>
      <w:r w:rsidRPr="00401E23">
        <w:rPr>
          <w:b/>
          <w:lang w:val="en-US"/>
        </w:rPr>
        <w:t>Business Income Tax (BIT)</w:t>
      </w:r>
      <w:r w:rsidRPr="00401E23">
        <w:rPr>
          <w:lang w:val="en-US"/>
        </w:rPr>
        <w:t xml:space="preserve"> forms that are submitted by businesses to report taxable income or loss on one of four form types (Company, Pa</w:t>
      </w:r>
      <w:r>
        <w:rPr>
          <w:lang w:val="en-US"/>
        </w:rPr>
        <w:t>rtnership, Sole Trader, and Trust)</w:t>
      </w:r>
    </w:p>
    <w:p w14:paraId="1EDFE14E" w14:textId="77777777" w:rsidR="00285F19" w:rsidRPr="00401E23" w:rsidRDefault="00285F19" w:rsidP="00F415DF">
      <w:pPr>
        <w:pStyle w:val="ListBullet"/>
        <w:ind w:left="426"/>
        <w:rPr>
          <w:lang w:val="en-US"/>
        </w:rPr>
      </w:pPr>
      <w:r w:rsidRPr="00401E23">
        <w:rPr>
          <w:b/>
          <w:lang w:val="en-US"/>
        </w:rPr>
        <w:t>Pay as you go (PAYG)</w:t>
      </w:r>
      <w:r w:rsidRPr="00401E23">
        <w:rPr>
          <w:lang w:val="en-US"/>
        </w:rPr>
        <w:t xml:space="preserve"> statements provided by businesses to report personal income tax obligations of their employees. This is used to model Full-Time Equivalent (FTE) and headcount e</w:t>
      </w:r>
      <w:r>
        <w:rPr>
          <w:lang w:val="en-US"/>
        </w:rPr>
        <w:t>mployment counts.</w:t>
      </w:r>
    </w:p>
    <w:p w14:paraId="0DD3235D" w14:textId="38ED93B2" w:rsidR="00285F19" w:rsidRDefault="00285F19" w:rsidP="00AE46D9">
      <w:pPr>
        <w:pStyle w:val="BodyText"/>
      </w:pPr>
      <w:r>
        <w:t xml:space="preserve">Additionally program data from government departments such as </w:t>
      </w:r>
      <w:r w:rsidR="00A73C05">
        <w:t xml:space="preserve">DIIS </w:t>
      </w:r>
      <w:r>
        <w:t>is also being integrated with BLADE. Each data-set within BLADE can be used on its own, although the true utility of BLADE is facilitating analysis on custom data-sets that draw information from a diverse array of sources such as ABS data, ATO data and data from other sources such as program data from government departments. This is facilitated by using the ABS Business Register (ABSBR) and the associated Australian Business Numbers (ABNs) as the integrating spine that allows for the linking of diverse pieces of information on the same ABN from different data-sets.</w:t>
      </w:r>
    </w:p>
    <w:p w14:paraId="780058D6" w14:textId="77777777" w:rsidR="00285F19" w:rsidRDefault="00285F19" w:rsidP="00285F19">
      <w:pPr>
        <w:pStyle w:val="Caption"/>
      </w:pPr>
      <w:r>
        <w:t>Figure 3: An overview of BLADE</w:t>
      </w:r>
    </w:p>
    <w:tbl>
      <w:tblPr>
        <w:tblStyle w:val="OCETable"/>
        <w:tblW w:w="4940" w:type="pct"/>
        <w:tblInd w:w="108" w:type="dxa"/>
        <w:tblLayout w:type="fixed"/>
        <w:tblLook w:val="04A0" w:firstRow="1" w:lastRow="0" w:firstColumn="1" w:lastColumn="0" w:noHBand="0" w:noVBand="1"/>
        <w:tblCaption w:val="Table contains figure 3: An overview of BLADE"/>
        <w:tblDescription w:val="This table contains figure 3 which highlights the various components of BLADE."/>
      </w:tblPr>
      <w:tblGrid>
        <w:gridCol w:w="6839"/>
      </w:tblGrid>
      <w:tr w:rsidR="00285F19" w14:paraId="488206A2" w14:textId="77777777" w:rsidTr="006129E3">
        <w:trPr>
          <w:cnfStyle w:val="100000000000" w:firstRow="1" w:lastRow="0" w:firstColumn="0" w:lastColumn="0" w:oddVBand="0" w:evenVBand="0" w:oddHBand="0" w:evenHBand="0" w:firstRowFirstColumn="0" w:firstRowLastColumn="0" w:lastRowFirstColumn="0" w:lastRowLastColumn="0"/>
          <w:tblHeader/>
        </w:trPr>
        <w:tc>
          <w:tcPr>
            <w:tcW w:w="9242" w:type="dxa"/>
            <w:shd w:val="clear" w:color="auto" w:fill="auto"/>
          </w:tcPr>
          <w:p w14:paraId="405CF078" w14:textId="77777777" w:rsidR="00285F19" w:rsidRDefault="00285F19" w:rsidP="006129E3">
            <w:pPr>
              <w:pStyle w:val="PlaceholderWide"/>
            </w:pPr>
            <w:r w:rsidRPr="00874C86">
              <w:rPr>
                <w:noProof/>
                <w:lang w:eastAsia="en-AU"/>
              </w:rPr>
              <w:drawing>
                <wp:inline distT="0" distB="0" distL="0" distR="0" wp14:anchorId="3E57FE3F" wp14:editId="50C17C58">
                  <wp:extent cx="4187825" cy="2430145"/>
                  <wp:effectExtent l="0" t="0" r="3175" b="8255"/>
                  <wp:docPr id="5" name="Picture 4" descr="This chart shows the various main components of BLADE and how they fit together." title="Figure 3: An overview of B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2"/>
                          <a:stretch>
                            <a:fillRect/>
                          </a:stretch>
                        </pic:blipFill>
                        <pic:spPr>
                          <a:xfrm>
                            <a:off x="0" y="0"/>
                            <a:ext cx="4187825" cy="2430145"/>
                          </a:xfrm>
                          <a:prstGeom prst="rect">
                            <a:avLst/>
                          </a:prstGeom>
                        </pic:spPr>
                      </pic:pic>
                    </a:graphicData>
                  </a:graphic>
                </wp:inline>
              </w:drawing>
            </w:r>
          </w:p>
        </w:tc>
      </w:tr>
    </w:tbl>
    <w:p w14:paraId="3F4542ED" w14:textId="77777777" w:rsidR="00285F19" w:rsidRPr="00C62F3A" w:rsidRDefault="00285F19" w:rsidP="00285F19">
      <w:pPr>
        <w:pStyle w:val="Note"/>
      </w:pPr>
      <w:r>
        <w:t>Notes: BCS refers to the Business Characteristics Survey, EAS refers to the Economic Activity Survey, BAS refers to Business Activity Statement, BIT refers to Business Income Tax, and PAYG refers to Pay as you go.</w:t>
      </w:r>
    </w:p>
    <w:p w14:paraId="5F256246" w14:textId="43B21788" w:rsidR="00285F19" w:rsidRDefault="006A6D70" w:rsidP="00285F19">
      <w:pPr>
        <w:pStyle w:val="Source"/>
      </w:pPr>
      <w:r>
        <w:t>Source: DIIS (2019</w:t>
      </w:r>
      <w:r w:rsidR="00285F19">
        <w:t>)</w:t>
      </w:r>
    </w:p>
    <w:p w14:paraId="38381203" w14:textId="0D4DBCC9" w:rsidR="00285F19" w:rsidRDefault="00285F19" w:rsidP="00AE46D9">
      <w:pPr>
        <w:pStyle w:val="BodyText"/>
      </w:pPr>
      <w:r>
        <w:t>The ability to integrate data with BLADE and the financial data from the ATO available within, makes BLADE particularly</w:t>
      </w:r>
      <w:r w:rsidR="00C357EC">
        <w:t xml:space="preserve"> suited for the current analysis</w:t>
      </w:r>
      <w:r>
        <w:t xml:space="preserve"> which attempts to assess the differences in performance between firms that made use of 457 visa workers and those that did not.  The </w:t>
      </w:r>
      <w:r w:rsidR="00C357EC">
        <w:t>immigration department collected</w:t>
      </w:r>
      <w:r>
        <w:t xml:space="preserve"> ABN information on Australian employers that sponsored 457 migrants, and this information for financial years 2005-06 to 2013-14 was passed on to the ABS for linking to the ATO data available in BLADE.</w:t>
      </w:r>
    </w:p>
    <w:p w14:paraId="5A17DD39" w14:textId="77777777" w:rsidR="00285F19" w:rsidRDefault="00285F19" w:rsidP="00AE46D9">
      <w:pPr>
        <w:pStyle w:val="BodyText"/>
      </w:pPr>
      <w:r>
        <w:lastRenderedPageBreak/>
        <w:t>Upon linking of the DIBP and ATO data, the researchers were provided access to a custom data-set within BLADE that notably included:</w:t>
      </w:r>
    </w:p>
    <w:p w14:paraId="608EAF45" w14:textId="77777777" w:rsidR="00285F19" w:rsidRPr="006F71C3" w:rsidRDefault="00285F19" w:rsidP="00AE46D9">
      <w:pPr>
        <w:pStyle w:val="ListBullet"/>
        <w:ind w:left="426"/>
        <w:rPr>
          <w:lang w:val="en-US"/>
        </w:rPr>
      </w:pPr>
      <w:r w:rsidRPr="006F71C3">
        <w:rPr>
          <w:lang w:val="en-US"/>
        </w:rPr>
        <w:t>The number of 457 primary applicants sponsored by a business in a given financial year (the visa count)</w:t>
      </w:r>
    </w:p>
    <w:p w14:paraId="5CE6C28E" w14:textId="77777777" w:rsidR="00285F19" w:rsidRPr="006F71C3" w:rsidRDefault="00285F19" w:rsidP="00AE46D9">
      <w:pPr>
        <w:pStyle w:val="ListBullet"/>
        <w:ind w:left="426"/>
        <w:rPr>
          <w:lang w:val="en-US"/>
        </w:rPr>
      </w:pPr>
      <w:r w:rsidRPr="006F71C3">
        <w:rPr>
          <w:lang w:val="en-US"/>
        </w:rPr>
        <w:t>Financial variables such as annual turnover, capital and non-capital expenditure, and export sales for each business</w:t>
      </w:r>
    </w:p>
    <w:p w14:paraId="1BC2AF49" w14:textId="77777777" w:rsidR="00285F19" w:rsidRPr="006F71C3" w:rsidRDefault="00285F19" w:rsidP="00AE46D9">
      <w:pPr>
        <w:pStyle w:val="ListBullet"/>
        <w:ind w:left="426"/>
        <w:rPr>
          <w:lang w:val="en-US"/>
        </w:rPr>
      </w:pPr>
      <w:r w:rsidRPr="006F71C3">
        <w:rPr>
          <w:lang w:val="en-US"/>
        </w:rPr>
        <w:t>The annual wage bill of each business, and derived measures of employment on a full time equivalent (FTE) basis.</w:t>
      </w:r>
    </w:p>
    <w:p w14:paraId="16CB3400" w14:textId="0C30F46C" w:rsidR="00285F19" w:rsidRDefault="00C357EC" w:rsidP="00AE46D9">
      <w:pPr>
        <w:pStyle w:val="BodyText"/>
      </w:pPr>
      <w:r>
        <w:t>This resulted</w:t>
      </w:r>
      <w:r w:rsidR="00285F19">
        <w:t xml:space="preserve"> in a longitudinal data set that allows the performance of firms that made use of 457 workers to be tracked and analysed over time relative to firms that did not make use of the 457 program. Prior to a discussion of the insights and results generated from this linked longitudinal data-set it is worthwhile to briefly discuss the two broad cohorts of firms in BLADE.</w:t>
      </w:r>
    </w:p>
    <w:p w14:paraId="0C96AB7C" w14:textId="451E0B13" w:rsidR="00285F19" w:rsidRDefault="00285F19" w:rsidP="00AE46D9">
      <w:pPr>
        <w:pStyle w:val="BodyText"/>
      </w:pPr>
      <w:r>
        <w:t>The firms included in the ABSBR consist of non-profiled (simple) firms and profiled (complex) firms. Non-profiled firms have simple structures and conduct business under just one ABN.  Profiled firms on the other hand have complex structures with multiple types of activity units (TAUs) conducting business under multiple ABNs potentially across multiple industries, markets and regions as part of an enterprise group (EG). Profiled firms are a minority of all Australian firms</w:t>
      </w:r>
      <w:r w:rsidR="00C357EC">
        <w:t xml:space="preserve"> but account for a significant proportion of economic activity. They</w:t>
      </w:r>
      <w:r>
        <w:t xml:space="preserve"> tend to be larger and for these firms the ABS maintains its own units structure through direct contact with </w:t>
      </w:r>
      <w:r w:rsidR="00C357EC">
        <w:t>complex firms</w:t>
      </w:r>
      <w:r>
        <w:t>. This research project limits its scope to the non-profiled (simple) firms due to the difficulty of disaggregating 457 visa counts for each complex firm across its various TAUs. It is hoped that further refinements to the linked data will allow for an analysis of these complex firms. Readers interested in knowing more about BLADE are referred to Hansell and Rafi (2017)</w:t>
      </w:r>
      <w:r w:rsidRPr="00C357EC">
        <w:rPr>
          <w:vertAlign w:val="superscript"/>
        </w:rPr>
        <w:footnoteReference w:id="19"/>
      </w:r>
      <w:r>
        <w:t xml:space="preserve"> who discuss the ABS data linking methodology, salient features of BLADE as well as the current access mechanisms that are available to researchers who wish to conduct analysis using BLADE. </w:t>
      </w:r>
    </w:p>
    <w:p w14:paraId="0B3D7277" w14:textId="77777777" w:rsidR="00285F19" w:rsidRDefault="00285F19" w:rsidP="00AE46D9">
      <w:pPr>
        <w:pStyle w:val="BodyText"/>
      </w:pPr>
      <w:r>
        <w:t>The next section of this paper presents descriptive statistics from the linked BLADE-DIBP data to establish some aggregate characteristics of 457 migrant sponsoring firms.</w:t>
      </w:r>
    </w:p>
    <w:p w14:paraId="3D9B271F" w14:textId="77777777" w:rsidR="00285F19" w:rsidRDefault="00285F19" w:rsidP="00AE46D9">
      <w:pPr>
        <w:pStyle w:val="Heading1"/>
        <w:numPr>
          <w:ilvl w:val="0"/>
          <w:numId w:val="9"/>
        </w:numPr>
      </w:pPr>
      <w:r>
        <w:t>Descriptive Statistics</w:t>
      </w:r>
    </w:p>
    <w:p w14:paraId="0438AED3" w14:textId="77777777" w:rsidR="00285F19" w:rsidRDefault="00285F19" w:rsidP="00AE46D9">
      <w:pPr>
        <w:pStyle w:val="BodyText"/>
      </w:pPr>
      <w:r w:rsidRPr="003404B6">
        <w:t>This section describes the 457 visa sponsoring businesses in terms of their business and financial characteristics and also compare</w:t>
      </w:r>
      <w:r>
        <w:t>s</w:t>
      </w:r>
      <w:r w:rsidRPr="003404B6">
        <w:t xml:space="preserve"> these characteristics with other </w:t>
      </w:r>
      <w:r>
        <w:t xml:space="preserve">non-sponsoring </w:t>
      </w:r>
      <w:r w:rsidRPr="003404B6">
        <w:t>Australian</w:t>
      </w:r>
      <w:r>
        <w:t xml:space="preserve"> businesses that were</w:t>
      </w:r>
      <w:r w:rsidRPr="003404B6">
        <w:t xml:space="preserve"> similar to</w:t>
      </w:r>
      <w:r>
        <w:t xml:space="preserve"> the</w:t>
      </w:r>
      <w:r w:rsidRPr="003404B6">
        <w:t xml:space="preserve"> 457 visa sponsoring firms.</w:t>
      </w:r>
      <w:r>
        <w:t xml:space="preserve"> To improve the quality of the comparison the linked dataset is trimmed by:</w:t>
      </w:r>
    </w:p>
    <w:p w14:paraId="0D9790F9" w14:textId="77777777" w:rsidR="00285F19" w:rsidRPr="006F71C3" w:rsidRDefault="00285F19" w:rsidP="00AE46D9">
      <w:pPr>
        <w:pStyle w:val="ListBullet"/>
        <w:ind w:left="426"/>
        <w:rPr>
          <w:lang w:val="en-US"/>
        </w:rPr>
      </w:pPr>
      <w:r w:rsidRPr="006F71C3">
        <w:rPr>
          <w:lang w:val="en-US"/>
        </w:rPr>
        <w:t xml:space="preserve">Only considering simple (non-profiled) businesses for both sponsoring and non-sponsoring businesses. This is done to avoid the problem of </w:t>
      </w:r>
      <w:r w:rsidRPr="006F71C3">
        <w:rPr>
          <w:lang w:val="en-US"/>
        </w:rPr>
        <w:lastRenderedPageBreak/>
        <w:t>misattribution that occurs with complex firms with multiple TAUs as discussed in the previous section</w:t>
      </w:r>
    </w:p>
    <w:p w14:paraId="0AA15C67" w14:textId="77777777" w:rsidR="00285F19" w:rsidRPr="006F71C3" w:rsidRDefault="00285F19" w:rsidP="00AE46D9">
      <w:pPr>
        <w:pStyle w:val="ListBullet"/>
        <w:ind w:left="426"/>
        <w:rPr>
          <w:lang w:val="en-US"/>
        </w:rPr>
      </w:pPr>
      <w:r w:rsidRPr="006F71C3">
        <w:rPr>
          <w:lang w:val="en-US"/>
        </w:rPr>
        <w:t>Excluding businesses that did not report their wages (from which estimates of FTE are derived) as otherwise it is not possible to segregate firms by employment size cohorts. Given the complex nature of analytical issues associated with large businesses, this study focuses only on Small to Medium Sized Enterprises (SMEs) that employed less than 199 persons</w:t>
      </w:r>
    </w:p>
    <w:p w14:paraId="6B629AE1" w14:textId="77777777" w:rsidR="00285F19" w:rsidRPr="006F71C3" w:rsidRDefault="00285F19" w:rsidP="00AE46D9">
      <w:pPr>
        <w:pStyle w:val="ListBullet"/>
        <w:ind w:left="426"/>
        <w:rPr>
          <w:lang w:val="en-US"/>
        </w:rPr>
      </w:pPr>
      <w:r w:rsidRPr="006F71C3">
        <w:rPr>
          <w:lang w:val="en-US"/>
        </w:rPr>
        <w:t>Excluding firms that, in any given financial year, had a sponsored visa count to employment (FTE) ratio of greater than one. A visa count to FTE ratio that is greater than one implies that a business sponsored more 457 migrants than its total workforce. This was the case for a very small minority of 457 sponsoring businesses in the linked BLADE-DIBP data-set. There are a number of potential reasons for this, notably, such businesses could be labour hire or contracting firms that sub-contract migrant employees or source them on behalf of other businesses. Any sponsoring business with a visa count to FTE ratio greater than one is removed from the merged data. This is unlikely to change the overall pattern of the statistics presented as such businesses were a very small minority of the data</w:t>
      </w:r>
    </w:p>
    <w:p w14:paraId="40DCA42C" w14:textId="77777777" w:rsidR="00285F19" w:rsidRPr="006F71C3" w:rsidRDefault="00285F19" w:rsidP="00AE46D9">
      <w:pPr>
        <w:pStyle w:val="ListBullet"/>
        <w:ind w:left="426"/>
        <w:rPr>
          <w:lang w:val="en-US"/>
        </w:rPr>
      </w:pPr>
      <w:r w:rsidRPr="006F71C3">
        <w:rPr>
          <w:lang w:val="en-US"/>
        </w:rPr>
        <w:t>Finally, any firm for which there is no Industry classification is also removed from the data. Such firms were again a small minority of the linked DIBP-BLADE data-set.</w:t>
      </w:r>
    </w:p>
    <w:p w14:paraId="6B92FE54" w14:textId="77777777" w:rsidR="00285F19" w:rsidRDefault="00285F19" w:rsidP="00AE46D9">
      <w:pPr>
        <w:pStyle w:val="Heading2"/>
        <w:numPr>
          <w:ilvl w:val="1"/>
          <w:numId w:val="9"/>
        </w:numPr>
        <w:ind w:left="709"/>
      </w:pPr>
      <w:r>
        <w:t xml:space="preserve">Business Characteristics of 457 migrant sponsoring firms </w:t>
      </w:r>
    </w:p>
    <w:p w14:paraId="0133CE43" w14:textId="4064C9DA" w:rsidR="00285F19" w:rsidRDefault="00285F19" w:rsidP="00AE46D9">
      <w:pPr>
        <w:pStyle w:val="BodyText"/>
      </w:pPr>
      <w:r>
        <w:t xml:space="preserve">It must be noted that the descriptive statistics presented below relate to the characteristics of 457 sponsoring businesses from the linked BLADE-DIBP data-set. They are not analogous to the visa grant statistics that are reported </w:t>
      </w:r>
      <w:r w:rsidR="00BC49C9">
        <w:t xml:space="preserve">periodically </w:t>
      </w:r>
      <w:r>
        <w:t xml:space="preserve">by the </w:t>
      </w:r>
      <w:r w:rsidR="00BC49C9">
        <w:t>immigration department</w:t>
      </w:r>
      <w:r>
        <w:t>, and hence should not be seen as a substitute for them.</w:t>
      </w:r>
    </w:p>
    <w:p w14:paraId="3B7C89A0" w14:textId="77777777" w:rsidR="00285F19" w:rsidRDefault="00285F19" w:rsidP="00AE46D9">
      <w:pPr>
        <w:pStyle w:val="BodyText"/>
      </w:pPr>
      <w:r>
        <w:t>Table 3 gives the characteristics of 457 visa sponsoring firms. There was a significant increase in the number of Australian businesses that sourced specialised skills from overseas during the period 2005-06 to 2013-14 — the number of businesses that sponsored temporary skilled migrants more than doubled during this period from 4,896 to 11,988 businesses.  In terms of the number of migrants sponsored, in any given financial year, almost three fourths of the sponsors hired only one temporary skilled migrant and 15 per cent of Australian businesses sponsored two temporary skilled migrants. On average, only one tenth of Australian businesses sponsored more than two temporary skilled migrants.</w:t>
      </w:r>
    </w:p>
    <w:p w14:paraId="33B89C30" w14:textId="52E6EB80" w:rsidR="00285F19" w:rsidRDefault="00285F19" w:rsidP="00AE46D9">
      <w:pPr>
        <w:pStyle w:val="BodyText"/>
      </w:pPr>
      <w:r w:rsidRPr="00E276A5">
        <w:t>Within SMEs, there was not much variation between business size and</w:t>
      </w:r>
      <w:r>
        <w:t xml:space="preserve"> the</w:t>
      </w:r>
      <w:r w:rsidRPr="00E276A5">
        <w:t xml:space="preserve"> </w:t>
      </w:r>
      <w:r>
        <w:t>proclivity to sponsor</w:t>
      </w:r>
      <w:r w:rsidRPr="00E276A5">
        <w:t xml:space="preserve"> 457 </w:t>
      </w:r>
      <w:r>
        <w:t>migrants</w:t>
      </w:r>
      <w:r w:rsidRPr="00E276A5">
        <w:t>.  However, micro sized</w:t>
      </w:r>
      <w:r>
        <w:t xml:space="preserve"> (1</w:t>
      </w:r>
      <w:r w:rsidR="00BC49C9">
        <w:rPr>
          <w:rFonts w:cstheme="minorHAnsi"/>
        </w:rPr>
        <w:t>–</w:t>
      </w:r>
      <w:r>
        <w:t>4 employees)</w:t>
      </w:r>
      <w:r w:rsidRPr="00E276A5">
        <w:t xml:space="preserve"> Australian businesses </w:t>
      </w:r>
      <w:r>
        <w:t xml:space="preserve">increased their reliance </w:t>
      </w:r>
      <w:r w:rsidRPr="00E276A5">
        <w:t>on</w:t>
      </w:r>
      <w:r>
        <w:t xml:space="preserve"> the 457 program</w:t>
      </w:r>
      <w:r w:rsidRPr="00E276A5">
        <w:t xml:space="preserve"> in more recent years </w:t>
      </w:r>
      <w:r>
        <w:t>accounting</w:t>
      </w:r>
      <w:r w:rsidRPr="00E276A5">
        <w:t xml:space="preserve"> for</w:t>
      </w:r>
      <w:r>
        <w:t xml:space="preserve"> a 12</w:t>
      </w:r>
      <w:r w:rsidRPr="00E276A5">
        <w:t xml:space="preserve"> per</w:t>
      </w:r>
      <w:r>
        <w:t xml:space="preserve"> </w:t>
      </w:r>
      <w:r w:rsidRPr="00E276A5">
        <w:t>cent increase</w:t>
      </w:r>
      <w:r>
        <w:t xml:space="preserve"> in sponsorships</w:t>
      </w:r>
      <w:r w:rsidRPr="00E276A5">
        <w:t xml:space="preserve"> </w:t>
      </w:r>
      <w:r>
        <w:t>between 2010</w:t>
      </w:r>
      <w:r w:rsidR="00BC49C9">
        <w:rPr>
          <w:rFonts w:cstheme="minorHAnsi"/>
        </w:rPr>
        <w:t>–</w:t>
      </w:r>
      <w:r>
        <w:t>11 and</w:t>
      </w:r>
      <w:r w:rsidRPr="00E276A5">
        <w:t xml:space="preserve"> 2013</w:t>
      </w:r>
      <w:r w:rsidR="00BC49C9">
        <w:rPr>
          <w:rFonts w:cstheme="minorHAnsi"/>
        </w:rPr>
        <w:t>–</w:t>
      </w:r>
      <w:r w:rsidRPr="00E276A5">
        <w:t xml:space="preserve">14. </w:t>
      </w:r>
      <w:r>
        <w:t xml:space="preserve">The proportion of </w:t>
      </w:r>
      <w:r w:rsidRPr="00E276A5">
        <w:t>medium si</w:t>
      </w:r>
      <w:r>
        <w:t>zed (20</w:t>
      </w:r>
      <w:r w:rsidR="00BC49C9">
        <w:rPr>
          <w:rFonts w:cstheme="minorHAnsi"/>
        </w:rPr>
        <w:t>–</w:t>
      </w:r>
      <w:r>
        <w:t>199 employees) businesses decreased by 11</w:t>
      </w:r>
      <w:r w:rsidRPr="00E276A5">
        <w:t xml:space="preserve"> per</w:t>
      </w:r>
      <w:r>
        <w:t xml:space="preserve"> </w:t>
      </w:r>
      <w:r w:rsidRPr="00E276A5">
        <w:t>cent during the same period</w:t>
      </w:r>
      <w:r>
        <w:t>,</w:t>
      </w:r>
      <w:r w:rsidRPr="00E276A5">
        <w:t xml:space="preserve"> while</w:t>
      </w:r>
      <w:r>
        <w:t xml:space="preserve"> the proportion of</w:t>
      </w:r>
      <w:r w:rsidRPr="00E276A5">
        <w:t xml:space="preserve"> small</w:t>
      </w:r>
      <w:r>
        <w:t xml:space="preserve"> (5</w:t>
      </w:r>
      <w:r w:rsidR="00BC49C9">
        <w:rPr>
          <w:rFonts w:cstheme="minorHAnsi"/>
        </w:rPr>
        <w:t>–</w:t>
      </w:r>
      <w:r>
        <w:t>19 employees) businesses showed</w:t>
      </w:r>
      <w:r w:rsidRPr="00E276A5">
        <w:t xml:space="preserve"> no significant change during that period.</w:t>
      </w:r>
    </w:p>
    <w:p w14:paraId="4C4CB34E" w14:textId="1444E692" w:rsidR="00285F19" w:rsidRPr="00E276A5" w:rsidRDefault="00285F19" w:rsidP="00AE46D9">
      <w:pPr>
        <w:pStyle w:val="BodyText"/>
      </w:pPr>
      <w:r w:rsidRPr="00E276A5">
        <w:lastRenderedPageBreak/>
        <w:t xml:space="preserve">One </w:t>
      </w:r>
      <w:r>
        <w:t>stark feature that is apparent</w:t>
      </w:r>
      <w:r w:rsidRPr="00E276A5">
        <w:t xml:space="preserve"> from </w:t>
      </w:r>
      <w:r>
        <w:t>the statistics in Table 3</w:t>
      </w:r>
      <w:r w:rsidRPr="00E276A5">
        <w:t xml:space="preserve"> </w:t>
      </w:r>
      <w:r>
        <w:t>is</w:t>
      </w:r>
      <w:r w:rsidRPr="00E276A5">
        <w:t xml:space="preserve"> the</w:t>
      </w:r>
      <w:r>
        <w:t xml:space="preserve"> decline in the</w:t>
      </w:r>
      <w:r w:rsidRPr="00E276A5">
        <w:t xml:space="preserve"> proportion of exporting firms </w:t>
      </w:r>
      <w:r>
        <w:t>involved in sponsoring 457 migrants, which</w:t>
      </w:r>
      <w:r w:rsidRPr="00E276A5">
        <w:t xml:space="preserve"> decreased significantly from 28.4 per cent in 2005</w:t>
      </w:r>
      <w:r w:rsidR="00BC49C9">
        <w:rPr>
          <w:rFonts w:cstheme="minorHAnsi"/>
        </w:rPr>
        <w:t>–</w:t>
      </w:r>
      <w:r w:rsidRPr="00E276A5">
        <w:t>06 to 16.1 per cent in</w:t>
      </w:r>
      <w:r w:rsidR="00BC49C9">
        <w:br/>
      </w:r>
      <w:r w:rsidRPr="00E276A5">
        <w:t>2013</w:t>
      </w:r>
      <w:r w:rsidR="00BC49C9">
        <w:rPr>
          <w:rFonts w:cstheme="minorHAnsi"/>
        </w:rPr>
        <w:t>–</w:t>
      </w:r>
      <w:r w:rsidRPr="00E276A5">
        <w:t xml:space="preserve">14. </w:t>
      </w:r>
      <w:r>
        <w:t>There are a number of potential reasons for this such as,</w:t>
      </w:r>
      <w:r w:rsidRPr="00E276A5">
        <w:t xml:space="preserve"> changes in non-trading sectors looking to produce goods and services using more innovative methods</w:t>
      </w:r>
      <w:r>
        <w:t>, business reorientation to satisfy domestic demand rather than foreign demand, and or</w:t>
      </w:r>
      <w:r w:rsidRPr="00E276A5">
        <w:t xml:space="preserve"> changes to consumers taste and preferences </w:t>
      </w:r>
      <w:r>
        <w:t>for products involving</w:t>
      </w:r>
      <w:r w:rsidRPr="00E276A5">
        <w:t xml:space="preserve"> the use of specialised skilled workers. </w:t>
      </w:r>
    </w:p>
    <w:p w14:paraId="70FFBCF0" w14:textId="59857C68" w:rsidR="00285F19" w:rsidRDefault="00285F19" w:rsidP="00285F19">
      <w:pPr>
        <w:pStyle w:val="BodyText"/>
      </w:pPr>
      <w:r>
        <w:t>Table 4 shows that the p</w:t>
      </w:r>
      <w:r w:rsidRPr="00E276A5">
        <w:t>roportion of visa sponsoring firms</w:t>
      </w:r>
      <w:r>
        <w:t xml:space="preserve"> also varied</w:t>
      </w:r>
      <w:r w:rsidRPr="00E276A5">
        <w:t xml:space="preserve"> among industry sectors and there were significant changes in </w:t>
      </w:r>
      <w:r>
        <w:t xml:space="preserve">the use of 457 visa temporary skilled migrants </w:t>
      </w:r>
      <w:r w:rsidRPr="00E276A5">
        <w:t>over time.  Professional, Scientific and Technical services (PST), Accommodation and food services (AFS) and manufacturing (MFG) were the top three industry sectors that</w:t>
      </w:r>
      <w:r>
        <w:t xml:space="preserve"> were</w:t>
      </w:r>
      <w:r w:rsidRPr="00E276A5">
        <w:t xml:space="preserve"> involved in sponsoring 45</w:t>
      </w:r>
      <w:r>
        <w:t>7 visas in 2005</w:t>
      </w:r>
      <w:r w:rsidR="00BC49C9">
        <w:rPr>
          <w:rFonts w:cstheme="minorHAnsi"/>
        </w:rPr>
        <w:t>–</w:t>
      </w:r>
      <w:r>
        <w:t>06.  However, by</w:t>
      </w:r>
      <w:r w:rsidRPr="00E276A5">
        <w:t xml:space="preserve"> 2013</w:t>
      </w:r>
      <w:r w:rsidR="00BC49C9">
        <w:rPr>
          <w:rFonts w:cstheme="minorHAnsi"/>
        </w:rPr>
        <w:t>–</w:t>
      </w:r>
      <w:r w:rsidRPr="00E276A5">
        <w:t xml:space="preserve">14, only PST </w:t>
      </w:r>
      <w:r>
        <w:t>and AFS remained within the top</w:t>
      </w:r>
      <w:r w:rsidRPr="00E276A5">
        <w:t xml:space="preserve"> three.  In AFS, </w:t>
      </w:r>
      <w:r>
        <w:t xml:space="preserve">a </w:t>
      </w:r>
      <w:r w:rsidRPr="00E276A5">
        <w:t>significantly higher proportion of Australian businesses recruited overseas skilled workers in 2013</w:t>
      </w:r>
      <w:r w:rsidR="00BC49C9">
        <w:rPr>
          <w:rFonts w:cstheme="minorHAnsi"/>
        </w:rPr>
        <w:t>–</w:t>
      </w:r>
      <w:r w:rsidRPr="00E276A5">
        <w:t>14 (21.7 per cent) compared to 2005</w:t>
      </w:r>
      <w:r w:rsidR="00BC49C9">
        <w:rPr>
          <w:rFonts w:cstheme="minorHAnsi"/>
        </w:rPr>
        <w:t>–</w:t>
      </w:r>
      <w:r w:rsidRPr="00E276A5">
        <w:t>06 (13.4 per</w:t>
      </w:r>
      <w:r>
        <w:t xml:space="preserve"> </w:t>
      </w:r>
      <w:r w:rsidRPr="00E276A5">
        <w:t>cent).  Whereas in PST the proportion of 457 sponsoring businesses decreased from 20.5 per</w:t>
      </w:r>
      <w:r>
        <w:t xml:space="preserve"> c</w:t>
      </w:r>
      <w:r w:rsidRPr="00E276A5">
        <w:t xml:space="preserve">ent to 13.6 </w:t>
      </w:r>
      <w:r>
        <w:t>per cent during the same period. T</w:t>
      </w:r>
      <w:r w:rsidRPr="00E276A5">
        <w:t>here was a significant decrease in manufacturing sector as well.</w:t>
      </w:r>
      <w:r w:rsidR="004577AD">
        <w:t xml:space="preserve"> </w:t>
      </w:r>
    </w:p>
    <w:p w14:paraId="1E0027AB" w14:textId="77777777" w:rsidR="00285F19" w:rsidRDefault="00285F19" w:rsidP="00285F19">
      <w:pPr>
        <w:pStyle w:val="BodyText"/>
        <w:sectPr w:rsidR="00285F19" w:rsidSect="00364C8A">
          <w:pgSz w:w="11906" w:h="16838" w:code="9"/>
          <w:pgMar w:top="1440" w:right="1440" w:bottom="1440" w:left="3544" w:header="709" w:footer="709" w:gutter="0"/>
          <w:cols w:space="708"/>
          <w:docGrid w:linePitch="360"/>
        </w:sectPr>
      </w:pPr>
    </w:p>
    <w:p w14:paraId="06FE94EE" w14:textId="77777777" w:rsidR="00285F19" w:rsidRDefault="00285F19" w:rsidP="00285F19">
      <w:pPr>
        <w:pStyle w:val="Caption"/>
      </w:pPr>
      <w:r w:rsidRPr="000618FB">
        <w:lastRenderedPageBreak/>
        <w:t>Table</w:t>
      </w:r>
      <w:r>
        <w:t xml:space="preserve"> 3</w:t>
      </w:r>
      <w:r w:rsidRPr="000618FB">
        <w:t xml:space="preserve">: </w:t>
      </w:r>
      <w:r>
        <w:t>Attributes of 457 migrant sponsoring businesses</w:t>
      </w:r>
    </w:p>
    <w:tbl>
      <w:tblPr>
        <w:tblStyle w:val="OCETable"/>
        <w:tblW w:w="5000" w:type="pct"/>
        <w:tblLook w:val="04A0" w:firstRow="1" w:lastRow="0" w:firstColumn="1" w:lastColumn="0" w:noHBand="0" w:noVBand="1"/>
        <w:tblCaption w:val="Table 3: Attributes of 457 migrant sponsoring businesses"/>
        <w:tblDescription w:val="This table contains information on the attributes such as size of business, number of migrants sponsored and exporter status of sponsoring businesses. The source of the data is statistics compiled via BLADE."/>
      </w:tblPr>
      <w:tblGrid>
        <w:gridCol w:w="2799"/>
        <w:gridCol w:w="1944"/>
        <w:gridCol w:w="1024"/>
        <w:gridCol w:w="1023"/>
        <w:gridCol w:w="1024"/>
        <w:gridCol w:w="1024"/>
        <w:gridCol w:w="1024"/>
        <w:gridCol w:w="1024"/>
        <w:gridCol w:w="1024"/>
        <w:gridCol w:w="1024"/>
        <w:gridCol w:w="1024"/>
      </w:tblGrid>
      <w:tr w:rsidR="00285F19" w:rsidRPr="006272B7" w14:paraId="521DEEDF" w14:textId="77777777" w:rsidTr="006129E3">
        <w:trPr>
          <w:cnfStyle w:val="100000000000" w:firstRow="1" w:lastRow="0" w:firstColumn="0" w:lastColumn="0" w:oddVBand="0" w:evenVBand="0" w:oddHBand="0" w:evenHBand="0" w:firstRowFirstColumn="0" w:firstRowLastColumn="0" w:lastRowFirstColumn="0" w:lastRowLastColumn="0"/>
          <w:trHeight w:val="200"/>
          <w:tblHeader/>
        </w:trPr>
        <w:tc>
          <w:tcPr>
            <w:tcW w:w="2800" w:type="dxa"/>
            <w:noWrap/>
            <w:hideMark/>
          </w:tcPr>
          <w:p w14:paraId="6FA41EB6" w14:textId="77777777" w:rsidR="00285F19" w:rsidRPr="006272B7" w:rsidRDefault="00285F19" w:rsidP="006129E3">
            <w:pPr>
              <w:pStyle w:val="Tableheadertext"/>
              <w:rPr>
                <w:lang w:eastAsia="en-AU"/>
              </w:rPr>
            </w:pPr>
            <w:r w:rsidRPr="006272B7">
              <w:rPr>
                <w:lang w:eastAsia="en-AU"/>
              </w:rPr>
              <w:t>Attribute</w:t>
            </w:r>
          </w:p>
        </w:tc>
        <w:tc>
          <w:tcPr>
            <w:tcW w:w="1944" w:type="dxa"/>
            <w:noWrap/>
            <w:hideMark/>
          </w:tcPr>
          <w:p w14:paraId="063B2B6D" w14:textId="77777777" w:rsidR="00285F19" w:rsidRPr="006272B7" w:rsidRDefault="00285F19" w:rsidP="006129E3">
            <w:pPr>
              <w:pStyle w:val="Tableheadertext"/>
              <w:rPr>
                <w:lang w:eastAsia="en-AU"/>
              </w:rPr>
            </w:pPr>
          </w:p>
        </w:tc>
        <w:tc>
          <w:tcPr>
            <w:tcW w:w="1024" w:type="dxa"/>
            <w:noWrap/>
            <w:hideMark/>
          </w:tcPr>
          <w:p w14:paraId="26FD9917" w14:textId="77777777" w:rsidR="00285F19" w:rsidRPr="006272B7" w:rsidRDefault="00285F19" w:rsidP="006129E3">
            <w:pPr>
              <w:pStyle w:val="Tableheadertext"/>
              <w:jc w:val="right"/>
              <w:rPr>
                <w:lang w:eastAsia="en-AU"/>
              </w:rPr>
            </w:pPr>
            <w:r w:rsidRPr="006272B7">
              <w:rPr>
                <w:lang w:eastAsia="en-AU"/>
              </w:rPr>
              <w:t>2005-06</w:t>
            </w:r>
          </w:p>
        </w:tc>
        <w:tc>
          <w:tcPr>
            <w:tcW w:w="1024" w:type="dxa"/>
            <w:noWrap/>
            <w:hideMark/>
          </w:tcPr>
          <w:p w14:paraId="69E6CC70" w14:textId="77777777" w:rsidR="00285F19" w:rsidRPr="006272B7" w:rsidRDefault="00285F19" w:rsidP="006129E3">
            <w:pPr>
              <w:pStyle w:val="Tableheadertext"/>
              <w:jc w:val="right"/>
              <w:rPr>
                <w:lang w:eastAsia="en-AU"/>
              </w:rPr>
            </w:pPr>
            <w:r w:rsidRPr="006272B7">
              <w:rPr>
                <w:lang w:eastAsia="en-AU"/>
              </w:rPr>
              <w:t>2006-07</w:t>
            </w:r>
          </w:p>
        </w:tc>
        <w:tc>
          <w:tcPr>
            <w:tcW w:w="1025" w:type="dxa"/>
            <w:noWrap/>
            <w:hideMark/>
          </w:tcPr>
          <w:p w14:paraId="563DD0A8" w14:textId="77777777" w:rsidR="00285F19" w:rsidRPr="006272B7" w:rsidRDefault="00285F19" w:rsidP="006129E3">
            <w:pPr>
              <w:pStyle w:val="Tableheadertext"/>
              <w:jc w:val="right"/>
              <w:rPr>
                <w:lang w:eastAsia="en-AU"/>
              </w:rPr>
            </w:pPr>
            <w:r w:rsidRPr="006272B7">
              <w:rPr>
                <w:lang w:eastAsia="en-AU"/>
              </w:rPr>
              <w:t>2007-08</w:t>
            </w:r>
          </w:p>
        </w:tc>
        <w:tc>
          <w:tcPr>
            <w:tcW w:w="1025" w:type="dxa"/>
            <w:noWrap/>
            <w:hideMark/>
          </w:tcPr>
          <w:p w14:paraId="1C7AB36C" w14:textId="77777777" w:rsidR="00285F19" w:rsidRPr="006272B7" w:rsidRDefault="00285F19" w:rsidP="006129E3">
            <w:pPr>
              <w:pStyle w:val="Tableheadertext"/>
              <w:jc w:val="right"/>
              <w:rPr>
                <w:lang w:eastAsia="en-AU"/>
              </w:rPr>
            </w:pPr>
            <w:r w:rsidRPr="006272B7">
              <w:rPr>
                <w:lang w:eastAsia="en-AU"/>
              </w:rPr>
              <w:t>2008-09</w:t>
            </w:r>
          </w:p>
        </w:tc>
        <w:tc>
          <w:tcPr>
            <w:tcW w:w="1025" w:type="dxa"/>
            <w:noWrap/>
            <w:hideMark/>
          </w:tcPr>
          <w:p w14:paraId="2A41E969" w14:textId="77777777" w:rsidR="00285F19" w:rsidRPr="006272B7" w:rsidRDefault="00285F19" w:rsidP="006129E3">
            <w:pPr>
              <w:pStyle w:val="Tableheadertext"/>
              <w:jc w:val="right"/>
              <w:rPr>
                <w:lang w:eastAsia="en-AU"/>
              </w:rPr>
            </w:pPr>
            <w:r w:rsidRPr="006272B7">
              <w:rPr>
                <w:lang w:eastAsia="en-AU"/>
              </w:rPr>
              <w:t>2009-10</w:t>
            </w:r>
          </w:p>
        </w:tc>
        <w:tc>
          <w:tcPr>
            <w:tcW w:w="1025" w:type="dxa"/>
            <w:noWrap/>
            <w:hideMark/>
          </w:tcPr>
          <w:p w14:paraId="3DA43D4F" w14:textId="77777777" w:rsidR="00285F19" w:rsidRPr="006272B7" w:rsidRDefault="00285F19" w:rsidP="006129E3">
            <w:pPr>
              <w:pStyle w:val="Tableheadertext"/>
              <w:jc w:val="right"/>
              <w:rPr>
                <w:lang w:eastAsia="en-AU"/>
              </w:rPr>
            </w:pPr>
            <w:r w:rsidRPr="006272B7">
              <w:rPr>
                <w:lang w:eastAsia="en-AU"/>
              </w:rPr>
              <w:t>2010-11</w:t>
            </w:r>
          </w:p>
        </w:tc>
        <w:tc>
          <w:tcPr>
            <w:tcW w:w="1025" w:type="dxa"/>
            <w:noWrap/>
            <w:hideMark/>
          </w:tcPr>
          <w:p w14:paraId="60D0C335" w14:textId="77777777" w:rsidR="00285F19" w:rsidRPr="006272B7" w:rsidRDefault="00285F19" w:rsidP="006129E3">
            <w:pPr>
              <w:pStyle w:val="Tableheadertext"/>
              <w:jc w:val="right"/>
              <w:rPr>
                <w:lang w:eastAsia="en-AU"/>
              </w:rPr>
            </w:pPr>
            <w:r w:rsidRPr="006272B7">
              <w:rPr>
                <w:lang w:eastAsia="en-AU"/>
              </w:rPr>
              <w:t>2011-12</w:t>
            </w:r>
          </w:p>
        </w:tc>
        <w:tc>
          <w:tcPr>
            <w:tcW w:w="1025" w:type="dxa"/>
            <w:noWrap/>
            <w:hideMark/>
          </w:tcPr>
          <w:p w14:paraId="43DDBB58" w14:textId="77777777" w:rsidR="00285F19" w:rsidRPr="006272B7" w:rsidRDefault="00285F19" w:rsidP="006129E3">
            <w:pPr>
              <w:pStyle w:val="Tableheadertext"/>
              <w:jc w:val="right"/>
              <w:rPr>
                <w:lang w:eastAsia="en-AU"/>
              </w:rPr>
            </w:pPr>
            <w:r w:rsidRPr="006272B7">
              <w:rPr>
                <w:lang w:eastAsia="en-AU"/>
              </w:rPr>
              <w:t>2012-13</w:t>
            </w:r>
          </w:p>
        </w:tc>
        <w:tc>
          <w:tcPr>
            <w:tcW w:w="1025" w:type="dxa"/>
            <w:noWrap/>
            <w:hideMark/>
          </w:tcPr>
          <w:p w14:paraId="2C68F8CF" w14:textId="77777777" w:rsidR="00285F19" w:rsidRPr="006272B7" w:rsidRDefault="00285F19" w:rsidP="006129E3">
            <w:pPr>
              <w:pStyle w:val="Tableheadertext"/>
              <w:jc w:val="right"/>
              <w:rPr>
                <w:lang w:eastAsia="en-AU"/>
              </w:rPr>
            </w:pPr>
            <w:r w:rsidRPr="006272B7">
              <w:rPr>
                <w:lang w:eastAsia="en-AU"/>
              </w:rPr>
              <w:t>2013-14</w:t>
            </w:r>
          </w:p>
        </w:tc>
      </w:tr>
      <w:tr w:rsidR="00285F19" w:rsidRPr="006272B7" w14:paraId="28FBDD30" w14:textId="77777777" w:rsidTr="006129E3">
        <w:trPr>
          <w:cnfStyle w:val="000000100000" w:firstRow="0" w:lastRow="0" w:firstColumn="0" w:lastColumn="0" w:oddVBand="0" w:evenVBand="0" w:oddHBand="1" w:evenHBand="0" w:firstRowFirstColumn="0" w:firstRowLastColumn="0" w:lastRowFirstColumn="0" w:lastRowLastColumn="0"/>
          <w:trHeight w:val="200"/>
        </w:trPr>
        <w:tc>
          <w:tcPr>
            <w:tcW w:w="2800" w:type="dxa"/>
            <w:noWrap/>
            <w:hideMark/>
          </w:tcPr>
          <w:p w14:paraId="6161BA66" w14:textId="77777777" w:rsidR="00285F19" w:rsidRPr="006272B7" w:rsidRDefault="00285F19" w:rsidP="006129E3">
            <w:pPr>
              <w:pStyle w:val="Tablebodytext"/>
              <w:rPr>
                <w:lang w:eastAsia="en-AU"/>
              </w:rPr>
            </w:pPr>
          </w:p>
        </w:tc>
        <w:tc>
          <w:tcPr>
            <w:tcW w:w="1944" w:type="dxa"/>
            <w:noWrap/>
            <w:hideMark/>
          </w:tcPr>
          <w:p w14:paraId="7D38CFA4" w14:textId="77777777" w:rsidR="00285F19" w:rsidRPr="006272B7" w:rsidRDefault="00285F19" w:rsidP="006129E3">
            <w:pPr>
              <w:pStyle w:val="Tablebodytext"/>
              <w:rPr>
                <w:rFonts w:ascii="Times New Roman" w:hAnsi="Times New Roman"/>
                <w:color w:val="auto"/>
                <w:szCs w:val="20"/>
                <w:lang w:eastAsia="en-AU"/>
              </w:rPr>
            </w:pPr>
          </w:p>
        </w:tc>
        <w:tc>
          <w:tcPr>
            <w:tcW w:w="1024" w:type="dxa"/>
            <w:noWrap/>
            <w:hideMark/>
          </w:tcPr>
          <w:p w14:paraId="0782B8B3" w14:textId="77777777" w:rsidR="00285F19" w:rsidRPr="006272B7" w:rsidRDefault="00285F19" w:rsidP="006129E3">
            <w:pPr>
              <w:pStyle w:val="Tablebodytext"/>
              <w:jc w:val="right"/>
              <w:rPr>
                <w:rFonts w:ascii="Times New Roman" w:hAnsi="Times New Roman"/>
                <w:color w:val="auto"/>
                <w:szCs w:val="20"/>
                <w:lang w:eastAsia="en-AU"/>
              </w:rPr>
            </w:pPr>
          </w:p>
        </w:tc>
        <w:tc>
          <w:tcPr>
            <w:tcW w:w="1024" w:type="dxa"/>
            <w:noWrap/>
            <w:hideMark/>
          </w:tcPr>
          <w:p w14:paraId="3CF450B7"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03C96456"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601AE146"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024136D1"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1AE0911F"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342C17A6"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1A940D6E"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3CD3EB6F" w14:textId="77777777" w:rsidR="00285F19" w:rsidRPr="006272B7" w:rsidRDefault="00285F19" w:rsidP="006129E3">
            <w:pPr>
              <w:pStyle w:val="Tablebodytext"/>
              <w:jc w:val="right"/>
              <w:rPr>
                <w:rFonts w:ascii="Times New Roman" w:hAnsi="Times New Roman"/>
                <w:color w:val="auto"/>
                <w:szCs w:val="20"/>
                <w:lang w:eastAsia="en-AU"/>
              </w:rPr>
            </w:pPr>
          </w:p>
        </w:tc>
      </w:tr>
      <w:tr w:rsidR="00285F19" w:rsidRPr="006272B7" w14:paraId="6186EC27" w14:textId="77777777" w:rsidTr="006129E3">
        <w:trPr>
          <w:cnfStyle w:val="000000010000" w:firstRow="0" w:lastRow="0" w:firstColumn="0" w:lastColumn="0" w:oddVBand="0" w:evenVBand="0" w:oddHBand="0" w:evenHBand="1" w:firstRowFirstColumn="0" w:firstRowLastColumn="0" w:lastRowFirstColumn="0" w:lastRowLastColumn="0"/>
          <w:trHeight w:val="200"/>
        </w:trPr>
        <w:tc>
          <w:tcPr>
            <w:tcW w:w="2800" w:type="dxa"/>
            <w:noWrap/>
            <w:hideMark/>
          </w:tcPr>
          <w:p w14:paraId="61614870" w14:textId="77777777" w:rsidR="00285F19" w:rsidRPr="006272B7" w:rsidRDefault="00285F19" w:rsidP="006129E3">
            <w:pPr>
              <w:pStyle w:val="Tablebodytext"/>
              <w:rPr>
                <w:b/>
                <w:lang w:eastAsia="en-AU"/>
              </w:rPr>
            </w:pPr>
            <w:r w:rsidRPr="006272B7">
              <w:rPr>
                <w:b/>
                <w:lang w:eastAsia="en-AU"/>
              </w:rPr>
              <w:t>Total number of sponsors</w:t>
            </w:r>
          </w:p>
        </w:tc>
        <w:tc>
          <w:tcPr>
            <w:tcW w:w="1944" w:type="dxa"/>
            <w:noWrap/>
            <w:hideMark/>
          </w:tcPr>
          <w:p w14:paraId="6C24CDE5" w14:textId="77777777" w:rsidR="00285F19" w:rsidRPr="006272B7" w:rsidRDefault="00285F19" w:rsidP="006129E3">
            <w:pPr>
              <w:pStyle w:val="Tablebodytext"/>
              <w:rPr>
                <w:lang w:eastAsia="en-AU"/>
              </w:rPr>
            </w:pPr>
          </w:p>
        </w:tc>
        <w:tc>
          <w:tcPr>
            <w:tcW w:w="1024" w:type="dxa"/>
            <w:noWrap/>
            <w:hideMark/>
          </w:tcPr>
          <w:p w14:paraId="5AFBC8E5" w14:textId="77777777" w:rsidR="00285F19" w:rsidRPr="006272B7" w:rsidRDefault="00285F19" w:rsidP="006129E3">
            <w:pPr>
              <w:pStyle w:val="Tablebodytext"/>
              <w:jc w:val="right"/>
              <w:rPr>
                <w:lang w:eastAsia="en-AU"/>
              </w:rPr>
            </w:pPr>
            <w:r w:rsidRPr="006272B7">
              <w:rPr>
                <w:lang w:eastAsia="en-AU"/>
              </w:rPr>
              <w:t>4</w:t>
            </w:r>
            <w:r>
              <w:rPr>
                <w:lang w:eastAsia="en-AU"/>
              </w:rPr>
              <w:t>,</w:t>
            </w:r>
            <w:r w:rsidRPr="006272B7">
              <w:rPr>
                <w:lang w:eastAsia="en-AU"/>
              </w:rPr>
              <w:t>896</w:t>
            </w:r>
          </w:p>
        </w:tc>
        <w:tc>
          <w:tcPr>
            <w:tcW w:w="1024" w:type="dxa"/>
            <w:noWrap/>
            <w:hideMark/>
          </w:tcPr>
          <w:p w14:paraId="0856D907" w14:textId="77777777" w:rsidR="00285F19" w:rsidRPr="006272B7" w:rsidRDefault="00285F19" w:rsidP="006129E3">
            <w:pPr>
              <w:pStyle w:val="Tablebodytext"/>
              <w:jc w:val="right"/>
              <w:rPr>
                <w:lang w:eastAsia="en-AU"/>
              </w:rPr>
            </w:pPr>
            <w:r w:rsidRPr="006272B7">
              <w:rPr>
                <w:lang w:eastAsia="en-AU"/>
              </w:rPr>
              <w:t>6</w:t>
            </w:r>
            <w:r>
              <w:rPr>
                <w:lang w:eastAsia="en-AU"/>
              </w:rPr>
              <w:t>,</w:t>
            </w:r>
            <w:r w:rsidRPr="006272B7">
              <w:rPr>
                <w:lang w:eastAsia="en-AU"/>
              </w:rPr>
              <w:t>335</w:t>
            </w:r>
          </w:p>
        </w:tc>
        <w:tc>
          <w:tcPr>
            <w:tcW w:w="1025" w:type="dxa"/>
            <w:noWrap/>
            <w:hideMark/>
          </w:tcPr>
          <w:p w14:paraId="06D0A13C" w14:textId="77777777" w:rsidR="00285F19" w:rsidRPr="006272B7" w:rsidRDefault="00285F19" w:rsidP="006129E3">
            <w:pPr>
              <w:pStyle w:val="Tablebodytext"/>
              <w:jc w:val="right"/>
              <w:rPr>
                <w:lang w:eastAsia="en-AU"/>
              </w:rPr>
            </w:pPr>
            <w:r w:rsidRPr="006272B7">
              <w:rPr>
                <w:lang w:eastAsia="en-AU"/>
              </w:rPr>
              <w:t>8</w:t>
            </w:r>
            <w:r>
              <w:rPr>
                <w:lang w:eastAsia="en-AU"/>
              </w:rPr>
              <w:t>,</w:t>
            </w:r>
            <w:r w:rsidRPr="006272B7">
              <w:rPr>
                <w:lang w:eastAsia="en-AU"/>
              </w:rPr>
              <w:t>648</w:t>
            </w:r>
          </w:p>
        </w:tc>
        <w:tc>
          <w:tcPr>
            <w:tcW w:w="1025" w:type="dxa"/>
            <w:noWrap/>
            <w:hideMark/>
          </w:tcPr>
          <w:p w14:paraId="0CC63D69" w14:textId="77777777" w:rsidR="00285F19" w:rsidRPr="006272B7" w:rsidRDefault="00285F19" w:rsidP="006129E3">
            <w:pPr>
              <w:pStyle w:val="Tablebodytext"/>
              <w:jc w:val="right"/>
              <w:rPr>
                <w:lang w:eastAsia="en-AU"/>
              </w:rPr>
            </w:pPr>
            <w:r w:rsidRPr="006272B7">
              <w:rPr>
                <w:lang w:eastAsia="en-AU"/>
              </w:rPr>
              <w:t>7</w:t>
            </w:r>
            <w:r>
              <w:rPr>
                <w:lang w:eastAsia="en-AU"/>
              </w:rPr>
              <w:t>,</w:t>
            </w:r>
            <w:r w:rsidRPr="006272B7">
              <w:rPr>
                <w:lang w:eastAsia="en-AU"/>
              </w:rPr>
              <w:t>939</w:t>
            </w:r>
          </w:p>
        </w:tc>
        <w:tc>
          <w:tcPr>
            <w:tcW w:w="1025" w:type="dxa"/>
            <w:noWrap/>
            <w:hideMark/>
          </w:tcPr>
          <w:p w14:paraId="2C2EAAFB" w14:textId="77777777" w:rsidR="00285F19" w:rsidRPr="006272B7" w:rsidRDefault="00285F19" w:rsidP="006129E3">
            <w:pPr>
              <w:pStyle w:val="Tablebodytext"/>
              <w:jc w:val="right"/>
              <w:rPr>
                <w:lang w:eastAsia="en-AU"/>
              </w:rPr>
            </w:pPr>
            <w:r w:rsidRPr="006272B7">
              <w:rPr>
                <w:lang w:eastAsia="en-AU"/>
              </w:rPr>
              <w:t>5</w:t>
            </w:r>
            <w:r>
              <w:rPr>
                <w:lang w:eastAsia="en-AU"/>
              </w:rPr>
              <w:t>,</w:t>
            </w:r>
            <w:r w:rsidRPr="006272B7">
              <w:rPr>
                <w:lang w:eastAsia="en-AU"/>
              </w:rPr>
              <w:t>435</w:t>
            </w:r>
          </w:p>
        </w:tc>
        <w:tc>
          <w:tcPr>
            <w:tcW w:w="1025" w:type="dxa"/>
            <w:noWrap/>
            <w:hideMark/>
          </w:tcPr>
          <w:p w14:paraId="15621DC0" w14:textId="77777777" w:rsidR="00285F19" w:rsidRPr="006272B7" w:rsidRDefault="00285F19" w:rsidP="006129E3">
            <w:pPr>
              <w:pStyle w:val="Tablebodytext"/>
              <w:jc w:val="right"/>
              <w:rPr>
                <w:lang w:eastAsia="en-AU"/>
              </w:rPr>
            </w:pPr>
            <w:r w:rsidRPr="006272B7">
              <w:rPr>
                <w:lang w:eastAsia="en-AU"/>
              </w:rPr>
              <w:t>6</w:t>
            </w:r>
            <w:r>
              <w:rPr>
                <w:lang w:eastAsia="en-AU"/>
              </w:rPr>
              <w:t>,</w:t>
            </w:r>
            <w:r w:rsidRPr="006272B7">
              <w:rPr>
                <w:lang w:eastAsia="en-AU"/>
              </w:rPr>
              <w:t>950</w:t>
            </w:r>
          </w:p>
        </w:tc>
        <w:tc>
          <w:tcPr>
            <w:tcW w:w="1025" w:type="dxa"/>
            <w:noWrap/>
            <w:hideMark/>
          </w:tcPr>
          <w:p w14:paraId="701C1BEC" w14:textId="77777777" w:rsidR="00285F19" w:rsidRPr="006272B7" w:rsidRDefault="00285F19" w:rsidP="006129E3">
            <w:pPr>
              <w:pStyle w:val="Tablebodytext"/>
              <w:jc w:val="right"/>
              <w:rPr>
                <w:lang w:eastAsia="en-AU"/>
              </w:rPr>
            </w:pPr>
            <w:r w:rsidRPr="006272B7">
              <w:rPr>
                <w:lang w:eastAsia="en-AU"/>
              </w:rPr>
              <w:t>9</w:t>
            </w:r>
            <w:r>
              <w:rPr>
                <w:lang w:eastAsia="en-AU"/>
              </w:rPr>
              <w:t>,</w:t>
            </w:r>
            <w:r w:rsidRPr="006272B7">
              <w:rPr>
                <w:lang w:eastAsia="en-AU"/>
              </w:rPr>
              <w:t>165</w:t>
            </w:r>
          </w:p>
        </w:tc>
        <w:tc>
          <w:tcPr>
            <w:tcW w:w="1025" w:type="dxa"/>
            <w:noWrap/>
            <w:hideMark/>
          </w:tcPr>
          <w:p w14:paraId="01683063" w14:textId="77777777" w:rsidR="00285F19" w:rsidRPr="006272B7" w:rsidRDefault="00285F19" w:rsidP="006129E3">
            <w:pPr>
              <w:pStyle w:val="Tablebodytext"/>
              <w:jc w:val="right"/>
              <w:rPr>
                <w:lang w:eastAsia="en-AU"/>
              </w:rPr>
            </w:pPr>
            <w:r w:rsidRPr="006272B7">
              <w:rPr>
                <w:lang w:eastAsia="en-AU"/>
              </w:rPr>
              <w:t>10</w:t>
            </w:r>
            <w:r>
              <w:rPr>
                <w:lang w:eastAsia="en-AU"/>
              </w:rPr>
              <w:t>,</w:t>
            </w:r>
            <w:r w:rsidRPr="006272B7">
              <w:rPr>
                <w:lang w:eastAsia="en-AU"/>
              </w:rPr>
              <w:t>177</w:t>
            </w:r>
          </w:p>
        </w:tc>
        <w:tc>
          <w:tcPr>
            <w:tcW w:w="1025" w:type="dxa"/>
            <w:noWrap/>
            <w:hideMark/>
          </w:tcPr>
          <w:p w14:paraId="1514FEFD" w14:textId="77777777" w:rsidR="00285F19" w:rsidRPr="006272B7" w:rsidRDefault="00285F19" w:rsidP="006129E3">
            <w:pPr>
              <w:pStyle w:val="Tablebodytext"/>
              <w:jc w:val="right"/>
              <w:rPr>
                <w:lang w:eastAsia="en-AU"/>
              </w:rPr>
            </w:pPr>
            <w:r w:rsidRPr="006272B7">
              <w:rPr>
                <w:lang w:eastAsia="en-AU"/>
              </w:rPr>
              <w:t>11</w:t>
            </w:r>
            <w:r>
              <w:rPr>
                <w:lang w:eastAsia="en-AU"/>
              </w:rPr>
              <w:t>,</w:t>
            </w:r>
            <w:r w:rsidRPr="006272B7">
              <w:rPr>
                <w:lang w:eastAsia="en-AU"/>
              </w:rPr>
              <w:t>988</w:t>
            </w:r>
          </w:p>
        </w:tc>
      </w:tr>
      <w:tr w:rsidR="00285F19" w:rsidRPr="006272B7" w14:paraId="61F3DD18" w14:textId="77777777" w:rsidTr="006129E3">
        <w:trPr>
          <w:cnfStyle w:val="000000100000" w:firstRow="0" w:lastRow="0" w:firstColumn="0" w:lastColumn="0" w:oddVBand="0" w:evenVBand="0" w:oddHBand="1" w:evenHBand="0" w:firstRowFirstColumn="0" w:firstRowLastColumn="0" w:lastRowFirstColumn="0" w:lastRowLastColumn="0"/>
          <w:trHeight w:val="200"/>
        </w:trPr>
        <w:tc>
          <w:tcPr>
            <w:tcW w:w="2800" w:type="dxa"/>
            <w:noWrap/>
            <w:hideMark/>
          </w:tcPr>
          <w:p w14:paraId="101E7B03" w14:textId="77777777" w:rsidR="00285F19" w:rsidRPr="006272B7" w:rsidRDefault="00285F19" w:rsidP="006129E3">
            <w:pPr>
              <w:pStyle w:val="Tablebodytext"/>
              <w:rPr>
                <w:b/>
                <w:lang w:eastAsia="en-AU"/>
              </w:rPr>
            </w:pPr>
          </w:p>
        </w:tc>
        <w:tc>
          <w:tcPr>
            <w:tcW w:w="1944" w:type="dxa"/>
            <w:noWrap/>
            <w:hideMark/>
          </w:tcPr>
          <w:p w14:paraId="7C61CDFF" w14:textId="77777777" w:rsidR="00285F19" w:rsidRPr="006272B7" w:rsidRDefault="00285F19" w:rsidP="006129E3">
            <w:pPr>
              <w:pStyle w:val="Tablebodytext"/>
              <w:rPr>
                <w:rFonts w:ascii="Times New Roman" w:hAnsi="Times New Roman"/>
                <w:color w:val="auto"/>
                <w:szCs w:val="20"/>
                <w:lang w:eastAsia="en-AU"/>
              </w:rPr>
            </w:pPr>
          </w:p>
        </w:tc>
        <w:tc>
          <w:tcPr>
            <w:tcW w:w="1024" w:type="dxa"/>
            <w:noWrap/>
            <w:hideMark/>
          </w:tcPr>
          <w:p w14:paraId="4F289A69" w14:textId="77777777" w:rsidR="00285F19" w:rsidRPr="006272B7" w:rsidRDefault="00285F19" w:rsidP="006129E3">
            <w:pPr>
              <w:pStyle w:val="Tablebodytext"/>
              <w:jc w:val="right"/>
              <w:rPr>
                <w:rFonts w:ascii="Times New Roman" w:hAnsi="Times New Roman"/>
                <w:color w:val="auto"/>
                <w:szCs w:val="20"/>
                <w:lang w:eastAsia="en-AU"/>
              </w:rPr>
            </w:pPr>
          </w:p>
        </w:tc>
        <w:tc>
          <w:tcPr>
            <w:tcW w:w="1024" w:type="dxa"/>
            <w:noWrap/>
            <w:hideMark/>
          </w:tcPr>
          <w:p w14:paraId="63B881D6"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3859EAD3"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6C9272B2"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494712E5"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46ACBB53"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6B9B3AB6"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3D2856F9"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4F9D55DD" w14:textId="77777777" w:rsidR="00285F19" w:rsidRPr="006272B7" w:rsidRDefault="00285F19" w:rsidP="006129E3">
            <w:pPr>
              <w:pStyle w:val="Tablebodytext"/>
              <w:jc w:val="right"/>
              <w:rPr>
                <w:rFonts w:ascii="Times New Roman" w:hAnsi="Times New Roman"/>
                <w:color w:val="auto"/>
                <w:szCs w:val="20"/>
                <w:lang w:eastAsia="en-AU"/>
              </w:rPr>
            </w:pPr>
          </w:p>
        </w:tc>
      </w:tr>
      <w:tr w:rsidR="00285F19" w:rsidRPr="006272B7" w14:paraId="0B9BF348" w14:textId="77777777" w:rsidTr="006129E3">
        <w:trPr>
          <w:cnfStyle w:val="000000010000" w:firstRow="0" w:lastRow="0" w:firstColumn="0" w:lastColumn="0" w:oddVBand="0" w:evenVBand="0" w:oddHBand="0" w:evenHBand="1" w:firstRowFirstColumn="0" w:firstRowLastColumn="0" w:lastRowFirstColumn="0" w:lastRowLastColumn="0"/>
          <w:trHeight w:val="200"/>
        </w:trPr>
        <w:tc>
          <w:tcPr>
            <w:tcW w:w="2800" w:type="dxa"/>
            <w:noWrap/>
            <w:hideMark/>
          </w:tcPr>
          <w:p w14:paraId="6375CB71" w14:textId="6615EE42" w:rsidR="00285F19" w:rsidRPr="006272B7" w:rsidRDefault="00285F19" w:rsidP="004577AD">
            <w:pPr>
              <w:pStyle w:val="Tablebodytext"/>
              <w:rPr>
                <w:b/>
                <w:lang w:eastAsia="en-AU"/>
              </w:rPr>
            </w:pPr>
            <w:r>
              <w:rPr>
                <w:b/>
                <w:lang w:eastAsia="en-AU"/>
              </w:rPr>
              <w:t>457 migrants sponsored</w:t>
            </w:r>
            <w:r w:rsidR="004577AD">
              <w:rPr>
                <w:b/>
                <w:lang w:eastAsia="en-AU"/>
              </w:rPr>
              <w:br/>
            </w:r>
            <w:r w:rsidRPr="006272B7">
              <w:rPr>
                <w:b/>
                <w:lang w:eastAsia="en-AU"/>
              </w:rPr>
              <w:t>(per cent)</w:t>
            </w:r>
          </w:p>
        </w:tc>
        <w:tc>
          <w:tcPr>
            <w:tcW w:w="1944" w:type="dxa"/>
            <w:noWrap/>
            <w:hideMark/>
          </w:tcPr>
          <w:p w14:paraId="390A9334" w14:textId="77777777" w:rsidR="00285F19" w:rsidRPr="006272B7" w:rsidRDefault="00285F19" w:rsidP="006129E3">
            <w:pPr>
              <w:pStyle w:val="Tablebodytext"/>
              <w:rPr>
                <w:lang w:eastAsia="en-AU"/>
              </w:rPr>
            </w:pPr>
          </w:p>
        </w:tc>
        <w:tc>
          <w:tcPr>
            <w:tcW w:w="1024" w:type="dxa"/>
            <w:noWrap/>
            <w:hideMark/>
          </w:tcPr>
          <w:p w14:paraId="65BE13F8" w14:textId="77777777" w:rsidR="00285F19" w:rsidRPr="006272B7" w:rsidRDefault="00285F19" w:rsidP="006129E3">
            <w:pPr>
              <w:pStyle w:val="Tablebodytext"/>
              <w:jc w:val="right"/>
              <w:rPr>
                <w:rFonts w:ascii="Times New Roman" w:hAnsi="Times New Roman"/>
                <w:color w:val="auto"/>
                <w:szCs w:val="20"/>
                <w:lang w:eastAsia="en-AU"/>
              </w:rPr>
            </w:pPr>
          </w:p>
        </w:tc>
        <w:tc>
          <w:tcPr>
            <w:tcW w:w="1024" w:type="dxa"/>
            <w:noWrap/>
            <w:hideMark/>
          </w:tcPr>
          <w:p w14:paraId="48110861"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507B51AC"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25F9048F"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5D30A9F4"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2EF4E4D6"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03FBAE80"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69622649"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7563AACA" w14:textId="77777777" w:rsidR="00285F19" w:rsidRPr="006272B7" w:rsidRDefault="00285F19" w:rsidP="006129E3">
            <w:pPr>
              <w:pStyle w:val="Tablebodytext"/>
              <w:jc w:val="right"/>
              <w:rPr>
                <w:rFonts w:ascii="Times New Roman" w:hAnsi="Times New Roman"/>
                <w:color w:val="auto"/>
                <w:szCs w:val="20"/>
                <w:lang w:eastAsia="en-AU"/>
              </w:rPr>
            </w:pPr>
          </w:p>
        </w:tc>
      </w:tr>
      <w:tr w:rsidR="00285F19" w:rsidRPr="006272B7" w14:paraId="627DF2AB" w14:textId="77777777" w:rsidTr="006129E3">
        <w:trPr>
          <w:cnfStyle w:val="000000100000" w:firstRow="0" w:lastRow="0" w:firstColumn="0" w:lastColumn="0" w:oddVBand="0" w:evenVBand="0" w:oddHBand="1" w:evenHBand="0" w:firstRowFirstColumn="0" w:firstRowLastColumn="0" w:lastRowFirstColumn="0" w:lastRowLastColumn="0"/>
          <w:trHeight w:val="200"/>
        </w:trPr>
        <w:tc>
          <w:tcPr>
            <w:tcW w:w="2800" w:type="dxa"/>
            <w:noWrap/>
            <w:hideMark/>
          </w:tcPr>
          <w:p w14:paraId="78D0DA35" w14:textId="77777777" w:rsidR="00285F19" w:rsidRPr="006272B7" w:rsidRDefault="00285F19" w:rsidP="006129E3">
            <w:pPr>
              <w:pStyle w:val="Tablebodytext"/>
              <w:rPr>
                <w:b/>
                <w:lang w:eastAsia="en-AU"/>
              </w:rPr>
            </w:pPr>
          </w:p>
        </w:tc>
        <w:tc>
          <w:tcPr>
            <w:tcW w:w="1944" w:type="dxa"/>
            <w:noWrap/>
            <w:hideMark/>
          </w:tcPr>
          <w:p w14:paraId="7F502746" w14:textId="77777777" w:rsidR="00285F19" w:rsidRPr="006272B7" w:rsidRDefault="00285F19" w:rsidP="006129E3">
            <w:pPr>
              <w:pStyle w:val="Tablebodytext"/>
              <w:rPr>
                <w:b/>
                <w:lang w:eastAsia="en-AU"/>
              </w:rPr>
            </w:pPr>
            <w:r w:rsidRPr="006272B7">
              <w:rPr>
                <w:b/>
                <w:lang w:eastAsia="en-AU"/>
              </w:rPr>
              <w:t>One</w:t>
            </w:r>
          </w:p>
        </w:tc>
        <w:tc>
          <w:tcPr>
            <w:tcW w:w="1024" w:type="dxa"/>
            <w:noWrap/>
            <w:hideMark/>
          </w:tcPr>
          <w:p w14:paraId="40FFAABB" w14:textId="77777777" w:rsidR="00285F19" w:rsidRPr="006272B7" w:rsidRDefault="00285F19" w:rsidP="006129E3">
            <w:pPr>
              <w:pStyle w:val="Tablebodytext"/>
              <w:jc w:val="right"/>
              <w:rPr>
                <w:lang w:eastAsia="en-AU"/>
              </w:rPr>
            </w:pPr>
            <w:r>
              <w:rPr>
                <w:lang w:eastAsia="en-AU"/>
              </w:rPr>
              <w:t>70.4</w:t>
            </w:r>
          </w:p>
        </w:tc>
        <w:tc>
          <w:tcPr>
            <w:tcW w:w="1024" w:type="dxa"/>
            <w:noWrap/>
            <w:hideMark/>
          </w:tcPr>
          <w:p w14:paraId="2B459CFB" w14:textId="77777777" w:rsidR="00285F19" w:rsidRPr="006272B7" w:rsidRDefault="00285F19" w:rsidP="006129E3">
            <w:pPr>
              <w:pStyle w:val="Tablebodytext"/>
              <w:jc w:val="right"/>
              <w:rPr>
                <w:lang w:eastAsia="en-AU"/>
              </w:rPr>
            </w:pPr>
            <w:r w:rsidRPr="006272B7">
              <w:rPr>
                <w:lang w:eastAsia="en-AU"/>
              </w:rPr>
              <w:t>70.7</w:t>
            </w:r>
          </w:p>
        </w:tc>
        <w:tc>
          <w:tcPr>
            <w:tcW w:w="1025" w:type="dxa"/>
            <w:noWrap/>
            <w:hideMark/>
          </w:tcPr>
          <w:p w14:paraId="28A402E1" w14:textId="77777777" w:rsidR="00285F19" w:rsidRPr="006272B7" w:rsidRDefault="00285F19" w:rsidP="006129E3">
            <w:pPr>
              <w:pStyle w:val="Tablebodytext"/>
              <w:jc w:val="right"/>
              <w:rPr>
                <w:lang w:eastAsia="en-AU"/>
              </w:rPr>
            </w:pPr>
            <w:r>
              <w:rPr>
                <w:lang w:eastAsia="en-AU"/>
              </w:rPr>
              <w:t>69.6</w:t>
            </w:r>
          </w:p>
        </w:tc>
        <w:tc>
          <w:tcPr>
            <w:tcW w:w="1025" w:type="dxa"/>
            <w:noWrap/>
            <w:hideMark/>
          </w:tcPr>
          <w:p w14:paraId="370F4655" w14:textId="77777777" w:rsidR="00285F19" w:rsidRPr="006272B7" w:rsidRDefault="00285F19" w:rsidP="006129E3">
            <w:pPr>
              <w:pStyle w:val="Tablebodytext"/>
              <w:jc w:val="right"/>
              <w:rPr>
                <w:lang w:eastAsia="en-AU"/>
              </w:rPr>
            </w:pPr>
            <w:r>
              <w:rPr>
                <w:lang w:eastAsia="en-AU"/>
              </w:rPr>
              <w:t>72.1</w:t>
            </w:r>
          </w:p>
        </w:tc>
        <w:tc>
          <w:tcPr>
            <w:tcW w:w="1025" w:type="dxa"/>
            <w:noWrap/>
            <w:hideMark/>
          </w:tcPr>
          <w:p w14:paraId="600A077D" w14:textId="77777777" w:rsidR="00285F19" w:rsidRPr="006272B7" w:rsidRDefault="00285F19" w:rsidP="006129E3">
            <w:pPr>
              <w:pStyle w:val="Tablebodytext"/>
              <w:jc w:val="right"/>
              <w:rPr>
                <w:lang w:eastAsia="en-AU"/>
              </w:rPr>
            </w:pPr>
            <w:r w:rsidRPr="006272B7">
              <w:rPr>
                <w:lang w:eastAsia="en-AU"/>
              </w:rPr>
              <w:t>77.5</w:t>
            </w:r>
          </w:p>
        </w:tc>
        <w:tc>
          <w:tcPr>
            <w:tcW w:w="1025" w:type="dxa"/>
            <w:noWrap/>
            <w:hideMark/>
          </w:tcPr>
          <w:p w14:paraId="7BCE33BA" w14:textId="77777777" w:rsidR="00285F19" w:rsidRPr="006272B7" w:rsidRDefault="00285F19" w:rsidP="006129E3">
            <w:pPr>
              <w:pStyle w:val="Tablebodytext"/>
              <w:jc w:val="right"/>
              <w:rPr>
                <w:lang w:eastAsia="en-AU"/>
              </w:rPr>
            </w:pPr>
            <w:r>
              <w:rPr>
                <w:lang w:eastAsia="en-AU"/>
              </w:rPr>
              <w:t>72.1</w:t>
            </w:r>
          </w:p>
        </w:tc>
        <w:tc>
          <w:tcPr>
            <w:tcW w:w="1025" w:type="dxa"/>
            <w:noWrap/>
            <w:hideMark/>
          </w:tcPr>
          <w:p w14:paraId="30A3674C" w14:textId="77777777" w:rsidR="00285F19" w:rsidRPr="006272B7" w:rsidRDefault="00285F19" w:rsidP="006129E3">
            <w:pPr>
              <w:pStyle w:val="Tablebodytext"/>
              <w:jc w:val="right"/>
              <w:rPr>
                <w:lang w:eastAsia="en-AU"/>
              </w:rPr>
            </w:pPr>
            <w:r>
              <w:rPr>
                <w:lang w:eastAsia="en-AU"/>
              </w:rPr>
              <w:t>66.7</w:t>
            </w:r>
          </w:p>
        </w:tc>
        <w:tc>
          <w:tcPr>
            <w:tcW w:w="1025" w:type="dxa"/>
            <w:noWrap/>
            <w:hideMark/>
          </w:tcPr>
          <w:p w14:paraId="07BEAADA" w14:textId="77777777" w:rsidR="00285F19" w:rsidRPr="006272B7" w:rsidRDefault="00285F19" w:rsidP="006129E3">
            <w:pPr>
              <w:pStyle w:val="Tablebodytext"/>
              <w:jc w:val="right"/>
              <w:rPr>
                <w:lang w:eastAsia="en-AU"/>
              </w:rPr>
            </w:pPr>
            <w:r>
              <w:rPr>
                <w:lang w:eastAsia="en-AU"/>
              </w:rPr>
              <w:t>64.9</w:t>
            </w:r>
          </w:p>
        </w:tc>
        <w:tc>
          <w:tcPr>
            <w:tcW w:w="1025" w:type="dxa"/>
            <w:noWrap/>
            <w:hideMark/>
          </w:tcPr>
          <w:p w14:paraId="38AD1150" w14:textId="77777777" w:rsidR="00285F19" w:rsidRPr="006272B7" w:rsidRDefault="00285F19" w:rsidP="006129E3">
            <w:pPr>
              <w:pStyle w:val="Tablebodytext"/>
              <w:jc w:val="right"/>
              <w:rPr>
                <w:lang w:eastAsia="en-AU"/>
              </w:rPr>
            </w:pPr>
            <w:r>
              <w:rPr>
                <w:lang w:eastAsia="en-AU"/>
              </w:rPr>
              <w:t>74.3</w:t>
            </w:r>
          </w:p>
        </w:tc>
      </w:tr>
      <w:tr w:rsidR="00285F19" w:rsidRPr="006272B7" w14:paraId="5193FE7E" w14:textId="77777777" w:rsidTr="006129E3">
        <w:trPr>
          <w:cnfStyle w:val="000000010000" w:firstRow="0" w:lastRow="0" w:firstColumn="0" w:lastColumn="0" w:oddVBand="0" w:evenVBand="0" w:oddHBand="0" w:evenHBand="1" w:firstRowFirstColumn="0" w:firstRowLastColumn="0" w:lastRowFirstColumn="0" w:lastRowLastColumn="0"/>
          <w:trHeight w:val="200"/>
        </w:trPr>
        <w:tc>
          <w:tcPr>
            <w:tcW w:w="2800" w:type="dxa"/>
            <w:noWrap/>
            <w:hideMark/>
          </w:tcPr>
          <w:p w14:paraId="14D36456" w14:textId="77777777" w:rsidR="00285F19" w:rsidRPr="006272B7" w:rsidRDefault="00285F19" w:rsidP="006129E3">
            <w:pPr>
              <w:pStyle w:val="Tablebodytext"/>
              <w:rPr>
                <w:b/>
                <w:lang w:eastAsia="en-AU"/>
              </w:rPr>
            </w:pPr>
          </w:p>
        </w:tc>
        <w:tc>
          <w:tcPr>
            <w:tcW w:w="1944" w:type="dxa"/>
            <w:noWrap/>
            <w:hideMark/>
          </w:tcPr>
          <w:p w14:paraId="0CBD0565" w14:textId="77777777" w:rsidR="00285F19" w:rsidRPr="006272B7" w:rsidRDefault="00285F19" w:rsidP="006129E3">
            <w:pPr>
              <w:pStyle w:val="Tablebodytext"/>
              <w:rPr>
                <w:b/>
                <w:lang w:eastAsia="en-AU"/>
              </w:rPr>
            </w:pPr>
            <w:r w:rsidRPr="006272B7">
              <w:rPr>
                <w:b/>
                <w:lang w:eastAsia="en-AU"/>
              </w:rPr>
              <w:t>Two</w:t>
            </w:r>
          </w:p>
        </w:tc>
        <w:tc>
          <w:tcPr>
            <w:tcW w:w="1024" w:type="dxa"/>
            <w:noWrap/>
            <w:hideMark/>
          </w:tcPr>
          <w:p w14:paraId="4A84B87A" w14:textId="77777777" w:rsidR="00285F19" w:rsidRPr="006272B7" w:rsidRDefault="00285F19" w:rsidP="006129E3">
            <w:pPr>
              <w:pStyle w:val="Tablebodytext"/>
              <w:jc w:val="right"/>
              <w:rPr>
                <w:lang w:eastAsia="en-AU"/>
              </w:rPr>
            </w:pPr>
            <w:r>
              <w:rPr>
                <w:lang w:eastAsia="en-AU"/>
              </w:rPr>
              <w:t>15</w:t>
            </w:r>
          </w:p>
        </w:tc>
        <w:tc>
          <w:tcPr>
            <w:tcW w:w="1024" w:type="dxa"/>
            <w:noWrap/>
            <w:hideMark/>
          </w:tcPr>
          <w:p w14:paraId="60A5F06B" w14:textId="77777777" w:rsidR="00285F19" w:rsidRPr="006272B7" w:rsidRDefault="00285F19" w:rsidP="006129E3">
            <w:pPr>
              <w:pStyle w:val="Tablebodytext"/>
              <w:jc w:val="right"/>
              <w:rPr>
                <w:lang w:eastAsia="en-AU"/>
              </w:rPr>
            </w:pPr>
            <w:r w:rsidRPr="006272B7">
              <w:rPr>
                <w:lang w:eastAsia="en-AU"/>
              </w:rPr>
              <w:t>14.4</w:t>
            </w:r>
          </w:p>
        </w:tc>
        <w:tc>
          <w:tcPr>
            <w:tcW w:w="1025" w:type="dxa"/>
            <w:noWrap/>
            <w:hideMark/>
          </w:tcPr>
          <w:p w14:paraId="59051961" w14:textId="77777777" w:rsidR="00285F19" w:rsidRPr="006272B7" w:rsidRDefault="00285F19" w:rsidP="006129E3">
            <w:pPr>
              <w:pStyle w:val="Tablebodytext"/>
              <w:jc w:val="right"/>
              <w:rPr>
                <w:lang w:eastAsia="en-AU"/>
              </w:rPr>
            </w:pPr>
            <w:r>
              <w:rPr>
                <w:lang w:eastAsia="en-AU"/>
              </w:rPr>
              <w:t>15.4</w:t>
            </w:r>
          </w:p>
        </w:tc>
        <w:tc>
          <w:tcPr>
            <w:tcW w:w="1025" w:type="dxa"/>
            <w:noWrap/>
            <w:hideMark/>
          </w:tcPr>
          <w:p w14:paraId="33AB7648" w14:textId="77777777" w:rsidR="00285F19" w:rsidRPr="006272B7" w:rsidRDefault="00285F19" w:rsidP="006129E3">
            <w:pPr>
              <w:pStyle w:val="Tablebodytext"/>
              <w:jc w:val="right"/>
              <w:rPr>
                <w:lang w:eastAsia="en-AU"/>
              </w:rPr>
            </w:pPr>
            <w:r>
              <w:rPr>
                <w:lang w:eastAsia="en-AU"/>
              </w:rPr>
              <w:t>14.8</w:t>
            </w:r>
          </w:p>
        </w:tc>
        <w:tc>
          <w:tcPr>
            <w:tcW w:w="1025" w:type="dxa"/>
            <w:noWrap/>
            <w:hideMark/>
          </w:tcPr>
          <w:p w14:paraId="53E56C0A" w14:textId="77777777" w:rsidR="00285F19" w:rsidRPr="006272B7" w:rsidRDefault="00285F19" w:rsidP="006129E3">
            <w:pPr>
              <w:pStyle w:val="Tablebodytext"/>
              <w:jc w:val="right"/>
              <w:rPr>
                <w:lang w:eastAsia="en-AU"/>
              </w:rPr>
            </w:pPr>
            <w:r w:rsidRPr="006272B7">
              <w:rPr>
                <w:lang w:eastAsia="en-AU"/>
              </w:rPr>
              <w:t>12.2</w:t>
            </w:r>
          </w:p>
        </w:tc>
        <w:tc>
          <w:tcPr>
            <w:tcW w:w="1025" w:type="dxa"/>
            <w:noWrap/>
            <w:hideMark/>
          </w:tcPr>
          <w:p w14:paraId="236EAB34" w14:textId="77777777" w:rsidR="00285F19" w:rsidRPr="006272B7" w:rsidRDefault="00285F19" w:rsidP="006129E3">
            <w:pPr>
              <w:pStyle w:val="Tablebodytext"/>
              <w:jc w:val="right"/>
              <w:rPr>
                <w:lang w:eastAsia="en-AU"/>
              </w:rPr>
            </w:pPr>
            <w:r>
              <w:rPr>
                <w:lang w:eastAsia="en-AU"/>
              </w:rPr>
              <w:t>14.7</w:t>
            </w:r>
          </w:p>
        </w:tc>
        <w:tc>
          <w:tcPr>
            <w:tcW w:w="1025" w:type="dxa"/>
            <w:noWrap/>
            <w:hideMark/>
          </w:tcPr>
          <w:p w14:paraId="67AAAF1F" w14:textId="77777777" w:rsidR="00285F19" w:rsidRPr="006272B7" w:rsidRDefault="00285F19" w:rsidP="006129E3">
            <w:pPr>
              <w:pStyle w:val="Tablebodytext"/>
              <w:jc w:val="right"/>
              <w:rPr>
                <w:lang w:eastAsia="en-AU"/>
              </w:rPr>
            </w:pPr>
            <w:r>
              <w:rPr>
                <w:lang w:eastAsia="en-AU"/>
              </w:rPr>
              <w:t>16.6</w:t>
            </w:r>
          </w:p>
        </w:tc>
        <w:tc>
          <w:tcPr>
            <w:tcW w:w="1025" w:type="dxa"/>
            <w:noWrap/>
            <w:hideMark/>
          </w:tcPr>
          <w:p w14:paraId="1A0D322C" w14:textId="77777777" w:rsidR="00285F19" w:rsidRPr="006272B7" w:rsidRDefault="00285F19" w:rsidP="006129E3">
            <w:pPr>
              <w:pStyle w:val="Tablebodytext"/>
              <w:jc w:val="right"/>
              <w:rPr>
                <w:lang w:eastAsia="en-AU"/>
              </w:rPr>
            </w:pPr>
            <w:r>
              <w:rPr>
                <w:lang w:eastAsia="en-AU"/>
              </w:rPr>
              <w:t>18.5</w:t>
            </w:r>
          </w:p>
        </w:tc>
        <w:tc>
          <w:tcPr>
            <w:tcW w:w="1025" w:type="dxa"/>
            <w:noWrap/>
            <w:hideMark/>
          </w:tcPr>
          <w:p w14:paraId="074A89C5" w14:textId="77777777" w:rsidR="00285F19" w:rsidRPr="006272B7" w:rsidRDefault="00285F19" w:rsidP="006129E3">
            <w:pPr>
              <w:pStyle w:val="Tablebodytext"/>
              <w:jc w:val="right"/>
              <w:rPr>
                <w:lang w:eastAsia="en-AU"/>
              </w:rPr>
            </w:pPr>
            <w:r>
              <w:rPr>
                <w:lang w:eastAsia="en-AU"/>
              </w:rPr>
              <w:t>15.8</w:t>
            </w:r>
          </w:p>
        </w:tc>
      </w:tr>
      <w:tr w:rsidR="00285F19" w:rsidRPr="006272B7" w14:paraId="06AFEEA7" w14:textId="77777777" w:rsidTr="006129E3">
        <w:trPr>
          <w:cnfStyle w:val="000000100000" w:firstRow="0" w:lastRow="0" w:firstColumn="0" w:lastColumn="0" w:oddVBand="0" w:evenVBand="0" w:oddHBand="1" w:evenHBand="0" w:firstRowFirstColumn="0" w:firstRowLastColumn="0" w:lastRowFirstColumn="0" w:lastRowLastColumn="0"/>
          <w:trHeight w:val="200"/>
        </w:trPr>
        <w:tc>
          <w:tcPr>
            <w:tcW w:w="2800" w:type="dxa"/>
            <w:noWrap/>
            <w:hideMark/>
          </w:tcPr>
          <w:p w14:paraId="3596FCE5" w14:textId="77777777" w:rsidR="00285F19" w:rsidRPr="006272B7" w:rsidRDefault="00285F19" w:rsidP="006129E3">
            <w:pPr>
              <w:pStyle w:val="Tablebodytext"/>
              <w:rPr>
                <w:b/>
                <w:lang w:eastAsia="en-AU"/>
              </w:rPr>
            </w:pPr>
          </w:p>
        </w:tc>
        <w:tc>
          <w:tcPr>
            <w:tcW w:w="1944" w:type="dxa"/>
            <w:noWrap/>
            <w:hideMark/>
          </w:tcPr>
          <w:p w14:paraId="7C709DDA" w14:textId="77777777" w:rsidR="00285F19" w:rsidRPr="006272B7" w:rsidRDefault="00285F19" w:rsidP="006129E3">
            <w:pPr>
              <w:pStyle w:val="Tablebodytext"/>
              <w:rPr>
                <w:b/>
                <w:lang w:eastAsia="en-AU"/>
              </w:rPr>
            </w:pPr>
            <w:r w:rsidRPr="006272B7">
              <w:rPr>
                <w:b/>
                <w:lang w:eastAsia="en-AU"/>
              </w:rPr>
              <w:t>Three to four</w:t>
            </w:r>
          </w:p>
        </w:tc>
        <w:tc>
          <w:tcPr>
            <w:tcW w:w="1024" w:type="dxa"/>
            <w:noWrap/>
            <w:hideMark/>
          </w:tcPr>
          <w:p w14:paraId="0764AB09" w14:textId="77777777" w:rsidR="00285F19" w:rsidRPr="006272B7" w:rsidRDefault="00285F19" w:rsidP="006129E3">
            <w:pPr>
              <w:pStyle w:val="Tablebodytext"/>
              <w:jc w:val="right"/>
              <w:rPr>
                <w:lang w:eastAsia="en-AU"/>
              </w:rPr>
            </w:pPr>
            <w:r>
              <w:rPr>
                <w:lang w:eastAsia="en-AU"/>
              </w:rPr>
              <w:t>8.3</w:t>
            </w:r>
          </w:p>
        </w:tc>
        <w:tc>
          <w:tcPr>
            <w:tcW w:w="1024" w:type="dxa"/>
            <w:noWrap/>
            <w:hideMark/>
          </w:tcPr>
          <w:p w14:paraId="3C022F0B" w14:textId="77777777" w:rsidR="00285F19" w:rsidRPr="006272B7" w:rsidRDefault="00285F19" w:rsidP="006129E3">
            <w:pPr>
              <w:pStyle w:val="Tablebodytext"/>
              <w:jc w:val="right"/>
              <w:rPr>
                <w:lang w:eastAsia="en-AU"/>
              </w:rPr>
            </w:pPr>
            <w:r>
              <w:rPr>
                <w:lang w:eastAsia="en-AU"/>
              </w:rPr>
              <w:t>8.7</w:t>
            </w:r>
          </w:p>
        </w:tc>
        <w:tc>
          <w:tcPr>
            <w:tcW w:w="1025" w:type="dxa"/>
            <w:noWrap/>
            <w:hideMark/>
          </w:tcPr>
          <w:p w14:paraId="3AD38A5E" w14:textId="77777777" w:rsidR="00285F19" w:rsidRPr="006272B7" w:rsidRDefault="00285F19" w:rsidP="006129E3">
            <w:pPr>
              <w:pStyle w:val="Tablebodytext"/>
              <w:jc w:val="right"/>
              <w:rPr>
                <w:lang w:eastAsia="en-AU"/>
              </w:rPr>
            </w:pPr>
            <w:r w:rsidRPr="006272B7">
              <w:rPr>
                <w:lang w:eastAsia="en-AU"/>
              </w:rPr>
              <w:t>8.8</w:t>
            </w:r>
          </w:p>
        </w:tc>
        <w:tc>
          <w:tcPr>
            <w:tcW w:w="1025" w:type="dxa"/>
            <w:noWrap/>
            <w:hideMark/>
          </w:tcPr>
          <w:p w14:paraId="60701C07" w14:textId="77777777" w:rsidR="00285F19" w:rsidRPr="006272B7" w:rsidRDefault="00285F19" w:rsidP="006129E3">
            <w:pPr>
              <w:pStyle w:val="Tablebodytext"/>
              <w:jc w:val="right"/>
              <w:rPr>
                <w:lang w:eastAsia="en-AU"/>
              </w:rPr>
            </w:pPr>
            <w:r>
              <w:rPr>
                <w:lang w:eastAsia="en-AU"/>
              </w:rPr>
              <w:t>8.0</w:t>
            </w:r>
          </w:p>
        </w:tc>
        <w:tc>
          <w:tcPr>
            <w:tcW w:w="1025" w:type="dxa"/>
            <w:noWrap/>
            <w:hideMark/>
          </w:tcPr>
          <w:p w14:paraId="47F01741" w14:textId="77777777" w:rsidR="00285F19" w:rsidRPr="006272B7" w:rsidRDefault="00285F19" w:rsidP="006129E3">
            <w:pPr>
              <w:pStyle w:val="Tablebodytext"/>
              <w:jc w:val="right"/>
              <w:rPr>
                <w:lang w:eastAsia="en-AU"/>
              </w:rPr>
            </w:pPr>
            <w:r>
              <w:rPr>
                <w:lang w:eastAsia="en-AU"/>
              </w:rPr>
              <w:t>6.3</w:t>
            </w:r>
          </w:p>
        </w:tc>
        <w:tc>
          <w:tcPr>
            <w:tcW w:w="1025" w:type="dxa"/>
            <w:noWrap/>
            <w:hideMark/>
          </w:tcPr>
          <w:p w14:paraId="60B8E2DE" w14:textId="77777777" w:rsidR="00285F19" w:rsidRPr="006272B7" w:rsidRDefault="00285F19" w:rsidP="006129E3">
            <w:pPr>
              <w:pStyle w:val="Tablebodytext"/>
              <w:jc w:val="right"/>
              <w:rPr>
                <w:lang w:eastAsia="en-AU"/>
              </w:rPr>
            </w:pPr>
            <w:r>
              <w:rPr>
                <w:lang w:eastAsia="en-AU"/>
              </w:rPr>
              <w:t>8.0</w:t>
            </w:r>
          </w:p>
        </w:tc>
        <w:tc>
          <w:tcPr>
            <w:tcW w:w="1025" w:type="dxa"/>
            <w:noWrap/>
            <w:hideMark/>
          </w:tcPr>
          <w:p w14:paraId="2FE438B7" w14:textId="77777777" w:rsidR="00285F19" w:rsidRPr="006272B7" w:rsidRDefault="00285F19" w:rsidP="006129E3">
            <w:pPr>
              <w:pStyle w:val="Tablebodytext"/>
              <w:jc w:val="right"/>
              <w:rPr>
                <w:lang w:eastAsia="en-AU"/>
              </w:rPr>
            </w:pPr>
            <w:r>
              <w:rPr>
                <w:lang w:eastAsia="en-AU"/>
              </w:rPr>
              <w:t>9.9</w:t>
            </w:r>
          </w:p>
        </w:tc>
        <w:tc>
          <w:tcPr>
            <w:tcW w:w="1025" w:type="dxa"/>
            <w:noWrap/>
            <w:hideMark/>
          </w:tcPr>
          <w:p w14:paraId="616084B1" w14:textId="77777777" w:rsidR="00285F19" w:rsidRPr="006272B7" w:rsidRDefault="00285F19" w:rsidP="006129E3">
            <w:pPr>
              <w:pStyle w:val="Tablebodytext"/>
              <w:jc w:val="right"/>
              <w:rPr>
                <w:lang w:eastAsia="en-AU"/>
              </w:rPr>
            </w:pPr>
            <w:r>
              <w:rPr>
                <w:lang w:eastAsia="en-AU"/>
              </w:rPr>
              <w:t>10.7</w:t>
            </w:r>
          </w:p>
        </w:tc>
        <w:tc>
          <w:tcPr>
            <w:tcW w:w="1025" w:type="dxa"/>
            <w:noWrap/>
            <w:hideMark/>
          </w:tcPr>
          <w:p w14:paraId="4ECF6DB1" w14:textId="77777777" w:rsidR="00285F19" w:rsidRPr="006272B7" w:rsidRDefault="00285F19" w:rsidP="006129E3">
            <w:pPr>
              <w:pStyle w:val="Tablebodytext"/>
              <w:jc w:val="right"/>
              <w:rPr>
                <w:lang w:eastAsia="en-AU"/>
              </w:rPr>
            </w:pPr>
            <w:r>
              <w:rPr>
                <w:lang w:eastAsia="en-AU"/>
              </w:rPr>
              <w:t>6.7</w:t>
            </w:r>
          </w:p>
        </w:tc>
      </w:tr>
      <w:tr w:rsidR="00285F19" w:rsidRPr="006272B7" w14:paraId="52CA68F6" w14:textId="77777777" w:rsidTr="006129E3">
        <w:trPr>
          <w:cnfStyle w:val="000000010000" w:firstRow="0" w:lastRow="0" w:firstColumn="0" w:lastColumn="0" w:oddVBand="0" w:evenVBand="0" w:oddHBand="0" w:evenHBand="1" w:firstRowFirstColumn="0" w:firstRowLastColumn="0" w:lastRowFirstColumn="0" w:lastRowLastColumn="0"/>
          <w:trHeight w:val="200"/>
        </w:trPr>
        <w:tc>
          <w:tcPr>
            <w:tcW w:w="2800" w:type="dxa"/>
            <w:noWrap/>
            <w:hideMark/>
          </w:tcPr>
          <w:p w14:paraId="26633DDC" w14:textId="77777777" w:rsidR="00285F19" w:rsidRPr="006272B7" w:rsidRDefault="00285F19" w:rsidP="006129E3">
            <w:pPr>
              <w:pStyle w:val="Tablebodytext"/>
              <w:rPr>
                <w:b/>
                <w:lang w:eastAsia="en-AU"/>
              </w:rPr>
            </w:pPr>
          </w:p>
        </w:tc>
        <w:tc>
          <w:tcPr>
            <w:tcW w:w="1944" w:type="dxa"/>
            <w:noWrap/>
            <w:hideMark/>
          </w:tcPr>
          <w:p w14:paraId="4848D572" w14:textId="77777777" w:rsidR="00285F19" w:rsidRPr="006272B7" w:rsidRDefault="00285F19" w:rsidP="006129E3">
            <w:pPr>
              <w:pStyle w:val="Tablebodytext"/>
              <w:rPr>
                <w:b/>
                <w:lang w:eastAsia="en-AU"/>
              </w:rPr>
            </w:pPr>
            <w:r w:rsidRPr="006272B7">
              <w:rPr>
                <w:b/>
                <w:lang w:eastAsia="en-AU"/>
              </w:rPr>
              <w:t>Five to ten</w:t>
            </w:r>
          </w:p>
        </w:tc>
        <w:tc>
          <w:tcPr>
            <w:tcW w:w="1024" w:type="dxa"/>
            <w:noWrap/>
            <w:hideMark/>
          </w:tcPr>
          <w:p w14:paraId="2D315CEB" w14:textId="77777777" w:rsidR="00285F19" w:rsidRPr="006272B7" w:rsidRDefault="00285F19" w:rsidP="006129E3">
            <w:pPr>
              <w:pStyle w:val="Tablebodytext"/>
              <w:jc w:val="right"/>
              <w:rPr>
                <w:lang w:eastAsia="en-AU"/>
              </w:rPr>
            </w:pPr>
            <w:r>
              <w:rPr>
                <w:lang w:eastAsia="en-AU"/>
              </w:rPr>
              <w:t>4.7</w:t>
            </w:r>
          </w:p>
        </w:tc>
        <w:tc>
          <w:tcPr>
            <w:tcW w:w="1024" w:type="dxa"/>
            <w:noWrap/>
            <w:hideMark/>
          </w:tcPr>
          <w:p w14:paraId="59C6696E" w14:textId="77777777" w:rsidR="00285F19" w:rsidRPr="006272B7" w:rsidRDefault="00285F19" w:rsidP="006129E3">
            <w:pPr>
              <w:pStyle w:val="Tablebodytext"/>
              <w:jc w:val="right"/>
              <w:rPr>
                <w:lang w:eastAsia="en-AU"/>
              </w:rPr>
            </w:pPr>
            <w:r>
              <w:rPr>
                <w:lang w:eastAsia="en-AU"/>
              </w:rPr>
              <w:t>4.7</w:t>
            </w:r>
          </w:p>
        </w:tc>
        <w:tc>
          <w:tcPr>
            <w:tcW w:w="1025" w:type="dxa"/>
            <w:noWrap/>
            <w:hideMark/>
          </w:tcPr>
          <w:p w14:paraId="2BC7746F" w14:textId="77777777" w:rsidR="00285F19" w:rsidRPr="006272B7" w:rsidRDefault="00285F19" w:rsidP="006129E3">
            <w:pPr>
              <w:pStyle w:val="Tablebodytext"/>
              <w:jc w:val="right"/>
              <w:rPr>
                <w:lang w:eastAsia="en-AU"/>
              </w:rPr>
            </w:pPr>
            <w:r>
              <w:rPr>
                <w:lang w:eastAsia="en-AU"/>
              </w:rPr>
              <w:t>4.9</w:t>
            </w:r>
          </w:p>
        </w:tc>
        <w:tc>
          <w:tcPr>
            <w:tcW w:w="1025" w:type="dxa"/>
            <w:noWrap/>
            <w:hideMark/>
          </w:tcPr>
          <w:p w14:paraId="1DCA8724" w14:textId="77777777" w:rsidR="00285F19" w:rsidRPr="006272B7" w:rsidRDefault="00285F19" w:rsidP="006129E3">
            <w:pPr>
              <w:pStyle w:val="Tablebodytext"/>
              <w:jc w:val="right"/>
              <w:rPr>
                <w:lang w:eastAsia="en-AU"/>
              </w:rPr>
            </w:pPr>
            <w:r>
              <w:rPr>
                <w:lang w:eastAsia="en-AU"/>
              </w:rPr>
              <w:t>3.9</w:t>
            </w:r>
          </w:p>
        </w:tc>
        <w:tc>
          <w:tcPr>
            <w:tcW w:w="1025" w:type="dxa"/>
            <w:noWrap/>
            <w:hideMark/>
          </w:tcPr>
          <w:p w14:paraId="7DAF281F" w14:textId="77777777" w:rsidR="00285F19" w:rsidRPr="006272B7" w:rsidRDefault="00285F19" w:rsidP="006129E3">
            <w:pPr>
              <w:pStyle w:val="Tablebodytext"/>
              <w:jc w:val="right"/>
              <w:rPr>
                <w:lang w:eastAsia="en-AU"/>
              </w:rPr>
            </w:pPr>
            <w:r>
              <w:rPr>
                <w:lang w:eastAsia="en-AU"/>
              </w:rPr>
              <w:t>3.1</w:t>
            </w:r>
          </w:p>
        </w:tc>
        <w:tc>
          <w:tcPr>
            <w:tcW w:w="1025" w:type="dxa"/>
            <w:noWrap/>
            <w:hideMark/>
          </w:tcPr>
          <w:p w14:paraId="43A3285E" w14:textId="77777777" w:rsidR="00285F19" w:rsidRPr="006272B7" w:rsidRDefault="00285F19" w:rsidP="006129E3">
            <w:pPr>
              <w:pStyle w:val="Tablebodytext"/>
              <w:jc w:val="right"/>
              <w:rPr>
                <w:lang w:eastAsia="en-AU"/>
              </w:rPr>
            </w:pPr>
            <w:r>
              <w:rPr>
                <w:lang w:eastAsia="en-AU"/>
              </w:rPr>
              <w:t>4.1</w:t>
            </w:r>
          </w:p>
        </w:tc>
        <w:tc>
          <w:tcPr>
            <w:tcW w:w="1025" w:type="dxa"/>
            <w:noWrap/>
            <w:hideMark/>
          </w:tcPr>
          <w:p w14:paraId="655088C5" w14:textId="77777777" w:rsidR="00285F19" w:rsidRPr="006272B7" w:rsidRDefault="00285F19" w:rsidP="006129E3">
            <w:pPr>
              <w:pStyle w:val="Tablebodytext"/>
              <w:jc w:val="right"/>
              <w:rPr>
                <w:lang w:eastAsia="en-AU"/>
              </w:rPr>
            </w:pPr>
            <w:r>
              <w:rPr>
                <w:lang w:eastAsia="en-AU"/>
              </w:rPr>
              <w:t>4.8</w:t>
            </w:r>
          </w:p>
        </w:tc>
        <w:tc>
          <w:tcPr>
            <w:tcW w:w="1025" w:type="dxa"/>
            <w:noWrap/>
            <w:hideMark/>
          </w:tcPr>
          <w:p w14:paraId="5D9BD99D" w14:textId="77777777" w:rsidR="00285F19" w:rsidRPr="006272B7" w:rsidRDefault="00285F19" w:rsidP="006129E3">
            <w:pPr>
              <w:pStyle w:val="Tablebodytext"/>
              <w:jc w:val="right"/>
              <w:rPr>
                <w:lang w:eastAsia="en-AU"/>
              </w:rPr>
            </w:pPr>
            <w:r>
              <w:rPr>
                <w:lang w:eastAsia="en-AU"/>
              </w:rPr>
              <w:t>4.6</w:t>
            </w:r>
          </w:p>
        </w:tc>
        <w:tc>
          <w:tcPr>
            <w:tcW w:w="1025" w:type="dxa"/>
            <w:noWrap/>
            <w:hideMark/>
          </w:tcPr>
          <w:p w14:paraId="3EF83307" w14:textId="77777777" w:rsidR="00285F19" w:rsidRPr="006272B7" w:rsidRDefault="00285F19" w:rsidP="006129E3">
            <w:pPr>
              <w:pStyle w:val="Tablebodytext"/>
              <w:jc w:val="right"/>
              <w:rPr>
                <w:lang w:eastAsia="en-AU"/>
              </w:rPr>
            </w:pPr>
            <w:r>
              <w:rPr>
                <w:lang w:eastAsia="en-AU"/>
              </w:rPr>
              <w:t>2.5</w:t>
            </w:r>
          </w:p>
        </w:tc>
      </w:tr>
      <w:tr w:rsidR="00285F19" w:rsidRPr="006272B7" w14:paraId="03FA4483" w14:textId="77777777" w:rsidTr="006129E3">
        <w:trPr>
          <w:cnfStyle w:val="000000100000" w:firstRow="0" w:lastRow="0" w:firstColumn="0" w:lastColumn="0" w:oddVBand="0" w:evenVBand="0" w:oddHBand="1" w:evenHBand="0" w:firstRowFirstColumn="0" w:firstRowLastColumn="0" w:lastRowFirstColumn="0" w:lastRowLastColumn="0"/>
          <w:trHeight w:val="200"/>
        </w:trPr>
        <w:tc>
          <w:tcPr>
            <w:tcW w:w="2800" w:type="dxa"/>
            <w:noWrap/>
            <w:hideMark/>
          </w:tcPr>
          <w:p w14:paraId="3A2981E8" w14:textId="77777777" w:rsidR="00285F19" w:rsidRPr="006272B7" w:rsidRDefault="00285F19" w:rsidP="006129E3">
            <w:pPr>
              <w:pStyle w:val="Tablebodytext"/>
              <w:rPr>
                <w:b/>
                <w:lang w:eastAsia="en-AU"/>
              </w:rPr>
            </w:pPr>
          </w:p>
        </w:tc>
        <w:tc>
          <w:tcPr>
            <w:tcW w:w="1944" w:type="dxa"/>
            <w:noWrap/>
            <w:hideMark/>
          </w:tcPr>
          <w:p w14:paraId="65696145" w14:textId="77777777" w:rsidR="00285F19" w:rsidRPr="006272B7" w:rsidRDefault="00285F19" w:rsidP="006129E3">
            <w:pPr>
              <w:pStyle w:val="Tablebodytext"/>
              <w:rPr>
                <w:b/>
                <w:lang w:eastAsia="en-AU"/>
              </w:rPr>
            </w:pPr>
            <w:r w:rsidRPr="006272B7">
              <w:rPr>
                <w:b/>
                <w:lang w:eastAsia="en-AU"/>
              </w:rPr>
              <w:t>Ten plus</w:t>
            </w:r>
          </w:p>
        </w:tc>
        <w:tc>
          <w:tcPr>
            <w:tcW w:w="1024" w:type="dxa"/>
            <w:noWrap/>
            <w:hideMark/>
          </w:tcPr>
          <w:p w14:paraId="16C5728E" w14:textId="77777777" w:rsidR="00285F19" w:rsidRPr="006272B7" w:rsidRDefault="00285F19" w:rsidP="006129E3">
            <w:pPr>
              <w:pStyle w:val="Tablebodytext"/>
              <w:jc w:val="right"/>
              <w:rPr>
                <w:lang w:eastAsia="en-AU"/>
              </w:rPr>
            </w:pPr>
            <w:r w:rsidRPr="006272B7">
              <w:rPr>
                <w:lang w:eastAsia="en-AU"/>
              </w:rPr>
              <w:t>1.8</w:t>
            </w:r>
          </w:p>
        </w:tc>
        <w:tc>
          <w:tcPr>
            <w:tcW w:w="1024" w:type="dxa"/>
            <w:noWrap/>
            <w:hideMark/>
          </w:tcPr>
          <w:p w14:paraId="2FC866F0" w14:textId="77777777" w:rsidR="00285F19" w:rsidRPr="006272B7" w:rsidRDefault="00285F19" w:rsidP="006129E3">
            <w:pPr>
              <w:pStyle w:val="Tablebodytext"/>
              <w:jc w:val="right"/>
              <w:rPr>
                <w:lang w:eastAsia="en-AU"/>
              </w:rPr>
            </w:pPr>
            <w:r w:rsidRPr="006272B7">
              <w:rPr>
                <w:lang w:eastAsia="en-AU"/>
              </w:rPr>
              <w:t>1.5</w:t>
            </w:r>
          </w:p>
        </w:tc>
        <w:tc>
          <w:tcPr>
            <w:tcW w:w="1025" w:type="dxa"/>
            <w:noWrap/>
            <w:hideMark/>
          </w:tcPr>
          <w:p w14:paraId="3621C541" w14:textId="77777777" w:rsidR="00285F19" w:rsidRPr="006272B7" w:rsidRDefault="00285F19" w:rsidP="006129E3">
            <w:pPr>
              <w:pStyle w:val="Tablebodytext"/>
              <w:jc w:val="right"/>
              <w:rPr>
                <w:lang w:eastAsia="en-AU"/>
              </w:rPr>
            </w:pPr>
            <w:r>
              <w:rPr>
                <w:lang w:eastAsia="en-AU"/>
              </w:rPr>
              <w:t>1.7</w:t>
            </w:r>
          </w:p>
        </w:tc>
        <w:tc>
          <w:tcPr>
            <w:tcW w:w="1025" w:type="dxa"/>
            <w:noWrap/>
            <w:hideMark/>
          </w:tcPr>
          <w:p w14:paraId="48990DB4" w14:textId="77777777" w:rsidR="00285F19" w:rsidRPr="006272B7" w:rsidRDefault="00285F19" w:rsidP="006129E3">
            <w:pPr>
              <w:pStyle w:val="Tablebodytext"/>
              <w:jc w:val="right"/>
              <w:rPr>
                <w:lang w:eastAsia="en-AU"/>
              </w:rPr>
            </w:pPr>
            <w:r>
              <w:rPr>
                <w:lang w:eastAsia="en-AU"/>
              </w:rPr>
              <w:t>1.1</w:t>
            </w:r>
          </w:p>
        </w:tc>
        <w:tc>
          <w:tcPr>
            <w:tcW w:w="1025" w:type="dxa"/>
            <w:noWrap/>
            <w:hideMark/>
          </w:tcPr>
          <w:p w14:paraId="32AF89FC" w14:textId="77777777" w:rsidR="00285F19" w:rsidRPr="006272B7" w:rsidRDefault="00285F19" w:rsidP="006129E3">
            <w:pPr>
              <w:pStyle w:val="Tablebodytext"/>
              <w:jc w:val="right"/>
              <w:rPr>
                <w:lang w:eastAsia="en-AU"/>
              </w:rPr>
            </w:pPr>
            <w:r>
              <w:rPr>
                <w:lang w:eastAsia="en-AU"/>
              </w:rPr>
              <w:t>0.9</w:t>
            </w:r>
          </w:p>
        </w:tc>
        <w:tc>
          <w:tcPr>
            <w:tcW w:w="1025" w:type="dxa"/>
            <w:noWrap/>
            <w:hideMark/>
          </w:tcPr>
          <w:p w14:paraId="134D48FD" w14:textId="77777777" w:rsidR="00285F19" w:rsidRPr="006272B7" w:rsidRDefault="00285F19" w:rsidP="006129E3">
            <w:pPr>
              <w:pStyle w:val="Tablebodytext"/>
              <w:jc w:val="right"/>
              <w:rPr>
                <w:lang w:eastAsia="en-AU"/>
              </w:rPr>
            </w:pPr>
            <w:r>
              <w:rPr>
                <w:lang w:eastAsia="en-AU"/>
              </w:rPr>
              <w:t>1.2</w:t>
            </w:r>
          </w:p>
        </w:tc>
        <w:tc>
          <w:tcPr>
            <w:tcW w:w="1025" w:type="dxa"/>
            <w:noWrap/>
            <w:hideMark/>
          </w:tcPr>
          <w:p w14:paraId="16F5CD7B" w14:textId="77777777" w:rsidR="00285F19" w:rsidRPr="006272B7" w:rsidRDefault="00285F19" w:rsidP="006129E3">
            <w:pPr>
              <w:pStyle w:val="Tablebodytext"/>
              <w:jc w:val="right"/>
              <w:rPr>
                <w:lang w:eastAsia="en-AU"/>
              </w:rPr>
            </w:pPr>
            <w:r>
              <w:rPr>
                <w:lang w:eastAsia="en-AU"/>
              </w:rPr>
              <w:t>2.0</w:t>
            </w:r>
          </w:p>
        </w:tc>
        <w:tc>
          <w:tcPr>
            <w:tcW w:w="1025" w:type="dxa"/>
            <w:noWrap/>
            <w:hideMark/>
          </w:tcPr>
          <w:p w14:paraId="6ED8AAAB" w14:textId="77777777" w:rsidR="00285F19" w:rsidRPr="006272B7" w:rsidRDefault="00285F19" w:rsidP="006129E3">
            <w:pPr>
              <w:pStyle w:val="Tablebodytext"/>
              <w:jc w:val="right"/>
              <w:rPr>
                <w:lang w:eastAsia="en-AU"/>
              </w:rPr>
            </w:pPr>
            <w:r>
              <w:rPr>
                <w:lang w:eastAsia="en-AU"/>
              </w:rPr>
              <w:t>1.5</w:t>
            </w:r>
          </w:p>
        </w:tc>
        <w:tc>
          <w:tcPr>
            <w:tcW w:w="1025" w:type="dxa"/>
            <w:noWrap/>
            <w:hideMark/>
          </w:tcPr>
          <w:p w14:paraId="09184ACD" w14:textId="77777777" w:rsidR="00285F19" w:rsidRPr="006272B7" w:rsidRDefault="00285F19" w:rsidP="006129E3">
            <w:pPr>
              <w:pStyle w:val="Tablebodytext"/>
              <w:jc w:val="right"/>
              <w:rPr>
                <w:lang w:eastAsia="en-AU"/>
              </w:rPr>
            </w:pPr>
            <w:r>
              <w:rPr>
                <w:lang w:eastAsia="en-AU"/>
              </w:rPr>
              <w:t>0.8</w:t>
            </w:r>
          </w:p>
        </w:tc>
      </w:tr>
      <w:tr w:rsidR="00285F19" w:rsidRPr="006272B7" w14:paraId="3204E6EC" w14:textId="77777777" w:rsidTr="006129E3">
        <w:trPr>
          <w:cnfStyle w:val="000000010000" w:firstRow="0" w:lastRow="0" w:firstColumn="0" w:lastColumn="0" w:oddVBand="0" w:evenVBand="0" w:oddHBand="0" w:evenHBand="1" w:firstRowFirstColumn="0" w:firstRowLastColumn="0" w:lastRowFirstColumn="0" w:lastRowLastColumn="0"/>
          <w:trHeight w:val="200"/>
        </w:trPr>
        <w:tc>
          <w:tcPr>
            <w:tcW w:w="2800" w:type="dxa"/>
            <w:noWrap/>
            <w:hideMark/>
          </w:tcPr>
          <w:p w14:paraId="3323053F" w14:textId="77777777" w:rsidR="00285F19" w:rsidRPr="006272B7" w:rsidRDefault="00285F19" w:rsidP="006129E3">
            <w:pPr>
              <w:pStyle w:val="Tablebodytext"/>
              <w:rPr>
                <w:b/>
                <w:lang w:eastAsia="en-AU"/>
              </w:rPr>
            </w:pPr>
          </w:p>
        </w:tc>
        <w:tc>
          <w:tcPr>
            <w:tcW w:w="1944" w:type="dxa"/>
            <w:noWrap/>
            <w:hideMark/>
          </w:tcPr>
          <w:p w14:paraId="618D0971" w14:textId="77777777" w:rsidR="00285F19" w:rsidRPr="006272B7" w:rsidRDefault="00285F19" w:rsidP="006129E3">
            <w:pPr>
              <w:pStyle w:val="Tablebodytext"/>
              <w:rPr>
                <w:rFonts w:ascii="Times New Roman" w:hAnsi="Times New Roman"/>
                <w:color w:val="auto"/>
                <w:szCs w:val="20"/>
                <w:lang w:eastAsia="en-AU"/>
              </w:rPr>
            </w:pPr>
          </w:p>
        </w:tc>
        <w:tc>
          <w:tcPr>
            <w:tcW w:w="1024" w:type="dxa"/>
            <w:noWrap/>
            <w:hideMark/>
          </w:tcPr>
          <w:p w14:paraId="7AB01FCB" w14:textId="77777777" w:rsidR="00285F19" w:rsidRPr="006272B7" w:rsidRDefault="00285F19" w:rsidP="006129E3">
            <w:pPr>
              <w:pStyle w:val="Tablebodytext"/>
              <w:jc w:val="right"/>
              <w:rPr>
                <w:rFonts w:ascii="Times New Roman" w:hAnsi="Times New Roman"/>
                <w:color w:val="auto"/>
                <w:szCs w:val="20"/>
                <w:lang w:eastAsia="en-AU"/>
              </w:rPr>
            </w:pPr>
          </w:p>
        </w:tc>
        <w:tc>
          <w:tcPr>
            <w:tcW w:w="1024" w:type="dxa"/>
            <w:noWrap/>
            <w:hideMark/>
          </w:tcPr>
          <w:p w14:paraId="51C0B697"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6929A4D5"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7DA56162"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4C95DCEB"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2C490800"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08C4BFAB"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7EF9CA86"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4FDB7ADA" w14:textId="77777777" w:rsidR="00285F19" w:rsidRPr="006272B7" w:rsidRDefault="00285F19" w:rsidP="006129E3">
            <w:pPr>
              <w:pStyle w:val="Tablebodytext"/>
              <w:jc w:val="right"/>
              <w:rPr>
                <w:rFonts w:ascii="Times New Roman" w:hAnsi="Times New Roman"/>
                <w:color w:val="auto"/>
                <w:szCs w:val="20"/>
                <w:lang w:eastAsia="en-AU"/>
              </w:rPr>
            </w:pPr>
          </w:p>
        </w:tc>
      </w:tr>
      <w:tr w:rsidR="00285F19" w:rsidRPr="006272B7" w14:paraId="4FCBA3FC" w14:textId="77777777" w:rsidTr="006129E3">
        <w:trPr>
          <w:cnfStyle w:val="000000100000" w:firstRow="0" w:lastRow="0" w:firstColumn="0" w:lastColumn="0" w:oddVBand="0" w:evenVBand="0" w:oddHBand="1" w:evenHBand="0" w:firstRowFirstColumn="0" w:firstRowLastColumn="0" w:lastRowFirstColumn="0" w:lastRowLastColumn="0"/>
          <w:trHeight w:val="200"/>
        </w:trPr>
        <w:tc>
          <w:tcPr>
            <w:tcW w:w="2800" w:type="dxa"/>
            <w:noWrap/>
            <w:hideMark/>
          </w:tcPr>
          <w:p w14:paraId="011BAA87" w14:textId="77777777" w:rsidR="00285F19" w:rsidRPr="006272B7" w:rsidRDefault="00285F19" w:rsidP="006129E3">
            <w:pPr>
              <w:pStyle w:val="Tablebodytext"/>
              <w:rPr>
                <w:b/>
                <w:lang w:eastAsia="en-AU"/>
              </w:rPr>
            </w:pPr>
            <w:r w:rsidRPr="006272B7">
              <w:rPr>
                <w:b/>
                <w:lang w:eastAsia="en-AU"/>
              </w:rPr>
              <w:t>Business size (per cent)</w:t>
            </w:r>
          </w:p>
        </w:tc>
        <w:tc>
          <w:tcPr>
            <w:tcW w:w="1944" w:type="dxa"/>
            <w:noWrap/>
            <w:hideMark/>
          </w:tcPr>
          <w:p w14:paraId="1D69B8C3" w14:textId="77777777" w:rsidR="00285F19" w:rsidRPr="006272B7" w:rsidRDefault="00285F19" w:rsidP="006129E3">
            <w:pPr>
              <w:pStyle w:val="Tablebodytext"/>
              <w:rPr>
                <w:lang w:eastAsia="en-AU"/>
              </w:rPr>
            </w:pPr>
          </w:p>
        </w:tc>
        <w:tc>
          <w:tcPr>
            <w:tcW w:w="1024" w:type="dxa"/>
            <w:noWrap/>
            <w:hideMark/>
          </w:tcPr>
          <w:p w14:paraId="7BE1E1C3" w14:textId="77777777" w:rsidR="00285F19" w:rsidRPr="006272B7" w:rsidRDefault="00285F19" w:rsidP="006129E3">
            <w:pPr>
              <w:pStyle w:val="Tablebodytext"/>
              <w:jc w:val="right"/>
              <w:rPr>
                <w:rFonts w:ascii="Times New Roman" w:hAnsi="Times New Roman"/>
                <w:color w:val="auto"/>
                <w:szCs w:val="20"/>
                <w:lang w:eastAsia="en-AU"/>
              </w:rPr>
            </w:pPr>
          </w:p>
        </w:tc>
        <w:tc>
          <w:tcPr>
            <w:tcW w:w="1024" w:type="dxa"/>
            <w:noWrap/>
            <w:hideMark/>
          </w:tcPr>
          <w:p w14:paraId="239EE1C7"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214848C4"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6D1C46E4"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70D881CD"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3CF881BF"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249641FF"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336EA3A9"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368963EF" w14:textId="77777777" w:rsidR="00285F19" w:rsidRPr="006272B7" w:rsidRDefault="00285F19" w:rsidP="006129E3">
            <w:pPr>
              <w:pStyle w:val="Tablebodytext"/>
              <w:jc w:val="right"/>
              <w:rPr>
                <w:rFonts w:ascii="Times New Roman" w:hAnsi="Times New Roman"/>
                <w:color w:val="auto"/>
                <w:szCs w:val="20"/>
                <w:lang w:eastAsia="en-AU"/>
              </w:rPr>
            </w:pPr>
          </w:p>
        </w:tc>
      </w:tr>
      <w:tr w:rsidR="00285F19" w:rsidRPr="006272B7" w14:paraId="3ED1C895" w14:textId="77777777" w:rsidTr="006129E3">
        <w:trPr>
          <w:cnfStyle w:val="000000010000" w:firstRow="0" w:lastRow="0" w:firstColumn="0" w:lastColumn="0" w:oddVBand="0" w:evenVBand="0" w:oddHBand="0" w:evenHBand="1" w:firstRowFirstColumn="0" w:firstRowLastColumn="0" w:lastRowFirstColumn="0" w:lastRowLastColumn="0"/>
          <w:trHeight w:val="200"/>
        </w:trPr>
        <w:tc>
          <w:tcPr>
            <w:tcW w:w="2800" w:type="dxa"/>
            <w:noWrap/>
            <w:hideMark/>
          </w:tcPr>
          <w:p w14:paraId="525EE46B" w14:textId="77777777" w:rsidR="00285F19" w:rsidRPr="006272B7" w:rsidRDefault="00285F19" w:rsidP="006129E3">
            <w:pPr>
              <w:pStyle w:val="Tablebodytext"/>
              <w:rPr>
                <w:b/>
                <w:lang w:eastAsia="en-AU"/>
              </w:rPr>
            </w:pPr>
          </w:p>
        </w:tc>
        <w:tc>
          <w:tcPr>
            <w:tcW w:w="1944" w:type="dxa"/>
            <w:noWrap/>
            <w:hideMark/>
          </w:tcPr>
          <w:p w14:paraId="1D6DCFF7" w14:textId="55B255EE" w:rsidR="00285F19" w:rsidRPr="006272B7" w:rsidRDefault="00285F19" w:rsidP="00ED7134">
            <w:pPr>
              <w:pStyle w:val="Tablebodytext"/>
              <w:rPr>
                <w:b/>
                <w:lang w:eastAsia="en-AU"/>
              </w:rPr>
            </w:pPr>
            <w:r w:rsidRPr="006272B7">
              <w:rPr>
                <w:b/>
                <w:lang w:eastAsia="en-AU"/>
              </w:rPr>
              <w:t>1</w:t>
            </w:r>
            <w:r w:rsidR="00ED7134">
              <w:rPr>
                <w:b/>
                <w:lang w:eastAsia="en-AU"/>
              </w:rPr>
              <w:t>–</w:t>
            </w:r>
            <w:r w:rsidRPr="006272B7">
              <w:rPr>
                <w:b/>
                <w:lang w:eastAsia="en-AU"/>
              </w:rPr>
              <w:t>4 employees</w:t>
            </w:r>
          </w:p>
        </w:tc>
        <w:tc>
          <w:tcPr>
            <w:tcW w:w="1024" w:type="dxa"/>
            <w:noWrap/>
            <w:hideMark/>
          </w:tcPr>
          <w:p w14:paraId="18CFEA35" w14:textId="77777777" w:rsidR="00285F19" w:rsidRPr="006272B7" w:rsidRDefault="00285F19" w:rsidP="006129E3">
            <w:pPr>
              <w:pStyle w:val="Tablebodytext"/>
              <w:jc w:val="right"/>
              <w:rPr>
                <w:lang w:eastAsia="en-AU"/>
              </w:rPr>
            </w:pPr>
            <w:r>
              <w:rPr>
                <w:lang w:eastAsia="en-AU"/>
              </w:rPr>
              <w:t>18.7</w:t>
            </w:r>
          </w:p>
        </w:tc>
        <w:tc>
          <w:tcPr>
            <w:tcW w:w="1024" w:type="dxa"/>
            <w:noWrap/>
            <w:hideMark/>
          </w:tcPr>
          <w:p w14:paraId="7B58C4EC" w14:textId="77777777" w:rsidR="00285F19" w:rsidRPr="006272B7" w:rsidRDefault="00285F19" w:rsidP="006129E3">
            <w:pPr>
              <w:pStyle w:val="Tablebodytext"/>
              <w:jc w:val="right"/>
              <w:rPr>
                <w:lang w:eastAsia="en-AU"/>
              </w:rPr>
            </w:pPr>
            <w:r>
              <w:rPr>
                <w:lang w:eastAsia="en-AU"/>
              </w:rPr>
              <w:t>18.9</w:t>
            </w:r>
          </w:p>
        </w:tc>
        <w:tc>
          <w:tcPr>
            <w:tcW w:w="1025" w:type="dxa"/>
            <w:noWrap/>
            <w:hideMark/>
          </w:tcPr>
          <w:p w14:paraId="1787917D" w14:textId="77777777" w:rsidR="00285F19" w:rsidRPr="006272B7" w:rsidRDefault="00285F19" w:rsidP="006129E3">
            <w:pPr>
              <w:pStyle w:val="Tablebodytext"/>
              <w:jc w:val="right"/>
              <w:rPr>
                <w:lang w:eastAsia="en-AU"/>
              </w:rPr>
            </w:pPr>
            <w:r>
              <w:rPr>
                <w:lang w:eastAsia="en-AU"/>
              </w:rPr>
              <w:t>17.9</w:t>
            </w:r>
          </w:p>
        </w:tc>
        <w:tc>
          <w:tcPr>
            <w:tcW w:w="1025" w:type="dxa"/>
            <w:noWrap/>
            <w:hideMark/>
          </w:tcPr>
          <w:p w14:paraId="46E536B6" w14:textId="77777777" w:rsidR="00285F19" w:rsidRPr="006272B7" w:rsidRDefault="00285F19" w:rsidP="006129E3">
            <w:pPr>
              <w:pStyle w:val="Tablebodytext"/>
              <w:jc w:val="right"/>
              <w:rPr>
                <w:lang w:eastAsia="en-AU"/>
              </w:rPr>
            </w:pPr>
            <w:r>
              <w:rPr>
                <w:lang w:eastAsia="en-AU"/>
              </w:rPr>
              <w:t>16.2</w:t>
            </w:r>
          </w:p>
        </w:tc>
        <w:tc>
          <w:tcPr>
            <w:tcW w:w="1025" w:type="dxa"/>
            <w:noWrap/>
            <w:hideMark/>
          </w:tcPr>
          <w:p w14:paraId="6270B6D6" w14:textId="77777777" w:rsidR="00285F19" w:rsidRPr="006272B7" w:rsidRDefault="00285F19" w:rsidP="006129E3">
            <w:pPr>
              <w:pStyle w:val="Tablebodytext"/>
              <w:jc w:val="right"/>
              <w:rPr>
                <w:lang w:eastAsia="en-AU"/>
              </w:rPr>
            </w:pPr>
            <w:r>
              <w:rPr>
                <w:lang w:eastAsia="en-AU"/>
              </w:rPr>
              <w:t>14.7</w:t>
            </w:r>
          </w:p>
        </w:tc>
        <w:tc>
          <w:tcPr>
            <w:tcW w:w="1025" w:type="dxa"/>
            <w:noWrap/>
            <w:hideMark/>
          </w:tcPr>
          <w:p w14:paraId="19231DF7" w14:textId="77777777" w:rsidR="00285F19" w:rsidRPr="006272B7" w:rsidRDefault="00285F19" w:rsidP="006129E3">
            <w:pPr>
              <w:pStyle w:val="Tablebodytext"/>
              <w:jc w:val="right"/>
              <w:rPr>
                <w:lang w:eastAsia="en-AU"/>
              </w:rPr>
            </w:pPr>
            <w:r w:rsidRPr="006272B7">
              <w:rPr>
                <w:lang w:eastAsia="en-AU"/>
              </w:rPr>
              <w:t>16.1</w:t>
            </w:r>
          </w:p>
        </w:tc>
        <w:tc>
          <w:tcPr>
            <w:tcW w:w="1025" w:type="dxa"/>
            <w:noWrap/>
            <w:hideMark/>
          </w:tcPr>
          <w:p w14:paraId="7341479F" w14:textId="77777777" w:rsidR="00285F19" w:rsidRPr="006272B7" w:rsidRDefault="00285F19" w:rsidP="006129E3">
            <w:pPr>
              <w:pStyle w:val="Tablebodytext"/>
              <w:jc w:val="right"/>
              <w:rPr>
                <w:lang w:eastAsia="en-AU"/>
              </w:rPr>
            </w:pPr>
            <w:r>
              <w:rPr>
                <w:lang w:eastAsia="en-AU"/>
              </w:rPr>
              <w:t>17.2</w:t>
            </w:r>
          </w:p>
        </w:tc>
        <w:tc>
          <w:tcPr>
            <w:tcW w:w="1025" w:type="dxa"/>
            <w:noWrap/>
            <w:hideMark/>
          </w:tcPr>
          <w:p w14:paraId="2A659620" w14:textId="77777777" w:rsidR="00285F19" w:rsidRPr="006272B7" w:rsidRDefault="00285F19" w:rsidP="006129E3">
            <w:pPr>
              <w:pStyle w:val="Tablebodytext"/>
              <w:jc w:val="right"/>
              <w:rPr>
                <w:lang w:eastAsia="en-AU"/>
              </w:rPr>
            </w:pPr>
            <w:r>
              <w:rPr>
                <w:lang w:eastAsia="en-AU"/>
              </w:rPr>
              <w:t>20.2</w:t>
            </w:r>
          </w:p>
        </w:tc>
        <w:tc>
          <w:tcPr>
            <w:tcW w:w="1025" w:type="dxa"/>
            <w:noWrap/>
            <w:hideMark/>
          </w:tcPr>
          <w:p w14:paraId="163D0ABE" w14:textId="77777777" w:rsidR="00285F19" w:rsidRPr="006272B7" w:rsidRDefault="00285F19" w:rsidP="006129E3">
            <w:pPr>
              <w:pStyle w:val="Tablebodytext"/>
              <w:jc w:val="right"/>
              <w:rPr>
                <w:lang w:eastAsia="en-AU"/>
              </w:rPr>
            </w:pPr>
            <w:r>
              <w:rPr>
                <w:lang w:eastAsia="en-AU"/>
              </w:rPr>
              <w:t>27.9</w:t>
            </w:r>
          </w:p>
        </w:tc>
      </w:tr>
      <w:tr w:rsidR="00285F19" w:rsidRPr="006272B7" w14:paraId="2D702CD3" w14:textId="77777777" w:rsidTr="006129E3">
        <w:trPr>
          <w:cnfStyle w:val="000000100000" w:firstRow="0" w:lastRow="0" w:firstColumn="0" w:lastColumn="0" w:oddVBand="0" w:evenVBand="0" w:oddHBand="1" w:evenHBand="0" w:firstRowFirstColumn="0" w:firstRowLastColumn="0" w:lastRowFirstColumn="0" w:lastRowLastColumn="0"/>
          <w:trHeight w:val="200"/>
        </w:trPr>
        <w:tc>
          <w:tcPr>
            <w:tcW w:w="2800" w:type="dxa"/>
            <w:noWrap/>
            <w:hideMark/>
          </w:tcPr>
          <w:p w14:paraId="1108C064" w14:textId="77777777" w:rsidR="00285F19" w:rsidRPr="006272B7" w:rsidRDefault="00285F19" w:rsidP="006129E3">
            <w:pPr>
              <w:pStyle w:val="Tablebodytext"/>
              <w:rPr>
                <w:b/>
                <w:lang w:eastAsia="en-AU"/>
              </w:rPr>
            </w:pPr>
          </w:p>
        </w:tc>
        <w:tc>
          <w:tcPr>
            <w:tcW w:w="1944" w:type="dxa"/>
            <w:noWrap/>
            <w:hideMark/>
          </w:tcPr>
          <w:p w14:paraId="17C98204" w14:textId="1C6CD077" w:rsidR="00285F19" w:rsidRPr="006272B7" w:rsidRDefault="00285F19" w:rsidP="00ED7134">
            <w:pPr>
              <w:pStyle w:val="Tablebodytext"/>
              <w:rPr>
                <w:b/>
                <w:lang w:eastAsia="en-AU"/>
              </w:rPr>
            </w:pPr>
            <w:r w:rsidRPr="006272B7">
              <w:rPr>
                <w:b/>
                <w:lang w:eastAsia="en-AU"/>
              </w:rPr>
              <w:t>5</w:t>
            </w:r>
            <w:r w:rsidR="00ED7134">
              <w:rPr>
                <w:b/>
                <w:lang w:eastAsia="en-AU"/>
              </w:rPr>
              <w:t>–</w:t>
            </w:r>
            <w:r w:rsidRPr="006272B7">
              <w:rPr>
                <w:b/>
                <w:lang w:eastAsia="en-AU"/>
              </w:rPr>
              <w:t>19 employees</w:t>
            </w:r>
          </w:p>
        </w:tc>
        <w:tc>
          <w:tcPr>
            <w:tcW w:w="1024" w:type="dxa"/>
            <w:noWrap/>
            <w:hideMark/>
          </w:tcPr>
          <w:p w14:paraId="288D8415" w14:textId="77777777" w:rsidR="00285F19" w:rsidRPr="006272B7" w:rsidRDefault="00285F19" w:rsidP="006129E3">
            <w:pPr>
              <w:pStyle w:val="Tablebodytext"/>
              <w:jc w:val="right"/>
              <w:rPr>
                <w:lang w:eastAsia="en-AU"/>
              </w:rPr>
            </w:pPr>
            <w:r>
              <w:rPr>
                <w:lang w:eastAsia="en-AU"/>
              </w:rPr>
              <w:t>39.7</w:t>
            </w:r>
          </w:p>
        </w:tc>
        <w:tc>
          <w:tcPr>
            <w:tcW w:w="1024" w:type="dxa"/>
            <w:noWrap/>
            <w:hideMark/>
          </w:tcPr>
          <w:p w14:paraId="5810EF0C" w14:textId="77777777" w:rsidR="00285F19" w:rsidRPr="006272B7" w:rsidRDefault="00285F19" w:rsidP="006129E3">
            <w:pPr>
              <w:pStyle w:val="Tablebodytext"/>
              <w:jc w:val="right"/>
              <w:rPr>
                <w:lang w:eastAsia="en-AU"/>
              </w:rPr>
            </w:pPr>
            <w:r w:rsidRPr="006272B7">
              <w:rPr>
                <w:lang w:eastAsia="en-AU"/>
              </w:rPr>
              <w:t>40.6</w:t>
            </w:r>
          </w:p>
        </w:tc>
        <w:tc>
          <w:tcPr>
            <w:tcW w:w="1025" w:type="dxa"/>
            <w:noWrap/>
            <w:hideMark/>
          </w:tcPr>
          <w:p w14:paraId="1CAF7BE6" w14:textId="77777777" w:rsidR="00285F19" w:rsidRPr="006272B7" w:rsidRDefault="00285F19" w:rsidP="006129E3">
            <w:pPr>
              <w:pStyle w:val="Tablebodytext"/>
              <w:jc w:val="right"/>
              <w:rPr>
                <w:lang w:eastAsia="en-AU"/>
              </w:rPr>
            </w:pPr>
            <w:r>
              <w:rPr>
                <w:lang w:eastAsia="en-AU"/>
              </w:rPr>
              <w:t>40</w:t>
            </w:r>
          </w:p>
        </w:tc>
        <w:tc>
          <w:tcPr>
            <w:tcW w:w="1025" w:type="dxa"/>
            <w:noWrap/>
            <w:hideMark/>
          </w:tcPr>
          <w:p w14:paraId="1330E68C" w14:textId="77777777" w:rsidR="00285F19" w:rsidRPr="006272B7" w:rsidRDefault="00285F19" w:rsidP="006129E3">
            <w:pPr>
              <w:pStyle w:val="Tablebodytext"/>
              <w:jc w:val="right"/>
              <w:rPr>
                <w:lang w:eastAsia="en-AU"/>
              </w:rPr>
            </w:pPr>
            <w:r>
              <w:rPr>
                <w:lang w:eastAsia="en-AU"/>
              </w:rPr>
              <w:t>41.2</w:t>
            </w:r>
          </w:p>
        </w:tc>
        <w:tc>
          <w:tcPr>
            <w:tcW w:w="1025" w:type="dxa"/>
            <w:noWrap/>
            <w:hideMark/>
          </w:tcPr>
          <w:p w14:paraId="560940FB" w14:textId="77777777" w:rsidR="00285F19" w:rsidRPr="006272B7" w:rsidRDefault="00285F19" w:rsidP="006129E3">
            <w:pPr>
              <w:pStyle w:val="Tablebodytext"/>
              <w:jc w:val="right"/>
              <w:rPr>
                <w:lang w:eastAsia="en-AU"/>
              </w:rPr>
            </w:pPr>
            <w:r>
              <w:rPr>
                <w:lang w:eastAsia="en-AU"/>
              </w:rPr>
              <w:t>39.9</w:t>
            </w:r>
          </w:p>
        </w:tc>
        <w:tc>
          <w:tcPr>
            <w:tcW w:w="1025" w:type="dxa"/>
            <w:noWrap/>
            <w:hideMark/>
          </w:tcPr>
          <w:p w14:paraId="3C0EB8E5" w14:textId="77777777" w:rsidR="00285F19" w:rsidRPr="006272B7" w:rsidRDefault="00285F19" w:rsidP="006129E3">
            <w:pPr>
              <w:pStyle w:val="Tablebodytext"/>
              <w:jc w:val="right"/>
              <w:rPr>
                <w:lang w:eastAsia="en-AU"/>
              </w:rPr>
            </w:pPr>
            <w:r>
              <w:rPr>
                <w:lang w:eastAsia="en-AU"/>
              </w:rPr>
              <w:t>39.9</w:t>
            </w:r>
          </w:p>
        </w:tc>
        <w:tc>
          <w:tcPr>
            <w:tcW w:w="1025" w:type="dxa"/>
            <w:noWrap/>
            <w:hideMark/>
          </w:tcPr>
          <w:p w14:paraId="1BD80F9F" w14:textId="77777777" w:rsidR="00285F19" w:rsidRPr="006272B7" w:rsidRDefault="00285F19" w:rsidP="006129E3">
            <w:pPr>
              <w:pStyle w:val="Tablebodytext"/>
              <w:jc w:val="right"/>
              <w:rPr>
                <w:lang w:eastAsia="en-AU"/>
              </w:rPr>
            </w:pPr>
            <w:r>
              <w:rPr>
                <w:lang w:eastAsia="en-AU"/>
              </w:rPr>
              <w:t>39.1</w:t>
            </w:r>
          </w:p>
        </w:tc>
        <w:tc>
          <w:tcPr>
            <w:tcW w:w="1025" w:type="dxa"/>
            <w:noWrap/>
            <w:hideMark/>
          </w:tcPr>
          <w:p w14:paraId="4ADC05DA" w14:textId="77777777" w:rsidR="00285F19" w:rsidRPr="006272B7" w:rsidRDefault="00285F19" w:rsidP="006129E3">
            <w:pPr>
              <w:pStyle w:val="Tablebodytext"/>
              <w:jc w:val="right"/>
              <w:rPr>
                <w:lang w:eastAsia="en-AU"/>
              </w:rPr>
            </w:pPr>
            <w:r w:rsidRPr="006272B7">
              <w:rPr>
                <w:lang w:eastAsia="en-AU"/>
              </w:rPr>
              <w:t>39</w:t>
            </w:r>
          </w:p>
        </w:tc>
        <w:tc>
          <w:tcPr>
            <w:tcW w:w="1025" w:type="dxa"/>
            <w:noWrap/>
            <w:hideMark/>
          </w:tcPr>
          <w:p w14:paraId="75D953C9" w14:textId="77777777" w:rsidR="00285F19" w:rsidRPr="006272B7" w:rsidRDefault="00285F19" w:rsidP="006129E3">
            <w:pPr>
              <w:pStyle w:val="Tablebodytext"/>
              <w:jc w:val="right"/>
              <w:rPr>
                <w:lang w:eastAsia="en-AU"/>
              </w:rPr>
            </w:pPr>
            <w:r>
              <w:rPr>
                <w:lang w:eastAsia="en-AU"/>
              </w:rPr>
              <w:t>39.4</w:t>
            </w:r>
          </w:p>
        </w:tc>
      </w:tr>
      <w:tr w:rsidR="00285F19" w:rsidRPr="006272B7" w14:paraId="42A58F20" w14:textId="77777777" w:rsidTr="006129E3">
        <w:trPr>
          <w:cnfStyle w:val="000000010000" w:firstRow="0" w:lastRow="0" w:firstColumn="0" w:lastColumn="0" w:oddVBand="0" w:evenVBand="0" w:oddHBand="0" w:evenHBand="1" w:firstRowFirstColumn="0" w:firstRowLastColumn="0" w:lastRowFirstColumn="0" w:lastRowLastColumn="0"/>
          <w:trHeight w:val="200"/>
        </w:trPr>
        <w:tc>
          <w:tcPr>
            <w:tcW w:w="2800" w:type="dxa"/>
            <w:noWrap/>
            <w:hideMark/>
          </w:tcPr>
          <w:p w14:paraId="43745638" w14:textId="77777777" w:rsidR="00285F19" w:rsidRPr="006272B7" w:rsidRDefault="00285F19" w:rsidP="006129E3">
            <w:pPr>
              <w:pStyle w:val="Tablebodytext"/>
              <w:rPr>
                <w:b/>
                <w:lang w:eastAsia="en-AU"/>
              </w:rPr>
            </w:pPr>
          </w:p>
        </w:tc>
        <w:tc>
          <w:tcPr>
            <w:tcW w:w="1944" w:type="dxa"/>
            <w:noWrap/>
            <w:hideMark/>
          </w:tcPr>
          <w:p w14:paraId="611C8BB1" w14:textId="44E1C4E0" w:rsidR="00285F19" w:rsidRPr="006272B7" w:rsidRDefault="00285F19" w:rsidP="00ED7134">
            <w:pPr>
              <w:pStyle w:val="Tablebodytext"/>
              <w:rPr>
                <w:b/>
                <w:lang w:eastAsia="en-AU"/>
              </w:rPr>
            </w:pPr>
            <w:r w:rsidRPr="006272B7">
              <w:rPr>
                <w:b/>
                <w:lang w:eastAsia="en-AU"/>
              </w:rPr>
              <w:t>20</w:t>
            </w:r>
            <w:r w:rsidR="00ED7134">
              <w:rPr>
                <w:b/>
                <w:lang w:eastAsia="en-AU"/>
              </w:rPr>
              <w:t>–</w:t>
            </w:r>
            <w:r w:rsidRPr="006272B7">
              <w:rPr>
                <w:b/>
                <w:lang w:eastAsia="en-AU"/>
              </w:rPr>
              <w:t>199 employees</w:t>
            </w:r>
          </w:p>
        </w:tc>
        <w:tc>
          <w:tcPr>
            <w:tcW w:w="1024" w:type="dxa"/>
            <w:noWrap/>
            <w:hideMark/>
          </w:tcPr>
          <w:p w14:paraId="1F27EDFA" w14:textId="77777777" w:rsidR="00285F19" w:rsidRPr="006272B7" w:rsidRDefault="00285F19" w:rsidP="006129E3">
            <w:pPr>
              <w:pStyle w:val="Tablebodytext"/>
              <w:jc w:val="right"/>
              <w:rPr>
                <w:lang w:eastAsia="en-AU"/>
              </w:rPr>
            </w:pPr>
            <w:r>
              <w:rPr>
                <w:lang w:eastAsia="en-AU"/>
              </w:rPr>
              <w:t>41.7</w:t>
            </w:r>
          </w:p>
        </w:tc>
        <w:tc>
          <w:tcPr>
            <w:tcW w:w="1024" w:type="dxa"/>
            <w:noWrap/>
            <w:hideMark/>
          </w:tcPr>
          <w:p w14:paraId="59E16024" w14:textId="77777777" w:rsidR="00285F19" w:rsidRPr="006272B7" w:rsidRDefault="00285F19" w:rsidP="006129E3">
            <w:pPr>
              <w:pStyle w:val="Tablebodytext"/>
              <w:jc w:val="right"/>
              <w:rPr>
                <w:lang w:eastAsia="en-AU"/>
              </w:rPr>
            </w:pPr>
            <w:r>
              <w:rPr>
                <w:lang w:eastAsia="en-AU"/>
              </w:rPr>
              <w:t>40.5</w:t>
            </w:r>
          </w:p>
        </w:tc>
        <w:tc>
          <w:tcPr>
            <w:tcW w:w="1025" w:type="dxa"/>
            <w:noWrap/>
            <w:hideMark/>
          </w:tcPr>
          <w:p w14:paraId="36323A7E" w14:textId="77777777" w:rsidR="00285F19" w:rsidRPr="006272B7" w:rsidRDefault="00285F19" w:rsidP="006129E3">
            <w:pPr>
              <w:pStyle w:val="Tablebodytext"/>
              <w:jc w:val="right"/>
              <w:rPr>
                <w:lang w:eastAsia="en-AU"/>
              </w:rPr>
            </w:pPr>
            <w:r w:rsidRPr="006272B7">
              <w:rPr>
                <w:lang w:eastAsia="en-AU"/>
              </w:rPr>
              <w:t>42.1</w:t>
            </w:r>
          </w:p>
        </w:tc>
        <w:tc>
          <w:tcPr>
            <w:tcW w:w="1025" w:type="dxa"/>
            <w:noWrap/>
            <w:hideMark/>
          </w:tcPr>
          <w:p w14:paraId="3FFABF74" w14:textId="77777777" w:rsidR="00285F19" w:rsidRPr="006272B7" w:rsidRDefault="00285F19" w:rsidP="006129E3">
            <w:pPr>
              <w:pStyle w:val="Tablebodytext"/>
              <w:jc w:val="right"/>
              <w:rPr>
                <w:lang w:eastAsia="en-AU"/>
              </w:rPr>
            </w:pPr>
            <w:r>
              <w:rPr>
                <w:lang w:eastAsia="en-AU"/>
              </w:rPr>
              <w:t>42.6</w:t>
            </w:r>
          </w:p>
        </w:tc>
        <w:tc>
          <w:tcPr>
            <w:tcW w:w="1025" w:type="dxa"/>
            <w:noWrap/>
            <w:hideMark/>
          </w:tcPr>
          <w:p w14:paraId="118F8A27" w14:textId="77777777" w:rsidR="00285F19" w:rsidRPr="006272B7" w:rsidRDefault="00285F19" w:rsidP="006129E3">
            <w:pPr>
              <w:pStyle w:val="Tablebodytext"/>
              <w:jc w:val="right"/>
              <w:rPr>
                <w:lang w:eastAsia="en-AU"/>
              </w:rPr>
            </w:pPr>
            <w:r>
              <w:rPr>
                <w:lang w:eastAsia="en-AU"/>
              </w:rPr>
              <w:t>45.4</w:t>
            </w:r>
          </w:p>
        </w:tc>
        <w:tc>
          <w:tcPr>
            <w:tcW w:w="1025" w:type="dxa"/>
            <w:noWrap/>
            <w:hideMark/>
          </w:tcPr>
          <w:p w14:paraId="4AB3B8CF" w14:textId="77777777" w:rsidR="00285F19" w:rsidRPr="006272B7" w:rsidRDefault="00285F19" w:rsidP="006129E3">
            <w:pPr>
              <w:pStyle w:val="Tablebodytext"/>
              <w:jc w:val="right"/>
              <w:rPr>
                <w:lang w:eastAsia="en-AU"/>
              </w:rPr>
            </w:pPr>
            <w:r>
              <w:rPr>
                <w:lang w:eastAsia="en-AU"/>
              </w:rPr>
              <w:t>44.0</w:t>
            </w:r>
          </w:p>
        </w:tc>
        <w:tc>
          <w:tcPr>
            <w:tcW w:w="1025" w:type="dxa"/>
            <w:noWrap/>
            <w:hideMark/>
          </w:tcPr>
          <w:p w14:paraId="6BC5B157" w14:textId="77777777" w:rsidR="00285F19" w:rsidRPr="006272B7" w:rsidRDefault="00285F19" w:rsidP="006129E3">
            <w:pPr>
              <w:pStyle w:val="Tablebodytext"/>
              <w:jc w:val="right"/>
              <w:rPr>
                <w:lang w:eastAsia="en-AU"/>
              </w:rPr>
            </w:pPr>
            <w:r>
              <w:rPr>
                <w:lang w:eastAsia="en-AU"/>
              </w:rPr>
              <w:t>43.6</w:t>
            </w:r>
          </w:p>
        </w:tc>
        <w:tc>
          <w:tcPr>
            <w:tcW w:w="1025" w:type="dxa"/>
            <w:noWrap/>
            <w:hideMark/>
          </w:tcPr>
          <w:p w14:paraId="1A315623" w14:textId="77777777" w:rsidR="00285F19" w:rsidRPr="006272B7" w:rsidRDefault="00285F19" w:rsidP="006129E3">
            <w:pPr>
              <w:pStyle w:val="Tablebodytext"/>
              <w:jc w:val="right"/>
              <w:rPr>
                <w:lang w:eastAsia="en-AU"/>
              </w:rPr>
            </w:pPr>
            <w:r>
              <w:rPr>
                <w:lang w:eastAsia="en-AU"/>
              </w:rPr>
              <w:t>40.8</w:t>
            </w:r>
          </w:p>
        </w:tc>
        <w:tc>
          <w:tcPr>
            <w:tcW w:w="1025" w:type="dxa"/>
            <w:noWrap/>
            <w:hideMark/>
          </w:tcPr>
          <w:p w14:paraId="71C2362F" w14:textId="77777777" w:rsidR="00285F19" w:rsidRPr="006272B7" w:rsidRDefault="00285F19" w:rsidP="006129E3">
            <w:pPr>
              <w:pStyle w:val="Tablebodytext"/>
              <w:jc w:val="right"/>
              <w:rPr>
                <w:lang w:eastAsia="en-AU"/>
              </w:rPr>
            </w:pPr>
            <w:r>
              <w:rPr>
                <w:lang w:eastAsia="en-AU"/>
              </w:rPr>
              <w:t>32.7</w:t>
            </w:r>
          </w:p>
        </w:tc>
      </w:tr>
      <w:tr w:rsidR="00285F19" w:rsidRPr="006272B7" w14:paraId="31215809" w14:textId="77777777" w:rsidTr="006129E3">
        <w:trPr>
          <w:cnfStyle w:val="000000100000" w:firstRow="0" w:lastRow="0" w:firstColumn="0" w:lastColumn="0" w:oddVBand="0" w:evenVBand="0" w:oddHBand="1" w:evenHBand="0" w:firstRowFirstColumn="0" w:firstRowLastColumn="0" w:lastRowFirstColumn="0" w:lastRowLastColumn="0"/>
          <w:trHeight w:val="200"/>
        </w:trPr>
        <w:tc>
          <w:tcPr>
            <w:tcW w:w="2800" w:type="dxa"/>
            <w:noWrap/>
            <w:hideMark/>
          </w:tcPr>
          <w:p w14:paraId="6470A7BF" w14:textId="77777777" w:rsidR="00285F19" w:rsidRPr="006272B7" w:rsidRDefault="00285F19" w:rsidP="006129E3">
            <w:pPr>
              <w:pStyle w:val="Tablebodytext"/>
              <w:rPr>
                <w:b/>
                <w:lang w:eastAsia="en-AU"/>
              </w:rPr>
            </w:pPr>
          </w:p>
        </w:tc>
        <w:tc>
          <w:tcPr>
            <w:tcW w:w="1944" w:type="dxa"/>
            <w:noWrap/>
            <w:hideMark/>
          </w:tcPr>
          <w:p w14:paraId="50E04485" w14:textId="77777777" w:rsidR="00285F19" w:rsidRPr="006272B7" w:rsidRDefault="00285F19" w:rsidP="006129E3">
            <w:pPr>
              <w:pStyle w:val="Tablebodytext"/>
              <w:rPr>
                <w:rFonts w:ascii="Times New Roman" w:hAnsi="Times New Roman"/>
                <w:color w:val="auto"/>
                <w:szCs w:val="20"/>
                <w:lang w:eastAsia="en-AU"/>
              </w:rPr>
            </w:pPr>
          </w:p>
        </w:tc>
        <w:tc>
          <w:tcPr>
            <w:tcW w:w="1024" w:type="dxa"/>
            <w:noWrap/>
            <w:hideMark/>
          </w:tcPr>
          <w:p w14:paraId="46B17F01" w14:textId="77777777" w:rsidR="00285F19" w:rsidRPr="006272B7" w:rsidRDefault="00285F19" w:rsidP="006129E3">
            <w:pPr>
              <w:pStyle w:val="Tablebodytext"/>
              <w:jc w:val="right"/>
              <w:rPr>
                <w:rFonts w:ascii="Times New Roman" w:hAnsi="Times New Roman"/>
                <w:color w:val="auto"/>
                <w:szCs w:val="20"/>
                <w:lang w:eastAsia="en-AU"/>
              </w:rPr>
            </w:pPr>
          </w:p>
        </w:tc>
        <w:tc>
          <w:tcPr>
            <w:tcW w:w="1024" w:type="dxa"/>
            <w:noWrap/>
            <w:hideMark/>
          </w:tcPr>
          <w:p w14:paraId="2262174A"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28244821"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12EFD017"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150EBB61"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7137347A"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6DE52E05"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0C235FD8" w14:textId="77777777" w:rsidR="00285F19" w:rsidRPr="006272B7" w:rsidRDefault="00285F19" w:rsidP="006129E3">
            <w:pPr>
              <w:pStyle w:val="Tablebodytext"/>
              <w:jc w:val="right"/>
              <w:rPr>
                <w:rFonts w:ascii="Times New Roman" w:hAnsi="Times New Roman"/>
                <w:color w:val="auto"/>
                <w:szCs w:val="20"/>
                <w:lang w:eastAsia="en-AU"/>
              </w:rPr>
            </w:pPr>
          </w:p>
        </w:tc>
        <w:tc>
          <w:tcPr>
            <w:tcW w:w="1025" w:type="dxa"/>
            <w:noWrap/>
            <w:hideMark/>
          </w:tcPr>
          <w:p w14:paraId="442095D8" w14:textId="77777777" w:rsidR="00285F19" w:rsidRPr="006272B7" w:rsidRDefault="00285F19" w:rsidP="006129E3">
            <w:pPr>
              <w:pStyle w:val="Tablebodytext"/>
              <w:jc w:val="right"/>
              <w:rPr>
                <w:rFonts w:ascii="Times New Roman" w:hAnsi="Times New Roman"/>
                <w:color w:val="auto"/>
                <w:szCs w:val="20"/>
                <w:lang w:eastAsia="en-AU"/>
              </w:rPr>
            </w:pPr>
          </w:p>
        </w:tc>
      </w:tr>
      <w:tr w:rsidR="00285F19" w:rsidRPr="006272B7" w14:paraId="71EC1189" w14:textId="77777777" w:rsidTr="006129E3">
        <w:trPr>
          <w:cnfStyle w:val="000000010000" w:firstRow="0" w:lastRow="0" w:firstColumn="0" w:lastColumn="0" w:oddVBand="0" w:evenVBand="0" w:oddHBand="0" w:evenHBand="1" w:firstRowFirstColumn="0" w:firstRowLastColumn="0" w:lastRowFirstColumn="0" w:lastRowLastColumn="0"/>
          <w:trHeight w:val="200"/>
        </w:trPr>
        <w:tc>
          <w:tcPr>
            <w:tcW w:w="2800" w:type="dxa"/>
            <w:noWrap/>
            <w:hideMark/>
          </w:tcPr>
          <w:p w14:paraId="673B1F91" w14:textId="77777777" w:rsidR="00285F19" w:rsidRPr="006272B7" w:rsidRDefault="00285F19" w:rsidP="006129E3">
            <w:pPr>
              <w:pStyle w:val="Tablebodytext"/>
              <w:rPr>
                <w:b/>
                <w:lang w:eastAsia="en-AU"/>
              </w:rPr>
            </w:pPr>
            <w:r w:rsidRPr="006272B7">
              <w:rPr>
                <w:b/>
                <w:lang w:eastAsia="en-AU"/>
              </w:rPr>
              <w:t>Exporter (per cent)</w:t>
            </w:r>
          </w:p>
        </w:tc>
        <w:tc>
          <w:tcPr>
            <w:tcW w:w="1944" w:type="dxa"/>
            <w:noWrap/>
            <w:hideMark/>
          </w:tcPr>
          <w:p w14:paraId="6236F6C2" w14:textId="77777777" w:rsidR="00285F19" w:rsidRPr="006272B7" w:rsidRDefault="00285F19" w:rsidP="006129E3">
            <w:pPr>
              <w:pStyle w:val="Tablebodytext"/>
              <w:rPr>
                <w:lang w:eastAsia="en-AU"/>
              </w:rPr>
            </w:pPr>
          </w:p>
        </w:tc>
        <w:tc>
          <w:tcPr>
            <w:tcW w:w="1024" w:type="dxa"/>
            <w:noWrap/>
            <w:hideMark/>
          </w:tcPr>
          <w:p w14:paraId="71A55EB2" w14:textId="77777777" w:rsidR="00285F19" w:rsidRPr="006272B7" w:rsidRDefault="00285F19" w:rsidP="006129E3">
            <w:pPr>
              <w:pStyle w:val="Tablebodytext"/>
              <w:jc w:val="right"/>
              <w:rPr>
                <w:lang w:eastAsia="en-AU"/>
              </w:rPr>
            </w:pPr>
            <w:r>
              <w:rPr>
                <w:lang w:eastAsia="en-AU"/>
              </w:rPr>
              <w:t>28.4</w:t>
            </w:r>
          </w:p>
        </w:tc>
        <w:tc>
          <w:tcPr>
            <w:tcW w:w="1024" w:type="dxa"/>
            <w:noWrap/>
            <w:hideMark/>
          </w:tcPr>
          <w:p w14:paraId="702EB3EB" w14:textId="77777777" w:rsidR="00285F19" w:rsidRPr="006272B7" w:rsidRDefault="00285F19" w:rsidP="006129E3">
            <w:pPr>
              <w:pStyle w:val="Tablebodytext"/>
              <w:jc w:val="right"/>
              <w:rPr>
                <w:lang w:eastAsia="en-AU"/>
              </w:rPr>
            </w:pPr>
            <w:r>
              <w:rPr>
                <w:lang w:eastAsia="en-AU"/>
              </w:rPr>
              <w:t>25.6</w:t>
            </w:r>
          </w:p>
        </w:tc>
        <w:tc>
          <w:tcPr>
            <w:tcW w:w="1025" w:type="dxa"/>
            <w:noWrap/>
            <w:hideMark/>
          </w:tcPr>
          <w:p w14:paraId="4AB935E2" w14:textId="77777777" w:rsidR="00285F19" w:rsidRPr="006272B7" w:rsidRDefault="00285F19" w:rsidP="006129E3">
            <w:pPr>
              <w:pStyle w:val="Tablebodytext"/>
              <w:jc w:val="right"/>
              <w:rPr>
                <w:lang w:eastAsia="en-AU"/>
              </w:rPr>
            </w:pPr>
            <w:r>
              <w:rPr>
                <w:lang w:eastAsia="en-AU"/>
              </w:rPr>
              <w:t>24.7</w:t>
            </w:r>
          </w:p>
        </w:tc>
        <w:tc>
          <w:tcPr>
            <w:tcW w:w="1025" w:type="dxa"/>
            <w:noWrap/>
            <w:hideMark/>
          </w:tcPr>
          <w:p w14:paraId="3E54EE27" w14:textId="77777777" w:rsidR="00285F19" w:rsidRPr="006272B7" w:rsidRDefault="00285F19" w:rsidP="006129E3">
            <w:pPr>
              <w:pStyle w:val="Tablebodytext"/>
              <w:jc w:val="right"/>
              <w:rPr>
                <w:lang w:eastAsia="en-AU"/>
              </w:rPr>
            </w:pPr>
            <w:r>
              <w:rPr>
                <w:lang w:eastAsia="en-AU"/>
              </w:rPr>
              <w:t>24.2</w:t>
            </w:r>
          </w:p>
        </w:tc>
        <w:tc>
          <w:tcPr>
            <w:tcW w:w="1025" w:type="dxa"/>
            <w:noWrap/>
            <w:hideMark/>
          </w:tcPr>
          <w:p w14:paraId="5B4119D8" w14:textId="77777777" w:rsidR="00285F19" w:rsidRPr="006272B7" w:rsidRDefault="00285F19" w:rsidP="006129E3">
            <w:pPr>
              <w:pStyle w:val="Tablebodytext"/>
              <w:jc w:val="right"/>
              <w:rPr>
                <w:lang w:eastAsia="en-AU"/>
              </w:rPr>
            </w:pPr>
            <w:r>
              <w:rPr>
                <w:lang w:eastAsia="en-AU"/>
              </w:rPr>
              <w:t>25.4</w:t>
            </w:r>
          </w:p>
        </w:tc>
        <w:tc>
          <w:tcPr>
            <w:tcW w:w="1025" w:type="dxa"/>
            <w:noWrap/>
            <w:hideMark/>
          </w:tcPr>
          <w:p w14:paraId="6B895ED7" w14:textId="77777777" w:rsidR="00285F19" w:rsidRPr="006272B7" w:rsidRDefault="00285F19" w:rsidP="006129E3">
            <w:pPr>
              <w:pStyle w:val="Tablebodytext"/>
              <w:jc w:val="right"/>
              <w:rPr>
                <w:lang w:eastAsia="en-AU"/>
              </w:rPr>
            </w:pPr>
            <w:r>
              <w:rPr>
                <w:lang w:eastAsia="en-AU"/>
              </w:rPr>
              <w:t>24.3</w:t>
            </w:r>
          </w:p>
        </w:tc>
        <w:tc>
          <w:tcPr>
            <w:tcW w:w="1025" w:type="dxa"/>
            <w:noWrap/>
            <w:hideMark/>
          </w:tcPr>
          <w:p w14:paraId="1008431D" w14:textId="77777777" w:rsidR="00285F19" w:rsidRPr="006272B7" w:rsidRDefault="00285F19" w:rsidP="006129E3">
            <w:pPr>
              <w:pStyle w:val="Tablebodytext"/>
              <w:jc w:val="right"/>
              <w:rPr>
                <w:lang w:eastAsia="en-AU"/>
              </w:rPr>
            </w:pPr>
            <w:r>
              <w:rPr>
                <w:lang w:eastAsia="en-AU"/>
              </w:rPr>
              <w:t>21.7</w:t>
            </w:r>
          </w:p>
        </w:tc>
        <w:tc>
          <w:tcPr>
            <w:tcW w:w="1025" w:type="dxa"/>
            <w:noWrap/>
            <w:hideMark/>
          </w:tcPr>
          <w:p w14:paraId="28035D51" w14:textId="77777777" w:rsidR="00285F19" w:rsidRPr="006272B7" w:rsidRDefault="00285F19" w:rsidP="006129E3">
            <w:pPr>
              <w:pStyle w:val="Tablebodytext"/>
              <w:jc w:val="right"/>
              <w:rPr>
                <w:lang w:eastAsia="en-AU"/>
              </w:rPr>
            </w:pPr>
            <w:r>
              <w:rPr>
                <w:lang w:eastAsia="en-AU"/>
              </w:rPr>
              <w:t>18.7</w:t>
            </w:r>
          </w:p>
        </w:tc>
        <w:tc>
          <w:tcPr>
            <w:tcW w:w="1025" w:type="dxa"/>
            <w:noWrap/>
            <w:hideMark/>
          </w:tcPr>
          <w:p w14:paraId="241FC598" w14:textId="77777777" w:rsidR="00285F19" w:rsidRPr="006272B7" w:rsidRDefault="00285F19" w:rsidP="006129E3">
            <w:pPr>
              <w:pStyle w:val="Tablebodytext"/>
              <w:jc w:val="right"/>
              <w:rPr>
                <w:lang w:eastAsia="en-AU"/>
              </w:rPr>
            </w:pPr>
            <w:r>
              <w:rPr>
                <w:lang w:eastAsia="en-AU"/>
              </w:rPr>
              <w:t>16.1</w:t>
            </w:r>
          </w:p>
        </w:tc>
      </w:tr>
    </w:tbl>
    <w:p w14:paraId="0869B341" w14:textId="77777777" w:rsidR="00285F19" w:rsidRPr="00047610" w:rsidRDefault="00285F19" w:rsidP="00285F19">
      <w:pPr>
        <w:pStyle w:val="Placeholder"/>
      </w:pPr>
    </w:p>
    <w:p w14:paraId="5A0E691A" w14:textId="77777777" w:rsidR="00285F19" w:rsidRPr="00C62F3A" w:rsidRDefault="00285F19" w:rsidP="00285F19">
      <w:pPr>
        <w:pStyle w:val="Note"/>
      </w:pPr>
      <w:r>
        <w:t>Notes: Statistics relate to simple (non-profiled) businesses from the linked BLADE-DIBP dataset. Statistics not directly comparable to official DIBP visa grant statistics.</w:t>
      </w:r>
    </w:p>
    <w:p w14:paraId="75E2F5E4" w14:textId="13A173BE" w:rsidR="00285F19" w:rsidRDefault="006A6D70" w:rsidP="00285F19">
      <w:pPr>
        <w:pStyle w:val="Source"/>
      </w:pPr>
      <w:r>
        <w:t>Source: DIIS (2019</w:t>
      </w:r>
      <w:r w:rsidR="00285F19">
        <w:t xml:space="preserve">) </w:t>
      </w:r>
      <w:r>
        <w:t>using ABS BLADE</w:t>
      </w:r>
    </w:p>
    <w:p w14:paraId="1F0017CD" w14:textId="77777777" w:rsidR="00285F19" w:rsidRDefault="00285F19" w:rsidP="00285F19">
      <w:pPr>
        <w:pStyle w:val="Caption"/>
      </w:pPr>
      <w:r w:rsidRPr="000618FB">
        <w:lastRenderedPageBreak/>
        <w:t>Table</w:t>
      </w:r>
      <w:r>
        <w:t xml:space="preserve"> 4</w:t>
      </w:r>
      <w:r w:rsidRPr="000618FB">
        <w:t xml:space="preserve">: </w:t>
      </w:r>
      <w:r>
        <w:t>457 migrant sponsoring businesses by industry</w:t>
      </w:r>
    </w:p>
    <w:tbl>
      <w:tblPr>
        <w:tblStyle w:val="OCETable"/>
        <w:tblW w:w="5015" w:type="pct"/>
        <w:tblLook w:val="04A0" w:firstRow="1" w:lastRow="0" w:firstColumn="1" w:lastColumn="0" w:noHBand="0" w:noVBand="1"/>
        <w:tblCaption w:val="Table 4: 457 migrant sponsoring businesses by industry"/>
        <w:tblDescription w:val="This table contains statistical information on the proportion of 457 migrant sponsoring businesses by industries over time. The table shows that the Construction, Accomodation and Food services, and the Professional Scientific and Technical Services industries had a relative higher incidence of sponsoring businesses."/>
      </w:tblPr>
      <w:tblGrid>
        <w:gridCol w:w="4769"/>
        <w:gridCol w:w="1025"/>
        <w:gridCol w:w="1025"/>
        <w:gridCol w:w="1026"/>
        <w:gridCol w:w="1026"/>
        <w:gridCol w:w="1026"/>
        <w:gridCol w:w="1026"/>
        <w:gridCol w:w="1026"/>
        <w:gridCol w:w="1026"/>
        <w:gridCol w:w="1026"/>
      </w:tblGrid>
      <w:tr w:rsidR="00285F19" w:rsidRPr="00224BEC" w14:paraId="6F3DB703" w14:textId="77777777" w:rsidTr="006129E3">
        <w:trPr>
          <w:cnfStyle w:val="100000000000" w:firstRow="1" w:lastRow="0" w:firstColumn="0" w:lastColumn="0" w:oddVBand="0" w:evenVBand="0" w:oddHBand="0" w:evenHBand="0" w:firstRowFirstColumn="0" w:firstRowLastColumn="0" w:lastRowFirstColumn="0" w:lastRowLastColumn="0"/>
          <w:trHeight w:val="279"/>
          <w:tblHeader/>
        </w:trPr>
        <w:tc>
          <w:tcPr>
            <w:tcW w:w="4769" w:type="dxa"/>
            <w:noWrap/>
            <w:hideMark/>
          </w:tcPr>
          <w:p w14:paraId="619DE392" w14:textId="77777777" w:rsidR="00285F19" w:rsidRPr="00224BEC" w:rsidRDefault="00285F19" w:rsidP="006129E3">
            <w:pPr>
              <w:pStyle w:val="Tableheadertext"/>
              <w:rPr>
                <w:lang w:eastAsia="en-AU"/>
              </w:rPr>
            </w:pPr>
          </w:p>
        </w:tc>
        <w:tc>
          <w:tcPr>
            <w:tcW w:w="1025" w:type="dxa"/>
            <w:noWrap/>
            <w:hideMark/>
          </w:tcPr>
          <w:p w14:paraId="0130388D" w14:textId="77777777" w:rsidR="00285F19" w:rsidRPr="00493616" w:rsidRDefault="00285F19" w:rsidP="006129E3">
            <w:pPr>
              <w:pStyle w:val="Tableheadertext"/>
              <w:jc w:val="right"/>
            </w:pPr>
            <w:r w:rsidRPr="00493616">
              <w:t>2005-06</w:t>
            </w:r>
          </w:p>
        </w:tc>
        <w:tc>
          <w:tcPr>
            <w:tcW w:w="1025" w:type="dxa"/>
            <w:noWrap/>
            <w:hideMark/>
          </w:tcPr>
          <w:p w14:paraId="31F62AE7" w14:textId="77777777" w:rsidR="00285F19" w:rsidRPr="00493616" w:rsidRDefault="00285F19" w:rsidP="006129E3">
            <w:pPr>
              <w:pStyle w:val="Tableheadertext"/>
              <w:jc w:val="right"/>
            </w:pPr>
            <w:r w:rsidRPr="00493616">
              <w:t>2006-07</w:t>
            </w:r>
          </w:p>
        </w:tc>
        <w:tc>
          <w:tcPr>
            <w:tcW w:w="1026" w:type="dxa"/>
            <w:noWrap/>
            <w:hideMark/>
          </w:tcPr>
          <w:p w14:paraId="4BD8A3CE" w14:textId="77777777" w:rsidR="00285F19" w:rsidRPr="00493616" w:rsidRDefault="00285F19" w:rsidP="006129E3">
            <w:pPr>
              <w:pStyle w:val="Tableheadertext"/>
              <w:jc w:val="right"/>
            </w:pPr>
            <w:r w:rsidRPr="00493616">
              <w:t>2007-08</w:t>
            </w:r>
          </w:p>
        </w:tc>
        <w:tc>
          <w:tcPr>
            <w:tcW w:w="1026" w:type="dxa"/>
            <w:noWrap/>
            <w:hideMark/>
          </w:tcPr>
          <w:p w14:paraId="5110EA8B" w14:textId="77777777" w:rsidR="00285F19" w:rsidRPr="00493616" w:rsidRDefault="00285F19" w:rsidP="006129E3">
            <w:pPr>
              <w:pStyle w:val="Tableheadertext"/>
              <w:jc w:val="right"/>
            </w:pPr>
            <w:r w:rsidRPr="00493616">
              <w:t>2008-09</w:t>
            </w:r>
          </w:p>
        </w:tc>
        <w:tc>
          <w:tcPr>
            <w:tcW w:w="1026" w:type="dxa"/>
            <w:noWrap/>
            <w:hideMark/>
          </w:tcPr>
          <w:p w14:paraId="1102AA6B" w14:textId="77777777" w:rsidR="00285F19" w:rsidRPr="00493616" w:rsidRDefault="00285F19" w:rsidP="006129E3">
            <w:pPr>
              <w:pStyle w:val="Tableheadertext"/>
              <w:jc w:val="right"/>
            </w:pPr>
            <w:r w:rsidRPr="00493616">
              <w:t>2009-10</w:t>
            </w:r>
          </w:p>
        </w:tc>
        <w:tc>
          <w:tcPr>
            <w:tcW w:w="1026" w:type="dxa"/>
            <w:noWrap/>
            <w:hideMark/>
          </w:tcPr>
          <w:p w14:paraId="2E508F22" w14:textId="77777777" w:rsidR="00285F19" w:rsidRPr="00493616" w:rsidRDefault="00285F19" w:rsidP="006129E3">
            <w:pPr>
              <w:pStyle w:val="Tableheadertext"/>
              <w:jc w:val="right"/>
            </w:pPr>
            <w:r w:rsidRPr="00493616">
              <w:t>2010-11</w:t>
            </w:r>
          </w:p>
        </w:tc>
        <w:tc>
          <w:tcPr>
            <w:tcW w:w="1026" w:type="dxa"/>
            <w:noWrap/>
            <w:hideMark/>
          </w:tcPr>
          <w:p w14:paraId="638FD108" w14:textId="77777777" w:rsidR="00285F19" w:rsidRPr="00493616" w:rsidRDefault="00285F19" w:rsidP="006129E3">
            <w:pPr>
              <w:pStyle w:val="Tableheadertext"/>
              <w:jc w:val="right"/>
            </w:pPr>
            <w:r w:rsidRPr="00493616">
              <w:t>2011-12</w:t>
            </w:r>
          </w:p>
        </w:tc>
        <w:tc>
          <w:tcPr>
            <w:tcW w:w="1026" w:type="dxa"/>
            <w:noWrap/>
            <w:hideMark/>
          </w:tcPr>
          <w:p w14:paraId="1F531D43" w14:textId="77777777" w:rsidR="00285F19" w:rsidRPr="00493616" w:rsidRDefault="00285F19" w:rsidP="006129E3">
            <w:pPr>
              <w:pStyle w:val="Tableheadertext"/>
              <w:jc w:val="right"/>
            </w:pPr>
            <w:r w:rsidRPr="00493616">
              <w:t>2012-13</w:t>
            </w:r>
          </w:p>
        </w:tc>
        <w:tc>
          <w:tcPr>
            <w:tcW w:w="1026" w:type="dxa"/>
            <w:noWrap/>
            <w:hideMark/>
          </w:tcPr>
          <w:p w14:paraId="529668C2" w14:textId="77777777" w:rsidR="00285F19" w:rsidRPr="00493616" w:rsidRDefault="00285F19" w:rsidP="006129E3">
            <w:pPr>
              <w:pStyle w:val="Tableheadertext"/>
              <w:jc w:val="right"/>
            </w:pPr>
            <w:r w:rsidRPr="00493616">
              <w:t>2013-14</w:t>
            </w:r>
          </w:p>
        </w:tc>
      </w:tr>
      <w:tr w:rsidR="00285F19" w:rsidRPr="00224BEC" w14:paraId="5055B5CC" w14:textId="77777777" w:rsidTr="006129E3">
        <w:trPr>
          <w:cnfStyle w:val="000000100000" w:firstRow="0" w:lastRow="0" w:firstColumn="0" w:lastColumn="0" w:oddVBand="0" w:evenVBand="0" w:oddHBand="1" w:evenHBand="0" w:firstRowFirstColumn="0" w:firstRowLastColumn="0" w:lastRowFirstColumn="0" w:lastRowLastColumn="0"/>
          <w:trHeight w:val="279"/>
        </w:trPr>
        <w:tc>
          <w:tcPr>
            <w:tcW w:w="4769" w:type="dxa"/>
            <w:noWrap/>
            <w:hideMark/>
          </w:tcPr>
          <w:p w14:paraId="2DA2D471" w14:textId="77777777" w:rsidR="00285F19" w:rsidRPr="00224BEC" w:rsidRDefault="00285F19" w:rsidP="006129E3">
            <w:pPr>
              <w:pStyle w:val="Tabletext"/>
              <w:rPr>
                <w:lang w:eastAsia="en-AU"/>
              </w:rPr>
            </w:pPr>
            <w:r w:rsidRPr="00224BEC">
              <w:rPr>
                <w:lang w:eastAsia="en-AU"/>
              </w:rPr>
              <w:t>Total number of sponsors</w:t>
            </w:r>
          </w:p>
        </w:tc>
        <w:tc>
          <w:tcPr>
            <w:tcW w:w="1025" w:type="dxa"/>
            <w:noWrap/>
            <w:hideMark/>
          </w:tcPr>
          <w:p w14:paraId="5ABCD1AF" w14:textId="77777777" w:rsidR="00285F19" w:rsidRPr="00224BEC" w:rsidRDefault="00285F19" w:rsidP="006129E3">
            <w:pPr>
              <w:pStyle w:val="Tabletext"/>
              <w:jc w:val="right"/>
              <w:rPr>
                <w:lang w:eastAsia="en-AU"/>
              </w:rPr>
            </w:pPr>
            <w:r w:rsidRPr="00224BEC">
              <w:rPr>
                <w:lang w:eastAsia="en-AU"/>
              </w:rPr>
              <w:t>4,896</w:t>
            </w:r>
          </w:p>
        </w:tc>
        <w:tc>
          <w:tcPr>
            <w:tcW w:w="1025" w:type="dxa"/>
            <w:noWrap/>
            <w:hideMark/>
          </w:tcPr>
          <w:p w14:paraId="18C5103A" w14:textId="77777777" w:rsidR="00285F19" w:rsidRPr="00224BEC" w:rsidRDefault="00285F19" w:rsidP="006129E3">
            <w:pPr>
              <w:pStyle w:val="Tabletext"/>
              <w:jc w:val="right"/>
              <w:rPr>
                <w:lang w:eastAsia="en-AU"/>
              </w:rPr>
            </w:pPr>
            <w:r w:rsidRPr="00224BEC">
              <w:rPr>
                <w:lang w:eastAsia="en-AU"/>
              </w:rPr>
              <w:t>6,335</w:t>
            </w:r>
          </w:p>
        </w:tc>
        <w:tc>
          <w:tcPr>
            <w:tcW w:w="1026" w:type="dxa"/>
            <w:noWrap/>
            <w:hideMark/>
          </w:tcPr>
          <w:p w14:paraId="5B0C38E4" w14:textId="77777777" w:rsidR="00285F19" w:rsidRPr="00224BEC" w:rsidRDefault="00285F19" w:rsidP="006129E3">
            <w:pPr>
              <w:pStyle w:val="Tabletext"/>
              <w:jc w:val="right"/>
              <w:rPr>
                <w:lang w:eastAsia="en-AU"/>
              </w:rPr>
            </w:pPr>
            <w:r w:rsidRPr="00224BEC">
              <w:rPr>
                <w:lang w:eastAsia="en-AU"/>
              </w:rPr>
              <w:t>8,648</w:t>
            </w:r>
          </w:p>
        </w:tc>
        <w:tc>
          <w:tcPr>
            <w:tcW w:w="1026" w:type="dxa"/>
            <w:noWrap/>
            <w:hideMark/>
          </w:tcPr>
          <w:p w14:paraId="7EEF6907" w14:textId="77777777" w:rsidR="00285F19" w:rsidRPr="00224BEC" w:rsidRDefault="00285F19" w:rsidP="006129E3">
            <w:pPr>
              <w:pStyle w:val="Tabletext"/>
              <w:jc w:val="right"/>
              <w:rPr>
                <w:lang w:eastAsia="en-AU"/>
              </w:rPr>
            </w:pPr>
            <w:r w:rsidRPr="00224BEC">
              <w:rPr>
                <w:lang w:eastAsia="en-AU"/>
              </w:rPr>
              <w:t>7,939</w:t>
            </w:r>
          </w:p>
        </w:tc>
        <w:tc>
          <w:tcPr>
            <w:tcW w:w="1026" w:type="dxa"/>
            <w:noWrap/>
            <w:hideMark/>
          </w:tcPr>
          <w:p w14:paraId="419D2874" w14:textId="77777777" w:rsidR="00285F19" w:rsidRPr="00224BEC" w:rsidRDefault="00285F19" w:rsidP="006129E3">
            <w:pPr>
              <w:pStyle w:val="Tabletext"/>
              <w:jc w:val="right"/>
              <w:rPr>
                <w:lang w:eastAsia="en-AU"/>
              </w:rPr>
            </w:pPr>
            <w:r w:rsidRPr="00224BEC">
              <w:rPr>
                <w:lang w:eastAsia="en-AU"/>
              </w:rPr>
              <w:t>5,435</w:t>
            </w:r>
          </w:p>
        </w:tc>
        <w:tc>
          <w:tcPr>
            <w:tcW w:w="1026" w:type="dxa"/>
            <w:noWrap/>
            <w:hideMark/>
          </w:tcPr>
          <w:p w14:paraId="4525CE2B" w14:textId="77777777" w:rsidR="00285F19" w:rsidRPr="00224BEC" w:rsidRDefault="00285F19" w:rsidP="006129E3">
            <w:pPr>
              <w:pStyle w:val="Tabletext"/>
              <w:jc w:val="right"/>
              <w:rPr>
                <w:lang w:eastAsia="en-AU"/>
              </w:rPr>
            </w:pPr>
            <w:r w:rsidRPr="00224BEC">
              <w:rPr>
                <w:lang w:eastAsia="en-AU"/>
              </w:rPr>
              <w:t>6,950</w:t>
            </w:r>
          </w:p>
        </w:tc>
        <w:tc>
          <w:tcPr>
            <w:tcW w:w="1026" w:type="dxa"/>
            <w:noWrap/>
            <w:hideMark/>
          </w:tcPr>
          <w:p w14:paraId="56633444" w14:textId="77777777" w:rsidR="00285F19" w:rsidRPr="00224BEC" w:rsidRDefault="00285F19" w:rsidP="006129E3">
            <w:pPr>
              <w:pStyle w:val="Tabletext"/>
              <w:jc w:val="right"/>
              <w:rPr>
                <w:lang w:eastAsia="en-AU"/>
              </w:rPr>
            </w:pPr>
            <w:r w:rsidRPr="00224BEC">
              <w:rPr>
                <w:lang w:eastAsia="en-AU"/>
              </w:rPr>
              <w:t>9,165</w:t>
            </w:r>
          </w:p>
        </w:tc>
        <w:tc>
          <w:tcPr>
            <w:tcW w:w="1026" w:type="dxa"/>
            <w:noWrap/>
            <w:hideMark/>
          </w:tcPr>
          <w:p w14:paraId="36D8FD14" w14:textId="77777777" w:rsidR="00285F19" w:rsidRPr="00224BEC" w:rsidRDefault="00285F19" w:rsidP="006129E3">
            <w:pPr>
              <w:pStyle w:val="Tabletext"/>
              <w:jc w:val="right"/>
              <w:rPr>
                <w:lang w:eastAsia="en-AU"/>
              </w:rPr>
            </w:pPr>
            <w:r w:rsidRPr="00224BEC">
              <w:rPr>
                <w:lang w:eastAsia="en-AU"/>
              </w:rPr>
              <w:t>10,177</w:t>
            </w:r>
          </w:p>
        </w:tc>
        <w:tc>
          <w:tcPr>
            <w:tcW w:w="1026" w:type="dxa"/>
            <w:noWrap/>
            <w:hideMark/>
          </w:tcPr>
          <w:p w14:paraId="3D71C314" w14:textId="77777777" w:rsidR="00285F19" w:rsidRPr="00224BEC" w:rsidRDefault="00285F19" w:rsidP="006129E3">
            <w:pPr>
              <w:pStyle w:val="Tabletext"/>
              <w:jc w:val="right"/>
              <w:rPr>
                <w:lang w:eastAsia="en-AU"/>
              </w:rPr>
            </w:pPr>
            <w:r w:rsidRPr="00224BEC">
              <w:rPr>
                <w:lang w:eastAsia="en-AU"/>
              </w:rPr>
              <w:t>11,988</w:t>
            </w:r>
          </w:p>
        </w:tc>
      </w:tr>
      <w:tr w:rsidR="00285F19" w:rsidRPr="00224BEC" w14:paraId="58DCB5B9" w14:textId="77777777" w:rsidTr="006129E3">
        <w:trPr>
          <w:cnfStyle w:val="000000010000" w:firstRow="0" w:lastRow="0" w:firstColumn="0" w:lastColumn="0" w:oddVBand="0" w:evenVBand="0" w:oddHBand="0" w:evenHBand="1" w:firstRowFirstColumn="0" w:firstRowLastColumn="0" w:lastRowFirstColumn="0" w:lastRowLastColumn="0"/>
          <w:trHeight w:val="279"/>
        </w:trPr>
        <w:tc>
          <w:tcPr>
            <w:tcW w:w="4769" w:type="dxa"/>
            <w:noWrap/>
            <w:hideMark/>
          </w:tcPr>
          <w:p w14:paraId="032C43A8" w14:textId="77777777" w:rsidR="00285F19" w:rsidRPr="00224BEC" w:rsidRDefault="00285F19" w:rsidP="006129E3">
            <w:pPr>
              <w:pStyle w:val="Tabletext"/>
              <w:rPr>
                <w:lang w:eastAsia="en-AU"/>
              </w:rPr>
            </w:pPr>
          </w:p>
        </w:tc>
        <w:tc>
          <w:tcPr>
            <w:tcW w:w="1025" w:type="dxa"/>
            <w:noWrap/>
            <w:hideMark/>
          </w:tcPr>
          <w:p w14:paraId="542C30C3" w14:textId="77777777" w:rsidR="00285F19" w:rsidRPr="00224BEC" w:rsidRDefault="00285F19" w:rsidP="006129E3">
            <w:pPr>
              <w:pStyle w:val="Tabletext"/>
              <w:jc w:val="right"/>
              <w:rPr>
                <w:lang w:eastAsia="en-AU"/>
              </w:rPr>
            </w:pPr>
          </w:p>
        </w:tc>
        <w:tc>
          <w:tcPr>
            <w:tcW w:w="1025" w:type="dxa"/>
            <w:noWrap/>
            <w:hideMark/>
          </w:tcPr>
          <w:p w14:paraId="3E57938A" w14:textId="77777777" w:rsidR="00285F19" w:rsidRPr="00224BEC" w:rsidRDefault="00285F19" w:rsidP="006129E3">
            <w:pPr>
              <w:pStyle w:val="Tabletext"/>
              <w:jc w:val="right"/>
              <w:rPr>
                <w:lang w:eastAsia="en-AU"/>
              </w:rPr>
            </w:pPr>
          </w:p>
        </w:tc>
        <w:tc>
          <w:tcPr>
            <w:tcW w:w="1026" w:type="dxa"/>
            <w:noWrap/>
            <w:hideMark/>
          </w:tcPr>
          <w:p w14:paraId="40C3F8CA" w14:textId="77777777" w:rsidR="00285F19" w:rsidRPr="00224BEC" w:rsidRDefault="00285F19" w:rsidP="006129E3">
            <w:pPr>
              <w:pStyle w:val="Tabletext"/>
              <w:jc w:val="right"/>
              <w:rPr>
                <w:lang w:eastAsia="en-AU"/>
              </w:rPr>
            </w:pPr>
          </w:p>
        </w:tc>
        <w:tc>
          <w:tcPr>
            <w:tcW w:w="1026" w:type="dxa"/>
            <w:noWrap/>
            <w:hideMark/>
          </w:tcPr>
          <w:p w14:paraId="392C2730" w14:textId="77777777" w:rsidR="00285F19" w:rsidRPr="00224BEC" w:rsidRDefault="00285F19" w:rsidP="006129E3">
            <w:pPr>
              <w:pStyle w:val="Tabletext"/>
              <w:jc w:val="right"/>
              <w:rPr>
                <w:lang w:eastAsia="en-AU"/>
              </w:rPr>
            </w:pPr>
          </w:p>
        </w:tc>
        <w:tc>
          <w:tcPr>
            <w:tcW w:w="1026" w:type="dxa"/>
            <w:noWrap/>
            <w:hideMark/>
          </w:tcPr>
          <w:p w14:paraId="6DE8330D" w14:textId="77777777" w:rsidR="00285F19" w:rsidRPr="00224BEC" w:rsidRDefault="00285F19" w:rsidP="006129E3">
            <w:pPr>
              <w:pStyle w:val="Tabletext"/>
              <w:jc w:val="right"/>
              <w:rPr>
                <w:lang w:eastAsia="en-AU"/>
              </w:rPr>
            </w:pPr>
          </w:p>
        </w:tc>
        <w:tc>
          <w:tcPr>
            <w:tcW w:w="1026" w:type="dxa"/>
            <w:noWrap/>
            <w:hideMark/>
          </w:tcPr>
          <w:p w14:paraId="7FFB7906" w14:textId="77777777" w:rsidR="00285F19" w:rsidRPr="00224BEC" w:rsidRDefault="00285F19" w:rsidP="006129E3">
            <w:pPr>
              <w:pStyle w:val="Tabletext"/>
              <w:jc w:val="right"/>
              <w:rPr>
                <w:lang w:eastAsia="en-AU"/>
              </w:rPr>
            </w:pPr>
          </w:p>
        </w:tc>
        <w:tc>
          <w:tcPr>
            <w:tcW w:w="1026" w:type="dxa"/>
            <w:noWrap/>
            <w:hideMark/>
          </w:tcPr>
          <w:p w14:paraId="6D5ECC65" w14:textId="77777777" w:rsidR="00285F19" w:rsidRPr="00224BEC" w:rsidRDefault="00285F19" w:rsidP="006129E3">
            <w:pPr>
              <w:pStyle w:val="Tabletext"/>
              <w:jc w:val="right"/>
              <w:rPr>
                <w:lang w:eastAsia="en-AU"/>
              </w:rPr>
            </w:pPr>
          </w:p>
        </w:tc>
        <w:tc>
          <w:tcPr>
            <w:tcW w:w="1026" w:type="dxa"/>
            <w:noWrap/>
            <w:hideMark/>
          </w:tcPr>
          <w:p w14:paraId="68D42A36" w14:textId="77777777" w:rsidR="00285F19" w:rsidRPr="00224BEC" w:rsidRDefault="00285F19" w:rsidP="006129E3">
            <w:pPr>
              <w:pStyle w:val="Tabletext"/>
              <w:jc w:val="right"/>
              <w:rPr>
                <w:lang w:eastAsia="en-AU"/>
              </w:rPr>
            </w:pPr>
          </w:p>
        </w:tc>
        <w:tc>
          <w:tcPr>
            <w:tcW w:w="1026" w:type="dxa"/>
            <w:noWrap/>
            <w:hideMark/>
          </w:tcPr>
          <w:p w14:paraId="2E644CA2" w14:textId="77777777" w:rsidR="00285F19" w:rsidRPr="00224BEC" w:rsidRDefault="00285F19" w:rsidP="006129E3">
            <w:pPr>
              <w:pStyle w:val="Tabletext"/>
              <w:jc w:val="right"/>
              <w:rPr>
                <w:lang w:eastAsia="en-AU"/>
              </w:rPr>
            </w:pPr>
          </w:p>
        </w:tc>
      </w:tr>
      <w:tr w:rsidR="00285F19" w:rsidRPr="00224BEC" w14:paraId="6A2C616D" w14:textId="77777777" w:rsidTr="006129E3">
        <w:trPr>
          <w:cnfStyle w:val="000000100000" w:firstRow="0" w:lastRow="0" w:firstColumn="0" w:lastColumn="0" w:oddVBand="0" w:evenVBand="0" w:oddHBand="1" w:evenHBand="0" w:firstRowFirstColumn="0" w:firstRowLastColumn="0" w:lastRowFirstColumn="0" w:lastRowLastColumn="0"/>
          <w:trHeight w:val="279"/>
        </w:trPr>
        <w:tc>
          <w:tcPr>
            <w:tcW w:w="4769" w:type="dxa"/>
            <w:noWrap/>
            <w:hideMark/>
          </w:tcPr>
          <w:p w14:paraId="26345000" w14:textId="77777777" w:rsidR="00285F19" w:rsidRPr="00224BEC" w:rsidRDefault="00285F19" w:rsidP="006129E3">
            <w:pPr>
              <w:pStyle w:val="Tabletext"/>
              <w:rPr>
                <w:lang w:eastAsia="en-AU"/>
              </w:rPr>
            </w:pPr>
            <w:r w:rsidRPr="00224BEC">
              <w:rPr>
                <w:lang w:eastAsia="en-AU"/>
              </w:rPr>
              <w:t>Agriculture, Forestry and Fishing</w:t>
            </w:r>
          </w:p>
        </w:tc>
        <w:tc>
          <w:tcPr>
            <w:tcW w:w="1025" w:type="dxa"/>
            <w:noWrap/>
            <w:hideMark/>
          </w:tcPr>
          <w:p w14:paraId="3FEDE904" w14:textId="77777777" w:rsidR="00285F19" w:rsidRPr="00224BEC" w:rsidRDefault="00285F19" w:rsidP="006129E3">
            <w:pPr>
              <w:pStyle w:val="Tabletext"/>
              <w:jc w:val="right"/>
              <w:rPr>
                <w:lang w:eastAsia="en-AU"/>
              </w:rPr>
            </w:pPr>
            <w:r w:rsidRPr="00224BEC">
              <w:rPr>
                <w:lang w:eastAsia="en-AU"/>
              </w:rPr>
              <w:t>1.7</w:t>
            </w:r>
          </w:p>
        </w:tc>
        <w:tc>
          <w:tcPr>
            <w:tcW w:w="1025" w:type="dxa"/>
            <w:noWrap/>
            <w:hideMark/>
          </w:tcPr>
          <w:p w14:paraId="25111034" w14:textId="77777777" w:rsidR="00285F19" w:rsidRPr="00224BEC" w:rsidRDefault="00285F19" w:rsidP="006129E3">
            <w:pPr>
              <w:pStyle w:val="Tabletext"/>
              <w:jc w:val="right"/>
              <w:rPr>
                <w:lang w:eastAsia="en-AU"/>
              </w:rPr>
            </w:pPr>
            <w:r w:rsidRPr="00224BEC">
              <w:rPr>
                <w:lang w:eastAsia="en-AU"/>
              </w:rPr>
              <w:t>2.0</w:t>
            </w:r>
          </w:p>
        </w:tc>
        <w:tc>
          <w:tcPr>
            <w:tcW w:w="1026" w:type="dxa"/>
            <w:noWrap/>
            <w:hideMark/>
          </w:tcPr>
          <w:p w14:paraId="1AA754E3" w14:textId="77777777" w:rsidR="00285F19" w:rsidRPr="00224BEC" w:rsidRDefault="00285F19" w:rsidP="006129E3">
            <w:pPr>
              <w:pStyle w:val="Tabletext"/>
              <w:jc w:val="right"/>
              <w:rPr>
                <w:lang w:eastAsia="en-AU"/>
              </w:rPr>
            </w:pPr>
            <w:r w:rsidRPr="00224BEC">
              <w:rPr>
                <w:lang w:eastAsia="en-AU"/>
              </w:rPr>
              <w:t>1.7</w:t>
            </w:r>
          </w:p>
        </w:tc>
        <w:tc>
          <w:tcPr>
            <w:tcW w:w="1026" w:type="dxa"/>
            <w:noWrap/>
            <w:hideMark/>
          </w:tcPr>
          <w:p w14:paraId="20705292" w14:textId="77777777" w:rsidR="00285F19" w:rsidRPr="00224BEC" w:rsidRDefault="00285F19" w:rsidP="006129E3">
            <w:pPr>
              <w:pStyle w:val="Tabletext"/>
              <w:jc w:val="right"/>
              <w:rPr>
                <w:lang w:eastAsia="en-AU"/>
              </w:rPr>
            </w:pPr>
            <w:r w:rsidRPr="00224BEC">
              <w:rPr>
                <w:lang w:eastAsia="en-AU"/>
              </w:rPr>
              <w:t>1.8</w:t>
            </w:r>
          </w:p>
        </w:tc>
        <w:tc>
          <w:tcPr>
            <w:tcW w:w="1026" w:type="dxa"/>
            <w:noWrap/>
            <w:hideMark/>
          </w:tcPr>
          <w:p w14:paraId="101C772B" w14:textId="77777777" w:rsidR="00285F19" w:rsidRPr="00224BEC" w:rsidRDefault="00285F19" w:rsidP="006129E3">
            <w:pPr>
              <w:pStyle w:val="Tabletext"/>
              <w:jc w:val="right"/>
              <w:rPr>
                <w:lang w:eastAsia="en-AU"/>
              </w:rPr>
            </w:pPr>
            <w:r w:rsidRPr="00224BEC">
              <w:rPr>
                <w:lang w:eastAsia="en-AU"/>
              </w:rPr>
              <w:t>1.5</w:t>
            </w:r>
          </w:p>
        </w:tc>
        <w:tc>
          <w:tcPr>
            <w:tcW w:w="1026" w:type="dxa"/>
            <w:noWrap/>
            <w:hideMark/>
          </w:tcPr>
          <w:p w14:paraId="2F147514" w14:textId="77777777" w:rsidR="00285F19" w:rsidRPr="00224BEC" w:rsidRDefault="00285F19" w:rsidP="006129E3">
            <w:pPr>
              <w:pStyle w:val="Tabletext"/>
              <w:jc w:val="right"/>
              <w:rPr>
                <w:lang w:eastAsia="en-AU"/>
              </w:rPr>
            </w:pPr>
            <w:r w:rsidRPr="00224BEC">
              <w:rPr>
                <w:lang w:eastAsia="en-AU"/>
              </w:rPr>
              <w:t>1.3</w:t>
            </w:r>
          </w:p>
        </w:tc>
        <w:tc>
          <w:tcPr>
            <w:tcW w:w="1026" w:type="dxa"/>
            <w:noWrap/>
            <w:hideMark/>
          </w:tcPr>
          <w:p w14:paraId="3EDC4C8B" w14:textId="77777777" w:rsidR="00285F19" w:rsidRPr="00224BEC" w:rsidRDefault="00285F19" w:rsidP="006129E3">
            <w:pPr>
              <w:pStyle w:val="Tabletext"/>
              <w:jc w:val="right"/>
              <w:rPr>
                <w:lang w:eastAsia="en-AU"/>
              </w:rPr>
            </w:pPr>
            <w:r w:rsidRPr="00224BEC">
              <w:rPr>
                <w:lang w:eastAsia="en-AU"/>
              </w:rPr>
              <w:t>1.4</w:t>
            </w:r>
          </w:p>
        </w:tc>
        <w:tc>
          <w:tcPr>
            <w:tcW w:w="1026" w:type="dxa"/>
            <w:noWrap/>
            <w:hideMark/>
          </w:tcPr>
          <w:p w14:paraId="247146E4" w14:textId="77777777" w:rsidR="00285F19" w:rsidRPr="00224BEC" w:rsidRDefault="00285F19" w:rsidP="006129E3">
            <w:pPr>
              <w:pStyle w:val="Tabletext"/>
              <w:jc w:val="right"/>
              <w:rPr>
                <w:lang w:eastAsia="en-AU"/>
              </w:rPr>
            </w:pPr>
            <w:r w:rsidRPr="00224BEC">
              <w:rPr>
                <w:lang w:eastAsia="en-AU"/>
              </w:rPr>
              <w:t>1.8</w:t>
            </w:r>
          </w:p>
        </w:tc>
        <w:tc>
          <w:tcPr>
            <w:tcW w:w="1026" w:type="dxa"/>
            <w:noWrap/>
            <w:hideMark/>
          </w:tcPr>
          <w:p w14:paraId="28B95CDD" w14:textId="77777777" w:rsidR="00285F19" w:rsidRPr="00224BEC" w:rsidRDefault="00285F19" w:rsidP="006129E3">
            <w:pPr>
              <w:pStyle w:val="Tabletext"/>
              <w:jc w:val="right"/>
              <w:rPr>
                <w:lang w:eastAsia="en-AU"/>
              </w:rPr>
            </w:pPr>
            <w:r w:rsidRPr="00224BEC">
              <w:rPr>
                <w:lang w:eastAsia="en-AU"/>
              </w:rPr>
              <w:t>1.9</w:t>
            </w:r>
          </w:p>
        </w:tc>
      </w:tr>
      <w:tr w:rsidR="00285F19" w:rsidRPr="00224BEC" w14:paraId="2C293C8E" w14:textId="77777777" w:rsidTr="006129E3">
        <w:trPr>
          <w:cnfStyle w:val="000000010000" w:firstRow="0" w:lastRow="0" w:firstColumn="0" w:lastColumn="0" w:oddVBand="0" w:evenVBand="0" w:oddHBand="0" w:evenHBand="1" w:firstRowFirstColumn="0" w:firstRowLastColumn="0" w:lastRowFirstColumn="0" w:lastRowLastColumn="0"/>
          <w:trHeight w:val="279"/>
        </w:trPr>
        <w:tc>
          <w:tcPr>
            <w:tcW w:w="4769" w:type="dxa"/>
            <w:noWrap/>
            <w:hideMark/>
          </w:tcPr>
          <w:p w14:paraId="43A275F4" w14:textId="77777777" w:rsidR="00285F19" w:rsidRPr="00224BEC" w:rsidRDefault="00285F19" w:rsidP="006129E3">
            <w:pPr>
              <w:pStyle w:val="Tabletext"/>
              <w:rPr>
                <w:lang w:eastAsia="en-AU"/>
              </w:rPr>
            </w:pPr>
            <w:r w:rsidRPr="00224BEC">
              <w:rPr>
                <w:lang w:eastAsia="en-AU"/>
              </w:rPr>
              <w:t>Mining</w:t>
            </w:r>
          </w:p>
        </w:tc>
        <w:tc>
          <w:tcPr>
            <w:tcW w:w="1025" w:type="dxa"/>
            <w:noWrap/>
            <w:hideMark/>
          </w:tcPr>
          <w:p w14:paraId="4A93E5EF" w14:textId="77777777" w:rsidR="00285F19" w:rsidRPr="00224BEC" w:rsidRDefault="00285F19" w:rsidP="006129E3">
            <w:pPr>
              <w:pStyle w:val="Tabletext"/>
              <w:jc w:val="right"/>
              <w:rPr>
                <w:lang w:eastAsia="en-AU"/>
              </w:rPr>
            </w:pPr>
            <w:r w:rsidRPr="00224BEC">
              <w:rPr>
                <w:lang w:eastAsia="en-AU"/>
              </w:rPr>
              <w:t>1.1</w:t>
            </w:r>
          </w:p>
        </w:tc>
        <w:tc>
          <w:tcPr>
            <w:tcW w:w="1025" w:type="dxa"/>
            <w:noWrap/>
            <w:hideMark/>
          </w:tcPr>
          <w:p w14:paraId="26E8E8ED" w14:textId="77777777" w:rsidR="00285F19" w:rsidRPr="00224BEC" w:rsidRDefault="00285F19" w:rsidP="006129E3">
            <w:pPr>
              <w:pStyle w:val="Tabletext"/>
              <w:jc w:val="right"/>
              <w:rPr>
                <w:lang w:eastAsia="en-AU"/>
              </w:rPr>
            </w:pPr>
            <w:r w:rsidRPr="00224BEC">
              <w:rPr>
                <w:lang w:eastAsia="en-AU"/>
              </w:rPr>
              <w:t>1.4</w:t>
            </w:r>
          </w:p>
        </w:tc>
        <w:tc>
          <w:tcPr>
            <w:tcW w:w="1026" w:type="dxa"/>
            <w:noWrap/>
            <w:hideMark/>
          </w:tcPr>
          <w:p w14:paraId="503CA38A" w14:textId="77777777" w:rsidR="00285F19" w:rsidRPr="00224BEC" w:rsidRDefault="00285F19" w:rsidP="006129E3">
            <w:pPr>
              <w:pStyle w:val="Tabletext"/>
              <w:jc w:val="right"/>
              <w:rPr>
                <w:lang w:eastAsia="en-AU"/>
              </w:rPr>
            </w:pPr>
            <w:r w:rsidRPr="00224BEC">
              <w:rPr>
                <w:lang w:eastAsia="en-AU"/>
              </w:rPr>
              <w:t>1.7</w:t>
            </w:r>
          </w:p>
        </w:tc>
        <w:tc>
          <w:tcPr>
            <w:tcW w:w="1026" w:type="dxa"/>
            <w:noWrap/>
            <w:hideMark/>
          </w:tcPr>
          <w:p w14:paraId="415ABDFF" w14:textId="77777777" w:rsidR="00285F19" w:rsidRPr="00224BEC" w:rsidRDefault="00285F19" w:rsidP="006129E3">
            <w:pPr>
              <w:pStyle w:val="Tabletext"/>
              <w:jc w:val="right"/>
              <w:rPr>
                <w:lang w:eastAsia="en-AU"/>
              </w:rPr>
            </w:pPr>
            <w:r w:rsidRPr="00224BEC">
              <w:rPr>
                <w:lang w:eastAsia="en-AU"/>
              </w:rPr>
              <w:t>1.6</w:t>
            </w:r>
          </w:p>
        </w:tc>
        <w:tc>
          <w:tcPr>
            <w:tcW w:w="1026" w:type="dxa"/>
            <w:noWrap/>
            <w:hideMark/>
          </w:tcPr>
          <w:p w14:paraId="5137C9CF" w14:textId="77777777" w:rsidR="00285F19" w:rsidRPr="00224BEC" w:rsidRDefault="00285F19" w:rsidP="006129E3">
            <w:pPr>
              <w:pStyle w:val="Tabletext"/>
              <w:jc w:val="right"/>
              <w:rPr>
                <w:lang w:eastAsia="en-AU"/>
              </w:rPr>
            </w:pPr>
            <w:r w:rsidRPr="00224BEC">
              <w:rPr>
                <w:lang w:eastAsia="en-AU"/>
              </w:rPr>
              <w:t>1.8</w:t>
            </w:r>
          </w:p>
        </w:tc>
        <w:tc>
          <w:tcPr>
            <w:tcW w:w="1026" w:type="dxa"/>
            <w:noWrap/>
            <w:hideMark/>
          </w:tcPr>
          <w:p w14:paraId="6445F2CC" w14:textId="77777777" w:rsidR="00285F19" w:rsidRPr="00224BEC" w:rsidRDefault="00285F19" w:rsidP="006129E3">
            <w:pPr>
              <w:pStyle w:val="Tabletext"/>
              <w:jc w:val="right"/>
              <w:rPr>
                <w:lang w:eastAsia="en-AU"/>
              </w:rPr>
            </w:pPr>
            <w:r w:rsidRPr="00224BEC">
              <w:rPr>
                <w:lang w:eastAsia="en-AU"/>
              </w:rPr>
              <w:t>1.9</w:t>
            </w:r>
          </w:p>
        </w:tc>
        <w:tc>
          <w:tcPr>
            <w:tcW w:w="1026" w:type="dxa"/>
            <w:noWrap/>
            <w:hideMark/>
          </w:tcPr>
          <w:p w14:paraId="6A806BD3" w14:textId="77777777" w:rsidR="00285F19" w:rsidRPr="00224BEC" w:rsidRDefault="00285F19" w:rsidP="006129E3">
            <w:pPr>
              <w:pStyle w:val="Tabletext"/>
              <w:jc w:val="right"/>
              <w:rPr>
                <w:lang w:eastAsia="en-AU"/>
              </w:rPr>
            </w:pPr>
            <w:r w:rsidRPr="00224BEC">
              <w:rPr>
                <w:lang w:eastAsia="en-AU"/>
              </w:rPr>
              <w:t>1.8</w:t>
            </w:r>
          </w:p>
        </w:tc>
        <w:tc>
          <w:tcPr>
            <w:tcW w:w="1026" w:type="dxa"/>
            <w:noWrap/>
            <w:hideMark/>
          </w:tcPr>
          <w:p w14:paraId="5BB5772F" w14:textId="77777777" w:rsidR="00285F19" w:rsidRPr="00224BEC" w:rsidRDefault="00285F19" w:rsidP="006129E3">
            <w:pPr>
              <w:pStyle w:val="Tabletext"/>
              <w:jc w:val="right"/>
              <w:rPr>
                <w:lang w:eastAsia="en-AU"/>
              </w:rPr>
            </w:pPr>
            <w:r w:rsidRPr="00224BEC">
              <w:rPr>
                <w:lang w:eastAsia="en-AU"/>
              </w:rPr>
              <w:t>1.5</w:t>
            </w:r>
          </w:p>
        </w:tc>
        <w:tc>
          <w:tcPr>
            <w:tcW w:w="1026" w:type="dxa"/>
            <w:noWrap/>
            <w:hideMark/>
          </w:tcPr>
          <w:p w14:paraId="5BAA37BD" w14:textId="77777777" w:rsidR="00285F19" w:rsidRPr="00224BEC" w:rsidRDefault="00285F19" w:rsidP="006129E3">
            <w:pPr>
              <w:pStyle w:val="Tabletext"/>
              <w:jc w:val="right"/>
              <w:rPr>
                <w:lang w:eastAsia="en-AU"/>
              </w:rPr>
            </w:pPr>
            <w:r w:rsidRPr="00224BEC">
              <w:rPr>
                <w:lang w:eastAsia="en-AU"/>
              </w:rPr>
              <w:t>0.9</w:t>
            </w:r>
          </w:p>
        </w:tc>
      </w:tr>
      <w:tr w:rsidR="00285F19" w:rsidRPr="006311F5" w14:paraId="43188B01" w14:textId="77777777" w:rsidTr="006129E3">
        <w:trPr>
          <w:cnfStyle w:val="000000100000" w:firstRow="0" w:lastRow="0" w:firstColumn="0" w:lastColumn="0" w:oddVBand="0" w:evenVBand="0" w:oddHBand="1" w:evenHBand="0" w:firstRowFirstColumn="0" w:firstRowLastColumn="0" w:lastRowFirstColumn="0" w:lastRowLastColumn="0"/>
          <w:trHeight w:val="279"/>
        </w:trPr>
        <w:tc>
          <w:tcPr>
            <w:tcW w:w="4769" w:type="dxa"/>
            <w:noWrap/>
            <w:hideMark/>
          </w:tcPr>
          <w:p w14:paraId="4504E6D5" w14:textId="77777777" w:rsidR="00285F19" w:rsidRPr="006311F5" w:rsidRDefault="00285F19" w:rsidP="006129E3">
            <w:pPr>
              <w:pStyle w:val="Tabletext"/>
              <w:rPr>
                <w:lang w:eastAsia="en-AU"/>
              </w:rPr>
            </w:pPr>
            <w:r w:rsidRPr="006311F5">
              <w:rPr>
                <w:lang w:eastAsia="en-AU"/>
              </w:rPr>
              <w:t>Manufacturing</w:t>
            </w:r>
          </w:p>
        </w:tc>
        <w:tc>
          <w:tcPr>
            <w:tcW w:w="1025" w:type="dxa"/>
            <w:noWrap/>
            <w:hideMark/>
          </w:tcPr>
          <w:p w14:paraId="68184BA6" w14:textId="77777777" w:rsidR="00285F19" w:rsidRPr="006311F5" w:rsidRDefault="00285F19" w:rsidP="006129E3">
            <w:pPr>
              <w:pStyle w:val="Tabletext"/>
              <w:jc w:val="right"/>
              <w:rPr>
                <w:lang w:eastAsia="en-AU"/>
              </w:rPr>
            </w:pPr>
            <w:r w:rsidRPr="006311F5">
              <w:rPr>
                <w:lang w:eastAsia="en-AU"/>
              </w:rPr>
              <w:t>10.5</w:t>
            </w:r>
          </w:p>
        </w:tc>
        <w:tc>
          <w:tcPr>
            <w:tcW w:w="1025" w:type="dxa"/>
            <w:noWrap/>
            <w:hideMark/>
          </w:tcPr>
          <w:p w14:paraId="071B0A15" w14:textId="77777777" w:rsidR="00285F19" w:rsidRPr="006311F5" w:rsidRDefault="00285F19" w:rsidP="006129E3">
            <w:pPr>
              <w:pStyle w:val="Tabletext"/>
              <w:jc w:val="right"/>
              <w:rPr>
                <w:lang w:eastAsia="en-AU"/>
              </w:rPr>
            </w:pPr>
            <w:r w:rsidRPr="006311F5">
              <w:rPr>
                <w:lang w:eastAsia="en-AU"/>
              </w:rPr>
              <w:t>11.5</w:t>
            </w:r>
          </w:p>
        </w:tc>
        <w:tc>
          <w:tcPr>
            <w:tcW w:w="1026" w:type="dxa"/>
            <w:noWrap/>
            <w:hideMark/>
          </w:tcPr>
          <w:p w14:paraId="335E74E3" w14:textId="77777777" w:rsidR="00285F19" w:rsidRPr="006311F5" w:rsidRDefault="00285F19" w:rsidP="006129E3">
            <w:pPr>
              <w:pStyle w:val="Tabletext"/>
              <w:jc w:val="right"/>
              <w:rPr>
                <w:lang w:eastAsia="en-AU"/>
              </w:rPr>
            </w:pPr>
            <w:r w:rsidRPr="006311F5">
              <w:rPr>
                <w:lang w:eastAsia="en-AU"/>
              </w:rPr>
              <w:t>11.5</w:t>
            </w:r>
          </w:p>
        </w:tc>
        <w:tc>
          <w:tcPr>
            <w:tcW w:w="1026" w:type="dxa"/>
            <w:noWrap/>
            <w:hideMark/>
          </w:tcPr>
          <w:p w14:paraId="49B6F737" w14:textId="77777777" w:rsidR="00285F19" w:rsidRPr="006311F5" w:rsidRDefault="00285F19" w:rsidP="006129E3">
            <w:pPr>
              <w:pStyle w:val="Tabletext"/>
              <w:jc w:val="right"/>
              <w:rPr>
                <w:lang w:eastAsia="en-AU"/>
              </w:rPr>
            </w:pPr>
            <w:r w:rsidRPr="006311F5">
              <w:rPr>
                <w:lang w:eastAsia="en-AU"/>
              </w:rPr>
              <w:t>11.0</w:t>
            </w:r>
          </w:p>
        </w:tc>
        <w:tc>
          <w:tcPr>
            <w:tcW w:w="1026" w:type="dxa"/>
            <w:noWrap/>
            <w:hideMark/>
          </w:tcPr>
          <w:p w14:paraId="0B36CF27" w14:textId="77777777" w:rsidR="00285F19" w:rsidRPr="006311F5" w:rsidRDefault="00285F19" w:rsidP="006129E3">
            <w:pPr>
              <w:pStyle w:val="Tabletext"/>
              <w:jc w:val="right"/>
              <w:rPr>
                <w:lang w:eastAsia="en-AU"/>
              </w:rPr>
            </w:pPr>
            <w:r w:rsidRPr="006311F5">
              <w:rPr>
                <w:lang w:eastAsia="en-AU"/>
              </w:rPr>
              <w:t>8.6</w:t>
            </w:r>
          </w:p>
        </w:tc>
        <w:tc>
          <w:tcPr>
            <w:tcW w:w="1026" w:type="dxa"/>
            <w:noWrap/>
            <w:hideMark/>
          </w:tcPr>
          <w:p w14:paraId="50B5BA4C" w14:textId="77777777" w:rsidR="00285F19" w:rsidRPr="006311F5" w:rsidRDefault="00285F19" w:rsidP="006129E3">
            <w:pPr>
              <w:pStyle w:val="Tabletext"/>
              <w:jc w:val="right"/>
              <w:rPr>
                <w:lang w:eastAsia="en-AU"/>
              </w:rPr>
            </w:pPr>
            <w:r w:rsidRPr="006311F5">
              <w:rPr>
                <w:lang w:eastAsia="en-AU"/>
              </w:rPr>
              <w:t>8.4</w:t>
            </w:r>
          </w:p>
        </w:tc>
        <w:tc>
          <w:tcPr>
            <w:tcW w:w="1026" w:type="dxa"/>
            <w:noWrap/>
            <w:hideMark/>
          </w:tcPr>
          <w:p w14:paraId="66B8D91D" w14:textId="77777777" w:rsidR="00285F19" w:rsidRPr="006311F5" w:rsidRDefault="00285F19" w:rsidP="006129E3">
            <w:pPr>
              <w:pStyle w:val="Tabletext"/>
              <w:jc w:val="right"/>
              <w:rPr>
                <w:lang w:eastAsia="en-AU"/>
              </w:rPr>
            </w:pPr>
            <w:r w:rsidRPr="006311F5">
              <w:rPr>
                <w:lang w:eastAsia="en-AU"/>
              </w:rPr>
              <w:t>8.7</w:t>
            </w:r>
          </w:p>
        </w:tc>
        <w:tc>
          <w:tcPr>
            <w:tcW w:w="1026" w:type="dxa"/>
            <w:noWrap/>
            <w:hideMark/>
          </w:tcPr>
          <w:p w14:paraId="5C6E0FC4" w14:textId="77777777" w:rsidR="00285F19" w:rsidRPr="006311F5" w:rsidRDefault="00285F19" w:rsidP="006129E3">
            <w:pPr>
              <w:pStyle w:val="Tabletext"/>
              <w:jc w:val="right"/>
              <w:rPr>
                <w:lang w:eastAsia="en-AU"/>
              </w:rPr>
            </w:pPr>
            <w:r w:rsidRPr="006311F5">
              <w:rPr>
                <w:lang w:eastAsia="en-AU"/>
              </w:rPr>
              <w:t>8.4</w:t>
            </w:r>
          </w:p>
        </w:tc>
        <w:tc>
          <w:tcPr>
            <w:tcW w:w="1026" w:type="dxa"/>
            <w:noWrap/>
            <w:hideMark/>
          </w:tcPr>
          <w:p w14:paraId="055FB111" w14:textId="77777777" w:rsidR="00285F19" w:rsidRPr="006311F5" w:rsidRDefault="00285F19" w:rsidP="006129E3">
            <w:pPr>
              <w:pStyle w:val="Tabletext"/>
              <w:jc w:val="right"/>
              <w:rPr>
                <w:lang w:eastAsia="en-AU"/>
              </w:rPr>
            </w:pPr>
            <w:r w:rsidRPr="006311F5">
              <w:rPr>
                <w:lang w:eastAsia="en-AU"/>
              </w:rPr>
              <w:t>7.5</w:t>
            </w:r>
          </w:p>
        </w:tc>
      </w:tr>
      <w:tr w:rsidR="00285F19" w:rsidRPr="00224BEC" w14:paraId="56C09F82" w14:textId="77777777" w:rsidTr="006129E3">
        <w:trPr>
          <w:cnfStyle w:val="000000010000" w:firstRow="0" w:lastRow="0" w:firstColumn="0" w:lastColumn="0" w:oddVBand="0" w:evenVBand="0" w:oddHBand="0" w:evenHBand="1" w:firstRowFirstColumn="0" w:firstRowLastColumn="0" w:lastRowFirstColumn="0" w:lastRowLastColumn="0"/>
          <w:trHeight w:val="279"/>
        </w:trPr>
        <w:tc>
          <w:tcPr>
            <w:tcW w:w="4769" w:type="dxa"/>
            <w:noWrap/>
            <w:hideMark/>
          </w:tcPr>
          <w:p w14:paraId="1F997730" w14:textId="77777777" w:rsidR="00285F19" w:rsidRPr="00224BEC" w:rsidRDefault="00285F19" w:rsidP="006129E3">
            <w:pPr>
              <w:pStyle w:val="Tabletext"/>
              <w:rPr>
                <w:lang w:eastAsia="en-AU"/>
              </w:rPr>
            </w:pPr>
            <w:r w:rsidRPr="00224BEC">
              <w:rPr>
                <w:lang w:eastAsia="en-AU"/>
              </w:rPr>
              <w:t>Electricity, Gas, Water and Waste Services</w:t>
            </w:r>
          </w:p>
        </w:tc>
        <w:tc>
          <w:tcPr>
            <w:tcW w:w="1025" w:type="dxa"/>
            <w:noWrap/>
            <w:hideMark/>
          </w:tcPr>
          <w:p w14:paraId="5D7E2D66" w14:textId="77777777" w:rsidR="00285F19" w:rsidRPr="00224BEC" w:rsidRDefault="00285F19" w:rsidP="006129E3">
            <w:pPr>
              <w:pStyle w:val="Tabletext"/>
              <w:jc w:val="right"/>
              <w:rPr>
                <w:lang w:eastAsia="en-AU"/>
              </w:rPr>
            </w:pPr>
            <w:r w:rsidRPr="00224BEC">
              <w:rPr>
                <w:lang w:eastAsia="en-AU"/>
              </w:rPr>
              <w:t>0.3</w:t>
            </w:r>
          </w:p>
        </w:tc>
        <w:tc>
          <w:tcPr>
            <w:tcW w:w="1025" w:type="dxa"/>
            <w:noWrap/>
            <w:hideMark/>
          </w:tcPr>
          <w:p w14:paraId="4CA08E67" w14:textId="77777777" w:rsidR="00285F19" w:rsidRPr="00224BEC" w:rsidRDefault="00285F19" w:rsidP="006129E3">
            <w:pPr>
              <w:pStyle w:val="Tabletext"/>
              <w:jc w:val="right"/>
              <w:rPr>
                <w:lang w:eastAsia="en-AU"/>
              </w:rPr>
            </w:pPr>
            <w:r w:rsidRPr="00224BEC">
              <w:rPr>
                <w:lang w:eastAsia="en-AU"/>
              </w:rPr>
              <w:t>NA</w:t>
            </w:r>
          </w:p>
        </w:tc>
        <w:tc>
          <w:tcPr>
            <w:tcW w:w="1026" w:type="dxa"/>
            <w:noWrap/>
            <w:hideMark/>
          </w:tcPr>
          <w:p w14:paraId="4683D1EB" w14:textId="77777777" w:rsidR="00285F19" w:rsidRPr="00224BEC" w:rsidRDefault="00285F19" w:rsidP="006129E3">
            <w:pPr>
              <w:pStyle w:val="Tabletext"/>
              <w:jc w:val="right"/>
              <w:rPr>
                <w:lang w:eastAsia="en-AU"/>
              </w:rPr>
            </w:pPr>
            <w:r w:rsidRPr="00224BEC">
              <w:rPr>
                <w:lang w:eastAsia="en-AU"/>
              </w:rPr>
              <w:t>0.3</w:t>
            </w:r>
          </w:p>
        </w:tc>
        <w:tc>
          <w:tcPr>
            <w:tcW w:w="1026" w:type="dxa"/>
            <w:noWrap/>
            <w:hideMark/>
          </w:tcPr>
          <w:p w14:paraId="4A190FAB" w14:textId="77777777" w:rsidR="00285F19" w:rsidRPr="00224BEC" w:rsidRDefault="00285F19" w:rsidP="006129E3">
            <w:pPr>
              <w:pStyle w:val="Tabletext"/>
              <w:jc w:val="right"/>
              <w:rPr>
                <w:lang w:eastAsia="en-AU"/>
              </w:rPr>
            </w:pPr>
            <w:r w:rsidRPr="00224BEC">
              <w:rPr>
                <w:lang w:eastAsia="en-AU"/>
              </w:rPr>
              <w:t>0.3</w:t>
            </w:r>
          </w:p>
        </w:tc>
        <w:tc>
          <w:tcPr>
            <w:tcW w:w="1026" w:type="dxa"/>
            <w:noWrap/>
            <w:hideMark/>
          </w:tcPr>
          <w:p w14:paraId="3E7AF128" w14:textId="77777777" w:rsidR="00285F19" w:rsidRPr="00224BEC" w:rsidRDefault="00285F19" w:rsidP="006129E3">
            <w:pPr>
              <w:pStyle w:val="Tabletext"/>
              <w:jc w:val="right"/>
              <w:rPr>
                <w:lang w:eastAsia="en-AU"/>
              </w:rPr>
            </w:pPr>
            <w:r w:rsidRPr="00224BEC">
              <w:rPr>
                <w:lang w:eastAsia="en-AU"/>
              </w:rPr>
              <w:t>0.2</w:t>
            </w:r>
          </w:p>
        </w:tc>
        <w:tc>
          <w:tcPr>
            <w:tcW w:w="1026" w:type="dxa"/>
            <w:noWrap/>
            <w:hideMark/>
          </w:tcPr>
          <w:p w14:paraId="0D8263CD" w14:textId="77777777" w:rsidR="00285F19" w:rsidRPr="00224BEC" w:rsidRDefault="00285F19" w:rsidP="006129E3">
            <w:pPr>
              <w:pStyle w:val="Tabletext"/>
              <w:jc w:val="right"/>
              <w:rPr>
                <w:lang w:eastAsia="en-AU"/>
              </w:rPr>
            </w:pPr>
            <w:r w:rsidRPr="00224BEC">
              <w:rPr>
                <w:lang w:eastAsia="en-AU"/>
              </w:rPr>
              <w:t>0.3</w:t>
            </w:r>
          </w:p>
        </w:tc>
        <w:tc>
          <w:tcPr>
            <w:tcW w:w="1026" w:type="dxa"/>
            <w:noWrap/>
            <w:hideMark/>
          </w:tcPr>
          <w:p w14:paraId="5E3B61E6" w14:textId="77777777" w:rsidR="00285F19" w:rsidRPr="00224BEC" w:rsidRDefault="00285F19" w:rsidP="006129E3">
            <w:pPr>
              <w:pStyle w:val="Tabletext"/>
              <w:jc w:val="right"/>
              <w:rPr>
                <w:lang w:eastAsia="en-AU"/>
              </w:rPr>
            </w:pPr>
            <w:r w:rsidRPr="00224BEC">
              <w:rPr>
                <w:lang w:eastAsia="en-AU"/>
              </w:rPr>
              <w:t>0.3</w:t>
            </w:r>
          </w:p>
        </w:tc>
        <w:tc>
          <w:tcPr>
            <w:tcW w:w="1026" w:type="dxa"/>
            <w:noWrap/>
            <w:hideMark/>
          </w:tcPr>
          <w:p w14:paraId="272797C3" w14:textId="77777777" w:rsidR="00285F19" w:rsidRPr="00224BEC" w:rsidRDefault="00285F19" w:rsidP="006129E3">
            <w:pPr>
              <w:pStyle w:val="Tabletext"/>
              <w:jc w:val="right"/>
              <w:rPr>
                <w:lang w:eastAsia="en-AU"/>
              </w:rPr>
            </w:pPr>
            <w:r w:rsidRPr="00224BEC">
              <w:rPr>
                <w:lang w:eastAsia="en-AU"/>
              </w:rPr>
              <w:t>0.3</w:t>
            </w:r>
          </w:p>
        </w:tc>
        <w:tc>
          <w:tcPr>
            <w:tcW w:w="1026" w:type="dxa"/>
            <w:noWrap/>
            <w:hideMark/>
          </w:tcPr>
          <w:p w14:paraId="34F5DA33" w14:textId="77777777" w:rsidR="00285F19" w:rsidRPr="00224BEC" w:rsidRDefault="00285F19" w:rsidP="006129E3">
            <w:pPr>
              <w:pStyle w:val="Tabletext"/>
              <w:jc w:val="right"/>
              <w:rPr>
                <w:lang w:eastAsia="en-AU"/>
              </w:rPr>
            </w:pPr>
            <w:r w:rsidRPr="00224BEC">
              <w:rPr>
                <w:lang w:eastAsia="en-AU"/>
              </w:rPr>
              <w:t>0.2</w:t>
            </w:r>
          </w:p>
        </w:tc>
      </w:tr>
      <w:tr w:rsidR="00285F19" w:rsidRPr="00224BEC" w14:paraId="382E32DC" w14:textId="77777777" w:rsidTr="006129E3">
        <w:trPr>
          <w:cnfStyle w:val="000000100000" w:firstRow="0" w:lastRow="0" w:firstColumn="0" w:lastColumn="0" w:oddVBand="0" w:evenVBand="0" w:oddHBand="1" w:evenHBand="0" w:firstRowFirstColumn="0" w:firstRowLastColumn="0" w:lastRowFirstColumn="0" w:lastRowLastColumn="0"/>
          <w:trHeight w:val="279"/>
        </w:trPr>
        <w:tc>
          <w:tcPr>
            <w:tcW w:w="4769" w:type="dxa"/>
            <w:noWrap/>
            <w:hideMark/>
          </w:tcPr>
          <w:p w14:paraId="36B414EB" w14:textId="77777777" w:rsidR="00285F19" w:rsidRPr="006311F5" w:rsidRDefault="00285F19" w:rsidP="006129E3">
            <w:pPr>
              <w:pStyle w:val="Tabletext"/>
              <w:rPr>
                <w:lang w:eastAsia="en-AU"/>
              </w:rPr>
            </w:pPr>
            <w:r w:rsidRPr="006311F5">
              <w:rPr>
                <w:lang w:eastAsia="en-AU"/>
              </w:rPr>
              <w:t>Construction</w:t>
            </w:r>
          </w:p>
        </w:tc>
        <w:tc>
          <w:tcPr>
            <w:tcW w:w="1025" w:type="dxa"/>
            <w:noWrap/>
            <w:hideMark/>
          </w:tcPr>
          <w:p w14:paraId="35935B48" w14:textId="77777777" w:rsidR="00285F19" w:rsidRPr="006311F5" w:rsidRDefault="00285F19" w:rsidP="006129E3">
            <w:pPr>
              <w:pStyle w:val="Tabletext"/>
              <w:jc w:val="right"/>
              <w:rPr>
                <w:lang w:eastAsia="en-AU"/>
              </w:rPr>
            </w:pPr>
            <w:r w:rsidRPr="006311F5">
              <w:rPr>
                <w:lang w:eastAsia="en-AU"/>
              </w:rPr>
              <w:t>7.7</w:t>
            </w:r>
          </w:p>
        </w:tc>
        <w:tc>
          <w:tcPr>
            <w:tcW w:w="1025" w:type="dxa"/>
            <w:noWrap/>
            <w:hideMark/>
          </w:tcPr>
          <w:p w14:paraId="71219FD0" w14:textId="77777777" w:rsidR="00285F19" w:rsidRPr="006311F5" w:rsidRDefault="00285F19" w:rsidP="006129E3">
            <w:pPr>
              <w:pStyle w:val="Tabletext"/>
              <w:jc w:val="right"/>
              <w:rPr>
                <w:lang w:eastAsia="en-AU"/>
              </w:rPr>
            </w:pPr>
            <w:r w:rsidRPr="006311F5">
              <w:rPr>
                <w:lang w:eastAsia="en-AU"/>
              </w:rPr>
              <w:t>8.4</w:t>
            </w:r>
          </w:p>
        </w:tc>
        <w:tc>
          <w:tcPr>
            <w:tcW w:w="1026" w:type="dxa"/>
            <w:noWrap/>
            <w:hideMark/>
          </w:tcPr>
          <w:p w14:paraId="31FCD36B" w14:textId="77777777" w:rsidR="00285F19" w:rsidRPr="006311F5" w:rsidRDefault="00285F19" w:rsidP="006129E3">
            <w:pPr>
              <w:pStyle w:val="Tabletext"/>
              <w:jc w:val="right"/>
              <w:rPr>
                <w:lang w:eastAsia="en-AU"/>
              </w:rPr>
            </w:pPr>
            <w:r w:rsidRPr="006311F5">
              <w:rPr>
                <w:lang w:eastAsia="en-AU"/>
              </w:rPr>
              <w:t>8.7</w:t>
            </w:r>
          </w:p>
        </w:tc>
        <w:tc>
          <w:tcPr>
            <w:tcW w:w="1026" w:type="dxa"/>
            <w:noWrap/>
            <w:hideMark/>
          </w:tcPr>
          <w:p w14:paraId="4B47763A" w14:textId="77777777" w:rsidR="00285F19" w:rsidRPr="006311F5" w:rsidRDefault="00285F19" w:rsidP="006129E3">
            <w:pPr>
              <w:pStyle w:val="Tabletext"/>
              <w:jc w:val="right"/>
              <w:rPr>
                <w:lang w:eastAsia="en-AU"/>
              </w:rPr>
            </w:pPr>
            <w:r w:rsidRPr="006311F5">
              <w:rPr>
                <w:lang w:eastAsia="en-AU"/>
              </w:rPr>
              <w:t>9.3</w:t>
            </w:r>
          </w:p>
        </w:tc>
        <w:tc>
          <w:tcPr>
            <w:tcW w:w="1026" w:type="dxa"/>
            <w:noWrap/>
            <w:hideMark/>
          </w:tcPr>
          <w:p w14:paraId="0F8F7E6B" w14:textId="77777777" w:rsidR="00285F19" w:rsidRPr="006311F5" w:rsidRDefault="00285F19" w:rsidP="006129E3">
            <w:pPr>
              <w:pStyle w:val="Tabletext"/>
              <w:jc w:val="right"/>
              <w:rPr>
                <w:lang w:eastAsia="en-AU"/>
              </w:rPr>
            </w:pPr>
            <w:r w:rsidRPr="006311F5">
              <w:rPr>
                <w:lang w:eastAsia="en-AU"/>
              </w:rPr>
              <w:t>10.0</w:t>
            </w:r>
          </w:p>
        </w:tc>
        <w:tc>
          <w:tcPr>
            <w:tcW w:w="1026" w:type="dxa"/>
            <w:noWrap/>
            <w:hideMark/>
          </w:tcPr>
          <w:p w14:paraId="0EF17F34" w14:textId="77777777" w:rsidR="00285F19" w:rsidRPr="006311F5" w:rsidRDefault="00285F19" w:rsidP="006129E3">
            <w:pPr>
              <w:pStyle w:val="Tabletext"/>
              <w:jc w:val="right"/>
              <w:rPr>
                <w:lang w:eastAsia="en-AU"/>
              </w:rPr>
            </w:pPr>
            <w:r w:rsidRPr="006311F5">
              <w:rPr>
                <w:lang w:eastAsia="en-AU"/>
              </w:rPr>
              <w:t>11.5</w:t>
            </w:r>
          </w:p>
        </w:tc>
        <w:tc>
          <w:tcPr>
            <w:tcW w:w="1026" w:type="dxa"/>
            <w:noWrap/>
            <w:hideMark/>
          </w:tcPr>
          <w:p w14:paraId="61A9A76F" w14:textId="77777777" w:rsidR="00285F19" w:rsidRPr="006311F5" w:rsidRDefault="00285F19" w:rsidP="006129E3">
            <w:pPr>
              <w:pStyle w:val="Tabletext"/>
              <w:jc w:val="right"/>
              <w:rPr>
                <w:lang w:eastAsia="en-AU"/>
              </w:rPr>
            </w:pPr>
            <w:r w:rsidRPr="006311F5">
              <w:rPr>
                <w:lang w:eastAsia="en-AU"/>
              </w:rPr>
              <w:t>11.6</w:t>
            </w:r>
          </w:p>
        </w:tc>
        <w:tc>
          <w:tcPr>
            <w:tcW w:w="1026" w:type="dxa"/>
            <w:noWrap/>
            <w:hideMark/>
          </w:tcPr>
          <w:p w14:paraId="44893A58" w14:textId="77777777" w:rsidR="00285F19" w:rsidRPr="006311F5" w:rsidRDefault="00285F19" w:rsidP="006129E3">
            <w:pPr>
              <w:pStyle w:val="Tabletext"/>
              <w:jc w:val="right"/>
              <w:rPr>
                <w:lang w:eastAsia="en-AU"/>
              </w:rPr>
            </w:pPr>
            <w:r w:rsidRPr="006311F5">
              <w:rPr>
                <w:lang w:eastAsia="en-AU"/>
              </w:rPr>
              <w:t>11.0</w:t>
            </w:r>
          </w:p>
        </w:tc>
        <w:tc>
          <w:tcPr>
            <w:tcW w:w="1026" w:type="dxa"/>
            <w:noWrap/>
            <w:hideMark/>
          </w:tcPr>
          <w:p w14:paraId="5F9026D2" w14:textId="77777777" w:rsidR="00285F19" w:rsidRPr="006311F5" w:rsidRDefault="00285F19" w:rsidP="006129E3">
            <w:pPr>
              <w:pStyle w:val="Tabletext"/>
              <w:jc w:val="right"/>
              <w:rPr>
                <w:lang w:eastAsia="en-AU"/>
              </w:rPr>
            </w:pPr>
            <w:r w:rsidRPr="006311F5">
              <w:rPr>
                <w:lang w:eastAsia="en-AU"/>
              </w:rPr>
              <w:t>9.5</w:t>
            </w:r>
          </w:p>
        </w:tc>
      </w:tr>
      <w:tr w:rsidR="00285F19" w:rsidRPr="00224BEC" w14:paraId="55D7C470" w14:textId="77777777" w:rsidTr="006129E3">
        <w:trPr>
          <w:cnfStyle w:val="000000010000" w:firstRow="0" w:lastRow="0" w:firstColumn="0" w:lastColumn="0" w:oddVBand="0" w:evenVBand="0" w:oddHBand="0" w:evenHBand="1" w:firstRowFirstColumn="0" w:firstRowLastColumn="0" w:lastRowFirstColumn="0" w:lastRowLastColumn="0"/>
          <w:trHeight w:val="279"/>
        </w:trPr>
        <w:tc>
          <w:tcPr>
            <w:tcW w:w="4769" w:type="dxa"/>
            <w:noWrap/>
            <w:hideMark/>
          </w:tcPr>
          <w:p w14:paraId="5F620354" w14:textId="77777777" w:rsidR="00285F19" w:rsidRPr="006311F5" w:rsidRDefault="00285F19" w:rsidP="006129E3">
            <w:pPr>
              <w:pStyle w:val="Tabletext"/>
              <w:rPr>
                <w:lang w:eastAsia="en-AU"/>
              </w:rPr>
            </w:pPr>
            <w:r w:rsidRPr="006311F5">
              <w:rPr>
                <w:lang w:eastAsia="en-AU"/>
              </w:rPr>
              <w:t>Wholesale Trade</w:t>
            </w:r>
          </w:p>
        </w:tc>
        <w:tc>
          <w:tcPr>
            <w:tcW w:w="1025" w:type="dxa"/>
            <w:noWrap/>
            <w:hideMark/>
          </w:tcPr>
          <w:p w14:paraId="4E268C73" w14:textId="77777777" w:rsidR="00285F19" w:rsidRPr="006311F5" w:rsidRDefault="00285F19" w:rsidP="006129E3">
            <w:pPr>
              <w:pStyle w:val="Tabletext"/>
              <w:jc w:val="right"/>
              <w:rPr>
                <w:lang w:eastAsia="en-AU"/>
              </w:rPr>
            </w:pPr>
            <w:r w:rsidRPr="006311F5">
              <w:rPr>
                <w:lang w:eastAsia="en-AU"/>
              </w:rPr>
              <w:t>9.5</w:t>
            </w:r>
          </w:p>
        </w:tc>
        <w:tc>
          <w:tcPr>
            <w:tcW w:w="1025" w:type="dxa"/>
            <w:noWrap/>
            <w:hideMark/>
          </w:tcPr>
          <w:p w14:paraId="37E6F6F0" w14:textId="77777777" w:rsidR="00285F19" w:rsidRPr="006311F5" w:rsidRDefault="00285F19" w:rsidP="006129E3">
            <w:pPr>
              <w:pStyle w:val="Tabletext"/>
              <w:jc w:val="right"/>
              <w:rPr>
                <w:lang w:eastAsia="en-AU"/>
              </w:rPr>
            </w:pPr>
            <w:r w:rsidRPr="006311F5">
              <w:rPr>
                <w:lang w:eastAsia="en-AU"/>
              </w:rPr>
              <w:t>8.8</w:t>
            </w:r>
          </w:p>
        </w:tc>
        <w:tc>
          <w:tcPr>
            <w:tcW w:w="1026" w:type="dxa"/>
            <w:noWrap/>
            <w:hideMark/>
          </w:tcPr>
          <w:p w14:paraId="329C22E4" w14:textId="77777777" w:rsidR="00285F19" w:rsidRPr="006311F5" w:rsidRDefault="00285F19" w:rsidP="006129E3">
            <w:pPr>
              <w:pStyle w:val="Tabletext"/>
              <w:jc w:val="right"/>
              <w:rPr>
                <w:lang w:eastAsia="en-AU"/>
              </w:rPr>
            </w:pPr>
            <w:r w:rsidRPr="006311F5">
              <w:rPr>
                <w:lang w:eastAsia="en-AU"/>
              </w:rPr>
              <w:t>8.8</w:t>
            </w:r>
          </w:p>
        </w:tc>
        <w:tc>
          <w:tcPr>
            <w:tcW w:w="1026" w:type="dxa"/>
            <w:noWrap/>
            <w:hideMark/>
          </w:tcPr>
          <w:p w14:paraId="2AF3462B" w14:textId="77777777" w:rsidR="00285F19" w:rsidRPr="006311F5" w:rsidRDefault="00285F19" w:rsidP="006129E3">
            <w:pPr>
              <w:pStyle w:val="Tabletext"/>
              <w:jc w:val="right"/>
              <w:rPr>
                <w:lang w:eastAsia="en-AU"/>
              </w:rPr>
            </w:pPr>
            <w:r w:rsidRPr="006311F5">
              <w:rPr>
                <w:lang w:eastAsia="en-AU"/>
              </w:rPr>
              <w:t>8.6</w:t>
            </w:r>
          </w:p>
        </w:tc>
        <w:tc>
          <w:tcPr>
            <w:tcW w:w="1026" w:type="dxa"/>
            <w:noWrap/>
            <w:hideMark/>
          </w:tcPr>
          <w:p w14:paraId="51D7A215" w14:textId="77777777" w:rsidR="00285F19" w:rsidRPr="006311F5" w:rsidRDefault="00285F19" w:rsidP="006129E3">
            <w:pPr>
              <w:pStyle w:val="Tabletext"/>
              <w:jc w:val="right"/>
              <w:rPr>
                <w:lang w:eastAsia="en-AU"/>
              </w:rPr>
            </w:pPr>
            <w:r w:rsidRPr="006311F5">
              <w:rPr>
                <w:lang w:eastAsia="en-AU"/>
              </w:rPr>
              <w:t>9.3</w:t>
            </w:r>
          </w:p>
        </w:tc>
        <w:tc>
          <w:tcPr>
            <w:tcW w:w="1026" w:type="dxa"/>
            <w:noWrap/>
            <w:hideMark/>
          </w:tcPr>
          <w:p w14:paraId="5871DDE3" w14:textId="77777777" w:rsidR="00285F19" w:rsidRPr="006311F5" w:rsidRDefault="00285F19" w:rsidP="006129E3">
            <w:pPr>
              <w:pStyle w:val="Tabletext"/>
              <w:jc w:val="right"/>
              <w:rPr>
                <w:lang w:eastAsia="en-AU"/>
              </w:rPr>
            </w:pPr>
            <w:r w:rsidRPr="006311F5">
              <w:rPr>
                <w:lang w:eastAsia="en-AU"/>
              </w:rPr>
              <w:t>8.4</w:t>
            </w:r>
          </w:p>
        </w:tc>
        <w:tc>
          <w:tcPr>
            <w:tcW w:w="1026" w:type="dxa"/>
            <w:noWrap/>
            <w:hideMark/>
          </w:tcPr>
          <w:p w14:paraId="235A3AA3" w14:textId="77777777" w:rsidR="00285F19" w:rsidRPr="006311F5" w:rsidRDefault="00285F19" w:rsidP="006129E3">
            <w:pPr>
              <w:pStyle w:val="Tabletext"/>
              <w:jc w:val="right"/>
              <w:rPr>
                <w:lang w:eastAsia="en-AU"/>
              </w:rPr>
            </w:pPr>
            <w:r w:rsidRPr="006311F5">
              <w:rPr>
                <w:lang w:eastAsia="en-AU"/>
              </w:rPr>
              <w:t>8.7</w:t>
            </w:r>
          </w:p>
        </w:tc>
        <w:tc>
          <w:tcPr>
            <w:tcW w:w="1026" w:type="dxa"/>
            <w:noWrap/>
            <w:hideMark/>
          </w:tcPr>
          <w:p w14:paraId="57884BA4" w14:textId="77777777" w:rsidR="00285F19" w:rsidRPr="006311F5" w:rsidRDefault="00285F19" w:rsidP="006129E3">
            <w:pPr>
              <w:pStyle w:val="Tabletext"/>
              <w:jc w:val="right"/>
              <w:rPr>
                <w:lang w:eastAsia="en-AU"/>
              </w:rPr>
            </w:pPr>
            <w:r w:rsidRPr="006311F5">
              <w:rPr>
                <w:lang w:eastAsia="en-AU"/>
              </w:rPr>
              <w:t>7.9</w:t>
            </w:r>
          </w:p>
        </w:tc>
        <w:tc>
          <w:tcPr>
            <w:tcW w:w="1026" w:type="dxa"/>
            <w:noWrap/>
            <w:hideMark/>
          </w:tcPr>
          <w:p w14:paraId="22CAB6E9" w14:textId="77777777" w:rsidR="00285F19" w:rsidRPr="006311F5" w:rsidRDefault="00285F19" w:rsidP="006129E3">
            <w:pPr>
              <w:pStyle w:val="Tabletext"/>
              <w:jc w:val="right"/>
              <w:rPr>
                <w:lang w:eastAsia="en-AU"/>
              </w:rPr>
            </w:pPr>
            <w:r w:rsidRPr="006311F5">
              <w:rPr>
                <w:lang w:eastAsia="en-AU"/>
              </w:rPr>
              <w:t>8.0</w:t>
            </w:r>
          </w:p>
        </w:tc>
      </w:tr>
      <w:tr w:rsidR="00285F19" w:rsidRPr="00224BEC" w14:paraId="50A6E35B" w14:textId="77777777" w:rsidTr="006129E3">
        <w:trPr>
          <w:cnfStyle w:val="000000100000" w:firstRow="0" w:lastRow="0" w:firstColumn="0" w:lastColumn="0" w:oddVBand="0" w:evenVBand="0" w:oddHBand="1" w:evenHBand="0" w:firstRowFirstColumn="0" w:firstRowLastColumn="0" w:lastRowFirstColumn="0" w:lastRowLastColumn="0"/>
          <w:trHeight w:val="279"/>
        </w:trPr>
        <w:tc>
          <w:tcPr>
            <w:tcW w:w="4769" w:type="dxa"/>
            <w:noWrap/>
            <w:hideMark/>
          </w:tcPr>
          <w:p w14:paraId="5197D494" w14:textId="77777777" w:rsidR="00285F19" w:rsidRPr="00224BEC" w:rsidRDefault="00285F19" w:rsidP="006129E3">
            <w:pPr>
              <w:pStyle w:val="Tabletext"/>
              <w:rPr>
                <w:lang w:eastAsia="en-AU"/>
              </w:rPr>
            </w:pPr>
            <w:r w:rsidRPr="00224BEC">
              <w:rPr>
                <w:lang w:eastAsia="en-AU"/>
              </w:rPr>
              <w:t>Retail Trade</w:t>
            </w:r>
          </w:p>
        </w:tc>
        <w:tc>
          <w:tcPr>
            <w:tcW w:w="1025" w:type="dxa"/>
            <w:noWrap/>
            <w:hideMark/>
          </w:tcPr>
          <w:p w14:paraId="48C30E14" w14:textId="77777777" w:rsidR="00285F19" w:rsidRPr="00224BEC" w:rsidRDefault="00285F19" w:rsidP="006129E3">
            <w:pPr>
              <w:pStyle w:val="Tabletext"/>
              <w:jc w:val="right"/>
              <w:rPr>
                <w:lang w:eastAsia="en-AU"/>
              </w:rPr>
            </w:pPr>
            <w:r w:rsidRPr="00224BEC">
              <w:rPr>
                <w:lang w:eastAsia="en-AU"/>
              </w:rPr>
              <w:t>6.4</w:t>
            </w:r>
          </w:p>
        </w:tc>
        <w:tc>
          <w:tcPr>
            <w:tcW w:w="1025" w:type="dxa"/>
            <w:noWrap/>
            <w:hideMark/>
          </w:tcPr>
          <w:p w14:paraId="7DFFE6B6" w14:textId="77777777" w:rsidR="00285F19" w:rsidRPr="00224BEC" w:rsidRDefault="00285F19" w:rsidP="006129E3">
            <w:pPr>
              <w:pStyle w:val="Tabletext"/>
              <w:jc w:val="right"/>
              <w:rPr>
                <w:lang w:eastAsia="en-AU"/>
              </w:rPr>
            </w:pPr>
            <w:r w:rsidRPr="00224BEC">
              <w:rPr>
                <w:lang w:eastAsia="en-AU"/>
              </w:rPr>
              <w:t>5.7</w:t>
            </w:r>
          </w:p>
        </w:tc>
        <w:tc>
          <w:tcPr>
            <w:tcW w:w="1026" w:type="dxa"/>
            <w:noWrap/>
            <w:hideMark/>
          </w:tcPr>
          <w:p w14:paraId="5D42BEF7" w14:textId="77777777" w:rsidR="00285F19" w:rsidRPr="00224BEC" w:rsidRDefault="00285F19" w:rsidP="006129E3">
            <w:pPr>
              <w:pStyle w:val="Tabletext"/>
              <w:jc w:val="right"/>
              <w:rPr>
                <w:lang w:eastAsia="en-AU"/>
              </w:rPr>
            </w:pPr>
            <w:r w:rsidRPr="00224BEC">
              <w:rPr>
                <w:lang w:eastAsia="en-AU"/>
              </w:rPr>
              <w:t>5.9</w:t>
            </w:r>
          </w:p>
        </w:tc>
        <w:tc>
          <w:tcPr>
            <w:tcW w:w="1026" w:type="dxa"/>
            <w:noWrap/>
            <w:hideMark/>
          </w:tcPr>
          <w:p w14:paraId="64A4E477" w14:textId="77777777" w:rsidR="00285F19" w:rsidRPr="00224BEC" w:rsidRDefault="00285F19" w:rsidP="006129E3">
            <w:pPr>
              <w:pStyle w:val="Tabletext"/>
              <w:jc w:val="right"/>
              <w:rPr>
                <w:lang w:eastAsia="en-AU"/>
              </w:rPr>
            </w:pPr>
            <w:r w:rsidRPr="00224BEC">
              <w:rPr>
                <w:lang w:eastAsia="en-AU"/>
              </w:rPr>
              <w:t>5.2</w:t>
            </w:r>
          </w:p>
        </w:tc>
        <w:tc>
          <w:tcPr>
            <w:tcW w:w="1026" w:type="dxa"/>
            <w:noWrap/>
            <w:hideMark/>
          </w:tcPr>
          <w:p w14:paraId="24DDA829" w14:textId="77777777" w:rsidR="00285F19" w:rsidRPr="00224BEC" w:rsidRDefault="00285F19" w:rsidP="006129E3">
            <w:pPr>
              <w:pStyle w:val="Tabletext"/>
              <w:jc w:val="right"/>
              <w:rPr>
                <w:lang w:eastAsia="en-AU"/>
              </w:rPr>
            </w:pPr>
            <w:r w:rsidRPr="00224BEC">
              <w:rPr>
                <w:lang w:eastAsia="en-AU"/>
              </w:rPr>
              <w:t>5.1</w:t>
            </w:r>
          </w:p>
        </w:tc>
        <w:tc>
          <w:tcPr>
            <w:tcW w:w="1026" w:type="dxa"/>
            <w:noWrap/>
            <w:hideMark/>
          </w:tcPr>
          <w:p w14:paraId="6688FB31" w14:textId="77777777" w:rsidR="00285F19" w:rsidRPr="00224BEC" w:rsidRDefault="00285F19" w:rsidP="006129E3">
            <w:pPr>
              <w:pStyle w:val="Tabletext"/>
              <w:jc w:val="right"/>
              <w:rPr>
                <w:lang w:eastAsia="en-AU"/>
              </w:rPr>
            </w:pPr>
            <w:r w:rsidRPr="00224BEC">
              <w:rPr>
                <w:lang w:eastAsia="en-AU"/>
              </w:rPr>
              <w:t>5.0</w:t>
            </w:r>
          </w:p>
        </w:tc>
        <w:tc>
          <w:tcPr>
            <w:tcW w:w="1026" w:type="dxa"/>
            <w:noWrap/>
            <w:hideMark/>
          </w:tcPr>
          <w:p w14:paraId="30197FE3" w14:textId="77777777" w:rsidR="00285F19" w:rsidRPr="00224BEC" w:rsidRDefault="00285F19" w:rsidP="006129E3">
            <w:pPr>
              <w:pStyle w:val="Tabletext"/>
              <w:jc w:val="right"/>
              <w:rPr>
                <w:lang w:eastAsia="en-AU"/>
              </w:rPr>
            </w:pPr>
            <w:r w:rsidRPr="00224BEC">
              <w:rPr>
                <w:lang w:eastAsia="en-AU"/>
              </w:rPr>
              <w:t>5.8</w:t>
            </w:r>
          </w:p>
        </w:tc>
        <w:tc>
          <w:tcPr>
            <w:tcW w:w="1026" w:type="dxa"/>
            <w:noWrap/>
            <w:hideMark/>
          </w:tcPr>
          <w:p w14:paraId="5D4BEF52" w14:textId="77777777" w:rsidR="00285F19" w:rsidRPr="00224BEC" w:rsidRDefault="00285F19" w:rsidP="006129E3">
            <w:pPr>
              <w:pStyle w:val="Tabletext"/>
              <w:jc w:val="right"/>
              <w:rPr>
                <w:lang w:eastAsia="en-AU"/>
              </w:rPr>
            </w:pPr>
            <w:r w:rsidRPr="00224BEC">
              <w:rPr>
                <w:lang w:eastAsia="en-AU"/>
              </w:rPr>
              <w:t>6.8</w:t>
            </w:r>
          </w:p>
        </w:tc>
        <w:tc>
          <w:tcPr>
            <w:tcW w:w="1026" w:type="dxa"/>
            <w:noWrap/>
            <w:hideMark/>
          </w:tcPr>
          <w:p w14:paraId="4528FE0C" w14:textId="77777777" w:rsidR="00285F19" w:rsidRPr="00224BEC" w:rsidRDefault="00285F19" w:rsidP="006129E3">
            <w:pPr>
              <w:pStyle w:val="Tabletext"/>
              <w:jc w:val="right"/>
              <w:rPr>
                <w:lang w:eastAsia="en-AU"/>
              </w:rPr>
            </w:pPr>
            <w:r w:rsidRPr="00224BEC">
              <w:rPr>
                <w:lang w:eastAsia="en-AU"/>
              </w:rPr>
              <w:t>7.0</w:t>
            </w:r>
          </w:p>
        </w:tc>
      </w:tr>
      <w:tr w:rsidR="00285F19" w:rsidRPr="00224BEC" w14:paraId="5BB49448" w14:textId="77777777" w:rsidTr="006129E3">
        <w:trPr>
          <w:cnfStyle w:val="000000010000" w:firstRow="0" w:lastRow="0" w:firstColumn="0" w:lastColumn="0" w:oddVBand="0" w:evenVBand="0" w:oddHBand="0" w:evenHBand="1" w:firstRowFirstColumn="0" w:firstRowLastColumn="0" w:lastRowFirstColumn="0" w:lastRowLastColumn="0"/>
          <w:trHeight w:val="279"/>
        </w:trPr>
        <w:tc>
          <w:tcPr>
            <w:tcW w:w="4769" w:type="dxa"/>
            <w:noWrap/>
            <w:hideMark/>
          </w:tcPr>
          <w:p w14:paraId="2D6D0176" w14:textId="77777777" w:rsidR="00285F19" w:rsidRPr="006311F5" w:rsidRDefault="00285F19" w:rsidP="006129E3">
            <w:pPr>
              <w:pStyle w:val="Tabletext"/>
              <w:rPr>
                <w:lang w:eastAsia="en-AU"/>
              </w:rPr>
            </w:pPr>
            <w:r w:rsidRPr="006311F5">
              <w:rPr>
                <w:lang w:eastAsia="en-AU"/>
              </w:rPr>
              <w:t>Accommodation and Food Services</w:t>
            </w:r>
          </w:p>
        </w:tc>
        <w:tc>
          <w:tcPr>
            <w:tcW w:w="1025" w:type="dxa"/>
            <w:noWrap/>
            <w:hideMark/>
          </w:tcPr>
          <w:p w14:paraId="49DDD8D1" w14:textId="77777777" w:rsidR="00285F19" w:rsidRPr="006311F5" w:rsidRDefault="00285F19" w:rsidP="006129E3">
            <w:pPr>
              <w:pStyle w:val="Tabletext"/>
              <w:jc w:val="right"/>
              <w:rPr>
                <w:lang w:eastAsia="en-AU"/>
              </w:rPr>
            </w:pPr>
            <w:r w:rsidRPr="006311F5">
              <w:rPr>
                <w:lang w:eastAsia="en-AU"/>
              </w:rPr>
              <w:t>13.4</w:t>
            </w:r>
          </w:p>
        </w:tc>
        <w:tc>
          <w:tcPr>
            <w:tcW w:w="1025" w:type="dxa"/>
            <w:noWrap/>
            <w:hideMark/>
          </w:tcPr>
          <w:p w14:paraId="5ED3B8AB" w14:textId="77777777" w:rsidR="00285F19" w:rsidRPr="006311F5" w:rsidRDefault="00285F19" w:rsidP="006129E3">
            <w:pPr>
              <w:pStyle w:val="Tabletext"/>
              <w:jc w:val="right"/>
              <w:rPr>
                <w:lang w:eastAsia="en-AU"/>
              </w:rPr>
            </w:pPr>
            <w:r w:rsidRPr="006311F5">
              <w:rPr>
                <w:lang w:eastAsia="en-AU"/>
              </w:rPr>
              <w:t>14.3</w:t>
            </w:r>
          </w:p>
        </w:tc>
        <w:tc>
          <w:tcPr>
            <w:tcW w:w="1026" w:type="dxa"/>
            <w:noWrap/>
            <w:hideMark/>
          </w:tcPr>
          <w:p w14:paraId="7B6063CA" w14:textId="77777777" w:rsidR="00285F19" w:rsidRPr="006311F5" w:rsidRDefault="00285F19" w:rsidP="006129E3">
            <w:pPr>
              <w:pStyle w:val="Tabletext"/>
              <w:jc w:val="right"/>
              <w:rPr>
                <w:lang w:eastAsia="en-AU"/>
              </w:rPr>
            </w:pPr>
            <w:r w:rsidRPr="006311F5">
              <w:rPr>
                <w:lang w:eastAsia="en-AU"/>
              </w:rPr>
              <w:t>13.2</w:t>
            </w:r>
          </w:p>
        </w:tc>
        <w:tc>
          <w:tcPr>
            <w:tcW w:w="1026" w:type="dxa"/>
            <w:noWrap/>
            <w:hideMark/>
          </w:tcPr>
          <w:p w14:paraId="3BE13D43" w14:textId="77777777" w:rsidR="00285F19" w:rsidRPr="006311F5" w:rsidRDefault="00285F19" w:rsidP="006129E3">
            <w:pPr>
              <w:pStyle w:val="Tabletext"/>
              <w:jc w:val="right"/>
              <w:rPr>
                <w:lang w:eastAsia="en-AU"/>
              </w:rPr>
            </w:pPr>
            <w:r w:rsidRPr="006311F5">
              <w:rPr>
                <w:lang w:eastAsia="en-AU"/>
              </w:rPr>
              <w:t>12.7</w:t>
            </w:r>
          </w:p>
        </w:tc>
        <w:tc>
          <w:tcPr>
            <w:tcW w:w="1026" w:type="dxa"/>
            <w:noWrap/>
            <w:hideMark/>
          </w:tcPr>
          <w:p w14:paraId="4AF7F700" w14:textId="77777777" w:rsidR="00285F19" w:rsidRPr="006311F5" w:rsidRDefault="00285F19" w:rsidP="006129E3">
            <w:pPr>
              <w:pStyle w:val="Tabletext"/>
              <w:jc w:val="right"/>
              <w:rPr>
                <w:lang w:eastAsia="en-AU"/>
              </w:rPr>
            </w:pPr>
            <w:r w:rsidRPr="006311F5">
              <w:rPr>
                <w:lang w:eastAsia="en-AU"/>
              </w:rPr>
              <w:t>8.6</w:t>
            </w:r>
          </w:p>
        </w:tc>
        <w:tc>
          <w:tcPr>
            <w:tcW w:w="1026" w:type="dxa"/>
            <w:noWrap/>
            <w:hideMark/>
          </w:tcPr>
          <w:p w14:paraId="25CB95AA" w14:textId="77777777" w:rsidR="00285F19" w:rsidRPr="006311F5" w:rsidRDefault="00285F19" w:rsidP="006129E3">
            <w:pPr>
              <w:pStyle w:val="Tabletext"/>
              <w:jc w:val="right"/>
              <w:rPr>
                <w:lang w:eastAsia="en-AU"/>
              </w:rPr>
            </w:pPr>
            <w:r w:rsidRPr="006311F5">
              <w:rPr>
                <w:lang w:eastAsia="en-AU"/>
              </w:rPr>
              <w:t>9.7</w:t>
            </w:r>
          </w:p>
        </w:tc>
        <w:tc>
          <w:tcPr>
            <w:tcW w:w="1026" w:type="dxa"/>
            <w:noWrap/>
            <w:hideMark/>
          </w:tcPr>
          <w:p w14:paraId="0E396C5C" w14:textId="77777777" w:rsidR="00285F19" w:rsidRPr="006311F5" w:rsidRDefault="00285F19" w:rsidP="006129E3">
            <w:pPr>
              <w:pStyle w:val="Tabletext"/>
              <w:jc w:val="right"/>
              <w:rPr>
                <w:lang w:eastAsia="en-AU"/>
              </w:rPr>
            </w:pPr>
            <w:r w:rsidRPr="006311F5">
              <w:rPr>
                <w:lang w:eastAsia="en-AU"/>
              </w:rPr>
              <w:t>13.2</w:t>
            </w:r>
          </w:p>
        </w:tc>
        <w:tc>
          <w:tcPr>
            <w:tcW w:w="1026" w:type="dxa"/>
            <w:noWrap/>
            <w:hideMark/>
          </w:tcPr>
          <w:p w14:paraId="4BFEB17B" w14:textId="77777777" w:rsidR="00285F19" w:rsidRPr="006311F5" w:rsidRDefault="00285F19" w:rsidP="006129E3">
            <w:pPr>
              <w:pStyle w:val="Tabletext"/>
              <w:jc w:val="right"/>
              <w:rPr>
                <w:lang w:eastAsia="en-AU"/>
              </w:rPr>
            </w:pPr>
            <w:r w:rsidRPr="006311F5">
              <w:rPr>
                <w:lang w:eastAsia="en-AU"/>
              </w:rPr>
              <w:t>18.2</w:t>
            </w:r>
          </w:p>
        </w:tc>
        <w:tc>
          <w:tcPr>
            <w:tcW w:w="1026" w:type="dxa"/>
            <w:noWrap/>
            <w:hideMark/>
          </w:tcPr>
          <w:p w14:paraId="04EB8E09" w14:textId="77777777" w:rsidR="00285F19" w:rsidRPr="006311F5" w:rsidRDefault="00285F19" w:rsidP="006129E3">
            <w:pPr>
              <w:pStyle w:val="Tabletext"/>
              <w:jc w:val="right"/>
              <w:rPr>
                <w:lang w:eastAsia="en-AU"/>
              </w:rPr>
            </w:pPr>
            <w:r w:rsidRPr="006311F5">
              <w:rPr>
                <w:lang w:eastAsia="en-AU"/>
              </w:rPr>
              <w:t>21.7</w:t>
            </w:r>
          </w:p>
        </w:tc>
      </w:tr>
      <w:tr w:rsidR="00285F19" w:rsidRPr="00224BEC" w14:paraId="7ACEDB80" w14:textId="77777777" w:rsidTr="006129E3">
        <w:trPr>
          <w:cnfStyle w:val="000000100000" w:firstRow="0" w:lastRow="0" w:firstColumn="0" w:lastColumn="0" w:oddVBand="0" w:evenVBand="0" w:oddHBand="1" w:evenHBand="0" w:firstRowFirstColumn="0" w:firstRowLastColumn="0" w:lastRowFirstColumn="0" w:lastRowLastColumn="0"/>
          <w:trHeight w:val="279"/>
        </w:trPr>
        <w:tc>
          <w:tcPr>
            <w:tcW w:w="4769" w:type="dxa"/>
            <w:noWrap/>
            <w:hideMark/>
          </w:tcPr>
          <w:p w14:paraId="39A98405" w14:textId="77777777" w:rsidR="00285F19" w:rsidRPr="00224BEC" w:rsidRDefault="00285F19" w:rsidP="006129E3">
            <w:pPr>
              <w:pStyle w:val="Tabletext"/>
              <w:rPr>
                <w:lang w:eastAsia="en-AU"/>
              </w:rPr>
            </w:pPr>
            <w:r w:rsidRPr="00224BEC">
              <w:rPr>
                <w:lang w:eastAsia="en-AU"/>
              </w:rPr>
              <w:t>Transport, Postal and Warehousing</w:t>
            </w:r>
          </w:p>
        </w:tc>
        <w:tc>
          <w:tcPr>
            <w:tcW w:w="1025" w:type="dxa"/>
            <w:noWrap/>
            <w:hideMark/>
          </w:tcPr>
          <w:p w14:paraId="373A82F1" w14:textId="77777777" w:rsidR="00285F19" w:rsidRPr="00224BEC" w:rsidRDefault="00285F19" w:rsidP="006129E3">
            <w:pPr>
              <w:pStyle w:val="Tabletext"/>
              <w:jc w:val="right"/>
              <w:rPr>
                <w:lang w:eastAsia="en-AU"/>
              </w:rPr>
            </w:pPr>
            <w:r w:rsidRPr="00224BEC">
              <w:rPr>
                <w:lang w:eastAsia="en-AU"/>
              </w:rPr>
              <w:t>2.2</w:t>
            </w:r>
          </w:p>
        </w:tc>
        <w:tc>
          <w:tcPr>
            <w:tcW w:w="1025" w:type="dxa"/>
            <w:noWrap/>
            <w:hideMark/>
          </w:tcPr>
          <w:p w14:paraId="5ABE2A32" w14:textId="77777777" w:rsidR="00285F19" w:rsidRPr="00224BEC" w:rsidRDefault="00285F19" w:rsidP="006129E3">
            <w:pPr>
              <w:pStyle w:val="Tabletext"/>
              <w:jc w:val="right"/>
              <w:rPr>
                <w:lang w:eastAsia="en-AU"/>
              </w:rPr>
            </w:pPr>
            <w:r w:rsidRPr="00224BEC">
              <w:rPr>
                <w:lang w:eastAsia="en-AU"/>
              </w:rPr>
              <w:t>2.4</w:t>
            </w:r>
          </w:p>
        </w:tc>
        <w:tc>
          <w:tcPr>
            <w:tcW w:w="1026" w:type="dxa"/>
            <w:noWrap/>
            <w:hideMark/>
          </w:tcPr>
          <w:p w14:paraId="4C65A76A" w14:textId="77777777" w:rsidR="00285F19" w:rsidRPr="00224BEC" w:rsidRDefault="00285F19" w:rsidP="006129E3">
            <w:pPr>
              <w:pStyle w:val="Tabletext"/>
              <w:jc w:val="right"/>
              <w:rPr>
                <w:lang w:eastAsia="en-AU"/>
              </w:rPr>
            </w:pPr>
            <w:r w:rsidRPr="00224BEC">
              <w:rPr>
                <w:lang w:eastAsia="en-AU"/>
              </w:rPr>
              <w:t>1.9</w:t>
            </w:r>
          </w:p>
        </w:tc>
        <w:tc>
          <w:tcPr>
            <w:tcW w:w="1026" w:type="dxa"/>
            <w:noWrap/>
            <w:hideMark/>
          </w:tcPr>
          <w:p w14:paraId="72D472E2" w14:textId="77777777" w:rsidR="00285F19" w:rsidRPr="00224BEC" w:rsidRDefault="00285F19" w:rsidP="006129E3">
            <w:pPr>
              <w:pStyle w:val="Tabletext"/>
              <w:jc w:val="right"/>
              <w:rPr>
                <w:lang w:eastAsia="en-AU"/>
              </w:rPr>
            </w:pPr>
            <w:r w:rsidRPr="00224BEC">
              <w:rPr>
                <w:lang w:eastAsia="en-AU"/>
              </w:rPr>
              <w:t>1.9</w:t>
            </w:r>
          </w:p>
        </w:tc>
        <w:tc>
          <w:tcPr>
            <w:tcW w:w="1026" w:type="dxa"/>
            <w:noWrap/>
            <w:hideMark/>
          </w:tcPr>
          <w:p w14:paraId="5B483F16" w14:textId="77777777" w:rsidR="00285F19" w:rsidRPr="00224BEC" w:rsidRDefault="00285F19" w:rsidP="006129E3">
            <w:pPr>
              <w:pStyle w:val="Tabletext"/>
              <w:jc w:val="right"/>
              <w:rPr>
                <w:lang w:eastAsia="en-AU"/>
              </w:rPr>
            </w:pPr>
            <w:r w:rsidRPr="00224BEC">
              <w:rPr>
                <w:lang w:eastAsia="en-AU"/>
              </w:rPr>
              <w:t>2.1</w:t>
            </w:r>
          </w:p>
        </w:tc>
        <w:tc>
          <w:tcPr>
            <w:tcW w:w="1026" w:type="dxa"/>
            <w:noWrap/>
            <w:hideMark/>
          </w:tcPr>
          <w:p w14:paraId="7DA919E9" w14:textId="77777777" w:rsidR="00285F19" w:rsidRPr="00224BEC" w:rsidRDefault="00285F19" w:rsidP="006129E3">
            <w:pPr>
              <w:pStyle w:val="Tabletext"/>
              <w:jc w:val="right"/>
              <w:rPr>
                <w:lang w:eastAsia="en-AU"/>
              </w:rPr>
            </w:pPr>
            <w:r w:rsidRPr="00224BEC">
              <w:rPr>
                <w:lang w:eastAsia="en-AU"/>
              </w:rPr>
              <w:t>1.7</w:t>
            </w:r>
          </w:p>
        </w:tc>
        <w:tc>
          <w:tcPr>
            <w:tcW w:w="1026" w:type="dxa"/>
            <w:noWrap/>
            <w:hideMark/>
          </w:tcPr>
          <w:p w14:paraId="5B540790" w14:textId="77777777" w:rsidR="00285F19" w:rsidRPr="00224BEC" w:rsidRDefault="00285F19" w:rsidP="006129E3">
            <w:pPr>
              <w:pStyle w:val="Tabletext"/>
              <w:jc w:val="right"/>
              <w:rPr>
                <w:lang w:eastAsia="en-AU"/>
              </w:rPr>
            </w:pPr>
            <w:r w:rsidRPr="00224BEC">
              <w:rPr>
                <w:lang w:eastAsia="en-AU"/>
              </w:rPr>
              <w:t>1.6</w:t>
            </w:r>
          </w:p>
        </w:tc>
        <w:tc>
          <w:tcPr>
            <w:tcW w:w="1026" w:type="dxa"/>
            <w:noWrap/>
            <w:hideMark/>
          </w:tcPr>
          <w:p w14:paraId="41B30C55" w14:textId="77777777" w:rsidR="00285F19" w:rsidRPr="00224BEC" w:rsidRDefault="00285F19" w:rsidP="006129E3">
            <w:pPr>
              <w:pStyle w:val="Tabletext"/>
              <w:jc w:val="right"/>
              <w:rPr>
                <w:lang w:eastAsia="en-AU"/>
              </w:rPr>
            </w:pPr>
            <w:r w:rsidRPr="00224BEC">
              <w:rPr>
                <w:lang w:eastAsia="en-AU"/>
              </w:rPr>
              <w:t>1.8</w:t>
            </w:r>
          </w:p>
        </w:tc>
        <w:tc>
          <w:tcPr>
            <w:tcW w:w="1026" w:type="dxa"/>
            <w:noWrap/>
            <w:hideMark/>
          </w:tcPr>
          <w:p w14:paraId="0CECFDBC" w14:textId="77777777" w:rsidR="00285F19" w:rsidRPr="00224BEC" w:rsidRDefault="00285F19" w:rsidP="006129E3">
            <w:pPr>
              <w:pStyle w:val="Tabletext"/>
              <w:jc w:val="right"/>
              <w:rPr>
                <w:lang w:eastAsia="en-AU"/>
              </w:rPr>
            </w:pPr>
            <w:r w:rsidRPr="00224BEC">
              <w:rPr>
                <w:lang w:eastAsia="en-AU"/>
              </w:rPr>
              <w:t>2.2</w:t>
            </w:r>
          </w:p>
        </w:tc>
      </w:tr>
      <w:tr w:rsidR="00285F19" w:rsidRPr="00224BEC" w14:paraId="75730906" w14:textId="77777777" w:rsidTr="006129E3">
        <w:trPr>
          <w:cnfStyle w:val="000000010000" w:firstRow="0" w:lastRow="0" w:firstColumn="0" w:lastColumn="0" w:oddVBand="0" w:evenVBand="0" w:oddHBand="0" w:evenHBand="1" w:firstRowFirstColumn="0" w:firstRowLastColumn="0" w:lastRowFirstColumn="0" w:lastRowLastColumn="0"/>
          <w:trHeight w:val="279"/>
        </w:trPr>
        <w:tc>
          <w:tcPr>
            <w:tcW w:w="4769" w:type="dxa"/>
            <w:noWrap/>
            <w:hideMark/>
          </w:tcPr>
          <w:p w14:paraId="6CC7C545" w14:textId="77777777" w:rsidR="00285F19" w:rsidRPr="00224BEC" w:rsidRDefault="00285F19" w:rsidP="006129E3">
            <w:pPr>
              <w:pStyle w:val="Tabletext"/>
              <w:rPr>
                <w:lang w:eastAsia="en-AU"/>
              </w:rPr>
            </w:pPr>
            <w:r w:rsidRPr="00224BEC">
              <w:rPr>
                <w:lang w:eastAsia="en-AU"/>
              </w:rPr>
              <w:t>Information, Media and Telecommunications</w:t>
            </w:r>
          </w:p>
        </w:tc>
        <w:tc>
          <w:tcPr>
            <w:tcW w:w="1025" w:type="dxa"/>
            <w:noWrap/>
            <w:hideMark/>
          </w:tcPr>
          <w:p w14:paraId="46E7C700" w14:textId="77777777" w:rsidR="00285F19" w:rsidRPr="00224BEC" w:rsidRDefault="00285F19" w:rsidP="006129E3">
            <w:pPr>
              <w:pStyle w:val="Tabletext"/>
              <w:jc w:val="right"/>
              <w:rPr>
                <w:lang w:eastAsia="en-AU"/>
              </w:rPr>
            </w:pPr>
            <w:r w:rsidRPr="00224BEC">
              <w:rPr>
                <w:lang w:eastAsia="en-AU"/>
              </w:rPr>
              <w:t>1.9</w:t>
            </w:r>
          </w:p>
        </w:tc>
        <w:tc>
          <w:tcPr>
            <w:tcW w:w="1025" w:type="dxa"/>
            <w:noWrap/>
            <w:hideMark/>
          </w:tcPr>
          <w:p w14:paraId="44CA2A3C" w14:textId="77777777" w:rsidR="00285F19" w:rsidRPr="00224BEC" w:rsidRDefault="00285F19" w:rsidP="006129E3">
            <w:pPr>
              <w:pStyle w:val="Tabletext"/>
              <w:jc w:val="right"/>
              <w:rPr>
                <w:lang w:eastAsia="en-AU"/>
              </w:rPr>
            </w:pPr>
            <w:r w:rsidRPr="00224BEC">
              <w:rPr>
                <w:lang w:eastAsia="en-AU"/>
              </w:rPr>
              <w:t>1.8</w:t>
            </w:r>
          </w:p>
        </w:tc>
        <w:tc>
          <w:tcPr>
            <w:tcW w:w="1026" w:type="dxa"/>
            <w:noWrap/>
            <w:hideMark/>
          </w:tcPr>
          <w:p w14:paraId="1AC31478" w14:textId="77777777" w:rsidR="00285F19" w:rsidRPr="00224BEC" w:rsidRDefault="00285F19" w:rsidP="006129E3">
            <w:pPr>
              <w:pStyle w:val="Tabletext"/>
              <w:jc w:val="right"/>
              <w:rPr>
                <w:lang w:eastAsia="en-AU"/>
              </w:rPr>
            </w:pPr>
            <w:r w:rsidRPr="00224BEC">
              <w:rPr>
                <w:lang w:eastAsia="en-AU"/>
              </w:rPr>
              <w:t>2.0</w:t>
            </w:r>
          </w:p>
        </w:tc>
        <w:tc>
          <w:tcPr>
            <w:tcW w:w="1026" w:type="dxa"/>
            <w:noWrap/>
            <w:hideMark/>
          </w:tcPr>
          <w:p w14:paraId="48F4FCCF" w14:textId="77777777" w:rsidR="00285F19" w:rsidRPr="00224BEC" w:rsidRDefault="00285F19" w:rsidP="006129E3">
            <w:pPr>
              <w:pStyle w:val="Tabletext"/>
              <w:jc w:val="right"/>
              <w:rPr>
                <w:lang w:eastAsia="en-AU"/>
              </w:rPr>
            </w:pPr>
            <w:r w:rsidRPr="00224BEC">
              <w:rPr>
                <w:lang w:eastAsia="en-AU"/>
              </w:rPr>
              <w:t>2.0</w:t>
            </w:r>
          </w:p>
        </w:tc>
        <w:tc>
          <w:tcPr>
            <w:tcW w:w="1026" w:type="dxa"/>
            <w:noWrap/>
            <w:hideMark/>
          </w:tcPr>
          <w:p w14:paraId="79937A65" w14:textId="77777777" w:rsidR="00285F19" w:rsidRPr="00224BEC" w:rsidRDefault="00285F19" w:rsidP="006129E3">
            <w:pPr>
              <w:pStyle w:val="Tabletext"/>
              <w:jc w:val="right"/>
              <w:rPr>
                <w:lang w:eastAsia="en-AU"/>
              </w:rPr>
            </w:pPr>
            <w:r w:rsidRPr="00224BEC">
              <w:rPr>
                <w:lang w:eastAsia="en-AU"/>
              </w:rPr>
              <w:t>2.0</w:t>
            </w:r>
          </w:p>
        </w:tc>
        <w:tc>
          <w:tcPr>
            <w:tcW w:w="1026" w:type="dxa"/>
            <w:noWrap/>
            <w:hideMark/>
          </w:tcPr>
          <w:p w14:paraId="29CB75CB" w14:textId="77777777" w:rsidR="00285F19" w:rsidRPr="00224BEC" w:rsidRDefault="00285F19" w:rsidP="006129E3">
            <w:pPr>
              <w:pStyle w:val="Tabletext"/>
              <w:jc w:val="right"/>
              <w:rPr>
                <w:lang w:eastAsia="en-AU"/>
              </w:rPr>
            </w:pPr>
            <w:r w:rsidRPr="00224BEC">
              <w:rPr>
                <w:lang w:eastAsia="en-AU"/>
              </w:rPr>
              <w:t>1.8</w:t>
            </w:r>
          </w:p>
        </w:tc>
        <w:tc>
          <w:tcPr>
            <w:tcW w:w="1026" w:type="dxa"/>
            <w:noWrap/>
            <w:hideMark/>
          </w:tcPr>
          <w:p w14:paraId="7D72C562" w14:textId="77777777" w:rsidR="00285F19" w:rsidRPr="00224BEC" w:rsidRDefault="00285F19" w:rsidP="006129E3">
            <w:pPr>
              <w:pStyle w:val="Tabletext"/>
              <w:jc w:val="right"/>
              <w:rPr>
                <w:lang w:eastAsia="en-AU"/>
              </w:rPr>
            </w:pPr>
            <w:r w:rsidRPr="00224BEC">
              <w:rPr>
                <w:lang w:eastAsia="en-AU"/>
              </w:rPr>
              <w:t>1.7</w:t>
            </w:r>
          </w:p>
        </w:tc>
        <w:tc>
          <w:tcPr>
            <w:tcW w:w="1026" w:type="dxa"/>
            <w:noWrap/>
            <w:hideMark/>
          </w:tcPr>
          <w:p w14:paraId="370B3C3C" w14:textId="77777777" w:rsidR="00285F19" w:rsidRPr="00224BEC" w:rsidRDefault="00285F19" w:rsidP="006129E3">
            <w:pPr>
              <w:pStyle w:val="Tabletext"/>
              <w:jc w:val="right"/>
              <w:rPr>
                <w:lang w:eastAsia="en-AU"/>
              </w:rPr>
            </w:pPr>
            <w:r w:rsidRPr="00224BEC">
              <w:rPr>
                <w:lang w:eastAsia="en-AU"/>
              </w:rPr>
              <w:t>1.5</w:t>
            </w:r>
          </w:p>
        </w:tc>
        <w:tc>
          <w:tcPr>
            <w:tcW w:w="1026" w:type="dxa"/>
            <w:noWrap/>
            <w:hideMark/>
          </w:tcPr>
          <w:p w14:paraId="4512988C" w14:textId="77777777" w:rsidR="00285F19" w:rsidRPr="00224BEC" w:rsidRDefault="00285F19" w:rsidP="006129E3">
            <w:pPr>
              <w:pStyle w:val="Tabletext"/>
              <w:jc w:val="right"/>
              <w:rPr>
                <w:lang w:eastAsia="en-AU"/>
              </w:rPr>
            </w:pPr>
            <w:r w:rsidRPr="00224BEC">
              <w:rPr>
                <w:lang w:eastAsia="en-AU"/>
              </w:rPr>
              <w:t>1.3</w:t>
            </w:r>
          </w:p>
        </w:tc>
      </w:tr>
      <w:tr w:rsidR="00285F19" w:rsidRPr="00224BEC" w14:paraId="4471280B" w14:textId="77777777" w:rsidTr="006129E3">
        <w:trPr>
          <w:cnfStyle w:val="000000100000" w:firstRow="0" w:lastRow="0" w:firstColumn="0" w:lastColumn="0" w:oddVBand="0" w:evenVBand="0" w:oddHBand="1" w:evenHBand="0" w:firstRowFirstColumn="0" w:firstRowLastColumn="0" w:lastRowFirstColumn="0" w:lastRowLastColumn="0"/>
          <w:trHeight w:val="279"/>
        </w:trPr>
        <w:tc>
          <w:tcPr>
            <w:tcW w:w="4769" w:type="dxa"/>
            <w:noWrap/>
            <w:hideMark/>
          </w:tcPr>
          <w:p w14:paraId="592E2709" w14:textId="77777777" w:rsidR="00285F19" w:rsidRPr="00224BEC" w:rsidRDefault="00285F19" w:rsidP="006129E3">
            <w:pPr>
              <w:pStyle w:val="Tabletext"/>
              <w:rPr>
                <w:lang w:eastAsia="en-AU"/>
              </w:rPr>
            </w:pPr>
            <w:r w:rsidRPr="00224BEC">
              <w:rPr>
                <w:lang w:eastAsia="en-AU"/>
              </w:rPr>
              <w:t>Financial and Insurance Services</w:t>
            </w:r>
          </w:p>
        </w:tc>
        <w:tc>
          <w:tcPr>
            <w:tcW w:w="1025" w:type="dxa"/>
            <w:noWrap/>
            <w:hideMark/>
          </w:tcPr>
          <w:p w14:paraId="5A9C67D9" w14:textId="77777777" w:rsidR="00285F19" w:rsidRPr="00224BEC" w:rsidRDefault="00285F19" w:rsidP="006129E3">
            <w:pPr>
              <w:pStyle w:val="Tabletext"/>
              <w:jc w:val="right"/>
              <w:rPr>
                <w:lang w:eastAsia="en-AU"/>
              </w:rPr>
            </w:pPr>
            <w:r w:rsidRPr="00224BEC">
              <w:rPr>
                <w:lang w:eastAsia="en-AU"/>
              </w:rPr>
              <w:t>3.3</w:t>
            </w:r>
          </w:p>
        </w:tc>
        <w:tc>
          <w:tcPr>
            <w:tcW w:w="1025" w:type="dxa"/>
            <w:noWrap/>
            <w:hideMark/>
          </w:tcPr>
          <w:p w14:paraId="3D48D908" w14:textId="77777777" w:rsidR="00285F19" w:rsidRPr="00224BEC" w:rsidRDefault="00285F19" w:rsidP="006129E3">
            <w:pPr>
              <w:pStyle w:val="Tabletext"/>
              <w:jc w:val="right"/>
              <w:rPr>
                <w:lang w:eastAsia="en-AU"/>
              </w:rPr>
            </w:pPr>
            <w:r w:rsidRPr="00224BEC">
              <w:rPr>
                <w:lang w:eastAsia="en-AU"/>
              </w:rPr>
              <w:t>3.0</w:t>
            </w:r>
          </w:p>
        </w:tc>
        <w:tc>
          <w:tcPr>
            <w:tcW w:w="1026" w:type="dxa"/>
            <w:noWrap/>
            <w:hideMark/>
          </w:tcPr>
          <w:p w14:paraId="2EBAE2A5" w14:textId="77777777" w:rsidR="00285F19" w:rsidRPr="00224BEC" w:rsidRDefault="00285F19" w:rsidP="006129E3">
            <w:pPr>
              <w:pStyle w:val="Tabletext"/>
              <w:jc w:val="right"/>
              <w:rPr>
                <w:lang w:eastAsia="en-AU"/>
              </w:rPr>
            </w:pPr>
            <w:r w:rsidRPr="00224BEC">
              <w:rPr>
                <w:lang w:eastAsia="en-AU"/>
              </w:rPr>
              <w:t>2.8</w:t>
            </w:r>
          </w:p>
        </w:tc>
        <w:tc>
          <w:tcPr>
            <w:tcW w:w="1026" w:type="dxa"/>
            <w:noWrap/>
            <w:hideMark/>
          </w:tcPr>
          <w:p w14:paraId="5295AC81" w14:textId="77777777" w:rsidR="00285F19" w:rsidRPr="00224BEC" w:rsidRDefault="00285F19" w:rsidP="006129E3">
            <w:pPr>
              <w:pStyle w:val="Tabletext"/>
              <w:jc w:val="right"/>
              <w:rPr>
                <w:lang w:eastAsia="en-AU"/>
              </w:rPr>
            </w:pPr>
            <w:r w:rsidRPr="00224BEC">
              <w:rPr>
                <w:lang w:eastAsia="en-AU"/>
              </w:rPr>
              <w:t>2.9</w:t>
            </w:r>
          </w:p>
        </w:tc>
        <w:tc>
          <w:tcPr>
            <w:tcW w:w="1026" w:type="dxa"/>
            <w:noWrap/>
            <w:hideMark/>
          </w:tcPr>
          <w:p w14:paraId="5307C587" w14:textId="77777777" w:rsidR="00285F19" w:rsidRPr="00224BEC" w:rsidRDefault="00285F19" w:rsidP="006129E3">
            <w:pPr>
              <w:pStyle w:val="Tabletext"/>
              <w:jc w:val="right"/>
              <w:rPr>
                <w:lang w:eastAsia="en-AU"/>
              </w:rPr>
            </w:pPr>
            <w:r w:rsidRPr="00224BEC">
              <w:rPr>
                <w:lang w:eastAsia="en-AU"/>
              </w:rPr>
              <w:t>3.3</w:t>
            </w:r>
          </w:p>
        </w:tc>
        <w:tc>
          <w:tcPr>
            <w:tcW w:w="1026" w:type="dxa"/>
            <w:noWrap/>
            <w:hideMark/>
          </w:tcPr>
          <w:p w14:paraId="6C319EC3" w14:textId="77777777" w:rsidR="00285F19" w:rsidRPr="00224BEC" w:rsidRDefault="00285F19" w:rsidP="006129E3">
            <w:pPr>
              <w:pStyle w:val="Tabletext"/>
              <w:jc w:val="right"/>
              <w:rPr>
                <w:lang w:eastAsia="en-AU"/>
              </w:rPr>
            </w:pPr>
            <w:r w:rsidRPr="00224BEC">
              <w:rPr>
                <w:lang w:eastAsia="en-AU"/>
              </w:rPr>
              <w:t>3.0</w:t>
            </w:r>
          </w:p>
        </w:tc>
        <w:tc>
          <w:tcPr>
            <w:tcW w:w="1026" w:type="dxa"/>
            <w:noWrap/>
            <w:hideMark/>
          </w:tcPr>
          <w:p w14:paraId="46A48D0F" w14:textId="77777777" w:rsidR="00285F19" w:rsidRPr="00224BEC" w:rsidRDefault="00285F19" w:rsidP="006129E3">
            <w:pPr>
              <w:pStyle w:val="Tabletext"/>
              <w:jc w:val="right"/>
              <w:rPr>
                <w:lang w:eastAsia="en-AU"/>
              </w:rPr>
            </w:pPr>
            <w:r w:rsidRPr="00224BEC">
              <w:rPr>
                <w:lang w:eastAsia="en-AU"/>
              </w:rPr>
              <w:t>2.6</w:t>
            </w:r>
          </w:p>
        </w:tc>
        <w:tc>
          <w:tcPr>
            <w:tcW w:w="1026" w:type="dxa"/>
            <w:noWrap/>
            <w:hideMark/>
          </w:tcPr>
          <w:p w14:paraId="31C459C8" w14:textId="77777777" w:rsidR="00285F19" w:rsidRPr="00224BEC" w:rsidRDefault="00285F19" w:rsidP="006129E3">
            <w:pPr>
              <w:pStyle w:val="Tabletext"/>
              <w:jc w:val="right"/>
              <w:rPr>
                <w:lang w:eastAsia="en-AU"/>
              </w:rPr>
            </w:pPr>
            <w:r w:rsidRPr="00224BEC">
              <w:rPr>
                <w:lang w:eastAsia="en-AU"/>
              </w:rPr>
              <w:t>2.3</w:t>
            </w:r>
          </w:p>
        </w:tc>
        <w:tc>
          <w:tcPr>
            <w:tcW w:w="1026" w:type="dxa"/>
            <w:noWrap/>
            <w:hideMark/>
          </w:tcPr>
          <w:p w14:paraId="54B5259F" w14:textId="77777777" w:rsidR="00285F19" w:rsidRPr="00224BEC" w:rsidRDefault="00285F19" w:rsidP="006129E3">
            <w:pPr>
              <w:pStyle w:val="Tabletext"/>
              <w:jc w:val="right"/>
              <w:rPr>
                <w:lang w:eastAsia="en-AU"/>
              </w:rPr>
            </w:pPr>
            <w:r w:rsidRPr="00224BEC">
              <w:rPr>
                <w:lang w:eastAsia="en-AU"/>
              </w:rPr>
              <w:t>2.4</w:t>
            </w:r>
          </w:p>
        </w:tc>
      </w:tr>
      <w:tr w:rsidR="00285F19" w:rsidRPr="00224BEC" w14:paraId="15EA3411" w14:textId="77777777" w:rsidTr="006129E3">
        <w:trPr>
          <w:cnfStyle w:val="000000010000" w:firstRow="0" w:lastRow="0" w:firstColumn="0" w:lastColumn="0" w:oddVBand="0" w:evenVBand="0" w:oddHBand="0" w:evenHBand="1" w:firstRowFirstColumn="0" w:firstRowLastColumn="0" w:lastRowFirstColumn="0" w:lastRowLastColumn="0"/>
          <w:trHeight w:val="279"/>
        </w:trPr>
        <w:tc>
          <w:tcPr>
            <w:tcW w:w="4769" w:type="dxa"/>
            <w:noWrap/>
            <w:hideMark/>
          </w:tcPr>
          <w:p w14:paraId="4419FB52" w14:textId="77777777" w:rsidR="00285F19" w:rsidRPr="00224BEC" w:rsidRDefault="00285F19" w:rsidP="006129E3">
            <w:pPr>
              <w:pStyle w:val="Tabletext"/>
              <w:rPr>
                <w:lang w:eastAsia="en-AU"/>
              </w:rPr>
            </w:pPr>
            <w:r w:rsidRPr="00224BEC">
              <w:rPr>
                <w:lang w:eastAsia="en-AU"/>
              </w:rPr>
              <w:t>Rental, Hiring and Real Estate Services</w:t>
            </w:r>
          </w:p>
        </w:tc>
        <w:tc>
          <w:tcPr>
            <w:tcW w:w="1025" w:type="dxa"/>
            <w:noWrap/>
            <w:hideMark/>
          </w:tcPr>
          <w:p w14:paraId="33CB6403" w14:textId="77777777" w:rsidR="00285F19" w:rsidRPr="00224BEC" w:rsidRDefault="00285F19" w:rsidP="006129E3">
            <w:pPr>
              <w:pStyle w:val="Tabletext"/>
              <w:jc w:val="right"/>
              <w:rPr>
                <w:lang w:eastAsia="en-AU"/>
              </w:rPr>
            </w:pPr>
            <w:r w:rsidRPr="00224BEC">
              <w:rPr>
                <w:lang w:eastAsia="en-AU"/>
              </w:rPr>
              <w:t>1.7</w:t>
            </w:r>
          </w:p>
        </w:tc>
        <w:tc>
          <w:tcPr>
            <w:tcW w:w="1025" w:type="dxa"/>
            <w:noWrap/>
            <w:hideMark/>
          </w:tcPr>
          <w:p w14:paraId="1CC89E29" w14:textId="77777777" w:rsidR="00285F19" w:rsidRPr="00224BEC" w:rsidRDefault="00285F19" w:rsidP="006129E3">
            <w:pPr>
              <w:pStyle w:val="Tabletext"/>
              <w:jc w:val="right"/>
              <w:rPr>
                <w:lang w:eastAsia="en-AU"/>
              </w:rPr>
            </w:pPr>
            <w:r w:rsidRPr="00224BEC">
              <w:rPr>
                <w:lang w:eastAsia="en-AU"/>
              </w:rPr>
              <w:t>1.8</w:t>
            </w:r>
          </w:p>
        </w:tc>
        <w:tc>
          <w:tcPr>
            <w:tcW w:w="1026" w:type="dxa"/>
            <w:noWrap/>
            <w:hideMark/>
          </w:tcPr>
          <w:p w14:paraId="576840EB" w14:textId="77777777" w:rsidR="00285F19" w:rsidRPr="00224BEC" w:rsidRDefault="00285F19" w:rsidP="006129E3">
            <w:pPr>
              <w:pStyle w:val="Tabletext"/>
              <w:jc w:val="right"/>
              <w:rPr>
                <w:lang w:eastAsia="en-AU"/>
              </w:rPr>
            </w:pPr>
            <w:r w:rsidRPr="00224BEC">
              <w:rPr>
                <w:lang w:eastAsia="en-AU"/>
              </w:rPr>
              <w:t>1.8</w:t>
            </w:r>
          </w:p>
        </w:tc>
        <w:tc>
          <w:tcPr>
            <w:tcW w:w="1026" w:type="dxa"/>
            <w:noWrap/>
            <w:hideMark/>
          </w:tcPr>
          <w:p w14:paraId="558F4FC9" w14:textId="77777777" w:rsidR="00285F19" w:rsidRPr="00224BEC" w:rsidRDefault="00285F19" w:rsidP="006129E3">
            <w:pPr>
              <w:pStyle w:val="Tabletext"/>
              <w:jc w:val="right"/>
              <w:rPr>
                <w:lang w:eastAsia="en-AU"/>
              </w:rPr>
            </w:pPr>
            <w:r w:rsidRPr="00224BEC">
              <w:rPr>
                <w:lang w:eastAsia="en-AU"/>
              </w:rPr>
              <w:t>1.8</w:t>
            </w:r>
          </w:p>
        </w:tc>
        <w:tc>
          <w:tcPr>
            <w:tcW w:w="1026" w:type="dxa"/>
            <w:noWrap/>
            <w:hideMark/>
          </w:tcPr>
          <w:p w14:paraId="75F4B8BE" w14:textId="77777777" w:rsidR="00285F19" w:rsidRPr="00224BEC" w:rsidRDefault="00285F19" w:rsidP="006129E3">
            <w:pPr>
              <w:pStyle w:val="Tabletext"/>
              <w:jc w:val="right"/>
              <w:rPr>
                <w:lang w:eastAsia="en-AU"/>
              </w:rPr>
            </w:pPr>
            <w:r w:rsidRPr="00224BEC">
              <w:rPr>
                <w:lang w:eastAsia="en-AU"/>
              </w:rPr>
              <w:t>1.6</w:t>
            </w:r>
          </w:p>
        </w:tc>
        <w:tc>
          <w:tcPr>
            <w:tcW w:w="1026" w:type="dxa"/>
            <w:noWrap/>
            <w:hideMark/>
          </w:tcPr>
          <w:p w14:paraId="48605259" w14:textId="77777777" w:rsidR="00285F19" w:rsidRPr="00224BEC" w:rsidRDefault="00285F19" w:rsidP="006129E3">
            <w:pPr>
              <w:pStyle w:val="Tabletext"/>
              <w:jc w:val="right"/>
              <w:rPr>
                <w:lang w:eastAsia="en-AU"/>
              </w:rPr>
            </w:pPr>
            <w:r w:rsidRPr="00224BEC">
              <w:rPr>
                <w:lang w:eastAsia="en-AU"/>
              </w:rPr>
              <w:t>1.8</w:t>
            </w:r>
          </w:p>
        </w:tc>
        <w:tc>
          <w:tcPr>
            <w:tcW w:w="1026" w:type="dxa"/>
            <w:noWrap/>
            <w:hideMark/>
          </w:tcPr>
          <w:p w14:paraId="32440DF4" w14:textId="77777777" w:rsidR="00285F19" w:rsidRPr="00224BEC" w:rsidRDefault="00285F19" w:rsidP="006129E3">
            <w:pPr>
              <w:pStyle w:val="Tabletext"/>
              <w:jc w:val="right"/>
              <w:rPr>
                <w:lang w:eastAsia="en-AU"/>
              </w:rPr>
            </w:pPr>
            <w:r w:rsidRPr="00224BEC">
              <w:rPr>
                <w:lang w:eastAsia="en-AU"/>
              </w:rPr>
              <w:t>2.0</w:t>
            </w:r>
          </w:p>
        </w:tc>
        <w:tc>
          <w:tcPr>
            <w:tcW w:w="1026" w:type="dxa"/>
            <w:noWrap/>
            <w:hideMark/>
          </w:tcPr>
          <w:p w14:paraId="77D81983" w14:textId="77777777" w:rsidR="00285F19" w:rsidRPr="00224BEC" w:rsidRDefault="00285F19" w:rsidP="006129E3">
            <w:pPr>
              <w:pStyle w:val="Tabletext"/>
              <w:jc w:val="right"/>
              <w:rPr>
                <w:lang w:eastAsia="en-AU"/>
              </w:rPr>
            </w:pPr>
            <w:r w:rsidRPr="00224BEC">
              <w:rPr>
                <w:lang w:eastAsia="en-AU"/>
              </w:rPr>
              <w:t>1.9</w:t>
            </w:r>
          </w:p>
        </w:tc>
        <w:tc>
          <w:tcPr>
            <w:tcW w:w="1026" w:type="dxa"/>
            <w:noWrap/>
            <w:hideMark/>
          </w:tcPr>
          <w:p w14:paraId="3857A88E" w14:textId="77777777" w:rsidR="00285F19" w:rsidRPr="00224BEC" w:rsidRDefault="00285F19" w:rsidP="006129E3">
            <w:pPr>
              <w:pStyle w:val="Tabletext"/>
              <w:jc w:val="right"/>
              <w:rPr>
                <w:lang w:eastAsia="en-AU"/>
              </w:rPr>
            </w:pPr>
            <w:r w:rsidRPr="00224BEC">
              <w:rPr>
                <w:lang w:eastAsia="en-AU"/>
              </w:rPr>
              <w:t>2.0</w:t>
            </w:r>
          </w:p>
        </w:tc>
      </w:tr>
      <w:tr w:rsidR="00285F19" w:rsidRPr="00224BEC" w14:paraId="277FB23C" w14:textId="77777777" w:rsidTr="006129E3">
        <w:trPr>
          <w:cnfStyle w:val="000000100000" w:firstRow="0" w:lastRow="0" w:firstColumn="0" w:lastColumn="0" w:oddVBand="0" w:evenVBand="0" w:oddHBand="1" w:evenHBand="0" w:firstRowFirstColumn="0" w:firstRowLastColumn="0" w:lastRowFirstColumn="0" w:lastRowLastColumn="0"/>
          <w:trHeight w:val="279"/>
        </w:trPr>
        <w:tc>
          <w:tcPr>
            <w:tcW w:w="4769" w:type="dxa"/>
            <w:noWrap/>
            <w:hideMark/>
          </w:tcPr>
          <w:p w14:paraId="54DC39E7" w14:textId="77777777" w:rsidR="00285F19" w:rsidRPr="006311F5" w:rsidRDefault="00285F19" w:rsidP="006129E3">
            <w:pPr>
              <w:pStyle w:val="Tabletext"/>
              <w:rPr>
                <w:lang w:eastAsia="en-AU"/>
              </w:rPr>
            </w:pPr>
            <w:r w:rsidRPr="006311F5">
              <w:rPr>
                <w:lang w:eastAsia="en-AU"/>
              </w:rPr>
              <w:t>Professional, Scientific and Technical Services</w:t>
            </w:r>
          </w:p>
        </w:tc>
        <w:tc>
          <w:tcPr>
            <w:tcW w:w="1025" w:type="dxa"/>
            <w:noWrap/>
            <w:hideMark/>
          </w:tcPr>
          <w:p w14:paraId="1FA648EF" w14:textId="77777777" w:rsidR="00285F19" w:rsidRPr="006311F5" w:rsidRDefault="00285F19" w:rsidP="006129E3">
            <w:pPr>
              <w:pStyle w:val="Tabletext"/>
              <w:jc w:val="right"/>
              <w:rPr>
                <w:lang w:eastAsia="en-AU"/>
              </w:rPr>
            </w:pPr>
            <w:r w:rsidRPr="006311F5">
              <w:rPr>
                <w:lang w:eastAsia="en-AU"/>
              </w:rPr>
              <w:t>20.5</w:t>
            </w:r>
          </w:p>
        </w:tc>
        <w:tc>
          <w:tcPr>
            <w:tcW w:w="1025" w:type="dxa"/>
            <w:noWrap/>
            <w:hideMark/>
          </w:tcPr>
          <w:p w14:paraId="4948AF86" w14:textId="77777777" w:rsidR="00285F19" w:rsidRPr="006311F5" w:rsidRDefault="00285F19" w:rsidP="006129E3">
            <w:pPr>
              <w:pStyle w:val="Tabletext"/>
              <w:jc w:val="right"/>
              <w:rPr>
                <w:lang w:eastAsia="en-AU"/>
              </w:rPr>
            </w:pPr>
            <w:r w:rsidRPr="006311F5">
              <w:rPr>
                <w:lang w:eastAsia="en-AU"/>
              </w:rPr>
              <w:t>19.5</w:t>
            </w:r>
          </w:p>
        </w:tc>
        <w:tc>
          <w:tcPr>
            <w:tcW w:w="1026" w:type="dxa"/>
            <w:noWrap/>
            <w:hideMark/>
          </w:tcPr>
          <w:p w14:paraId="04827216" w14:textId="77777777" w:rsidR="00285F19" w:rsidRPr="006311F5" w:rsidRDefault="00285F19" w:rsidP="006129E3">
            <w:pPr>
              <w:pStyle w:val="Tabletext"/>
              <w:jc w:val="right"/>
              <w:rPr>
                <w:lang w:eastAsia="en-AU"/>
              </w:rPr>
            </w:pPr>
            <w:r w:rsidRPr="006311F5">
              <w:rPr>
                <w:lang w:eastAsia="en-AU"/>
              </w:rPr>
              <w:t>19.3</w:t>
            </w:r>
          </w:p>
        </w:tc>
        <w:tc>
          <w:tcPr>
            <w:tcW w:w="1026" w:type="dxa"/>
            <w:noWrap/>
            <w:hideMark/>
          </w:tcPr>
          <w:p w14:paraId="1B5F77A2" w14:textId="77777777" w:rsidR="00285F19" w:rsidRPr="006311F5" w:rsidRDefault="00285F19" w:rsidP="006129E3">
            <w:pPr>
              <w:pStyle w:val="Tabletext"/>
              <w:jc w:val="right"/>
              <w:rPr>
                <w:lang w:eastAsia="en-AU"/>
              </w:rPr>
            </w:pPr>
            <w:r w:rsidRPr="006311F5">
              <w:rPr>
                <w:lang w:eastAsia="en-AU"/>
              </w:rPr>
              <w:t>20.8</w:t>
            </w:r>
          </w:p>
        </w:tc>
        <w:tc>
          <w:tcPr>
            <w:tcW w:w="1026" w:type="dxa"/>
            <w:noWrap/>
            <w:hideMark/>
          </w:tcPr>
          <w:p w14:paraId="387D39D3" w14:textId="77777777" w:rsidR="00285F19" w:rsidRPr="006311F5" w:rsidRDefault="00285F19" w:rsidP="006129E3">
            <w:pPr>
              <w:pStyle w:val="Tabletext"/>
              <w:jc w:val="right"/>
              <w:rPr>
                <w:lang w:eastAsia="en-AU"/>
              </w:rPr>
            </w:pPr>
            <w:r w:rsidRPr="006311F5">
              <w:rPr>
                <w:lang w:eastAsia="en-AU"/>
              </w:rPr>
              <w:t>22.6</w:t>
            </w:r>
          </w:p>
        </w:tc>
        <w:tc>
          <w:tcPr>
            <w:tcW w:w="1026" w:type="dxa"/>
            <w:noWrap/>
            <w:hideMark/>
          </w:tcPr>
          <w:p w14:paraId="3720216E" w14:textId="77777777" w:rsidR="00285F19" w:rsidRPr="006311F5" w:rsidRDefault="00285F19" w:rsidP="006129E3">
            <w:pPr>
              <w:pStyle w:val="Tabletext"/>
              <w:jc w:val="right"/>
              <w:rPr>
                <w:lang w:eastAsia="en-AU"/>
              </w:rPr>
            </w:pPr>
            <w:r w:rsidRPr="006311F5">
              <w:rPr>
                <w:lang w:eastAsia="en-AU"/>
              </w:rPr>
              <w:t>22.8</w:t>
            </w:r>
          </w:p>
        </w:tc>
        <w:tc>
          <w:tcPr>
            <w:tcW w:w="1026" w:type="dxa"/>
            <w:noWrap/>
            <w:hideMark/>
          </w:tcPr>
          <w:p w14:paraId="66AF4144" w14:textId="77777777" w:rsidR="00285F19" w:rsidRPr="006311F5" w:rsidRDefault="00285F19" w:rsidP="006129E3">
            <w:pPr>
              <w:pStyle w:val="Tabletext"/>
              <w:jc w:val="right"/>
              <w:rPr>
                <w:lang w:eastAsia="en-AU"/>
              </w:rPr>
            </w:pPr>
            <w:r w:rsidRPr="006311F5">
              <w:rPr>
                <w:lang w:eastAsia="en-AU"/>
              </w:rPr>
              <w:t>19.2</w:t>
            </w:r>
          </w:p>
        </w:tc>
        <w:tc>
          <w:tcPr>
            <w:tcW w:w="1026" w:type="dxa"/>
            <w:noWrap/>
            <w:hideMark/>
          </w:tcPr>
          <w:p w14:paraId="6C67B268" w14:textId="77777777" w:rsidR="00285F19" w:rsidRPr="006311F5" w:rsidRDefault="00285F19" w:rsidP="006129E3">
            <w:pPr>
              <w:pStyle w:val="Tabletext"/>
              <w:jc w:val="right"/>
              <w:rPr>
                <w:lang w:eastAsia="en-AU"/>
              </w:rPr>
            </w:pPr>
            <w:r w:rsidRPr="006311F5">
              <w:rPr>
                <w:lang w:eastAsia="en-AU"/>
              </w:rPr>
              <w:t>15.7</w:t>
            </w:r>
          </w:p>
        </w:tc>
        <w:tc>
          <w:tcPr>
            <w:tcW w:w="1026" w:type="dxa"/>
            <w:noWrap/>
            <w:hideMark/>
          </w:tcPr>
          <w:p w14:paraId="61341E6A" w14:textId="77777777" w:rsidR="00285F19" w:rsidRPr="006311F5" w:rsidRDefault="00285F19" w:rsidP="006129E3">
            <w:pPr>
              <w:pStyle w:val="Tabletext"/>
              <w:jc w:val="right"/>
              <w:rPr>
                <w:lang w:eastAsia="en-AU"/>
              </w:rPr>
            </w:pPr>
            <w:r w:rsidRPr="006311F5">
              <w:rPr>
                <w:lang w:eastAsia="en-AU"/>
              </w:rPr>
              <w:t>13.6</w:t>
            </w:r>
          </w:p>
        </w:tc>
      </w:tr>
      <w:tr w:rsidR="00285F19" w:rsidRPr="00224BEC" w14:paraId="7332AC8C" w14:textId="77777777" w:rsidTr="006129E3">
        <w:trPr>
          <w:cnfStyle w:val="000000010000" w:firstRow="0" w:lastRow="0" w:firstColumn="0" w:lastColumn="0" w:oddVBand="0" w:evenVBand="0" w:oddHBand="0" w:evenHBand="1" w:firstRowFirstColumn="0" w:firstRowLastColumn="0" w:lastRowFirstColumn="0" w:lastRowLastColumn="0"/>
          <w:trHeight w:val="279"/>
        </w:trPr>
        <w:tc>
          <w:tcPr>
            <w:tcW w:w="4769" w:type="dxa"/>
            <w:noWrap/>
            <w:hideMark/>
          </w:tcPr>
          <w:p w14:paraId="68E56696" w14:textId="77777777" w:rsidR="00285F19" w:rsidRPr="00224BEC" w:rsidRDefault="00285F19" w:rsidP="006129E3">
            <w:pPr>
              <w:pStyle w:val="Tabletext"/>
              <w:rPr>
                <w:lang w:eastAsia="en-AU"/>
              </w:rPr>
            </w:pPr>
            <w:r w:rsidRPr="00224BEC">
              <w:rPr>
                <w:lang w:eastAsia="en-AU"/>
              </w:rPr>
              <w:t>Administrative and Support Services</w:t>
            </w:r>
          </w:p>
        </w:tc>
        <w:tc>
          <w:tcPr>
            <w:tcW w:w="1025" w:type="dxa"/>
            <w:noWrap/>
            <w:hideMark/>
          </w:tcPr>
          <w:p w14:paraId="439D6A93" w14:textId="77777777" w:rsidR="00285F19" w:rsidRPr="00224BEC" w:rsidRDefault="00285F19" w:rsidP="006129E3">
            <w:pPr>
              <w:pStyle w:val="Tabletext"/>
              <w:jc w:val="right"/>
              <w:rPr>
                <w:lang w:eastAsia="en-AU"/>
              </w:rPr>
            </w:pPr>
            <w:r w:rsidRPr="00224BEC">
              <w:rPr>
                <w:lang w:eastAsia="en-AU"/>
              </w:rPr>
              <w:t>6.3</w:t>
            </w:r>
          </w:p>
        </w:tc>
        <w:tc>
          <w:tcPr>
            <w:tcW w:w="1025" w:type="dxa"/>
            <w:noWrap/>
            <w:hideMark/>
          </w:tcPr>
          <w:p w14:paraId="090E5A54" w14:textId="77777777" w:rsidR="00285F19" w:rsidRPr="00224BEC" w:rsidRDefault="00285F19" w:rsidP="006129E3">
            <w:pPr>
              <w:pStyle w:val="Tabletext"/>
              <w:jc w:val="right"/>
              <w:rPr>
                <w:lang w:eastAsia="en-AU"/>
              </w:rPr>
            </w:pPr>
            <w:r w:rsidRPr="00224BEC">
              <w:rPr>
                <w:lang w:eastAsia="en-AU"/>
              </w:rPr>
              <w:t>5.6</w:t>
            </w:r>
          </w:p>
        </w:tc>
        <w:tc>
          <w:tcPr>
            <w:tcW w:w="1026" w:type="dxa"/>
            <w:noWrap/>
            <w:hideMark/>
          </w:tcPr>
          <w:p w14:paraId="06AC0297" w14:textId="77777777" w:rsidR="00285F19" w:rsidRPr="00224BEC" w:rsidRDefault="00285F19" w:rsidP="006129E3">
            <w:pPr>
              <w:pStyle w:val="Tabletext"/>
              <w:jc w:val="right"/>
              <w:rPr>
                <w:lang w:eastAsia="en-AU"/>
              </w:rPr>
            </w:pPr>
            <w:r w:rsidRPr="00224BEC">
              <w:rPr>
                <w:lang w:eastAsia="en-AU"/>
              </w:rPr>
              <w:t>5.4</w:t>
            </w:r>
          </w:p>
        </w:tc>
        <w:tc>
          <w:tcPr>
            <w:tcW w:w="1026" w:type="dxa"/>
            <w:noWrap/>
            <w:hideMark/>
          </w:tcPr>
          <w:p w14:paraId="0FEC0591" w14:textId="77777777" w:rsidR="00285F19" w:rsidRPr="00224BEC" w:rsidRDefault="00285F19" w:rsidP="006129E3">
            <w:pPr>
              <w:pStyle w:val="Tabletext"/>
              <w:jc w:val="right"/>
              <w:rPr>
                <w:lang w:eastAsia="en-AU"/>
              </w:rPr>
            </w:pPr>
            <w:r w:rsidRPr="00224BEC">
              <w:rPr>
                <w:lang w:eastAsia="en-AU"/>
              </w:rPr>
              <w:t>5.1</w:t>
            </w:r>
          </w:p>
        </w:tc>
        <w:tc>
          <w:tcPr>
            <w:tcW w:w="1026" w:type="dxa"/>
            <w:noWrap/>
            <w:hideMark/>
          </w:tcPr>
          <w:p w14:paraId="6C9E53AE" w14:textId="77777777" w:rsidR="00285F19" w:rsidRPr="00224BEC" w:rsidRDefault="00285F19" w:rsidP="006129E3">
            <w:pPr>
              <w:pStyle w:val="Tabletext"/>
              <w:jc w:val="right"/>
              <w:rPr>
                <w:lang w:eastAsia="en-AU"/>
              </w:rPr>
            </w:pPr>
            <w:r w:rsidRPr="00224BEC">
              <w:rPr>
                <w:lang w:eastAsia="en-AU"/>
              </w:rPr>
              <w:t>5.6</w:t>
            </w:r>
          </w:p>
        </w:tc>
        <w:tc>
          <w:tcPr>
            <w:tcW w:w="1026" w:type="dxa"/>
            <w:noWrap/>
            <w:hideMark/>
          </w:tcPr>
          <w:p w14:paraId="10FD2968" w14:textId="77777777" w:rsidR="00285F19" w:rsidRPr="00224BEC" w:rsidRDefault="00285F19" w:rsidP="006129E3">
            <w:pPr>
              <w:pStyle w:val="Tabletext"/>
              <w:jc w:val="right"/>
              <w:rPr>
                <w:lang w:eastAsia="en-AU"/>
              </w:rPr>
            </w:pPr>
            <w:r w:rsidRPr="00224BEC">
              <w:rPr>
                <w:lang w:eastAsia="en-AU"/>
              </w:rPr>
              <w:t>6.0</w:t>
            </w:r>
          </w:p>
        </w:tc>
        <w:tc>
          <w:tcPr>
            <w:tcW w:w="1026" w:type="dxa"/>
            <w:noWrap/>
            <w:hideMark/>
          </w:tcPr>
          <w:p w14:paraId="5B2A4389" w14:textId="77777777" w:rsidR="00285F19" w:rsidRPr="00224BEC" w:rsidRDefault="00285F19" w:rsidP="006129E3">
            <w:pPr>
              <w:pStyle w:val="Tabletext"/>
              <w:jc w:val="right"/>
              <w:rPr>
                <w:lang w:eastAsia="en-AU"/>
              </w:rPr>
            </w:pPr>
            <w:r w:rsidRPr="00224BEC">
              <w:rPr>
                <w:lang w:eastAsia="en-AU"/>
              </w:rPr>
              <w:t>5.5</w:t>
            </w:r>
          </w:p>
        </w:tc>
        <w:tc>
          <w:tcPr>
            <w:tcW w:w="1026" w:type="dxa"/>
            <w:noWrap/>
            <w:hideMark/>
          </w:tcPr>
          <w:p w14:paraId="7F6DC6EB" w14:textId="77777777" w:rsidR="00285F19" w:rsidRPr="00224BEC" w:rsidRDefault="00285F19" w:rsidP="006129E3">
            <w:pPr>
              <w:pStyle w:val="Tabletext"/>
              <w:jc w:val="right"/>
              <w:rPr>
                <w:lang w:eastAsia="en-AU"/>
              </w:rPr>
            </w:pPr>
            <w:r w:rsidRPr="00224BEC">
              <w:rPr>
                <w:lang w:eastAsia="en-AU"/>
              </w:rPr>
              <w:t>5.7</w:t>
            </w:r>
          </w:p>
        </w:tc>
        <w:tc>
          <w:tcPr>
            <w:tcW w:w="1026" w:type="dxa"/>
            <w:noWrap/>
            <w:hideMark/>
          </w:tcPr>
          <w:p w14:paraId="317511A5" w14:textId="77777777" w:rsidR="00285F19" w:rsidRPr="00224BEC" w:rsidRDefault="00285F19" w:rsidP="006129E3">
            <w:pPr>
              <w:pStyle w:val="Tabletext"/>
              <w:jc w:val="right"/>
              <w:rPr>
                <w:lang w:eastAsia="en-AU"/>
              </w:rPr>
            </w:pPr>
            <w:r w:rsidRPr="00224BEC">
              <w:rPr>
                <w:lang w:eastAsia="en-AU"/>
              </w:rPr>
              <w:t>5.4</w:t>
            </w:r>
          </w:p>
        </w:tc>
      </w:tr>
      <w:tr w:rsidR="00285F19" w:rsidRPr="00224BEC" w14:paraId="1FD0AA65" w14:textId="77777777" w:rsidTr="006129E3">
        <w:trPr>
          <w:cnfStyle w:val="000000100000" w:firstRow="0" w:lastRow="0" w:firstColumn="0" w:lastColumn="0" w:oddVBand="0" w:evenVBand="0" w:oddHBand="1" w:evenHBand="0" w:firstRowFirstColumn="0" w:firstRowLastColumn="0" w:lastRowFirstColumn="0" w:lastRowLastColumn="0"/>
          <w:trHeight w:val="279"/>
        </w:trPr>
        <w:tc>
          <w:tcPr>
            <w:tcW w:w="4769" w:type="dxa"/>
            <w:noWrap/>
            <w:hideMark/>
          </w:tcPr>
          <w:p w14:paraId="7A126D3E" w14:textId="77777777" w:rsidR="00285F19" w:rsidRPr="00224BEC" w:rsidRDefault="00285F19" w:rsidP="006129E3">
            <w:pPr>
              <w:pStyle w:val="Tabletext"/>
              <w:rPr>
                <w:lang w:eastAsia="en-AU"/>
              </w:rPr>
            </w:pPr>
            <w:r w:rsidRPr="00224BEC">
              <w:rPr>
                <w:lang w:eastAsia="en-AU"/>
              </w:rPr>
              <w:t>Public Administration and Safety</w:t>
            </w:r>
          </w:p>
        </w:tc>
        <w:tc>
          <w:tcPr>
            <w:tcW w:w="1025" w:type="dxa"/>
            <w:noWrap/>
            <w:hideMark/>
          </w:tcPr>
          <w:p w14:paraId="2FF5E36D" w14:textId="77777777" w:rsidR="00285F19" w:rsidRPr="00224BEC" w:rsidRDefault="00285F19" w:rsidP="006129E3">
            <w:pPr>
              <w:pStyle w:val="Tabletext"/>
              <w:jc w:val="right"/>
              <w:rPr>
                <w:lang w:eastAsia="en-AU"/>
              </w:rPr>
            </w:pPr>
            <w:r w:rsidRPr="00224BEC">
              <w:rPr>
                <w:lang w:eastAsia="en-AU"/>
              </w:rPr>
              <w:t>0.3</w:t>
            </w:r>
          </w:p>
        </w:tc>
        <w:tc>
          <w:tcPr>
            <w:tcW w:w="1025" w:type="dxa"/>
            <w:noWrap/>
            <w:hideMark/>
          </w:tcPr>
          <w:p w14:paraId="0722A8D7" w14:textId="77777777" w:rsidR="00285F19" w:rsidRPr="00224BEC" w:rsidRDefault="00285F19" w:rsidP="006129E3">
            <w:pPr>
              <w:pStyle w:val="Tabletext"/>
              <w:jc w:val="right"/>
              <w:rPr>
                <w:lang w:eastAsia="en-AU"/>
              </w:rPr>
            </w:pPr>
            <w:r w:rsidRPr="00224BEC">
              <w:rPr>
                <w:lang w:eastAsia="en-AU"/>
              </w:rPr>
              <w:t>NA</w:t>
            </w:r>
          </w:p>
        </w:tc>
        <w:tc>
          <w:tcPr>
            <w:tcW w:w="1026" w:type="dxa"/>
            <w:noWrap/>
            <w:hideMark/>
          </w:tcPr>
          <w:p w14:paraId="57B3E438" w14:textId="77777777" w:rsidR="00285F19" w:rsidRPr="00224BEC" w:rsidRDefault="00285F19" w:rsidP="006129E3">
            <w:pPr>
              <w:pStyle w:val="Tabletext"/>
              <w:jc w:val="right"/>
              <w:rPr>
                <w:lang w:eastAsia="en-AU"/>
              </w:rPr>
            </w:pPr>
            <w:r w:rsidRPr="00224BEC">
              <w:rPr>
                <w:lang w:eastAsia="en-AU"/>
              </w:rPr>
              <w:t>0.4</w:t>
            </w:r>
          </w:p>
        </w:tc>
        <w:tc>
          <w:tcPr>
            <w:tcW w:w="1026" w:type="dxa"/>
            <w:noWrap/>
            <w:hideMark/>
          </w:tcPr>
          <w:p w14:paraId="2B472750" w14:textId="77777777" w:rsidR="00285F19" w:rsidRPr="00224BEC" w:rsidRDefault="00285F19" w:rsidP="006129E3">
            <w:pPr>
              <w:pStyle w:val="Tabletext"/>
              <w:jc w:val="right"/>
              <w:rPr>
                <w:lang w:eastAsia="en-AU"/>
              </w:rPr>
            </w:pPr>
            <w:r w:rsidRPr="00224BEC">
              <w:rPr>
                <w:lang w:eastAsia="en-AU"/>
              </w:rPr>
              <w:t>0.5</w:t>
            </w:r>
          </w:p>
        </w:tc>
        <w:tc>
          <w:tcPr>
            <w:tcW w:w="1026" w:type="dxa"/>
            <w:noWrap/>
            <w:hideMark/>
          </w:tcPr>
          <w:p w14:paraId="63BC0246" w14:textId="77777777" w:rsidR="00285F19" w:rsidRPr="00224BEC" w:rsidRDefault="00285F19" w:rsidP="006129E3">
            <w:pPr>
              <w:pStyle w:val="Tabletext"/>
              <w:jc w:val="right"/>
              <w:rPr>
                <w:lang w:eastAsia="en-AU"/>
              </w:rPr>
            </w:pPr>
            <w:r w:rsidRPr="00224BEC">
              <w:rPr>
                <w:lang w:eastAsia="en-AU"/>
              </w:rPr>
              <w:t>0.6</w:t>
            </w:r>
          </w:p>
        </w:tc>
        <w:tc>
          <w:tcPr>
            <w:tcW w:w="1026" w:type="dxa"/>
            <w:noWrap/>
            <w:hideMark/>
          </w:tcPr>
          <w:p w14:paraId="3EB02BF2" w14:textId="77777777" w:rsidR="00285F19" w:rsidRPr="00224BEC" w:rsidRDefault="00285F19" w:rsidP="006129E3">
            <w:pPr>
              <w:pStyle w:val="Tabletext"/>
              <w:jc w:val="right"/>
              <w:rPr>
                <w:lang w:eastAsia="en-AU"/>
              </w:rPr>
            </w:pPr>
            <w:r w:rsidRPr="00224BEC">
              <w:rPr>
                <w:lang w:eastAsia="en-AU"/>
              </w:rPr>
              <w:t>0.4</w:t>
            </w:r>
          </w:p>
        </w:tc>
        <w:tc>
          <w:tcPr>
            <w:tcW w:w="1026" w:type="dxa"/>
            <w:noWrap/>
            <w:hideMark/>
          </w:tcPr>
          <w:p w14:paraId="0792A7B4" w14:textId="77777777" w:rsidR="00285F19" w:rsidRPr="00224BEC" w:rsidRDefault="00285F19" w:rsidP="006129E3">
            <w:pPr>
              <w:pStyle w:val="Tabletext"/>
              <w:jc w:val="right"/>
              <w:rPr>
                <w:lang w:eastAsia="en-AU"/>
              </w:rPr>
            </w:pPr>
            <w:r w:rsidRPr="00224BEC">
              <w:rPr>
                <w:lang w:eastAsia="en-AU"/>
              </w:rPr>
              <w:t>0.5</w:t>
            </w:r>
          </w:p>
        </w:tc>
        <w:tc>
          <w:tcPr>
            <w:tcW w:w="1026" w:type="dxa"/>
            <w:noWrap/>
            <w:hideMark/>
          </w:tcPr>
          <w:p w14:paraId="20384E21" w14:textId="77777777" w:rsidR="00285F19" w:rsidRPr="00224BEC" w:rsidRDefault="00285F19" w:rsidP="006129E3">
            <w:pPr>
              <w:pStyle w:val="Tabletext"/>
              <w:jc w:val="right"/>
              <w:rPr>
                <w:lang w:eastAsia="en-AU"/>
              </w:rPr>
            </w:pPr>
            <w:r w:rsidRPr="00224BEC">
              <w:rPr>
                <w:lang w:eastAsia="en-AU"/>
              </w:rPr>
              <w:t>0.5</w:t>
            </w:r>
          </w:p>
        </w:tc>
        <w:tc>
          <w:tcPr>
            <w:tcW w:w="1026" w:type="dxa"/>
            <w:noWrap/>
            <w:hideMark/>
          </w:tcPr>
          <w:p w14:paraId="2B1A0222" w14:textId="77777777" w:rsidR="00285F19" w:rsidRPr="00224BEC" w:rsidRDefault="00285F19" w:rsidP="006129E3">
            <w:pPr>
              <w:pStyle w:val="Tabletext"/>
              <w:jc w:val="right"/>
              <w:rPr>
                <w:lang w:eastAsia="en-AU"/>
              </w:rPr>
            </w:pPr>
            <w:r w:rsidRPr="00224BEC">
              <w:rPr>
                <w:lang w:eastAsia="en-AU"/>
              </w:rPr>
              <w:t>0.4</w:t>
            </w:r>
          </w:p>
        </w:tc>
      </w:tr>
      <w:tr w:rsidR="00285F19" w:rsidRPr="00224BEC" w14:paraId="15F4A9D2" w14:textId="77777777" w:rsidTr="006129E3">
        <w:trPr>
          <w:cnfStyle w:val="000000010000" w:firstRow="0" w:lastRow="0" w:firstColumn="0" w:lastColumn="0" w:oddVBand="0" w:evenVBand="0" w:oddHBand="0" w:evenHBand="1" w:firstRowFirstColumn="0" w:firstRowLastColumn="0" w:lastRowFirstColumn="0" w:lastRowLastColumn="0"/>
          <w:trHeight w:val="279"/>
        </w:trPr>
        <w:tc>
          <w:tcPr>
            <w:tcW w:w="4769" w:type="dxa"/>
            <w:noWrap/>
            <w:hideMark/>
          </w:tcPr>
          <w:p w14:paraId="2325A894" w14:textId="77777777" w:rsidR="00285F19" w:rsidRPr="00224BEC" w:rsidRDefault="00285F19" w:rsidP="006129E3">
            <w:pPr>
              <w:pStyle w:val="Tabletext"/>
              <w:rPr>
                <w:lang w:eastAsia="en-AU"/>
              </w:rPr>
            </w:pPr>
            <w:r w:rsidRPr="00224BEC">
              <w:rPr>
                <w:lang w:eastAsia="en-AU"/>
              </w:rPr>
              <w:t>Education and Training</w:t>
            </w:r>
          </w:p>
        </w:tc>
        <w:tc>
          <w:tcPr>
            <w:tcW w:w="1025" w:type="dxa"/>
            <w:noWrap/>
            <w:hideMark/>
          </w:tcPr>
          <w:p w14:paraId="76C0FEF8" w14:textId="77777777" w:rsidR="00285F19" w:rsidRPr="00224BEC" w:rsidRDefault="00285F19" w:rsidP="006129E3">
            <w:pPr>
              <w:pStyle w:val="Tabletext"/>
              <w:jc w:val="right"/>
              <w:rPr>
                <w:lang w:eastAsia="en-AU"/>
              </w:rPr>
            </w:pPr>
            <w:r w:rsidRPr="00224BEC">
              <w:rPr>
                <w:lang w:eastAsia="en-AU"/>
              </w:rPr>
              <w:t>3.4</w:t>
            </w:r>
          </w:p>
        </w:tc>
        <w:tc>
          <w:tcPr>
            <w:tcW w:w="1025" w:type="dxa"/>
            <w:noWrap/>
            <w:hideMark/>
          </w:tcPr>
          <w:p w14:paraId="65025BB0" w14:textId="77777777" w:rsidR="00285F19" w:rsidRPr="00224BEC" w:rsidRDefault="00285F19" w:rsidP="006129E3">
            <w:pPr>
              <w:pStyle w:val="Tabletext"/>
              <w:jc w:val="right"/>
              <w:rPr>
                <w:lang w:eastAsia="en-AU"/>
              </w:rPr>
            </w:pPr>
            <w:r w:rsidRPr="00224BEC">
              <w:rPr>
                <w:lang w:eastAsia="en-AU"/>
              </w:rPr>
              <w:t>2.8</w:t>
            </w:r>
          </w:p>
        </w:tc>
        <w:tc>
          <w:tcPr>
            <w:tcW w:w="1026" w:type="dxa"/>
            <w:noWrap/>
            <w:hideMark/>
          </w:tcPr>
          <w:p w14:paraId="268468D9" w14:textId="77777777" w:rsidR="00285F19" w:rsidRPr="00224BEC" w:rsidRDefault="00285F19" w:rsidP="006129E3">
            <w:pPr>
              <w:pStyle w:val="Tabletext"/>
              <w:jc w:val="right"/>
              <w:rPr>
                <w:lang w:eastAsia="en-AU"/>
              </w:rPr>
            </w:pPr>
            <w:r w:rsidRPr="00224BEC">
              <w:rPr>
                <w:lang w:eastAsia="en-AU"/>
              </w:rPr>
              <w:t>3.0</w:t>
            </w:r>
          </w:p>
        </w:tc>
        <w:tc>
          <w:tcPr>
            <w:tcW w:w="1026" w:type="dxa"/>
            <w:noWrap/>
            <w:hideMark/>
          </w:tcPr>
          <w:p w14:paraId="40B7149D" w14:textId="77777777" w:rsidR="00285F19" w:rsidRPr="00224BEC" w:rsidRDefault="00285F19" w:rsidP="006129E3">
            <w:pPr>
              <w:pStyle w:val="Tabletext"/>
              <w:jc w:val="right"/>
              <w:rPr>
                <w:lang w:eastAsia="en-AU"/>
              </w:rPr>
            </w:pPr>
            <w:r w:rsidRPr="00224BEC">
              <w:rPr>
                <w:lang w:eastAsia="en-AU"/>
              </w:rPr>
              <w:t>3.1</w:t>
            </w:r>
          </w:p>
        </w:tc>
        <w:tc>
          <w:tcPr>
            <w:tcW w:w="1026" w:type="dxa"/>
            <w:noWrap/>
            <w:hideMark/>
          </w:tcPr>
          <w:p w14:paraId="4A9EA553" w14:textId="77777777" w:rsidR="00285F19" w:rsidRPr="00224BEC" w:rsidRDefault="00285F19" w:rsidP="006129E3">
            <w:pPr>
              <w:pStyle w:val="Tabletext"/>
              <w:jc w:val="right"/>
              <w:rPr>
                <w:lang w:eastAsia="en-AU"/>
              </w:rPr>
            </w:pPr>
            <w:r w:rsidRPr="00224BEC">
              <w:rPr>
                <w:lang w:eastAsia="en-AU"/>
              </w:rPr>
              <w:t>4.0</w:t>
            </w:r>
          </w:p>
        </w:tc>
        <w:tc>
          <w:tcPr>
            <w:tcW w:w="1026" w:type="dxa"/>
            <w:noWrap/>
            <w:hideMark/>
          </w:tcPr>
          <w:p w14:paraId="43393645" w14:textId="77777777" w:rsidR="00285F19" w:rsidRPr="00224BEC" w:rsidRDefault="00285F19" w:rsidP="006129E3">
            <w:pPr>
              <w:pStyle w:val="Tabletext"/>
              <w:jc w:val="right"/>
              <w:rPr>
                <w:lang w:eastAsia="en-AU"/>
              </w:rPr>
            </w:pPr>
            <w:r w:rsidRPr="00224BEC">
              <w:rPr>
                <w:lang w:eastAsia="en-AU"/>
              </w:rPr>
              <w:t>3.6</w:t>
            </w:r>
          </w:p>
        </w:tc>
        <w:tc>
          <w:tcPr>
            <w:tcW w:w="1026" w:type="dxa"/>
            <w:noWrap/>
            <w:hideMark/>
          </w:tcPr>
          <w:p w14:paraId="04E3DC19" w14:textId="77777777" w:rsidR="00285F19" w:rsidRPr="00224BEC" w:rsidRDefault="00285F19" w:rsidP="006129E3">
            <w:pPr>
              <w:pStyle w:val="Tabletext"/>
              <w:jc w:val="right"/>
              <w:rPr>
                <w:lang w:eastAsia="en-AU"/>
              </w:rPr>
            </w:pPr>
            <w:r w:rsidRPr="00224BEC">
              <w:rPr>
                <w:lang w:eastAsia="en-AU"/>
              </w:rPr>
              <w:t>3.0</w:t>
            </w:r>
          </w:p>
        </w:tc>
        <w:tc>
          <w:tcPr>
            <w:tcW w:w="1026" w:type="dxa"/>
            <w:noWrap/>
            <w:hideMark/>
          </w:tcPr>
          <w:p w14:paraId="347F5531" w14:textId="77777777" w:rsidR="00285F19" w:rsidRPr="00224BEC" w:rsidRDefault="00285F19" w:rsidP="006129E3">
            <w:pPr>
              <w:pStyle w:val="Tabletext"/>
              <w:jc w:val="right"/>
              <w:rPr>
                <w:lang w:eastAsia="en-AU"/>
              </w:rPr>
            </w:pPr>
            <w:r w:rsidRPr="00224BEC">
              <w:rPr>
                <w:lang w:eastAsia="en-AU"/>
              </w:rPr>
              <w:t>2.8</w:t>
            </w:r>
          </w:p>
        </w:tc>
        <w:tc>
          <w:tcPr>
            <w:tcW w:w="1026" w:type="dxa"/>
            <w:noWrap/>
            <w:hideMark/>
          </w:tcPr>
          <w:p w14:paraId="13F415CA" w14:textId="77777777" w:rsidR="00285F19" w:rsidRPr="00224BEC" w:rsidRDefault="00285F19" w:rsidP="006129E3">
            <w:pPr>
              <w:pStyle w:val="Tabletext"/>
              <w:jc w:val="right"/>
              <w:rPr>
                <w:lang w:eastAsia="en-AU"/>
              </w:rPr>
            </w:pPr>
            <w:r w:rsidRPr="00224BEC">
              <w:rPr>
                <w:lang w:eastAsia="en-AU"/>
              </w:rPr>
              <w:t>2.6</w:t>
            </w:r>
          </w:p>
        </w:tc>
      </w:tr>
      <w:tr w:rsidR="00285F19" w:rsidRPr="00224BEC" w14:paraId="2A560CC6" w14:textId="77777777" w:rsidTr="006129E3">
        <w:trPr>
          <w:cnfStyle w:val="000000100000" w:firstRow="0" w:lastRow="0" w:firstColumn="0" w:lastColumn="0" w:oddVBand="0" w:evenVBand="0" w:oddHBand="1" w:evenHBand="0" w:firstRowFirstColumn="0" w:firstRowLastColumn="0" w:lastRowFirstColumn="0" w:lastRowLastColumn="0"/>
          <w:trHeight w:val="279"/>
        </w:trPr>
        <w:tc>
          <w:tcPr>
            <w:tcW w:w="4769" w:type="dxa"/>
            <w:noWrap/>
            <w:hideMark/>
          </w:tcPr>
          <w:p w14:paraId="6623A30C" w14:textId="77777777" w:rsidR="00285F19" w:rsidRPr="00224BEC" w:rsidRDefault="00285F19" w:rsidP="006129E3">
            <w:pPr>
              <w:pStyle w:val="Tabletext"/>
              <w:rPr>
                <w:lang w:eastAsia="en-AU"/>
              </w:rPr>
            </w:pPr>
            <w:r w:rsidRPr="00224BEC">
              <w:rPr>
                <w:lang w:eastAsia="en-AU"/>
              </w:rPr>
              <w:t>Health Care and Social Assistance</w:t>
            </w:r>
          </w:p>
        </w:tc>
        <w:tc>
          <w:tcPr>
            <w:tcW w:w="1025" w:type="dxa"/>
            <w:noWrap/>
            <w:hideMark/>
          </w:tcPr>
          <w:p w14:paraId="0032E153" w14:textId="77777777" w:rsidR="00285F19" w:rsidRPr="00224BEC" w:rsidRDefault="00285F19" w:rsidP="006129E3">
            <w:pPr>
              <w:pStyle w:val="Tabletext"/>
              <w:jc w:val="right"/>
              <w:rPr>
                <w:lang w:eastAsia="en-AU"/>
              </w:rPr>
            </w:pPr>
            <w:r w:rsidRPr="00224BEC">
              <w:rPr>
                <w:lang w:eastAsia="en-AU"/>
              </w:rPr>
              <w:t>3.8</w:t>
            </w:r>
          </w:p>
        </w:tc>
        <w:tc>
          <w:tcPr>
            <w:tcW w:w="1025" w:type="dxa"/>
            <w:noWrap/>
            <w:hideMark/>
          </w:tcPr>
          <w:p w14:paraId="3AFAD816" w14:textId="77777777" w:rsidR="00285F19" w:rsidRPr="00224BEC" w:rsidRDefault="00285F19" w:rsidP="006129E3">
            <w:pPr>
              <w:pStyle w:val="Tabletext"/>
              <w:jc w:val="right"/>
              <w:rPr>
                <w:lang w:eastAsia="en-AU"/>
              </w:rPr>
            </w:pPr>
            <w:r w:rsidRPr="00224BEC">
              <w:rPr>
                <w:lang w:eastAsia="en-AU"/>
              </w:rPr>
              <w:t>4.2</w:t>
            </w:r>
          </w:p>
        </w:tc>
        <w:tc>
          <w:tcPr>
            <w:tcW w:w="1026" w:type="dxa"/>
            <w:noWrap/>
            <w:hideMark/>
          </w:tcPr>
          <w:p w14:paraId="4440A0E8" w14:textId="77777777" w:rsidR="00285F19" w:rsidRPr="00224BEC" w:rsidRDefault="00285F19" w:rsidP="006129E3">
            <w:pPr>
              <w:pStyle w:val="Tabletext"/>
              <w:jc w:val="right"/>
              <w:rPr>
                <w:lang w:eastAsia="en-AU"/>
              </w:rPr>
            </w:pPr>
            <w:r w:rsidRPr="00224BEC">
              <w:rPr>
                <w:lang w:eastAsia="en-AU"/>
              </w:rPr>
              <w:t>4.3</w:t>
            </w:r>
          </w:p>
        </w:tc>
        <w:tc>
          <w:tcPr>
            <w:tcW w:w="1026" w:type="dxa"/>
            <w:noWrap/>
            <w:hideMark/>
          </w:tcPr>
          <w:p w14:paraId="7E69AF22" w14:textId="77777777" w:rsidR="00285F19" w:rsidRPr="00224BEC" w:rsidRDefault="00285F19" w:rsidP="006129E3">
            <w:pPr>
              <w:pStyle w:val="Tabletext"/>
              <w:jc w:val="right"/>
              <w:rPr>
                <w:lang w:eastAsia="en-AU"/>
              </w:rPr>
            </w:pPr>
            <w:r w:rsidRPr="00224BEC">
              <w:rPr>
                <w:lang w:eastAsia="en-AU"/>
              </w:rPr>
              <w:t>4.7</w:t>
            </w:r>
          </w:p>
        </w:tc>
        <w:tc>
          <w:tcPr>
            <w:tcW w:w="1026" w:type="dxa"/>
            <w:noWrap/>
            <w:hideMark/>
          </w:tcPr>
          <w:p w14:paraId="377096CD" w14:textId="77777777" w:rsidR="00285F19" w:rsidRPr="00224BEC" w:rsidRDefault="00285F19" w:rsidP="006129E3">
            <w:pPr>
              <w:pStyle w:val="Tabletext"/>
              <w:jc w:val="right"/>
              <w:rPr>
                <w:lang w:eastAsia="en-AU"/>
              </w:rPr>
            </w:pPr>
            <w:r w:rsidRPr="00224BEC">
              <w:rPr>
                <w:lang w:eastAsia="en-AU"/>
              </w:rPr>
              <w:t>6.6</w:t>
            </w:r>
          </w:p>
        </w:tc>
        <w:tc>
          <w:tcPr>
            <w:tcW w:w="1026" w:type="dxa"/>
            <w:noWrap/>
            <w:hideMark/>
          </w:tcPr>
          <w:p w14:paraId="7555FC3A" w14:textId="77777777" w:rsidR="00285F19" w:rsidRPr="00224BEC" w:rsidRDefault="00285F19" w:rsidP="006129E3">
            <w:pPr>
              <w:pStyle w:val="Tabletext"/>
              <w:jc w:val="right"/>
              <w:rPr>
                <w:lang w:eastAsia="en-AU"/>
              </w:rPr>
            </w:pPr>
            <w:r w:rsidRPr="00224BEC">
              <w:rPr>
                <w:lang w:eastAsia="en-AU"/>
              </w:rPr>
              <w:t>6.3</w:t>
            </w:r>
          </w:p>
        </w:tc>
        <w:tc>
          <w:tcPr>
            <w:tcW w:w="1026" w:type="dxa"/>
            <w:noWrap/>
            <w:hideMark/>
          </w:tcPr>
          <w:p w14:paraId="7EBA4164" w14:textId="77777777" w:rsidR="00285F19" w:rsidRPr="00224BEC" w:rsidRDefault="00285F19" w:rsidP="006129E3">
            <w:pPr>
              <w:pStyle w:val="Tabletext"/>
              <w:jc w:val="right"/>
              <w:rPr>
                <w:lang w:eastAsia="en-AU"/>
              </w:rPr>
            </w:pPr>
            <w:r w:rsidRPr="00224BEC">
              <w:rPr>
                <w:lang w:eastAsia="en-AU"/>
              </w:rPr>
              <w:t>5.3</w:t>
            </w:r>
          </w:p>
        </w:tc>
        <w:tc>
          <w:tcPr>
            <w:tcW w:w="1026" w:type="dxa"/>
            <w:noWrap/>
            <w:hideMark/>
          </w:tcPr>
          <w:p w14:paraId="4A6B9123" w14:textId="77777777" w:rsidR="00285F19" w:rsidRPr="00224BEC" w:rsidRDefault="00285F19" w:rsidP="006129E3">
            <w:pPr>
              <w:pStyle w:val="Tabletext"/>
              <w:jc w:val="right"/>
              <w:rPr>
                <w:lang w:eastAsia="en-AU"/>
              </w:rPr>
            </w:pPr>
            <w:r w:rsidRPr="00224BEC">
              <w:rPr>
                <w:lang w:eastAsia="en-AU"/>
              </w:rPr>
              <w:t>5.4</w:t>
            </w:r>
          </w:p>
        </w:tc>
        <w:tc>
          <w:tcPr>
            <w:tcW w:w="1026" w:type="dxa"/>
            <w:noWrap/>
            <w:hideMark/>
          </w:tcPr>
          <w:p w14:paraId="1BABD6A4" w14:textId="77777777" w:rsidR="00285F19" w:rsidRPr="00224BEC" w:rsidRDefault="00285F19" w:rsidP="006129E3">
            <w:pPr>
              <w:pStyle w:val="Tabletext"/>
              <w:jc w:val="right"/>
              <w:rPr>
                <w:lang w:eastAsia="en-AU"/>
              </w:rPr>
            </w:pPr>
            <w:r w:rsidRPr="00224BEC">
              <w:rPr>
                <w:lang w:eastAsia="en-AU"/>
              </w:rPr>
              <w:t>5.6</w:t>
            </w:r>
          </w:p>
        </w:tc>
      </w:tr>
      <w:tr w:rsidR="00285F19" w:rsidRPr="00224BEC" w14:paraId="774F0331" w14:textId="77777777" w:rsidTr="006129E3">
        <w:trPr>
          <w:cnfStyle w:val="000000010000" w:firstRow="0" w:lastRow="0" w:firstColumn="0" w:lastColumn="0" w:oddVBand="0" w:evenVBand="0" w:oddHBand="0" w:evenHBand="1" w:firstRowFirstColumn="0" w:firstRowLastColumn="0" w:lastRowFirstColumn="0" w:lastRowLastColumn="0"/>
          <w:trHeight w:val="279"/>
        </w:trPr>
        <w:tc>
          <w:tcPr>
            <w:tcW w:w="4769" w:type="dxa"/>
            <w:noWrap/>
            <w:hideMark/>
          </w:tcPr>
          <w:p w14:paraId="4234CE70" w14:textId="77777777" w:rsidR="00285F19" w:rsidRPr="00224BEC" w:rsidRDefault="00285F19" w:rsidP="006129E3">
            <w:pPr>
              <w:pStyle w:val="Tabletext"/>
              <w:rPr>
                <w:lang w:eastAsia="en-AU"/>
              </w:rPr>
            </w:pPr>
            <w:r w:rsidRPr="00224BEC">
              <w:rPr>
                <w:lang w:eastAsia="en-AU"/>
              </w:rPr>
              <w:t>Arts and Recreation Services</w:t>
            </w:r>
          </w:p>
        </w:tc>
        <w:tc>
          <w:tcPr>
            <w:tcW w:w="1025" w:type="dxa"/>
            <w:noWrap/>
            <w:hideMark/>
          </w:tcPr>
          <w:p w14:paraId="7EE0759A" w14:textId="77777777" w:rsidR="00285F19" w:rsidRPr="00224BEC" w:rsidRDefault="00285F19" w:rsidP="006129E3">
            <w:pPr>
              <w:pStyle w:val="Tabletext"/>
              <w:jc w:val="right"/>
              <w:rPr>
                <w:lang w:eastAsia="en-AU"/>
              </w:rPr>
            </w:pPr>
            <w:r w:rsidRPr="00224BEC">
              <w:rPr>
                <w:lang w:eastAsia="en-AU"/>
              </w:rPr>
              <w:t>1.2</w:t>
            </w:r>
          </w:p>
        </w:tc>
        <w:tc>
          <w:tcPr>
            <w:tcW w:w="1025" w:type="dxa"/>
            <w:noWrap/>
            <w:hideMark/>
          </w:tcPr>
          <w:p w14:paraId="040C89C3" w14:textId="77777777" w:rsidR="00285F19" w:rsidRPr="00224BEC" w:rsidRDefault="00285F19" w:rsidP="006129E3">
            <w:pPr>
              <w:pStyle w:val="Tabletext"/>
              <w:jc w:val="right"/>
              <w:rPr>
                <w:lang w:eastAsia="en-AU"/>
              </w:rPr>
            </w:pPr>
            <w:r w:rsidRPr="00224BEC">
              <w:rPr>
                <w:lang w:eastAsia="en-AU"/>
              </w:rPr>
              <w:t>1.2</w:t>
            </w:r>
          </w:p>
        </w:tc>
        <w:tc>
          <w:tcPr>
            <w:tcW w:w="1026" w:type="dxa"/>
            <w:noWrap/>
            <w:hideMark/>
          </w:tcPr>
          <w:p w14:paraId="700DB835" w14:textId="77777777" w:rsidR="00285F19" w:rsidRPr="00224BEC" w:rsidRDefault="00285F19" w:rsidP="006129E3">
            <w:pPr>
              <w:pStyle w:val="Tabletext"/>
              <w:jc w:val="right"/>
              <w:rPr>
                <w:lang w:eastAsia="en-AU"/>
              </w:rPr>
            </w:pPr>
            <w:r w:rsidRPr="00224BEC">
              <w:rPr>
                <w:lang w:eastAsia="en-AU"/>
              </w:rPr>
              <w:t>1.3</w:t>
            </w:r>
          </w:p>
        </w:tc>
        <w:tc>
          <w:tcPr>
            <w:tcW w:w="1026" w:type="dxa"/>
            <w:noWrap/>
            <w:hideMark/>
          </w:tcPr>
          <w:p w14:paraId="5960B633" w14:textId="77777777" w:rsidR="00285F19" w:rsidRPr="00224BEC" w:rsidRDefault="00285F19" w:rsidP="006129E3">
            <w:pPr>
              <w:pStyle w:val="Tabletext"/>
              <w:jc w:val="right"/>
              <w:rPr>
                <w:lang w:eastAsia="en-AU"/>
              </w:rPr>
            </w:pPr>
            <w:r w:rsidRPr="00224BEC">
              <w:rPr>
                <w:lang w:eastAsia="en-AU"/>
              </w:rPr>
              <w:t>1.1</w:t>
            </w:r>
          </w:p>
        </w:tc>
        <w:tc>
          <w:tcPr>
            <w:tcW w:w="1026" w:type="dxa"/>
            <w:noWrap/>
            <w:hideMark/>
          </w:tcPr>
          <w:p w14:paraId="6E3AA08F" w14:textId="77777777" w:rsidR="00285F19" w:rsidRPr="00224BEC" w:rsidRDefault="00285F19" w:rsidP="006129E3">
            <w:pPr>
              <w:pStyle w:val="Tabletext"/>
              <w:jc w:val="right"/>
              <w:rPr>
                <w:lang w:eastAsia="en-AU"/>
              </w:rPr>
            </w:pPr>
            <w:r w:rsidRPr="00224BEC">
              <w:rPr>
                <w:lang w:eastAsia="en-AU"/>
              </w:rPr>
              <w:t>1.4</w:t>
            </w:r>
          </w:p>
        </w:tc>
        <w:tc>
          <w:tcPr>
            <w:tcW w:w="1026" w:type="dxa"/>
            <w:noWrap/>
            <w:hideMark/>
          </w:tcPr>
          <w:p w14:paraId="5A2E8C94" w14:textId="77777777" w:rsidR="00285F19" w:rsidRPr="00224BEC" w:rsidRDefault="00285F19" w:rsidP="006129E3">
            <w:pPr>
              <w:pStyle w:val="Tabletext"/>
              <w:jc w:val="right"/>
              <w:rPr>
                <w:lang w:eastAsia="en-AU"/>
              </w:rPr>
            </w:pPr>
            <w:r w:rsidRPr="00224BEC">
              <w:rPr>
                <w:lang w:eastAsia="en-AU"/>
              </w:rPr>
              <w:t>1.5</w:t>
            </w:r>
          </w:p>
        </w:tc>
        <w:tc>
          <w:tcPr>
            <w:tcW w:w="1026" w:type="dxa"/>
            <w:noWrap/>
            <w:hideMark/>
          </w:tcPr>
          <w:p w14:paraId="46D3E2B5" w14:textId="77777777" w:rsidR="00285F19" w:rsidRPr="00224BEC" w:rsidRDefault="00285F19" w:rsidP="006129E3">
            <w:pPr>
              <w:pStyle w:val="Tabletext"/>
              <w:jc w:val="right"/>
              <w:rPr>
                <w:lang w:eastAsia="en-AU"/>
              </w:rPr>
            </w:pPr>
            <w:r w:rsidRPr="00224BEC">
              <w:rPr>
                <w:lang w:eastAsia="en-AU"/>
              </w:rPr>
              <w:t>1.4</w:t>
            </w:r>
          </w:p>
        </w:tc>
        <w:tc>
          <w:tcPr>
            <w:tcW w:w="1026" w:type="dxa"/>
            <w:noWrap/>
            <w:hideMark/>
          </w:tcPr>
          <w:p w14:paraId="49AD0488" w14:textId="77777777" w:rsidR="00285F19" w:rsidRPr="00224BEC" w:rsidRDefault="00285F19" w:rsidP="006129E3">
            <w:pPr>
              <w:pStyle w:val="Tabletext"/>
              <w:jc w:val="right"/>
              <w:rPr>
                <w:lang w:eastAsia="en-AU"/>
              </w:rPr>
            </w:pPr>
            <w:r w:rsidRPr="00224BEC">
              <w:rPr>
                <w:lang w:eastAsia="en-AU"/>
              </w:rPr>
              <w:t>1.1</w:t>
            </w:r>
          </w:p>
        </w:tc>
        <w:tc>
          <w:tcPr>
            <w:tcW w:w="1026" w:type="dxa"/>
            <w:noWrap/>
            <w:hideMark/>
          </w:tcPr>
          <w:p w14:paraId="0D93B9E3" w14:textId="77777777" w:rsidR="00285F19" w:rsidRPr="00224BEC" w:rsidRDefault="00285F19" w:rsidP="006129E3">
            <w:pPr>
              <w:pStyle w:val="Tabletext"/>
              <w:jc w:val="right"/>
              <w:rPr>
                <w:lang w:eastAsia="en-AU"/>
              </w:rPr>
            </w:pPr>
            <w:r w:rsidRPr="00224BEC">
              <w:rPr>
                <w:lang w:eastAsia="en-AU"/>
              </w:rPr>
              <w:t>1.3</w:t>
            </w:r>
          </w:p>
        </w:tc>
      </w:tr>
      <w:tr w:rsidR="00285F19" w:rsidRPr="00224BEC" w14:paraId="3F6BB2C7" w14:textId="77777777" w:rsidTr="006129E3">
        <w:trPr>
          <w:cnfStyle w:val="000000100000" w:firstRow="0" w:lastRow="0" w:firstColumn="0" w:lastColumn="0" w:oddVBand="0" w:evenVBand="0" w:oddHBand="1" w:evenHBand="0" w:firstRowFirstColumn="0" w:firstRowLastColumn="0" w:lastRowFirstColumn="0" w:lastRowLastColumn="0"/>
          <w:trHeight w:val="279"/>
        </w:trPr>
        <w:tc>
          <w:tcPr>
            <w:tcW w:w="4769" w:type="dxa"/>
            <w:noWrap/>
            <w:hideMark/>
          </w:tcPr>
          <w:p w14:paraId="2D3A64D0" w14:textId="77777777" w:rsidR="00285F19" w:rsidRPr="00224BEC" w:rsidRDefault="00285F19" w:rsidP="006129E3">
            <w:pPr>
              <w:pStyle w:val="Tabletext"/>
              <w:rPr>
                <w:lang w:eastAsia="en-AU"/>
              </w:rPr>
            </w:pPr>
            <w:r w:rsidRPr="00224BEC">
              <w:rPr>
                <w:lang w:eastAsia="en-AU"/>
              </w:rPr>
              <w:t>Other Services</w:t>
            </w:r>
          </w:p>
        </w:tc>
        <w:tc>
          <w:tcPr>
            <w:tcW w:w="1025" w:type="dxa"/>
            <w:noWrap/>
            <w:hideMark/>
          </w:tcPr>
          <w:p w14:paraId="343A5CB3" w14:textId="77777777" w:rsidR="00285F19" w:rsidRPr="00224BEC" w:rsidRDefault="00285F19" w:rsidP="006129E3">
            <w:pPr>
              <w:pStyle w:val="Tabletext"/>
              <w:jc w:val="right"/>
              <w:rPr>
                <w:lang w:eastAsia="en-AU"/>
              </w:rPr>
            </w:pPr>
            <w:r w:rsidRPr="00224BEC">
              <w:rPr>
                <w:lang w:eastAsia="en-AU"/>
              </w:rPr>
              <w:t>4.8</w:t>
            </w:r>
          </w:p>
        </w:tc>
        <w:tc>
          <w:tcPr>
            <w:tcW w:w="1025" w:type="dxa"/>
            <w:noWrap/>
            <w:hideMark/>
          </w:tcPr>
          <w:p w14:paraId="3E031066" w14:textId="77777777" w:rsidR="00285F19" w:rsidRPr="00224BEC" w:rsidRDefault="00285F19" w:rsidP="006129E3">
            <w:pPr>
              <w:pStyle w:val="Tabletext"/>
              <w:jc w:val="right"/>
              <w:rPr>
                <w:lang w:eastAsia="en-AU"/>
              </w:rPr>
            </w:pPr>
            <w:r w:rsidRPr="00224BEC">
              <w:rPr>
                <w:lang w:eastAsia="en-AU"/>
              </w:rPr>
              <w:t>5.4</w:t>
            </w:r>
          </w:p>
        </w:tc>
        <w:tc>
          <w:tcPr>
            <w:tcW w:w="1026" w:type="dxa"/>
            <w:noWrap/>
            <w:hideMark/>
          </w:tcPr>
          <w:p w14:paraId="1698FCF0" w14:textId="77777777" w:rsidR="00285F19" w:rsidRPr="00224BEC" w:rsidRDefault="00285F19" w:rsidP="006129E3">
            <w:pPr>
              <w:pStyle w:val="Tabletext"/>
              <w:jc w:val="right"/>
              <w:rPr>
                <w:lang w:eastAsia="en-AU"/>
              </w:rPr>
            </w:pPr>
            <w:r w:rsidRPr="00224BEC">
              <w:rPr>
                <w:lang w:eastAsia="en-AU"/>
              </w:rPr>
              <w:t>6.1</w:t>
            </w:r>
          </w:p>
        </w:tc>
        <w:tc>
          <w:tcPr>
            <w:tcW w:w="1026" w:type="dxa"/>
            <w:noWrap/>
            <w:hideMark/>
          </w:tcPr>
          <w:p w14:paraId="062C3B8A" w14:textId="77777777" w:rsidR="00285F19" w:rsidRPr="00224BEC" w:rsidRDefault="00285F19" w:rsidP="006129E3">
            <w:pPr>
              <w:pStyle w:val="Tabletext"/>
              <w:jc w:val="right"/>
              <w:rPr>
                <w:lang w:eastAsia="en-AU"/>
              </w:rPr>
            </w:pPr>
            <w:r w:rsidRPr="00224BEC">
              <w:rPr>
                <w:lang w:eastAsia="en-AU"/>
              </w:rPr>
              <w:t>5.7</w:t>
            </w:r>
          </w:p>
        </w:tc>
        <w:tc>
          <w:tcPr>
            <w:tcW w:w="1026" w:type="dxa"/>
            <w:noWrap/>
            <w:hideMark/>
          </w:tcPr>
          <w:p w14:paraId="69F4C105" w14:textId="77777777" w:rsidR="00285F19" w:rsidRPr="00224BEC" w:rsidRDefault="00285F19" w:rsidP="006129E3">
            <w:pPr>
              <w:pStyle w:val="Tabletext"/>
              <w:jc w:val="right"/>
              <w:rPr>
                <w:lang w:eastAsia="en-AU"/>
              </w:rPr>
            </w:pPr>
            <w:r w:rsidRPr="00224BEC">
              <w:rPr>
                <w:lang w:eastAsia="en-AU"/>
              </w:rPr>
              <w:t>5.0</w:t>
            </w:r>
          </w:p>
        </w:tc>
        <w:tc>
          <w:tcPr>
            <w:tcW w:w="1026" w:type="dxa"/>
            <w:noWrap/>
            <w:hideMark/>
          </w:tcPr>
          <w:p w14:paraId="6D9DDD3E" w14:textId="77777777" w:rsidR="00285F19" w:rsidRPr="00224BEC" w:rsidRDefault="00285F19" w:rsidP="006129E3">
            <w:pPr>
              <w:pStyle w:val="Tabletext"/>
              <w:jc w:val="right"/>
              <w:rPr>
                <w:lang w:eastAsia="en-AU"/>
              </w:rPr>
            </w:pPr>
            <w:r w:rsidRPr="00224BEC">
              <w:rPr>
                <w:lang w:eastAsia="en-AU"/>
              </w:rPr>
              <w:t>4.7</w:t>
            </w:r>
          </w:p>
        </w:tc>
        <w:tc>
          <w:tcPr>
            <w:tcW w:w="1026" w:type="dxa"/>
            <w:noWrap/>
            <w:hideMark/>
          </w:tcPr>
          <w:p w14:paraId="5C3D7A19" w14:textId="77777777" w:rsidR="00285F19" w:rsidRPr="00224BEC" w:rsidRDefault="00285F19" w:rsidP="006129E3">
            <w:pPr>
              <w:pStyle w:val="Tabletext"/>
              <w:jc w:val="right"/>
              <w:rPr>
                <w:lang w:eastAsia="en-AU"/>
              </w:rPr>
            </w:pPr>
            <w:r w:rsidRPr="00224BEC">
              <w:rPr>
                <w:lang w:eastAsia="en-AU"/>
              </w:rPr>
              <w:t>5.8</w:t>
            </w:r>
          </w:p>
        </w:tc>
        <w:tc>
          <w:tcPr>
            <w:tcW w:w="1026" w:type="dxa"/>
            <w:noWrap/>
            <w:hideMark/>
          </w:tcPr>
          <w:p w14:paraId="3D82048C" w14:textId="77777777" w:rsidR="00285F19" w:rsidRPr="00224BEC" w:rsidRDefault="00285F19" w:rsidP="006129E3">
            <w:pPr>
              <w:pStyle w:val="Tabletext"/>
              <w:jc w:val="right"/>
              <w:rPr>
                <w:lang w:eastAsia="en-AU"/>
              </w:rPr>
            </w:pPr>
            <w:r w:rsidRPr="00224BEC">
              <w:rPr>
                <w:lang w:eastAsia="en-AU"/>
              </w:rPr>
              <w:t>5.4</w:t>
            </w:r>
          </w:p>
        </w:tc>
        <w:tc>
          <w:tcPr>
            <w:tcW w:w="1026" w:type="dxa"/>
            <w:noWrap/>
            <w:hideMark/>
          </w:tcPr>
          <w:p w14:paraId="3FF5452D" w14:textId="77777777" w:rsidR="00285F19" w:rsidRPr="00224BEC" w:rsidRDefault="00285F19" w:rsidP="006129E3">
            <w:pPr>
              <w:pStyle w:val="Tabletext"/>
              <w:jc w:val="right"/>
              <w:rPr>
                <w:lang w:eastAsia="en-AU"/>
              </w:rPr>
            </w:pPr>
            <w:r w:rsidRPr="00224BEC">
              <w:rPr>
                <w:lang w:eastAsia="en-AU"/>
              </w:rPr>
              <w:t>6.6</w:t>
            </w:r>
          </w:p>
        </w:tc>
      </w:tr>
    </w:tbl>
    <w:p w14:paraId="21B6578F" w14:textId="77777777" w:rsidR="00285F19" w:rsidRPr="00047610" w:rsidRDefault="00285F19" w:rsidP="00285F19">
      <w:pPr>
        <w:pStyle w:val="Tabletext"/>
      </w:pPr>
    </w:p>
    <w:p w14:paraId="6B49C590" w14:textId="77777777" w:rsidR="00285F19" w:rsidRPr="00C62F3A" w:rsidRDefault="00285F19" w:rsidP="00285F19">
      <w:pPr>
        <w:pStyle w:val="Note"/>
      </w:pPr>
      <w:r>
        <w:t>Notes: Statistics relate to simple (non-profiled) businesses from the linked BLADE-DIBP dataset. Statistics not directly comparable to official DIBP visa grant statistics.</w:t>
      </w:r>
    </w:p>
    <w:p w14:paraId="082D237F" w14:textId="4968F8AD" w:rsidR="00285F19" w:rsidRDefault="006A6D70" w:rsidP="00285F19">
      <w:pPr>
        <w:pStyle w:val="Source"/>
        <w:sectPr w:rsidR="00285F19" w:rsidSect="006129E3">
          <w:pgSz w:w="16838" w:h="11906" w:orient="landscape" w:code="9"/>
          <w:pgMar w:top="1440" w:right="1440" w:bottom="1440" w:left="1440" w:header="709" w:footer="709" w:gutter="0"/>
          <w:cols w:space="708"/>
          <w:docGrid w:linePitch="360"/>
        </w:sectPr>
      </w:pPr>
      <w:r>
        <w:t>Source:  DIIS (2019) using ABS BLADE</w:t>
      </w:r>
    </w:p>
    <w:p w14:paraId="46B76E1E" w14:textId="77777777" w:rsidR="00285F19" w:rsidRPr="00E276A5" w:rsidRDefault="00285F19" w:rsidP="00AE46D9">
      <w:pPr>
        <w:pStyle w:val="Heading2"/>
        <w:numPr>
          <w:ilvl w:val="1"/>
          <w:numId w:val="9"/>
        </w:numPr>
        <w:ind w:left="709"/>
      </w:pPr>
      <w:r w:rsidRPr="00E276A5">
        <w:lastRenderedPageBreak/>
        <w:t>Financial characteristics</w:t>
      </w:r>
    </w:p>
    <w:p w14:paraId="06084A78" w14:textId="736884B1" w:rsidR="00285F19" w:rsidRDefault="00285F19" w:rsidP="00AE46D9">
      <w:pPr>
        <w:pStyle w:val="BodyText"/>
      </w:pPr>
      <w:r>
        <w:t>Table 5</w:t>
      </w:r>
      <w:r w:rsidRPr="00E276A5">
        <w:t xml:space="preserve"> </w:t>
      </w:r>
      <w:r>
        <w:t>compares</w:t>
      </w:r>
      <w:r w:rsidRPr="00E276A5">
        <w:t xml:space="preserve"> selected f</w:t>
      </w:r>
      <w:r>
        <w:t>inancial characteristics of</w:t>
      </w:r>
      <w:r w:rsidRPr="00E276A5">
        <w:t xml:space="preserve"> 457 visa sponsoring businesses and</w:t>
      </w:r>
      <w:r>
        <w:t xml:space="preserve"> non-sponsoring</w:t>
      </w:r>
      <w:r w:rsidRPr="00E276A5">
        <w:t xml:space="preserve"> businesses (mean value comparison)</w:t>
      </w:r>
      <w:r>
        <w:t>. Several financial characteristics were available in BLADE to compare the performance of 457 visa sponsoring businesses including turnover, capital expenditure, exports, wages and employment. Table 5 gives the mean values of these financial variables for the period from 2007</w:t>
      </w:r>
      <w:r w:rsidR="00ED7134">
        <w:rPr>
          <w:rFonts w:cstheme="minorHAnsi"/>
        </w:rPr>
        <w:t>–</w:t>
      </w:r>
      <w:r>
        <w:t>08 to 2013</w:t>
      </w:r>
      <w:r w:rsidR="00ED7134">
        <w:rPr>
          <w:rFonts w:cstheme="minorHAnsi"/>
        </w:rPr>
        <w:t>–</w:t>
      </w:r>
      <w:r>
        <w:t xml:space="preserve">14 and also for other Australian businesses. Table 5 indicates that on the whole 457 visa sponsoring businesses performed better than non-sponsoring Australian businesses across all indicators. On average 457 migrants sponsoring businesses had higher turnover, employment and wages, additionally on average they generated more export revenue (albeit still modest) and recorded a higher capital spend.  </w:t>
      </w:r>
    </w:p>
    <w:p w14:paraId="071DA1B5" w14:textId="77777777" w:rsidR="00285F19" w:rsidRDefault="00285F19" w:rsidP="00285F19">
      <w:pPr>
        <w:pStyle w:val="Caption"/>
      </w:pPr>
      <w:r>
        <w:t>Table 5: Financial attributes of 457 sponsoring businesses relative to similar non-sponsoring businesses, mean values</w:t>
      </w:r>
    </w:p>
    <w:tbl>
      <w:tblPr>
        <w:tblStyle w:val="OCETable"/>
        <w:tblW w:w="5000" w:type="pct"/>
        <w:tblLayout w:type="fixed"/>
        <w:tblLook w:val="04A0" w:firstRow="1" w:lastRow="0" w:firstColumn="1" w:lastColumn="0" w:noHBand="0" w:noVBand="1"/>
        <w:tblCaption w:val="Table 5: Financial attributes of 457 sponsoring businesses relative to similar non-sponsoring businesses, mean values"/>
        <w:tblDescription w:val="This table contains information on the financial performance of sponsoring businesses such as turnover, wage bill, export revenue of sponsoring businesses relative to similar non-sponsoring businesses. On average sponsoring businesses had higher values for these financial attributes."/>
      </w:tblPr>
      <w:tblGrid>
        <w:gridCol w:w="992"/>
        <w:gridCol w:w="993"/>
        <w:gridCol w:w="992"/>
        <w:gridCol w:w="1192"/>
        <w:gridCol w:w="986"/>
        <w:gridCol w:w="941"/>
        <w:gridCol w:w="968"/>
      </w:tblGrid>
      <w:tr w:rsidR="00285F19" w:rsidRPr="00CC5AE6" w14:paraId="77A391BB" w14:textId="77777777" w:rsidTr="00AE46D9">
        <w:trPr>
          <w:cnfStyle w:val="100000000000" w:firstRow="1" w:lastRow="0" w:firstColumn="0" w:lastColumn="0" w:oddVBand="0" w:evenVBand="0" w:oddHBand="0" w:evenHBand="0" w:firstRowFirstColumn="0" w:firstRowLastColumn="0" w:lastRowFirstColumn="0" w:lastRowLastColumn="0"/>
          <w:trHeight w:val="300"/>
          <w:tblHeader/>
        </w:trPr>
        <w:tc>
          <w:tcPr>
            <w:tcW w:w="5000" w:type="pct"/>
            <w:gridSpan w:val="7"/>
            <w:noWrap/>
            <w:hideMark/>
          </w:tcPr>
          <w:p w14:paraId="16D15481" w14:textId="77777777" w:rsidR="00285F19" w:rsidRPr="00CC5AE6" w:rsidRDefault="00285F19" w:rsidP="006129E3">
            <w:pPr>
              <w:pStyle w:val="Tableheadertext"/>
              <w:jc w:val="center"/>
              <w:rPr>
                <w:lang w:eastAsia="en-AU"/>
              </w:rPr>
            </w:pPr>
            <w:r>
              <w:rPr>
                <w:lang w:eastAsia="en-AU"/>
              </w:rPr>
              <w:t>S</w:t>
            </w:r>
            <w:r w:rsidRPr="00CC5AE6">
              <w:rPr>
                <w:lang w:eastAsia="en-AU"/>
              </w:rPr>
              <w:t>ponsoring businesses</w:t>
            </w:r>
          </w:p>
        </w:tc>
      </w:tr>
      <w:tr w:rsidR="00285F19" w:rsidRPr="00CC5AE6" w14:paraId="5B1A3FA1" w14:textId="77777777" w:rsidTr="009E684E">
        <w:trPr>
          <w:cnfStyle w:val="000000100000" w:firstRow="0" w:lastRow="0" w:firstColumn="0" w:lastColumn="0" w:oddVBand="0" w:evenVBand="0" w:oddHBand="1" w:evenHBand="0" w:firstRowFirstColumn="0" w:firstRowLastColumn="0" w:lastRowFirstColumn="0" w:lastRowLastColumn="0"/>
          <w:trHeight w:val="300"/>
        </w:trPr>
        <w:tc>
          <w:tcPr>
            <w:tcW w:w="702" w:type="pct"/>
            <w:noWrap/>
            <w:hideMark/>
          </w:tcPr>
          <w:p w14:paraId="591AADF7" w14:textId="77777777" w:rsidR="00285F19" w:rsidRPr="00CC5AE6" w:rsidRDefault="00285F19" w:rsidP="006129E3">
            <w:pPr>
              <w:pStyle w:val="Tablebodytext"/>
              <w:jc w:val="right"/>
              <w:rPr>
                <w:lang w:eastAsia="en-AU"/>
              </w:rPr>
            </w:pPr>
          </w:p>
        </w:tc>
        <w:tc>
          <w:tcPr>
            <w:tcW w:w="703" w:type="pct"/>
            <w:noWrap/>
            <w:hideMark/>
          </w:tcPr>
          <w:p w14:paraId="6F90C075" w14:textId="77777777" w:rsidR="00285F19" w:rsidRPr="00CC5AE6" w:rsidRDefault="00285F19" w:rsidP="006129E3">
            <w:pPr>
              <w:pStyle w:val="Tablebodytext"/>
              <w:jc w:val="right"/>
              <w:rPr>
                <w:lang w:eastAsia="en-AU"/>
              </w:rPr>
            </w:pPr>
            <w:r w:rsidRPr="00CC5AE6">
              <w:rPr>
                <w:lang w:eastAsia="en-AU"/>
              </w:rPr>
              <w:t>Count</w:t>
            </w:r>
          </w:p>
        </w:tc>
        <w:tc>
          <w:tcPr>
            <w:tcW w:w="702" w:type="pct"/>
            <w:noWrap/>
            <w:hideMark/>
          </w:tcPr>
          <w:p w14:paraId="1F343FA4" w14:textId="77777777" w:rsidR="00285F19" w:rsidRPr="00CC5AE6" w:rsidRDefault="00285F19" w:rsidP="006129E3">
            <w:pPr>
              <w:pStyle w:val="Tablebodytext"/>
              <w:jc w:val="right"/>
              <w:rPr>
                <w:lang w:eastAsia="en-AU"/>
              </w:rPr>
            </w:pPr>
            <w:r w:rsidRPr="00CC5AE6">
              <w:rPr>
                <w:lang w:eastAsia="en-AU"/>
              </w:rPr>
              <w:t>Turnover ($m)</w:t>
            </w:r>
          </w:p>
        </w:tc>
        <w:tc>
          <w:tcPr>
            <w:tcW w:w="844" w:type="pct"/>
            <w:noWrap/>
            <w:hideMark/>
          </w:tcPr>
          <w:p w14:paraId="327A493A" w14:textId="77777777" w:rsidR="00285F19" w:rsidRPr="00CC5AE6" w:rsidRDefault="00285F19" w:rsidP="006129E3">
            <w:pPr>
              <w:pStyle w:val="Tablebodytext"/>
              <w:jc w:val="right"/>
              <w:rPr>
                <w:lang w:eastAsia="en-AU"/>
              </w:rPr>
            </w:pPr>
            <w:r w:rsidRPr="00CC5AE6">
              <w:rPr>
                <w:lang w:eastAsia="en-AU"/>
              </w:rPr>
              <w:t>Capital expenditure ($m)</w:t>
            </w:r>
          </w:p>
        </w:tc>
        <w:tc>
          <w:tcPr>
            <w:tcW w:w="698" w:type="pct"/>
            <w:noWrap/>
            <w:hideMark/>
          </w:tcPr>
          <w:p w14:paraId="1857F6F6" w14:textId="77777777" w:rsidR="00285F19" w:rsidRPr="00CC5AE6" w:rsidRDefault="00285F19" w:rsidP="006129E3">
            <w:pPr>
              <w:pStyle w:val="Tablebodytext"/>
              <w:jc w:val="right"/>
              <w:rPr>
                <w:lang w:eastAsia="en-AU"/>
              </w:rPr>
            </w:pPr>
            <w:r w:rsidRPr="00CC5AE6">
              <w:rPr>
                <w:lang w:eastAsia="en-AU"/>
              </w:rPr>
              <w:t>Exports ($m)</w:t>
            </w:r>
          </w:p>
        </w:tc>
        <w:tc>
          <w:tcPr>
            <w:tcW w:w="666" w:type="pct"/>
            <w:noWrap/>
            <w:hideMark/>
          </w:tcPr>
          <w:p w14:paraId="01A9FA63" w14:textId="77777777" w:rsidR="00285F19" w:rsidRPr="00CC5AE6" w:rsidRDefault="00285F19" w:rsidP="006129E3">
            <w:pPr>
              <w:pStyle w:val="Tablebodytext"/>
              <w:jc w:val="right"/>
              <w:rPr>
                <w:lang w:eastAsia="en-AU"/>
              </w:rPr>
            </w:pPr>
            <w:r w:rsidRPr="00CC5AE6">
              <w:rPr>
                <w:lang w:eastAsia="en-AU"/>
              </w:rPr>
              <w:t>Wages ($m)</w:t>
            </w:r>
          </w:p>
        </w:tc>
        <w:tc>
          <w:tcPr>
            <w:tcW w:w="685" w:type="pct"/>
            <w:noWrap/>
            <w:hideMark/>
          </w:tcPr>
          <w:p w14:paraId="70F75239" w14:textId="2A651A85" w:rsidR="00285F19" w:rsidRPr="00CC5AE6" w:rsidRDefault="00285F19" w:rsidP="006129E3">
            <w:pPr>
              <w:pStyle w:val="Tablebodytext"/>
              <w:jc w:val="right"/>
              <w:rPr>
                <w:lang w:eastAsia="en-AU"/>
              </w:rPr>
            </w:pPr>
            <w:r w:rsidRPr="00CC5AE6">
              <w:rPr>
                <w:lang w:eastAsia="en-AU"/>
              </w:rPr>
              <w:t>Employ</w:t>
            </w:r>
            <w:r w:rsidR="009E684E">
              <w:rPr>
                <w:lang w:eastAsia="en-AU"/>
              </w:rPr>
              <w:t>-</w:t>
            </w:r>
            <w:r w:rsidRPr="00CC5AE6">
              <w:rPr>
                <w:lang w:eastAsia="en-AU"/>
              </w:rPr>
              <w:t>ment</w:t>
            </w:r>
          </w:p>
        </w:tc>
      </w:tr>
      <w:tr w:rsidR="00285F19" w:rsidRPr="00CC5AE6" w14:paraId="18AE8776" w14:textId="77777777" w:rsidTr="009E684E">
        <w:trPr>
          <w:cnfStyle w:val="000000010000" w:firstRow="0" w:lastRow="0" w:firstColumn="0" w:lastColumn="0" w:oddVBand="0" w:evenVBand="0" w:oddHBand="0" w:evenHBand="1" w:firstRowFirstColumn="0" w:firstRowLastColumn="0" w:lastRowFirstColumn="0" w:lastRowLastColumn="0"/>
          <w:trHeight w:val="300"/>
        </w:trPr>
        <w:tc>
          <w:tcPr>
            <w:tcW w:w="702" w:type="pct"/>
            <w:noWrap/>
            <w:hideMark/>
          </w:tcPr>
          <w:p w14:paraId="1907F0A9" w14:textId="77777777" w:rsidR="00285F19" w:rsidRPr="00CC5AE6" w:rsidRDefault="00285F19" w:rsidP="006129E3">
            <w:pPr>
              <w:pStyle w:val="Tablebodytext"/>
              <w:jc w:val="right"/>
              <w:rPr>
                <w:lang w:eastAsia="en-AU"/>
              </w:rPr>
            </w:pPr>
            <w:r w:rsidRPr="00CC5AE6">
              <w:rPr>
                <w:lang w:eastAsia="en-AU"/>
              </w:rPr>
              <w:t>2007-08</w:t>
            </w:r>
          </w:p>
        </w:tc>
        <w:tc>
          <w:tcPr>
            <w:tcW w:w="703" w:type="pct"/>
            <w:noWrap/>
            <w:hideMark/>
          </w:tcPr>
          <w:p w14:paraId="60A84FD2" w14:textId="77777777" w:rsidR="00285F19" w:rsidRPr="00CC5AE6" w:rsidRDefault="00285F19" w:rsidP="006129E3">
            <w:pPr>
              <w:pStyle w:val="Tablebodytext"/>
              <w:jc w:val="right"/>
              <w:rPr>
                <w:lang w:eastAsia="en-AU"/>
              </w:rPr>
            </w:pPr>
            <w:r w:rsidRPr="00CC5AE6">
              <w:rPr>
                <w:lang w:eastAsia="en-AU"/>
              </w:rPr>
              <w:t>31,219</w:t>
            </w:r>
          </w:p>
        </w:tc>
        <w:tc>
          <w:tcPr>
            <w:tcW w:w="702" w:type="pct"/>
            <w:noWrap/>
            <w:hideMark/>
          </w:tcPr>
          <w:p w14:paraId="340B0F9E" w14:textId="77777777" w:rsidR="00285F19" w:rsidRPr="00CC5AE6" w:rsidRDefault="00285F19" w:rsidP="006129E3">
            <w:pPr>
              <w:pStyle w:val="Tablebodytext"/>
              <w:jc w:val="right"/>
              <w:rPr>
                <w:lang w:eastAsia="en-AU"/>
              </w:rPr>
            </w:pPr>
            <w:r w:rsidRPr="00CC5AE6">
              <w:rPr>
                <w:lang w:eastAsia="en-AU"/>
              </w:rPr>
              <w:t>7.5</w:t>
            </w:r>
          </w:p>
        </w:tc>
        <w:tc>
          <w:tcPr>
            <w:tcW w:w="844" w:type="pct"/>
            <w:noWrap/>
            <w:hideMark/>
          </w:tcPr>
          <w:p w14:paraId="2763028E" w14:textId="77777777" w:rsidR="00285F19" w:rsidRPr="00CC5AE6" w:rsidRDefault="00285F19" w:rsidP="006129E3">
            <w:pPr>
              <w:pStyle w:val="Tablebodytext"/>
              <w:jc w:val="right"/>
              <w:rPr>
                <w:lang w:eastAsia="en-AU"/>
              </w:rPr>
            </w:pPr>
            <w:r w:rsidRPr="00CC5AE6">
              <w:rPr>
                <w:lang w:eastAsia="en-AU"/>
              </w:rPr>
              <w:t>0.3</w:t>
            </w:r>
          </w:p>
        </w:tc>
        <w:tc>
          <w:tcPr>
            <w:tcW w:w="698" w:type="pct"/>
            <w:noWrap/>
            <w:hideMark/>
          </w:tcPr>
          <w:p w14:paraId="1C65D97B" w14:textId="77777777" w:rsidR="00285F19" w:rsidRPr="00CC5AE6" w:rsidRDefault="00285F19" w:rsidP="006129E3">
            <w:pPr>
              <w:pStyle w:val="Tablebodytext"/>
              <w:jc w:val="right"/>
              <w:rPr>
                <w:lang w:eastAsia="en-AU"/>
              </w:rPr>
            </w:pPr>
            <w:r w:rsidRPr="00CC5AE6">
              <w:rPr>
                <w:lang w:eastAsia="en-AU"/>
              </w:rPr>
              <w:t>0.5</w:t>
            </w:r>
          </w:p>
        </w:tc>
        <w:tc>
          <w:tcPr>
            <w:tcW w:w="666" w:type="pct"/>
            <w:noWrap/>
            <w:hideMark/>
          </w:tcPr>
          <w:p w14:paraId="0A54F9A3" w14:textId="77777777" w:rsidR="00285F19" w:rsidRPr="00CC5AE6" w:rsidRDefault="00285F19" w:rsidP="006129E3">
            <w:pPr>
              <w:pStyle w:val="Tablebodytext"/>
              <w:jc w:val="right"/>
              <w:rPr>
                <w:lang w:eastAsia="en-AU"/>
              </w:rPr>
            </w:pPr>
            <w:r w:rsidRPr="00CC5AE6">
              <w:rPr>
                <w:lang w:eastAsia="en-AU"/>
              </w:rPr>
              <w:t>1.1</w:t>
            </w:r>
          </w:p>
        </w:tc>
        <w:tc>
          <w:tcPr>
            <w:tcW w:w="685" w:type="pct"/>
            <w:noWrap/>
            <w:hideMark/>
          </w:tcPr>
          <w:p w14:paraId="78F98D4C" w14:textId="77777777" w:rsidR="00285F19" w:rsidRPr="00CC5AE6" w:rsidRDefault="00285F19" w:rsidP="006129E3">
            <w:pPr>
              <w:pStyle w:val="Tablebodytext"/>
              <w:jc w:val="right"/>
              <w:rPr>
                <w:lang w:eastAsia="en-AU"/>
              </w:rPr>
            </w:pPr>
            <w:r w:rsidRPr="00CC5AE6">
              <w:rPr>
                <w:lang w:eastAsia="en-AU"/>
              </w:rPr>
              <w:t>23.1</w:t>
            </w:r>
          </w:p>
        </w:tc>
      </w:tr>
      <w:tr w:rsidR="00285F19" w:rsidRPr="00CC5AE6" w14:paraId="0DE81617" w14:textId="77777777" w:rsidTr="009E684E">
        <w:trPr>
          <w:cnfStyle w:val="000000100000" w:firstRow="0" w:lastRow="0" w:firstColumn="0" w:lastColumn="0" w:oddVBand="0" w:evenVBand="0" w:oddHBand="1" w:evenHBand="0" w:firstRowFirstColumn="0" w:firstRowLastColumn="0" w:lastRowFirstColumn="0" w:lastRowLastColumn="0"/>
          <w:trHeight w:val="300"/>
        </w:trPr>
        <w:tc>
          <w:tcPr>
            <w:tcW w:w="702" w:type="pct"/>
            <w:noWrap/>
            <w:hideMark/>
          </w:tcPr>
          <w:p w14:paraId="7A8F6E3D" w14:textId="77777777" w:rsidR="00285F19" w:rsidRPr="00CC5AE6" w:rsidRDefault="00285F19" w:rsidP="006129E3">
            <w:pPr>
              <w:pStyle w:val="Tablebodytext"/>
              <w:jc w:val="right"/>
              <w:rPr>
                <w:lang w:eastAsia="en-AU"/>
              </w:rPr>
            </w:pPr>
            <w:r w:rsidRPr="00CC5AE6">
              <w:rPr>
                <w:lang w:eastAsia="en-AU"/>
              </w:rPr>
              <w:t>2008-09</w:t>
            </w:r>
          </w:p>
        </w:tc>
        <w:tc>
          <w:tcPr>
            <w:tcW w:w="703" w:type="pct"/>
            <w:noWrap/>
            <w:hideMark/>
          </w:tcPr>
          <w:p w14:paraId="6B851916" w14:textId="77777777" w:rsidR="00285F19" w:rsidRPr="00CC5AE6" w:rsidRDefault="00285F19" w:rsidP="006129E3">
            <w:pPr>
              <w:pStyle w:val="Tablebodytext"/>
              <w:jc w:val="right"/>
              <w:rPr>
                <w:lang w:eastAsia="en-AU"/>
              </w:rPr>
            </w:pPr>
            <w:r w:rsidRPr="00CC5AE6">
              <w:rPr>
                <w:lang w:eastAsia="en-AU"/>
              </w:rPr>
              <w:t>32,821</w:t>
            </w:r>
          </w:p>
        </w:tc>
        <w:tc>
          <w:tcPr>
            <w:tcW w:w="702" w:type="pct"/>
            <w:noWrap/>
            <w:hideMark/>
          </w:tcPr>
          <w:p w14:paraId="6C2055CE" w14:textId="77777777" w:rsidR="00285F19" w:rsidRPr="00CC5AE6" w:rsidRDefault="00285F19" w:rsidP="006129E3">
            <w:pPr>
              <w:pStyle w:val="Tablebodytext"/>
              <w:jc w:val="right"/>
              <w:rPr>
                <w:lang w:eastAsia="en-AU"/>
              </w:rPr>
            </w:pPr>
            <w:r w:rsidRPr="00CC5AE6">
              <w:rPr>
                <w:lang w:eastAsia="en-AU"/>
              </w:rPr>
              <w:t>7.6</w:t>
            </w:r>
          </w:p>
        </w:tc>
        <w:tc>
          <w:tcPr>
            <w:tcW w:w="844" w:type="pct"/>
            <w:noWrap/>
            <w:hideMark/>
          </w:tcPr>
          <w:p w14:paraId="2F88A092" w14:textId="77777777" w:rsidR="00285F19" w:rsidRPr="00CC5AE6" w:rsidRDefault="00285F19" w:rsidP="006129E3">
            <w:pPr>
              <w:pStyle w:val="Tablebodytext"/>
              <w:jc w:val="right"/>
              <w:rPr>
                <w:lang w:eastAsia="en-AU"/>
              </w:rPr>
            </w:pPr>
            <w:r w:rsidRPr="00CC5AE6">
              <w:rPr>
                <w:lang w:eastAsia="en-AU"/>
              </w:rPr>
              <w:t>0.3</w:t>
            </w:r>
          </w:p>
        </w:tc>
        <w:tc>
          <w:tcPr>
            <w:tcW w:w="698" w:type="pct"/>
            <w:noWrap/>
            <w:hideMark/>
          </w:tcPr>
          <w:p w14:paraId="2784C7B3" w14:textId="77777777" w:rsidR="00285F19" w:rsidRPr="00CC5AE6" w:rsidRDefault="00285F19" w:rsidP="006129E3">
            <w:pPr>
              <w:pStyle w:val="Tablebodytext"/>
              <w:jc w:val="right"/>
              <w:rPr>
                <w:lang w:eastAsia="en-AU"/>
              </w:rPr>
            </w:pPr>
            <w:r w:rsidRPr="00CC5AE6">
              <w:rPr>
                <w:lang w:eastAsia="en-AU"/>
              </w:rPr>
              <w:t>0.5</w:t>
            </w:r>
          </w:p>
        </w:tc>
        <w:tc>
          <w:tcPr>
            <w:tcW w:w="666" w:type="pct"/>
            <w:noWrap/>
            <w:hideMark/>
          </w:tcPr>
          <w:p w14:paraId="2BEDDC85" w14:textId="77777777" w:rsidR="00285F19" w:rsidRPr="00CC5AE6" w:rsidRDefault="00285F19" w:rsidP="006129E3">
            <w:pPr>
              <w:pStyle w:val="Tablebodytext"/>
              <w:jc w:val="right"/>
              <w:rPr>
                <w:lang w:eastAsia="en-AU"/>
              </w:rPr>
            </w:pPr>
            <w:r w:rsidRPr="00CC5AE6">
              <w:rPr>
                <w:lang w:eastAsia="en-AU"/>
              </w:rPr>
              <w:t>1.2</w:t>
            </w:r>
          </w:p>
        </w:tc>
        <w:tc>
          <w:tcPr>
            <w:tcW w:w="685" w:type="pct"/>
            <w:noWrap/>
            <w:hideMark/>
          </w:tcPr>
          <w:p w14:paraId="5F31A086" w14:textId="77777777" w:rsidR="00285F19" w:rsidRPr="00CC5AE6" w:rsidRDefault="00285F19" w:rsidP="006129E3">
            <w:pPr>
              <w:pStyle w:val="Tablebodytext"/>
              <w:jc w:val="right"/>
              <w:rPr>
                <w:lang w:eastAsia="en-AU"/>
              </w:rPr>
            </w:pPr>
            <w:r w:rsidRPr="00CC5AE6">
              <w:rPr>
                <w:lang w:eastAsia="en-AU"/>
              </w:rPr>
              <w:t>22.9</w:t>
            </w:r>
          </w:p>
        </w:tc>
      </w:tr>
      <w:tr w:rsidR="00285F19" w:rsidRPr="00CC5AE6" w14:paraId="3ED793DD" w14:textId="77777777" w:rsidTr="009E684E">
        <w:trPr>
          <w:cnfStyle w:val="000000010000" w:firstRow="0" w:lastRow="0" w:firstColumn="0" w:lastColumn="0" w:oddVBand="0" w:evenVBand="0" w:oddHBand="0" w:evenHBand="1" w:firstRowFirstColumn="0" w:firstRowLastColumn="0" w:lastRowFirstColumn="0" w:lastRowLastColumn="0"/>
          <w:trHeight w:val="300"/>
        </w:trPr>
        <w:tc>
          <w:tcPr>
            <w:tcW w:w="702" w:type="pct"/>
            <w:noWrap/>
            <w:hideMark/>
          </w:tcPr>
          <w:p w14:paraId="1BA428EE" w14:textId="77777777" w:rsidR="00285F19" w:rsidRPr="00CC5AE6" w:rsidRDefault="00285F19" w:rsidP="006129E3">
            <w:pPr>
              <w:pStyle w:val="Tablebodytext"/>
              <w:jc w:val="right"/>
              <w:rPr>
                <w:lang w:eastAsia="en-AU"/>
              </w:rPr>
            </w:pPr>
            <w:r w:rsidRPr="00CC5AE6">
              <w:rPr>
                <w:lang w:eastAsia="en-AU"/>
              </w:rPr>
              <w:t>2009-10</w:t>
            </w:r>
          </w:p>
        </w:tc>
        <w:tc>
          <w:tcPr>
            <w:tcW w:w="703" w:type="pct"/>
            <w:noWrap/>
            <w:hideMark/>
          </w:tcPr>
          <w:p w14:paraId="03C2EB43" w14:textId="77777777" w:rsidR="00285F19" w:rsidRPr="00CC5AE6" w:rsidRDefault="00285F19" w:rsidP="006129E3">
            <w:pPr>
              <w:pStyle w:val="Tablebodytext"/>
              <w:jc w:val="right"/>
              <w:rPr>
                <w:lang w:eastAsia="en-AU"/>
              </w:rPr>
            </w:pPr>
            <w:r w:rsidRPr="00CC5AE6">
              <w:rPr>
                <w:lang w:eastAsia="en-AU"/>
              </w:rPr>
              <w:t>33,855</w:t>
            </w:r>
          </w:p>
        </w:tc>
        <w:tc>
          <w:tcPr>
            <w:tcW w:w="702" w:type="pct"/>
            <w:noWrap/>
            <w:hideMark/>
          </w:tcPr>
          <w:p w14:paraId="67C810AD" w14:textId="77777777" w:rsidR="00285F19" w:rsidRPr="00CC5AE6" w:rsidRDefault="00285F19" w:rsidP="006129E3">
            <w:pPr>
              <w:pStyle w:val="Tablebodytext"/>
              <w:jc w:val="right"/>
              <w:rPr>
                <w:lang w:eastAsia="en-AU"/>
              </w:rPr>
            </w:pPr>
            <w:r w:rsidRPr="00CC5AE6">
              <w:rPr>
                <w:lang w:eastAsia="en-AU"/>
              </w:rPr>
              <w:t>7.4</w:t>
            </w:r>
          </w:p>
        </w:tc>
        <w:tc>
          <w:tcPr>
            <w:tcW w:w="844" w:type="pct"/>
            <w:noWrap/>
            <w:hideMark/>
          </w:tcPr>
          <w:p w14:paraId="0134A48D" w14:textId="77777777" w:rsidR="00285F19" w:rsidRPr="00CC5AE6" w:rsidRDefault="00285F19" w:rsidP="006129E3">
            <w:pPr>
              <w:pStyle w:val="Tablebodytext"/>
              <w:jc w:val="right"/>
              <w:rPr>
                <w:lang w:eastAsia="en-AU"/>
              </w:rPr>
            </w:pPr>
            <w:r w:rsidRPr="00CC5AE6">
              <w:rPr>
                <w:lang w:eastAsia="en-AU"/>
              </w:rPr>
              <w:t>0.3</w:t>
            </w:r>
          </w:p>
        </w:tc>
        <w:tc>
          <w:tcPr>
            <w:tcW w:w="698" w:type="pct"/>
            <w:noWrap/>
            <w:hideMark/>
          </w:tcPr>
          <w:p w14:paraId="5B9977AF" w14:textId="77777777" w:rsidR="00285F19" w:rsidRPr="00CC5AE6" w:rsidRDefault="00285F19" w:rsidP="006129E3">
            <w:pPr>
              <w:pStyle w:val="Tablebodytext"/>
              <w:jc w:val="right"/>
              <w:rPr>
                <w:lang w:eastAsia="en-AU"/>
              </w:rPr>
            </w:pPr>
            <w:r w:rsidRPr="00CC5AE6">
              <w:rPr>
                <w:lang w:eastAsia="en-AU"/>
              </w:rPr>
              <w:t>0.4</w:t>
            </w:r>
          </w:p>
        </w:tc>
        <w:tc>
          <w:tcPr>
            <w:tcW w:w="666" w:type="pct"/>
            <w:noWrap/>
            <w:hideMark/>
          </w:tcPr>
          <w:p w14:paraId="299152D6" w14:textId="77777777" w:rsidR="00285F19" w:rsidRPr="00CC5AE6" w:rsidRDefault="00285F19" w:rsidP="006129E3">
            <w:pPr>
              <w:pStyle w:val="Tablebodytext"/>
              <w:jc w:val="right"/>
              <w:rPr>
                <w:lang w:eastAsia="en-AU"/>
              </w:rPr>
            </w:pPr>
            <w:r w:rsidRPr="00CC5AE6">
              <w:rPr>
                <w:lang w:eastAsia="en-AU"/>
              </w:rPr>
              <w:t>1.2</w:t>
            </w:r>
          </w:p>
        </w:tc>
        <w:tc>
          <w:tcPr>
            <w:tcW w:w="685" w:type="pct"/>
            <w:noWrap/>
            <w:hideMark/>
          </w:tcPr>
          <w:p w14:paraId="4723AE03" w14:textId="77777777" w:rsidR="00285F19" w:rsidRPr="00CC5AE6" w:rsidRDefault="00285F19" w:rsidP="006129E3">
            <w:pPr>
              <w:pStyle w:val="Tablebodytext"/>
              <w:jc w:val="right"/>
              <w:rPr>
                <w:lang w:eastAsia="en-AU"/>
              </w:rPr>
            </w:pPr>
            <w:r w:rsidRPr="00CC5AE6">
              <w:rPr>
                <w:lang w:eastAsia="en-AU"/>
              </w:rPr>
              <w:t>22.7</w:t>
            </w:r>
          </w:p>
        </w:tc>
      </w:tr>
      <w:tr w:rsidR="00285F19" w:rsidRPr="00CC5AE6" w14:paraId="71D4E4B0" w14:textId="77777777" w:rsidTr="009E684E">
        <w:trPr>
          <w:cnfStyle w:val="000000100000" w:firstRow="0" w:lastRow="0" w:firstColumn="0" w:lastColumn="0" w:oddVBand="0" w:evenVBand="0" w:oddHBand="1" w:evenHBand="0" w:firstRowFirstColumn="0" w:firstRowLastColumn="0" w:lastRowFirstColumn="0" w:lastRowLastColumn="0"/>
          <w:trHeight w:val="300"/>
        </w:trPr>
        <w:tc>
          <w:tcPr>
            <w:tcW w:w="702" w:type="pct"/>
            <w:noWrap/>
            <w:hideMark/>
          </w:tcPr>
          <w:p w14:paraId="6F5058E7" w14:textId="77777777" w:rsidR="00285F19" w:rsidRPr="00CC5AE6" w:rsidRDefault="00285F19" w:rsidP="006129E3">
            <w:pPr>
              <w:pStyle w:val="Tablebodytext"/>
              <w:jc w:val="right"/>
              <w:rPr>
                <w:lang w:eastAsia="en-AU"/>
              </w:rPr>
            </w:pPr>
            <w:r w:rsidRPr="00CC5AE6">
              <w:rPr>
                <w:lang w:eastAsia="en-AU"/>
              </w:rPr>
              <w:t>2010-11</w:t>
            </w:r>
          </w:p>
        </w:tc>
        <w:tc>
          <w:tcPr>
            <w:tcW w:w="703" w:type="pct"/>
            <w:noWrap/>
            <w:hideMark/>
          </w:tcPr>
          <w:p w14:paraId="786F8B07" w14:textId="77777777" w:rsidR="00285F19" w:rsidRPr="00CC5AE6" w:rsidRDefault="00285F19" w:rsidP="006129E3">
            <w:pPr>
              <w:pStyle w:val="Tablebodytext"/>
              <w:jc w:val="right"/>
              <w:rPr>
                <w:lang w:eastAsia="en-AU"/>
              </w:rPr>
            </w:pPr>
            <w:r w:rsidRPr="00CC5AE6">
              <w:rPr>
                <w:lang w:eastAsia="en-AU"/>
              </w:rPr>
              <w:t>34,535</w:t>
            </w:r>
          </w:p>
        </w:tc>
        <w:tc>
          <w:tcPr>
            <w:tcW w:w="702" w:type="pct"/>
            <w:noWrap/>
            <w:hideMark/>
          </w:tcPr>
          <w:p w14:paraId="6A358825" w14:textId="77777777" w:rsidR="00285F19" w:rsidRPr="00CC5AE6" w:rsidRDefault="00285F19" w:rsidP="006129E3">
            <w:pPr>
              <w:pStyle w:val="Tablebodytext"/>
              <w:jc w:val="right"/>
              <w:rPr>
                <w:lang w:eastAsia="en-AU"/>
              </w:rPr>
            </w:pPr>
            <w:r w:rsidRPr="00CC5AE6">
              <w:rPr>
                <w:lang w:eastAsia="en-AU"/>
              </w:rPr>
              <w:t>7.9</w:t>
            </w:r>
          </w:p>
        </w:tc>
        <w:tc>
          <w:tcPr>
            <w:tcW w:w="844" w:type="pct"/>
            <w:noWrap/>
            <w:hideMark/>
          </w:tcPr>
          <w:p w14:paraId="22B4F658" w14:textId="77777777" w:rsidR="00285F19" w:rsidRPr="00CC5AE6" w:rsidRDefault="00285F19" w:rsidP="006129E3">
            <w:pPr>
              <w:pStyle w:val="Tablebodytext"/>
              <w:jc w:val="right"/>
              <w:rPr>
                <w:lang w:eastAsia="en-AU"/>
              </w:rPr>
            </w:pPr>
            <w:r w:rsidRPr="00CC5AE6">
              <w:rPr>
                <w:lang w:eastAsia="en-AU"/>
              </w:rPr>
              <w:t>0.3</w:t>
            </w:r>
          </w:p>
        </w:tc>
        <w:tc>
          <w:tcPr>
            <w:tcW w:w="698" w:type="pct"/>
            <w:noWrap/>
            <w:hideMark/>
          </w:tcPr>
          <w:p w14:paraId="135B4DF6" w14:textId="77777777" w:rsidR="00285F19" w:rsidRPr="00CC5AE6" w:rsidRDefault="00285F19" w:rsidP="006129E3">
            <w:pPr>
              <w:pStyle w:val="Tablebodytext"/>
              <w:jc w:val="right"/>
              <w:rPr>
                <w:lang w:eastAsia="en-AU"/>
              </w:rPr>
            </w:pPr>
            <w:r w:rsidRPr="00CC5AE6">
              <w:rPr>
                <w:lang w:eastAsia="en-AU"/>
              </w:rPr>
              <w:t>0.5</w:t>
            </w:r>
          </w:p>
        </w:tc>
        <w:tc>
          <w:tcPr>
            <w:tcW w:w="666" w:type="pct"/>
            <w:noWrap/>
            <w:hideMark/>
          </w:tcPr>
          <w:p w14:paraId="30CA8E7D" w14:textId="77777777" w:rsidR="00285F19" w:rsidRPr="00CC5AE6" w:rsidRDefault="00285F19" w:rsidP="006129E3">
            <w:pPr>
              <w:pStyle w:val="Tablebodytext"/>
              <w:jc w:val="right"/>
              <w:rPr>
                <w:lang w:eastAsia="en-AU"/>
              </w:rPr>
            </w:pPr>
            <w:r w:rsidRPr="00CC5AE6">
              <w:rPr>
                <w:lang w:eastAsia="en-AU"/>
              </w:rPr>
              <w:t>1.3</w:t>
            </w:r>
          </w:p>
        </w:tc>
        <w:tc>
          <w:tcPr>
            <w:tcW w:w="685" w:type="pct"/>
            <w:noWrap/>
            <w:hideMark/>
          </w:tcPr>
          <w:p w14:paraId="65C92D1F" w14:textId="77777777" w:rsidR="00285F19" w:rsidRPr="00CC5AE6" w:rsidRDefault="00285F19" w:rsidP="006129E3">
            <w:pPr>
              <w:pStyle w:val="Tablebodytext"/>
              <w:jc w:val="right"/>
              <w:rPr>
                <w:lang w:eastAsia="en-AU"/>
              </w:rPr>
            </w:pPr>
            <w:r w:rsidRPr="00CC5AE6">
              <w:rPr>
                <w:lang w:eastAsia="en-AU"/>
              </w:rPr>
              <w:t>24.5</w:t>
            </w:r>
          </w:p>
        </w:tc>
      </w:tr>
      <w:tr w:rsidR="00285F19" w:rsidRPr="00CC5AE6" w14:paraId="62A899DB" w14:textId="77777777" w:rsidTr="009E684E">
        <w:trPr>
          <w:cnfStyle w:val="000000010000" w:firstRow="0" w:lastRow="0" w:firstColumn="0" w:lastColumn="0" w:oddVBand="0" w:evenVBand="0" w:oddHBand="0" w:evenHBand="1" w:firstRowFirstColumn="0" w:firstRowLastColumn="0" w:lastRowFirstColumn="0" w:lastRowLastColumn="0"/>
          <w:trHeight w:val="300"/>
        </w:trPr>
        <w:tc>
          <w:tcPr>
            <w:tcW w:w="702" w:type="pct"/>
            <w:noWrap/>
            <w:hideMark/>
          </w:tcPr>
          <w:p w14:paraId="0F561965" w14:textId="77777777" w:rsidR="00285F19" w:rsidRPr="00CC5AE6" w:rsidRDefault="00285F19" w:rsidP="006129E3">
            <w:pPr>
              <w:pStyle w:val="Tablebodytext"/>
              <w:jc w:val="right"/>
              <w:rPr>
                <w:lang w:eastAsia="en-AU"/>
              </w:rPr>
            </w:pPr>
            <w:r w:rsidRPr="00CC5AE6">
              <w:rPr>
                <w:lang w:eastAsia="en-AU"/>
              </w:rPr>
              <w:t>2011-12</w:t>
            </w:r>
          </w:p>
        </w:tc>
        <w:tc>
          <w:tcPr>
            <w:tcW w:w="703" w:type="pct"/>
            <w:noWrap/>
            <w:hideMark/>
          </w:tcPr>
          <w:p w14:paraId="7518E911" w14:textId="77777777" w:rsidR="00285F19" w:rsidRPr="00CC5AE6" w:rsidRDefault="00285F19" w:rsidP="006129E3">
            <w:pPr>
              <w:pStyle w:val="Tablebodytext"/>
              <w:jc w:val="right"/>
              <w:rPr>
                <w:lang w:eastAsia="en-AU"/>
              </w:rPr>
            </w:pPr>
            <w:r w:rsidRPr="00CC5AE6">
              <w:rPr>
                <w:lang w:eastAsia="en-AU"/>
              </w:rPr>
              <w:t>34,856</w:t>
            </w:r>
          </w:p>
        </w:tc>
        <w:tc>
          <w:tcPr>
            <w:tcW w:w="702" w:type="pct"/>
            <w:noWrap/>
            <w:hideMark/>
          </w:tcPr>
          <w:p w14:paraId="57B225EA" w14:textId="77777777" w:rsidR="00285F19" w:rsidRPr="00CC5AE6" w:rsidRDefault="00285F19" w:rsidP="006129E3">
            <w:pPr>
              <w:pStyle w:val="Tablebodytext"/>
              <w:jc w:val="right"/>
              <w:rPr>
                <w:lang w:eastAsia="en-AU"/>
              </w:rPr>
            </w:pPr>
            <w:r w:rsidRPr="00CC5AE6">
              <w:rPr>
                <w:lang w:eastAsia="en-AU"/>
              </w:rPr>
              <w:t>8.7</w:t>
            </w:r>
          </w:p>
        </w:tc>
        <w:tc>
          <w:tcPr>
            <w:tcW w:w="844" w:type="pct"/>
            <w:noWrap/>
            <w:hideMark/>
          </w:tcPr>
          <w:p w14:paraId="68655BD8" w14:textId="77777777" w:rsidR="00285F19" w:rsidRPr="00CC5AE6" w:rsidRDefault="00285F19" w:rsidP="006129E3">
            <w:pPr>
              <w:pStyle w:val="Tablebodytext"/>
              <w:jc w:val="right"/>
              <w:rPr>
                <w:lang w:eastAsia="en-AU"/>
              </w:rPr>
            </w:pPr>
            <w:r w:rsidRPr="00CC5AE6">
              <w:rPr>
                <w:lang w:eastAsia="en-AU"/>
              </w:rPr>
              <w:t>0.3</w:t>
            </w:r>
          </w:p>
        </w:tc>
        <w:tc>
          <w:tcPr>
            <w:tcW w:w="698" w:type="pct"/>
            <w:noWrap/>
            <w:hideMark/>
          </w:tcPr>
          <w:p w14:paraId="13816582" w14:textId="77777777" w:rsidR="00285F19" w:rsidRPr="00CC5AE6" w:rsidRDefault="00285F19" w:rsidP="006129E3">
            <w:pPr>
              <w:pStyle w:val="Tablebodytext"/>
              <w:jc w:val="right"/>
              <w:rPr>
                <w:lang w:eastAsia="en-AU"/>
              </w:rPr>
            </w:pPr>
            <w:r w:rsidRPr="00CC5AE6">
              <w:rPr>
                <w:lang w:eastAsia="en-AU"/>
              </w:rPr>
              <w:t>0.6</w:t>
            </w:r>
          </w:p>
        </w:tc>
        <w:tc>
          <w:tcPr>
            <w:tcW w:w="666" w:type="pct"/>
            <w:noWrap/>
            <w:hideMark/>
          </w:tcPr>
          <w:p w14:paraId="661FDF40" w14:textId="77777777" w:rsidR="00285F19" w:rsidRPr="00CC5AE6" w:rsidRDefault="00285F19" w:rsidP="006129E3">
            <w:pPr>
              <w:pStyle w:val="Tablebodytext"/>
              <w:jc w:val="right"/>
              <w:rPr>
                <w:lang w:eastAsia="en-AU"/>
              </w:rPr>
            </w:pPr>
            <w:r w:rsidRPr="00CC5AE6">
              <w:rPr>
                <w:lang w:eastAsia="en-AU"/>
              </w:rPr>
              <w:t>1.5</w:t>
            </w:r>
          </w:p>
        </w:tc>
        <w:tc>
          <w:tcPr>
            <w:tcW w:w="685" w:type="pct"/>
            <w:noWrap/>
            <w:hideMark/>
          </w:tcPr>
          <w:p w14:paraId="6FC48ED6" w14:textId="77777777" w:rsidR="00285F19" w:rsidRPr="00CC5AE6" w:rsidRDefault="00285F19" w:rsidP="006129E3">
            <w:pPr>
              <w:pStyle w:val="Tablebodytext"/>
              <w:jc w:val="right"/>
              <w:rPr>
                <w:lang w:eastAsia="en-AU"/>
              </w:rPr>
            </w:pPr>
            <w:r w:rsidRPr="00CC5AE6">
              <w:rPr>
                <w:lang w:eastAsia="en-AU"/>
              </w:rPr>
              <w:t>25.2</w:t>
            </w:r>
          </w:p>
        </w:tc>
      </w:tr>
      <w:tr w:rsidR="00285F19" w:rsidRPr="00CC5AE6" w14:paraId="7096045C" w14:textId="77777777" w:rsidTr="009E684E">
        <w:trPr>
          <w:cnfStyle w:val="000000100000" w:firstRow="0" w:lastRow="0" w:firstColumn="0" w:lastColumn="0" w:oddVBand="0" w:evenVBand="0" w:oddHBand="1" w:evenHBand="0" w:firstRowFirstColumn="0" w:firstRowLastColumn="0" w:lastRowFirstColumn="0" w:lastRowLastColumn="0"/>
          <w:trHeight w:val="300"/>
        </w:trPr>
        <w:tc>
          <w:tcPr>
            <w:tcW w:w="702" w:type="pct"/>
            <w:noWrap/>
            <w:hideMark/>
          </w:tcPr>
          <w:p w14:paraId="792358F9" w14:textId="77777777" w:rsidR="00285F19" w:rsidRPr="00CC5AE6" w:rsidRDefault="00285F19" w:rsidP="006129E3">
            <w:pPr>
              <w:pStyle w:val="Tablebodytext"/>
              <w:jc w:val="right"/>
              <w:rPr>
                <w:lang w:eastAsia="en-AU"/>
              </w:rPr>
            </w:pPr>
            <w:r w:rsidRPr="00CC5AE6">
              <w:rPr>
                <w:lang w:eastAsia="en-AU"/>
              </w:rPr>
              <w:t>2012-13</w:t>
            </w:r>
          </w:p>
        </w:tc>
        <w:tc>
          <w:tcPr>
            <w:tcW w:w="703" w:type="pct"/>
            <w:noWrap/>
            <w:hideMark/>
          </w:tcPr>
          <w:p w14:paraId="5C19304E" w14:textId="77777777" w:rsidR="00285F19" w:rsidRPr="00CC5AE6" w:rsidRDefault="00285F19" w:rsidP="006129E3">
            <w:pPr>
              <w:pStyle w:val="Tablebodytext"/>
              <w:jc w:val="right"/>
              <w:rPr>
                <w:lang w:eastAsia="en-AU"/>
              </w:rPr>
            </w:pPr>
            <w:r w:rsidRPr="00CC5AE6">
              <w:rPr>
                <w:lang w:eastAsia="en-AU"/>
              </w:rPr>
              <w:t>35,332</w:t>
            </w:r>
          </w:p>
        </w:tc>
        <w:tc>
          <w:tcPr>
            <w:tcW w:w="702" w:type="pct"/>
            <w:noWrap/>
            <w:hideMark/>
          </w:tcPr>
          <w:p w14:paraId="4D5F173F" w14:textId="77777777" w:rsidR="00285F19" w:rsidRPr="00CC5AE6" w:rsidRDefault="00285F19" w:rsidP="006129E3">
            <w:pPr>
              <w:pStyle w:val="Tablebodytext"/>
              <w:jc w:val="right"/>
              <w:rPr>
                <w:lang w:eastAsia="en-AU"/>
              </w:rPr>
            </w:pPr>
            <w:r w:rsidRPr="00CC5AE6">
              <w:rPr>
                <w:lang w:eastAsia="en-AU"/>
              </w:rPr>
              <w:t>8.9</w:t>
            </w:r>
          </w:p>
        </w:tc>
        <w:tc>
          <w:tcPr>
            <w:tcW w:w="844" w:type="pct"/>
            <w:noWrap/>
            <w:hideMark/>
          </w:tcPr>
          <w:p w14:paraId="540BAFD7" w14:textId="77777777" w:rsidR="00285F19" w:rsidRPr="00CC5AE6" w:rsidRDefault="00285F19" w:rsidP="006129E3">
            <w:pPr>
              <w:pStyle w:val="Tablebodytext"/>
              <w:jc w:val="right"/>
              <w:rPr>
                <w:lang w:eastAsia="en-AU"/>
              </w:rPr>
            </w:pPr>
            <w:r w:rsidRPr="00CC5AE6">
              <w:rPr>
                <w:lang w:eastAsia="en-AU"/>
              </w:rPr>
              <w:t>0.3</w:t>
            </w:r>
          </w:p>
        </w:tc>
        <w:tc>
          <w:tcPr>
            <w:tcW w:w="698" w:type="pct"/>
            <w:noWrap/>
            <w:hideMark/>
          </w:tcPr>
          <w:p w14:paraId="5F65B0C8" w14:textId="77777777" w:rsidR="00285F19" w:rsidRPr="00CC5AE6" w:rsidRDefault="00285F19" w:rsidP="006129E3">
            <w:pPr>
              <w:pStyle w:val="Tablebodytext"/>
              <w:jc w:val="right"/>
              <w:rPr>
                <w:lang w:eastAsia="en-AU"/>
              </w:rPr>
            </w:pPr>
            <w:r w:rsidRPr="00CC5AE6">
              <w:rPr>
                <w:lang w:eastAsia="en-AU"/>
              </w:rPr>
              <w:t>0.5</w:t>
            </w:r>
          </w:p>
        </w:tc>
        <w:tc>
          <w:tcPr>
            <w:tcW w:w="666" w:type="pct"/>
            <w:noWrap/>
            <w:hideMark/>
          </w:tcPr>
          <w:p w14:paraId="5B3BD527" w14:textId="77777777" w:rsidR="00285F19" w:rsidRPr="00CC5AE6" w:rsidRDefault="00285F19" w:rsidP="006129E3">
            <w:pPr>
              <w:pStyle w:val="Tablebodytext"/>
              <w:jc w:val="right"/>
              <w:rPr>
                <w:lang w:eastAsia="en-AU"/>
              </w:rPr>
            </w:pPr>
            <w:r w:rsidRPr="00CC5AE6">
              <w:rPr>
                <w:lang w:eastAsia="en-AU"/>
              </w:rPr>
              <w:t>1.6</w:t>
            </w:r>
          </w:p>
        </w:tc>
        <w:tc>
          <w:tcPr>
            <w:tcW w:w="685" w:type="pct"/>
            <w:noWrap/>
            <w:hideMark/>
          </w:tcPr>
          <w:p w14:paraId="216D139C" w14:textId="77777777" w:rsidR="00285F19" w:rsidRPr="00CC5AE6" w:rsidRDefault="00285F19" w:rsidP="006129E3">
            <w:pPr>
              <w:pStyle w:val="Tablebodytext"/>
              <w:jc w:val="right"/>
              <w:rPr>
                <w:lang w:eastAsia="en-AU"/>
              </w:rPr>
            </w:pPr>
            <w:r w:rsidRPr="00CC5AE6">
              <w:rPr>
                <w:lang w:eastAsia="en-AU"/>
              </w:rPr>
              <w:t>25.9</w:t>
            </w:r>
          </w:p>
        </w:tc>
      </w:tr>
      <w:tr w:rsidR="00285F19" w:rsidRPr="00CC5AE6" w14:paraId="6232F09C" w14:textId="77777777" w:rsidTr="009E684E">
        <w:trPr>
          <w:cnfStyle w:val="000000010000" w:firstRow="0" w:lastRow="0" w:firstColumn="0" w:lastColumn="0" w:oddVBand="0" w:evenVBand="0" w:oddHBand="0" w:evenHBand="1" w:firstRowFirstColumn="0" w:firstRowLastColumn="0" w:lastRowFirstColumn="0" w:lastRowLastColumn="0"/>
          <w:trHeight w:val="300"/>
        </w:trPr>
        <w:tc>
          <w:tcPr>
            <w:tcW w:w="702" w:type="pct"/>
            <w:noWrap/>
            <w:hideMark/>
          </w:tcPr>
          <w:p w14:paraId="46324292" w14:textId="77777777" w:rsidR="00285F19" w:rsidRPr="00CC5AE6" w:rsidRDefault="00285F19" w:rsidP="006129E3">
            <w:pPr>
              <w:pStyle w:val="Tablebodytext"/>
              <w:jc w:val="right"/>
              <w:rPr>
                <w:lang w:eastAsia="en-AU"/>
              </w:rPr>
            </w:pPr>
            <w:r w:rsidRPr="00CC5AE6">
              <w:rPr>
                <w:lang w:eastAsia="en-AU"/>
              </w:rPr>
              <w:t>2013-14</w:t>
            </w:r>
          </w:p>
        </w:tc>
        <w:tc>
          <w:tcPr>
            <w:tcW w:w="703" w:type="pct"/>
            <w:noWrap/>
            <w:hideMark/>
          </w:tcPr>
          <w:p w14:paraId="1130AC57" w14:textId="77777777" w:rsidR="00285F19" w:rsidRPr="00CC5AE6" w:rsidRDefault="00285F19" w:rsidP="006129E3">
            <w:pPr>
              <w:pStyle w:val="Tablebodytext"/>
              <w:jc w:val="right"/>
              <w:rPr>
                <w:lang w:eastAsia="en-AU"/>
              </w:rPr>
            </w:pPr>
            <w:r w:rsidRPr="00CC5AE6">
              <w:rPr>
                <w:lang w:eastAsia="en-AU"/>
              </w:rPr>
              <w:t>34,999</w:t>
            </w:r>
          </w:p>
        </w:tc>
        <w:tc>
          <w:tcPr>
            <w:tcW w:w="702" w:type="pct"/>
            <w:noWrap/>
            <w:hideMark/>
          </w:tcPr>
          <w:p w14:paraId="13503C28" w14:textId="77777777" w:rsidR="00285F19" w:rsidRPr="00CC5AE6" w:rsidRDefault="00285F19" w:rsidP="006129E3">
            <w:pPr>
              <w:pStyle w:val="Tablebodytext"/>
              <w:jc w:val="right"/>
              <w:rPr>
                <w:lang w:eastAsia="en-AU"/>
              </w:rPr>
            </w:pPr>
            <w:r w:rsidRPr="00CC5AE6">
              <w:rPr>
                <w:lang w:eastAsia="en-AU"/>
              </w:rPr>
              <w:t>9.4</w:t>
            </w:r>
          </w:p>
        </w:tc>
        <w:tc>
          <w:tcPr>
            <w:tcW w:w="844" w:type="pct"/>
            <w:noWrap/>
            <w:hideMark/>
          </w:tcPr>
          <w:p w14:paraId="08208701" w14:textId="77777777" w:rsidR="00285F19" w:rsidRPr="00CC5AE6" w:rsidRDefault="00285F19" w:rsidP="006129E3">
            <w:pPr>
              <w:pStyle w:val="Tablebodytext"/>
              <w:jc w:val="right"/>
              <w:rPr>
                <w:lang w:eastAsia="en-AU"/>
              </w:rPr>
            </w:pPr>
            <w:r w:rsidRPr="00CC5AE6">
              <w:rPr>
                <w:lang w:eastAsia="en-AU"/>
              </w:rPr>
              <w:t>0.3</w:t>
            </w:r>
          </w:p>
        </w:tc>
        <w:tc>
          <w:tcPr>
            <w:tcW w:w="698" w:type="pct"/>
            <w:noWrap/>
            <w:hideMark/>
          </w:tcPr>
          <w:p w14:paraId="62E7D4E1" w14:textId="77777777" w:rsidR="00285F19" w:rsidRPr="00CC5AE6" w:rsidRDefault="00285F19" w:rsidP="006129E3">
            <w:pPr>
              <w:pStyle w:val="Tablebodytext"/>
              <w:jc w:val="right"/>
              <w:rPr>
                <w:lang w:eastAsia="en-AU"/>
              </w:rPr>
            </w:pPr>
            <w:r w:rsidRPr="00CC5AE6">
              <w:rPr>
                <w:lang w:eastAsia="en-AU"/>
              </w:rPr>
              <w:t>0.6</w:t>
            </w:r>
          </w:p>
        </w:tc>
        <w:tc>
          <w:tcPr>
            <w:tcW w:w="666" w:type="pct"/>
            <w:noWrap/>
            <w:hideMark/>
          </w:tcPr>
          <w:p w14:paraId="72DE9952" w14:textId="77777777" w:rsidR="00285F19" w:rsidRPr="00CC5AE6" w:rsidRDefault="00285F19" w:rsidP="006129E3">
            <w:pPr>
              <w:pStyle w:val="Tablebodytext"/>
              <w:jc w:val="right"/>
              <w:rPr>
                <w:lang w:eastAsia="en-AU"/>
              </w:rPr>
            </w:pPr>
            <w:r w:rsidRPr="00CC5AE6">
              <w:rPr>
                <w:lang w:eastAsia="en-AU"/>
              </w:rPr>
              <w:t>1.7</w:t>
            </w:r>
          </w:p>
        </w:tc>
        <w:tc>
          <w:tcPr>
            <w:tcW w:w="685" w:type="pct"/>
            <w:noWrap/>
            <w:hideMark/>
          </w:tcPr>
          <w:p w14:paraId="60ACD9F8" w14:textId="77777777" w:rsidR="00285F19" w:rsidRPr="00CC5AE6" w:rsidRDefault="00285F19" w:rsidP="006129E3">
            <w:pPr>
              <w:pStyle w:val="Tablebodytext"/>
              <w:jc w:val="right"/>
              <w:rPr>
                <w:lang w:eastAsia="en-AU"/>
              </w:rPr>
            </w:pPr>
            <w:r w:rsidRPr="00CC5AE6">
              <w:rPr>
                <w:lang w:eastAsia="en-AU"/>
              </w:rPr>
              <w:t>26.0</w:t>
            </w:r>
          </w:p>
        </w:tc>
      </w:tr>
      <w:tr w:rsidR="00285F19" w:rsidRPr="00CC5AE6" w14:paraId="1E2508FA" w14:textId="77777777" w:rsidTr="00AE46D9">
        <w:trPr>
          <w:cnfStyle w:val="000000100000" w:firstRow="0" w:lastRow="0" w:firstColumn="0" w:lastColumn="0" w:oddVBand="0" w:evenVBand="0" w:oddHBand="1" w:evenHBand="0" w:firstRowFirstColumn="0" w:firstRowLastColumn="0" w:lastRowFirstColumn="0" w:lastRowLastColumn="0"/>
          <w:trHeight w:val="507"/>
        </w:trPr>
        <w:tc>
          <w:tcPr>
            <w:tcW w:w="5000" w:type="pct"/>
            <w:gridSpan w:val="7"/>
            <w:shd w:val="clear" w:color="auto" w:fill="005CAF"/>
            <w:noWrap/>
            <w:hideMark/>
          </w:tcPr>
          <w:p w14:paraId="574571A1" w14:textId="77777777" w:rsidR="00285F19" w:rsidRPr="00E447BA" w:rsidRDefault="00285F19" w:rsidP="006129E3">
            <w:pPr>
              <w:pStyle w:val="Tableheadertext"/>
              <w:jc w:val="center"/>
              <w:rPr>
                <w:b w:val="0"/>
                <w:lang w:eastAsia="en-AU"/>
              </w:rPr>
            </w:pPr>
            <w:r w:rsidRPr="00E447BA">
              <w:rPr>
                <w:lang w:eastAsia="en-AU"/>
              </w:rPr>
              <w:t>Non-sponsoring businesses</w:t>
            </w:r>
          </w:p>
        </w:tc>
      </w:tr>
      <w:tr w:rsidR="009E684E" w:rsidRPr="00CC5AE6" w14:paraId="7EF78E69" w14:textId="77777777" w:rsidTr="009E684E">
        <w:trPr>
          <w:cnfStyle w:val="000000010000" w:firstRow="0" w:lastRow="0" w:firstColumn="0" w:lastColumn="0" w:oddVBand="0" w:evenVBand="0" w:oddHBand="0" w:evenHBand="1" w:firstRowFirstColumn="0" w:firstRowLastColumn="0" w:lastRowFirstColumn="0" w:lastRowLastColumn="0"/>
          <w:trHeight w:val="300"/>
        </w:trPr>
        <w:tc>
          <w:tcPr>
            <w:tcW w:w="702" w:type="pct"/>
            <w:noWrap/>
            <w:hideMark/>
          </w:tcPr>
          <w:p w14:paraId="0DD63058" w14:textId="77777777" w:rsidR="00285F19" w:rsidRPr="00CC5AE6" w:rsidRDefault="00285F19" w:rsidP="006129E3">
            <w:pPr>
              <w:pStyle w:val="Tablebodytext"/>
              <w:jc w:val="right"/>
              <w:rPr>
                <w:lang w:eastAsia="en-AU"/>
              </w:rPr>
            </w:pPr>
          </w:p>
        </w:tc>
        <w:tc>
          <w:tcPr>
            <w:tcW w:w="703" w:type="pct"/>
            <w:noWrap/>
            <w:hideMark/>
          </w:tcPr>
          <w:p w14:paraId="6D096B6B" w14:textId="77777777" w:rsidR="00285F19" w:rsidRPr="00CC5AE6" w:rsidRDefault="00285F19" w:rsidP="006129E3">
            <w:pPr>
              <w:pStyle w:val="Tablebodytext"/>
              <w:jc w:val="right"/>
              <w:rPr>
                <w:lang w:eastAsia="en-AU"/>
              </w:rPr>
            </w:pPr>
            <w:r w:rsidRPr="00CC5AE6">
              <w:rPr>
                <w:lang w:eastAsia="en-AU"/>
              </w:rPr>
              <w:t>Count</w:t>
            </w:r>
          </w:p>
        </w:tc>
        <w:tc>
          <w:tcPr>
            <w:tcW w:w="702" w:type="pct"/>
            <w:noWrap/>
            <w:hideMark/>
          </w:tcPr>
          <w:p w14:paraId="1D6AE4B4" w14:textId="77777777" w:rsidR="00285F19" w:rsidRPr="00CC5AE6" w:rsidRDefault="00285F19" w:rsidP="006129E3">
            <w:pPr>
              <w:pStyle w:val="Tablebodytext"/>
              <w:jc w:val="right"/>
              <w:rPr>
                <w:lang w:eastAsia="en-AU"/>
              </w:rPr>
            </w:pPr>
            <w:r w:rsidRPr="00CC5AE6">
              <w:rPr>
                <w:lang w:eastAsia="en-AU"/>
              </w:rPr>
              <w:t>Turnover ($m)</w:t>
            </w:r>
          </w:p>
        </w:tc>
        <w:tc>
          <w:tcPr>
            <w:tcW w:w="844" w:type="pct"/>
            <w:noWrap/>
            <w:hideMark/>
          </w:tcPr>
          <w:p w14:paraId="28D4988C" w14:textId="77777777" w:rsidR="00285F19" w:rsidRPr="00CC5AE6" w:rsidRDefault="00285F19" w:rsidP="006129E3">
            <w:pPr>
              <w:pStyle w:val="Tablebodytext"/>
              <w:jc w:val="right"/>
              <w:rPr>
                <w:lang w:eastAsia="en-AU"/>
              </w:rPr>
            </w:pPr>
            <w:r w:rsidRPr="00CC5AE6">
              <w:rPr>
                <w:lang w:eastAsia="en-AU"/>
              </w:rPr>
              <w:t>Capital expenditure ($m)</w:t>
            </w:r>
          </w:p>
        </w:tc>
        <w:tc>
          <w:tcPr>
            <w:tcW w:w="698" w:type="pct"/>
            <w:noWrap/>
            <w:hideMark/>
          </w:tcPr>
          <w:p w14:paraId="7EECED73" w14:textId="77777777" w:rsidR="00285F19" w:rsidRPr="00CC5AE6" w:rsidRDefault="00285F19" w:rsidP="006129E3">
            <w:pPr>
              <w:pStyle w:val="Tablebodytext"/>
              <w:jc w:val="right"/>
              <w:rPr>
                <w:lang w:eastAsia="en-AU"/>
              </w:rPr>
            </w:pPr>
            <w:r w:rsidRPr="00CC5AE6">
              <w:rPr>
                <w:lang w:eastAsia="en-AU"/>
              </w:rPr>
              <w:t>Exports ($m)</w:t>
            </w:r>
          </w:p>
        </w:tc>
        <w:tc>
          <w:tcPr>
            <w:tcW w:w="666" w:type="pct"/>
            <w:noWrap/>
            <w:hideMark/>
          </w:tcPr>
          <w:p w14:paraId="625E56A0" w14:textId="77777777" w:rsidR="00285F19" w:rsidRPr="00CC5AE6" w:rsidRDefault="00285F19" w:rsidP="006129E3">
            <w:pPr>
              <w:pStyle w:val="Tablebodytext"/>
              <w:jc w:val="right"/>
              <w:rPr>
                <w:lang w:eastAsia="en-AU"/>
              </w:rPr>
            </w:pPr>
            <w:r w:rsidRPr="00CC5AE6">
              <w:rPr>
                <w:lang w:eastAsia="en-AU"/>
              </w:rPr>
              <w:t>Wages ($m)</w:t>
            </w:r>
          </w:p>
        </w:tc>
        <w:tc>
          <w:tcPr>
            <w:tcW w:w="685" w:type="pct"/>
            <w:noWrap/>
            <w:hideMark/>
          </w:tcPr>
          <w:p w14:paraId="582E3016" w14:textId="0EFA6D7C" w:rsidR="00285F19" w:rsidRPr="00CC5AE6" w:rsidRDefault="00285F19" w:rsidP="006129E3">
            <w:pPr>
              <w:pStyle w:val="Tablebodytext"/>
              <w:jc w:val="right"/>
              <w:rPr>
                <w:lang w:eastAsia="en-AU"/>
              </w:rPr>
            </w:pPr>
            <w:r w:rsidRPr="00CC5AE6">
              <w:rPr>
                <w:lang w:eastAsia="en-AU"/>
              </w:rPr>
              <w:t>Employ</w:t>
            </w:r>
            <w:r w:rsidR="009E684E">
              <w:rPr>
                <w:lang w:eastAsia="en-AU"/>
              </w:rPr>
              <w:t>-</w:t>
            </w:r>
            <w:r w:rsidRPr="00CC5AE6">
              <w:rPr>
                <w:lang w:eastAsia="en-AU"/>
              </w:rPr>
              <w:t>ment</w:t>
            </w:r>
          </w:p>
        </w:tc>
      </w:tr>
      <w:tr w:rsidR="00285F19" w:rsidRPr="00CC5AE6" w14:paraId="6E5F7CDC" w14:textId="77777777" w:rsidTr="009E684E">
        <w:trPr>
          <w:cnfStyle w:val="000000100000" w:firstRow="0" w:lastRow="0" w:firstColumn="0" w:lastColumn="0" w:oddVBand="0" w:evenVBand="0" w:oddHBand="1" w:evenHBand="0" w:firstRowFirstColumn="0" w:firstRowLastColumn="0" w:lastRowFirstColumn="0" w:lastRowLastColumn="0"/>
          <w:trHeight w:val="300"/>
        </w:trPr>
        <w:tc>
          <w:tcPr>
            <w:tcW w:w="702" w:type="pct"/>
            <w:noWrap/>
            <w:hideMark/>
          </w:tcPr>
          <w:p w14:paraId="7A1F4ADA" w14:textId="77777777" w:rsidR="00285F19" w:rsidRPr="00CC5AE6" w:rsidRDefault="00285F19" w:rsidP="006129E3">
            <w:pPr>
              <w:pStyle w:val="Tablebodytext"/>
              <w:jc w:val="right"/>
              <w:rPr>
                <w:lang w:eastAsia="en-AU"/>
              </w:rPr>
            </w:pPr>
            <w:r w:rsidRPr="00CC5AE6">
              <w:rPr>
                <w:lang w:eastAsia="en-AU"/>
              </w:rPr>
              <w:t>2007-08</w:t>
            </w:r>
          </w:p>
        </w:tc>
        <w:tc>
          <w:tcPr>
            <w:tcW w:w="703" w:type="pct"/>
            <w:noWrap/>
            <w:hideMark/>
          </w:tcPr>
          <w:p w14:paraId="1D877F04" w14:textId="77777777" w:rsidR="00285F19" w:rsidRPr="00CC5AE6" w:rsidRDefault="00285F19" w:rsidP="006129E3">
            <w:pPr>
              <w:pStyle w:val="Tablebodytext"/>
              <w:jc w:val="right"/>
              <w:rPr>
                <w:lang w:eastAsia="en-AU"/>
              </w:rPr>
            </w:pPr>
            <w:r w:rsidRPr="00CC5AE6">
              <w:rPr>
                <w:lang w:eastAsia="en-AU"/>
              </w:rPr>
              <w:t>682,959</w:t>
            </w:r>
          </w:p>
        </w:tc>
        <w:tc>
          <w:tcPr>
            <w:tcW w:w="702" w:type="pct"/>
            <w:noWrap/>
            <w:hideMark/>
          </w:tcPr>
          <w:p w14:paraId="72206CA1" w14:textId="77777777" w:rsidR="00285F19" w:rsidRPr="00CC5AE6" w:rsidRDefault="00285F19" w:rsidP="006129E3">
            <w:pPr>
              <w:pStyle w:val="Tablebodytext"/>
              <w:jc w:val="right"/>
              <w:rPr>
                <w:lang w:eastAsia="en-AU"/>
              </w:rPr>
            </w:pPr>
            <w:r w:rsidRPr="00CC5AE6">
              <w:rPr>
                <w:lang w:eastAsia="en-AU"/>
              </w:rPr>
              <w:t>1.4</w:t>
            </w:r>
          </w:p>
        </w:tc>
        <w:tc>
          <w:tcPr>
            <w:tcW w:w="844" w:type="pct"/>
            <w:noWrap/>
            <w:hideMark/>
          </w:tcPr>
          <w:p w14:paraId="60F454D2" w14:textId="77777777" w:rsidR="00285F19" w:rsidRPr="00CC5AE6" w:rsidRDefault="00285F19" w:rsidP="006129E3">
            <w:pPr>
              <w:pStyle w:val="Tablebodytext"/>
              <w:jc w:val="right"/>
              <w:rPr>
                <w:lang w:eastAsia="en-AU"/>
              </w:rPr>
            </w:pPr>
            <w:r w:rsidRPr="00CC5AE6">
              <w:rPr>
                <w:lang w:eastAsia="en-AU"/>
              </w:rPr>
              <w:t>0.1</w:t>
            </w:r>
          </w:p>
        </w:tc>
        <w:tc>
          <w:tcPr>
            <w:tcW w:w="698" w:type="pct"/>
            <w:noWrap/>
            <w:hideMark/>
          </w:tcPr>
          <w:p w14:paraId="1866F1B4" w14:textId="77777777" w:rsidR="00285F19" w:rsidRPr="00CC5AE6" w:rsidRDefault="00285F19" w:rsidP="006129E3">
            <w:pPr>
              <w:pStyle w:val="Tablebodytext"/>
              <w:jc w:val="right"/>
              <w:rPr>
                <w:lang w:eastAsia="en-AU"/>
              </w:rPr>
            </w:pPr>
            <w:r w:rsidRPr="00CC5AE6">
              <w:rPr>
                <w:lang w:eastAsia="en-AU"/>
              </w:rPr>
              <w:t>0.0</w:t>
            </w:r>
          </w:p>
        </w:tc>
        <w:tc>
          <w:tcPr>
            <w:tcW w:w="666" w:type="pct"/>
            <w:noWrap/>
            <w:hideMark/>
          </w:tcPr>
          <w:p w14:paraId="40535212" w14:textId="77777777" w:rsidR="00285F19" w:rsidRPr="00CC5AE6" w:rsidRDefault="00285F19" w:rsidP="006129E3">
            <w:pPr>
              <w:pStyle w:val="Tablebodytext"/>
              <w:jc w:val="right"/>
              <w:rPr>
                <w:lang w:eastAsia="en-AU"/>
              </w:rPr>
            </w:pPr>
            <w:r w:rsidRPr="00CC5AE6">
              <w:rPr>
                <w:lang w:eastAsia="en-AU"/>
              </w:rPr>
              <w:t>0.2</w:t>
            </w:r>
          </w:p>
        </w:tc>
        <w:tc>
          <w:tcPr>
            <w:tcW w:w="685" w:type="pct"/>
            <w:noWrap/>
            <w:hideMark/>
          </w:tcPr>
          <w:p w14:paraId="5780418C" w14:textId="77777777" w:rsidR="00285F19" w:rsidRPr="00CC5AE6" w:rsidRDefault="00285F19" w:rsidP="006129E3">
            <w:pPr>
              <w:pStyle w:val="Tablebodytext"/>
              <w:jc w:val="right"/>
              <w:rPr>
                <w:lang w:eastAsia="en-AU"/>
              </w:rPr>
            </w:pPr>
            <w:r w:rsidRPr="00CC5AE6">
              <w:rPr>
                <w:lang w:eastAsia="en-AU"/>
              </w:rPr>
              <w:t>4.6</w:t>
            </w:r>
          </w:p>
        </w:tc>
      </w:tr>
      <w:tr w:rsidR="00285F19" w:rsidRPr="00CC5AE6" w14:paraId="4AA37CC4" w14:textId="77777777" w:rsidTr="009E684E">
        <w:trPr>
          <w:cnfStyle w:val="000000010000" w:firstRow="0" w:lastRow="0" w:firstColumn="0" w:lastColumn="0" w:oddVBand="0" w:evenVBand="0" w:oddHBand="0" w:evenHBand="1" w:firstRowFirstColumn="0" w:firstRowLastColumn="0" w:lastRowFirstColumn="0" w:lastRowLastColumn="0"/>
          <w:trHeight w:val="300"/>
        </w:trPr>
        <w:tc>
          <w:tcPr>
            <w:tcW w:w="702" w:type="pct"/>
            <w:noWrap/>
            <w:hideMark/>
          </w:tcPr>
          <w:p w14:paraId="6045FE6E" w14:textId="77777777" w:rsidR="00285F19" w:rsidRPr="00CC5AE6" w:rsidRDefault="00285F19" w:rsidP="006129E3">
            <w:pPr>
              <w:pStyle w:val="Tablebodytext"/>
              <w:jc w:val="right"/>
              <w:rPr>
                <w:lang w:eastAsia="en-AU"/>
              </w:rPr>
            </w:pPr>
            <w:r w:rsidRPr="00CC5AE6">
              <w:rPr>
                <w:lang w:eastAsia="en-AU"/>
              </w:rPr>
              <w:t>2008-09</w:t>
            </w:r>
          </w:p>
        </w:tc>
        <w:tc>
          <w:tcPr>
            <w:tcW w:w="703" w:type="pct"/>
            <w:noWrap/>
            <w:hideMark/>
          </w:tcPr>
          <w:p w14:paraId="783E9B33" w14:textId="77777777" w:rsidR="00285F19" w:rsidRPr="00CC5AE6" w:rsidRDefault="00285F19" w:rsidP="006129E3">
            <w:pPr>
              <w:pStyle w:val="Tablebodytext"/>
              <w:jc w:val="right"/>
              <w:rPr>
                <w:lang w:eastAsia="en-AU"/>
              </w:rPr>
            </w:pPr>
            <w:r w:rsidRPr="00CC5AE6">
              <w:rPr>
                <w:lang w:eastAsia="en-AU"/>
              </w:rPr>
              <w:t>682,807</w:t>
            </w:r>
          </w:p>
        </w:tc>
        <w:tc>
          <w:tcPr>
            <w:tcW w:w="702" w:type="pct"/>
            <w:noWrap/>
            <w:hideMark/>
          </w:tcPr>
          <w:p w14:paraId="14D4DA2F" w14:textId="77777777" w:rsidR="00285F19" w:rsidRPr="00CC5AE6" w:rsidRDefault="00285F19" w:rsidP="006129E3">
            <w:pPr>
              <w:pStyle w:val="Tablebodytext"/>
              <w:jc w:val="right"/>
              <w:rPr>
                <w:lang w:eastAsia="en-AU"/>
              </w:rPr>
            </w:pPr>
            <w:r w:rsidRPr="00CC5AE6">
              <w:rPr>
                <w:lang w:eastAsia="en-AU"/>
              </w:rPr>
              <w:t>1.5</w:t>
            </w:r>
          </w:p>
        </w:tc>
        <w:tc>
          <w:tcPr>
            <w:tcW w:w="844" w:type="pct"/>
            <w:noWrap/>
            <w:hideMark/>
          </w:tcPr>
          <w:p w14:paraId="44C2EADB" w14:textId="77777777" w:rsidR="00285F19" w:rsidRPr="00CC5AE6" w:rsidRDefault="00285F19" w:rsidP="006129E3">
            <w:pPr>
              <w:pStyle w:val="Tablebodytext"/>
              <w:jc w:val="right"/>
              <w:rPr>
                <w:lang w:eastAsia="en-AU"/>
              </w:rPr>
            </w:pPr>
            <w:r w:rsidRPr="00CC5AE6">
              <w:rPr>
                <w:lang w:eastAsia="en-AU"/>
              </w:rPr>
              <w:t>0.1</w:t>
            </w:r>
          </w:p>
        </w:tc>
        <w:tc>
          <w:tcPr>
            <w:tcW w:w="698" w:type="pct"/>
            <w:noWrap/>
            <w:hideMark/>
          </w:tcPr>
          <w:p w14:paraId="04B8ACBA" w14:textId="77777777" w:rsidR="00285F19" w:rsidRPr="00CC5AE6" w:rsidRDefault="00285F19" w:rsidP="006129E3">
            <w:pPr>
              <w:pStyle w:val="Tablebodytext"/>
              <w:jc w:val="right"/>
              <w:rPr>
                <w:lang w:eastAsia="en-AU"/>
              </w:rPr>
            </w:pPr>
            <w:r w:rsidRPr="00CC5AE6">
              <w:rPr>
                <w:lang w:eastAsia="en-AU"/>
              </w:rPr>
              <w:t>0.0</w:t>
            </w:r>
          </w:p>
        </w:tc>
        <w:tc>
          <w:tcPr>
            <w:tcW w:w="666" w:type="pct"/>
            <w:noWrap/>
            <w:hideMark/>
          </w:tcPr>
          <w:p w14:paraId="3BC714E4" w14:textId="77777777" w:rsidR="00285F19" w:rsidRPr="00CC5AE6" w:rsidRDefault="00285F19" w:rsidP="006129E3">
            <w:pPr>
              <w:pStyle w:val="Tablebodytext"/>
              <w:jc w:val="right"/>
              <w:rPr>
                <w:lang w:eastAsia="en-AU"/>
              </w:rPr>
            </w:pPr>
            <w:r w:rsidRPr="00CC5AE6">
              <w:rPr>
                <w:lang w:eastAsia="en-AU"/>
              </w:rPr>
              <w:t>0.2</w:t>
            </w:r>
          </w:p>
        </w:tc>
        <w:tc>
          <w:tcPr>
            <w:tcW w:w="685" w:type="pct"/>
            <w:noWrap/>
            <w:hideMark/>
          </w:tcPr>
          <w:p w14:paraId="5F7946F1" w14:textId="77777777" w:rsidR="00285F19" w:rsidRPr="00CC5AE6" w:rsidRDefault="00285F19" w:rsidP="006129E3">
            <w:pPr>
              <w:pStyle w:val="Tablebodytext"/>
              <w:jc w:val="right"/>
              <w:rPr>
                <w:lang w:eastAsia="en-AU"/>
              </w:rPr>
            </w:pPr>
            <w:r w:rsidRPr="00CC5AE6">
              <w:rPr>
                <w:lang w:eastAsia="en-AU"/>
              </w:rPr>
              <w:t>4.5</w:t>
            </w:r>
          </w:p>
        </w:tc>
      </w:tr>
      <w:tr w:rsidR="00285F19" w:rsidRPr="00CC5AE6" w14:paraId="11C1FBE3" w14:textId="77777777" w:rsidTr="009E684E">
        <w:trPr>
          <w:cnfStyle w:val="000000100000" w:firstRow="0" w:lastRow="0" w:firstColumn="0" w:lastColumn="0" w:oddVBand="0" w:evenVBand="0" w:oddHBand="1" w:evenHBand="0" w:firstRowFirstColumn="0" w:firstRowLastColumn="0" w:lastRowFirstColumn="0" w:lastRowLastColumn="0"/>
          <w:trHeight w:val="300"/>
        </w:trPr>
        <w:tc>
          <w:tcPr>
            <w:tcW w:w="702" w:type="pct"/>
            <w:noWrap/>
            <w:hideMark/>
          </w:tcPr>
          <w:p w14:paraId="7CF656A6" w14:textId="77777777" w:rsidR="00285F19" w:rsidRPr="00CC5AE6" w:rsidRDefault="00285F19" w:rsidP="006129E3">
            <w:pPr>
              <w:pStyle w:val="Tablebodytext"/>
              <w:jc w:val="right"/>
              <w:rPr>
                <w:lang w:eastAsia="en-AU"/>
              </w:rPr>
            </w:pPr>
            <w:r w:rsidRPr="00CC5AE6">
              <w:rPr>
                <w:lang w:eastAsia="en-AU"/>
              </w:rPr>
              <w:t>2009-10</w:t>
            </w:r>
          </w:p>
        </w:tc>
        <w:tc>
          <w:tcPr>
            <w:tcW w:w="703" w:type="pct"/>
            <w:noWrap/>
            <w:hideMark/>
          </w:tcPr>
          <w:p w14:paraId="11670A48" w14:textId="77777777" w:rsidR="00285F19" w:rsidRPr="00CC5AE6" w:rsidRDefault="00285F19" w:rsidP="006129E3">
            <w:pPr>
              <w:pStyle w:val="Tablebodytext"/>
              <w:jc w:val="right"/>
              <w:rPr>
                <w:lang w:eastAsia="en-AU"/>
              </w:rPr>
            </w:pPr>
            <w:r w:rsidRPr="00CC5AE6">
              <w:rPr>
                <w:lang w:eastAsia="en-AU"/>
              </w:rPr>
              <w:t>687,275</w:t>
            </w:r>
          </w:p>
        </w:tc>
        <w:tc>
          <w:tcPr>
            <w:tcW w:w="702" w:type="pct"/>
            <w:noWrap/>
            <w:hideMark/>
          </w:tcPr>
          <w:p w14:paraId="390215E4" w14:textId="77777777" w:rsidR="00285F19" w:rsidRPr="00CC5AE6" w:rsidRDefault="00285F19" w:rsidP="006129E3">
            <w:pPr>
              <w:pStyle w:val="Tablebodytext"/>
              <w:jc w:val="right"/>
              <w:rPr>
                <w:lang w:eastAsia="en-AU"/>
              </w:rPr>
            </w:pPr>
            <w:r w:rsidRPr="00CC5AE6">
              <w:rPr>
                <w:lang w:eastAsia="en-AU"/>
              </w:rPr>
              <w:t>1.5</w:t>
            </w:r>
          </w:p>
        </w:tc>
        <w:tc>
          <w:tcPr>
            <w:tcW w:w="844" w:type="pct"/>
            <w:noWrap/>
            <w:hideMark/>
          </w:tcPr>
          <w:p w14:paraId="200EAC57" w14:textId="77777777" w:rsidR="00285F19" w:rsidRPr="00CC5AE6" w:rsidRDefault="00285F19" w:rsidP="006129E3">
            <w:pPr>
              <w:pStyle w:val="Tablebodytext"/>
              <w:jc w:val="right"/>
              <w:rPr>
                <w:lang w:eastAsia="en-AU"/>
              </w:rPr>
            </w:pPr>
            <w:r w:rsidRPr="00CC5AE6">
              <w:rPr>
                <w:lang w:eastAsia="en-AU"/>
              </w:rPr>
              <w:t>0.1</w:t>
            </w:r>
          </w:p>
        </w:tc>
        <w:tc>
          <w:tcPr>
            <w:tcW w:w="698" w:type="pct"/>
            <w:noWrap/>
            <w:hideMark/>
          </w:tcPr>
          <w:p w14:paraId="6DF63748" w14:textId="77777777" w:rsidR="00285F19" w:rsidRPr="00CC5AE6" w:rsidRDefault="00285F19" w:rsidP="006129E3">
            <w:pPr>
              <w:pStyle w:val="Tablebodytext"/>
              <w:jc w:val="right"/>
              <w:rPr>
                <w:lang w:eastAsia="en-AU"/>
              </w:rPr>
            </w:pPr>
            <w:r w:rsidRPr="00CC5AE6">
              <w:rPr>
                <w:lang w:eastAsia="en-AU"/>
              </w:rPr>
              <w:t>0.0</w:t>
            </w:r>
          </w:p>
        </w:tc>
        <w:tc>
          <w:tcPr>
            <w:tcW w:w="666" w:type="pct"/>
            <w:noWrap/>
            <w:hideMark/>
          </w:tcPr>
          <w:p w14:paraId="19B3AF68" w14:textId="77777777" w:rsidR="00285F19" w:rsidRPr="00CC5AE6" w:rsidRDefault="00285F19" w:rsidP="006129E3">
            <w:pPr>
              <w:pStyle w:val="Tablebodytext"/>
              <w:jc w:val="right"/>
              <w:rPr>
                <w:lang w:eastAsia="en-AU"/>
              </w:rPr>
            </w:pPr>
            <w:r w:rsidRPr="00CC5AE6">
              <w:rPr>
                <w:lang w:eastAsia="en-AU"/>
              </w:rPr>
              <w:t>0.2</w:t>
            </w:r>
          </w:p>
        </w:tc>
        <w:tc>
          <w:tcPr>
            <w:tcW w:w="685" w:type="pct"/>
            <w:noWrap/>
            <w:hideMark/>
          </w:tcPr>
          <w:p w14:paraId="1D5CF223" w14:textId="77777777" w:rsidR="00285F19" w:rsidRPr="00CC5AE6" w:rsidRDefault="00285F19" w:rsidP="006129E3">
            <w:pPr>
              <w:pStyle w:val="Tablebodytext"/>
              <w:jc w:val="right"/>
              <w:rPr>
                <w:lang w:eastAsia="en-AU"/>
              </w:rPr>
            </w:pPr>
            <w:r w:rsidRPr="00CC5AE6">
              <w:rPr>
                <w:lang w:eastAsia="en-AU"/>
              </w:rPr>
              <w:t>4.5</w:t>
            </w:r>
          </w:p>
        </w:tc>
      </w:tr>
      <w:tr w:rsidR="00285F19" w:rsidRPr="00CC5AE6" w14:paraId="68484BB8" w14:textId="77777777" w:rsidTr="009E684E">
        <w:trPr>
          <w:cnfStyle w:val="000000010000" w:firstRow="0" w:lastRow="0" w:firstColumn="0" w:lastColumn="0" w:oddVBand="0" w:evenVBand="0" w:oddHBand="0" w:evenHBand="1" w:firstRowFirstColumn="0" w:firstRowLastColumn="0" w:lastRowFirstColumn="0" w:lastRowLastColumn="0"/>
          <w:trHeight w:val="300"/>
        </w:trPr>
        <w:tc>
          <w:tcPr>
            <w:tcW w:w="702" w:type="pct"/>
            <w:noWrap/>
            <w:hideMark/>
          </w:tcPr>
          <w:p w14:paraId="59E8FEC4" w14:textId="77777777" w:rsidR="00285F19" w:rsidRPr="00CC5AE6" w:rsidRDefault="00285F19" w:rsidP="006129E3">
            <w:pPr>
              <w:pStyle w:val="Tablebodytext"/>
              <w:jc w:val="right"/>
              <w:rPr>
                <w:lang w:eastAsia="en-AU"/>
              </w:rPr>
            </w:pPr>
            <w:r w:rsidRPr="00CC5AE6">
              <w:rPr>
                <w:lang w:eastAsia="en-AU"/>
              </w:rPr>
              <w:t>2010-11</w:t>
            </w:r>
          </w:p>
        </w:tc>
        <w:tc>
          <w:tcPr>
            <w:tcW w:w="703" w:type="pct"/>
            <w:noWrap/>
            <w:hideMark/>
          </w:tcPr>
          <w:p w14:paraId="5A829418" w14:textId="77777777" w:rsidR="00285F19" w:rsidRPr="00CC5AE6" w:rsidRDefault="00285F19" w:rsidP="006129E3">
            <w:pPr>
              <w:pStyle w:val="Tablebodytext"/>
              <w:jc w:val="right"/>
              <w:rPr>
                <w:lang w:eastAsia="en-AU"/>
              </w:rPr>
            </w:pPr>
            <w:r w:rsidRPr="00CC5AE6">
              <w:rPr>
                <w:lang w:eastAsia="en-AU"/>
              </w:rPr>
              <w:t>690,146</w:t>
            </w:r>
          </w:p>
        </w:tc>
        <w:tc>
          <w:tcPr>
            <w:tcW w:w="702" w:type="pct"/>
            <w:noWrap/>
            <w:hideMark/>
          </w:tcPr>
          <w:p w14:paraId="5E785653" w14:textId="77777777" w:rsidR="00285F19" w:rsidRPr="00CC5AE6" w:rsidRDefault="00285F19" w:rsidP="006129E3">
            <w:pPr>
              <w:pStyle w:val="Tablebodytext"/>
              <w:jc w:val="right"/>
              <w:rPr>
                <w:lang w:eastAsia="en-AU"/>
              </w:rPr>
            </w:pPr>
            <w:r w:rsidRPr="00CC5AE6">
              <w:rPr>
                <w:lang w:eastAsia="en-AU"/>
              </w:rPr>
              <w:t>1.6</w:t>
            </w:r>
          </w:p>
        </w:tc>
        <w:tc>
          <w:tcPr>
            <w:tcW w:w="844" w:type="pct"/>
            <w:noWrap/>
            <w:hideMark/>
          </w:tcPr>
          <w:p w14:paraId="4994A6C9" w14:textId="77777777" w:rsidR="00285F19" w:rsidRPr="00CC5AE6" w:rsidRDefault="00285F19" w:rsidP="006129E3">
            <w:pPr>
              <w:pStyle w:val="Tablebodytext"/>
              <w:jc w:val="right"/>
              <w:rPr>
                <w:lang w:eastAsia="en-AU"/>
              </w:rPr>
            </w:pPr>
            <w:r w:rsidRPr="00CC5AE6">
              <w:rPr>
                <w:lang w:eastAsia="en-AU"/>
              </w:rPr>
              <w:t>0.1</w:t>
            </w:r>
          </w:p>
        </w:tc>
        <w:tc>
          <w:tcPr>
            <w:tcW w:w="698" w:type="pct"/>
            <w:noWrap/>
            <w:hideMark/>
          </w:tcPr>
          <w:p w14:paraId="66CF57CA" w14:textId="77777777" w:rsidR="00285F19" w:rsidRPr="00CC5AE6" w:rsidRDefault="00285F19" w:rsidP="006129E3">
            <w:pPr>
              <w:pStyle w:val="Tablebodytext"/>
              <w:jc w:val="right"/>
              <w:rPr>
                <w:lang w:eastAsia="en-AU"/>
              </w:rPr>
            </w:pPr>
            <w:r w:rsidRPr="00CC5AE6">
              <w:rPr>
                <w:lang w:eastAsia="en-AU"/>
              </w:rPr>
              <w:t>0.1</w:t>
            </w:r>
          </w:p>
        </w:tc>
        <w:tc>
          <w:tcPr>
            <w:tcW w:w="666" w:type="pct"/>
            <w:noWrap/>
            <w:hideMark/>
          </w:tcPr>
          <w:p w14:paraId="3B67DA5E" w14:textId="77777777" w:rsidR="00285F19" w:rsidRPr="00CC5AE6" w:rsidRDefault="00285F19" w:rsidP="006129E3">
            <w:pPr>
              <w:pStyle w:val="Tablebodytext"/>
              <w:jc w:val="right"/>
              <w:rPr>
                <w:lang w:eastAsia="en-AU"/>
              </w:rPr>
            </w:pPr>
            <w:r w:rsidRPr="00CC5AE6">
              <w:rPr>
                <w:lang w:eastAsia="en-AU"/>
              </w:rPr>
              <w:t>0.3</w:t>
            </w:r>
          </w:p>
        </w:tc>
        <w:tc>
          <w:tcPr>
            <w:tcW w:w="685" w:type="pct"/>
            <w:noWrap/>
            <w:hideMark/>
          </w:tcPr>
          <w:p w14:paraId="1A3116E7" w14:textId="77777777" w:rsidR="00285F19" w:rsidRPr="00CC5AE6" w:rsidRDefault="00285F19" w:rsidP="006129E3">
            <w:pPr>
              <w:pStyle w:val="Tablebodytext"/>
              <w:jc w:val="right"/>
              <w:rPr>
                <w:lang w:eastAsia="en-AU"/>
              </w:rPr>
            </w:pPr>
            <w:r w:rsidRPr="00CC5AE6">
              <w:rPr>
                <w:lang w:eastAsia="en-AU"/>
              </w:rPr>
              <w:t>4.6</w:t>
            </w:r>
          </w:p>
        </w:tc>
      </w:tr>
      <w:tr w:rsidR="00285F19" w:rsidRPr="00CC5AE6" w14:paraId="31D6EEDA" w14:textId="77777777" w:rsidTr="009E684E">
        <w:trPr>
          <w:cnfStyle w:val="000000100000" w:firstRow="0" w:lastRow="0" w:firstColumn="0" w:lastColumn="0" w:oddVBand="0" w:evenVBand="0" w:oddHBand="1" w:evenHBand="0" w:firstRowFirstColumn="0" w:firstRowLastColumn="0" w:lastRowFirstColumn="0" w:lastRowLastColumn="0"/>
          <w:trHeight w:val="300"/>
        </w:trPr>
        <w:tc>
          <w:tcPr>
            <w:tcW w:w="702" w:type="pct"/>
            <w:noWrap/>
            <w:hideMark/>
          </w:tcPr>
          <w:p w14:paraId="388DCDB3" w14:textId="77777777" w:rsidR="00285F19" w:rsidRPr="00CC5AE6" w:rsidRDefault="00285F19" w:rsidP="006129E3">
            <w:pPr>
              <w:pStyle w:val="Tablebodytext"/>
              <w:jc w:val="right"/>
              <w:rPr>
                <w:lang w:eastAsia="en-AU"/>
              </w:rPr>
            </w:pPr>
            <w:r w:rsidRPr="00CC5AE6">
              <w:rPr>
                <w:lang w:eastAsia="en-AU"/>
              </w:rPr>
              <w:t>2011-12</w:t>
            </w:r>
          </w:p>
        </w:tc>
        <w:tc>
          <w:tcPr>
            <w:tcW w:w="703" w:type="pct"/>
            <w:noWrap/>
            <w:hideMark/>
          </w:tcPr>
          <w:p w14:paraId="33192F89" w14:textId="77777777" w:rsidR="00285F19" w:rsidRPr="00CC5AE6" w:rsidRDefault="00285F19" w:rsidP="006129E3">
            <w:pPr>
              <w:pStyle w:val="Tablebodytext"/>
              <w:jc w:val="right"/>
              <w:rPr>
                <w:lang w:eastAsia="en-AU"/>
              </w:rPr>
            </w:pPr>
            <w:r w:rsidRPr="00CC5AE6">
              <w:rPr>
                <w:lang w:eastAsia="en-AU"/>
              </w:rPr>
              <w:t>689,984</w:t>
            </w:r>
          </w:p>
        </w:tc>
        <w:tc>
          <w:tcPr>
            <w:tcW w:w="702" w:type="pct"/>
            <w:noWrap/>
            <w:hideMark/>
          </w:tcPr>
          <w:p w14:paraId="684156A3" w14:textId="77777777" w:rsidR="00285F19" w:rsidRPr="00CC5AE6" w:rsidRDefault="00285F19" w:rsidP="006129E3">
            <w:pPr>
              <w:pStyle w:val="Tablebodytext"/>
              <w:jc w:val="right"/>
              <w:rPr>
                <w:lang w:eastAsia="en-AU"/>
              </w:rPr>
            </w:pPr>
            <w:r w:rsidRPr="00CC5AE6">
              <w:rPr>
                <w:lang w:eastAsia="en-AU"/>
              </w:rPr>
              <w:t>2.0</w:t>
            </w:r>
          </w:p>
        </w:tc>
        <w:tc>
          <w:tcPr>
            <w:tcW w:w="844" w:type="pct"/>
            <w:noWrap/>
            <w:hideMark/>
          </w:tcPr>
          <w:p w14:paraId="2DA58A13" w14:textId="77777777" w:rsidR="00285F19" w:rsidRPr="00CC5AE6" w:rsidRDefault="00285F19" w:rsidP="006129E3">
            <w:pPr>
              <w:pStyle w:val="Tablebodytext"/>
              <w:jc w:val="right"/>
              <w:rPr>
                <w:lang w:eastAsia="en-AU"/>
              </w:rPr>
            </w:pPr>
            <w:r w:rsidRPr="00CC5AE6">
              <w:rPr>
                <w:lang w:eastAsia="en-AU"/>
              </w:rPr>
              <w:t>0.1</w:t>
            </w:r>
          </w:p>
        </w:tc>
        <w:tc>
          <w:tcPr>
            <w:tcW w:w="698" w:type="pct"/>
            <w:noWrap/>
            <w:hideMark/>
          </w:tcPr>
          <w:p w14:paraId="42AED318" w14:textId="77777777" w:rsidR="00285F19" w:rsidRPr="00CC5AE6" w:rsidRDefault="00285F19" w:rsidP="006129E3">
            <w:pPr>
              <w:pStyle w:val="Tablebodytext"/>
              <w:jc w:val="right"/>
              <w:rPr>
                <w:lang w:eastAsia="en-AU"/>
              </w:rPr>
            </w:pPr>
            <w:r w:rsidRPr="00CC5AE6">
              <w:rPr>
                <w:lang w:eastAsia="en-AU"/>
              </w:rPr>
              <w:t>0.1</w:t>
            </w:r>
          </w:p>
        </w:tc>
        <w:tc>
          <w:tcPr>
            <w:tcW w:w="666" w:type="pct"/>
            <w:noWrap/>
            <w:hideMark/>
          </w:tcPr>
          <w:p w14:paraId="47E5118A" w14:textId="77777777" w:rsidR="00285F19" w:rsidRPr="00CC5AE6" w:rsidRDefault="00285F19" w:rsidP="006129E3">
            <w:pPr>
              <w:pStyle w:val="Tablebodytext"/>
              <w:jc w:val="right"/>
              <w:rPr>
                <w:lang w:eastAsia="en-AU"/>
              </w:rPr>
            </w:pPr>
            <w:r w:rsidRPr="00CC5AE6">
              <w:rPr>
                <w:lang w:eastAsia="en-AU"/>
              </w:rPr>
              <w:t>0.3</w:t>
            </w:r>
          </w:p>
        </w:tc>
        <w:tc>
          <w:tcPr>
            <w:tcW w:w="685" w:type="pct"/>
            <w:noWrap/>
            <w:hideMark/>
          </w:tcPr>
          <w:p w14:paraId="39DEC276" w14:textId="77777777" w:rsidR="00285F19" w:rsidRPr="00CC5AE6" w:rsidRDefault="00285F19" w:rsidP="006129E3">
            <w:pPr>
              <w:pStyle w:val="Tablebodytext"/>
              <w:jc w:val="right"/>
              <w:rPr>
                <w:lang w:eastAsia="en-AU"/>
              </w:rPr>
            </w:pPr>
            <w:r w:rsidRPr="00CC5AE6">
              <w:rPr>
                <w:lang w:eastAsia="en-AU"/>
              </w:rPr>
              <w:t>4.7</w:t>
            </w:r>
          </w:p>
        </w:tc>
      </w:tr>
      <w:tr w:rsidR="00285F19" w:rsidRPr="00CC5AE6" w14:paraId="544F4FE8" w14:textId="77777777" w:rsidTr="009E684E">
        <w:trPr>
          <w:cnfStyle w:val="000000010000" w:firstRow="0" w:lastRow="0" w:firstColumn="0" w:lastColumn="0" w:oddVBand="0" w:evenVBand="0" w:oddHBand="0" w:evenHBand="1" w:firstRowFirstColumn="0" w:firstRowLastColumn="0" w:lastRowFirstColumn="0" w:lastRowLastColumn="0"/>
          <w:trHeight w:val="300"/>
        </w:trPr>
        <w:tc>
          <w:tcPr>
            <w:tcW w:w="702" w:type="pct"/>
            <w:noWrap/>
            <w:hideMark/>
          </w:tcPr>
          <w:p w14:paraId="1D95EDB3" w14:textId="77777777" w:rsidR="00285F19" w:rsidRPr="00CC5AE6" w:rsidRDefault="00285F19" w:rsidP="006129E3">
            <w:pPr>
              <w:pStyle w:val="Tablebodytext"/>
              <w:jc w:val="right"/>
              <w:rPr>
                <w:lang w:eastAsia="en-AU"/>
              </w:rPr>
            </w:pPr>
            <w:r w:rsidRPr="00CC5AE6">
              <w:rPr>
                <w:lang w:eastAsia="en-AU"/>
              </w:rPr>
              <w:t>2012-13</w:t>
            </w:r>
          </w:p>
        </w:tc>
        <w:tc>
          <w:tcPr>
            <w:tcW w:w="703" w:type="pct"/>
            <w:noWrap/>
            <w:hideMark/>
          </w:tcPr>
          <w:p w14:paraId="1BCCB0F7" w14:textId="77777777" w:rsidR="00285F19" w:rsidRPr="00CC5AE6" w:rsidRDefault="00285F19" w:rsidP="006129E3">
            <w:pPr>
              <w:pStyle w:val="Tablebodytext"/>
              <w:jc w:val="right"/>
              <w:rPr>
                <w:lang w:eastAsia="en-AU"/>
              </w:rPr>
            </w:pPr>
            <w:r w:rsidRPr="00CC5AE6">
              <w:rPr>
                <w:lang w:eastAsia="en-AU"/>
              </w:rPr>
              <w:t>691,015</w:t>
            </w:r>
          </w:p>
        </w:tc>
        <w:tc>
          <w:tcPr>
            <w:tcW w:w="702" w:type="pct"/>
            <w:noWrap/>
            <w:hideMark/>
          </w:tcPr>
          <w:p w14:paraId="16ADAB68" w14:textId="77777777" w:rsidR="00285F19" w:rsidRPr="00CC5AE6" w:rsidRDefault="00285F19" w:rsidP="006129E3">
            <w:pPr>
              <w:pStyle w:val="Tablebodytext"/>
              <w:jc w:val="right"/>
              <w:rPr>
                <w:lang w:eastAsia="en-AU"/>
              </w:rPr>
            </w:pPr>
            <w:r w:rsidRPr="00CC5AE6">
              <w:rPr>
                <w:lang w:eastAsia="en-AU"/>
              </w:rPr>
              <w:t>1.9</w:t>
            </w:r>
          </w:p>
        </w:tc>
        <w:tc>
          <w:tcPr>
            <w:tcW w:w="844" w:type="pct"/>
            <w:noWrap/>
            <w:hideMark/>
          </w:tcPr>
          <w:p w14:paraId="1F9566B0" w14:textId="77777777" w:rsidR="00285F19" w:rsidRPr="00CC5AE6" w:rsidRDefault="00285F19" w:rsidP="006129E3">
            <w:pPr>
              <w:pStyle w:val="Tablebodytext"/>
              <w:jc w:val="right"/>
              <w:rPr>
                <w:lang w:eastAsia="en-AU"/>
              </w:rPr>
            </w:pPr>
            <w:r w:rsidRPr="00CC5AE6">
              <w:rPr>
                <w:lang w:eastAsia="en-AU"/>
              </w:rPr>
              <w:t>0.1</w:t>
            </w:r>
          </w:p>
        </w:tc>
        <w:tc>
          <w:tcPr>
            <w:tcW w:w="698" w:type="pct"/>
            <w:noWrap/>
            <w:hideMark/>
          </w:tcPr>
          <w:p w14:paraId="4191205D" w14:textId="77777777" w:rsidR="00285F19" w:rsidRPr="00CC5AE6" w:rsidRDefault="00285F19" w:rsidP="006129E3">
            <w:pPr>
              <w:pStyle w:val="Tablebodytext"/>
              <w:jc w:val="right"/>
              <w:rPr>
                <w:lang w:eastAsia="en-AU"/>
              </w:rPr>
            </w:pPr>
            <w:r w:rsidRPr="00CC5AE6">
              <w:rPr>
                <w:lang w:eastAsia="en-AU"/>
              </w:rPr>
              <w:t>0.1</w:t>
            </w:r>
          </w:p>
        </w:tc>
        <w:tc>
          <w:tcPr>
            <w:tcW w:w="666" w:type="pct"/>
            <w:noWrap/>
            <w:hideMark/>
          </w:tcPr>
          <w:p w14:paraId="779372FD" w14:textId="77777777" w:rsidR="00285F19" w:rsidRPr="00CC5AE6" w:rsidRDefault="00285F19" w:rsidP="006129E3">
            <w:pPr>
              <w:pStyle w:val="Tablebodytext"/>
              <w:jc w:val="right"/>
              <w:rPr>
                <w:lang w:eastAsia="en-AU"/>
              </w:rPr>
            </w:pPr>
            <w:r w:rsidRPr="00CC5AE6">
              <w:rPr>
                <w:lang w:eastAsia="en-AU"/>
              </w:rPr>
              <w:t>0.3</w:t>
            </w:r>
          </w:p>
        </w:tc>
        <w:tc>
          <w:tcPr>
            <w:tcW w:w="685" w:type="pct"/>
            <w:noWrap/>
            <w:hideMark/>
          </w:tcPr>
          <w:p w14:paraId="6EAF40A1" w14:textId="77777777" w:rsidR="00285F19" w:rsidRPr="00CC5AE6" w:rsidRDefault="00285F19" w:rsidP="006129E3">
            <w:pPr>
              <w:pStyle w:val="Tablebodytext"/>
              <w:jc w:val="right"/>
              <w:rPr>
                <w:lang w:eastAsia="en-AU"/>
              </w:rPr>
            </w:pPr>
            <w:r w:rsidRPr="00CC5AE6">
              <w:rPr>
                <w:lang w:eastAsia="en-AU"/>
              </w:rPr>
              <w:t>4.9</w:t>
            </w:r>
          </w:p>
        </w:tc>
      </w:tr>
      <w:tr w:rsidR="00285F19" w:rsidRPr="00CC5AE6" w14:paraId="66BDCC3B" w14:textId="77777777" w:rsidTr="009E684E">
        <w:trPr>
          <w:cnfStyle w:val="000000100000" w:firstRow="0" w:lastRow="0" w:firstColumn="0" w:lastColumn="0" w:oddVBand="0" w:evenVBand="0" w:oddHBand="1" w:evenHBand="0" w:firstRowFirstColumn="0" w:firstRowLastColumn="0" w:lastRowFirstColumn="0" w:lastRowLastColumn="0"/>
          <w:trHeight w:val="300"/>
        </w:trPr>
        <w:tc>
          <w:tcPr>
            <w:tcW w:w="702" w:type="pct"/>
            <w:noWrap/>
            <w:hideMark/>
          </w:tcPr>
          <w:p w14:paraId="01B95505" w14:textId="77777777" w:rsidR="00285F19" w:rsidRPr="00CC5AE6" w:rsidRDefault="00285F19" w:rsidP="006129E3">
            <w:pPr>
              <w:pStyle w:val="Tablebodytext"/>
              <w:jc w:val="right"/>
              <w:rPr>
                <w:lang w:eastAsia="en-AU"/>
              </w:rPr>
            </w:pPr>
            <w:r w:rsidRPr="00CC5AE6">
              <w:rPr>
                <w:lang w:eastAsia="en-AU"/>
              </w:rPr>
              <w:t>2013-14</w:t>
            </w:r>
          </w:p>
        </w:tc>
        <w:tc>
          <w:tcPr>
            <w:tcW w:w="703" w:type="pct"/>
            <w:noWrap/>
            <w:hideMark/>
          </w:tcPr>
          <w:p w14:paraId="3DFF5D36" w14:textId="77777777" w:rsidR="00285F19" w:rsidRPr="00CC5AE6" w:rsidRDefault="00285F19" w:rsidP="006129E3">
            <w:pPr>
              <w:pStyle w:val="Tablebodytext"/>
              <w:jc w:val="right"/>
              <w:rPr>
                <w:lang w:eastAsia="en-AU"/>
              </w:rPr>
            </w:pPr>
            <w:r w:rsidRPr="00CC5AE6">
              <w:rPr>
                <w:lang w:eastAsia="en-AU"/>
              </w:rPr>
              <w:t>705,585</w:t>
            </w:r>
          </w:p>
        </w:tc>
        <w:tc>
          <w:tcPr>
            <w:tcW w:w="702" w:type="pct"/>
            <w:noWrap/>
            <w:hideMark/>
          </w:tcPr>
          <w:p w14:paraId="08A7A389" w14:textId="77777777" w:rsidR="00285F19" w:rsidRPr="00CC5AE6" w:rsidRDefault="00285F19" w:rsidP="006129E3">
            <w:pPr>
              <w:pStyle w:val="Tablebodytext"/>
              <w:jc w:val="right"/>
              <w:rPr>
                <w:lang w:eastAsia="en-AU"/>
              </w:rPr>
            </w:pPr>
            <w:r w:rsidRPr="00CC5AE6">
              <w:rPr>
                <w:lang w:eastAsia="en-AU"/>
              </w:rPr>
              <w:t>1.8</w:t>
            </w:r>
          </w:p>
        </w:tc>
        <w:tc>
          <w:tcPr>
            <w:tcW w:w="844" w:type="pct"/>
            <w:noWrap/>
            <w:hideMark/>
          </w:tcPr>
          <w:p w14:paraId="22396AC1" w14:textId="77777777" w:rsidR="00285F19" w:rsidRPr="00CC5AE6" w:rsidRDefault="00285F19" w:rsidP="006129E3">
            <w:pPr>
              <w:pStyle w:val="Tablebodytext"/>
              <w:jc w:val="right"/>
              <w:rPr>
                <w:lang w:eastAsia="en-AU"/>
              </w:rPr>
            </w:pPr>
            <w:r w:rsidRPr="00CC5AE6">
              <w:rPr>
                <w:lang w:eastAsia="en-AU"/>
              </w:rPr>
              <w:t>0.1</w:t>
            </w:r>
          </w:p>
        </w:tc>
        <w:tc>
          <w:tcPr>
            <w:tcW w:w="698" w:type="pct"/>
            <w:noWrap/>
            <w:hideMark/>
          </w:tcPr>
          <w:p w14:paraId="0FC1397F" w14:textId="77777777" w:rsidR="00285F19" w:rsidRPr="00CC5AE6" w:rsidRDefault="00285F19" w:rsidP="006129E3">
            <w:pPr>
              <w:pStyle w:val="Tablebodytext"/>
              <w:jc w:val="right"/>
              <w:rPr>
                <w:lang w:eastAsia="en-AU"/>
              </w:rPr>
            </w:pPr>
            <w:r w:rsidRPr="00CC5AE6">
              <w:rPr>
                <w:lang w:eastAsia="en-AU"/>
              </w:rPr>
              <w:t>0.1</w:t>
            </w:r>
          </w:p>
        </w:tc>
        <w:tc>
          <w:tcPr>
            <w:tcW w:w="666" w:type="pct"/>
            <w:noWrap/>
            <w:hideMark/>
          </w:tcPr>
          <w:p w14:paraId="02C76647" w14:textId="77777777" w:rsidR="00285F19" w:rsidRPr="00CC5AE6" w:rsidRDefault="00285F19" w:rsidP="006129E3">
            <w:pPr>
              <w:pStyle w:val="Tablebodytext"/>
              <w:jc w:val="right"/>
              <w:rPr>
                <w:lang w:eastAsia="en-AU"/>
              </w:rPr>
            </w:pPr>
            <w:r w:rsidRPr="00CC5AE6">
              <w:rPr>
                <w:lang w:eastAsia="en-AU"/>
              </w:rPr>
              <w:t>0.3</w:t>
            </w:r>
          </w:p>
        </w:tc>
        <w:tc>
          <w:tcPr>
            <w:tcW w:w="685" w:type="pct"/>
            <w:noWrap/>
            <w:hideMark/>
          </w:tcPr>
          <w:p w14:paraId="36AB5A8E" w14:textId="77777777" w:rsidR="00285F19" w:rsidRPr="00CC5AE6" w:rsidRDefault="00285F19" w:rsidP="006129E3">
            <w:pPr>
              <w:pStyle w:val="Tablebodytext"/>
              <w:jc w:val="right"/>
              <w:rPr>
                <w:lang w:eastAsia="en-AU"/>
              </w:rPr>
            </w:pPr>
            <w:r w:rsidRPr="00CC5AE6">
              <w:rPr>
                <w:lang w:eastAsia="en-AU"/>
              </w:rPr>
              <w:t>4.9</w:t>
            </w:r>
          </w:p>
        </w:tc>
      </w:tr>
    </w:tbl>
    <w:p w14:paraId="1A50F1B1" w14:textId="77777777" w:rsidR="00285F19" w:rsidRPr="00CC5AE6" w:rsidRDefault="00285F19" w:rsidP="00285F19">
      <w:pPr>
        <w:pStyle w:val="Placeholder"/>
      </w:pPr>
    </w:p>
    <w:p w14:paraId="2E54C940" w14:textId="77777777" w:rsidR="00285F19" w:rsidRPr="00C62F3A" w:rsidRDefault="00285F19" w:rsidP="00285F19">
      <w:pPr>
        <w:pStyle w:val="Note"/>
      </w:pPr>
      <w:r>
        <w:rPr>
          <w:lang w:eastAsia="en-AU"/>
        </w:rPr>
        <w:t xml:space="preserve">Notes: </w:t>
      </w:r>
      <w:r>
        <w:t>Statistics relate to simple (non-profiled) businesses from the linked BLADE-DIBP dataset. Statistics not directly comparable to official DIBP visa grant statistics.</w:t>
      </w:r>
    </w:p>
    <w:p w14:paraId="05B96DB3" w14:textId="08EF8C73" w:rsidR="00285F19" w:rsidRDefault="006A6D70" w:rsidP="00285F19">
      <w:pPr>
        <w:pStyle w:val="Source"/>
        <w:rPr>
          <w:lang w:eastAsia="en-AU"/>
        </w:rPr>
      </w:pPr>
      <w:r>
        <w:rPr>
          <w:lang w:eastAsia="en-AU"/>
        </w:rPr>
        <w:t>Source: DIIS (2019</w:t>
      </w:r>
      <w:r w:rsidR="00285F19">
        <w:rPr>
          <w:lang w:eastAsia="en-AU"/>
        </w:rPr>
        <w:t>)</w:t>
      </w:r>
      <w:r>
        <w:rPr>
          <w:lang w:eastAsia="en-AU"/>
        </w:rPr>
        <w:t xml:space="preserve"> using ABS BLADE</w:t>
      </w:r>
    </w:p>
    <w:p w14:paraId="35B23083" w14:textId="77777777" w:rsidR="00285F19" w:rsidRDefault="00285F19" w:rsidP="00AE46D9">
      <w:pPr>
        <w:pStyle w:val="BodyText"/>
      </w:pPr>
      <w:r>
        <w:t>Two financial characteristics (mean turnover and mean employment) were also compared with other similar Australian businesses by business size and across industry sectors to understand these businesses characteristics further.</w:t>
      </w:r>
    </w:p>
    <w:p w14:paraId="0FFBEC2E" w14:textId="77777777" w:rsidR="00285F19" w:rsidRPr="00E276A5" w:rsidRDefault="00285F19" w:rsidP="00AE46D9">
      <w:pPr>
        <w:pStyle w:val="BodyText"/>
      </w:pPr>
      <w:r>
        <w:lastRenderedPageBreak/>
        <w:t>Table 6 reveals that, m</w:t>
      </w:r>
      <w:r w:rsidRPr="00E276A5">
        <w:t>ean turnover o</w:t>
      </w:r>
      <w:r>
        <w:t>f 457 visa sponsoring firms was</w:t>
      </w:r>
      <w:r w:rsidRPr="00E276A5">
        <w:t xml:space="preserve"> always higher than other similar Australian</w:t>
      </w:r>
      <w:r>
        <w:t xml:space="preserve"> non-sponsoring</w:t>
      </w:r>
      <w:r w:rsidRPr="00E276A5">
        <w:t xml:space="preserve"> firms</w:t>
      </w:r>
      <w:r>
        <w:t>, even after controlling for business size</w:t>
      </w:r>
      <w:r w:rsidRPr="00E276A5">
        <w:t>.</w:t>
      </w:r>
      <w:r>
        <w:t xml:space="preserve"> In general, the</w:t>
      </w:r>
      <w:r w:rsidRPr="00E276A5">
        <w:t xml:space="preserve"> </w:t>
      </w:r>
      <w:r>
        <w:t>l</w:t>
      </w:r>
      <w:r w:rsidRPr="00E276A5">
        <w:t>arger the firm size,</w:t>
      </w:r>
      <w:r>
        <w:t xml:space="preserve"> the</w:t>
      </w:r>
      <w:r w:rsidRPr="00E276A5">
        <w:t xml:space="preserve"> higher the mean differences in turnover between</w:t>
      </w:r>
      <w:r>
        <w:t xml:space="preserve"> the two types of firm suggesting</w:t>
      </w:r>
      <w:r w:rsidRPr="00E276A5">
        <w:t xml:space="preserve"> that 457 visa sponsoring firms perform better than</w:t>
      </w:r>
      <w:r>
        <w:t xml:space="preserve"> similar</w:t>
      </w:r>
      <w:r w:rsidRPr="00E276A5">
        <w:t xml:space="preserve"> </w:t>
      </w:r>
      <w:r>
        <w:t>non-sponsoring firms, although given data limitations this comparison is unable to control for other factors that may be responsible for this difference.</w:t>
      </w:r>
    </w:p>
    <w:p w14:paraId="4EA06B57" w14:textId="77777777" w:rsidR="00285F19" w:rsidRDefault="00285F19" w:rsidP="00285F19">
      <w:pPr>
        <w:pStyle w:val="Caption"/>
      </w:pPr>
      <w:r w:rsidRPr="000618FB">
        <w:t>Table</w:t>
      </w:r>
      <w:r>
        <w:t xml:space="preserve"> 6: Comparison of turnover by business size ($ million), mean values</w:t>
      </w:r>
    </w:p>
    <w:tbl>
      <w:tblPr>
        <w:tblStyle w:val="OCETable"/>
        <w:tblW w:w="5000" w:type="pct"/>
        <w:tblLook w:val="04A0" w:firstRow="1" w:lastRow="0" w:firstColumn="1" w:lastColumn="0" w:noHBand="0" w:noVBand="1"/>
        <w:tblCaption w:val="Table 6: Comparison of turnover by business size, mean values"/>
        <w:tblDescription w:val="This table contains information on the turnover  performance of sponsoring businesses relative to similar non-sponsoring businesses, while controlling for business size. On average sponsoring businesses had higher values for this financial attribute."/>
      </w:tblPr>
      <w:tblGrid>
        <w:gridCol w:w="991"/>
        <w:gridCol w:w="1011"/>
        <w:gridCol w:w="1012"/>
        <w:gridCol w:w="1012"/>
        <w:gridCol w:w="1013"/>
        <w:gridCol w:w="1012"/>
        <w:gridCol w:w="1013"/>
      </w:tblGrid>
      <w:tr w:rsidR="00285F19" w:rsidRPr="00A97252" w14:paraId="0E38BB51" w14:textId="77777777" w:rsidTr="006129E3">
        <w:trPr>
          <w:cnfStyle w:val="100000000000" w:firstRow="1" w:lastRow="0" w:firstColumn="0" w:lastColumn="0" w:oddVBand="0" w:evenVBand="0" w:oddHBand="0" w:evenHBand="0" w:firstRowFirstColumn="0" w:firstRowLastColumn="0" w:lastRowFirstColumn="0" w:lastRowLastColumn="0"/>
          <w:trHeight w:val="300"/>
          <w:tblHeader/>
        </w:trPr>
        <w:tc>
          <w:tcPr>
            <w:tcW w:w="702" w:type="pct"/>
            <w:vMerge w:val="restart"/>
            <w:noWrap/>
            <w:hideMark/>
          </w:tcPr>
          <w:p w14:paraId="7B42BF25" w14:textId="77777777" w:rsidR="00285F19" w:rsidRPr="00A97252" w:rsidRDefault="00285F19" w:rsidP="006129E3">
            <w:pPr>
              <w:pStyle w:val="Tableheadertext"/>
              <w:rPr>
                <w:lang w:eastAsia="en-AU"/>
              </w:rPr>
            </w:pPr>
            <w:r w:rsidRPr="00A97252">
              <w:rPr>
                <w:lang w:eastAsia="en-AU"/>
              </w:rPr>
              <w:t>Year</w:t>
            </w:r>
          </w:p>
        </w:tc>
        <w:tc>
          <w:tcPr>
            <w:tcW w:w="1432" w:type="pct"/>
            <w:gridSpan w:val="2"/>
            <w:noWrap/>
            <w:hideMark/>
          </w:tcPr>
          <w:p w14:paraId="4AABE6C7" w14:textId="77777777" w:rsidR="00285F19" w:rsidRPr="00A97252" w:rsidRDefault="00285F19" w:rsidP="006129E3">
            <w:pPr>
              <w:pStyle w:val="Tableheadertext"/>
              <w:jc w:val="right"/>
              <w:rPr>
                <w:lang w:eastAsia="en-AU"/>
              </w:rPr>
            </w:pPr>
            <w:r w:rsidRPr="00A97252">
              <w:rPr>
                <w:lang w:eastAsia="en-AU"/>
              </w:rPr>
              <w:t>Micro</w:t>
            </w:r>
          </w:p>
        </w:tc>
        <w:tc>
          <w:tcPr>
            <w:tcW w:w="1433" w:type="pct"/>
            <w:gridSpan w:val="2"/>
            <w:noWrap/>
            <w:hideMark/>
          </w:tcPr>
          <w:p w14:paraId="3FC12F58" w14:textId="77777777" w:rsidR="00285F19" w:rsidRPr="00A97252" w:rsidRDefault="00285F19" w:rsidP="006129E3">
            <w:pPr>
              <w:pStyle w:val="Tableheadertext"/>
              <w:jc w:val="right"/>
              <w:rPr>
                <w:lang w:eastAsia="en-AU"/>
              </w:rPr>
            </w:pPr>
            <w:r w:rsidRPr="00A97252">
              <w:rPr>
                <w:lang w:eastAsia="en-AU"/>
              </w:rPr>
              <w:t>Small</w:t>
            </w:r>
          </w:p>
        </w:tc>
        <w:tc>
          <w:tcPr>
            <w:tcW w:w="1433" w:type="pct"/>
            <w:gridSpan w:val="2"/>
            <w:noWrap/>
            <w:hideMark/>
          </w:tcPr>
          <w:p w14:paraId="71420EA5" w14:textId="77777777" w:rsidR="00285F19" w:rsidRPr="00A97252" w:rsidRDefault="00285F19" w:rsidP="006129E3">
            <w:pPr>
              <w:pStyle w:val="Tableheadertext"/>
              <w:jc w:val="right"/>
              <w:rPr>
                <w:lang w:eastAsia="en-AU"/>
              </w:rPr>
            </w:pPr>
            <w:r w:rsidRPr="00A97252">
              <w:rPr>
                <w:lang w:eastAsia="en-AU"/>
              </w:rPr>
              <w:t>Medium</w:t>
            </w:r>
          </w:p>
        </w:tc>
      </w:tr>
      <w:tr w:rsidR="00285F19" w:rsidRPr="00A97252" w14:paraId="6BB66EB5" w14:textId="77777777" w:rsidTr="006129E3">
        <w:trPr>
          <w:cnfStyle w:val="000000100000" w:firstRow="0" w:lastRow="0" w:firstColumn="0" w:lastColumn="0" w:oddVBand="0" w:evenVBand="0" w:oddHBand="1" w:evenHBand="0" w:firstRowFirstColumn="0" w:firstRowLastColumn="0" w:lastRowFirstColumn="0" w:lastRowLastColumn="0"/>
          <w:trHeight w:val="600"/>
        </w:trPr>
        <w:tc>
          <w:tcPr>
            <w:tcW w:w="702" w:type="pct"/>
            <w:vMerge/>
            <w:hideMark/>
          </w:tcPr>
          <w:p w14:paraId="3176D124" w14:textId="77777777" w:rsidR="00285F19" w:rsidRPr="00A97252" w:rsidRDefault="00285F19" w:rsidP="006129E3">
            <w:pPr>
              <w:pStyle w:val="Tablebodytext"/>
              <w:rPr>
                <w:lang w:eastAsia="en-AU"/>
              </w:rPr>
            </w:pPr>
          </w:p>
        </w:tc>
        <w:tc>
          <w:tcPr>
            <w:tcW w:w="716" w:type="pct"/>
            <w:hideMark/>
          </w:tcPr>
          <w:p w14:paraId="36422D31" w14:textId="77777777" w:rsidR="00285F19" w:rsidRPr="00A97252" w:rsidRDefault="00285F19" w:rsidP="006129E3">
            <w:pPr>
              <w:pStyle w:val="Tablebodytext"/>
              <w:jc w:val="right"/>
              <w:rPr>
                <w:lang w:eastAsia="en-AU"/>
              </w:rPr>
            </w:pPr>
            <w:r w:rsidRPr="00A97252">
              <w:rPr>
                <w:lang w:eastAsia="en-AU"/>
              </w:rPr>
              <w:t>Sponsors</w:t>
            </w:r>
          </w:p>
        </w:tc>
        <w:tc>
          <w:tcPr>
            <w:tcW w:w="716" w:type="pct"/>
            <w:hideMark/>
          </w:tcPr>
          <w:p w14:paraId="23CC85D9" w14:textId="77777777" w:rsidR="00285F19" w:rsidRPr="00A97252" w:rsidRDefault="00285F19" w:rsidP="006129E3">
            <w:pPr>
              <w:pStyle w:val="Tablebodytext"/>
              <w:jc w:val="right"/>
              <w:rPr>
                <w:lang w:eastAsia="en-AU"/>
              </w:rPr>
            </w:pPr>
            <w:r w:rsidRPr="00A97252">
              <w:rPr>
                <w:lang w:eastAsia="en-AU"/>
              </w:rPr>
              <w:t>Non-Sponsors</w:t>
            </w:r>
          </w:p>
        </w:tc>
        <w:tc>
          <w:tcPr>
            <w:tcW w:w="716" w:type="pct"/>
            <w:hideMark/>
          </w:tcPr>
          <w:p w14:paraId="78378F86" w14:textId="77777777" w:rsidR="00285F19" w:rsidRPr="00A97252" w:rsidRDefault="00285F19" w:rsidP="006129E3">
            <w:pPr>
              <w:pStyle w:val="Tablebodytext"/>
              <w:jc w:val="right"/>
              <w:rPr>
                <w:lang w:eastAsia="en-AU"/>
              </w:rPr>
            </w:pPr>
            <w:r w:rsidRPr="00A97252">
              <w:rPr>
                <w:lang w:eastAsia="en-AU"/>
              </w:rPr>
              <w:t>Sponsors</w:t>
            </w:r>
          </w:p>
        </w:tc>
        <w:tc>
          <w:tcPr>
            <w:tcW w:w="717" w:type="pct"/>
            <w:hideMark/>
          </w:tcPr>
          <w:p w14:paraId="068A02A4" w14:textId="77777777" w:rsidR="00285F19" w:rsidRPr="00A97252" w:rsidRDefault="00285F19" w:rsidP="006129E3">
            <w:pPr>
              <w:pStyle w:val="Tablebodytext"/>
              <w:jc w:val="right"/>
              <w:rPr>
                <w:lang w:eastAsia="en-AU"/>
              </w:rPr>
            </w:pPr>
            <w:r w:rsidRPr="00A97252">
              <w:rPr>
                <w:lang w:eastAsia="en-AU"/>
              </w:rPr>
              <w:t>Non-Sponsors</w:t>
            </w:r>
          </w:p>
        </w:tc>
        <w:tc>
          <w:tcPr>
            <w:tcW w:w="716" w:type="pct"/>
            <w:hideMark/>
          </w:tcPr>
          <w:p w14:paraId="779403E6" w14:textId="77777777" w:rsidR="00285F19" w:rsidRPr="00A97252" w:rsidRDefault="00285F19" w:rsidP="006129E3">
            <w:pPr>
              <w:pStyle w:val="Tablebodytext"/>
              <w:jc w:val="right"/>
              <w:rPr>
                <w:lang w:eastAsia="en-AU"/>
              </w:rPr>
            </w:pPr>
            <w:r w:rsidRPr="00A97252">
              <w:rPr>
                <w:lang w:eastAsia="en-AU"/>
              </w:rPr>
              <w:t>Sponsors</w:t>
            </w:r>
          </w:p>
        </w:tc>
        <w:tc>
          <w:tcPr>
            <w:tcW w:w="716" w:type="pct"/>
            <w:hideMark/>
          </w:tcPr>
          <w:p w14:paraId="046682D9" w14:textId="77777777" w:rsidR="00285F19" w:rsidRPr="00A97252" w:rsidRDefault="00285F19" w:rsidP="006129E3">
            <w:pPr>
              <w:pStyle w:val="Tablebodytext"/>
              <w:jc w:val="right"/>
              <w:rPr>
                <w:lang w:eastAsia="en-AU"/>
              </w:rPr>
            </w:pPr>
            <w:r w:rsidRPr="00A97252">
              <w:rPr>
                <w:lang w:eastAsia="en-AU"/>
              </w:rPr>
              <w:t>Non-Sponsors</w:t>
            </w:r>
          </w:p>
        </w:tc>
      </w:tr>
      <w:tr w:rsidR="00285F19" w:rsidRPr="00A97252" w14:paraId="4F70BA1F"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702" w:type="pct"/>
            <w:noWrap/>
            <w:hideMark/>
          </w:tcPr>
          <w:p w14:paraId="50C21894" w14:textId="77777777" w:rsidR="00285F19" w:rsidRPr="00A97252" w:rsidRDefault="00285F19" w:rsidP="006129E3">
            <w:pPr>
              <w:pStyle w:val="Tablebodytext"/>
              <w:rPr>
                <w:lang w:eastAsia="en-AU"/>
              </w:rPr>
            </w:pPr>
            <w:r w:rsidRPr="00A97252">
              <w:rPr>
                <w:lang w:eastAsia="en-AU"/>
              </w:rPr>
              <w:t>2007-08</w:t>
            </w:r>
          </w:p>
        </w:tc>
        <w:tc>
          <w:tcPr>
            <w:tcW w:w="716" w:type="pct"/>
            <w:noWrap/>
            <w:hideMark/>
          </w:tcPr>
          <w:p w14:paraId="4135C54D" w14:textId="77777777" w:rsidR="00285F19" w:rsidRPr="00A97252" w:rsidRDefault="00285F19" w:rsidP="006129E3">
            <w:pPr>
              <w:pStyle w:val="Tablebodytext"/>
              <w:jc w:val="right"/>
              <w:rPr>
                <w:lang w:eastAsia="en-AU"/>
              </w:rPr>
            </w:pPr>
            <w:r w:rsidRPr="00A97252">
              <w:rPr>
                <w:lang w:eastAsia="en-AU"/>
              </w:rPr>
              <w:t>1.2</w:t>
            </w:r>
          </w:p>
        </w:tc>
        <w:tc>
          <w:tcPr>
            <w:tcW w:w="716" w:type="pct"/>
            <w:noWrap/>
            <w:hideMark/>
          </w:tcPr>
          <w:p w14:paraId="46DEE527" w14:textId="77777777" w:rsidR="00285F19" w:rsidRPr="00A97252" w:rsidRDefault="00285F19" w:rsidP="006129E3">
            <w:pPr>
              <w:pStyle w:val="Tablebodytext"/>
              <w:jc w:val="right"/>
              <w:rPr>
                <w:lang w:eastAsia="en-AU"/>
              </w:rPr>
            </w:pPr>
            <w:r w:rsidRPr="00A97252">
              <w:rPr>
                <w:lang w:eastAsia="en-AU"/>
              </w:rPr>
              <w:t>0.5</w:t>
            </w:r>
          </w:p>
        </w:tc>
        <w:tc>
          <w:tcPr>
            <w:tcW w:w="716" w:type="pct"/>
            <w:noWrap/>
            <w:hideMark/>
          </w:tcPr>
          <w:p w14:paraId="7009DC43" w14:textId="77777777" w:rsidR="00285F19" w:rsidRPr="00A97252" w:rsidRDefault="00285F19" w:rsidP="006129E3">
            <w:pPr>
              <w:pStyle w:val="Tablebodytext"/>
              <w:jc w:val="right"/>
              <w:rPr>
                <w:lang w:eastAsia="en-AU"/>
              </w:rPr>
            </w:pPr>
            <w:r w:rsidRPr="00A97252">
              <w:rPr>
                <w:lang w:eastAsia="en-AU"/>
              </w:rPr>
              <w:t>3.4</w:t>
            </w:r>
          </w:p>
        </w:tc>
        <w:tc>
          <w:tcPr>
            <w:tcW w:w="717" w:type="pct"/>
            <w:noWrap/>
            <w:hideMark/>
          </w:tcPr>
          <w:p w14:paraId="4553E10A" w14:textId="77777777" w:rsidR="00285F19" w:rsidRPr="00A97252" w:rsidRDefault="00285F19" w:rsidP="006129E3">
            <w:pPr>
              <w:pStyle w:val="Tablebodytext"/>
              <w:jc w:val="right"/>
              <w:rPr>
                <w:lang w:eastAsia="en-AU"/>
              </w:rPr>
            </w:pPr>
            <w:r w:rsidRPr="00A97252">
              <w:rPr>
                <w:lang w:eastAsia="en-AU"/>
              </w:rPr>
              <w:t>2.3</w:t>
            </w:r>
          </w:p>
        </w:tc>
        <w:tc>
          <w:tcPr>
            <w:tcW w:w="716" w:type="pct"/>
            <w:noWrap/>
            <w:hideMark/>
          </w:tcPr>
          <w:p w14:paraId="3DED0949" w14:textId="77777777" w:rsidR="00285F19" w:rsidRPr="00A97252" w:rsidRDefault="00285F19" w:rsidP="006129E3">
            <w:pPr>
              <w:pStyle w:val="Tablebodytext"/>
              <w:jc w:val="right"/>
              <w:rPr>
                <w:lang w:eastAsia="en-AU"/>
              </w:rPr>
            </w:pPr>
            <w:r w:rsidRPr="00A97252">
              <w:rPr>
                <w:lang w:eastAsia="en-AU"/>
              </w:rPr>
              <w:t>17.7</w:t>
            </w:r>
          </w:p>
        </w:tc>
        <w:tc>
          <w:tcPr>
            <w:tcW w:w="716" w:type="pct"/>
            <w:noWrap/>
            <w:hideMark/>
          </w:tcPr>
          <w:p w14:paraId="498A0864" w14:textId="77777777" w:rsidR="00285F19" w:rsidRPr="00A97252" w:rsidRDefault="00285F19" w:rsidP="006129E3">
            <w:pPr>
              <w:pStyle w:val="Tablebodytext"/>
              <w:jc w:val="right"/>
              <w:rPr>
                <w:lang w:eastAsia="en-AU"/>
              </w:rPr>
            </w:pPr>
            <w:r w:rsidRPr="00A97252">
              <w:rPr>
                <w:lang w:eastAsia="en-AU"/>
              </w:rPr>
              <w:t>15.0</w:t>
            </w:r>
          </w:p>
        </w:tc>
      </w:tr>
      <w:tr w:rsidR="00285F19" w:rsidRPr="00A97252" w14:paraId="32C12C63"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702" w:type="pct"/>
            <w:noWrap/>
            <w:hideMark/>
          </w:tcPr>
          <w:p w14:paraId="32A11047" w14:textId="77777777" w:rsidR="00285F19" w:rsidRPr="00A97252" w:rsidRDefault="00285F19" w:rsidP="006129E3">
            <w:pPr>
              <w:pStyle w:val="Tablebodytext"/>
              <w:rPr>
                <w:lang w:eastAsia="en-AU"/>
              </w:rPr>
            </w:pPr>
            <w:r w:rsidRPr="00A97252">
              <w:rPr>
                <w:lang w:eastAsia="en-AU"/>
              </w:rPr>
              <w:t>2008-09</w:t>
            </w:r>
          </w:p>
        </w:tc>
        <w:tc>
          <w:tcPr>
            <w:tcW w:w="716" w:type="pct"/>
            <w:noWrap/>
            <w:hideMark/>
          </w:tcPr>
          <w:p w14:paraId="67FA458A" w14:textId="77777777" w:rsidR="00285F19" w:rsidRPr="00A97252" w:rsidRDefault="00285F19" w:rsidP="006129E3">
            <w:pPr>
              <w:pStyle w:val="Tablebodytext"/>
              <w:jc w:val="right"/>
              <w:rPr>
                <w:lang w:eastAsia="en-AU"/>
              </w:rPr>
            </w:pPr>
            <w:r w:rsidRPr="00A97252">
              <w:rPr>
                <w:lang w:eastAsia="en-AU"/>
              </w:rPr>
              <w:t>1.1</w:t>
            </w:r>
          </w:p>
        </w:tc>
        <w:tc>
          <w:tcPr>
            <w:tcW w:w="716" w:type="pct"/>
            <w:noWrap/>
            <w:hideMark/>
          </w:tcPr>
          <w:p w14:paraId="074A9F7F" w14:textId="77777777" w:rsidR="00285F19" w:rsidRPr="00A97252" w:rsidRDefault="00285F19" w:rsidP="006129E3">
            <w:pPr>
              <w:pStyle w:val="Tablebodytext"/>
              <w:jc w:val="right"/>
              <w:rPr>
                <w:lang w:eastAsia="en-AU"/>
              </w:rPr>
            </w:pPr>
            <w:r w:rsidRPr="00A97252">
              <w:rPr>
                <w:lang w:eastAsia="en-AU"/>
              </w:rPr>
              <w:t>0.5</w:t>
            </w:r>
          </w:p>
        </w:tc>
        <w:tc>
          <w:tcPr>
            <w:tcW w:w="716" w:type="pct"/>
            <w:noWrap/>
            <w:hideMark/>
          </w:tcPr>
          <w:p w14:paraId="54D56EE0" w14:textId="77777777" w:rsidR="00285F19" w:rsidRPr="00A97252" w:rsidRDefault="00285F19" w:rsidP="006129E3">
            <w:pPr>
              <w:pStyle w:val="Tablebodytext"/>
              <w:jc w:val="right"/>
              <w:rPr>
                <w:lang w:eastAsia="en-AU"/>
              </w:rPr>
            </w:pPr>
            <w:r w:rsidRPr="00A97252">
              <w:rPr>
                <w:lang w:eastAsia="en-AU"/>
              </w:rPr>
              <w:t>3.2</w:t>
            </w:r>
          </w:p>
        </w:tc>
        <w:tc>
          <w:tcPr>
            <w:tcW w:w="717" w:type="pct"/>
            <w:noWrap/>
            <w:hideMark/>
          </w:tcPr>
          <w:p w14:paraId="1B0B79DE" w14:textId="77777777" w:rsidR="00285F19" w:rsidRPr="00A97252" w:rsidRDefault="00285F19" w:rsidP="006129E3">
            <w:pPr>
              <w:pStyle w:val="Tablebodytext"/>
              <w:jc w:val="right"/>
              <w:rPr>
                <w:lang w:eastAsia="en-AU"/>
              </w:rPr>
            </w:pPr>
            <w:r w:rsidRPr="00A97252">
              <w:rPr>
                <w:lang w:eastAsia="en-AU"/>
              </w:rPr>
              <w:t>2.3</w:t>
            </w:r>
          </w:p>
        </w:tc>
        <w:tc>
          <w:tcPr>
            <w:tcW w:w="716" w:type="pct"/>
            <w:noWrap/>
            <w:hideMark/>
          </w:tcPr>
          <w:p w14:paraId="224F021B" w14:textId="77777777" w:rsidR="00285F19" w:rsidRPr="00A97252" w:rsidRDefault="00285F19" w:rsidP="006129E3">
            <w:pPr>
              <w:pStyle w:val="Tablebodytext"/>
              <w:jc w:val="right"/>
              <w:rPr>
                <w:lang w:eastAsia="en-AU"/>
              </w:rPr>
            </w:pPr>
            <w:r w:rsidRPr="00A97252">
              <w:rPr>
                <w:lang w:eastAsia="en-AU"/>
              </w:rPr>
              <w:t>18.2</w:t>
            </w:r>
          </w:p>
        </w:tc>
        <w:tc>
          <w:tcPr>
            <w:tcW w:w="716" w:type="pct"/>
            <w:noWrap/>
            <w:hideMark/>
          </w:tcPr>
          <w:p w14:paraId="4C109216" w14:textId="77777777" w:rsidR="00285F19" w:rsidRPr="00A97252" w:rsidRDefault="00285F19" w:rsidP="006129E3">
            <w:pPr>
              <w:pStyle w:val="Tablebodytext"/>
              <w:jc w:val="right"/>
              <w:rPr>
                <w:lang w:eastAsia="en-AU"/>
              </w:rPr>
            </w:pPr>
            <w:r w:rsidRPr="00A97252">
              <w:rPr>
                <w:lang w:eastAsia="en-AU"/>
              </w:rPr>
              <w:t>16.8</w:t>
            </w:r>
          </w:p>
        </w:tc>
      </w:tr>
      <w:tr w:rsidR="00285F19" w:rsidRPr="00A97252" w14:paraId="654146AE"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702" w:type="pct"/>
            <w:noWrap/>
            <w:hideMark/>
          </w:tcPr>
          <w:p w14:paraId="37D09600" w14:textId="77777777" w:rsidR="00285F19" w:rsidRPr="00A97252" w:rsidRDefault="00285F19" w:rsidP="006129E3">
            <w:pPr>
              <w:pStyle w:val="Tablebodytext"/>
              <w:rPr>
                <w:lang w:eastAsia="en-AU"/>
              </w:rPr>
            </w:pPr>
            <w:r w:rsidRPr="00A97252">
              <w:rPr>
                <w:lang w:eastAsia="en-AU"/>
              </w:rPr>
              <w:t>2009-10</w:t>
            </w:r>
          </w:p>
        </w:tc>
        <w:tc>
          <w:tcPr>
            <w:tcW w:w="716" w:type="pct"/>
            <w:noWrap/>
            <w:hideMark/>
          </w:tcPr>
          <w:p w14:paraId="58175524" w14:textId="77777777" w:rsidR="00285F19" w:rsidRPr="00A97252" w:rsidRDefault="00285F19" w:rsidP="006129E3">
            <w:pPr>
              <w:pStyle w:val="Tablebodytext"/>
              <w:jc w:val="right"/>
              <w:rPr>
                <w:lang w:eastAsia="en-AU"/>
              </w:rPr>
            </w:pPr>
            <w:r w:rsidRPr="00A97252">
              <w:rPr>
                <w:lang w:eastAsia="en-AU"/>
              </w:rPr>
              <w:t>1.1</w:t>
            </w:r>
          </w:p>
        </w:tc>
        <w:tc>
          <w:tcPr>
            <w:tcW w:w="716" w:type="pct"/>
            <w:noWrap/>
            <w:hideMark/>
          </w:tcPr>
          <w:p w14:paraId="122A2970" w14:textId="77777777" w:rsidR="00285F19" w:rsidRPr="00A97252" w:rsidRDefault="00285F19" w:rsidP="006129E3">
            <w:pPr>
              <w:pStyle w:val="Tablebodytext"/>
              <w:jc w:val="right"/>
              <w:rPr>
                <w:lang w:eastAsia="en-AU"/>
              </w:rPr>
            </w:pPr>
            <w:r w:rsidRPr="00A97252">
              <w:rPr>
                <w:lang w:eastAsia="en-AU"/>
              </w:rPr>
              <w:t>0.5</w:t>
            </w:r>
          </w:p>
        </w:tc>
        <w:tc>
          <w:tcPr>
            <w:tcW w:w="716" w:type="pct"/>
            <w:noWrap/>
            <w:hideMark/>
          </w:tcPr>
          <w:p w14:paraId="76845B9E" w14:textId="77777777" w:rsidR="00285F19" w:rsidRPr="00A97252" w:rsidRDefault="00285F19" w:rsidP="006129E3">
            <w:pPr>
              <w:pStyle w:val="Tablebodytext"/>
              <w:jc w:val="right"/>
              <w:rPr>
                <w:lang w:eastAsia="en-AU"/>
              </w:rPr>
            </w:pPr>
            <w:r w:rsidRPr="00A97252">
              <w:rPr>
                <w:lang w:eastAsia="en-AU"/>
              </w:rPr>
              <w:t>3.1</w:t>
            </w:r>
          </w:p>
        </w:tc>
        <w:tc>
          <w:tcPr>
            <w:tcW w:w="717" w:type="pct"/>
            <w:noWrap/>
            <w:hideMark/>
          </w:tcPr>
          <w:p w14:paraId="4EBBA380" w14:textId="77777777" w:rsidR="00285F19" w:rsidRPr="00A97252" w:rsidRDefault="00285F19" w:rsidP="006129E3">
            <w:pPr>
              <w:pStyle w:val="Tablebodytext"/>
              <w:jc w:val="right"/>
              <w:rPr>
                <w:lang w:eastAsia="en-AU"/>
              </w:rPr>
            </w:pPr>
            <w:r w:rsidRPr="00A97252">
              <w:rPr>
                <w:lang w:eastAsia="en-AU"/>
              </w:rPr>
              <w:t>2.3</w:t>
            </w:r>
          </w:p>
        </w:tc>
        <w:tc>
          <w:tcPr>
            <w:tcW w:w="716" w:type="pct"/>
            <w:noWrap/>
            <w:hideMark/>
          </w:tcPr>
          <w:p w14:paraId="0F7C3CF2" w14:textId="77777777" w:rsidR="00285F19" w:rsidRPr="00A97252" w:rsidRDefault="00285F19" w:rsidP="006129E3">
            <w:pPr>
              <w:pStyle w:val="Tablebodytext"/>
              <w:jc w:val="right"/>
              <w:rPr>
                <w:lang w:eastAsia="en-AU"/>
              </w:rPr>
            </w:pPr>
            <w:r w:rsidRPr="00A97252">
              <w:rPr>
                <w:lang w:eastAsia="en-AU"/>
              </w:rPr>
              <w:t>18.3</w:t>
            </w:r>
          </w:p>
        </w:tc>
        <w:tc>
          <w:tcPr>
            <w:tcW w:w="716" w:type="pct"/>
            <w:noWrap/>
            <w:hideMark/>
          </w:tcPr>
          <w:p w14:paraId="2C3AC26B" w14:textId="77777777" w:rsidR="00285F19" w:rsidRPr="00A97252" w:rsidRDefault="00285F19" w:rsidP="006129E3">
            <w:pPr>
              <w:pStyle w:val="Tablebodytext"/>
              <w:jc w:val="right"/>
              <w:rPr>
                <w:lang w:eastAsia="en-AU"/>
              </w:rPr>
            </w:pPr>
            <w:r w:rsidRPr="00A97252">
              <w:rPr>
                <w:lang w:eastAsia="en-AU"/>
              </w:rPr>
              <w:t>15.6</w:t>
            </w:r>
          </w:p>
        </w:tc>
      </w:tr>
      <w:tr w:rsidR="00285F19" w:rsidRPr="00A97252" w14:paraId="0CF5BA54"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702" w:type="pct"/>
            <w:noWrap/>
            <w:hideMark/>
          </w:tcPr>
          <w:p w14:paraId="144169D0" w14:textId="77777777" w:rsidR="00285F19" w:rsidRPr="00A97252" w:rsidRDefault="00285F19" w:rsidP="006129E3">
            <w:pPr>
              <w:pStyle w:val="Tablebodytext"/>
              <w:rPr>
                <w:lang w:eastAsia="en-AU"/>
              </w:rPr>
            </w:pPr>
            <w:r w:rsidRPr="00A97252">
              <w:rPr>
                <w:lang w:eastAsia="en-AU"/>
              </w:rPr>
              <w:t>2010-11</w:t>
            </w:r>
          </w:p>
        </w:tc>
        <w:tc>
          <w:tcPr>
            <w:tcW w:w="716" w:type="pct"/>
            <w:noWrap/>
            <w:hideMark/>
          </w:tcPr>
          <w:p w14:paraId="2C8519EB" w14:textId="77777777" w:rsidR="00285F19" w:rsidRPr="00A97252" w:rsidRDefault="00285F19" w:rsidP="006129E3">
            <w:pPr>
              <w:pStyle w:val="Tablebodytext"/>
              <w:jc w:val="right"/>
              <w:rPr>
                <w:lang w:eastAsia="en-AU"/>
              </w:rPr>
            </w:pPr>
            <w:r w:rsidRPr="00A97252">
              <w:rPr>
                <w:lang w:eastAsia="en-AU"/>
              </w:rPr>
              <w:t>1.2</w:t>
            </w:r>
          </w:p>
        </w:tc>
        <w:tc>
          <w:tcPr>
            <w:tcW w:w="716" w:type="pct"/>
            <w:noWrap/>
            <w:hideMark/>
          </w:tcPr>
          <w:p w14:paraId="09401F8C" w14:textId="77777777" w:rsidR="00285F19" w:rsidRPr="00A97252" w:rsidRDefault="00285F19" w:rsidP="006129E3">
            <w:pPr>
              <w:pStyle w:val="Tablebodytext"/>
              <w:jc w:val="right"/>
              <w:rPr>
                <w:lang w:eastAsia="en-AU"/>
              </w:rPr>
            </w:pPr>
            <w:r w:rsidRPr="00A97252">
              <w:rPr>
                <w:lang w:eastAsia="en-AU"/>
              </w:rPr>
              <w:t>0.6</w:t>
            </w:r>
          </w:p>
        </w:tc>
        <w:tc>
          <w:tcPr>
            <w:tcW w:w="716" w:type="pct"/>
            <w:noWrap/>
            <w:hideMark/>
          </w:tcPr>
          <w:p w14:paraId="7C06E2CC" w14:textId="77777777" w:rsidR="00285F19" w:rsidRPr="00A97252" w:rsidRDefault="00285F19" w:rsidP="006129E3">
            <w:pPr>
              <w:pStyle w:val="Tablebodytext"/>
              <w:jc w:val="right"/>
              <w:rPr>
                <w:lang w:eastAsia="en-AU"/>
              </w:rPr>
            </w:pPr>
            <w:r w:rsidRPr="00A97252">
              <w:rPr>
                <w:lang w:eastAsia="en-AU"/>
              </w:rPr>
              <w:t>3.2</w:t>
            </w:r>
          </w:p>
        </w:tc>
        <w:tc>
          <w:tcPr>
            <w:tcW w:w="717" w:type="pct"/>
            <w:noWrap/>
            <w:hideMark/>
          </w:tcPr>
          <w:p w14:paraId="2F379B01" w14:textId="77777777" w:rsidR="00285F19" w:rsidRPr="00A97252" w:rsidRDefault="00285F19" w:rsidP="006129E3">
            <w:pPr>
              <w:pStyle w:val="Tablebodytext"/>
              <w:jc w:val="right"/>
              <w:rPr>
                <w:lang w:eastAsia="en-AU"/>
              </w:rPr>
            </w:pPr>
            <w:r w:rsidRPr="00A97252">
              <w:rPr>
                <w:lang w:eastAsia="en-AU"/>
              </w:rPr>
              <w:t>2.4</w:t>
            </w:r>
          </w:p>
        </w:tc>
        <w:tc>
          <w:tcPr>
            <w:tcW w:w="716" w:type="pct"/>
            <w:noWrap/>
            <w:hideMark/>
          </w:tcPr>
          <w:p w14:paraId="0342489D" w14:textId="77777777" w:rsidR="00285F19" w:rsidRPr="00A97252" w:rsidRDefault="00285F19" w:rsidP="006129E3">
            <w:pPr>
              <w:pStyle w:val="Tablebodytext"/>
              <w:jc w:val="right"/>
              <w:rPr>
                <w:lang w:eastAsia="en-AU"/>
              </w:rPr>
            </w:pPr>
            <w:r w:rsidRPr="00A97252">
              <w:rPr>
                <w:lang w:eastAsia="en-AU"/>
              </w:rPr>
              <w:t>18.7</w:t>
            </w:r>
          </w:p>
        </w:tc>
        <w:tc>
          <w:tcPr>
            <w:tcW w:w="716" w:type="pct"/>
            <w:noWrap/>
            <w:hideMark/>
          </w:tcPr>
          <w:p w14:paraId="20E85AF2" w14:textId="77777777" w:rsidR="00285F19" w:rsidRPr="00A97252" w:rsidRDefault="00285F19" w:rsidP="006129E3">
            <w:pPr>
              <w:pStyle w:val="Tablebodytext"/>
              <w:jc w:val="right"/>
              <w:rPr>
                <w:lang w:eastAsia="en-AU"/>
              </w:rPr>
            </w:pPr>
            <w:r w:rsidRPr="00A97252">
              <w:rPr>
                <w:lang w:eastAsia="en-AU"/>
              </w:rPr>
              <w:t>15.8</w:t>
            </w:r>
          </w:p>
        </w:tc>
      </w:tr>
      <w:tr w:rsidR="00285F19" w:rsidRPr="00A97252" w14:paraId="6109EA04"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702" w:type="pct"/>
            <w:noWrap/>
            <w:hideMark/>
          </w:tcPr>
          <w:p w14:paraId="49F9ECC6" w14:textId="77777777" w:rsidR="00285F19" w:rsidRPr="00A97252" w:rsidRDefault="00285F19" w:rsidP="006129E3">
            <w:pPr>
              <w:pStyle w:val="Tablebodytext"/>
              <w:rPr>
                <w:lang w:eastAsia="en-AU"/>
              </w:rPr>
            </w:pPr>
            <w:r w:rsidRPr="00A97252">
              <w:rPr>
                <w:lang w:eastAsia="en-AU"/>
              </w:rPr>
              <w:t>2011-12</w:t>
            </w:r>
          </w:p>
        </w:tc>
        <w:tc>
          <w:tcPr>
            <w:tcW w:w="716" w:type="pct"/>
            <w:noWrap/>
            <w:hideMark/>
          </w:tcPr>
          <w:p w14:paraId="13FD53FB" w14:textId="77777777" w:rsidR="00285F19" w:rsidRPr="00A97252" w:rsidRDefault="00285F19" w:rsidP="006129E3">
            <w:pPr>
              <w:pStyle w:val="Tablebodytext"/>
              <w:jc w:val="right"/>
              <w:rPr>
                <w:lang w:eastAsia="en-AU"/>
              </w:rPr>
            </w:pPr>
            <w:r w:rsidRPr="00A97252">
              <w:rPr>
                <w:lang w:eastAsia="en-AU"/>
              </w:rPr>
              <w:t>1.1</w:t>
            </w:r>
          </w:p>
        </w:tc>
        <w:tc>
          <w:tcPr>
            <w:tcW w:w="716" w:type="pct"/>
            <w:noWrap/>
            <w:hideMark/>
          </w:tcPr>
          <w:p w14:paraId="788B74CF" w14:textId="77777777" w:rsidR="00285F19" w:rsidRPr="00A97252" w:rsidRDefault="00285F19" w:rsidP="006129E3">
            <w:pPr>
              <w:pStyle w:val="Tablebodytext"/>
              <w:jc w:val="right"/>
              <w:rPr>
                <w:lang w:eastAsia="en-AU"/>
              </w:rPr>
            </w:pPr>
            <w:r w:rsidRPr="00A97252">
              <w:rPr>
                <w:lang w:eastAsia="en-AU"/>
              </w:rPr>
              <w:t>0.7</w:t>
            </w:r>
          </w:p>
        </w:tc>
        <w:tc>
          <w:tcPr>
            <w:tcW w:w="716" w:type="pct"/>
            <w:noWrap/>
            <w:hideMark/>
          </w:tcPr>
          <w:p w14:paraId="190D24FC" w14:textId="77777777" w:rsidR="00285F19" w:rsidRPr="00A97252" w:rsidRDefault="00285F19" w:rsidP="006129E3">
            <w:pPr>
              <w:pStyle w:val="Tablebodytext"/>
              <w:jc w:val="right"/>
              <w:rPr>
                <w:lang w:eastAsia="en-AU"/>
              </w:rPr>
            </w:pPr>
            <w:r w:rsidRPr="00A97252">
              <w:rPr>
                <w:lang w:eastAsia="en-AU"/>
              </w:rPr>
              <w:t>3.1</w:t>
            </w:r>
          </w:p>
        </w:tc>
        <w:tc>
          <w:tcPr>
            <w:tcW w:w="717" w:type="pct"/>
            <w:noWrap/>
            <w:hideMark/>
          </w:tcPr>
          <w:p w14:paraId="28508DB9" w14:textId="77777777" w:rsidR="00285F19" w:rsidRPr="00A97252" w:rsidRDefault="00285F19" w:rsidP="006129E3">
            <w:pPr>
              <w:pStyle w:val="Tablebodytext"/>
              <w:jc w:val="right"/>
              <w:rPr>
                <w:lang w:eastAsia="en-AU"/>
              </w:rPr>
            </w:pPr>
            <w:r w:rsidRPr="00A97252">
              <w:rPr>
                <w:lang w:eastAsia="en-AU"/>
              </w:rPr>
              <w:t>2.4</w:t>
            </w:r>
          </w:p>
        </w:tc>
        <w:tc>
          <w:tcPr>
            <w:tcW w:w="716" w:type="pct"/>
            <w:noWrap/>
            <w:hideMark/>
          </w:tcPr>
          <w:p w14:paraId="3559B232" w14:textId="77777777" w:rsidR="00285F19" w:rsidRPr="00A97252" w:rsidRDefault="00285F19" w:rsidP="006129E3">
            <w:pPr>
              <w:pStyle w:val="Tablebodytext"/>
              <w:jc w:val="right"/>
              <w:rPr>
                <w:lang w:eastAsia="en-AU"/>
              </w:rPr>
            </w:pPr>
            <w:r w:rsidRPr="00A97252">
              <w:rPr>
                <w:lang w:eastAsia="en-AU"/>
              </w:rPr>
              <w:t>19.9</w:t>
            </w:r>
          </w:p>
        </w:tc>
        <w:tc>
          <w:tcPr>
            <w:tcW w:w="716" w:type="pct"/>
            <w:noWrap/>
            <w:hideMark/>
          </w:tcPr>
          <w:p w14:paraId="4D1606A6" w14:textId="77777777" w:rsidR="00285F19" w:rsidRPr="00A97252" w:rsidRDefault="00285F19" w:rsidP="006129E3">
            <w:pPr>
              <w:pStyle w:val="Tablebodytext"/>
              <w:jc w:val="right"/>
              <w:rPr>
                <w:lang w:eastAsia="en-AU"/>
              </w:rPr>
            </w:pPr>
            <w:r w:rsidRPr="00A97252">
              <w:rPr>
                <w:lang w:eastAsia="en-AU"/>
              </w:rPr>
              <w:t>23.3</w:t>
            </w:r>
          </w:p>
        </w:tc>
      </w:tr>
      <w:tr w:rsidR="00285F19" w:rsidRPr="00A97252" w14:paraId="62146CA3"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702" w:type="pct"/>
            <w:noWrap/>
            <w:hideMark/>
          </w:tcPr>
          <w:p w14:paraId="546381E1" w14:textId="77777777" w:rsidR="00285F19" w:rsidRPr="00A97252" w:rsidRDefault="00285F19" w:rsidP="006129E3">
            <w:pPr>
              <w:pStyle w:val="Tablebodytext"/>
              <w:rPr>
                <w:lang w:eastAsia="en-AU"/>
              </w:rPr>
            </w:pPr>
            <w:r w:rsidRPr="00A97252">
              <w:rPr>
                <w:lang w:eastAsia="en-AU"/>
              </w:rPr>
              <w:t>2012-13</w:t>
            </w:r>
          </w:p>
        </w:tc>
        <w:tc>
          <w:tcPr>
            <w:tcW w:w="716" w:type="pct"/>
            <w:noWrap/>
            <w:hideMark/>
          </w:tcPr>
          <w:p w14:paraId="087A7A32" w14:textId="77777777" w:rsidR="00285F19" w:rsidRPr="00A97252" w:rsidRDefault="00285F19" w:rsidP="006129E3">
            <w:pPr>
              <w:pStyle w:val="Tablebodytext"/>
              <w:jc w:val="right"/>
              <w:rPr>
                <w:lang w:eastAsia="en-AU"/>
              </w:rPr>
            </w:pPr>
            <w:r w:rsidRPr="00A97252">
              <w:rPr>
                <w:lang w:eastAsia="en-AU"/>
              </w:rPr>
              <w:t>1.1</w:t>
            </w:r>
          </w:p>
        </w:tc>
        <w:tc>
          <w:tcPr>
            <w:tcW w:w="716" w:type="pct"/>
            <w:noWrap/>
            <w:hideMark/>
          </w:tcPr>
          <w:p w14:paraId="5DAE8164" w14:textId="77777777" w:rsidR="00285F19" w:rsidRPr="00A97252" w:rsidRDefault="00285F19" w:rsidP="006129E3">
            <w:pPr>
              <w:pStyle w:val="Tablebodytext"/>
              <w:jc w:val="right"/>
              <w:rPr>
                <w:lang w:eastAsia="en-AU"/>
              </w:rPr>
            </w:pPr>
            <w:r w:rsidRPr="00A97252">
              <w:rPr>
                <w:lang w:eastAsia="en-AU"/>
              </w:rPr>
              <w:t>0.5</w:t>
            </w:r>
          </w:p>
        </w:tc>
        <w:tc>
          <w:tcPr>
            <w:tcW w:w="716" w:type="pct"/>
            <w:noWrap/>
            <w:hideMark/>
          </w:tcPr>
          <w:p w14:paraId="0AA6C022" w14:textId="77777777" w:rsidR="00285F19" w:rsidRPr="00A97252" w:rsidRDefault="00285F19" w:rsidP="006129E3">
            <w:pPr>
              <w:pStyle w:val="Tablebodytext"/>
              <w:jc w:val="right"/>
              <w:rPr>
                <w:lang w:eastAsia="en-AU"/>
              </w:rPr>
            </w:pPr>
            <w:r w:rsidRPr="00A97252">
              <w:rPr>
                <w:lang w:eastAsia="en-AU"/>
              </w:rPr>
              <w:t>3.1</w:t>
            </w:r>
          </w:p>
        </w:tc>
        <w:tc>
          <w:tcPr>
            <w:tcW w:w="717" w:type="pct"/>
            <w:noWrap/>
            <w:hideMark/>
          </w:tcPr>
          <w:p w14:paraId="3A2593EC" w14:textId="77777777" w:rsidR="00285F19" w:rsidRPr="00A97252" w:rsidRDefault="00285F19" w:rsidP="006129E3">
            <w:pPr>
              <w:pStyle w:val="Tablebodytext"/>
              <w:jc w:val="right"/>
              <w:rPr>
                <w:lang w:eastAsia="en-AU"/>
              </w:rPr>
            </w:pPr>
            <w:r w:rsidRPr="00A97252">
              <w:rPr>
                <w:lang w:eastAsia="en-AU"/>
              </w:rPr>
              <w:t>2.5</w:t>
            </w:r>
          </w:p>
        </w:tc>
        <w:tc>
          <w:tcPr>
            <w:tcW w:w="716" w:type="pct"/>
            <w:noWrap/>
            <w:hideMark/>
          </w:tcPr>
          <w:p w14:paraId="4EA887B8" w14:textId="77777777" w:rsidR="00285F19" w:rsidRPr="00A97252" w:rsidRDefault="00285F19" w:rsidP="006129E3">
            <w:pPr>
              <w:pStyle w:val="Tablebodytext"/>
              <w:jc w:val="right"/>
              <w:rPr>
                <w:lang w:eastAsia="en-AU"/>
              </w:rPr>
            </w:pPr>
            <w:r w:rsidRPr="00A97252">
              <w:rPr>
                <w:lang w:eastAsia="en-AU"/>
              </w:rPr>
              <w:t>19.7</w:t>
            </w:r>
          </w:p>
        </w:tc>
        <w:tc>
          <w:tcPr>
            <w:tcW w:w="716" w:type="pct"/>
            <w:noWrap/>
            <w:hideMark/>
          </w:tcPr>
          <w:p w14:paraId="326B8685" w14:textId="77777777" w:rsidR="00285F19" w:rsidRPr="00A97252" w:rsidRDefault="00285F19" w:rsidP="006129E3">
            <w:pPr>
              <w:pStyle w:val="Tablebodytext"/>
              <w:jc w:val="right"/>
              <w:rPr>
                <w:lang w:eastAsia="en-AU"/>
              </w:rPr>
            </w:pPr>
            <w:r w:rsidRPr="00A97252">
              <w:rPr>
                <w:lang w:eastAsia="en-AU"/>
              </w:rPr>
              <w:t>22.0</w:t>
            </w:r>
          </w:p>
        </w:tc>
      </w:tr>
      <w:tr w:rsidR="00285F19" w:rsidRPr="00A97252" w14:paraId="366CD342"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702" w:type="pct"/>
            <w:noWrap/>
            <w:hideMark/>
          </w:tcPr>
          <w:p w14:paraId="44989EA1" w14:textId="77777777" w:rsidR="00285F19" w:rsidRPr="00A97252" w:rsidRDefault="00285F19" w:rsidP="006129E3">
            <w:pPr>
              <w:pStyle w:val="Tablebodytext"/>
              <w:rPr>
                <w:lang w:eastAsia="en-AU"/>
              </w:rPr>
            </w:pPr>
            <w:r w:rsidRPr="00A97252">
              <w:rPr>
                <w:lang w:eastAsia="en-AU"/>
              </w:rPr>
              <w:t>2013-14</w:t>
            </w:r>
          </w:p>
        </w:tc>
        <w:tc>
          <w:tcPr>
            <w:tcW w:w="716" w:type="pct"/>
            <w:noWrap/>
            <w:hideMark/>
          </w:tcPr>
          <w:p w14:paraId="2E0A522B" w14:textId="77777777" w:rsidR="00285F19" w:rsidRPr="00A97252" w:rsidRDefault="00285F19" w:rsidP="006129E3">
            <w:pPr>
              <w:pStyle w:val="Tablebodytext"/>
              <w:jc w:val="right"/>
              <w:rPr>
                <w:lang w:eastAsia="en-AU"/>
              </w:rPr>
            </w:pPr>
            <w:r w:rsidRPr="00A97252">
              <w:rPr>
                <w:lang w:eastAsia="en-AU"/>
              </w:rPr>
              <w:t>1.1</w:t>
            </w:r>
          </w:p>
        </w:tc>
        <w:tc>
          <w:tcPr>
            <w:tcW w:w="716" w:type="pct"/>
            <w:noWrap/>
            <w:hideMark/>
          </w:tcPr>
          <w:p w14:paraId="5CFF00A1" w14:textId="77777777" w:rsidR="00285F19" w:rsidRPr="00A97252" w:rsidRDefault="00285F19" w:rsidP="006129E3">
            <w:pPr>
              <w:pStyle w:val="Tablebodytext"/>
              <w:jc w:val="right"/>
              <w:rPr>
                <w:lang w:eastAsia="en-AU"/>
              </w:rPr>
            </w:pPr>
            <w:r w:rsidRPr="00A97252">
              <w:rPr>
                <w:lang w:eastAsia="en-AU"/>
              </w:rPr>
              <w:t>0.5</w:t>
            </w:r>
          </w:p>
        </w:tc>
        <w:tc>
          <w:tcPr>
            <w:tcW w:w="716" w:type="pct"/>
            <w:noWrap/>
            <w:hideMark/>
          </w:tcPr>
          <w:p w14:paraId="3DC8057E" w14:textId="77777777" w:rsidR="00285F19" w:rsidRPr="00A97252" w:rsidRDefault="00285F19" w:rsidP="006129E3">
            <w:pPr>
              <w:pStyle w:val="Tablebodytext"/>
              <w:jc w:val="right"/>
              <w:rPr>
                <w:lang w:eastAsia="en-AU"/>
              </w:rPr>
            </w:pPr>
            <w:r w:rsidRPr="00A97252">
              <w:rPr>
                <w:lang w:eastAsia="en-AU"/>
              </w:rPr>
              <w:t>3.3</w:t>
            </w:r>
          </w:p>
        </w:tc>
        <w:tc>
          <w:tcPr>
            <w:tcW w:w="717" w:type="pct"/>
            <w:noWrap/>
            <w:hideMark/>
          </w:tcPr>
          <w:p w14:paraId="3D8786EB" w14:textId="77777777" w:rsidR="00285F19" w:rsidRPr="00A97252" w:rsidRDefault="00285F19" w:rsidP="006129E3">
            <w:pPr>
              <w:pStyle w:val="Tablebodytext"/>
              <w:jc w:val="right"/>
              <w:rPr>
                <w:lang w:eastAsia="en-AU"/>
              </w:rPr>
            </w:pPr>
            <w:r w:rsidRPr="00A97252">
              <w:rPr>
                <w:lang w:eastAsia="en-AU"/>
              </w:rPr>
              <w:t>2.8</w:t>
            </w:r>
          </w:p>
        </w:tc>
        <w:tc>
          <w:tcPr>
            <w:tcW w:w="716" w:type="pct"/>
            <w:noWrap/>
            <w:hideMark/>
          </w:tcPr>
          <w:p w14:paraId="134FBE8A" w14:textId="77777777" w:rsidR="00285F19" w:rsidRPr="00A97252" w:rsidRDefault="00285F19" w:rsidP="006129E3">
            <w:pPr>
              <w:pStyle w:val="Tablebodytext"/>
              <w:jc w:val="right"/>
              <w:rPr>
                <w:lang w:eastAsia="en-AU"/>
              </w:rPr>
            </w:pPr>
            <w:r w:rsidRPr="00A97252">
              <w:rPr>
                <w:lang w:eastAsia="en-AU"/>
              </w:rPr>
              <w:t>20.5</w:t>
            </w:r>
          </w:p>
        </w:tc>
        <w:tc>
          <w:tcPr>
            <w:tcW w:w="716" w:type="pct"/>
            <w:noWrap/>
            <w:hideMark/>
          </w:tcPr>
          <w:p w14:paraId="754D6D73" w14:textId="77777777" w:rsidR="00285F19" w:rsidRPr="00A97252" w:rsidRDefault="00285F19" w:rsidP="006129E3">
            <w:pPr>
              <w:pStyle w:val="Tablebodytext"/>
              <w:jc w:val="right"/>
              <w:rPr>
                <w:lang w:eastAsia="en-AU"/>
              </w:rPr>
            </w:pPr>
            <w:r w:rsidRPr="00A97252">
              <w:rPr>
                <w:lang w:eastAsia="en-AU"/>
              </w:rPr>
              <w:t>18.6</w:t>
            </w:r>
          </w:p>
        </w:tc>
      </w:tr>
    </w:tbl>
    <w:p w14:paraId="07F155D5" w14:textId="77777777" w:rsidR="00285F19" w:rsidRPr="00A97252" w:rsidRDefault="00285F19" w:rsidP="00285F19">
      <w:pPr>
        <w:pStyle w:val="Placeholder"/>
      </w:pPr>
    </w:p>
    <w:p w14:paraId="50769176" w14:textId="77777777" w:rsidR="00285F19" w:rsidRPr="00C62F3A" w:rsidRDefault="00285F19" w:rsidP="00285F19">
      <w:pPr>
        <w:pStyle w:val="Note"/>
      </w:pPr>
      <w:r>
        <w:rPr>
          <w:lang w:eastAsia="en-AU"/>
        </w:rPr>
        <w:t xml:space="preserve">Notes: </w:t>
      </w:r>
      <w:r>
        <w:t>Statistics relate to simple (non-profiled) businesses from the linked BLADE-DIBP dataset. Statistics not directly comparable to official DIBP visa grant statistics.</w:t>
      </w:r>
    </w:p>
    <w:p w14:paraId="6FB747D6" w14:textId="407346E2" w:rsidR="00285F19" w:rsidRDefault="006A6D70" w:rsidP="00285F19">
      <w:pPr>
        <w:pStyle w:val="Source"/>
        <w:rPr>
          <w:lang w:eastAsia="en-AU"/>
        </w:rPr>
      </w:pPr>
      <w:r>
        <w:rPr>
          <w:lang w:eastAsia="en-AU"/>
        </w:rPr>
        <w:t>Source: DIIS (2019</w:t>
      </w:r>
      <w:r w:rsidR="00285F19">
        <w:rPr>
          <w:lang w:eastAsia="en-AU"/>
        </w:rPr>
        <w:t>)</w:t>
      </w:r>
      <w:r>
        <w:rPr>
          <w:lang w:eastAsia="en-AU"/>
        </w:rPr>
        <w:t xml:space="preserve"> using ABS BLADE</w:t>
      </w:r>
    </w:p>
    <w:p w14:paraId="654BD320" w14:textId="77777777" w:rsidR="00285F19" w:rsidRPr="00E276A5" w:rsidRDefault="00285F19" w:rsidP="00AE46D9">
      <w:pPr>
        <w:pStyle w:val="BodyText"/>
      </w:pPr>
      <w:r w:rsidRPr="00E276A5">
        <w:t xml:space="preserve">In terms of </w:t>
      </w:r>
      <w:r>
        <w:t xml:space="preserve">differences in </w:t>
      </w:r>
      <w:r w:rsidRPr="00E276A5">
        <w:t xml:space="preserve">mean employment between </w:t>
      </w:r>
      <w:r>
        <w:t>sponsors and non-sponsors</w:t>
      </w:r>
      <w:r w:rsidRPr="00E276A5">
        <w:t>,</w:t>
      </w:r>
      <w:r>
        <w:t xml:space="preserve"> Table 7, reveals that</w:t>
      </w:r>
      <w:r w:rsidRPr="00E276A5">
        <w:t xml:space="preserve"> mean FTE employment in 457 visa spons</w:t>
      </w:r>
      <w:r>
        <w:t xml:space="preserve">oring firms were always higher </w:t>
      </w:r>
      <w:r w:rsidRPr="00E276A5">
        <w:t xml:space="preserve">than </w:t>
      </w:r>
      <w:r>
        <w:t xml:space="preserve">non-sponsoring </w:t>
      </w:r>
      <w:r w:rsidRPr="00E276A5">
        <w:t>firms for the seven year study period irrespective of firm size indicating</w:t>
      </w:r>
      <w:r>
        <w:t xml:space="preserve"> that on average</w:t>
      </w:r>
      <w:r w:rsidRPr="00E276A5">
        <w:t xml:space="preserve"> the </w:t>
      </w:r>
      <w:r>
        <w:t>sponsoring firms employed more than non-sponsoring business, although the difference is modest, particularly at the micro and small business level.</w:t>
      </w:r>
    </w:p>
    <w:p w14:paraId="28EF7288" w14:textId="77777777" w:rsidR="00285F19" w:rsidRDefault="00285F19" w:rsidP="00285F19">
      <w:pPr>
        <w:pStyle w:val="Caption"/>
      </w:pPr>
      <w:r w:rsidRPr="000618FB">
        <w:lastRenderedPageBreak/>
        <w:t>Table</w:t>
      </w:r>
      <w:r>
        <w:t xml:space="preserve"> 7</w:t>
      </w:r>
      <w:r w:rsidRPr="000618FB">
        <w:t xml:space="preserve">: </w:t>
      </w:r>
      <w:r>
        <w:t>Comparison of employment (FTE) by business size, mean values</w:t>
      </w:r>
    </w:p>
    <w:tbl>
      <w:tblPr>
        <w:tblStyle w:val="OCETable"/>
        <w:tblW w:w="5000" w:type="pct"/>
        <w:tblLook w:val="04A0" w:firstRow="1" w:lastRow="0" w:firstColumn="1" w:lastColumn="0" w:noHBand="0" w:noVBand="1"/>
        <w:tblCaption w:val="Table 7: Comparison of employment by business size,mean values"/>
        <w:tblDescription w:val="This table contains information on the employment level of sponsoring businesses relative to similar non-sponsoring businesses, while controlling for business size. On average sponsoring businesses had higher values for this attribute."/>
      </w:tblPr>
      <w:tblGrid>
        <w:gridCol w:w="992"/>
        <w:gridCol w:w="1011"/>
        <w:gridCol w:w="1012"/>
        <w:gridCol w:w="1012"/>
        <w:gridCol w:w="1013"/>
        <w:gridCol w:w="1012"/>
        <w:gridCol w:w="1012"/>
      </w:tblGrid>
      <w:tr w:rsidR="00285F19" w:rsidRPr="00A97252" w14:paraId="59DBE7A5" w14:textId="77777777" w:rsidTr="006129E3">
        <w:trPr>
          <w:cnfStyle w:val="100000000000" w:firstRow="1" w:lastRow="0" w:firstColumn="0" w:lastColumn="0" w:oddVBand="0" w:evenVBand="0" w:oddHBand="0" w:evenHBand="0" w:firstRowFirstColumn="0" w:firstRowLastColumn="0" w:lastRowFirstColumn="0" w:lastRowLastColumn="0"/>
          <w:trHeight w:val="300"/>
          <w:tblHeader/>
        </w:trPr>
        <w:tc>
          <w:tcPr>
            <w:tcW w:w="703" w:type="pct"/>
            <w:vMerge w:val="restart"/>
            <w:noWrap/>
            <w:hideMark/>
          </w:tcPr>
          <w:p w14:paraId="05098135" w14:textId="77777777" w:rsidR="00285F19" w:rsidRPr="00A97252" w:rsidRDefault="00285F19" w:rsidP="006129E3">
            <w:pPr>
              <w:pStyle w:val="Tableheadertext"/>
              <w:rPr>
                <w:lang w:eastAsia="en-AU"/>
              </w:rPr>
            </w:pPr>
            <w:r w:rsidRPr="00A97252">
              <w:rPr>
                <w:lang w:eastAsia="en-AU"/>
              </w:rPr>
              <w:t>Year</w:t>
            </w:r>
          </w:p>
        </w:tc>
        <w:tc>
          <w:tcPr>
            <w:tcW w:w="1432" w:type="pct"/>
            <w:gridSpan w:val="2"/>
            <w:noWrap/>
            <w:hideMark/>
          </w:tcPr>
          <w:p w14:paraId="58AE91C3" w14:textId="77777777" w:rsidR="00285F19" w:rsidRPr="00A97252" w:rsidRDefault="00285F19" w:rsidP="006129E3">
            <w:pPr>
              <w:pStyle w:val="Tableheadertext"/>
              <w:jc w:val="right"/>
              <w:rPr>
                <w:lang w:eastAsia="en-AU"/>
              </w:rPr>
            </w:pPr>
            <w:r w:rsidRPr="00A97252">
              <w:rPr>
                <w:lang w:eastAsia="en-AU"/>
              </w:rPr>
              <w:t>Micro</w:t>
            </w:r>
          </w:p>
        </w:tc>
        <w:tc>
          <w:tcPr>
            <w:tcW w:w="1433" w:type="pct"/>
            <w:gridSpan w:val="2"/>
            <w:noWrap/>
            <w:hideMark/>
          </w:tcPr>
          <w:p w14:paraId="3C1AD8EE" w14:textId="77777777" w:rsidR="00285F19" w:rsidRPr="00A97252" w:rsidRDefault="00285F19" w:rsidP="006129E3">
            <w:pPr>
              <w:pStyle w:val="Tableheadertext"/>
              <w:jc w:val="right"/>
              <w:rPr>
                <w:lang w:eastAsia="en-AU"/>
              </w:rPr>
            </w:pPr>
            <w:r w:rsidRPr="00A97252">
              <w:rPr>
                <w:lang w:eastAsia="en-AU"/>
              </w:rPr>
              <w:t>Small</w:t>
            </w:r>
          </w:p>
        </w:tc>
        <w:tc>
          <w:tcPr>
            <w:tcW w:w="1433" w:type="pct"/>
            <w:gridSpan w:val="2"/>
            <w:noWrap/>
            <w:hideMark/>
          </w:tcPr>
          <w:p w14:paraId="6D00FC4C" w14:textId="77777777" w:rsidR="00285F19" w:rsidRPr="00A97252" w:rsidRDefault="00285F19" w:rsidP="006129E3">
            <w:pPr>
              <w:pStyle w:val="Tableheadertext"/>
              <w:jc w:val="right"/>
              <w:rPr>
                <w:lang w:eastAsia="en-AU"/>
              </w:rPr>
            </w:pPr>
            <w:r w:rsidRPr="00A97252">
              <w:rPr>
                <w:lang w:eastAsia="en-AU"/>
              </w:rPr>
              <w:t>Medium</w:t>
            </w:r>
          </w:p>
        </w:tc>
      </w:tr>
      <w:tr w:rsidR="00285F19" w:rsidRPr="00A97252" w14:paraId="4995981F" w14:textId="77777777" w:rsidTr="006129E3">
        <w:trPr>
          <w:cnfStyle w:val="000000100000" w:firstRow="0" w:lastRow="0" w:firstColumn="0" w:lastColumn="0" w:oddVBand="0" w:evenVBand="0" w:oddHBand="1" w:evenHBand="0" w:firstRowFirstColumn="0" w:firstRowLastColumn="0" w:lastRowFirstColumn="0" w:lastRowLastColumn="0"/>
          <w:trHeight w:val="600"/>
        </w:trPr>
        <w:tc>
          <w:tcPr>
            <w:tcW w:w="703" w:type="pct"/>
            <w:vMerge/>
            <w:hideMark/>
          </w:tcPr>
          <w:p w14:paraId="64527E7B" w14:textId="77777777" w:rsidR="00285F19" w:rsidRPr="00A97252" w:rsidRDefault="00285F19" w:rsidP="006129E3">
            <w:pPr>
              <w:pStyle w:val="Tablebodytext"/>
              <w:rPr>
                <w:lang w:eastAsia="en-AU"/>
              </w:rPr>
            </w:pPr>
          </w:p>
        </w:tc>
        <w:tc>
          <w:tcPr>
            <w:tcW w:w="716" w:type="pct"/>
            <w:hideMark/>
          </w:tcPr>
          <w:p w14:paraId="4BCB10D8" w14:textId="77777777" w:rsidR="00285F19" w:rsidRPr="00A97252" w:rsidRDefault="00285F19" w:rsidP="006129E3">
            <w:pPr>
              <w:pStyle w:val="Tablebodytext"/>
              <w:jc w:val="right"/>
              <w:rPr>
                <w:lang w:eastAsia="en-AU"/>
              </w:rPr>
            </w:pPr>
            <w:r w:rsidRPr="00A97252">
              <w:rPr>
                <w:lang w:eastAsia="en-AU"/>
              </w:rPr>
              <w:t>Sponsors</w:t>
            </w:r>
          </w:p>
        </w:tc>
        <w:tc>
          <w:tcPr>
            <w:tcW w:w="716" w:type="pct"/>
            <w:hideMark/>
          </w:tcPr>
          <w:p w14:paraId="48521858" w14:textId="77777777" w:rsidR="00285F19" w:rsidRPr="00A97252" w:rsidRDefault="00285F19" w:rsidP="006129E3">
            <w:pPr>
              <w:pStyle w:val="Tablebodytext"/>
              <w:jc w:val="right"/>
              <w:rPr>
                <w:lang w:eastAsia="en-AU"/>
              </w:rPr>
            </w:pPr>
            <w:r w:rsidRPr="00A97252">
              <w:rPr>
                <w:lang w:eastAsia="en-AU"/>
              </w:rPr>
              <w:t>Non-Sponsors</w:t>
            </w:r>
          </w:p>
        </w:tc>
        <w:tc>
          <w:tcPr>
            <w:tcW w:w="716" w:type="pct"/>
            <w:hideMark/>
          </w:tcPr>
          <w:p w14:paraId="107CB4B3" w14:textId="77777777" w:rsidR="00285F19" w:rsidRPr="00A97252" w:rsidRDefault="00285F19" w:rsidP="006129E3">
            <w:pPr>
              <w:pStyle w:val="Tablebodytext"/>
              <w:jc w:val="right"/>
              <w:rPr>
                <w:lang w:eastAsia="en-AU"/>
              </w:rPr>
            </w:pPr>
            <w:r w:rsidRPr="00A97252">
              <w:rPr>
                <w:lang w:eastAsia="en-AU"/>
              </w:rPr>
              <w:t>Sponsors</w:t>
            </w:r>
          </w:p>
        </w:tc>
        <w:tc>
          <w:tcPr>
            <w:tcW w:w="716" w:type="pct"/>
            <w:hideMark/>
          </w:tcPr>
          <w:p w14:paraId="1B2CEA81" w14:textId="77777777" w:rsidR="00285F19" w:rsidRPr="00A97252" w:rsidRDefault="00285F19" w:rsidP="006129E3">
            <w:pPr>
              <w:pStyle w:val="Tablebodytext"/>
              <w:jc w:val="right"/>
              <w:rPr>
                <w:lang w:eastAsia="en-AU"/>
              </w:rPr>
            </w:pPr>
            <w:r w:rsidRPr="00A97252">
              <w:rPr>
                <w:lang w:eastAsia="en-AU"/>
              </w:rPr>
              <w:t>Non-Sponsors</w:t>
            </w:r>
          </w:p>
        </w:tc>
        <w:tc>
          <w:tcPr>
            <w:tcW w:w="716" w:type="pct"/>
            <w:hideMark/>
          </w:tcPr>
          <w:p w14:paraId="252D2889" w14:textId="77777777" w:rsidR="00285F19" w:rsidRPr="00A97252" w:rsidRDefault="00285F19" w:rsidP="006129E3">
            <w:pPr>
              <w:pStyle w:val="Tablebodytext"/>
              <w:jc w:val="right"/>
              <w:rPr>
                <w:lang w:eastAsia="en-AU"/>
              </w:rPr>
            </w:pPr>
            <w:r w:rsidRPr="00A97252">
              <w:rPr>
                <w:lang w:eastAsia="en-AU"/>
              </w:rPr>
              <w:t>Sponsors</w:t>
            </w:r>
          </w:p>
        </w:tc>
        <w:tc>
          <w:tcPr>
            <w:tcW w:w="716" w:type="pct"/>
            <w:hideMark/>
          </w:tcPr>
          <w:p w14:paraId="5078E929" w14:textId="77777777" w:rsidR="00285F19" w:rsidRPr="00A97252" w:rsidRDefault="00285F19" w:rsidP="006129E3">
            <w:pPr>
              <w:pStyle w:val="Tablebodytext"/>
              <w:jc w:val="right"/>
              <w:rPr>
                <w:lang w:eastAsia="en-AU"/>
              </w:rPr>
            </w:pPr>
            <w:r w:rsidRPr="00A97252">
              <w:rPr>
                <w:lang w:eastAsia="en-AU"/>
              </w:rPr>
              <w:t>Non-Sponsors</w:t>
            </w:r>
          </w:p>
        </w:tc>
      </w:tr>
      <w:tr w:rsidR="00285F19" w:rsidRPr="00A97252" w14:paraId="676A3AFE"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703" w:type="pct"/>
            <w:noWrap/>
            <w:hideMark/>
          </w:tcPr>
          <w:p w14:paraId="0AF9A905" w14:textId="77777777" w:rsidR="00285F19" w:rsidRPr="00A97252" w:rsidRDefault="00285F19" w:rsidP="006129E3">
            <w:pPr>
              <w:pStyle w:val="Tablebodytext"/>
              <w:rPr>
                <w:lang w:eastAsia="en-AU"/>
              </w:rPr>
            </w:pPr>
            <w:r w:rsidRPr="00A97252">
              <w:rPr>
                <w:lang w:eastAsia="en-AU"/>
              </w:rPr>
              <w:t>2007-08</w:t>
            </w:r>
          </w:p>
        </w:tc>
        <w:tc>
          <w:tcPr>
            <w:tcW w:w="716" w:type="pct"/>
            <w:noWrap/>
            <w:hideMark/>
          </w:tcPr>
          <w:p w14:paraId="26D5CA6F" w14:textId="77777777" w:rsidR="00285F19" w:rsidRPr="00A97252" w:rsidRDefault="00285F19" w:rsidP="006129E3">
            <w:pPr>
              <w:pStyle w:val="Tablebodytext"/>
              <w:jc w:val="right"/>
              <w:rPr>
                <w:lang w:eastAsia="en-AU"/>
              </w:rPr>
            </w:pPr>
            <w:r w:rsidRPr="00A97252">
              <w:rPr>
                <w:lang w:eastAsia="en-AU"/>
              </w:rPr>
              <w:t>2.3</w:t>
            </w:r>
          </w:p>
        </w:tc>
        <w:tc>
          <w:tcPr>
            <w:tcW w:w="716" w:type="pct"/>
            <w:noWrap/>
            <w:hideMark/>
          </w:tcPr>
          <w:p w14:paraId="72C3BED7" w14:textId="77777777" w:rsidR="00285F19" w:rsidRPr="00A97252" w:rsidRDefault="00285F19" w:rsidP="006129E3">
            <w:pPr>
              <w:pStyle w:val="Tablebodytext"/>
              <w:jc w:val="right"/>
              <w:rPr>
                <w:lang w:eastAsia="en-AU"/>
              </w:rPr>
            </w:pPr>
            <w:r w:rsidRPr="00A97252">
              <w:rPr>
                <w:lang w:eastAsia="en-AU"/>
              </w:rPr>
              <w:t>1.5</w:t>
            </w:r>
          </w:p>
        </w:tc>
        <w:tc>
          <w:tcPr>
            <w:tcW w:w="716" w:type="pct"/>
            <w:noWrap/>
            <w:hideMark/>
          </w:tcPr>
          <w:p w14:paraId="5A7D38FD" w14:textId="77777777" w:rsidR="00285F19" w:rsidRPr="00A97252" w:rsidRDefault="00285F19" w:rsidP="006129E3">
            <w:pPr>
              <w:pStyle w:val="Tablebodytext"/>
              <w:jc w:val="right"/>
              <w:rPr>
                <w:lang w:eastAsia="en-AU"/>
              </w:rPr>
            </w:pPr>
            <w:r w:rsidRPr="00A97252">
              <w:rPr>
                <w:lang w:eastAsia="en-AU"/>
              </w:rPr>
              <w:t>10.2</w:t>
            </w:r>
          </w:p>
        </w:tc>
        <w:tc>
          <w:tcPr>
            <w:tcW w:w="716" w:type="pct"/>
            <w:noWrap/>
            <w:hideMark/>
          </w:tcPr>
          <w:p w14:paraId="1100178E" w14:textId="77777777" w:rsidR="00285F19" w:rsidRPr="00A97252" w:rsidRDefault="00285F19" w:rsidP="006129E3">
            <w:pPr>
              <w:pStyle w:val="Tablebodytext"/>
              <w:jc w:val="right"/>
              <w:rPr>
                <w:lang w:eastAsia="en-AU"/>
              </w:rPr>
            </w:pPr>
            <w:r w:rsidRPr="00A97252">
              <w:rPr>
                <w:lang w:eastAsia="en-AU"/>
              </w:rPr>
              <w:t>8.8</w:t>
            </w:r>
          </w:p>
        </w:tc>
        <w:tc>
          <w:tcPr>
            <w:tcW w:w="716" w:type="pct"/>
            <w:noWrap/>
            <w:hideMark/>
          </w:tcPr>
          <w:p w14:paraId="4B946DAA" w14:textId="77777777" w:rsidR="00285F19" w:rsidRPr="00A97252" w:rsidRDefault="00285F19" w:rsidP="006129E3">
            <w:pPr>
              <w:pStyle w:val="Tablebodytext"/>
              <w:jc w:val="right"/>
              <w:rPr>
                <w:lang w:eastAsia="en-AU"/>
              </w:rPr>
            </w:pPr>
            <w:r w:rsidRPr="00A97252">
              <w:rPr>
                <w:lang w:eastAsia="en-AU"/>
              </w:rPr>
              <w:t>53.1</w:t>
            </w:r>
          </w:p>
        </w:tc>
        <w:tc>
          <w:tcPr>
            <w:tcW w:w="716" w:type="pct"/>
            <w:noWrap/>
            <w:hideMark/>
          </w:tcPr>
          <w:p w14:paraId="183FECC0" w14:textId="77777777" w:rsidR="00285F19" w:rsidRPr="00A97252" w:rsidRDefault="00285F19" w:rsidP="006129E3">
            <w:pPr>
              <w:pStyle w:val="Tablebodytext"/>
              <w:jc w:val="right"/>
              <w:rPr>
                <w:lang w:eastAsia="en-AU"/>
              </w:rPr>
            </w:pPr>
            <w:r w:rsidRPr="00A97252">
              <w:rPr>
                <w:lang w:eastAsia="en-AU"/>
              </w:rPr>
              <w:t>40.6</w:t>
            </w:r>
          </w:p>
        </w:tc>
      </w:tr>
      <w:tr w:rsidR="00285F19" w:rsidRPr="00A97252" w14:paraId="63D47D4C"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703" w:type="pct"/>
            <w:noWrap/>
            <w:hideMark/>
          </w:tcPr>
          <w:p w14:paraId="716619C8" w14:textId="77777777" w:rsidR="00285F19" w:rsidRPr="00A97252" w:rsidRDefault="00285F19" w:rsidP="006129E3">
            <w:pPr>
              <w:pStyle w:val="Tablebodytext"/>
              <w:rPr>
                <w:lang w:eastAsia="en-AU"/>
              </w:rPr>
            </w:pPr>
            <w:r w:rsidRPr="00A97252">
              <w:rPr>
                <w:lang w:eastAsia="en-AU"/>
              </w:rPr>
              <w:t>2008-09</w:t>
            </w:r>
          </w:p>
        </w:tc>
        <w:tc>
          <w:tcPr>
            <w:tcW w:w="716" w:type="pct"/>
            <w:noWrap/>
            <w:hideMark/>
          </w:tcPr>
          <w:p w14:paraId="74F802FE" w14:textId="77777777" w:rsidR="00285F19" w:rsidRPr="00A97252" w:rsidRDefault="00285F19" w:rsidP="006129E3">
            <w:pPr>
              <w:pStyle w:val="Tablebodytext"/>
              <w:jc w:val="right"/>
              <w:rPr>
                <w:lang w:eastAsia="en-AU"/>
              </w:rPr>
            </w:pPr>
            <w:r w:rsidRPr="00A97252">
              <w:rPr>
                <w:lang w:eastAsia="en-AU"/>
              </w:rPr>
              <w:t>2.3</w:t>
            </w:r>
          </w:p>
        </w:tc>
        <w:tc>
          <w:tcPr>
            <w:tcW w:w="716" w:type="pct"/>
            <w:noWrap/>
            <w:hideMark/>
          </w:tcPr>
          <w:p w14:paraId="6997B57E" w14:textId="77777777" w:rsidR="00285F19" w:rsidRPr="00A97252" w:rsidRDefault="00285F19" w:rsidP="006129E3">
            <w:pPr>
              <w:pStyle w:val="Tablebodytext"/>
              <w:jc w:val="right"/>
              <w:rPr>
                <w:lang w:eastAsia="en-AU"/>
              </w:rPr>
            </w:pPr>
            <w:r w:rsidRPr="00A97252">
              <w:rPr>
                <w:lang w:eastAsia="en-AU"/>
              </w:rPr>
              <w:t>1.5</w:t>
            </w:r>
          </w:p>
        </w:tc>
        <w:tc>
          <w:tcPr>
            <w:tcW w:w="716" w:type="pct"/>
            <w:noWrap/>
            <w:hideMark/>
          </w:tcPr>
          <w:p w14:paraId="7C1AA046" w14:textId="77777777" w:rsidR="00285F19" w:rsidRPr="00A97252" w:rsidRDefault="00285F19" w:rsidP="006129E3">
            <w:pPr>
              <w:pStyle w:val="Tablebodytext"/>
              <w:jc w:val="right"/>
              <w:rPr>
                <w:lang w:eastAsia="en-AU"/>
              </w:rPr>
            </w:pPr>
            <w:r w:rsidRPr="00A97252">
              <w:rPr>
                <w:lang w:eastAsia="en-AU"/>
              </w:rPr>
              <w:t>10.2</w:t>
            </w:r>
          </w:p>
        </w:tc>
        <w:tc>
          <w:tcPr>
            <w:tcW w:w="716" w:type="pct"/>
            <w:noWrap/>
            <w:hideMark/>
          </w:tcPr>
          <w:p w14:paraId="2483A726" w14:textId="77777777" w:rsidR="00285F19" w:rsidRPr="00A97252" w:rsidRDefault="00285F19" w:rsidP="006129E3">
            <w:pPr>
              <w:pStyle w:val="Tablebodytext"/>
              <w:jc w:val="right"/>
              <w:rPr>
                <w:lang w:eastAsia="en-AU"/>
              </w:rPr>
            </w:pPr>
            <w:r w:rsidRPr="00A97252">
              <w:rPr>
                <w:lang w:eastAsia="en-AU"/>
              </w:rPr>
              <w:t>8.7</w:t>
            </w:r>
          </w:p>
        </w:tc>
        <w:tc>
          <w:tcPr>
            <w:tcW w:w="716" w:type="pct"/>
            <w:noWrap/>
            <w:hideMark/>
          </w:tcPr>
          <w:p w14:paraId="69B0313F" w14:textId="77777777" w:rsidR="00285F19" w:rsidRPr="00A97252" w:rsidRDefault="00285F19" w:rsidP="006129E3">
            <w:pPr>
              <w:pStyle w:val="Tablebodytext"/>
              <w:jc w:val="right"/>
              <w:rPr>
                <w:lang w:eastAsia="en-AU"/>
              </w:rPr>
            </w:pPr>
            <w:r w:rsidRPr="00A97252">
              <w:rPr>
                <w:lang w:eastAsia="en-AU"/>
              </w:rPr>
              <w:t>53.0</w:t>
            </w:r>
          </w:p>
        </w:tc>
        <w:tc>
          <w:tcPr>
            <w:tcW w:w="716" w:type="pct"/>
            <w:noWrap/>
            <w:hideMark/>
          </w:tcPr>
          <w:p w14:paraId="275E32ED" w14:textId="77777777" w:rsidR="00285F19" w:rsidRPr="00A97252" w:rsidRDefault="00285F19" w:rsidP="006129E3">
            <w:pPr>
              <w:pStyle w:val="Tablebodytext"/>
              <w:jc w:val="right"/>
              <w:rPr>
                <w:lang w:eastAsia="en-AU"/>
              </w:rPr>
            </w:pPr>
            <w:r w:rsidRPr="00A97252">
              <w:rPr>
                <w:lang w:eastAsia="en-AU"/>
              </w:rPr>
              <w:t>40.6</w:t>
            </w:r>
          </w:p>
        </w:tc>
      </w:tr>
      <w:tr w:rsidR="00285F19" w:rsidRPr="00A97252" w14:paraId="584F4B12"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703" w:type="pct"/>
            <w:noWrap/>
            <w:hideMark/>
          </w:tcPr>
          <w:p w14:paraId="69D7A639" w14:textId="77777777" w:rsidR="00285F19" w:rsidRPr="00A97252" w:rsidRDefault="00285F19" w:rsidP="006129E3">
            <w:pPr>
              <w:pStyle w:val="Tablebodytext"/>
              <w:rPr>
                <w:lang w:eastAsia="en-AU"/>
              </w:rPr>
            </w:pPr>
            <w:r w:rsidRPr="00A97252">
              <w:rPr>
                <w:lang w:eastAsia="en-AU"/>
              </w:rPr>
              <w:t>2009-10</w:t>
            </w:r>
          </w:p>
        </w:tc>
        <w:tc>
          <w:tcPr>
            <w:tcW w:w="716" w:type="pct"/>
            <w:noWrap/>
            <w:hideMark/>
          </w:tcPr>
          <w:p w14:paraId="1110BBD7" w14:textId="77777777" w:rsidR="00285F19" w:rsidRPr="00A97252" w:rsidRDefault="00285F19" w:rsidP="006129E3">
            <w:pPr>
              <w:pStyle w:val="Tablebodytext"/>
              <w:jc w:val="right"/>
              <w:rPr>
                <w:lang w:eastAsia="en-AU"/>
              </w:rPr>
            </w:pPr>
            <w:r w:rsidRPr="00A97252">
              <w:rPr>
                <w:lang w:eastAsia="en-AU"/>
              </w:rPr>
              <w:t>2.2</w:t>
            </w:r>
          </w:p>
        </w:tc>
        <w:tc>
          <w:tcPr>
            <w:tcW w:w="716" w:type="pct"/>
            <w:noWrap/>
            <w:hideMark/>
          </w:tcPr>
          <w:p w14:paraId="4A02E67F" w14:textId="77777777" w:rsidR="00285F19" w:rsidRPr="00A97252" w:rsidRDefault="00285F19" w:rsidP="006129E3">
            <w:pPr>
              <w:pStyle w:val="Tablebodytext"/>
              <w:jc w:val="right"/>
              <w:rPr>
                <w:lang w:eastAsia="en-AU"/>
              </w:rPr>
            </w:pPr>
            <w:r w:rsidRPr="00A97252">
              <w:rPr>
                <w:lang w:eastAsia="en-AU"/>
              </w:rPr>
              <w:t>1.5</w:t>
            </w:r>
          </w:p>
        </w:tc>
        <w:tc>
          <w:tcPr>
            <w:tcW w:w="716" w:type="pct"/>
            <w:noWrap/>
            <w:hideMark/>
          </w:tcPr>
          <w:p w14:paraId="6C51633C" w14:textId="77777777" w:rsidR="00285F19" w:rsidRPr="00A97252" w:rsidRDefault="00285F19" w:rsidP="006129E3">
            <w:pPr>
              <w:pStyle w:val="Tablebodytext"/>
              <w:jc w:val="right"/>
              <w:rPr>
                <w:lang w:eastAsia="en-AU"/>
              </w:rPr>
            </w:pPr>
            <w:r w:rsidRPr="00A97252">
              <w:rPr>
                <w:lang w:eastAsia="en-AU"/>
              </w:rPr>
              <w:t>10.2</w:t>
            </w:r>
          </w:p>
        </w:tc>
        <w:tc>
          <w:tcPr>
            <w:tcW w:w="716" w:type="pct"/>
            <w:noWrap/>
            <w:hideMark/>
          </w:tcPr>
          <w:p w14:paraId="0958F17B" w14:textId="77777777" w:rsidR="00285F19" w:rsidRPr="00A97252" w:rsidRDefault="00285F19" w:rsidP="006129E3">
            <w:pPr>
              <w:pStyle w:val="Tablebodytext"/>
              <w:jc w:val="right"/>
              <w:rPr>
                <w:lang w:eastAsia="en-AU"/>
              </w:rPr>
            </w:pPr>
            <w:r w:rsidRPr="00A97252">
              <w:rPr>
                <w:lang w:eastAsia="en-AU"/>
              </w:rPr>
              <w:t>8.7</w:t>
            </w:r>
          </w:p>
        </w:tc>
        <w:tc>
          <w:tcPr>
            <w:tcW w:w="716" w:type="pct"/>
            <w:noWrap/>
            <w:hideMark/>
          </w:tcPr>
          <w:p w14:paraId="3434B8C0" w14:textId="77777777" w:rsidR="00285F19" w:rsidRPr="00A97252" w:rsidRDefault="00285F19" w:rsidP="006129E3">
            <w:pPr>
              <w:pStyle w:val="Tablebodytext"/>
              <w:jc w:val="right"/>
              <w:rPr>
                <w:lang w:eastAsia="en-AU"/>
              </w:rPr>
            </w:pPr>
            <w:r w:rsidRPr="00A97252">
              <w:rPr>
                <w:lang w:eastAsia="en-AU"/>
              </w:rPr>
              <w:t>53.0</w:t>
            </w:r>
          </w:p>
        </w:tc>
        <w:tc>
          <w:tcPr>
            <w:tcW w:w="716" w:type="pct"/>
            <w:noWrap/>
            <w:hideMark/>
          </w:tcPr>
          <w:p w14:paraId="65A07903" w14:textId="77777777" w:rsidR="00285F19" w:rsidRPr="00A97252" w:rsidRDefault="00285F19" w:rsidP="006129E3">
            <w:pPr>
              <w:pStyle w:val="Tablebodytext"/>
              <w:jc w:val="right"/>
              <w:rPr>
                <w:lang w:eastAsia="en-AU"/>
              </w:rPr>
            </w:pPr>
            <w:r w:rsidRPr="00A97252">
              <w:rPr>
                <w:lang w:eastAsia="en-AU"/>
              </w:rPr>
              <w:t>40.7</w:t>
            </w:r>
          </w:p>
        </w:tc>
      </w:tr>
      <w:tr w:rsidR="00285F19" w:rsidRPr="00A97252" w14:paraId="79EDD158"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703" w:type="pct"/>
            <w:noWrap/>
            <w:hideMark/>
          </w:tcPr>
          <w:p w14:paraId="74FFC95A" w14:textId="77777777" w:rsidR="00285F19" w:rsidRPr="00A97252" w:rsidRDefault="00285F19" w:rsidP="006129E3">
            <w:pPr>
              <w:pStyle w:val="Tablebodytext"/>
              <w:rPr>
                <w:lang w:eastAsia="en-AU"/>
              </w:rPr>
            </w:pPr>
            <w:r w:rsidRPr="00A97252">
              <w:rPr>
                <w:lang w:eastAsia="en-AU"/>
              </w:rPr>
              <w:t>2010-11</w:t>
            </w:r>
          </w:p>
        </w:tc>
        <w:tc>
          <w:tcPr>
            <w:tcW w:w="716" w:type="pct"/>
            <w:noWrap/>
            <w:hideMark/>
          </w:tcPr>
          <w:p w14:paraId="13DC7D68" w14:textId="77777777" w:rsidR="00285F19" w:rsidRPr="00A97252" w:rsidRDefault="00285F19" w:rsidP="006129E3">
            <w:pPr>
              <w:pStyle w:val="Tablebodytext"/>
              <w:jc w:val="right"/>
              <w:rPr>
                <w:lang w:eastAsia="en-AU"/>
              </w:rPr>
            </w:pPr>
            <w:r w:rsidRPr="00A97252">
              <w:rPr>
                <w:lang w:eastAsia="en-AU"/>
              </w:rPr>
              <w:t>2.2</w:t>
            </w:r>
          </w:p>
        </w:tc>
        <w:tc>
          <w:tcPr>
            <w:tcW w:w="716" w:type="pct"/>
            <w:noWrap/>
            <w:hideMark/>
          </w:tcPr>
          <w:p w14:paraId="0CC3AE11" w14:textId="77777777" w:rsidR="00285F19" w:rsidRPr="00A97252" w:rsidRDefault="00285F19" w:rsidP="006129E3">
            <w:pPr>
              <w:pStyle w:val="Tablebodytext"/>
              <w:jc w:val="right"/>
              <w:rPr>
                <w:lang w:eastAsia="en-AU"/>
              </w:rPr>
            </w:pPr>
            <w:r w:rsidRPr="00A97252">
              <w:rPr>
                <w:lang w:eastAsia="en-AU"/>
              </w:rPr>
              <w:t>1.4</w:t>
            </w:r>
          </w:p>
        </w:tc>
        <w:tc>
          <w:tcPr>
            <w:tcW w:w="716" w:type="pct"/>
            <w:noWrap/>
            <w:hideMark/>
          </w:tcPr>
          <w:p w14:paraId="49F966E4" w14:textId="77777777" w:rsidR="00285F19" w:rsidRPr="00A97252" w:rsidRDefault="00285F19" w:rsidP="006129E3">
            <w:pPr>
              <w:pStyle w:val="Tablebodytext"/>
              <w:jc w:val="right"/>
              <w:rPr>
                <w:lang w:eastAsia="en-AU"/>
              </w:rPr>
            </w:pPr>
            <w:r w:rsidRPr="00A97252">
              <w:rPr>
                <w:lang w:eastAsia="en-AU"/>
              </w:rPr>
              <w:t>10.2</w:t>
            </w:r>
          </w:p>
        </w:tc>
        <w:tc>
          <w:tcPr>
            <w:tcW w:w="716" w:type="pct"/>
            <w:noWrap/>
            <w:hideMark/>
          </w:tcPr>
          <w:p w14:paraId="7FED12D0" w14:textId="77777777" w:rsidR="00285F19" w:rsidRPr="00A97252" w:rsidRDefault="00285F19" w:rsidP="006129E3">
            <w:pPr>
              <w:pStyle w:val="Tablebodytext"/>
              <w:jc w:val="right"/>
              <w:rPr>
                <w:lang w:eastAsia="en-AU"/>
              </w:rPr>
            </w:pPr>
            <w:r w:rsidRPr="00A97252">
              <w:rPr>
                <w:lang w:eastAsia="en-AU"/>
              </w:rPr>
              <w:t>8.7</w:t>
            </w:r>
          </w:p>
        </w:tc>
        <w:tc>
          <w:tcPr>
            <w:tcW w:w="716" w:type="pct"/>
            <w:noWrap/>
            <w:hideMark/>
          </w:tcPr>
          <w:p w14:paraId="44F7BB89" w14:textId="77777777" w:rsidR="00285F19" w:rsidRPr="00A97252" w:rsidRDefault="00285F19" w:rsidP="006129E3">
            <w:pPr>
              <w:pStyle w:val="Tablebodytext"/>
              <w:jc w:val="right"/>
              <w:rPr>
                <w:lang w:eastAsia="en-AU"/>
              </w:rPr>
            </w:pPr>
            <w:r w:rsidRPr="00A97252">
              <w:rPr>
                <w:lang w:eastAsia="en-AU"/>
              </w:rPr>
              <w:t>53.3</w:t>
            </w:r>
          </w:p>
        </w:tc>
        <w:tc>
          <w:tcPr>
            <w:tcW w:w="716" w:type="pct"/>
            <w:noWrap/>
            <w:hideMark/>
          </w:tcPr>
          <w:p w14:paraId="6EE247EA" w14:textId="77777777" w:rsidR="00285F19" w:rsidRPr="00A97252" w:rsidRDefault="00285F19" w:rsidP="006129E3">
            <w:pPr>
              <w:pStyle w:val="Tablebodytext"/>
              <w:jc w:val="right"/>
              <w:rPr>
                <w:lang w:eastAsia="en-AU"/>
              </w:rPr>
            </w:pPr>
            <w:r w:rsidRPr="00A97252">
              <w:rPr>
                <w:lang w:eastAsia="en-AU"/>
              </w:rPr>
              <w:t>41.2</w:t>
            </w:r>
          </w:p>
        </w:tc>
      </w:tr>
      <w:tr w:rsidR="00285F19" w:rsidRPr="00A97252" w14:paraId="2BCBC3B4"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703" w:type="pct"/>
            <w:noWrap/>
            <w:hideMark/>
          </w:tcPr>
          <w:p w14:paraId="33850831" w14:textId="77777777" w:rsidR="00285F19" w:rsidRPr="00A97252" w:rsidRDefault="00285F19" w:rsidP="006129E3">
            <w:pPr>
              <w:pStyle w:val="Tablebodytext"/>
              <w:rPr>
                <w:lang w:eastAsia="en-AU"/>
              </w:rPr>
            </w:pPr>
            <w:r w:rsidRPr="00A97252">
              <w:rPr>
                <w:lang w:eastAsia="en-AU"/>
              </w:rPr>
              <w:t>2011-12</w:t>
            </w:r>
          </w:p>
        </w:tc>
        <w:tc>
          <w:tcPr>
            <w:tcW w:w="716" w:type="pct"/>
            <w:noWrap/>
            <w:hideMark/>
          </w:tcPr>
          <w:p w14:paraId="119816F2" w14:textId="77777777" w:rsidR="00285F19" w:rsidRPr="00A97252" w:rsidRDefault="00285F19" w:rsidP="006129E3">
            <w:pPr>
              <w:pStyle w:val="Tablebodytext"/>
              <w:jc w:val="right"/>
              <w:rPr>
                <w:lang w:eastAsia="en-AU"/>
              </w:rPr>
            </w:pPr>
            <w:r w:rsidRPr="00A97252">
              <w:rPr>
                <w:lang w:eastAsia="en-AU"/>
              </w:rPr>
              <w:t>2.2</w:t>
            </w:r>
          </w:p>
        </w:tc>
        <w:tc>
          <w:tcPr>
            <w:tcW w:w="716" w:type="pct"/>
            <w:noWrap/>
            <w:hideMark/>
          </w:tcPr>
          <w:p w14:paraId="12B4FEE9" w14:textId="77777777" w:rsidR="00285F19" w:rsidRPr="00A97252" w:rsidRDefault="00285F19" w:rsidP="006129E3">
            <w:pPr>
              <w:pStyle w:val="Tablebodytext"/>
              <w:jc w:val="right"/>
              <w:rPr>
                <w:lang w:eastAsia="en-AU"/>
              </w:rPr>
            </w:pPr>
            <w:r w:rsidRPr="00A97252">
              <w:rPr>
                <w:lang w:eastAsia="en-AU"/>
              </w:rPr>
              <w:t>1.4</w:t>
            </w:r>
          </w:p>
        </w:tc>
        <w:tc>
          <w:tcPr>
            <w:tcW w:w="716" w:type="pct"/>
            <w:noWrap/>
            <w:hideMark/>
          </w:tcPr>
          <w:p w14:paraId="44A3DE93" w14:textId="77777777" w:rsidR="00285F19" w:rsidRPr="00A97252" w:rsidRDefault="00285F19" w:rsidP="006129E3">
            <w:pPr>
              <w:pStyle w:val="Tablebodytext"/>
              <w:jc w:val="right"/>
              <w:rPr>
                <w:lang w:eastAsia="en-AU"/>
              </w:rPr>
            </w:pPr>
            <w:r w:rsidRPr="00A97252">
              <w:rPr>
                <w:lang w:eastAsia="en-AU"/>
              </w:rPr>
              <w:t>10.2</w:t>
            </w:r>
          </w:p>
        </w:tc>
        <w:tc>
          <w:tcPr>
            <w:tcW w:w="716" w:type="pct"/>
            <w:noWrap/>
            <w:hideMark/>
          </w:tcPr>
          <w:p w14:paraId="5D9E9481" w14:textId="77777777" w:rsidR="00285F19" w:rsidRPr="00A97252" w:rsidRDefault="00285F19" w:rsidP="006129E3">
            <w:pPr>
              <w:pStyle w:val="Tablebodytext"/>
              <w:jc w:val="right"/>
              <w:rPr>
                <w:lang w:eastAsia="en-AU"/>
              </w:rPr>
            </w:pPr>
            <w:r w:rsidRPr="00A97252">
              <w:rPr>
                <w:lang w:eastAsia="en-AU"/>
              </w:rPr>
              <w:t>8.8</w:t>
            </w:r>
          </w:p>
        </w:tc>
        <w:tc>
          <w:tcPr>
            <w:tcW w:w="716" w:type="pct"/>
            <w:noWrap/>
            <w:hideMark/>
          </w:tcPr>
          <w:p w14:paraId="27B3F04E" w14:textId="77777777" w:rsidR="00285F19" w:rsidRPr="00A97252" w:rsidRDefault="00285F19" w:rsidP="006129E3">
            <w:pPr>
              <w:pStyle w:val="Tablebodytext"/>
              <w:jc w:val="right"/>
              <w:rPr>
                <w:lang w:eastAsia="en-AU"/>
              </w:rPr>
            </w:pPr>
            <w:r w:rsidRPr="00A97252">
              <w:rPr>
                <w:lang w:eastAsia="en-AU"/>
              </w:rPr>
              <w:t>54.3</w:t>
            </w:r>
          </w:p>
        </w:tc>
        <w:tc>
          <w:tcPr>
            <w:tcW w:w="716" w:type="pct"/>
            <w:noWrap/>
            <w:hideMark/>
          </w:tcPr>
          <w:p w14:paraId="3D16B934" w14:textId="77777777" w:rsidR="00285F19" w:rsidRPr="00A97252" w:rsidRDefault="00285F19" w:rsidP="006129E3">
            <w:pPr>
              <w:pStyle w:val="Tablebodytext"/>
              <w:jc w:val="right"/>
              <w:rPr>
                <w:lang w:eastAsia="en-AU"/>
              </w:rPr>
            </w:pPr>
            <w:r w:rsidRPr="00A97252">
              <w:rPr>
                <w:lang w:eastAsia="en-AU"/>
              </w:rPr>
              <w:t>41.9</w:t>
            </w:r>
          </w:p>
        </w:tc>
      </w:tr>
      <w:tr w:rsidR="00285F19" w:rsidRPr="00A97252" w14:paraId="554A7256"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703" w:type="pct"/>
            <w:noWrap/>
            <w:hideMark/>
          </w:tcPr>
          <w:p w14:paraId="431F92A1" w14:textId="77777777" w:rsidR="00285F19" w:rsidRPr="00A97252" w:rsidRDefault="00285F19" w:rsidP="006129E3">
            <w:pPr>
              <w:pStyle w:val="Tablebodytext"/>
              <w:rPr>
                <w:lang w:eastAsia="en-AU"/>
              </w:rPr>
            </w:pPr>
            <w:r w:rsidRPr="00A97252">
              <w:rPr>
                <w:lang w:eastAsia="en-AU"/>
              </w:rPr>
              <w:t>2012-13</w:t>
            </w:r>
          </w:p>
        </w:tc>
        <w:tc>
          <w:tcPr>
            <w:tcW w:w="716" w:type="pct"/>
            <w:noWrap/>
            <w:hideMark/>
          </w:tcPr>
          <w:p w14:paraId="2D48F3D8" w14:textId="77777777" w:rsidR="00285F19" w:rsidRPr="00A97252" w:rsidRDefault="00285F19" w:rsidP="006129E3">
            <w:pPr>
              <w:pStyle w:val="Tablebodytext"/>
              <w:jc w:val="right"/>
              <w:rPr>
                <w:lang w:eastAsia="en-AU"/>
              </w:rPr>
            </w:pPr>
            <w:r w:rsidRPr="00A97252">
              <w:rPr>
                <w:lang w:eastAsia="en-AU"/>
              </w:rPr>
              <w:t>2.3</w:t>
            </w:r>
          </w:p>
        </w:tc>
        <w:tc>
          <w:tcPr>
            <w:tcW w:w="716" w:type="pct"/>
            <w:noWrap/>
            <w:hideMark/>
          </w:tcPr>
          <w:p w14:paraId="62BF78A3" w14:textId="77777777" w:rsidR="00285F19" w:rsidRPr="00A97252" w:rsidRDefault="00285F19" w:rsidP="006129E3">
            <w:pPr>
              <w:pStyle w:val="Tablebodytext"/>
              <w:jc w:val="right"/>
              <w:rPr>
                <w:lang w:eastAsia="en-AU"/>
              </w:rPr>
            </w:pPr>
            <w:r w:rsidRPr="00A97252">
              <w:rPr>
                <w:lang w:eastAsia="en-AU"/>
              </w:rPr>
              <w:t>1.4</w:t>
            </w:r>
          </w:p>
        </w:tc>
        <w:tc>
          <w:tcPr>
            <w:tcW w:w="716" w:type="pct"/>
            <w:noWrap/>
            <w:hideMark/>
          </w:tcPr>
          <w:p w14:paraId="6683F6E1" w14:textId="77777777" w:rsidR="00285F19" w:rsidRPr="00A97252" w:rsidRDefault="00285F19" w:rsidP="006129E3">
            <w:pPr>
              <w:pStyle w:val="Tablebodytext"/>
              <w:jc w:val="right"/>
              <w:rPr>
                <w:lang w:eastAsia="en-AU"/>
              </w:rPr>
            </w:pPr>
            <w:r w:rsidRPr="00A97252">
              <w:rPr>
                <w:lang w:eastAsia="en-AU"/>
              </w:rPr>
              <w:t>10.1</w:t>
            </w:r>
          </w:p>
        </w:tc>
        <w:tc>
          <w:tcPr>
            <w:tcW w:w="716" w:type="pct"/>
            <w:noWrap/>
            <w:hideMark/>
          </w:tcPr>
          <w:p w14:paraId="6FA304A1" w14:textId="77777777" w:rsidR="00285F19" w:rsidRPr="00A97252" w:rsidRDefault="00285F19" w:rsidP="006129E3">
            <w:pPr>
              <w:pStyle w:val="Tablebodytext"/>
              <w:jc w:val="right"/>
              <w:rPr>
                <w:lang w:eastAsia="en-AU"/>
              </w:rPr>
            </w:pPr>
            <w:r w:rsidRPr="00A97252">
              <w:rPr>
                <w:lang w:eastAsia="en-AU"/>
              </w:rPr>
              <w:t>8.8</w:t>
            </w:r>
          </w:p>
        </w:tc>
        <w:tc>
          <w:tcPr>
            <w:tcW w:w="716" w:type="pct"/>
            <w:noWrap/>
            <w:hideMark/>
          </w:tcPr>
          <w:p w14:paraId="5BF58E18" w14:textId="77777777" w:rsidR="00285F19" w:rsidRPr="00A97252" w:rsidRDefault="00285F19" w:rsidP="006129E3">
            <w:pPr>
              <w:pStyle w:val="Tablebodytext"/>
              <w:jc w:val="right"/>
              <w:rPr>
                <w:lang w:eastAsia="en-AU"/>
              </w:rPr>
            </w:pPr>
            <w:r w:rsidRPr="00A97252">
              <w:rPr>
                <w:lang w:eastAsia="en-AU"/>
              </w:rPr>
              <w:t>54.3</w:t>
            </w:r>
          </w:p>
        </w:tc>
        <w:tc>
          <w:tcPr>
            <w:tcW w:w="716" w:type="pct"/>
            <w:noWrap/>
            <w:hideMark/>
          </w:tcPr>
          <w:p w14:paraId="7659276D" w14:textId="77777777" w:rsidR="00285F19" w:rsidRPr="00A97252" w:rsidRDefault="00285F19" w:rsidP="006129E3">
            <w:pPr>
              <w:pStyle w:val="Tablebodytext"/>
              <w:jc w:val="right"/>
              <w:rPr>
                <w:lang w:eastAsia="en-AU"/>
              </w:rPr>
            </w:pPr>
            <w:r w:rsidRPr="00A97252">
              <w:rPr>
                <w:lang w:eastAsia="en-AU"/>
              </w:rPr>
              <w:t>41.9</w:t>
            </w:r>
          </w:p>
        </w:tc>
      </w:tr>
      <w:tr w:rsidR="00285F19" w:rsidRPr="00A97252" w14:paraId="2F34421B"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703" w:type="pct"/>
            <w:noWrap/>
            <w:hideMark/>
          </w:tcPr>
          <w:p w14:paraId="24114342" w14:textId="77777777" w:rsidR="00285F19" w:rsidRPr="00A97252" w:rsidRDefault="00285F19" w:rsidP="006129E3">
            <w:pPr>
              <w:pStyle w:val="Tablebodytext"/>
              <w:rPr>
                <w:lang w:eastAsia="en-AU"/>
              </w:rPr>
            </w:pPr>
            <w:r w:rsidRPr="00A97252">
              <w:rPr>
                <w:lang w:eastAsia="en-AU"/>
              </w:rPr>
              <w:t>2013-14</w:t>
            </w:r>
          </w:p>
        </w:tc>
        <w:tc>
          <w:tcPr>
            <w:tcW w:w="716" w:type="pct"/>
            <w:noWrap/>
            <w:hideMark/>
          </w:tcPr>
          <w:p w14:paraId="454DF1AD" w14:textId="77777777" w:rsidR="00285F19" w:rsidRPr="00A97252" w:rsidRDefault="00285F19" w:rsidP="006129E3">
            <w:pPr>
              <w:pStyle w:val="Tablebodytext"/>
              <w:jc w:val="right"/>
              <w:rPr>
                <w:lang w:eastAsia="en-AU"/>
              </w:rPr>
            </w:pPr>
            <w:r w:rsidRPr="00A97252">
              <w:rPr>
                <w:lang w:eastAsia="en-AU"/>
              </w:rPr>
              <w:t>2.4</w:t>
            </w:r>
          </w:p>
        </w:tc>
        <w:tc>
          <w:tcPr>
            <w:tcW w:w="716" w:type="pct"/>
            <w:noWrap/>
            <w:hideMark/>
          </w:tcPr>
          <w:p w14:paraId="5A3D4440" w14:textId="77777777" w:rsidR="00285F19" w:rsidRPr="00A97252" w:rsidRDefault="00285F19" w:rsidP="006129E3">
            <w:pPr>
              <w:pStyle w:val="Tablebodytext"/>
              <w:jc w:val="right"/>
              <w:rPr>
                <w:lang w:eastAsia="en-AU"/>
              </w:rPr>
            </w:pPr>
            <w:r w:rsidRPr="00A97252">
              <w:rPr>
                <w:lang w:eastAsia="en-AU"/>
              </w:rPr>
              <w:t>1.5</w:t>
            </w:r>
          </w:p>
        </w:tc>
        <w:tc>
          <w:tcPr>
            <w:tcW w:w="716" w:type="pct"/>
            <w:noWrap/>
            <w:hideMark/>
          </w:tcPr>
          <w:p w14:paraId="7B70333F" w14:textId="77777777" w:rsidR="00285F19" w:rsidRPr="00A97252" w:rsidRDefault="00285F19" w:rsidP="006129E3">
            <w:pPr>
              <w:pStyle w:val="Tablebodytext"/>
              <w:jc w:val="right"/>
              <w:rPr>
                <w:lang w:eastAsia="en-AU"/>
              </w:rPr>
            </w:pPr>
            <w:r w:rsidRPr="00A97252">
              <w:rPr>
                <w:lang w:eastAsia="en-AU"/>
              </w:rPr>
              <w:t>10.1</w:t>
            </w:r>
          </w:p>
        </w:tc>
        <w:tc>
          <w:tcPr>
            <w:tcW w:w="716" w:type="pct"/>
            <w:noWrap/>
            <w:hideMark/>
          </w:tcPr>
          <w:p w14:paraId="1A6AFC96" w14:textId="77777777" w:rsidR="00285F19" w:rsidRPr="00A97252" w:rsidRDefault="00285F19" w:rsidP="006129E3">
            <w:pPr>
              <w:pStyle w:val="Tablebodytext"/>
              <w:jc w:val="right"/>
              <w:rPr>
                <w:lang w:eastAsia="en-AU"/>
              </w:rPr>
            </w:pPr>
            <w:r w:rsidRPr="00A97252">
              <w:rPr>
                <w:lang w:eastAsia="en-AU"/>
              </w:rPr>
              <w:t>8.8</w:t>
            </w:r>
          </w:p>
        </w:tc>
        <w:tc>
          <w:tcPr>
            <w:tcW w:w="716" w:type="pct"/>
            <w:noWrap/>
            <w:hideMark/>
          </w:tcPr>
          <w:p w14:paraId="1568D458" w14:textId="77777777" w:rsidR="00285F19" w:rsidRPr="00A97252" w:rsidRDefault="00285F19" w:rsidP="006129E3">
            <w:pPr>
              <w:pStyle w:val="Tablebodytext"/>
              <w:jc w:val="right"/>
              <w:rPr>
                <w:lang w:eastAsia="en-AU"/>
              </w:rPr>
            </w:pPr>
            <w:r w:rsidRPr="00A97252">
              <w:rPr>
                <w:lang w:eastAsia="en-AU"/>
              </w:rPr>
              <w:t>54.4</w:t>
            </w:r>
          </w:p>
        </w:tc>
        <w:tc>
          <w:tcPr>
            <w:tcW w:w="716" w:type="pct"/>
            <w:noWrap/>
            <w:hideMark/>
          </w:tcPr>
          <w:p w14:paraId="71A7033D" w14:textId="77777777" w:rsidR="00285F19" w:rsidRPr="00A97252" w:rsidRDefault="00285F19" w:rsidP="006129E3">
            <w:pPr>
              <w:pStyle w:val="Tablebodytext"/>
              <w:jc w:val="right"/>
              <w:rPr>
                <w:lang w:eastAsia="en-AU"/>
              </w:rPr>
            </w:pPr>
            <w:r w:rsidRPr="00A97252">
              <w:rPr>
                <w:lang w:eastAsia="en-AU"/>
              </w:rPr>
              <w:t>42.2</w:t>
            </w:r>
          </w:p>
        </w:tc>
      </w:tr>
    </w:tbl>
    <w:p w14:paraId="02D8E4E6" w14:textId="77777777" w:rsidR="00285F19" w:rsidRPr="00B310BB" w:rsidRDefault="00285F19" w:rsidP="00285F19">
      <w:pPr>
        <w:pStyle w:val="Placeholder"/>
      </w:pPr>
    </w:p>
    <w:p w14:paraId="55D1EBEC" w14:textId="77777777" w:rsidR="00285F19" w:rsidRPr="00C62F3A" w:rsidRDefault="00285F19" w:rsidP="00285F19">
      <w:pPr>
        <w:pStyle w:val="Note"/>
      </w:pPr>
      <w:r>
        <w:rPr>
          <w:lang w:eastAsia="en-AU"/>
        </w:rPr>
        <w:t xml:space="preserve">Notes: </w:t>
      </w:r>
      <w:r>
        <w:t>Statistics relate to simple (non-profiled) businesses from the linked BLADE-DIBP dataset. Statistics not directly comparable to official DIBP visa grant statistics.</w:t>
      </w:r>
    </w:p>
    <w:p w14:paraId="7154A88E" w14:textId="4AD0627F" w:rsidR="00285F19" w:rsidRDefault="006A6D70" w:rsidP="00285F19">
      <w:pPr>
        <w:pStyle w:val="Source"/>
        <w:rPr>
          <w:lang w:eastAsia="en-AU"/>
        </w:rPr>
      </w:pPr>
      <w:r>
        <w:rPr>
          <w:lang w:eastAsia="en-AU"/>
        </w:rPr>
        <w:t>Source: DIIS (2019</w:t>
      </w:r>
      <w:r w:rsidR="00285F19">
        <w:rPr>
          <w:lang w:eastAsia="en-AU"/>
        </w:rPr>
        <w:t>)</w:t>
      </w:r>
      <w:r>
        <w:rPr>
          <w:lang w:eastAsia="en-AU"/>
        </w:rPr>
        <w:t xml:space="preserve"> using ABS BLADE</w:t>
      </w:r>
    </w:p>
    <w:p w14:paraId="57D34F0A" w14:textId="6C850C42" w:rsidR="00285F19" w:rsidRDefault="00285F19" w:rsidP="009E684E">
      <w:pPr>
        <w:pStyle w:val="BodyText"/>
      </w:pPr>
      <w:r w:rsidRPr="00E276A5">
        <w:t>Industry sector performance of 457 visa sponsoring</w:t>
      </w:r>
      <w:r>
        <w:t xml:space="preserve"> businesses are presented in Tables 8 and 9</w:t>
      </w:r>
      <w:r w:rsidRPr="00E276A5">
        <w:t>.  Comparison</w:t>
      </w:r>
      <w:r>
        <w:t>s</w:t>
      </w:r>
      <w:r w:rsidRPr="00E276A5">
        <w:t xml:space="preserve"> indicate that</w:t>
      </w:r>
      <w:r>
        <w:t xml:space="preserve"> 457</w:t>
      </w:r>
      <w:r w:rsidRPr="00E276A5">
        <w:t xml:space="preserve"> visa sponsoring firms perform</w:t>
      </w:r>
      <w:r w:rsidR="00ED7134">
        <w:t>ed</w:t>
      </w:r>
      <w:r w:rsidRPr="00E276A5">
        <w:t xml:space="preserve"> better in turnover and employment in</w:t>
      </w:r>
      <w:r>
        <w:t xml:space="preserve"> all </w:t>
      </w:r>
      <w:r w:rsidRPr="00E276A5">
        <w:t xml:space="preserve">six </w:t>
      </w:r>
      <w:r>
        <w:t xml:space="preserve">key </w:t>
      </w:r>
      <w:r w:rsidRPr="00E276A5">
        <w:t>industry sectors</w:t>
      </w:r>
      <w:r>
        <w:t xml:space="preserve"> that made relatively higher use of the 457 program.</w:t>
      </w:r>
      <w:r w:rsidRPr="00E276A5">
        <w:t xml:space="preserve"> The </w:t>
      </w:r>
      <w:r>
        <w:t>widest</w:t>
      </w:r>
      <w:r w:rsidRPr="00E276A5">
        <w:t xml:space="preserve"> difference </w:t>
      </w:r>
      <w:r>
        <w:t xml:space="preserve">in </w:t>
      </w:r>
      <w:r w:rsidRPr="00E276A5">
        <w:t>tur</w:t>
      </w:r>
      <w:r>
        <w:t>nover is observed in Wholesale T</w:t>
      </w:r>
      <w:r w:rsidRPr="00E276A5">
        <w:t xml:space="preserve">rade while the </w:t>
      </w:r>
      <w:r>
        <w:t>widest</w:t>
      </w:r>
      <w:r w:rsidRPr="00E276A5">
        <w:t xml:space="preserve"> difference in employment is observed in Manufacturing.</w:t>
      </w:r>
      <w:r>
        <w:t xml:space="preserve"> However the difference in turnover and employment is clear to observe in other sectors as well such as PST, Construction and Retail Trade.</w:t>
      </w:r>
    </w:p>
    <w:p w14:paraId="608C0B6C" w14:textId="77777777" w:rsidR="00285F19" w:rsidRDefault="00285F19" w:rsidP="00285F19">
      <w:pPr>
        <w:pStyle w:val="BodyText"/>
      </w:pPr>
    </w:p>
    <w:p w14:paraId="779F1170" w14:textId="77777777" w:rsidR="00285F19" w:rsidRDefault="00285F19" w:rsidP="00285F19">
      <w:pPr>
        <w:pStyle w:val="BodyText"/>
        <w:sectPr w:rsidR="00285F19" w:rsidSect="00AE46D9">
          <w:pgSz w:w="11906" w:h="16838" w:code="9"/>
          <w:pgMar w:top="1440" w:right="1440" w:bottom="1440" w:left="3402" w:header="709" w:footer="709" w:gutter="0"/>
          <w:cols w:space="708"/>
          <w:docGrid w:linePitch="360"/>
        </w:sectPr>
      </w:pPr>
    </w:p>
    <w:p w14:paraId="2C6CE269" w14:textId="77777777" w:rsidR="00285F19" w:rsidRDefault="00285F19" w:rsidP="00285F19">
      <w:pPr>
        <w:pStyle w:val="Caption"/>
      </w:pPr>
      <w:r w:rsidRPr="000618FB">
        <w:lastRenderedPageBreak/>
        <w:t>Table</w:t>
      </w:r>
      <w:r>
        <w:t xml:space="preserve"> 8</w:t>
      </w:r>
      <w:r w:rsidRPr="000618FB">
        <w:t xml:space="preserve">: </w:t>
      </w:r>
      <w:r>
        <w:t>Comparison of turnover for selected industries ($ million), mean values</w:t>
      </w:r>
    </w:p>
    <w:tbl>
      <w:tblPr>
        <w:tblStyle w:val="OCETable"/>
        <w:tblW w:w="5000" w:type="pct"/>
        <w:tblLook w:val="04A0" w:firstRow="1" w:lastRow="0" w:firstColumn="1" w:lastColumn="0" w:noHBand="0" w:noVBand="1"/>
        <w:tblCaption w:val="Table 8: Comparison of turnover for selected industries, mean values"/>
        <w:tblDescription w:val="This table contains information on the turnover performance of sponsoring firms with similar non-sponsoring firms acros industries such as Construction and Manufacturing. Sponsoring firms had higher turnover relative to similar non-sponsoring firms."/>
      </w:tblPr>
      <w:tblGrid>
        <w:gridCol w:w="1143"/>
        <w:gridCol w:w="1163"/>
        <w:gridCol w:w="947"/>
        <w:gridCol w:w="1163"/>
        <w:gridCol w:w="947"/>
        <w:gridCol w:w="1163"/>
        <w:gridCol w:w="1048"/>
        <w:gridCol w:w="1163"/>
        <w:gridCol w:w="947"/>
        <w:gridCol w:w="1163"/>
        <w:gridCol w:w="1001"/>
        <w:gridCol w:w="1163"/>
        <w:gridCol w:w="947"/>
      </w:tblGrid>
      <w:tr w:rsidR="00285F19" w:rsidRPr="00FF6161" w14:paraId="7304124D" w14:textId="77777777" w:rsidTr="006129E3">
        <w:trPr>
          <w:cnfStyle w:val="100000000000" w:firstRow="1" w:lastRow="0" w:firstColumn="0" w:lastColumn="0" w:oddVBand="0" w:evenVBand="0" w:oddHBand="0" w:evenHBand="0" w:firstRowFirstColumn="0" w:firstRowLastColumn="0" w:lastRowFirstColumn="0" w:lastRowLastColumn="0"/>
          <w:trHeight w:val="300"/>
          <w:tblHeader/>
        </w:trPr>
        <w:tc>
          <w:tcPr>
            <w:tcW w:w="412" w:type="pct"/>
            <w:vMerge w:val="restart"/>
            <w:noWrap/>
            <w:hideMark/>
          </w:tcPr>
          <w:p w14:paraId="68369F33" w14:textId="77777777" w:rsidR="00285F19" w:rsidRPr="00FF6161" w:rsidRDefault="00285F19" w:rsidP="006129E3">
            <w:pPr>
              <w:pStyle w:val="Tableheadertext"/>
              <w:rPr>
                <w:lang w:eastAsia="en-AU"/>
              </w:rPr>
            </w:pPr>
            <w:r w:rsidRPr="00FF6161">
              <w:rPr>
                <w:lang w:eastAsia="en-AU"/>
              </w:rPr>
              <w:t>Year</w:t>
            </w:r>
          </w:p>
        </w:tc>
        <w:tc>
          <w:tcPr>
            <w:tcW w:w="758" w:type="pct"/>
            <w:gridSpan w:val="2"/>
            <w:noWrap/>
            <w:hideMark/>
          </w:tcPr>
          <w:p w14:paraId="12864531" w14:textId="77777777" w:rsidR="00285F19" w:rsidRPr="00FF6161" w:rsidRDefault="00285F19" w:rsidP="006129E3">
            <w:pPr>
              <w:pStyle w:val="Tableheadertext"/>
              <w:jc w:val="right"/>
              <w:rPr>
                <w:lang w:eastAsia="en-AU"/>
              </w:rPr>
            </w:pPr>
            <w:r w:rsidRPr="00FF6161">
              <w:rPr>
                <w:lang w:eastAsia="en-AU"/>
              </w:rPr>
              <w:t>Manufacturing</w:t>
            </w:r>
          </w:p>
        </w:tc>
        <w:tc>
          <w:tcPr>
            <w:tcW w:w="758" w:type="pct"/>
            <w:gridSpan w:val="2"/>
            <w:noWrap/>
            <w:hideMark/>
          </w:tcPr>
          <w:p w14:paraId="44191E3A" w14:textId="77777777" w:rsidR="00285F19" w:rsidRPr="00FF6161" w:rsidRDefault="00285F19" w:rsidP="006129E3">
            <w:pPr>
              <w:pStyle w:val="Tableheadertext"/>
              <w:jc w:val="right"/>
              <w:rPr>
                <w:lang w:eastAsia="en-AU"/>
              </w:rPr>
            </w:pPr>
            <w:r w:rsidRPr="00FF6161">
              <w:rPr>
                <w:lang w:eastAsia="en-AU"/>
              </w:rPr>
              <w:t>Construction</w:t>
            </w:r>
          </w:p>
        </w:tc>
        <w:tc>
          <w:tcPr>
            <w:tcW w:w="797" w:type="pct"/>
            <w:gridSpan w:val="2"/>
            <w:noWrap/>
            <w:hideMark/>
          </w:tcPr>
          <w:p w14:paraId="12A95E1B" w14:textId="77777777" w:rsidR="00285F19" w:rsidRPr="00FF6161" w:rsidRDefault="00285F19" w:rsidP="006129E3">
            <w:pPr>
              <w:pStyle w:val="Tableheadertext"/>
              <w:jc w:val="right"/>
              <w:rPr>
                <w:lang w:eastAsia="en-AU"/>
              </w:rPr>
            </w:pPr>
            <w:r w:rsidRPr="00FF6161">
              <w:rPr>
                <w:lang w:eastAsia="en-AU"/>
              </w:rPr>
              <w:t>Wholesale trade</w:t>
            </w:r>
          </w:p>
        </w:tc>
        <w:tc>
          <w:tcPr>
            <w:tcW w:w="758" w:type="pct"/>
            <w:gridSpan w:val="2"/>
            <w:noWrap/>
            <w:hideMark/>
          </w:tcPr>
          <w:p w14:paraId="068BECC8" w14:textId="77777777" w:rsidR="00285F19" w:rsidRPr="00FF6161" w:rsidRDefault="00285F19" w:rsidP="006129E3">
            <w:pPr>
              <w:pStyle w:val="Tableheadertext"/>
              <w:jc w:val="right"/>
              <w:rPr>
                <w:lang w:eastAsia="en-AU"/>
              </w:rPr>
            </w:pPr>
            <w:r w:rsidRPr="00FF6161">
              <w:rPr>
                <w:lang w:eastAsia="en-AU"/>
              </w:rPr>
              <w:t>Retail trade</w:t>
            </w:r>
          </w:p>
        </w:tc>
        <w:tc>
          <w:tcPr>
            <w:tcW w:w="780" w:type="pct"/>
            <w:gridSpan w:val="2"/>
            <w:noWrap/>
            <w:hideMark/>
          </w:tcPr>
          <w:p w14:paraId="41076642" w14:textId="77777777" w:rsidR="00285F19" w:rsidRPr="00FF6161" w:rsidRDefault="00285F19" w:rsidP="006129E3">
            <w:pPr>
              <w:pStyle w:val="Tableheadertext"/>
              <w:jc w:val="right"/>
              <w:rPr>
                <w:lang w:eastAsia="en-AU"/>
              </w:rPr>
            </w:pPr>
            <w:r w:rsidRPr="00FF6161">
              <w:rPr>
                <w:lang w:eastAsia="en-AU"/>
              </w:rPr>
              <w:t>AFS</w:t>
            </w:r>
          </w:p>
        </w:tc>
        <w:tc>
          <w:tcPr>
            <w:tcW w:w="736" w:type="pct"/>
            <w:gridSpan w:val="2"/>
            <w:noWrap/>
            <w:hideMark/>
          </w:tcPr>
          <w:p w14:paraId="53EAD541" w14:textId="77777777" w:rsidR="00285F19" w:rsidRPr="00FF6161" w:rsidRDefault="00285F19" w:rsidP="006129E3">
            <w:pPr>
              <w:pStyle w:val="Tableheadertext"/>
              <w:jc w:val="right"/>
              <w:rPr>
                <w:lang w:eastAsia="en-AU"/>
              </w:rPr>
            </w:pPr>
            <w:r w:rsidRPr="00FF6161">
              <w:rPr>
                <w:lang w:eastAsia="en-AU"/>
              </w:rPr>
              <w:t>PST</w:t>
            </w:r>
          </w:p>
        </w:tc>
      </w:tr>
      <w:tr w:rsidR="00285F19" w:rsidRPr="00FF6161" w14:paraId="5C2BDD5B" w14:textId="77777777" w:rsidTr="006129E3">
        <w:trPr>
          <w:cnfStyle w:val="000000100000" w:firstRow="0" w:lastRow="0" w:firstColumn="0" w:lastColumn="0" w:oddVBand="0" w:evenVBand="0" w:oddHBand="1" w:evenHBand="0" w:firstRowFirstColumn="0" w:firstRowLastColumn="0" w:lastRowFirstColumn="0" w:lastRowLastColumn="0"/>
          <w:trHeight w:val="600"/>
        </w:trPr>
        <w:tc>
          <w:tcPr>
            <w:tcW w:w="412" w:type="pct"/>
            <w:vMerge/>
            <w:hideMark/>
          </w:tcPr>
          <w:p w14:paraId="7E3EFF31" w14:textId="77777777" w:rsidR="00285F19" w:rsidRPr="00FF6161" w:rsidRDefault="00285F19" w:rsidP="006129E3">
            <w:pPr>
              <w:pStyle w:val="Tablebodytext"/>
              <w:rPr>
                <w:lang w:eastAsia="en-AU"/>
              </w:rPr>
            </w:pPr>
          </w:p>
        </w:tc>
        <w:tc>
          <w:tcPr>
            <w:tcW w:w="419" w:type="pct"/>
            <w:hideMark/>
          </w:tcPr>
          <w:p w14:paraId="51D0F84E" w14:textId="77777777" w:rsidR="00285F19" w:rsidRPr="00FF6161" w:rsidRDefault="00285F19" w:rsidP="006129E3">
            <w:pPr>
              <w:pStyle w:val="Tablebodytext"/>
              <w:jc w:val="right"/>
              <w:rPr>
                <w:lang w:eastAsia="en-AU"/>
              </w:rPr>
            </w:pPr>
            <w:r>
              <w:rPr>
                <w:lang w:eastAsia="en-AU"/>
              </w:rPr>
              <w:t>Sponsors</w:t>
            </w:r>
          </w:p>
        </w:tc>
        <w:tc>
          <w:tcPr>
            <w:tcW w:w="339" w:type="pct"/>
            <w:hideMark/>
          </w:tcPr>
          <w:p w14:paraId="58D2ABC4" w14:textId="77777777" w:rsidR="00285F19" w:rsidRPr="00FF6161" w:rsidRDefault="00285F19" w:rsidP="006129E3">
            <w:pPr>
              <w:pStyle w:val="Tablebodytext"/>
              <w:jc w:val="right"/>
              <w:rPr>
                <w:lang w:eastAsia="en-AU"/>
              </w:rPr>
            </w:pPr>
            <w:r>
              <w:rPr>
                <w:lang w:eastAsia="en-AU"/>
              </w:rPr>
              <w:t>Non-sponsors</w:t>
            </w:r>
          </w:p>
        </w:tc>
        <w:tc>
          <w:tcPr>
            <w:tcW w:w="419" w:type="pct"/>
            <w:hideMark/>
          </w:tcPr>
          <w:p w14:paraId="25145978" w14:textId="77777777" w:rsidR="00285F19" w:rsidRPr="00FF6161" w:rsidRDefault="00285F19" w:rsidP="006129E3">
            <w:pPr>
              <w:pStyle w:val="Tablebodytext"/>
              <w:jc w:val="right"/>
              <w:rPr>
                <w:lang w:eastAsia="en-AU"/>
              </w:rPr>
            </w:pPr>
            <w:r>
              <w:rPr>
                <w:lang w:eastAsia="en-AU"/>
              </w:rPr>
              <w:t>Sponsors</w:t>
            </w:r>
          </w:p>
        </w:tc>
        <w:tc>
          <w:tcPr>
            <w:tcW w:w="339" w:type="pct"/>
            <w:hideMark/>
          </w:tcPr>
          <w:p w14:paraId="18B90D37" w14:textId="77777777" w:rsidR="00285F19" w:rsidRPr="00FF6161" w:rsidRDefault="00285F19" w:rsidP="006129E3">
            <w:pPr>
              <w:pStyle w:val="Tablebodytext"/>
              <w:jc w:val="right"/>
              <w:rPr>
                <w:lang w:eastAsia="en-AU"/>
              </w:rPr>
            </w:pPr>
            <w:r>
              <w:rPr>
                <w:lang w:eastAsia="en-AU"/>
              </w:rPr>
              <w:t>Non-sponsors</w:t>
            </w:r>
          </w:p>
        </w:tc>
        <w:tc>
          <w:tcPr>
            <w:tcW w:w="419" w:type="pct"/>
            <w:hideMark/>
          </w:tcPr>
          <w:p w14:paraId="0E3CA870" w14:textId="77777777" w:rsidR="00285F19" w:rsidRPr="00FF6161" w:rsidRDefault="00285F19" w:rsidP="006129E3">
            <w:pPr>
              <w:pStyle w:val="Tablebodytext"/>
              <w:jc w:val="right"/>
              <w:rPr>
                <w:lang w:eastAsia="en-AU"/>
              </w:rPr>
            </w:pPr>
            <w:r>
              <w:rPr>
                <w:lang w:eastAsia="en-AU"/>
              </w:rPr>
              <w:t>Sponsors</w:t>
            </w:r>
          </w:p>
        </w:tc>
        <w:tc>
          <w:tcPr>
            <w:tcW w:w="378" w:type="pct"/>
            <w:hideMark/>
          </w:tcPr>
          <w:p w14:paraId="48167FAB" w14:textId="77777777" w:rsidR="00285F19" w:rsidRPr="00FF6161" w:rsidRDefault="00285F19" w:rsidP="006129E3">
            <w:pPr>
              <w:pStyle w:val="Tablebodytext"/>
              <w:jc w:val="right"/>
              <w:rPr>
                <w:lang w:eastAsia="en-AU"/>
              </w:rPr>
            </w:pPr>
            <w:r>
              <w:rPr>
                <w:lang w:eastAsia="en-AU"/>
              </w:rPr>
              <w:t>Non-sponsors</w:t>
            </w:r>
          </w:p>
        </w:tc>
        <w:tc>
          <w:tcPr>
            <w:tcW w:w="419" w:type="pct"/>
            <w:hideMark/>
          </w:tcPr>
          <w:p w14:paraId="222C98B1" w14:textId="77777777" w:rsidR="00285F19" w:rsidRPr="00FF6161" w:rsidRDefault="00285F19" w:rsidP="006129E3">
            <w:pPr>
              <w:pStyle w:val="Tablebodytext"/>
              <w:jc w:val="right"/>
              <w:rPr>
                <w:lang w:eastAsia="en-AU"/>
              </w:rPr>
            </w:pPr>
            <w:r>
              <w:rPr>
                <w:lang w:eastAsia="en-AU"/>
              </w:rPr>
              <w:t>Sponsors</w:t>
            </w:r>
          </w:p>
        </w:tc>
        <w:tc>
          <w:tcPr>
            <w:tcW w:w="339" w:type="pct"/>
            <w:hideMark/>
          </w:tcPr>
          <w:p w14:paraId="23EA826A" w14:textId="77777777" w:rsidR="00285F19" w:rsidRPr="00FF6161" w:rsidRDefault="00285F19" w:rsidP="006129E3">
            <w:pPr>
              <w:pStyle w:val="Tablebodytext"/>
              <w:jc w:val="right"/>
              <w:rPr>
                <w:lang w:eastAsia="en-AU"/>
              </w:rPr>
            </w:pPr>
            <w:r>
              <w:rPr>
                <w:lang w:eastAsia="en-AU"/>
              </w:rPr>
              <w:t>Non-sponsors</w:t>
            </w:r>
          </w:p>
        </w:tc>
        <w:tc>
          <w:tcPr>
            <w:tcW w:w="419" w:type="pct"/>
            <w:hideMark/>
          </w:tcPr>
          <w:p w14:paraId="7699D440" w14:textId="77777777" w:rsidR="00285F19" w:rsidRPr="00FF6161" w:rsidRDefault="00285F19" w:rsidP="006129E3">
            <w:pPr>
              <w:pStyle w:val="Tablebodytext"/>
              <w:jc w:val="right"/>
              <w:rPr>
                <w:lang w:eastAsia="en-AU"/>
              </w:rPr>
            </w:pPr>
            <w:r>
              <w:rPr>
                <w:lang w:eastAsia="en-AU"/>
              </w:rPr>
              <w:t>Sponsors</w:t>
            </w:r>
          </w:p>
        </w:tc>
        <w:tc>
          <w:tcPr>
            <w:tcW w:w="361" w:type="pct"/>
            <w:hideMark/>
          </w:tcPr>
          <w:p w14:paraId="0670A0DA" w14:textId="77777777" w:rsidR="00285F19" w:rsidRPr="00FF6161" w:rsidRDefault="00285F19" w:rsidP="006129E3">
            <w:pPr>
              <w:pStyle w:val="Tablebodytext"/>
              <w:jc w:val="right"/>
              <w:rPr>
                <w:lang w:eastAsia="en-AU"/>
              </w:rPr>
            </w:pPr>
            <w:r>
              <w:rPr>
                <w:lang w:eastAsia="en-AU"/>
              </w:rPr>
              <w:t>Non-sponsors</w:t>
            </w:r>
          </w:p>
        </w:tc>
        <w:tc>
          <w:tcPr>
            <w:tcW w:w="419" w:type="pct"/>
            <w:hideMark/>
          </w:tcPr>
          <w:p w14:paraId="29D77994" w14:textId="77777777" w:rsidR="00285F19" w:rsidRPr="00FF6161" w:rsidRDefault="00285F19" w:rsidP="006129E3">
            <w:pPr>
              <w:pStyle w:val="Tablebodytext"/>
              <w:jc w:val="right"/>
              <w:rPr>
                <w:lang w:eastAsia="en-AU"/>
              </w:rPr>
            </w:pPr>
            <w:r>
              <w:rPr>
                <w:lang w:eastAsia="en-AU"/>
              </w:rPr>
              <w:t>Sponsors</w:t>
            </w:r>
          </w:p>
        </w:tc>
        <w:tc>
          <w:tcPr>
            <w:tcW w:w="317" w:type="pct"/>
            <w:hideMark/>
          </w:tcPr>
          <w:p w14:paraId="4A5FE6F3" w14:textId="77777777" w:rsidR="00285F19" w:rsidRPr="00FF6161" w:rsidRDefault="00285F19" w:rsidP="006129E3">
            <w:pPr>
              <w:pStyle w:val="Tablebodytext"/>
              <w:jc w:val="right"/>
              <w:rPr>
                <w:lang w:eastAsia="en-AU"/>
              </w:rPr>
            </w:pPr>
            <w:r>
              <w:rPr>
                <w:lang w:eastAsia="en-AU"/>
              </w:rPr>
              <w:t>Non-sponsors</w:t>
            </w:r>
          </w:p>
        </w:tc>
      </w:tr>
      <w:tr w:rsidR="00285F19" w:rsidRPr="00FF6161" w14:paraId="29861798"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412" w:type="pct"/>
            <w:noWrap/>
            <w:hideMark/>
          </w:tcPr>
          <w:p w14:paraId="19D7C72D" w14:textId="77777777" w:rsidR="00285F19" w:rsidRPr="00FF6161" w:rsidRDefault="00285F19" w:rsidP="006129E3">
            <w:pPr>
              <w:pStyle w:val="Tablebodytext"/>
              <w:rPr>
                <w:lang w:eastAsia="en-AU"/>
              </w:rPr>
            </w:pPr>
            <w:r w:rsidRPr="00FF6161">
              <w:rPr>
                <w:lang w:eastAsia="en-AU"/>
              </w:rPr>
              <w:t>2007-08</w:t>
            </w:r>
          </w:p>
        </w:tc>
        <w:tc>
          <w:tcPr>
            <w:tcW w:w="419" w:type="pct"/>
            <w:noWrap/>
            <w:hideMark/>
          </w:tcPr>
          <w:p w14:paraId="0600B808" w14:textId="77777777" w:rsidR="00285F19" w:rsidRPr="00FF6161" w:rsidRDefault="00285F19" w:rsidP="006129E3">
            <w:pPr>
              <w:pStyle w:val="Tablebodytext"/>
              <w:jc w:val="right"/>
              <w:rPr>
                <w:lang w:eastAsia="en-AU"/>
              </w:rPr>
            </w:pPr>
            <w:r w:rsidRPr="00FF6161">
              <w:rPr>
                <w:lang w:eastAsia="en-AU"/>
              </w:rPr>
              <w:t>9.3</w:t>
            </w:r>
          </w:p>
        </w:tc>
        <w:tc>
          <w:tcPr>
            <w:tcW w:w="339" w:type="pct"/>
            <w:noWrap/>
            <w:hideMark/>
          </w:tcPr>
          <w:p w14:paraId="64A0C499" w14:textId="77777777" w:rsidR="00285F19" w:rsidRPr="00FF6161" w:rsidRDefault="00285F19" w:rsidP="006129E3">
            <w:pPr>
              <w:pStyle w:val="Tablebodytext"/>
              <w:jc w:val="right"/>
              <w:rPr>
                <w:lang w:eastAsia="en-AU"/>
              </w:rPr>
            </w:pPr>
            <w:r w:rsidRPr="00FF6161">
              <w:rPr>
                <w:lang w:eastAsia="en-AU"/>
              </w:rPr>
              <w:t>2.0</w:t>
            </w:r>
          </w:p>
        </w:tc>
        <w:tc>
          <w:tcPr>
            <w:tcW w:w="419" w:type="pct"/>
            <w:noWrap/>
            <w:hideMark/>
          </w:tcPr>
          <w:p w14:paraId="06A31C8B" w14:textId="77777777" w:rsidR="00285F19" w:rsidRPr="00FF6161" w:rsidRDefault="00285F19" w:rsidP="006129E3">
            <w:pPr>
              <w:pStyle w:val="Tablebodytext"/>
              <w:jc w:val="right"/>
              <w:rPr>
                <w:lang w:eastAsia="en-AU"/>
              </w:rPr>
            </w:pPr>
            <w:r w:rsidRPr="00FF6161">
              <w:rPr>
                <w:lang w:eastAsia="en-AU"/>
              </w:rPr>
              <w:t>7.5</w:t>
            </w:r>
          </w:p>
        </w:tc>
        <w:tc>
          <w:tcPr>
            <w:tcW w:w="339" w:type="pct"/>
            <w:noWrap/>
            <w:hideMark/>
          </w:tcPr>
          <w:p w14:paraId="3A8AB6BF" w14:textId="77777777" w:rsidR="00285F19" w:rsidRPr="00FF6161" w:rsidRDefault="00285F19" w:rsidP="006129E3">
            <w:pPr>
              <w:pStyle w:val="Tablebodytext"/>
              <w:jc w:val="right"/>
              <w:rPr>
                <w:lang w:eastAsia="en-AU"/>
              </w:rPr>
            </w:pPr>
            <w:r w:rsidRPr="00FF6161">
              <w:rPr>
                <w:lang w:eastAsia="en-AU"/>
              </w:rPr>
              <w:t>1.2</w:t>
            </w:r>
          </w:p>
        </w:tc>
        <w:tc>
          <w:tcPr>
            <w:tcW w:w="419" w:type="pct"/>
            <w:noWrap/>
            <w:hideMark/>
          </w:tcPr>
          <w:p w14:paraId="76918457" w14:textId="77777777" w:rsidR="00285F19" w:rsidRPr="00FF6161" w:rsidRDefault="00285F19" w:rsidP="006129E3">
            <w:pPr>
              <w:pStyle w:val="Tablebodytext"/>
              <w:jc w:val="right"/>
              <w:rPr>
                <w:lang w:eastAsia="en-AU"/>
              </w:rPr>
            </w:pPr>
            <w:r w:rsidRPr="00FF6161">
              <w:rPr>
                <w:lang w:eastAsia="en-AU"/>
              </w:rPr>
              <w:t>18.6</w:t>
            </w:r>
          </w:p>
        </w:tc>
        <w:tc>
          <w:tcPr>
            <w:tcW w:w="378" w:type="pct"/>
            <w:noWrap/>
            <w:hideMark/>
          </w:tcPr>
          <w:p w14:paraId="478EFE55" w14:textId="77777777" w:rsidR="00285F19" w:rsidRPr="00FF6161" w:rsidRDefault="00285F19" w:rsidP="006129E3">
            <w:pPr>
              <w:pStyle w:val="Tablebodytext"/>
              <w:jc w:val="right"/>
              <w:rPr>
                <w:lang w:eastAsia="en-AU"/>
              </w:rPr>
            </w:pPr>
            <w:r w:rsidRPr="00FF6161">
              <w:rPr>
                <w:lang w:eastAsia="en-AU"/>
              </w:rPr>
              <w:t>4.5</w:t>
            </w:r>
          </w:p>
        </w:tc>
        <w:tc>
          <w:tcPr>
            <w:tcW w:w="419" w:type="pct"/>
            <w:noWrap/>
            <w:hideMark/>
          </w:tcPr>
          <w:p w14:paraId="53BFDF1D" w14:textId="77777777" w:rsidR="00285F19" w:rsidRPr="00FF6161" w:rsidRDefault="00285F19" w:rsidP="006129E3">
            <w:pPr>
              <w:pStyle w:val="Tablebodytext"/>
              <w:jc w:val="right"/>
              <w:rPr>
                <w:lang w:eastAsia="en-AU"/>
              </w:rPr>
            </w:pPr>
            <w:r w:rsidRPr="00FF6161">
              <w:rPr>
                <w:lang w:eastAsia="en-AU"/>
              </w:rPr>
              <w:t>11.5</w:t>
            </w:r>
          </w:p>
        </w:tc>
        <w:tc>
          <w:tcPr>
            <w:tcW w:w="339" w:type="pct"/>
            <w:noWrap/>
            <w:hideMark/>
          </w:tcPr>
          <w:p w14:paraId="02DF4C62" w14:textId="77777777" w:rsidR="00285F19" w:rsidRPr="00FF6161" w:rsidRDefault="00285F19" w:rsidP="006129E3">
            <w:pPr>
              <w:pStyle w:val="Tablebodytext"/>
              <w:jc w:val="right"/>
              <w:rPr>
                <w:lang w:eastAsia="en-AU"/>
              </w:rPr>
            </w:pPr>
            <w:r w:rsidRPr="00FF6161">
              <w:rPr>
                <w:lang w:eastAsia="en-AU"/>
              </w:rPr>
              <w:t>2.0</w:t>
            </w:r>
          </w:p>
        </w:tc>
        <w:tc>
          <w:tcPr>
            <w:tcW w:w="419" w:type="pct"/>
            <w:noWrap/>
            <w:hideMark/>
          </w:tcPr>
          <w:p w14:paraId="4B81EDD8" w14:textId="77777777" w:rsidR="00285F19" w:rsidRPr="00FF6161" w:rsidRDefault="00285F19" w:rsidP="006129E3">
            <w:pPr>
              <w:pStyle w:val="Tablebodytext"/>
              <w:jc w:val="right"/>
              <w:rPr>
                <w:lang w:eastAsia="en-AU"/>
              </w:rPr>
            </w:pPr>
            <w:r w:rsidRPr="00FF6161">
              <w:rPr>
                <w:lang w:eastAsia="en-AU"/>
              </w:rPr>
              <w:t>2.3</w:t>
            </w:r>
          </w:p>
        </w:tc>
        <w:tc>
          <w:tcPr>
            <w:tcW w:w="361" w:type="pct"/>
            <w:noWrap/>
            <w:hideMark/>
          </w:tcPr>
          <w:p w14:paraId="528E51AF" w14:textId="77777777" w:rsidR="00285F19" w:rsidRPr="00FF6161" w:rsidRDefault="00285F19" w:rsidP="006129E3">
            <w:pPr>
              <w:pStyle w:val="Tablebodytext"/>
              <w:jc w:val="right"/>
              <w:rPr>
                <w:lang w:eastAsia="en-AU"/>
              </w:rPr>
            </w:pPr>
            <w:r w:rsidRPr="00FF6161">
              <w:rPr>
                <w:lang w:eastAsia="en-AU"/>
              </w:rPr>
              <w:t>0.9</w:t>
            </w:r>
          </w:p>
        </w:tc>
        <w:tc>
          <w:tcPr>
            <w:tcW w:w="419" w:type="pct"/>
            <w:noWrap/>
            <w:hideMark/>
          </w:tcPr>
          <w:p w14:paraId="38E08BBA" w14:textId="77777777" w:rsidR="00285F19" w:rsidRPr="00FF6161" w:rsidRDefault="00285F19" w:rsidP="006129E3">
            <w:pPr>
              <w:pStyle w:val="Tablebodytext"/>
              <w:jc w:val="right"/>
              <w:rPr>
                <w:lang w:eastAsia="en-AU"/>
              </w:rPr>
            </w:pPr>
            <w:r w:rsidRPr="00FF6161">
              <w:rPr>
                <w:lang w:eastAsia="en-AU"/>
              </w:rPr>
              <w:t>5.2</w:t>
            </w:r>
          </w:p>
        </w:tc>
        <w:tc>
          <w:tcPr>
            <w:tcW w:w="317" w:type="pct"/>
            <w:noWrap/>
            <w:hideMark/>
          </w:tcPr>
          <w:p w14:paraId="195D40A7" w14:textId="77777777" w:rsidR="00285F19" w:rsidRPr="00FF6161" w:rsidRDefault="00285F19" w:rsidP="006129E3">
            <w:pPr>
              <w:pStyle w:val="Tablebodytext"/>
              <w:jc w:val="right"/>
              <w:rPr>
                <w:lang w:eastAsia="en-AU"/>
              </w:rPr>
            </w:pPr>
            <w:r w:rsidRPr="00FF6161">
              <w:rPr>
                <w:lang w:eastAsia="en-AU"/>
              </w:rPr>
              <w:t>0.7</w:t>
            </w:r>
          </w:p>
        </w:tc>
      </w:tr>
      <w:tr w:rsidR="00285F19" w:rsidRPr="00FF6161" w14:paraId="7FF2FD44"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412" w:type="pct"/>
            <w:noWrap/>
            <w:hideMark/>
          </w:tcPr>
          <w:p w14:paraId="1843DC4A" w14:textId="77777777" w:rsidR="00285F19" w:rsidRPr="00FF6161" w:rsidRDefault="00285F19" w:rsidP="006129E3">
            <w:pPr>
              <w:pStyle w:val="Tablebodytext"/>
              <w:rPr>
                <w:lang w:eastAsia="en-AU"/>
              </w:rPr>
            </w:pPr>
            <w:r w:rsidRPr="00FF6161">
              <w:rPr>
                <w:lang w:eastAsia="en-AU"/>
              </w:rPr>
              <w:t>2008-09</w:t>
            </w:r>
          </w:p>
        </w:tc>
        <w:tc>
          <w:tcPr>
            <w:tcW w:w="419" w:type="pct"/>
            <w:noWrap/>
            <w:hideMark/>
          </w:tcPr>
          <w:p w14:paraId="7E66D3F4" w14:textId="77777777" w:rsidR="00285F19" w:rsidRPr="00FF6161" w:rsidRDefault="00285F19" w:rsidP="006129E3">
            <w:pPr>
              <w:pStyle w:val="Tablebodytext"/>
              <w:jc w:val="right"/>
              <w:rPr>
                <w:lang w:eastAsia="en-AU"/>
              </w:rPr>
            </w:pPr>
            <w:r w:rsidRPr="00FF6161">
              <w:rPr>
                <w:lang w:eastAsia="en-AU"/>
              </w:rPr>
              <w:t>9.3</w:t>
            </w:r>
          </w:p>
        </w:tc>
        <w:tc>
          <w:tcPr>
            <w:tcW w:w="339" w:type="pct"/>
            <w:noWrap/>
            <w:hideMark/>
          </w:tcPr>
          <w:p w14:paraId="49DE2602" w14:textId="77777777" w:rsidR="00285F19" w:rsidRPr="00FF6161" w:rsidRDefault="00285F19" w:rsidP="006129E3">
            <w:pPr>
              <w:pStyle w:val="Tablebodytext"/>
              <w:jc w:val="right"/>
              <w:rPr>
                <w:lang w:eastAsia="en-AU"/>
              </w:rPr>
            </w:pPr>
            <w:r w:rsidRPr="00FF6161">
              <w:rPr>
                <w:lang w:eastAsia="en-AU"/>
              </w:rPr>
              <w:t>2.0</w:t>
            </w:r>
          </w:p>
        </w:tc>
        <w:tc>
          <w:tcPr>
            <w:tcW w:w="419" w:type="pct"/>
            <w:noWrap/>
            <w:hideMark/>
          </w:tcPr>
          <w:p w14:paraId="6A6509FE" w14:textId="77777777" w:rsidR="00285F19" w:rsidRPr="00FF6161" w:rsidRDefault="00285F19" w:rsidP="006129E3">
            <w:pPr>
              <w:pStyle w:val="Tablebodytext"/>
              <w:jc w:val="right"/>
              <w:rPr>
                <w:lang w:eastAsia="en-AU"/>
              </w:rPr>
            </w:pPr>
            <w:r w:rsidRPr="00FF6161">
              <w:rPr>
                <w:lang w:eastAsia="en-AU"/>
              </w:rPr>
              <w:t>7.7</w:t>
            </w:r>
          </w:p>
        </w:tc>
        <w:tc>
          <w:tcPr>
            <w:tcW w:w="339" w:type="pct"/>
            <w:noWrap/>
            <w:hideMark/>
          </w:tcPr>
          <w:p w14:paraId="413D4B5C" w14:textId="77777777" w:rsidR="00285F19" w:rsidRPr="00FF6161" w:rsidRDefault="00285F19" w:rsidP="006129E3">
            <w:pPr>
              <w:pStyle w:val="Tablebodytext"/>
              <w:jc w:val="right"/>
              <w:rPr>
                <w:lang w:eastAsia="en-AU"/>
              </w:rPr>
            </w:pPr>
            <w:r w:rsidRPr="00FF6161">
              <w:rPr>
                <w:lang w:eastAsia="en-AU"/>
              </w:rPr>
              <w:t>1.2</w:t>
            </w:r>
          </w:p>
        </w:tc>
        <w:tc>
          <w:tcPr>
            <w:tcW w:w="419" w:type="pct"/>
            <w:noWrap/>
            <w:hideMark/>
          </w:tcPr>
          <w:p w14:paraId="6780EC73" w14:textId="77777777" w:rsidR="00285F19" w:rsidRPr="00FF6161" w:rsidRDefault="00285F19" w:rsidP="006129E3">
            <w:pPr>
              <w:pStyle w:val="Tablebodytext"/>
              <w:jc w:val="right"/>
              <w:rPr>
                <w:lang w:eastAsia="en-AU"/>
              </w:rPr>
            </w:pPr>
            <w:r w:rsidRPr="00FF6161">
              <w:rPr>
                <w:lang w:eastAsia="en-AU"/>
              </w:rPr>
              <w:t>18.9</w:t>
            </w:r>
          </w:p>
        </w:tc>
        <w:tc>
          <w:tcPr>
            <w:tcW w:w="378" w:type="pct"/>
            <w:noWrap/>
            <w:hideMark/>
          </w:tcPr>
          <w:p w14:paraId="57FBE46C" w14:textId="77777777" w:rsidR="00285F19" w:rsidRPr="00FF6161" w:rsidRDefault="00285F19" w:rsidP="006129E3">
            <w:pPr>
              <w:pStyle w:val="Tablebodytext"/>
              <w:jc w:val="right"/>
              <w:rPr>
                <w:lang w:eastAsia="en-AU"/>
              </w:rPr>
            </w:pPr>
            <w:r w:rsidRPr="00FF6161">
              <w:rPr>
                <w:lang w:eastAsia="en-AU"/>
              </w:rPr>
              <w:t>4.6</w:t>
            </w:r>
          </w:p>
        </w:tc>
        <w:tc>
          <w:tcPr>
            <w:tcW w:w="419" w:type="pct"/>
            <w:noWrap/>
            <w:hideMark/>
          </w:tcPr>
          <w:p w14:paraId="7576EB9B" w14:textId="77777777" w:rsidR="00285F19" w:rsidRPr="00FF6161" w:rsidRDefault="00285F19" w:rsidP="006129E3">
            <w:pPr>
              <w:pStyle w:val="Tablebodytext"/>
              <w:jc w:val="right"/>
              <w:rPr>
                <w:lang w:eastAsia="en-AU"/>
              </w:rPr>
            </w:pPr>
            <w:r w:rsidRPr="00FF6161">
              <w:rPr>
                <w:lang w:eastAsia="en-AU"/>
              </w:rPr>
              <w:t>11.6</w:t>
            </w:r>
          </w:p>
        </w:tc>
        <w:tc>
          <w:tcPr>
            <w:tcW w:w="339" w:type="pct"/>
            <w:noWrap/>
            <w:hideMark/>
          </w:tcPr>
          <w:p w14:paraId="6E399A7C" w14:textId="77777777" w:rsidR="00285F19" w:rsidRPr="00FF6161" w:rsidRDefault="00285F19" w:rsidP="006129E3">
            <w:pPr>
              <w:pStyle w:val="Tablebodytext"/>
              <w:jc w:val="right"/>
              <w:rPr>
                <w:lang w:eastAsia="en-AU"/>
              </w:rPr>
            </w:pPr>
            <w:r w:rsidRPr="00FF6161">
              <w:rPr>
                <w:lang w:eastAsia="en-AU"/>
              </w:rPr>
              <w:t>2.0</w:t>
            </w:r>
          </w:p>
        </w:tc>
        <w:tc>
          <w:tcPr>
            <w:tcW w:w="419" w:type="pct"/>
            <w:noWrap/>
            <w:hideMark/>
          </w:tcPr>
          <w:p w14:paraId="32E86695" w14:textId="77777777" w:rsidR="00285F19" w:rsidRPr="00FF6161" w:rsidRDefault="00285F19" w:rsidP="006129E3">
            <w:pPr>
              <w:pStyle w:val="Tablebodytext"/>
              <w:jc w:val="right"/>
              <w:rPr>
                <w:lang w:eastAsia="en-AU"/>
              </w:rPr>
            </w:pPr>
            <w:r w:rsidRPr="00FF6161">
              <w:rPr>
                <w:lang w:eastAsia="en-AU"/>
              </w:rPr>
              <w:t>2.3</w:t>
            </w:r>
          </w:p>
        </w:tc>
        <w:tc>
          <w:tcPr>
            <w:tcW w:w="361" w:type="pct"/>
            <w:noWrap/>
            <w:hideMark/>
          </w:tcPr>
          <w:p w14:paraId="18B42C63" w14:textId="77777777" w:rsidR="00285F19" w:rsidRPr="00FF6161" w:rsidRDefault="00285F19" w:rsidP="006129E3">
            <w:pPr>
              <w:pStyle w:val="Tablebodytext"/>
              <w:jc w:val="right"/>
              <w:rPr>
                <w:lang w:eastAsia="en-AU"/>
              </w:rPr>
            </w:pPr>
            <w:r w:rsidRPr="00FF6161">
              <w:rPr>
                <w:lang w:eastAsia="en-AU"/>
              </w:rPr>
              <w:t>0.9</w:t>
            </w:r>
          </w:p>
        </w:tc>
        <w:tc>
          <w:tcPr>
            <w:tcW w:w="419" w:type="pct"/>
            <w:noWrap/>
            <w:hideMark/>
          </w:tcPr>
          <w:p w14:paraId="531785AA" w14:textId="77777777" w:rsidR="00285F19" w:rsidRPr="00FF6161" w:rsidRDefault="00285F19" w:rsidP="006129E3">
            <w:pPr>
              <w:pStyle w:val="Tablebodytext"/>
              <w:jc w:val="right"/>
              <w:rPr>
                <w:lang w:eastAsia="en-AU"/>
              </w:rPr>
            </w:pPr>
            <w:r w:rsidRPr="00FF6161">
              <w:rPr>
                <w:lang w:eastAsia="en-AU"/>
              </w:rPr>
              <w:t>5.4</w:t>
            </w:r>
          </w:p>
        </w:tc>
        <w:tc>
          <w:tcPr>
            <w:tcW w:w="317" w:type="pct"/>
            <w:noWrap/>
            <w:hideMark/>
          </w:tcPr>
          <w:p w14:paraId="486FB156" w14:textId="77777777" w:rsidR="00285F19" w:rsidRPr="00FF6161" w:rsidRDefault="00285F19" w:rsidP="006129E3">
            <w:pPr>
              <w:pStyle w:val="Tablebodytext"/>
              <w:jc w:val="right"/>
              <w:rPr>
                <w:lang w:eastAsia="en-AU"/>
              </w:rPr>
            </w:pPr>
            <w:r w:rsidRPr="00FF6161">
              <w:rPr>
                <w:lang w:eastAsia="en-AU"/>
              </w:rPr>
              <w:t>0.8</w:t>
            </w:r>
          </w:p>
        </w:tc>
      </w:tr>
      <w:tr w:rsidR="00285F19" w:rsidRPr="00FF6161" w14:paraId="6AA4064C"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412" w:type="pct"/>
            <w:noWrap/>
            <w:hideMark/>
          </w:tcPr>
          <w:p w14:paraId="27EB0F6B" w14:textId="77777777" w:rsidR="00285F19" w:rsidRPr="00FF6161" w:rsidRDefault="00285F19" w:rsidP="006129E3">
            <w:pPr>
              <w:pStyle w:val="Tablebodytext"/>
              <w:rPr>
                <w:lang w:eastAsia="en-AU"/>
              </w:rPr>
            </w:pPr>
            <w:r w:rsidRPr="00FF6161">
              <w:rPr>
                <w:lang w:eastAsia="en-AU"/>
              </w:rPr>
              <w:t>2009-10</w:t>
            </w:r>
          </w:p>
        </w:tc>
        <w:tc>
          <w:tcPr>
            <w:tcW w:w="419" w:type="pct"/>
            <w:noWrap/>
            <w:hideMark/>
          </w:tcPr>
          <w:p w14:paraId="7FBB3D21" w14:textId="77777777" w:rsidR="00285F19" w:rsidRPr="00FF6161" w:rsidRDefault="00285F19" w:rsidP="006129E3">
            <w:pPr>
              <w:pStyle w:val="Tablebodytext"/>
              <w:jc w:val="right"/>
              <w:rPr>
                <w:lang w:eastAsia="en-AU"/>
              </w:rPr>
            </w:pPr>
            <w:r w:rsidRPr="00FF6161">
              <w:rPr>
                <w:lang w:eastAsia="en-AU"/>
              </w:rPr>
              <w:t>8.8</w:t>
            </w:r>
          </w:p>
        </w:tc>
        <w:tc>
          <w:tcPr>
            <w:tcW w:w="339" w:type="pct"/>
            <w:noWrap/>
            <w:hideMark/>
          </w:tcPr>
          <w:p w14:paraId="4D252335" w14:textId="77777777" w:rsidR="00285F19" w:rsidRPr="00FF6161" w:rsidRDefault="00285F19" w:rsidP="006129E3">
            <w:pPr>
              <w:pStyle w:val="Tablebodytext"/>
              <w:jc w:val="right"/>
              <w:rPr>
                <w:lang w:eastAsia="en-AU"/>
              </w:rPr>
            </w:pPr>
            <w:r w:rsidRPr="00FF6161">
              <w:rPr>
                <w:lang w:eastAsia="en-AU"/>
              </w:rPr>
              <w:t>2.0</w:t>
            </w:r>
          </w:p>
        </w:tc>
        <w:tc>
          <w:tcPr>
            <w:tcW w:w="419" w:type="pct"/>
            <w:noWrap/>
            <w:hideMark/>
          </w:tcPr>
          <w:p w14:paraId="24C48AC9" w14:textId="77777777" w:rsidR="00285F19" w:rsidRPr="00FF6161" w:rsidRDefault="00285F19" w:rsidP="006129E3">
            <w:pPr>
              <w:pStyle w:val="Tablebodytext"/>
              <w:jc w:val="right"/>
              <w:rPr>
                <w:lang w:eastAsia="en-AU"/>
              </w:rPr>
            </w:pPr>
            <w:r w:rsidRPr="00FF6161">
              <w:rPr>
                <w:lang w:eastAsia="en-AU"/>
              </w:rPr>
              <w:t>7.4</w:t>
            </w:r>
          </w:p>
        </w:tc>
        <w:tc>
          <w:tcPr>
            <w:tcW w:w="339" w:type="pct"/>
            <w:noWrap/>
            <w:hideMark/>
          </w:tcPr>
          <w:p w14:paraId="230D1564" w14:textId="77777777" w:rsidR="00285F19" w:rsidRPr="00FF6161" w:rsidRDefault="00285F19" w:rsidP="006129E3">
            <w:pPr>
              <w:pStyle w:val="Tablebodytext"/>
              <w:jc w:val="right"/>
              <w:rPr>
                <w:lang w:eastAsia="en-AU"/>
              </w:rPr>
            </w:pPr>
            <w:r w:rsidRPr="00FF6161">
              <w:rPr>
                <w:lang w:eastAsia="en-AU"/>
              </w:rPr>
              <w:t>1.2</w:t>
            </w:r>
          </w:p>
        </w:tc>
        <w:tc>
          <w:tcPr>
            <w:tcW w:w="419" w:type="pct"/>
            <w:noWrap/>
            <w:hideMark/>
          </w:tcPr>
          <w:p w14:paraId="47FA6509" w14:textId="77777777" w:rsidR="00285F19" w:rsidRPr="00FF6161" w:rsidRDefault="00285F19" w:rsidP="006129E3">
            <w:pPr>
              <w:pStyle w:val="Tablebodytext"/>
              <w:jc w:val="right"/>
              <w:rPr>
                <w:lang w:eastAsia="en-AU"/>
              </w:rPr>
            </w:pPr>
            <w:r w:rsidRPr="00FF6161">
              <w:rPr>
                <w:lang w:eastAsia="en-AU"/>
              </w:rPr>
              <w:t>17.9</w:t>
            </w:r>
          </w:p>
        </w:tc>
        <w:tc>
          <w:tcPr>
            <w:tcW w:w="378" w:type="pct"/>
            <w:noWrap/>
            <w:hideMark/>
          </w:tcPr>
          <w:p w14:paraId="6C02DD96" w14:textId="77777777" w:rsidR="00285F19" w:rsidRPr="00FF6161" w:rsidRDefault="00285F19" w:rsidP="006129E3">
            <w:pPr>
              <w:pStyle w:val="Tablebodytext"/>
              <w:jc w:val="right"/>
              <w:rPr>
                <w:lang w:eastAsia="en-AU"/>
              </w:rPr>
            </w:pPr>
            <w:r w:rsidRPr="00FF6161">
              <w:rPr>
                <w:lang w:eastAsia="en-AU"/>
              </w:rPr>
              <w:t>4.7</w:t>
            </w:r>
          </w:p>
        </w:tc>
        <w:tc>
          <w:tcPr>
            <w:tcW w:w="419" w:type="pct"/>
            <w:noWrap/>
            <w:hideMark/>
          </w:tcPr>
          <w:p w14:paraId="44FBC318" w14:textId="77777777" w:rsidR="00285F19" w:rsidRPr="00FF6161" w:rsidRDefault="00285F19" w:rsidP="006129E3">
            <w:pPr>
              <w:pStyle w:val="Tablebodytext"/>
              <w:jc w:val="right"/>
              <w:rPr>
                <w:lang w:eastAsia="en-AU"/>
              </w:rPr>
            </w:pPr>
            <w:r w:rsidRPr="00FF6161">
              <w:rPr>
                <w:lang w:eastAsia="en-AU"/>
              </w:rPr>
              <w:t>12.0</w:t>
            </w:r>
          </w:p>
        </w:tc>
        <w:tc>
          <w:tcPr>
            <w:tcW w:w="339" w:type="pct"/>
            <w:noWrap/>
            <w:hideMark/>
          </w:tcPr>
          <w:p w14:paraId="09785673" w14:textId="77777777" w:rsidR="00285F19" w:rsidRPr="00FF6161" w:rsidRDefault="00285F19" w:rsidP="006129E3">
            <w:pPr>
              <w:pStyle w:val="Tablebodytext"/>
              <w:jc w:val="right"/>
              <w:rPr>
                <w:lang w:eastAsia="en-AU"/>
              </w:rPr>
            </w:pPr>
            <w:r w:rsidRPr="00FF6161">
              <w:rPr>
                <w:lang w:eastAsia="en-AU"/>
              </w:rPr>
              <w:t>2.1</w:t>
            </w:r>
          </w:p>
        </w:tc>
        <w:tc>
          <w:tcPr>
            <w:tcW w:w="419" w:type="pct"/>
            <w:noWrap/>
            <w:hideMark/>
          </w:tcPr>
          <w:p w14:paraId="68992E60" w14:textId="77777777" w:rsidR="00285F19" w:rsidRPr="00FF6161" w:rsidRDefault="00285F19" w:rsidP="006129E3">
            <w:pPr>
              <w:pStyle w:val="Tablebodytext"/>
              <w:jc w:val="right"/>
              <w:rPr>
                <w:lang w:eastAsia="en-AU"/>
              </w:rPr>
            </w:pPr>
            <w:r w:rsidRPr="00FF6161">
              <w:rPr>
                <w:lang w:eastAsia="en-AU"/>
              </w:rPr>
              <w:t>2.3</w:t>
            </w:r>
          </w:p>
        </w:tc>
        <w:tc>
          <w:tcPr>
            <w:tcW w:w="361" w:type="pct"/>
            <w:noWrap/>
            <w:hideMark/>
          </w:tcPr>
          <w:p w14:paraId="57950658" w14:textId="77777777" w:rsidR="00285F19" w:rsidRPr="00FF6161" w:rsidRDefault="00285F19" w:rsidP="006129E3">
            <w:pPr>
              <w:pStyle w:val="Tablebodytext"/>
              <w:jc w:val="right"/>
              <w:rPr>
                <w:lang w:eastAsia="en-AU"/>
              </w:rPr>
            </w:pPr>
            <w:r w:rsidRPr="00FF6161">
              <w:rPr>
                <w:lang w:eastAsia="en-AU"/>
              </w:rPr>
              <w:t>0.9</w:t>
            </w:r>
          </w:p>
        </w:tc>
        <w:tc>
          <w:tcPr>
            <w:tcW w:w="419" w:type="pct"/>
            <w:noWrap/>
            <w:hideMark/>
          </w:tcPr>
          <w:p w14:paraId="0B214646" w14:textId="77777777" w:rsidR="00285F19" w:rsidRPr="00FF6161" w:rsidRDefault="00285F19" w:rsidP="006129E3">
            <w:pPr>
              <w:pStyle w:val="Tablebodytext"/>
              <w:jc w:val="right"/>
              <w:rPr>
                <w:lang w:eastAsia="en-AU"/>
              </w:rPr>
            </w:pPr>
            <w:r w:rsidRPr="00FF6161">
              <w:rPr>
                <w:lang w:eastAsia="en-AU"/>
              </w:rPr>
              <w:t>5.6</w:t>
            </w:r>
          </w:p>
        </w:tc>
        <w:tc>
          <w:tcPr>
            <w:tcW w:w="317" w:type="pct"/>
            <w:noWrap/>
            <w:hideMark/>
          </w:tcPr>
          <w:p w14:paraId="169198EA" w14:textId="77777777" w:rsidR="00285F19" w:rsidRPr="00FF6161" w:rsidRDefault="00285F19" w:rsidP="006129E3">
            <w:pPr>
              <w:pStyle w:val="Tablebodytext"/>
              <w:jc w:val="right"/>
              <w:rPr>
                <w:lang w:eastAsia="en-AU"/>
              </w:rPr>
            </w:pPr>
            <w:r w:rsidRPr="00FF6161">
              <w:rPr>
                <w:lang w:eastAsia="en-AU"/>
              </w:rPr>
              <w:t>0.9</w:t>
            </w:r>
          </w:p>
        </w:tc>
      </w:tr>
      <w:tr w:rsidR="00285F19" w:rsidRPr="00FF6161" w14:paraId="49BF786A"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412" w:type="pct"/>
            <w:noWrap/>
            <w:hideMark/>
          </w:tcPr>
          <w:p w14:paraId="319281C7" w14:textId="77777777" w:rsidR="00285F19" w:rsidRPr="00FF6161" w:rsidRDefault="00285F19" w:rsidP="006129E3">
            <w:pPr>
              <w:pStyle w:val="Tablebodytext"/>
              <w:rPr>
                <w:lang w:eastAsia="en-AU"/>
              </w:rPr>
            </w:pPr>
            <w:r w:rsidRPr="00FF6161">
              <w:rPr>
                <w:lang w:eastAsia="en-AU"/>
              </w:rPr>
              <w:t>2010-11</w:t>
            </w:r>
          </w:p>
        </w:tc>
        <w:tc>
          <w:tcPr>
            <w:tcW w:w="419" w:type="pct"/>
            <w:noWrap/>
            <w:hideMark/>
          </w:tcPr>
          <w:p w14:paraId="5C8985E9" w14:textId="77777777" w:rsidR="00285F19" w:rsidRPr="00FF6161" w:rsidRDefault="00285F19" w:rsidP="006129E3">
            <w:pPr>
              <w:pStyle w:val="Tablebodytext"/>
              <w:jc w:val="right"/>
              <w:rPr>
                <w:lang w:eastAsia="en-AU"/>
              </w:rPr>
            </w:pPr>
            <w:r w:rsidRPr="00FF6161">
              <w:rPr>
                <w:lang w:eastAsia="en-AU"/>
              </w:rPr>
              <w:t>9.4</w:t>
            </w:r>
          </w:p>
        </w:tc>
        <w:tc>
          <w:tcPr>
            <w:tcW w:w="339" w:type="pct"/>
            <w:noWrap/>
            <w:hideMark/>
          </w:tcPr>
          <w:p w14:paraId="22E31496" w14:textId="77777777" w:rsidR="00285F19" w:rsidRPr="00FF6161" w:rsidRDefault="00285F19" w:rsidP="006129E3">
            <w:pPr>
              <w:pStyle w:val="Tablebodytext"/>
              <w:jc w:val="right"/>
              <w:rPr>
                <w:lang w:eastAsia="en-AU"/>
              </w:rPr>
            </w:pPr>
            <w:r w:rsidRPr="00FF6161">
              <w:rPr>
                <w:lang w:eastAsia="en-AU"/>
              </w:rPr>
              <w:t>2.1</w:t>
            </w:r>
          </w:p>
        </w:tc>
        <w:tc>
          <w:tcPr>
            <w:tcW w:w="419" w:type="pct"/>
            <w:noWrap/>
            <w:hideMark/>
          </w:tcPr>
          <w:p w14:paraId="7C998944" w14:textId="77777777" w:rsidR="00285F19" w:rsidRPr="00FF6161" w:rsidRDefault="00285F19" w:rsidP="006129E3">
            <w:pPr>
              <w:pStyle w:val="Tablebodytext"/>
              <w:jc w:val="right"/>
              <w:rPr>
                <w:lang w:eastAsia="en-AU"/>
              </w:rPr>
            </w:pPr>
            <w:r w:rsidRPr="00FF6161">
              <w:rPr>
                <w:lang w:eastAsia="en-AU"/>
              </w:rPr>
              <w:t>7.9</w:t>
            </w:r>
          </w:p>
        </w:tc>
        <w:tc>
          <w:tcPr>
            <w:tcW w:w="339" w:type="pct"/>
            <w:noWrap/>
            <w:hideMark/>
          </w:tcPr>
          <w:p w14:paraId="2934008C" w14:textId="77777777" w:rsidR="00285F19" w:rsidRPr="00FF6161" w:rsidRDefault="00285F19" w:rsidP="006129E3">
            <w:pPr>
              <w:pStyle w:val="Tablebodytext"/>
              <w:jc w:val="right"/>
              <w:rPr>
                <w:lang w:eastAsia="en-AU"/>
              </w:rPr>
            </w:pPr>
            <w:r w:rsidRPr="00FF6161">
              <w:rPr>
                <w:lang w:eastAsia="en-AU"/>
              </w:rPr>
              <w:t>1.1</w:t>
            </w:r>
          </w:p>
        </w:tc>
        <w:tc>
          <w:tcPr>
            <w:tcW w:w="419" w:type="pct"/>
            <w:noWrap/>
            <w:hideMark/>
          </w:tcPr>
          <w:p w14:paraId="4B05C4AA" w14:textId="77777777" w:rsidR="00285F19" w:rsidRPr="00FF6161" w:rsidRDefault="00285F19" w:rsidP="006129E3">
            <w:pPr>
              <w:pStyle w:val="Tablebodytext"/>
              <w:jc w:val="right"/>
              <w:rPr>
                <w:lang w:eastAsia="en-AU"/>
              </w:rPr>
            </w:pPr>
            <w:r w:rsidRPr="00FF6161">
              <w:rPr>
                <w:lang w:eastAsia="en-AU"/>
              </w:rPr>
              <w:t>19.1</w:t>
            </w:r>
          </w:p>
        </w:tc>
        <w:tc>
          <w:tcPr>
            <w:tcW w:w="378" w:type="pct"/>
            <w:noWrap/>
            <w:hideMark/>
          </w:tcPr>
          <w:p w14:paraId="37568460" w14:textId="77777777" w:rsidR="00285F19" w:rsidRPr="00FF6161" w:rsidRDefault="00285F19" w:rsidP="006129E3">
            <w:pPr>
              <w:pStyle w:val="Tablebodytext"/>
              <w:jc w:val="right"/>
              <w:rPr>
                <w:lang w:eastAsia="en-AU"/>
              </w:rPr>
            </w:pPr>
            <w:r w:rsidRPr="00FF6161">
              <w:rPr>
                <w:lang w:eastAsia="en-AU"/>
              </w:rPr>
              <w:t>5.0</w:t>
            </w:r>
          </w:p>
        </w:tc>
        <w:tc>
          <w:tcPr>
            <w:tcW w:w="419" w:type="pct"/>
            <w:noWrap/>
            <w:hideMark/>
          </w:tcPr>
          <w:p w14:paraId="0D212FD1" w14:textId="77777777" w:rsidR="00285F19" w:rsidRPr="00FF6161" w:rsidRDefault="00285F19" w:rsidP="006129E3">
            <w:pPr>
              <w:pStyle w:val="Tablebodytext"/>
              <w:jc w:val="right"/>
              <w:rPr>
                <w:lang w:eastAsia="en-AU"/>
              </w:rPr>
            </w:pPr>
            <w:r w:rsidRPr="00FF6161">
              <w:rPr>
                <w:lang w:eastAsia="en-AU"/>
              </w:rPr>
              <w:t>11.9</w:t>
            </w:r>
          </w:p>
        </w:tc>
        <w:tc>
          <w:tcPr>
            <w:tcW w:w="339" w:type="pct"/>
            <w:noWrap/>
            <w:hideMark/>
          </w:tcPr>
          <w:p w14:paraId="4D342FB4" w14:textId="77777777" w:rsidR="00285F19" w:rsidRPr="00FF6161" w:rsidRDefault="00285F19" w:rsidP="006129E3">
            <w:pPr>
              <w:pStyle w:val="Tablebodytext"/>
              <w:jc w:val="right"/>
              <w:rPr>
                <w:lang w:eastAsia="en-AU"/>
              </w:rPr>
            </w:pPr>
            <w:r w:rsidRPr="00FF6161">
              <w:rPr>
                <w:lang w:eastAsia="en-AU"/>
              </w:rPr>
              <w:t>2.1</w:t>
            </w:r>
          </w:p>
        </w:tc>
        <w:tc>
          <w:tcPr>
            <w:tcW w:w="419" w:type="pct"/>
            <w:noWrap/>
            <w:hideMark/>
          </w:tcPr>
          <w:p w14:paraId="6616F0DE" w14:textId="77777777" w:rsidR="00285F19" w:rsidRPr="00FF6161" w:rsidRDefault="00285F19" w:rsidP="006129E3">
            <w:pPr>
              <w:pStyle w:val="Tablebodytext"/>
              <w:jc w:val="right"/>
              <w:rPr>
                <w:lang w:eastAsia="en-AU"/>
              </w:rPr>
            </w:pPr>
            <w:r w:rsidRPr="00FF6161">
              <w:rPr>
                <w:lang w:eastAsia="en-AU"/>
              </w:rPr>
              <w:t>2.4</w:t>
            </w:r>
          </w:p>
        </w:tc>
        <w:tc>
          <w:tcPr>
            <w:tcW w:w="361" w:type="pct"/>
            <w:noWrap/>
            <w:hideMark/>
          </w:tcPr>
          <w:p w14:paraId="192364BE" w14:textId="77777777" w:rsidR="00285F19" w:rsidRPr="00FF6161" w:rsidRDefault="00285F19" w:rsidP="006129E3">
            <w:pPr>
              <w:pStyle w:val="Tablebodytext"/>
              <w:jc w:val="right"/>
              <w:rPr>
                <w:lang w:eastAsia="en-AU"/>
              </w:rPr>
            </w:pPr>
            <w:r w:rsidRPr="00FF6161">
              <w:rPr>
                <w:lang w:eastAsia="en-AU"/>
              </w:rPr>
              <w:t>0.9</w:t>
            </w:r>
          </w:p>
        </w:tc>
        <w:tc>
          <w:tcPr>
            <w:tcW w:w="419" w:type="pct"/>
            <w:noWrap/>
            <w:hideMark/>
          </w:tcPr>
          <w:p w14:paraId="7DDC9CAB" w14:textId="77777777" w:rsidR="00285F19" w:rsidRPr="00FF6161" w:rsidRDefault="00285F19" w:rsidP="006129E3">
            <w:pPr>
              <w:pStyle w:val="Tablebodytext"/>
              <w:jc w:val="right"/>
              <w:rPr>
                <w:lang w:eastAsia="en-AU"/>
              </w:rPr>
            </w:pPr>
            <w:r w:rsidRPr="00FF6161">
              <w:rPr>
                <w:lang w:eastAsia="en-AU"/>
              </w:rPr>
              <w:t>6.0</w:t>
            </w:r>
          </w:p>
        </w:tc>
        <w:tc>
          <w:tcPr>
            <w:tcW w:w="317" w:type="pct"/>
            <w:noWrap/>
            <w:hideMark/>
          </w:tcPr>
          <w:p w14:paraId="13734F8C" w14:textId="77777777" w:rsidR="00285F19" w:rsidRPr="00FF6161" w:rsidRDefault="00285F19" w:rsidP="006129E3">
            <w:pPr>
              <w:pStyle w:val="Tablebodytext"/>
              <w:jc w:val="right"/>
              <w:rPr>
                <w:lang w:eastAsia="en-AU"/>
              </w:rPr>
            </w:pPr>
            <w:r w:rsidRPr="00FF6161">
              <w:rPr>
                <w:lang w:eastAsia="en-AU"/>
              </w:rPr>
              <w:t>0.9</w:t>
            </w:r>
          </w:p>
        </w:tc>
      </w:tr>
      <w:tr w:rsidR="00285F19" w:rsidRPr="00FF6161" w14:paraId="3B6079E8"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412" w:type="pct"/>
            <w:noWrap/>
            <w:hideMark/>
          </w:tcPr>
          <w:p w14:paraId="517B4A15" w14:textId="77777777" w:rsidR="00285F19" w:rsidRPr="00FF6161" w:rsidRDefault="00285F19" w:rsidP="006129E3">
            <w:pPr>
              <w:pStyle w:val="Tablebodytext"/>
              <w:rPr>
                <w:lang w:eastAsia="en-AU"/>
              </w:rPr>
            </w:pPr>
            <w:r w:rsidRPr="00FF6161">
              <w:rPr>
                <w:lang w:eastAsia="en-AU"/>
              </w:rPr>
              <w:t>2011-12</w:t>
            </w:r>
          </w:p>
        </w:tc>
        <w:tc>
          <w:tcPr>
            <w:tcW w:w="419" w:type="pct"/>
            <w:noWrap/>
            <w:hideMark/>
          </w:tcPr>
          <w:p w14:paraId="01D5DDBA" w14:textId="77777777" w:rsidR="00285F19" w:rsidRPr="00FF6161" w:rsidRDefault="00285F19" w:rsidP="006129E3">
            <w:pPr>
              <w:pStyle w:val="Tablebodytext"/>
              <w:jc w:val="right"/>
              <w:rPr>
                <w:lang w:eastAsia="en-AU"/>
              </w:rPr>
            </w:pPr>
            <w:r w:rsidRPr="00FF6161">
              <w:rPr>
                <w:lang w:eastAsia="en-AU"/>
              </w:rPr>
              <w:t>9.8</w:t>
            </w:r>
          </w:p>
        </w:tc>
        <w:tc>
          <w:tcPr>
            <w:tcW w:w="339" w:type="pct"/>
            <w:noWrap/>
            <w:hideMark/>
          </w:tcPr>
          <w:p w14:paraId="04A7D0BC" w14:textId="77777777" w:rsidR="00285F19" w:rsidRPr="00FF6161" w:rsidRDefault="00285F19" w:rsidP="006129E3">
            <w:pPr>
              <w:pStyle w:val="Tablebodytext"/>
              <w:jc w:val="right"/>
              <w:rPr>
                <w:lang w:eastAsia="en-AU"/>
              </w:rPr>
            </w:pPr>
            <w:r w:rsidRPr="00FF6161">
              <w:rPr>
                <w:lang w:eastAsia="en-AU"/>
              </w:rPr>
              <w:t>4.6</w:t>
            </w:r>
          </w:p>
        </w:tc>
        <w:tc>
          <w:tcPr>
            <w:tcW w:w="419" w:type="pct"/>
            <w:noWrap/>
            <w:hideMark/>
          </w:tcPr>
          <w:p w14:paraId="34FF7D90" w14:textId="77777777" w:rsidR="00285F19" w:rsidRPr="00FF6161" w:rsidRDefault="00285F19" w:rsidP="006129E3">
            <w:pPr>
              <w:pStyle w:val="Tablebodytext"/>
              <w:jc w:val="right"/>
              <w:rPr>
                <w:lang w:eastAsia="en-AU"/>
              </w:rPr>
            </w:pPr>
            <w:r w:rsidRPr="00FF6161">
              <w:rPr>
                <w:lang w:eastAsia="en-AU"/>
              </w:rPr>
              <w:t>9.0</w:t>
            </w:r>
          </w:p>
        </w:tc>
        <w:tc>
          <w:tcPr>
            <w:tcW w:w="339" w:type="pct"/>
            <w:noWrap/>
            <w:hideMark/>
          </w:tcPr>
          <w:p w14:paraId="4880CFCD" w14:textId="77777777" w:rsidR="00285F19" w:rsidRPr="00FF6161" w:rsidRDefault="00285F19" w:rsidP="006129E3">
            <w:pPr>
              <w:pStyle w:val="Tablebodytext"/>
              <w:jc w:val="right"/>
              <w:rPr>
                <w:lang w:eastAsia="en-AU"/>
              </w:rPr>
            </w:pPr>
            <w:r w:rsidRPr="00FF6161">
              <w:rPr>
                <w:lang w:eastAsia="en-AU"/>
              </w:rPr>
              <w:t>1.2</w:t>
            </w:r>
          </w:p>
        </w:tc>
        <w:tc>
          <w:tcPr>
            <w:tcW w:w="419" w:type="pct"/>
            <w:noWrap/>
            <w:hideMark/>
          </w:tcPr>
          <w:p w14:paraId="10B0B58B" w14:textId="77777777" w:rsidR="00285F19" w:rsidRPr="00FF6161" w:rsidRDefault="00285F19" w:rsidP="006129E3">
            <w:pPr>
              <w:pStyle w:val="Tablebodytext"/>
              <w:jc w:val="right"/>
              <w:rPr>
                <w:lang w:eastAsia="en-AU"/>
              </w:rPr>
            </w:pPr>
            <w:r w:rsidRPr="00FF6161">
              <w:rPr>
                <w:lang w:eastAsia="en-AU"/>
              </w:rPr>
              <w:t>22.2</w:t>
            </w:r>
          </w:p>
        </w:tc>
        <w:tc>
          <w:tcPr>
            <w:tcW w:w="378" w:type="pct"/>
            <w:noWrap/>
            <w:hideMark/>
          </w:tcPr>
          <w:p w14:paraId="66314AFE" w14:textId="77777777" w:rsidR="00285F19" w:rsidRPr="00FF6161" w:rsidRDefault="00285F19" w:rsidP="006129E3">
            <w:pPr>
              <w:pStyle w:val="Tablebodytext"/>
              <w:jc w:val="right"/>
              <w:rPr>
                <w:lang w:eastAsia="en-AU"/>
              </w:rPr>
            </w:pPr>
            <w:r w:rsidRPr="00FF6161">
              <w:rPr>
                <w:lang w:eastAsia="en-AU"/>
              </w:rPr>
              <w:t>5.4</w:t>
            </w:r>
          </w:p>
        </w:tc>
        <w:tc>
          <w:tcPr>
            <w:tcW w:w="419" w:type="pct"/>
            <w:noWrap/>
            <w:hideMark/>
          </w:tcPr>
          <w:p w14:paraId="0C16E6A4" w14:textId="77777777" w:rsidR="00285F19" w:rsidRPr="00FF6161" w:rsidRDefault="00285F19" w:rsidP="006129E3">
            <w:pPr>
              <w:pStyle w:val="Tablebodytext"/>
              <w:jc w:val="right"/>
              <w:rPr>
                <w:lang w:eastAsia="en-AU"/>
              </w:rPr>
            </w:pPr>
            <w:r w:rsidRPr="00FF6161">
              <w:rPr>
                <w:lang w:eastAsia="en-AU"/>
              </w:rPr>
              <w:t>12.4</w:t>
            </w:r>
          </w:p>
        </w:tc>
        <w:tc>
          <w:tcPr>
            <w:tcW w:w="339" w:type="pct"/>
            <w:noWrap/>
            <w:hideMark/>
          </w:tcPr>
          <w:p w14:paraId="659AD86C" w14:textId="77777777" w:rsidR="00285F19" w:rsidRPr="00FF6161" w:rsidRDefault="00285F19" w:rsidP="006129E3">
            <w:pPr>
              <w:pStyle w:val="Tablebodytext"/>
              <w:jc w:val="right"/>
              <w:rPr>
                <w:lang w:eastAsia="en-AU"/>
              </w:rPr>
            </w:pPr>
            <w:r w:rsidRPr="00FF6161">
              <w:rPr>
                <w:lang w:eastAsia="en-AU"/>
              </w:rPr>
              <w:t>2.2</w:t>
            </w:r>
          </w:p>
        </w:tc>
        <w:tc>
          <w:tcPr>
            <w:tcW w:w="419" w:type="pct"/>
            <w:noWrap/>
            <w:hideMark/>
          </w:tcPr>
          <w:p w14:paraId="006DA5F1" w14:textId="77777777" w:rsidR="00285F19" w:rsidRPr="00FF6161" w:rsidRDefault="00285F19" w:rsidP="006129E3">
            <w:pPr>
              <w:pStyle w:val="Tablebodytext"/>
              <w:jc w:val="right"/>
              <w:rPr>
                <w:lang w:eastAsia="en-AU"/>
              </w:rPr>
            </w:pPr>
            <w:r w:rsidRPr="00FF6161">
              <w:rPr>
                <w:lang w:eastAsia="en-AU"/>
              </w:rPr>
              <w:t>2.4</w:t>
            </w:r>
          </w:p>
        </w:tc>
        <w:tc>
          <w:tcPr>
            <w:tcW w:w="361" w:type="pct"/>
            <w:noWrap/>
            <w:hideMark/>
          </w:tcPr>
          <w:p w14:paraId="0983C7F3" w14:textId="77777777" w:rsidR="00285F19" w:rsidRPr="00FF6161" w:rsidRDefault="00285F19" w:rsidP="006129E3">
            <w:pPr>
              <w:pStyle w:val="Tablebodytext"/>
              <w:jc w:val="right"/>
              <w:rPr>
                <w:lang w:eastAsia="en-AU"/>
              </w:rPr>
            </w:pPr>
            <w:r w:rsidRPr="00FF6161">
              <w:rPr>
                <w:lang w:eastAsia="en-AU"/>
              </w:rPr>
              <w:t>1.0</w:t>
            </w:r>
          </w:p>
        </w:tc>
        <w:tc>
          <w:tcPr>
            <w:tcW w:w="419" w:type="pct"/>
            <w:noWrap/>
            <w:hideMark/>
          </w:tcPr>
          <w:p w14:paraId="1F9A6E00" w14:textId="77777777" w:rsidR="00285F19" w:rsidRPr="00FF6161" w:rsidRDefault="00285F19" w:rsidP="006129E3">
            <w:pPr>
              <w:pStyle w:val="Tablebodytext"/>
              <w:jc w:val="right"/>
              <w:rPr>
                <w:lang w:eastAsia="en-AU"/>
              </w:rPr>
            </w:pPr>
            <w:r w:rsidRPr="00FF6161">
              <w:rPr>
                <w:lang w:eastAsia="en-AU"/>
              </w:rPr>
              <w:t>6.4</w:t>
            </w:r>
          </w:p>
        </w:tc>
        <w:tc>
          <w:tcPr>
            <w:tcW w:w="317" w:type="pct"/>
            <w:noWrap/>
            <w:hideMark/>
          </w:tcPr>
          <w:p w14:paraId="027AC83D" w14:textId="77777777" w:rsidR="00285F19" w:rsidRPr="00FF6161" w:rsidRDefault="00285F19" w:rsidP="006129E3">
            <w:pPr>
              <w:pStyle w:val="Tablebodytext"/>
              <w:jc w:val="right"/>
              <w:rPr>
                <w:lang w:eastAsia="en-AU"/>
              </w:rPr>
            </w:pPr>
            <w:r w:rsidRPr="00FF6161">
              <w:rPr>
                <w:lang w:eastAsia="en-AU"/>
              </w:rPr>
              <w:t>1.3</w:t>
            </w:r>
          </w:p>
        </w:tc>
      </w:tr>
      <w:tr w:rsidR="00285F19" w:rsidRPr="00FF6161" w14:paraId="363285E4"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412" w:type="pct"/>
            <w:noWrap/>
            <w:hideMark/>
          </w:tcPr>
          <w:p w14:paraId="7F317BC7" w14:textId="77777777" w:rsidR="00285F19" w:rsidRPr="00FF6161" w:rsidRDefault="00285F19" w:rsidP="006129E3">
            <w:pPr>
              <w:pStyle w:val="Tablebodytext"/>
              <w:rPr>
                <w:lang w:eastAsia="en-AU"/>
              </w:rPr>
            </w:pPr>
            <w:r w:rsidRPr="00FF6161">
              <w:rPr>
                <w:lang w:eastAsia="en-AU"/>
              </w:rPr>
              <w:t>2012-13</w:t>
            </w:r>
          </w:p>
        </w:tc>
        <w:tc>
          <w:tcPr>
            <w:tcW w:w="419" w:type="pct"/>
            <w:noWrap/>
            <w:hideMark/>
          </w:tcPr>
          <w:p w14:paraId="28668D30" w14:textId="77777777" w:rsidR="00285F19" w:rsidRPr="00FF6161" w:rsidRDefault="00285F19" w:rsidP="006129E3">
            <w:pPr>
              <w:pStyle w:val="Tablebodytext"/>
              <w:jc w:val="right"/>
              <w:rPr>
                <w:lang w:eastAsia="en-AU"/>
              </w:rPr>
            </w:pPr>
            <w:r w:rsidRPr="00FF6161">
              <w:rPr>
                <w:lang w:eastAsia="en-AU"/>
              </w:rPr>
              <w:t>9.8</w:t>
            </w:r>
          </w:p>
        </w:tc>
        <w:tc>
          <w:tcPr>
            <w:tcW w:w="339" w:type="pct"/>
            <w:noWrap/>
            <w:hideMark/>
          </w:tcPr>
          <w:p w14:paraId="014322B6" w14:textId="77777777" w:rsidR="00285F19" w:rsidRPr="00FF6161" w:rsidRDefault="00285F19" w:rsidP="006129E3">
            <w:pPr>
              <w:pStyle w:val="Tablebodytext"/>
              <w:jc w:val="right"/>
              <w:rPr>
                <w:lang w:eastAsia="en-AU"/>
              </w:rPr>
            </w:pPr>
            <w:r w:rsidRPr="00FF6161">
              <w:rPr>
                <w:lang w:eastAsia="en-AU"/>
              </w:rPr>
              <w:t>2.3</w:t>
            </w:r>
          </w:p>
        </w:tc>
        <w:tc>
          <w:tcPr>
            <w:tcW w:w="419" w:type="pct"/>
            <w:noWrap/>
            <w:hideMark/>
          </w:tcPr>
          <w:p w14:paraId="07976368" w14:textId="77777777" w:rsidR="00285F19" w:rsidRPr="00FF6161" w:rsidRDefault="00285F19" w:rsidP="006129E3">
            <w:pPr>
              <w:pStyle w:val="Tablebodytext"/>
              <w:jc w:val="right"/>
              <w:rPr>
                <w:lang w:eastAsia="en-AU"/>
              </w:rPr>
            </w:pPr>
            <w:r w:rsidRPr="00FF6161">
              <w:rPr>
                <w:lang w:eastAsia="en-AU"/>
              </w:rPr>
              <w:t>9.2</w:t>
            </w:r>
          </w:p>
        </w:tc>
        <w:tc>
          <w:tcPr>
            <w:tcW w:w="339" w:type="pct"/>
            <w:noWrap/>
            <w:hideMark/>
          </w:tcPr>
          <w:p w14:paraId="55CD449A" w14:textId="77777777" w:rsidR="00285F19" w:rsidRPr="00FF6161" w:rsidRDefault="00285F19" w:rsidP="006129E3">
            <w:pPr>
              <w:pStyle w:val="Tablebodytext"/>
              <w:jc w:val="right"/>
              <w:rPr>
                <w:lang w:eastAsia="en-AU"/>
              </w:rPr>
            </w:pPr>
            <w:r w:rsidRPr="00FF6161">
              <w:rPr>
                <w:lang w:eastAsia="en-AU"/>
              </w:rPr>
              <w:t>1.2</w:t>
            </w:r>
          </w:p>
        </w:tc>
        <w:tc>
          <w:tcPr>
            <w:tcW w:w="419" w:type="pct"/>
            <w:noWrap/>
            <w:hideMark/>
          </w:tcPr>
          <w:p w14:paraId="3ECDB9A6" w14:textId="77777777" w:rsidR="00285F19" w:rsidRPr="00FF6161" w:rsidRDefault="00285F19" w:rsidP="006129E3">
            <w:pPr>
              <w:pStyle w:val="Tablebodytext"/>
              <w:jc w:val="right"/>
              <w:rPr>
                <w:lang w:eastAsia="en-AU"/>
              </w:rPr>
            </w:pPr>
            <w:r w:rsidRPr="00FF6161">
              <w:rPr>
                <w:lang w:eastAsia="en-AU"/>
              </w:rPr>
              <w:t>20.8</w:t>
            </w:r>
          </w:p>
        </w:tc>
        <w:tc>
          <w:tcPr>
            <w:tcW w:w="378" w:type="pct"/>
            <w:noWrap/>
            <w:hideMark/>
          </w:tcPr>
          <w:p w14:paraId="7557F476" w14:textId="77777777" w:rsidR="00285F19" w:rsidRPr="00FF6161" w:rsidRDefault="00285F19" w:rsidP="006129E3">
            <w:pPr>
              <w:pStyle w:val="Tablebodytext"/>
              <w:jc w:val="right"/>
              <w:rPr>
                <w:lang w:eastAsia="en-AU"/>
              </w:rPr>
            </w:pPr>
            <w:r w:rsidRPr="00FF6161">
              <w:rPr>
                <w:lang w:eastAsia="en-AU"/>
              </w:rPr>
              <w:t>5.4</w:t>
            </w:r>
          </w:p>
        </w:tc>
        <w:tc>
          <w:tcPr>
            <w:tcW w:w="419" w:type="pct"/>
            <w:noWrap/>
            <w:hideMark/>
          </w:tcPr>
          <w:p w14:paraId="4A4A46EE" w14:textId="77777777" w:rsidR="00285F19" w:rsidRPr="00FF6161" w:rsidRDefault="00285F19" w:rsidP="006129E3">
            <w:pPr>
              <w:pStyle w:val="Tablebodytext"/>
              <w:jc w:val="right"/>
              <w:rPr>
                <w:lang w:eastAsia="en-AU"/>
              </w:rPr>
            </w:pPr>
            <w:r w:rsidRPr="00FF6161">
              <w:rPr>
                <w:lang w:eastAsia="en-AU"/>
              </w:rPr>
              <w:t>12.9</w:t>
            </w:r>
          </w:p>
        </w:tc>
        <w:tc>
          <w:tcPr>
            <w:tcW w:w="339" w:type="pct"/>
            <w:noWrap/>
            <w:hideMark/>
          </w:tcPr>
          <w:p w14:paraId="1E90003D" w14:textId="77777777" w:rsidR="00285F19" w:rsidRPr="00FF6161" w:rsidRDefault="00285F19" w:rsidP="006129E3">
            <w:pPr>
              <w:pStyle w:val="Tablebodytext"/>
              <w:jc w:val="right"/>
              <w:rPr>
                <w:lang w:eastAsia="en-AU"/>
              </w:rPr>
            </w:pPr>
            <w:r w:rsidRPr="00FF6161">
              <w:rPr>
                <w:lang w:eastAsia="en-AU"/>
              </w:rPr>
              <w:t>2.3</w:t>
            </w:r>
          </w:p>
        </w:tc>
        <w:tc>
          <w:tcPr>
            <w:tcW w:w="419" w:type="pct"/>
            <w:noWrap/>
            <w:hideMark/>
          </w:tcPr>
          <w:p w14:paraId="1565ED98" w14:textId="77777777" w:rsidR="00285F19" w:rsidRPr="00FF6161" w:rsidRDefault="00285F19" w:rsidP="006129E3">
            <w:pPr>
              <w:pStyle w:val="Tablebodytext"/>
              <w:jc w:val="right"/>
              <w:rPr>
                <w:lang w:eastAsia="en-AU"/>
              </w:rPr>
            </w:pPr>
            <w:r w:rsidRPr="00FF6161">
              <w:rPr>
                <w:lang w:eastAsia="en-AU"/>
              </w:rPr>
              <w:t>2.5</w:t>
            </w:r>
          </w:p>
        </w:tc>
        <w:tc>
          <w:tcPr>
            <w:tcW w:w="361" w:type="pct"/>
            <w:noWrap/>
            <w:hideMark/>
          </w:tcPr>
          <w:p w14:paraId="02589400" w14:textId="77777777" w:rsidR="00285F19" w:rsidRPr="00FF6161" w:rsidRDefault="00285F19" w:rsidP="006129E3">
            <w:pPr>
              <w:pStyle w:val="Tablebodytext"/>
              <w:jc w:val="right"/>
              <w:rPr>
                <w:lang w:eastAsia="en-AU"/>
              </w:rPr>
            </w:pPr>
            <w:r w:rsidRPr="00FF6161">
              <w:rPr>
                <w:lang w:eastAsia="en-AU"/>
              </w:rPr>
              <w:t>1.0</w:t>
            </w:r>
          </w:p>
        </w:tc>
        <w:tc>
          <w:tcPr>
            <w:tcW w:w="419" w:type="pct"/>
            <w:noWrap/>
            <w:hideMark/>
          </w:tcPr>
          <w:p w14:paraId="1B3264D2" w14:textId="77777777" w:rsidR="00285F19" w:rsidRPr="00FF6161" w:rsidRDefault="00285F19" w:rsidP="006129E3">
            <w:pPr>
              <w:pStyle w:val="Tablebodytext"/>
              <w:jc w:val="right"/>
              <w:rPr>
                <w:lang w:eastAsia="en-AU"/>
              </w:rPr>
            </w:pPr>
            <w:r w:rsidRPr="00FF6161">
              <w:rPr>
                <w:lang w:eastAsia="en-AU"/>
              </w:rPr>
              <w:t>6.7</w:t>
            </w:r>
          </w:p>
        </w:tc>
        <w:tc>
          <w:tcPr>
            <w:tcW w:w="317" w:type="pct"/>
            <w:noWrap/>
            <w:hideMark/>
          </w:tcPr>
          <w:p w14:paraId="77529532" w14:textId="77777777" w:rsidR="00285F19" w:rsidRPr="00FF6161" w:rsidRDefault="00285F19" w:rsidP="006129E3">
            <w:pPr>
              <w:pStyle w:val="Tablebodytext"/>
              <w:jc w:val="right"/>
              <w:rPr>
                <w:lang w:eastAsia="en-AU"/>
              </w:rPr>
            </w:pPr>
            <w:r w:rsidRPr="00FF6161">
              <w:rPr>
                <w:lang w:eastAsia="en-AU"/>
              </w:rPr>
              <w:t>1.3</w:t>
            </w:r>
          </w:p>
        </w:tc>
      </w:tr>
      <w:tr w:rsidR="00285F19" w:rsidRPr="00FF6161" w14:paraId="5BA610F1"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412" w:type="pct"/>
            <w:noWrap/>
            <w:hideMark/>
          </w:tcPr>
          <w:p w14:paraId="4B4756DE" w14:textId="77777777" w:rsidR="00285F19" w:rsidRPr="00FF6161" w:rsidRDefault="00285F19" w:rsidP="006129E3">
            <w:pPr>
              <w:pStyle w:val="Tablebodytext"/>
              <w:rPr>
                <w:lang w:eastAsia="en-AU"/>
              </w:rPr>
            </w:pPr>
            <w:r w:rsidRPr="00FF6161">
              <w:rPr>
                <w:lang w:eastAsia="en-AU"/>
              </w:rPr>
              <w:t>2013-14</w:t>
            </w:r>
          </w:p>
        </w:tc>
        <w:tc>
          <w:tcPr>
            <w:tcW w:w="419" w:type="pct"/>
            <w:noWrap/>
            <w:hideMark/>
          </w:tcPr>
          <w:p w14:paraId="0ADC50BA" w14:textId="77777777" w:rsidR="00285F19" w:rsidRPr="00FF6161" w:rsidRDefault="00285F19" w:rsidP="006129E3">
            <w:pPr>
              <w:pStyle w:val="Tablebodytext"/>
              <w:jc w:val="right"/>
              <w:rPr>
                <w:lang w:eastAsia="en-AU"/>
              </w:rPr>
            </w:pPr>
            <w:r w:rsidRPr="00FF6161">
              <w:rPr>
                <w:lang w:eastAsia="en-AU"/>
              </w:rPr>
              <w:t>10.2</w:t>
            </w:r>
          </w:p>
        </w:tc>
        <w:tc>
          <w:tcPr>
            <w:tcW w:w="339" w:type="pct"/>
            <w:noWrap/>
            <w:hideMark/>
          </w:tcPr>
          <w:p w14:paraId="4111AD63" w14:textId="77777777" w:rsidR="00285F19" w:rsidRPr="00FF6161" w:rsidRDefault="00285F19" w:rsidP="006129E3">
            <w:pPr>
              <w:pStyle w:val="Tablebodytext"/>
              <w:jc w:val="right"/>
              <w:rPr>
                <w:lang w:eastAsia="en-AU"/>
              </w:rPr>
            </w:pPr>
            <w:r w:rsidRPr="00FF6161">
              <w:rPr>
                <w:lang w:eastAsia="en-AU"/>
              </w:rPr>
              <w:t>2.4</w:t>
            </w:r>
          </w:p>
        </w:tc>
        <w:tc>
          <w:tcPr>
            <w:tcW w:w="419" w:type="pct"/>
            <w:noWrap/>
            <w:hideMark/>
          </w:tcPr>
          <w:p w14:paraId="5E35832F" w14:textId="77777777" w:rsidR="00285F19" w:rsidRPr="00FF6161" w:rsidRDefault="00285F19" w:rsidP="006129E3">
            <w:pPr>
              <w:pStyle w:val="Tablebodytext"/>
              <w:jc w:val="right"/>
              <w:rPr>
                <w:lang w:eastAsia="en-AU"/>
              </w:rPr>
            </w:pPr>
            <w:r w:rsidRPr="00FF6161">
              <w:rPr>
                <w:lang w:eastAsia="en-AU"/>
              </w:rPr>
              <w:t>10.5</w:t>
            </w:r>
          </w:p>
        </w:tc>
        <w:tc>
          <w:tcPr>
            <w:tcW w:w="339" w:type="pct"/>
            <w:noWrap/>
            <w:hideMark/>
          </w:tcPr>
          <w:p w14:paraId="45F68235" w14:textId="77777777" w:rsidR="00285F19" w:rsidRPr="00FF6161" w:rsidRDefault="00285F19" w:rsidP="006129E3">
            <w:pPr>
              <w:pStyle w:val="Tablebodytext"/>
              <w:jc w:val="right"/>
              <w:rPr>
                <w:lang w:eastAsia="en-AU"/>
              </w:rPr>
            </w:pPr>
            <w:r w:rsidRPr="00FF6161">
              <w:rPr>
                <w:lang w:eastAsia="en-AU"/>
              </w:rPr>
              <w:t>1.3</w:t>
            </w:r>
          </w:p>
        </w:tc>
        <w:tc>
          <w:tcPr>
            <w:tcW w:w="419" w:type="pct"/>
            <w:noWrap/>
            <w:hideMark/>
          </w:tcPr>
          <w:p w14:paraId="1CEE06D2" w14:textId="77777777" w:rsidR="00285F19" w:rsidRPr="00FF6161" w:rsidRDefault="00285F19" w:rsidP="006129E3">
            <w:pPr>
              <w:pStyle w:val="Tablebodytext"/>
              <w:jc w:val="right"/>
              <w:rPr>
                <w:lang w:eastAsia="en-AU"/>
              </w:rPr>
            </w:pPr>
            <w:r w:rsidRPr="00FF6161">
              <w:rPr>
                <w:lang w:eastAsia="en-AU"/>
              </w:rPr>
              <w:t>22.9</w:t>
            </w:r>
          </w:p>
        </w:tc>
        <w:tc>
          <w:tcPr>
            <w:tcW w:w="378" w:type="pct"/>
            <w:noWrap/>
            <w:hideMark/>
          </w:tcPr>
          <w:p w14:paraId="7288586A" w14:textId="77777777" w:rsidR="00285F19" w:rsidRPr="00FF6161" w:rsidRDefault="00285F19" w:rsidP="006129E3">
            <w:pPr>
              <w:pStyle w:val="Tablebodytext"/>
              <w:jc w:val="right"/>
              <w:rPr>
                <w:lang w:eastAsia="en-AU"/>
              </w:rPr>
            </w:pPr>
            <w:r w:rsidRPr="00FF6161">
              <w:rPr>
                <w:lang w:eastAsia="en-AU"/>
              </w:rPr>
              <w:t>5.8</w:t>
            </w:r>
          </w:p>
        </w:tc>
        <w:tc>
          <w:tcPr>
            <w:tcW w:w="419" w:type="pct"/>
            <w:noWrap/>
            <w:hideMark/>
          </w:tcPr>
          <w:p w14:paraId="73B4C833" w14:textId="77777777" w:rsidR="00285F19" w:rsidRPr="00FF6161" w:rsidRDefault="00285F19" w:rsidP="006129E3">
            <w:pPr>
              <w:pStyle w:val="Tablebodytext"/>
              <w:jc w:val="right"/>
              <w:rPr>
                <w:lang w:eastAsia="en-AU"/>
              </w:rPr>
            </w:pPr>
            <w:r w:rsidRPr="00FF6161">
              <w:rPr>
                <w:lang w:eastAsia="en-AU"/>
              </w:rPr>
              <w:t>12.7</w:t>
            </w:r>
          </w:p>
        </w:tc>
        <w:tc>
          <w:tcPr>
            <w:tcW w:w="339" w:type="pct"/>
            <w:noWrap/>
            <w:hideMark/>
          </w:tcPr>
          <w:p w14:paraId="797149BB" w14:textId="77777777" w:rsidR="00285F19" w:rsidRPr="00FF6161" w:rsidRDefault="00285F19" w:rsidP="006129E3">
            <w:pPr>
              <w:pStyle w:val="Tablebodytext"/>
              <w:jc w:val="right"/>
              <w:rPr>
                <w:lang w:eastAsia="en-AU"/>
              </w:rPr>
            </w:pPr>
            <w:r w:rsidRPr="00FF6161">
              <w:rPr>
                <w:lang w:eastAsia="en-AU"/>
              </w:rPr>
              <w:t>2.4</w:t>
            </w:r>
          </w:p>
        </w:tc>
        <w:tc>
          <w:tcPr>
            <w:tcW w:w="419" w:type="pct"/>
            <w:noWrap/>
            <w:hideMark/>
          </w:tcPr>
          <w:p w14:paraId="0A2678DB" w14:textId="77777777" w:rsidR="00285F19" w:rsidRPr="00FF6161" w:rsidRDefault="00285F19" w:rsidP="006129E3">
            <w:pPr>
              <w:pStyle w:val="Tablebodytext"/>
              <w:jc w:val="right"/>
              <w:rPr>
                <w:lang w:eastAsia="en-AU"/>
              </w:rPr>
            </w:pPr>
            <w:r w:rsidRPr="00FF6161">
              <w:rPr>
                <w:lang w:eastAsia="en-AU"/>
              </w:rPr>
              <w:t>2.5</w:t>
            </w:r>
          </w:p>
        </w:tc>
        <w:tc>
          <w:tcPr>
            <w:tcW w:w="361" w:type="pct"/>
            <w:noWrap/>
            <w:hideMark/>
          </w:tcPr>
          <w:p w14:paraId="00F72F05" w14:textId="77777777" w:rsidR="00285F19" w:rsidRPr="00FF6161" w:rsidRDefault="00285F19" w:rsidP="006129E3">
            <w:pPr>
              <w:pStyle w:val="Tablebodytext"/>
              <w:jc w:val="right"/>
              <w:rPr>
                <w:lang w:eastAsia="en-AU"/>
              </w:rPr>
            </w:pPr>
            <w:r w:rsidRPr="00FF6161">
              <w:rPr>
                <w:lang w:eastAsia="en-AU"/>
              </w:rPr>
              <w:t>1.0</w:t>
            </w:r>
          </w:p>
        </w:tc>
        <w:tc>
          <w:tcPr>
            <w:tcW w:w="419" w:type="pct"/>
            <w:noWrap/>
            <w:hideMark/>
          </w:tcPr>
          <w:p w14:paraId="25D394E8" w14:textId="77777777" w:rsidR="00285F19" w:rsidRPr="00FF6161" w:rsidRDefault="00285F19" w:rsidP="006129E3">
            <w:pPr>
              <w:pStyle w:val="Tablebodytext"/>
              <w:jc w:val="right"/>
              <w:rPr>
                <w:lang w:eastAsia="en-AU"/>
              </w:rPr>
            </w:pPr>
            <w:r w:rsidRPr="00FF6161">
              <w:rPr>
                <w:lang w:eastAsia="en-AU"/>
              </w:rPr>
              <w:t>6.9</w:t>
            </w:r>
          </w:p>
        </w:tc>
        <w:tc>
          <w:tcPr>
            <w:tcW w:w="317" w:type="pct"/>
            <w:noWrap/>
            <w:hideMark/>
          </w:tcPr>
          <w:p w14:paraId="410443B3" w14:textId="77777777" w:rsidR="00285F19" w:rsidRPr="00FF6161" w:rsidRDefault="00285F19" w:rsidP="006129E3">
            <w:pPr>
              <w:pStyle w:val="Tablebodytext"/>
              <w:jc w:val="right"/>
              <w:rPr>
                <w:lang w:eastAsia="en-AU"/>
              </w:rPr>
            </w:pPr>
            <w:r w:rsidRPr="00FF6161">
              <w:rPr>
                <w:lang w:eastAsia="en-AU"/>
              </w:rPr>
              <w:t>1.2</w:t>
            </w:r>
          </w:p>
        </w:tc>
      </w:tr>
    </w:tbl>
    <w:p w14:paraId="0CE4C6B8" w14:textId="77777777" w:rsidR="00285F19" w:rsidRPr="00FF6161" w:rsidRDefault="00285F19" w:rsidP="00285F19">
      <w:pPr>
        <w:pStyle w:val="Placeholder"/>
      </w:pPr>
    </w:p>
    <w:p w14:paraId="3FA83A2A" w14:textId="77777777" w:rsidR="00285F19" w:rsidRPr="00C62F3A" w:rsidRDefault="00285F19" w:rsidP="00285F19">
      <w:pPr>
        <w:pStyle w:val="Note"/>
      </w:pPr>
      <w:r>
        <w:rPr>
          <w:lang w:eastAsia="en-AU"/>
        </w:rPr>
        <w:t xml:space="preserve">Notes: </w:t>
      </w:r>
      <w:r>
        <w:t>Statistics relate to simple (non-profiled) businesses from the linked BLADE-DIBP dataset. Statistics not directly comparable to official DIBP visa grant statistics.</w:t>
      </w:r>
    </w:p>
    <w:p w14:paraId="33CC3560" w14:textId="3E5F0711" w:rsidR="00285F19" w:rsidRDefault="006A6D70" w:rsidP="00285F19">
      <w:pPr>
        <w:pStyle w:val="Source"/>
      </w:pPr>
      <w:r>
        <w:rPr>
          <w:lang w:eastAsia="en-AU"/>
        </w:rPr>
        <w:t>Source: DIIS (2019</w:t>
      </w:r>
      <w:r w:rsidR="00285F19">
        <w:rPr>
          <w:lang w:eastAsia="en-AU"/>
        </w:rPr>
        <w:t>)</w:t>
      </w:r>
      <w:r>
        <w:rPr>
          <w:lang w:eastAsia="en-AU"/>
        </w:rPr>
        <w:t xml:space="preserve"> using ABS BLADE</w:t>
      </w:r>
      <w:r w:rsidR="00285F19">
        <w:t xml:space="preserve"> </w:t>
      </w:r>
    </w:p>
    <w:p w14:paraId="3C286EBB" w14:textId="77777777" w:rsidR="00285F19" w:rsidRDefault="00285F19" w:rsidP="00285F19">
      <w:pPr>
        <w:pStyle w:val="Caption"/>
      </w:pPr>
      <w:r w:rsidRPr="000618FB">
        <w:lastRenderedPageBreak/>
        <w:t>Table</w:t>
      </w:r>
      <w:r>
        <w:t xml:space="preserve"> 9:</w:t>
      </w:r>
      <w:r w:rsidRPr="003E3DA4">
        <w:t xml:space="preserve"> </w:t>
      </w:r>
      <w:r>
        <w:t>Comparison of employment (FTE) for selected industries, mean values</w:t>
      </w:r>
    </w:p>
    <w:tbl>
      <w:tblPr>
        <w:tblStyle w:val="OCETable"/>
        <w:tblW w:w="5000" w:type="pct"/>
        <w:tblLook w:val="04A0" w:firstRow="1" w:lastRow="0" w:firstColumn="1" w:lastColumn="0" w:noHBand="0" w:noVBand="1"/>
        <w:tblCaption w:val="Table 9: Comparison of employment (FTE) for selected industries, mean values"/>
        <w:tblDescription w:val="This table contains information on the employment performance of sponsoring firms with similar non-sponsoring firms across industries such as Construction and Manufacturing. Sponsoring firms had higher employment relative to similar non-sponsoring firms."/>
      </w:tblPr>
      <w:tblGrid>
        <w:gridCol w:w="1143"/>
        <w:gridCol w:w="1163"/>
        <w:gridCol w:w="947"/>
        <w:gridCol w:w="1163"/>
        <w:gridCol w:w="947"/>
        <w:gridCol w:w="1163"/>
        <w:gridCol w:w="1048"/>
        <w:gridCol w:w="1163"/>
        <w:gridCol w:w="947"/>
        <w:gridCol w:w="1164"/>
        <w:gridCol w:w="999"/>
        <w:gridCol w:w="1164"/>
        <w:gridCol w:w="947"/>
      </w:tblGrid>
      <w:tr w:rsidR="00285F19" w:rsidRPr="00221D1F" w14:paraId="0B05F7EF" w14:textId="77777777" w:rsidTr="006129E3">
        <w:trPr>
          <w:cnfStyle w:val="100000000000" w:firstRow="1" w:lastRow="0" w:firstColumn="0" w:lastColumn="0" w:oddVBand="0" w:evenVBand="0" w:oddHBand="0" w:evenHBand="0" w:firstRowFirstColumn="0" w:firstRowLastColumn="0" w:lastRowFirstColumn="0" w:lastRowLastColumn="0"/>
          <w:trHeight w:val="300"/>
          <w:tblHeader/>
        </w:trPr>
        <w:tc>
          <w:tcPr>
            <w:tcW w:w="416" w:type="pct"/>
            <w:vMerge w:val="restart"/>
            <w:noWrap/>
            <w:hideMark/>
          </w:tcPr>
          <w:p w14:paraId="762CC104" w14:textId="77777777" w:rsidR="00285F19" w:rsidRPr="00221D1F" w:rsidRDefault="00285F19" w:rsidP="006129E3">
            <w:pPr>
              <w:pStyle w:val="Tableheadertext"/>
              <w:rPr>
                <w:lang w:eastAsia="en-AU"/>
              </w:rPr>
            </w:pPr>
            <w:r w:rsidRPr="00221D1F">
              <w:rPr>
                <w:lang w:eastAsia="en-AU"/>
              </w:rPr>
              <w:t>Year</w:t>
            </w:r>
          </w:p>
        </w:tc>
        <w:tc>
          <w:tcPr>
            <w:tcW w:w="752" w:type="pct"/>
            <w:gridSpan w:val="2"/>
            <w:noWrap/>
            <w:hideMark/>
          </w:tcPr>
          <w:p w14:paraId="2DF5A26D" w14:textId="77777777" w:rsidR="00285F19" w:rsidRPr="00221D1F" w:rsidRDefault="00285F19" w:rsidP="006129E3">
            <w:pPr>
              <w:pStyle w:val="Tableheadertext"/>
              <w:jc w:val="right"/>
              <w:rPr>
                <w:lang w:eastAsia="en-AU"/>
              </w:rPr>
            </w:pPr>
            <w:r w:rsidRPr="00221D1F">
              <w:rPr>
                <w:lang w:eastAsia="en-AU"/>
              </w:rPr>
              <w:t>Manufacturing</w:t>
            </w:r>
          </w:p>
        </w:tc>
        <w:tc>
          <w:tcPr>
            <w:tcW w:w="753" w:type="pct"/>
            <w:gridSpan w:val="2"/>
            <w:noWrap/>
            <w:hideMark/>
          </w:tcPr>
          <w:p w14:paraId="4364FFB2" w14:textId="77777777" w:rsidR="00285F19" w:rsidRPr="00221D1F" w:rsidRDefault="00285F19" w:rsidP="006129E3">
            <w:pPr>
              <w:pStyle w:val="Tableheadertext"/>
              <w:jc w:val="right"/>
              <w:rPr>
                <w:lang w:eastAsia="en-AU"/>
              </w:rPr>
            </w:pPr>
            <w:r w:rsidRPr="00221D1F">
              <w:rPr>
                <w:lang w:eastAsia="en-AU"/>
              </w:rPr>
              <w:t>Construction</w:t>
            </w:r>
          </w:p>
        </w:tc>
        <w:tc>
          <w:tcPr>
            <w:tcW w:w="805" w:type="pct"/>
            <w:gridSpan w:val="2"/>
            <w:noWrap/>
            <w:hideMark/>
          </w:tcPr>
          <w:p w14:paraId="14B2302D" w14:textId="77777777" w:rsidR="00285F19" w:rsidRPr="00221D1F" w:rsidRDefault="00285F19" w:rsidP="006129E3">
            <w:pPr>
              <w:pStyle w:val="Tableheadertext"/>
              <w:jc w:val="right"/>
              <w:rPr>
                <w:lang w:eastAsia="en-AU"/>
              </w:rPr>
            </w:pPr>
            <w:r w:rsidRPr="00221D1F">
              <w:rPr>
                <w:lang w:eastAsia="en-AU"/>
              </w:rPr>
              <w:t>Wholesale trade</w:t>
            </w:r>
          </w:p>
        </w:tc>
        <w:tc>
          <w:tcPr>
            <w:tcW w:w="744" w:type="pct"/>
            <w:gridSpan w:val="2"/>
            <w:noWrap/>
            <w:hideMark/>
          </w:tcPr>
          <w:p w14:paraId="12EEE007" w14:textId="77777777" w:rsidR="00285F19" w:rsidRPr="00221D1F" w:rsidRDefault="00285F19" w:rsidP="006129E3">
            <w:pPr>
              <w:pStyle w:val="Tableheadertext"/>
              <w:jc w:val="right"/>
              <w:rPr>
                <w:lang w:eastAsia="en-AU"/>
              </w:rPr>
            </w:pPr>
            <w:r w:rsidRPr="00221D1F">
              <w:rPr>
                <w:lang w:eastAsia="en-AU"/>
              </w:rPr>
              <w:t>Retail trade</w:t>
            </w:r>
          </w:p>
        </w:tc>
        <w:tc>
          <w:tcPr>
            <w:tcW w:w="787" w:type="pct"/>
            <w:gridSpan w:val="2"/>
            <w:noWrap/>
            <w:hideMark/>
          </w:tcPr>
          <w:p w14:paraId="7115306D" w14:textId="77777777" w:rsidR="00285F19" w:rsidRPr="00221D1F" w:rsidRDefault="00285F19" w:rsidP="006129E3">
            <w:pPr>
              <w:pStyle w:val="Tableheadertext"/>
              <w:jc w:val="right"/>
              <w:rPr>
                <w:lang w:eastAsia="en-AU"/>
              </w:rPr>
            </w:pPr>
            <w:r w:rsidRPr="00221D1F">
              <w:rPr>
                <w:lang w:eastAsia="en-AU"/>
              </w:rPr>
              <w:t>AFS</w:t>
            </w:r>
          </w:p>
        </w:tc>
        <w:tc>
          <w:tcPr>
            <w:tcW w:w="744" w:type="pct"/>
            <w:gridSpan w:val="2"/>
            <w:noWrap/>
            <w:hideMark/>
          </w:tcPr>
          <w:p w14:paraId="54EFB52A" w14:textId="77777777" w:rsidR="00285F19" w:rsidRPr="00221D1F" w:rsidRDefault="00285F19" w:rsidP="006129E3">
            <w:pPr>
              <w:pStyle w:val="Tableheadertext"/>
              <w:jc w:val="right"/>
              <w:rPr>
                <w:lang w:eastAsia="en-AU"/>
              </w:rPr>
            </w:pPr>
            <w:r w:rsidRPr="00221D1F">
              <w:rPr>
                <w:lang w:eastAsia="en-AU"/>
              </w:rPr>
              <w:t>PST</w:t>
            </w:r>
          </w:p>
        </w:tc>
      </w:tr>
      <w:tr w:rsidR="00285F19" w:rsidRPr="00221D1F" w14:paraId="567E8096" w14:textId="77777777" w:rsidTr="006129E3">
        <w:trPr>
          <w:cnfStyle w:val="000000100000" w:firstRow="0" w:lastRow="0" w:firstColumn="0" w:lastColumn="0" w:oddVBand="0" w:evenVBand="0" w:oddHBand="1" w:evenHBand="0" w:firstRowFirstColumn="0" w:firstRowLastColumn="0" w:lastRowFirstColumn="0" w:lastRowLastColumn="0"/>
          <w:trHeight w:val="600"/>
        </w:trPr>
        <w:tc>
          <w:tcPr>
            <w:tcW w:w="416" w:type="pct"/>
            <w:vMerge/>
            <w:hideMark/>
          </w:tcPr>
          <w:p w14:paraId="7F053FF9" w14:textId="77777777" w:rsidR="00285F19" w:rsidRPr="00221D1F" w:rsidRDefault="00285F19" w:rsidP="006129E3">
            <w:pPr>
              <w:pStyle w:val="Tablebodytext"/>
              <w:rPr>
                <w:lang w:eastAsia="en-AU"/>
              </w:rPr>
            </w:pPr>
          </w:p>
        </w:tc>
        <w:tc>
          <w:tcPr>
            <w:tcW w:w="423" w:type="pct"/>
            <w:hideMark/>
          </w:tcPr>
          <w:p w14:paraId="07741D7C" w14:textId="77777777" w:rsidR="00285F19" w:rsidRPr="00221D1F" w:rsidRDefault="00285F19" w:rsidP="006129E3">
            <w:pPr>
              <w:pStyle w:val="Tablebodytext"/>
              <w:jc w:val="right"/>
              <w:rPr>
                <w:lang w:eastAsia="en-AU"/>
              </w:rPr>
            </w:pPr>
            <w:r>
              <w:rPr>
                <w:lang w:eastAsia="en-AU"/>
              </w:rPr>
              <w:t>Sponsors</w:t>
            </w:r>
          </w:p>
        </w:tc>
        <w:tc>
          <w:tcPr>
            <w:tcW w:w="329" w:type="pct"/>
            <w:hideMark/>
          </w:tcPr>
          <w:p w14:paraId="0C9BD26D" w14:textId="77777777" w:rsidR="00285F19" w:rsidRPr="00221D1F" w:rsidRDefault="00285F19" w:rsidP="006129E3">
            <w:pPr>
              <w:pStyle w:val="Tablebodytext"/>
              <w:jc w:val="right"/>
              <w:rPr>
                <w:lang w:eastAsia="en-AU"/>
              </w:rPr>
            </w:pPr>
            <w:r>
              <w:rPr>
                <w:lang w:eastAsia="en-AU"/>
              </w:rPr>
              <w:t>Non-sponsors</w:t>
            </w:r>
          </w:p>
        </w:tc>
        <w:tc>
          <w:tcPr>
            <w:tcW w:w="423" w:type="pct"/>
            <w:hideMark/>
          </w:tcPr>
          <w:p w14:paraId="50E451CD" w14:textId="77777777" w:rsidR="00285F19" w:rsidRPr="00221D1F" w:rsidRDefault="00285F19" w:rsidP="006129E3">
            <w:pPr>
              <w:pStyle w:val="Tablebodytext"/>
              <w:jc w:val="right"/>
              <w:rPr>
                <w:lang w:eastAsia="en-AU"/>
              </w:rPr>
            </w:pPr>
            <w:r>
              <w:rPr>
                <w:lang w:eastAsia="en-AU"/>
              </w:rPr>
              <w:t>Sponsors</w:t>
            </w:r>
          </w:p>
        </w:tc>
        <w:tc>
          <w:tcPr>
            <w:tcW w:w="329" w:type="pct"/>
            <w:hideMark/>
          </w:tcPr>
          <w:p w14:paraId="6222F3C5" w14:textId="77777777" w:rsidR="00285F19" w:rsidRPr="00221D1F" w:rsidRDefault="00285F19" w:rsidP="006129E3">
            <w:pPr>
              <w:pStyle w:val="Tablebodytext"/>
              <w:jc w:val="right"/>
              <w:rPr>
                <w:lang w:eastAsia="en-AU"/>
              </w:rPr>
            </w:pPr>
            <w:r>
              <w:rPr>
                <w:lang w:eastAsia="en-AU"/>
              </w:rPr>
              <w:t>Non-sponsors</w:t>
            </w:r>
          </w:p>
        </w:tc>
        <w:tc>
          <w:tcPr>
            <w:tcW w:w="423" w:type="pct"/>
            <w:hideMark/>
          </w:tcPr>
          <w:p w14:paraId="71EEC5A6" w14:textId="77777777" w:rsidR="00285F19" w:rsidRPr="00221D1F" w:rsidRDefault="00285F19" w:rsidP="006129E3">
            <w:pPr>
              <w:pStyle w:val="Tablebodytext"/>
              <w:jc w:val="right"/>
              <w:rPr>
                <w:lang w:eastAsia="en-AU"/>
              </w:rPr>
            </w:pPr>
            <w:r>
              <w:rPr>
                <w:lang w:eastAsia="en-AU"/>
              </w:rPr>
              <w:t>Sponsors</w:t>
            </w:r>
          </w:p>
        </w:tc>
        <w:tc>
          <w:tcPr>
            <w:tcW w:w="381" w:type="pct"/>
            <w:hideMark/>
          </w:tcPr>
          <w:p w14:paraId="70215F86" w14:textId="77777777" w:rsidR="00285F19" w:rsidRPr="00221D1F" w:rsidRDefault="00285F19" w:rsidP="006129E3">
            <w:pPr>
              <w:pStyle w:val="Tablebodytext"/>
              <w:jc w:val="right"/>
              <w:rPr>
                <w:lang w:eastAsia="en-AU"/>
              </w:rPr>
            </w:pPr>
            <w:r>
              <w:rPr>
                <w:lang w:eastAsia="en-AU"/>
              </w:rPr>
              <w:t>Non-sponsors</w:t>
            </w:r>
          </w:p>
        </w:tc>
        <w:tc>
          <w:tcPr>
            <w:tcW w:w="423" w:type="pct"/>
            <w:hideMark/>
          </w:tcPr>
          <w:p w14:paraId="4B5A7903" w14:textId="77777777" w:rsidR="00285F19" w:rsidRPr="00221D1F" w:rsidRDefault="00285F19" w:rsidP="006129E3">
            <w:pPr>
              <w:pStyle w:val="Tablebodytext"/>
              <w:jc w:val="right"/>
              <w:rPr>
                <w:lang w:eastAsia="en-AU"/>
              </w:rPr>
            </w:pPr>
            <w:r>
              <w:rPr>
                <w:lang w:eastAsia="en-AU"/>
              </w:rPr>
              <w:t>Sponsors</w:t>
            </w:r>
          </w:p>
        </w:tc>
        <w:tc>
          <w:tcPr>
            <w:tcW w:w="321" w:type="pct"/>
            <w:hideMark/>
          </w:tcPr>
          <w:p w14:paraId="68E14021" w14:textId="77777777" w:rsidR="00285F19" w:rsidRPr="00221D1F" w:rsidRDefault="00285F19" w:rsidP="006129E3">
            <w:pPr>
              <w:pStyle w:val="Tablebodytext"/>
              <w:jc w:val="right"/>
              <w:rPr>
                <w:lang w:eastAsia="en-AU"/>
              </w:rPr>
            </w:pPr>
            <w:r>
              <w:rPr>
                <w:lang w:eastAsia="en-AU"/>
              </w:rPr>
              <w:t>Non-sponsors</w:t>
            </w:r>
          </w:p>
        </w:tc>
        <w:tc>
          <w:tcPr>
            <w:tcW w:w="423" w:type="pct"/>
            <w:hideMark/>
          </w:tcPr>
          <w:p w14:paraId="24661C3D" w14:textId="77777777" w:rsidR="00285F19" w:rsidRPr="00221D1F" w:rsidRDefault="00285F19" w:rsidP="006129E3">
            <w:pPr>
              <w:pStyle w:val="Tablebodytext"/>
              <w:jc w:val="right"/>
              <w:rPr>
                <w:lang w:eastAsia="en-AU"/>
              </w:rPr>
            </w:pPr>
            <w:r>
              <w:rPr>
                <w:lang w:eastAsia="en-AU"/>
              </w:rPr>
              <w:t>Sponsors</w:t>
            </w:r>
          </w:p>
        </w:tc>
        <w:tc>
          <w:tcPr>
            <w:tcW w:w="364" w:type="pct"/>
            <w:hideMark/>
          </w:tcPr>
          <w:p w14:paraId="7C56195D" w14:textId="77777777" w:rsidR="00285F19" w:rsidRPr="00221D1F" w:rsidRDefault="00285F19" w:rsidP="006129E3">
            <w:pPr>
              <w:pStyle w:val="Tablebodytext"/>
              <w:jc w:val="right"/>
              <w:rPr>
                <w:lang w:eastAsia="en-AU"/>
              </w:rPr>
            </w:pPr>
            <w:r>
              <w:rPr>
                <w:lang w:eastAsia="en-AU"/>
              </w:rPr>
              <w:t>Non-sponsors</w:t>
            </w:r>
          </w:p>
        </w:tc>
        <w:tc>
          <w:tcPr>
            <w:tcW w:w="423" w:type="pct"/>
            <w:hideMark/>
          </w:tcPr>
          <w:p w14:paraId="0E17F063" w14:textId="77777777" w:rsidR="00285F19" w:rsidRPr="00221D1F" w:rsidRDefault="00285F19" w:rsidP="006129E3">
            <w:pPr>
              <w:pStyle w:val="Tablebodytext"/>
              <w:jc w:val="right"/>
              <w:rPr>
                <w:lang w:eastAsia="en-AU"/>
              </w:rPr>
            </w:pPr>
            <w:r>
              <w:rPr>
                <w:lang w:eastAsia="en-AU"/>
              </w:rPr>
              <w:t>Sponsors</w:t>
            </w:r>
          </w:p>
        </w:tc>
        <w:tc>
          <w:tcPr>
            <w:tcW w:w="321" w:type="pct"/>
            <w:hideMark/>
          </w:tcPr>
          <w:p w14:paraId="476DB325" w14:textId="77777777" w:rsidR="00285F19" w:rsidRPr="00221D1F" w:rsidRDefault="00285F19" w:rsidP="006129E3">
            <w:pPr>
              <w:pStyle w:val="Tablebodytext"/>
              <w:jc w:val="right"/>
              <w:rPr>
                <w:lang w:eastAsia="en-AU"/>
              </w:rPr>
            </w:pPr>
            <w:r>
              <w:rPr>
                <w:lang w:eastAsia="en-AU"/>
              </w:rPr>
              <w:t>Non-sponsors</w:t>
            </w:r>
          </w:p>
        </w:tc>
      </w:tr>
      <w:tr w:rsidR="00285F19" w:rsidRPr="00221D1F" w14:paraId="30EAAA65"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416" w:type="pct"/>
            <w:noWrap/>
            <w:hideMark/>
          </w:tcPr>
          <w:p w14:paraId="4E17D4C8" w14:textId="77777777" w:rsidR="00285F19" w:rsidRPr="00221D1F" w:rsidRDefault="00285F19" w:rsidP="006129E3">
            <w:pPr>
              <w:pStyle w:val="Tablebodytext"/>
              <w:rPr>
                <w:lang w:eastAsia="en-AU"/>
              </w:rPr>
            </w:pPr>
            <w:r w:rsidRPr="00221D1F">
              <w:rPr>
                <w:lang w:eastAsia="en-AU"/>
              </w:rPr>
              <w:t>2007-08</w:t>
            </w:r>
          </w:p>
        </w:tc>
        <w:tc>
          <w:tcPr>
            <w:tcW w:w="423" w:type="pct"/>
            <w:noWrap/>
            <w:hideMark/>
          </w:tcPr>
          <w:p w14:paraId="034AD1C7" w14:textId="77777777" w:rsidR="00285F19" w:rsidRPr="00221D1F" w:rsidRDefault="00285F19" w:rsidP="006129E3">
            <w:pPr>
              <w:pStyle w:val="Tablebodytext"/>
              <w:jc w:val="right"/>
              <w:rPr>
                <w:lang w:eastAsia="en-AU"/>
              </w:rPr>
            </w:pPr>
            <w:r w:rsidRPr="00221D1F">
              <w:rPr>
                <w:lang w:eastAsia="en-AU"/>
              </w:rPr>
              <w:t>30.2</w:t>
            </w:r>
          </w:p>
        </w:tc>
        <w:tc>
          <w:tcPr>
            <w:tcW w:w="329" w:type="pct"/>
            <w:noWrap/>
            <w:hideMark/>
          </w:tcPr>
          <w:p w14:paraId="685E7FF4" w14:textId="77777777" w:rsidR="00285F19" w:rsidRPr="00221D1F" w:rsidRDefault="00285F19" w:rsidP="006129E3">
            <w:pPr>
              <w:pStyle w:val="Tablebodytext"/>
              <w:jc w:val="right"/>
              <w:rPr>
                <w:lang w:eastAsia="en-AU"/>
              </w:rPr>
            </w:pPr>
            <w:r w:rsidRPr="00221D1F">
              <w:rPr>
                <w:lang w:eastAsia="en-AU"/>
              </w:rPr>
              <w:t>7.7</w:t>
            </w:r>
          </w:p>
        </w:tc>
        <w:tc>
          <w:tcPr>
            <w:tcW w:w="423" w:type="pct"/>
            <w:noWrap/>
            <w:hideMark/>
          </w:tcPr>
          <w:p w14:paraId="0C5FAA7C" w14:textId="77777777" w:rsidR="00285F19" w:rsidRPr="00221D1F" w:rsidRDefault="00285F19" w:rsidP="006129E3">
            <w:pPr>
              <w:pStyle w:val="Tablebodytext"/>
              <w:jc w:val="right"/>
              <w:rPr>
                <w:lang w:eastAsia="en-AU"/>
              </w:rPr>
            </w:pPr>
            <w:r w:rsidRPr="00221D1F">
              <w:rPr>
                <w:lang w:eastAsia="en-AU"/>
              </w:rPr>
              <w:t>21.2</w:t>
            </w:r>
          </w:p>
        </w:tc>
        <w:tc>
          <w:tcPr>
            <w:tcW w:w="329" w:type="pct"/>
            <w:noWrap/>
            <w:hideMark/>
          </w:tcPr>
          <w:p w14:paraId="4D1BFE4F" w14:textId="77777777" w:rsidR="00285F19" w:rsidRPr="00221D1F" w:rsidRDefault="00285F19" w:rsidP="006129E3">
            <w:pPr>
              <w:pStyle w:val="Tablebodytext"/>
              <w:jc w:val="right"/>
              <w:rPr>
                <w:lang w:eastAsia="en-AU"/>
              </w:rPr>
            </w:pPr>
            <w:r w:rsidRPr="00221D1F">
              <w:rPr>
                <w:lang w:eastAsia="en-AU"/>
              </w:rPr>
              <w:t>3.6</w:t>
            </w:r>
          </w:p>
        </w:tc>
        <w:tc>
          <w:tcPr>
            <w:tcW w:w="423" w:type="pct"/>
            <w:noWrap/>
            <w:hideMark/>
          </w:tcPr>
          <w:p w14:paraId="45F7FD6E" w14:textId="77777777" w:rsidR="00285F19" w:rsidRPr="00221D1F" w:rsidRDefault="00285F19" w:rsidP="006129E3">
            <w:pPr>
              <w:pStyle w:val="Tablebodytext"/>
              <w:jc w:val="right"/>
              <w:rPr>
                <w:lang w:eastAsia="en-AU"/>
              </w:rPr>
            </w:pPr>
            <w:r w:rsidRPr="00221D1F">
              <w:rPr>
                <w:lang w:eastAsia="en-AU"/>
              </w:rPr>
              <w:t>26.1</w:t>
            </w:r>
          </w:p>
        </w:tc>
        <w:tc>
          <w:tcPr>
            <w:tcW w:w="381" w:type="pct"/>
            <w:noWrap/>
            <w:hideMark/>
          </w:tcPr>
          <w:p w14:paraId="55C251E8" w14:textId="77777777" w:rsidR="00285F19" w:rsidRPr="00221D1F" w:rsidRDefault="00285F19" w:rsidP="006129E3">
            <w:pPr>
              <w:pStyle w:val="Tablebodytext"/>
              <w:jc w:val="right"/>
              <w:rPr>
                <w:lang w:eastAsia="en-AU"/>
              </w:rPr>
            </w:pPr>
            <w:r w:rsidRPr="00221D1F">
              <w:rPr>
                <w:lang w:eastAsia="en-AU"/>
              </w:rPr>
              <w:t>6.6</w:t>
            </w:r>
          </w:p>
        </w:tc>
        <w:tc>
          <w:tcPr>
            <w:tcW w:w="423" w:type="pct"/>
            <w:noWrap/>
            <w:hideMark/>
          </w:tcPr>
          <w:p w14:paraId="1ACD0F2B" w14:textId="77777777" w:rsidR="00285F19" w:rsidRPr="00221D1F" w:rsidRDefault="00285F19" w:rsidP="006129E3">
            <w:pPr>
              <w:pStyle w:val="Tablebodytext"/>
              <w:jc w:val="right"/>
              <w:rPr>
                <w:lang w:eastAsia="en-AU"/>
              </w:rPr>
            </w:pPr>
            <w:r w:rsidRPr="00221D1F">
              <w:rPr>
                <w:lang w:eastAsia="en-AU"/>
              </w:rPr>
              <w:t>21.0</w:t>
            </w:r>
          </w:p>
        </w:tc>
        <w:tc>
          <w:tcPr>
            <w:tcW w:w="321" w:type="pct"/>
            <w:noWrap/>
            <w:hideMark/>
          </w:tcPr>
          <w:p w14:paraId="47CBAEF3" w14:textId="77777777" w:rsidR="00285F19" w:rsidRPr="00221D1F" w:rsidRDefault="00285F19" w:rsidP="006129E3">
            <w:pPr>
              <w:pStyle w:val="Tablebodytext"/>
              <w:jc w:val="right"/>
              <w:rPr>
                <w:lang w:eastAsia="en-AU"/>
              </w:rPr>
            </w:pPr>
            <w:r w:rsidRPr="00221D1F">
              <w:rPr>
                <w:lang w:eastAsia="en-AU"/>
              </w:rPr>
              <w:t>4.8</w:t>
            </w:r>
          </w:p>
        </w:tc>
        <w:tc>
          <w:tcPr>
            <w:tcW w:w="423" w:type="pct"/>
            <w:noWrap/>
            <w:hideMark/>
          </w:tcPr>
          <w:p w14:paraId="6C03814F" w14:textId="77777777" w:rsidR="00285F19" w:rsidRPr="00221D1F" w:rsidRDefault="00285F19" w:rsidP="006129E3">
            <w:pPr>
              <w:pStyle w:val="Tablebodytext"/>
              <w:jc w:val="right"/>
              <w:rPr>
                <w:lang w:eastAsia="en-AU"/>
              </w:rPr>
            </w:pPr>
            <w:r w:rsidRPr="00221D1F">
              <w:rPr>
                <w:lang w:eastAsia="en-AU"/>
              </w:rPr>
              <w:t>15.0</w:t>
            </w:r>
          </w:p>
        </w:tc>
        <w:tc>
          <w:tcPr>
            <w:tcW w:w="364" w:type="pct"/>
            <w:noWrap/>
            <w:hideMark/>
          </w:tcPr>
          <w:p w14:paraId="5D849627" w14:textId="77777777" w:rsidR="00285F19" w:rsidRPr="00221D1F" w:rsidRDefault="00285F19" w:rsidP="006129E3">
            <w:pPr>
              <w:pStyle w:val="Tablebodytext"/>
              <w:jc w:val="right"/>
              <w:rPr>
                <w:lang w:eastAsia="en-AU"/>
              </w:rPr>
            </w:pPr>
            <w:r w:rsidRPr="00221D1F">
              <w:rPr>
                <w:lang w:eastAsia="en-AU"/>
              </w:rPr>
              <w:t>4.9</w:t>
            </w:r>
          </w:p>
        </w:tc>
        <w:tc>
          <w:tcPr>
            <w:tcW w:w="423" w:type="pct"/>
            <w:noWrap/>
            <w:hideMark/>
          </w:tcPr>
          <w:p w14:paraId="42814A15" w14:textId="77777777" w:rsidR="00285F19" w:rsidRPr="00221D1F" w:rsidRDefault="00285F19" w:rsidP="006129E3">
            <w:pPr>
              <w:pStyle w:val="Tablebodytext"/>
              <w:jc w:val="right"/>
              <w:rPr>
                <w:lang w:eastAsia="en-AU"/>
              </w:rPr>
            </w:pPr>
            <w:r w:rsidRPr="00221D1F">
              <w:rPr>
                <w:lang w:eastAsia="en-AU"/>
              </w:rPr>
              <w:t>22.6</w:t>
            </w:r>
          </w:p>
        </w:tc>
        <w:tc>
          <w:tcPr>
            <w:tcW w:w="321" w:type="pct"/>
            <w:noWrap/>
            <w:hideMark/>
          </w:tcPr>
          <w:p w14:paraId="7503E164" w14:textId="77777777" w:rsidR="00285F19" w:rsidRPr="00221D1F" w:rsidRDefault="00285F19" w:rsidP="006129E3">
            <w:pPr>
              <w:pStyle w:val="Tablebodytext"/>
              <w:jc w:val="right"/>
              <w:rPr>
                <w:lang w:eastAsia="en-AU"/>
              </w:rPr>
            </w:pPr>
            <w:r w:rsidRPr="00221D1F">
              <w:rPr>
                <w:lang w:eastAsia="en-AU"/>
              </w:rPr>
              <w:t>3.6</w:t>
            </w:r>
          </w:p>
        </w:tc>
      </w:tr>
      <w:tr w:rsidR="00285F19" w:rsidRPr="00221D1F" w14:paraId="34ABE957"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416" w:type="pct"/>
            <w:noWrap/>
            <w:hideMark/>
          </w:tcPr>
          <w:p w14:paraId="3597C247" w14:textId="77777777" w:rsidR="00285F19" w:rsidRPr="00221D1F" w:rsidRDefault="00285F19" w:rsidP="006129E3">
            <w:pPr>
              <w:pStyle w:val="Tablebodytext"/>
              <w:rPr>
                <w:lang w:eastAsia="en-AU"/>
              </w:rPr>
            </w:pPr>
            <w:r w:rsidRPr="00221D1F">
              <w:rPr>
                <w:lang w:eastAsia="en-AU"/>
              </w:rPr>
              <w:t>2008-09</w:t>
            </w:r>
          </w:p>
        </w:tc>
        <w:tc>
          <w:tcPr>
            <w:tcW w:w="423" w:type="pct"/>
            <w:noWrap/>
            <w:hideMark/>
          </w:tcPr>
          <w:p w14:paraId="1A04F29D" w14:textId="77777777" w:rsidR="00285F19" w:rsidRPr="00221D1F" w:rsidRDefault="00285F19" w:rsidP="006129E3">
            <w:pPr>
              <w:pStyle w:val="Tablebodytext"/>
              <w:jc w:val="right"/>
              <w:rPr>
                <w:lang w:eastAsia="en-AU"/>
              </w:rPr>
            </w:pPr>
            <w:r w:rsidRPr="00221D1F">
              <w:rPr>
                <w:lang w:eastAsia="en-AU"/>
              </w:rPr>
              <w:t>30.0</w:t>
            </w:r>
          </w:p>
        </w:tc>
        <w:tc>
          <w:tcPr>
            <w:tcW w:w="329" w:type="pct"/>
            <w:noWrap/>
            <w:hideMark/>
          </w:tcPr>
          <w:p w14:paraId="4ADC3C30" w14:textId="77777777" w:rsidR="00285F19" w:rsidRPr="00221D1F" w:rsidRDefault="00285F19" w:rsidP="006129E3">
            <w:pPr>
              <w:pStyle w:val="Tablebodytext"/>
              <w:jc w:val="right"/>
              <w:rPr>
                <w:lang w:eastAsia="en-AU"/>
              </w:rPr>
            </w:pPr>
            <w:r w:rsidRPr="00221D1F">
              <w:rPr>
                <w:lang w:eastAsia="en-AU"/>
              </w:rPr>
              <w:t>7.5</w:t>
            </w:r>
          </w:p>
        </w:tc>
        <w:tc>
          <w:tcPr>
            <w:tcW w:w="423" w:type="pct"/>
            <w:noWrap/>
            <w:hideMark/>
          </w:tcPr>
          <w:p w14:paraId="7DFDDE64" w14:textId="77777777" w:rsidR="00285F19" w:rsidRPr="00221D1F" w:rsidRDefault="00285F19" w:rsidP="006129E3">
            <w:pPr>
              <w:pStyle w:val="Tablebodytext"/>
              <w:jc w:val="right"/>
              <w:rPr>
                <w:lang w:eastAsia="en-AU"/>
              </w:rPr>
            </w:pPr>
            <w:r w:rsidRPr="00221D1F">
              <w:rPr>
                <w:lang w:eastAsia="en-AU"/>
              </w:rPr>
              <w:t>20.7</w:t>
            </w:r>
          </w:p>
        </w:tc>
        <w:tc>
          <w:tcPr>
            <w:tcW w:w="329" w:type="pct"/>
            <w:noWrap/>
            <w:hideMark/>
          </w:tcPr>
          <w:p w14:paraId="0F49A42F" w14:textId="77777777" w:rsidR="00285F19" w:rsidRPr="00221D1F" w:rsidRDefault="00285F19" w:rsidP="006129E3">
            <w:pPr>
              <w:pStyle w:val="Tablebodytext"/>
              <w:jc w:val="right"/>
              <w:rPr>
                <w:lang w:eastAsia="en-AU"/>
              </w:rPr>
            </w:pPr>
            <w:r w:rsidRPr="00221D1F">
              <w:rPr>
                <w:lang w:eastAsia="en-AU"/>
              </w:rPr>
              <w:t>3.5</w:t>
            </w:r>
          </w:p>
        </w:tc>
        <w:tc>
          <w:tcPr>
            <w:tcW w:w="423" w:type="pct"/>
            <w:noWrap/>
            <w:hideMark/>
          </w:tcPr>
          <w:p w14:paraId="172C4A50" w14:textId="77777777" w:rsidR="00285F19" w:rsidRPr="00221D1F" w:rsidRDefault="00285F19" w:rsidP="006129E3">
            <w:pPr>
              <w:pStyle w:val="Tablebodytext"/>
              <w:jc w:val="right"/>
              <w:rPr>
                <w:lang w:eastAsia="en-AU"/>
              </w:rPr>
            </w:pPr>
            <w:r w:rsidRPr="00221D1F">
              <w:rPr>
                <w:lang w:eastAsia="en-AU"/>
              </w:rPr>
              <w:t>26.5</w:t>
            </w:r>
          </w:p>
        </w:tc>
        <w:tc>
          <w:tcPr>
            <w:tcW w:w="381" w:type="pct"/>
            <w:noWrap/>
            <w:hideMark/>
          </w:tcPr>
          <w:p w14:paraId="192B8B1F" w14:textId="77777777" w:rsidR="00285F19" w:rsidRPr="00221D1F" w:rsidRDefault="00285F19" w:rsidP="006129E3">
            <w:pPr>
              <w:pStyle w:val="Tablebodytext"/>
              <w:jc w:val="right"/>
              <w:rPr>
                <w:lang w:eastAsia="en-AU"/>
              </w:rPr>
            </w:pPr>
            <w:r w:rsidRPr="00221D1F">
              <w:rPr>
                <w:lang w:eastAsia="en-AU"/>
              </w:rPr>
              <w:t>6.5</w:t>
            </w:r>
          </w:p>
        </w:tc>
        <w:tc>
          <w:tcPr>
            <w:tcW w:w="423" w:type="pct"/>
            <w:noWrap/>
            <w:hideMark/>
          </w:tcPr>
          <w:p w14:paraId="3684F69C" w14:textId="77777777" w:rsidR="00285F19" w:rsidRPr="00221D1F" w:rsidRDefault="00285F19" w:rsidP="006129E3">
            <w:pPr>
              <w:pStyle w:val="Tablebodytext"/>
              <w:jc w:val="right"/>
              <w:rPr>
                <w:lang w:eastAsia="en-AU"/>
              </w:rPr>
            </w:pPr>
            <w:r w:rsidRPr="00221D1F">
              <w:rPr>
                <w:lang w:eastAsia="en-AU"/>
              </w:rPr>
              <w:t>20.5</w:t>
            </w:r>
          </w:p>
        </w:tc>
        <w:tc>
          <w:tcPr>
            <w:tcW w:w="321" w:type="pct"/>
            <w:noWrap/>
            <w:hideMark/>
          </w:tcPr>
          <w:p w14:paraId="25F58A0D" w14:textId="77777777" w:rsidR="00285F19" w:rsidRPr="00221D1F" w:rsidRDefault="00285F19" w:rsidP="006129E3">
            <w:pPr>
              <w:pStyle w:val="Tablebodytext"/>
              <w:jc w:val="right"/>
              <w:rPr>
                <w:lang w:eastAsia="en-AU"/>
              </w:rPr>
            </w:pPr>
            <w:r w:rsidRPr="00221D1F">
              <w:rPr>
                <w:lang w:eastAsia="en-AU"/>
              </w:rPr>
              <w:t>4.8</w:t>
            </w:r>
          </w:p>
        </w:tc>
        <w:tc>
          <w:tcPr>
            <w:tcW w:w="423" w:type="pct"/>
            <w:noWrap/>
            <w:hideMark/>
          </w:tcPr>
          <w:p w14:paraId="57BDE438" w14:textId="77777777" w:rsidR="00285F19" w:rsidRPr="00221D1F" w:rsidRDefault="00285F19" w:rsidP="006129E3">
            <w:pPr>
              <w:pStyle w:val="Tablebodytext"/>
              <w:jc w:val="right"/>
              <w:rPr>
                <w:lang w:eastAsia="en-AU"/>
              </w:rPr>
            </w:pPr>
            <w:r w:rsidRPr="00221D1F">
              <w:rPr>
                <w:lang w:eastAsia="en-AU"/>
              </w:rPr>
              <w:t>14.5</w:t>
            </w:r>
          </w:p>
        </w:tc>
        <w:tc>
          <w:tcPr>
            <w:tcW w:w="364" w:type="pct"/>
            <w:noWrap/>
            <w:hideMark/>
          </w:tcPr>
          <w:p w14:paraId="2AE92DD5" w14:textId="77777777" w:rsidR="00285F19" w:rsidRPr="00221D1F" w:rsidRDefault="00285F19" w:rsidP="006129E3">
            <w:pPr>
              <w:pStyle w:val="Tablebodytext"/>
              <w:jc w:val="right"/>
              <w:rPr>
                <w:lang w:eastAsia="en-AU"/>
              </w:rPr>
            </w:pPr>
            <w:r w:rsidRPr="00221D1F">
              <w:rPr>
                <w:lang w:eastAsia="en-AU"/>
              </w:rPr>
              <w:t>4.9</w:t>
            </w:r>
          </w:p>
        </w:tc>
        <w:tc>
          <w:tcPr>
            <w:tcW w:w="423" w:type="pct"/>
            <w:noWrap/>
            <w:hideMark/>
          </w:tcPr>
          <w:p w14:paraId="4E901706" w14:textId="77777777" w:rsidR="00285F19" w:rsidRPr="00221D1F" w:rsidRDefault="00285F19" w:rsidP="006129E3">
            <w:pPr>
              <w:pStyle w:val="Tablebodytext"/>
              <w:jc w:val="right"/>
              <w:rPr>
                <w:lang w:eastAsia="en-AU"/>
              </w:rPr>
            </w:pPr>
            <w:r w:rsidRPr="00221D1F">
              <w:rPr>
                <w:lang w:eastAsia="en-AU"/>
              </w:rPr>
              <w:t>22.7</w:t>
            </w:r>
          </w:p>
        </w:tc>
        <w:tc>
          <w:tcPr>
            <w:tcW w:w="321" w:type="pct"/>
            <w:noWrap/>
            <w:hideMark/>
          </w:tcPr>
          <w:p w14:paraId="08D0286F" w14:textId="77777777" w:rsidR="00285F19" w:rsidRPr="00221D1F" w:rsidRDefault="00285F19" w:rsidP="006129E3">
            <w:pPr>
              <w:pStyle w:val="Tablebodytext"/>
              <w:jc w:val="right"/>
              <w:rPr>
                <w:lang w:eastAsia="en-AU"/>
              </w:rPr>
            </w:pPr>
            <w:r w:rsidRPr="00221D1F">
              <w:rPr>
                <w:lang w:eastAsia="en-AU"/>
              </w:rPr>
              <w:t>3.5</w:t>
            </w:r>
          </w:p>
        </w:tc>
      </w:tr>
      <w:tr w:rsidR="00285F19" w:rsidRPr="00221D1F" w14:paraId="56952A00"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416" w:type="pct"/>
            <w:noWrap/>
            <w:hideMark/>
          </w:tcPr>
          <w:p w14:paraId="42237F3A" w14:textId="77777777" w:rsidR="00285F19" w:rsidRPr="00221D1F" w:rsidRDefault="00285F19" w:rsidP="006129E3">
            <w:pPr>
              <w:pStyle w:val="Tablebodytext"/>
              <w:rPr>
                <w:lang w:eastAsia="en-AU"/>
              </w:rPr>
            </w:pPr>
            <w:r w:rsidRPr="00221D1F">
              <w:rPr>
                <w:lang w:eastAsia="en-AU"/>
              </w:rPr>
              <w:t>2009-10</w:t>
            </w:r>
          </w:p>
        </w:tc>
        <w:tc>
          <w:tcPr>
            <w:tcW w:w="423" w:type="pct"/>
            <w:noWrap/>
            <w:hideMark/>
          </w:tcPr>
          <w:p w14:paraId="66D4BEFE" w14:textId="77777777" w:rsidR="00285F19" w:rsidRPr="00221D1F" w:rsidRDefault="00285F19" w:rsidP="006129E3">
            <w:pPr>
              <w:pStyle w:val="Tablebodytext"/>
              <w:jc w:val="right"/>
              <w:rPr>
                <w:lang w:eastAsia="en-AU"/>
              </w:rPr>
            </w:pPr>
            <w:r w:rsidRPr="00221D1F">
              <w:rPr>
                <w:lang w:eastAsia="en-AU"/>
              </w:rPr>
              <w:t>29.4</w:t>
            </w:r>
          </w:p>
        </w:tc>
        <w:tc>
          <w:tcPr>
            <w:tcW w:w="329" w:type="pct"/>
            <w:noWrap/>
            <w:hideMark/>
          </w:tcPr>
          <w:p w14:paraId="0AAFF7D5" w14:textId="77777777" w:rsidR="00285F19" w:rsidRPr="00221D1F" w:rsidRDefault="00285F19" w:rsidP="006129E3">
            <w:pPr>
              <w:pStyle w:val="Tablebodytext"/>
              <w:jc w:val="right"/>
              <w:rPr>
                <w:lang w:eastAsia="en-AU"/>
              </w:rPr>
            </w:pPr>
            <w:r w:rsidRPr="00221D1F">
              <w:rPr>
                <w:lang w:eastAsia="en-AU"/>
              </w:rPr>
              <w:t>7.4</w:t>
            </w:r>
          </w:p>
        </w:tc>
        <w:tc>
          <w:tcPr>
            <w:tcW w:w="423" w:type="pct"/>
            <w:noWrap/>
            <w:hideMark/>
          </w:tcPr>
          <w:p w14:paraId="1BC36CE4" w14:textId="77777777" w:rsidR="00285F19" w:rsidRPr="00221D1F" w:rsidRDefault="00285F19" w:rsidP="006129E3">
            <w:pPr>
              <w:pStyle w:val="Tablebodytext"/>
              <w:jc w:val="right"/>
              <w:rPr>
                <w:lang w:eastAsia="en-AU"/>
              </w:rPr>
            </w:pPr>
            <w:r w:rsidRPr="00221D1F">
              <w:rPr>
                <w:lang w:eastAsia="en-AU"/>
              </w:rPr>
              <w:t>20.5</w:t>
            </w:r>
          </w:p>
        </w:tc>
        <w:tc>
          <w:tcPr>
            <w:tcW w:w="329" w:type="pct"/>
            <w:noWrap/>
            <w:hideMark/>
          </w:tcPr>
          <w:p w14:paraId="33351762" w14:textId="77777777" w:rsidR="00285F19" w:rsidRPr="00221D1F" w:rsidRDefault="00285F19" w:rsidP="006129E3">
            <w:pPr>
              <w:pStyle w:val="Tablebodytext"/>
              <w:jc w:val="right"/>
              <w:rPr>
                <w:lang w:eastAsia="en-AU"/>
              </w:rPr>
            </w:pPr>
            <w:r w:rsidRPr="00221D1F">
              <w:rPr>
                <w:lang w:eastAsia="en-AU"/>
              </w:rPr>
              <w:t>3.5</w:t>
            </w:r>
          </w:p>
        </w:tc>
        <w:tc>
          <w:tcPr>
            <w:tcW w:w="423" w:type="pct"/>
            <w:noWrap/>
            <w:hideMark/>
          </w:tcPr>
          <w:p w14:paraId="16CED90E" w14:textId="77777777" w:rsidR="00285F19" w:rsidRPr="00221D1F" w:rsidRDefault="00285F19" w:rsidP="006129E3">
            <w:pPr>
              <w:pStyle w:val="Tablebodytext"/>
              <w:jc w:val="right"/>
              <w:rPr>
                <w:lang w:eastAsia="en-AU"/>
              </w:rPr>
            </w:pPr>
            <w:r w:rsidRPr="00221D1F">
              <w:rPr>
                <w:lang w:eastAsia="en-AU"/>
              </w:rPr>
              <w:t>26.0</w:t>
            </w:r>
          </w:p>
        </w:tc>
        <w:tc>
          <w:tcPr>
            <w:tcW w:w="381" w:type="pct"/>
            <w:noWrap/>
            <w:hideMark/>
          </w:tcPr>
          <w:p w14:paraId="1869A862" w14:textId="77777777" w:rsidR="00285F19" w:rsidRPr="00221D1F" w:rsidRDefault="00285F19" w:rsidP="006129E3">
            <w:pPr>
              <w:pStyle w:val="Tablebodytext"/>
              <w:jc w:val="right"/>
              <w:rPr>
                <w:lang w:eastAsia="en-AU"/>
              </w:rPr>
            </w:pPr>
            <w:r w:rsidRPr="00221D1F">
              <w:rPr>
                <w:lang w:eastAsia="en-AU"/>
              </w:rPr>
              <w:t>6.5</w:t>
            </w:r>
          </w:p>
        </w:tc>
        <w:tc>
          <w:tcPr>
            <w:tcW w:w="423" w:type="pct"/>
            <w:noWrap/>
            <w:hideMark/>
          </w:tcPr>
          <w:p w14:paraId="286D7738" w14:textId="77777777" w:rsidR="00285F19" w:rsidRPr="00221D1F" w:rsidRDefault="00285F19" w:rsidP="006129E3">
            <w:pPr>
              <w:pStyle w:val="Tablebodytext"/>
              <w:jc w:val="right"/>
              <w:rPr>
                <w:lang w:eastAsia="en-AU"/>
              </w:rPr>
            </w:pPr>
            <w:r w:rsidRPr="00221D1F">
              <w:rPr>
                <w:lang w:eastAsia="en-AU"/>
              </w:rPr>
              <w:t>20.9</w:t>
            </w:r>
          </w:p>
        </w:tc>
        <w:tc>
          <w:tcPr>
            <w:tcW w:w="321" w:type="pct"/>
            <w:noWrap/>
            <w:hideMark/>
          </w:tcPr>
          <w:p w14:paraId="0A835AFE" w14:textId="77777777" w:rsidR="00285F19" w:rsidRPr="00221D1F" w:rsidRDefault="00285F19" w:rsidP="006129E3">
            <w:pPr>
              <w:pStyle w:val="Tablebodytext"/>
              <w:jc w:val="right"/>
              <w:rPr>
                <w:lang w:eastAsia="en-AU"/>
              </w:rPr>
            </w:pPr>
            <w:r w:rsidRPr="00221D1F">
              <w:rPr>
                <w:lang w:eastAsia="en-AU"/>
              </w:rPr>
              <w:t>4.8</w:t>
            </w:r>
          </w:p>
        </w:tc>
        <w:tc>
          <w:tcPr>
            <w:tcW w:w="423" w:type="pct"/>
            <w:noWrap/>
            <w:hideMark/>
          </w:tcPr>
          <w:p w14:paraId="6C4665DD" w14:textId="77777777" w:rsidR="00285F19" w:rsidRPr="00221D1F" w:rsidRDefault="00285F19" w:rsidP="006129E3">
            <w:pPr>
              <w:pStyle w:val="Tablebodytext"/>
              <w:jc w:val="right"/>
              <w:rPr>
                <w:lang w:eastAsia="en-AU"/>
              </w:rPr>
            </w:pPr>
            <w:r w:rsidRPr="00221D1F">
              <w:rPr>
                <w:lang w:eastAsia="en-AU"/>
              </w:rPr>
              <w:t>14.3</w:t>
            </w:r>
          </w:p>
        </w:tc>
        <w:tc>
          <w:tcPr>
            <w:tcW w:w="364" w:type="pct"/>
            <w:noWrap/>
            <w:hideMark/>
          </w:tcPr>
          <w:p w14:paraId="63BEB3D6" w14:textId="77777777" w:rsidR="00285F19" w:rsidRPr="00221D1F" w:rsidRDefault="00285F19" w:rsidP="006129E3">
            <w:pPr>
              <w:pStyle w:val="Tablebodytext"/>
              <w:jc w:val="right"/>
              <w:rPr>
                <w:lang w:eastAsia="en-AU"/>
              </w:rPr>
            </w:pPr>
            <w:r w:rsidRPr="00221D1F">
              <w:rPr>
                <w:lang w:eastAsia="en-AU"/>
              </w:rPr>
              <w:t>4.9</w:t>
            </w:r>
          </w:p>
        </w:tc>
        <w:tc>
          <w:tcPr>
            <w:tcW w:w="423" w:type="pct"/>
            <w:noWrap/>
            <w:hideMark/>
          </w:tcPr>
          <w:p w14:paraId="26060FF4" w14:textId="77777777" w:rsidR="00285F19" w:rsidRPr="00221D1F" w:rsidRDefault="00285F19" w:rsidP="006129E3">
            <w:pPr>
              <w:pStyle w:val="Tablebodytext"/>
              <w:jc w:val="right"/>
              <w:rPr>
                <w:lang w:eastAsia="en-AU"/>
              </w:rPr>
            </w:pPr>
            <w:r w:rsidRPr="00221D1F">
              <w:rPr>
                <w:lang w:eastAsia="en-AU"/>
              </w:rPr>
              <w:t>22.3</w:t>
            </w:r>
          </w:p>
        </w:tc>
        <w:tc>
          <w:tcPr>
            <w:tcW w:w="321" w:type="pct"/>
            <w:noWrap/>
            <w:hideMark/>
          </w:tcPr>
          <w:p w14:paraId="519EDD1B" w14:textId="77777777" w:rsidR="00285F19" w:rsidRPr="00221D1F" w:rsidRDefault="00285F19" w:rsidP="006129E3">
            <w:pPr>
              <w:pStyle w:val="Tablebodytext"/>
              <w:jc w:val="right"/>
              <w:rPr>
                <w:lang w:eastAsia="en-AU"/>
              </w:rPr>
            </w:pPr>
            <w:r w:rsidRPr="00221D1F">
              <w:rPr>
                <w:lang w:eastAsia="en-AU"/>
              </w:rPr>
              <w:t>3.4</w:t>
            </w:r>
          </w:p>
        </w:tc>
      </w:tr>
      <w:tr w:rsidR="00285F19" w:rsidRPr="00221D1F" w14:paraId="4CE7AA9D"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416" w:type="pct"/>
            <w:noWrap/>
            <w:hideMark/>
          </w:tcPr>
          <w:p w14:paraId="33792FFF" w14:textId="77777777" w:rsidR="00285F19" w:rsidRPr="00221D1F" w:rsidRDefault="00285F19" w:rsidP="006129E3">
            <w:pPr>
              <w:pStyle w:val="Tablebodytext"/>
              <w:rPr>
                <w:lang w:eastAsia="en-AU"/>
              </w:rPr>
            </w:pPr>
            <w:r w:rsidRPr="00221D1F">
              <w:rPr>
                <w:lang w:eastAsia="en-AU"/>
              </w:rPr>
              <w:t>2010-11</w:t>
            </w:r>
          </w:p>
        </w:tc>
        <w:tc>
          <w:tcPr>
            <w:tcW w:w="423" w:type="pct"/>
            <w:noWrap/>
            <w:hideMark/>
          </w:tcPr>
          <w:p w14:paraId="4B3315FD" w14:textId="77777777" w:rsidR="00285F19" w:rsidRPr="00221D1F" w:rsidRDefault="00285F19" w:rsidP="006129E3">
            <w:pPr>
              <w:pStyle w:val="Tablebodytext"/>
              <w:jc w:val="right"/>
              <w:rPr>
                <w:lang w:eastAsia="en-AU"/>
              </w:rPr>
            </w:pPr>
            <w:r w:rsidRPr="00221D1F">
              <w:rPr>
                <w:lang w:eastAsia="en-AU"/>
              </w:rPr>
              <w:t>30.5</w:t>
            </w:r>
          </w:p>
        </w:tc>
        <w:tc>
          <w:tcPr>
            <w:tcW w:w="329" w:type="pct"/>
            <w:noWrap/>
            <w:hideMark/>
          </w:tcPr>
          <w:p w14:paraId="01DF6846" w14:textId="77777777" w:rsidR="00285F19" w:rsidRPr="00221D1F" w:rsidRDefault="00285F19" w:rsidP="006129E3">
            <w:pPr>
              <w:pStyle w:val="Tablebodytext"/>
              <w:jc w:val="right"/>
              <w:rPr>
                <w:lang w:eastAsia="en-AU"/>
              </w:rPr>
            </w:pPr>
            <w:r w:rsidRPr="00221D1F">
              <w:rPr>
                <w:lang w:eastAsia="en-AU"/>
              </w:rPr>
              <w:t>7.6</w:t>
            </w:r>
          </w:p>
        </w:tc>
        <w:tc>
          <w:tcPr>
            <w:tcW w:w="423" w:type="pct"/>
            <w:noWrap/>
            <w:hideMark/>
          </w:tcPr>
          <w:p w14:paraId="72B00557" w14:textId="77777777" w:rsidR="00285F19" w:rsidRPr="00221D1F" w:rsidRDefault="00285F19" w:rsidP="006129E3">
            <w:pPr>
              <w:pStyle w:val="Tablebodytext"/>
              <w:jc w:val="right"/>
              <w:rPr>
                <w:lang w:eastAsia="en-AU"/>
              </w:rPr>
            </w:pPr>
            <w:r w:rsidRPr="00221D1F">
              <w:rPr>
                <w:lang w:eastAsia="en-AU"/>
              </w:rPr>
              <w:t>22.0</w:t>
            </w:r>
          </w:p>
        </w:tc>
        <w:tc>
          <w:tcPr>
            <w:tcW w:w="329" w:type="pct"/>
            <w:noWrap/>
            <w:hideMark/>
          </w:tcPr>
          <w:p w14:paraId="65C9D87C" w14:textId="77777777" w:rsidR="00285F19" w:rsidRPr="00221D1F" w:rsidRDefault="00285F19" w:rsidP="006129E3">
            <w:pPr>
              <w:pStyle w:val="Tablebodytext"/>
              <w:jc w:val="right"/>
              <w:rPr>
                <w:lang w:eastAsia="en-AU"/>
              </w:rPr>
            </w:pPr>
            <w:r w:rsidRPr="00221D1F">
              <w:rPr>
                <w:lang w:eastAsia="en-AU"/>
              </w:rPr>
              <w:t>3.5</w:t>
            </w:r>
          </w:p>
        </w:tc>
        <w:tc>
          <w:tcPr>
            <w:tcW w:w="423" w:type="pct"/>
            <w:noWrap/>
            <w:hideMark/>
          </w:tcPr>
          <w:p w14:paraId="0B8303F6" w14:textId="77777777" w:rsidR="00285F19" w:rsidRPr="00221D1F" w:rsidRDefault="00285F19" w:rsidP="006129E3">
            <w:pPr>
              <w:pStyle w:val="Tablebodytext"/>
              <w:jc w:val="right"/>
              <w:rPr>
                <w:lang w:eastAsia="en-AU"/>
              </w:rPr>
            </w:pPr>
            <w:r w:rsidRPr="00221D1F">
              <w:rPr>
                <w:lang w:eastAsia="en-AU"/>
              </w:rPr>
              <w:t>27.3</w:t>
            </w:r>
          </w:p>
        </w:tc>
        <w:tc>
          <w:tcPr>
            <w:tcW w:w="381" w:type="pct"/>
            <w:noWrap/>
            <w:hideMark/>
          </w:tcPr>
          <w:p w14:paraId="3C3BB1F5" w14:textId="77777777" w:rsidR="00285F19" w:rsidRPr="00221D1F" w:rsidRDefault="00285F19" w:rsidP="006129E3">
            <w:pPr>
              <w:pStyle w:val="Tablebodytext"/>
              <w:jc w:val="right"/>
              <w:rPr>
                <w:lang w:eastAsia="en-AU"/>
              </w:rPr>
            </w:pPr>
            <w:r w:rsidRPr="00221D1F">
              <w:rPr>
                <w:lang w:eastAsia="en-AU"/>
              </w:rPr>
              <w:t>6.6</w:t>
            </w:r>
          </w:p>
        </w:tc>
        <w:tc>
          <w:tcPr>
            <w:tcW w:w="423" w:type="pct"/>
            <w:noWrap/>
            <w:hideMark/>
          </w:tcPr>
          <w:p w14:paraId="5926E9AE" w14:textId="77777777" w:rsidR="00285F19" w:rsidRPr="00221D1F" w:rsidRDefault="00285F19" w:rsidP="006129E3">
            <w:pPr>
              <w:pStyle w:val="Tablebodytext"/>
              <w:jc w:val="right"/>
              <w:rPr>
                <w:lang w:eastAsia="en-AU"/>
              </w:rPr>
            </w:pPr>
            <w:r w:rsidRPr="00221D1F">
              <w:rPr>
                <w:lang w:eastAsia="en-AU"/>
              </w:rPr>
              <w:t>21.5</w:t>
            </w:r>
          </w:p>
        </w:tc>
        <w:tc>
          <w:tcPr>
            <w:tcW w:w="321" w:type="pct"/>
            <w:noWrap/>
            <w:hideMark/>
          </w:tcPr>
          <w:p w14:paraId="44DFA4B5" w14:textId="77777777" w:rsidR="00285F19" w:rsidRPr="00221D1F" w:rsidRDefault="00285F19" w:rsidP="006129E3">
            <w:pPr>
              <w:pStyle w:val="Tablebodytext"/>
              <w:jc w:val="right"/>
              <w:rPr>
                <w:lang w:eastAsia="en-AU"/>
              </w:rPr>
            </w:pPr>
            <w:r w:rsidRPr="00221D1F">
              <w:rPr>
                <w:lang w:eastAsia="en-AU"/>
              </w:rPr>
              <w:t>4.8</w:t>
            </w:r>
          </w:p>
        </w:tc>
        <w:tc>
          <w:tcPr>
            <w:tcW w:w="423" w:type="pct"/>
            <w:noWrap/>
            <w:hideMark/>
          </w:tcPr>
          <w:p w14:paraId="52BE8E31" w14:textId="77777777" w:rsidR="00285F19" w:rsidRPr="00221D1F" w:rsidRDefault="00285F19" w:rsidP="006129E3">
            <w:pPr>
              <w:pStyle w:val="Tablebodytext"/>
              <w:jc w:val="right"/>
              <w:rPr>
                <w:lang w:eastAsia="en-AU"/>
              </w:rPr>
            </w:pPr>
            <w:r w:rsidRPr="00221D1F">
              <w:rPr>
                <w:lang w:eastAsia="en-AU"/>
              </w:rPr>
              <w:t>14.5</w:t>
            </w:r>
          </w:p>
        </w:tc>
        <w:tc>
          <w:tcPr>
            <w:tcW w:w="364" w:type="pct"/>
            <w:noWrap/>
            <w:hideMark/>
          </w:tcPr>
          <w:p w14:paraId="7361D0DA" w14:textId="77777777" w:rsidR="00285F19" w:rsidRPr="00221D1F" w:rsidRDefault="00285F19" w:rsidP="006129E3">
            <w:pPr>
              <w:pStyle w:val="Tablebodytext"/>
              <w:jc w:val="right"/>
              <w:rPr>
                <w:lang w:eastAsia="en-AU"/>
              </w:rPr>
            </w:pPr>
            <w:r w:rsidRPr="00221D1F">
              <w:rPr>
                <w:lang w:eastAsia="en-AU"/>
              </w:rPr>
              <w:t>4.9</w:t>
            </w:r>
          </w:p>
        </w:tc>
        <w:tc>
          <w:tcPr>
            <w:tcW w:w="423" w:type="pct"/>
            <w:noWrap/>
            <w:hideMark/>
          </w:tcPr>
          <w:p w14:paraId="0A964059" w14:textId="77777777" w:rsidR="00285F19" w:rsidRPr="00221D1F" w:rsidRDefault="00285F19" w:rsidP="006129E3">
            <w:pPr>
              <w:pStyle w:val="Tablebodytext"/>
              <w:jc w:val="right"/>
              <w:rPr>
                <w:lang w:eastAsia="en-AU"/>
              </w:rPr>
            </w:pPr>
            <w:r w:rsidRPr="00221D1F">
              <w:rPr>
                <w:lang w:eastAsia="en-AU"/>
              </w:rPr>
              <w:t>23.6</w:t>
            </w:r>
          </w:p>
        </w:tc>
        <w:tc>
          <w:tcPr>
            <w:tcW w:w="321" w:type="pct"/>
            <w:noWrap/>
            <w:hideMark/>
          </w:tcPr>
          <w:p w14:paraId="412F4144" w14:textId="77777777" w:rsidR="00285F19" w:rsidRPr="00221D1F" w:rsidRDefault="00285F19" w:rsidP="006129E3">
            <w:pPr>
              <w:pStyle w:val="Tablebodytext"/>
              <w:jc w:val="right"/>
              <w:rPr>
                <w:lang w:eastAsia="en-AU"/>
              </w:rPr>
            </w:pPr>
            <w:r w:rsidRPr="00221D1F">
              <w:rPr>
                <w:lang w:eastAsia="en-AU"/>
              </w:rPr>
              <w:t>3.5</w:t>
            </w:r>
          </w:p>
        </w:tc>
      </w:tr>
      <w:tr w:rsidR="00285F19" w:rsidRPr="00221D1F" w14:paraId="1DCF5E93"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416" w:type="pct"/>
            <w:noWrap/>
            <w:hideMark/>
          </w:tcPr>
          <w:p w14:paraId="6E892BDD" w14:textId="77777777" w:rsidR="00285F19" w:rsidRPr="00221D1F" w:rsidRDefault="00285F19" w:rsidP="006129E3">
            <w:pPr>
              <w:pStyle w:val="Tablebodytext"/>
              <w:rPr>
                <w:lang w:eastAsia="en-AU"/>
              </w:rPr>
            </w:pPr>
            <w:r w:rsidRPr="00221D1F">
              <w:rPr>
                <w:lang w:eastAsia="en-AU"/>
              </w:rPr>
              <w:t>2011-12</w:t>
            </w:r>
          </w:p>
        </w:tc>
        <w:tc>
          <w:tcPr>
            <w:tcW w:w="423" w:type="pct"/>
            <w:noWrap/>
            <w:hideMark/>
          </w:tcPr>
          <w:p w14:paraId="1F64AD88" w14:textId="77777777" w:rsidR="00285F19" w:rsidRPr="00221D1F" w:rsidRDefault="00285F19" w:rsidP="006129E3">
            <w:pPr>
              <w:pStyle w:val="Tablebodytext"/>
              <w:jc w:val="right"/>
              <w:rPr>
                <w:lang w:eastAsia="en-AU"/>
              </w:rPr>
            </w:pPr>
            <w:r w:rsidRPr="00221D1F">
              <w:rPr>
                <w:lang w:eastAsia="en-AU"/>
              </w:rPr>
              <w:t>31.1</w:t>
            </w:r>
          </w:p>
        </w:tc>
        <w:tc>
          <w:tcPr>
            <w:tcW w:w="329" w:type="pct"/>
            <w:noWrap/>
            <w:hideMark/>
          </w:tcPr>
          <w:p w14:paraId="7461F1C6" w14:textId="77777777" w:rsidR="00285F19" w:rsidRPr="00221D1F" w:rsidRDefault="00285F19" w:rsidP="006129E3">
            <w:pPr>
              <w:pStyle w:val="Tablebodytext"/>
              <w:jc w:val="right"/>
              <w:rPr>
                <w:lang w:eastAsia="en-AU"/>
              </w:rPr>
            </w:pPr>
            <w:r w:rsidRPr="00221D1F">
              <w:rPr>
                <w:lang w:eastAsia="en-AU"/>
              </w:rPr>
              <w:t>7.8</w:t>
            </w:r>
          </w:p>
        </w:tc>
        <w:tc>
          <w:tcPr>
            <w:tcW w:w="423" w:type="pct"/>
            <w:noWrap/>
            <w:hideMark/>
          </w:tcPr>
          <w:p w14:paraId="6C85420C" w14:textId="77777777" w:rsidR="00285F19" w:rsidRPr="00221D1F" w:rsidRDefault="00285F19" w:rsidP="006129E3">
            <w:pPr>
              <w:pStyle w:val="Tablebodytext"/>
              <w:jc w:val="right"/>
              <w:rPr>
                <w:lang w:eastAsia="en-AU"/>
              </w:rPr>
            </w:pPr>
            <w:r w:rsidRPr="00221D1F">
              <w:rPr>
                <w:lang w:eastAsia="en-AU"/>
              </w:rPr>
              <w:t>24.5</w:t>
            </w:r>
          </w:p>
        </w:tc>
        <w:tc>
          <w:tcPr>
            <w:tcW w:w="329" w:type="pct"/>
            <w:noWrap/>
            <w:hideMark/>
          </w:tcPr>
          <w:p w14:paraId="4F43AFC8" w14:textId="77777777" w:rsidR="00285F19" w:rsidRPr="00221D1F" w:rsidRDefault="00285F19" w:rsidP="006129E3">
            <w:pPr>
              <w:pStyle w:val="Tablebodytext"/>
              <w:jc w:val="right"/>
              <w:rPr>
                <w:lang w:eastAsia="en-AU"/>
              </w:rPr>
            </w:pPr>
            <w:r w:rsidRPr="00221D1F">
              <w:rPr>
                <w:lang w:eastAsia="en-AU"/>
              </w:rPr>
              <w:t>3.6</w:t>
            </w:r>
          </w:p>
        </w:tc>
        <w:tc>
          <w:tcPr>
            <w:tcW w:w="423" w:type="pct"/>
            <w:noWrap/>
            <w:hideMark/>
          </w:tcPr>
          <w:p w14:paraId="72BB7B5F" w14:textId="77777777" w:rsidR="00285F19" w:rsidRPr="00221D1F" w:rsidRDefault="00285F19" w:rsidP="006129E3">
            <w:pPr>
              <w:pStyle w:val="Tablebodytext"/>
              <w:jc w:val="right"/>
              <w:rPr>
                <w:lang w:eastAsia="en-AU"/>
              </w:rPr>
            </w:pPr>
            <w:r w:rsidRPr="00221D1F">
              <w:rPr>
                <w:lang w:eastAsia="en-AU"/>
              </w:rPr>
              <w:t>28.0</w:t>
            </w:r>
          </w:p>
        </w:tc>
        <w:tc>
          <w:tcPr>
            <w:tcW w:w="381" w:type="pct"/>
            <w:noWrap/>
            <w:hideMark/>
          </w:tcPr>
          <w:p w14:paraId="1D78E50C" w14:textId="77777777" w:rsidR="00285F19" w:rsidRPr="00221D1F" w:rsidRDefault="00285F19" w:rsidP="006129E3">
            <w:pPr>
              <w:pStyle w:val="Tablebodytext"/>
              <w:jc w:val="right"/>
              <w:rPr>
                <w:lang w:eastAsia="en-AU"/>
              </w:rPr>
            </w:pPr>
            <w:r w:rsidRPr="00221D1F">
              <w:rPr>
                <w:lang w:eastAsia="en-AU"/>
              </w:rPr>
              <w:t>6.8</w:t>
            </w:r>
          </w:p>
        </w:tc>
        <w:tc>
          <w:tcPr>
            <w:tcW w:w="423" w:type="pct"/>
            <w:noWrap/>
            <w:hideMark/>
          </w:tcPr>
          <w:p w14:paraId="41F7C8D0" w14:textId="77777777" w:rsidR="00285F19" w:rsidRPr="00221D1F" w:rsidRDefault="00285F19" w:rsidP="006129E3">
            <w:pPr>
              <w:pStyle w:val="Tablebodytext"/>
              <w:jc w:val="right"/>
              <w:rPr>
                <w:lang w:eastAsia="en-AU"/>
              </w:rPr>
            </w:pPr>
            <w:r w:rsidRPr="00221D1F">
              <w:rPr>
                <w:lang w:eastAsia="en-AU"/>
              </w:rPr>
              <w:t>22.6</w:t>
            </w:r>
          </w:p>
        </w:tc>
        <w:tc>
          <w:tcPr>
            <w:tcW w:w="321" w:type="pct"/>
            <w:noWrap/>
            <w:hideMark/>
          </w:tcPr>
          <w:p w14:paraId="59DFAA07" w14:textId="77777777" w:rsidR="00285F19" w:rsidRPr="00221D1F" w:rsidRDefault="00285F19" w:rsidP="006129E3">
            <w:pPr>
              <w:pStyle w:val="Tablebodytext"/>
              <w:jc w:val="right"/>
              <w:rPr>
                <w:lang w:eastAsia="en-AU"/>
              </w:rPr>
            </w:pPr>
            <w:r w:rsidRPr="00221D1F">
              <w:rPr>
                <w:lang w:eastAsia="en-AU"/>
              </w:rPr>
              <w:t>4.9</w:t>
            </w:r>
          </w:p>
        </w:tc>
        <w:tc>
          <w:tcPr>
            <w:tcW w:w="423" w:type="pct"/>
            <w:noWrap/>
            <w:hideMark/>
          </w:tcPr>
          <w:p w14:paraId="748ABFE8" w14:textId="77777777" w:rsidR="00285F19" w:rsidRPr="00221D1F" w:rsidRDefault="00285F19" w:rsidP="006129E3">
            <w:pPr>
              <w:pStyle w:val="Tablebodytext"/>
              <w:jc w:val="right"/>
              <w:rPr>
                <w:lang w:eastAsia="en-AU"/>
              </w:rPr>
            </w:pPr>
            <w:r w:rsidRPr="00221D1F">
              <w:rPr>
                <w:lang w:eastAsia="en-AU"/>
              </w:rPr>
              <w:t>14.4</w:t>
            </w:r>
          </w:p>
        </w:tc>
        <w:tc>
          <w:tcPr>
            <w:tcW w:w="364" w:type="pct"/>
            <w:noWrap/>
            <w:hideMark/>
          </w:tcPr>
          <w:p w14:paraId="09F120AB" w14:textId="77777777" w:rsidR="00285F19" w:rsidRPr="00221D1F" w:rsidRDefault="00285F19" w:rsidP="006129E3">
            <w:pPr>
              <w:pStyle w:val="Tablebodytext"/>
              <w:jc w:val="right"/>
              <w:rPr>
                <w:lang w:eastAsia="en-AU"/>
              </w:rPr>
            </w:pPr>
            <w:r w:rsidRPr="00221D1F">
              <w:rPr>
                <w:lang w:eastAsia="en-AU"/>
              </w:rPr>
              <w:t>5.1</w:t>
            </w:r>
          </w:p>
        </w:tc>
        <w:tc>
          <w:tcPr>
            <w:tcW w:w="423" w:type="pct"/>
            <w:noWrap/>
            <w:hideMark/>
          </w:tcPr>
          <w:p w14:paraId="027EFD7E" w14:textId="77777777" w:rsidR="00285F19" w:rsidRPr="00221D1F" w:rsidRDefault="00285F19" w:rsidP="006129E3">
            <w:pPr>
              <w:pStyle w:val="Tablebodytext"/>
              <w:jc w:val="right"/>
              <w:rPr>
                <w:lang w:eastAsia="en-AU"/>
              </w:rPr>
            </w:pPr>
            <w:r w:rsidRPr="00221D1F">
              <w:rPr>
                <w:lang w:eastAsia="en-AU"/>
              </w:rPr>
              <w:t>25.5</w:t>
            </w:r>
          </w:p>
        </w:tc>
        <w:tc>
          <w:tcPr>
            <w:tcW w:w="321" w:type="pct"/>
            <w:noWrap/>
            <w:hideMark/>
          </w:tcPr>
          <w:p w14:paraId="5CCF752E" w14:textId="77777777" w:rsidR="00285F19" w:rsidRPr="00221D1F" w:rsidRDefault="00285F19" w:rsidP="006129E3">
            <w:pPr>
              <w:pStyle w:val="Tablebodytext"/>
              <w:jc w:val="right"/>
              <w:rPr>
                <w:lang w:eastAsia="en-AU"/>
              </w:rPr>
            </w:pPr>
            <w:r w:rsidRPr="00221D1F">
              <w:rPr>
                <w:lang w:eastAsia="en-AU"/>
              </w:rPr>
              <w:t>3.6</w:t>
            </w:r>
          </w:p>
        </w:tc>
      </w:tr>
      <w:tr w:rsidR="00285F19" w:rsidRPr="00221D1F" w14:paraId="55F33AD1"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416" w:type="pct"/>
            <w:noWrap/>
            <w:hideMark/>
          </w:tcPr>
          <w:p w14:paraId="376BF75B" w14:textId="77777777" w:rsidR="00285F19" w:rsidRPr="00221D1F" w:rsidRDefault="00285F19" w:rsidP="006129E3">
            <w:pPr>
              <w:pStyle w:val="Tablebodytext"/>
              <w:rPr>
                <w:lang w:eastAsia="en-AU"/>
              </w:rPr>
            </w:pPr>
            <w:r w:rsidRPr="00221D1F">
              <w:rPr>
                <w:lang w:eastAsia="en-AU"/>
              </w:rPr>
              <w:t>2012-13</w:t>
            </w:r>
          </w:p>
        </w:tc>
        <w:tc>
          <w:tcPr>
            <w:tcW w:w="423" w:type="pct"/>
            <w:noWrap/>
            <w:hideMark/>
          </w:tcPr>
          <w:p w14:paraId="43FD429D" w14:textId="77777777" w:rsidR="00285F19" w:rsidRPr="00221D1F" w:rsidRDefault="00285F19" w:rsidP="006129E3">
            <w:pPr>
              <w:pStyle w:val="Tablebodytext"/>
              <w:jc w:val="right"/>
              <w:rPr>
                <w:lang w:eastAsia="en-AU"/>
              </w:rPr>
            </w:pPr>
            <w:r w:rsidRPr="00221D1F">
              <w:rPr>
                <w:lang w:eastAsia="en-AU"/>
              </w:rPr>
              <w:t>31.3</w:t>
            </w:r>
          </w:p>
        </w:tc>
        <w:tc>
          <w:tcPr>
            <w:tcW w:w="329" w:type="pct"/>
            <w:noWrap/>
            <w:hideMark/>
          </w:tcPr>
          <w:p w14:paraId="65F151BB" w14:textId="77777777" w:rsidR="00285F19" w:rsidRPr="00221D1F" w:rsidRDefault="00285F19" w:rsidP="006129E3">
            <w:pPr>
              <w:pStyle w:val="Tablebodytext"/>
              <w:jc w:val="right"/>
              <w:rPr>
                <w:lang w:eastAsia="en-AU"/>
              </w:rPr>
            </w:pPr>
            <w:r w:rsidRPr="00221D1F">
              <w:rPr>
                <w:lang w:eastAsia="en-AU"/>
              </w:rPr>
              <w:t>7.8</w:t>
            </w:r>
          </w:p>
        </w:tc>
        <w:tc>
          <w:tcPr>
            <w:tcW w:w="423" w:type="pct"/>
            <w:noWrap/>
            <w:hideMark/>
          </w:tcPr>
          <w:p w14:paraId="75D964D2" w14:textId="77777777" w:rsidR="00285F19" w:rsidRPr="00221D1F" w:rsidRDefault="00285F19" w:rsidP="006129E3">
            <w:pPr>
              <w:pStyle w:val="Tablebodytext"/>
              <w:jc w:val="right"/>
              <w:rPr>
                <w:lang w:eastAsia="en-AU"/>
              </w:rPr>
            </w:pPr>
            <w:r w:rsidRPr="00221D1F">
              <w:rPr>
                <w:lang w:eastAsia="en-AU"/>
              </w:rPr>
              <w:t>26.2</w:t>
            </w:r>
          </w:p>
        </w:tc>
        <w:tc>
          <w:tcPr>
            <w:tcW w:w="329" w:type="pct"/>
            <w:noWrap/>
            <w:hideMark/>
          </w:tcPr>
          <w:p w14:paraId="2FFDD017" w14:textId="77777777" w:rsidR="00285F19" w:rsidRPr="00221D1F" w:rsidRDefault="00285F19" w:rsidP="006129E3">
            <w:pPr>
              <w:pStyle w:val="Tablebodytext"/>
              <w:jc w:val="right"/>
              <w:rPr>
                <w:lang w:eastAsia="en-AU"/>
              </w:rPr>
            </w:pPr>
            <w:r w:rsidRPr="00221D1F">
              <w:rPr>
                <w:lang w:eastAsia="en-AU"/>
              </w:rPr>
              <w:t>3.7</w:t>
            </w:r>
          </w:p>
        </w:tc>
        <w:tc>
          <w:tcPr>
            <w:tcW w:w="423" w:type="pct"/>
            <w:noWrap/>
            <w:hideMark/>
          </w:tcPr>
          <w:p w14:paraId="3724C950" w14:textId="77777777" w:rsidR="00285F19" w:rsidRPr="00221D1F" w:rsidRDefault="00285F19" w:rsidP="006129E3">
            <w:pPr>
              <w:pStyle w:val="Tablebodytext"/>
              <w:jc w:val="right"/>
              <w:rPr>
                <w:lang w:eastAsia="en-AU"/>
              </w:rPr>
            </w:pPr>
            <w:r w:rsidRPr="00221D1F">
              <w:rPr>
                <w:lang w:eastAsia="en-AU"/>
              </w:rPr>
              <w:t>28.8</w:t>
            </w:r>
          </w:p>
        </w:tc>
        <w:tc>
          <w:tcPr>
            <w:tcW w:w="381" w:type="pct"/>
            <w:noWrap/>
            <w:hideMark/>
          </w:tcPr>
          <w:p w14:paraId="194BDC6E" w14:textId="77777777" w:rsidR="00285F19" w:rsidRPr="00221D1F" w:rsidRDefault="00285F19" w:rsidP="006129E3">
            <w:pPr>
              <w:pStyle w:val="Tablebodytext"/>
              <w:jc w:val="right"/>
              <w:rPr>
                <w:lang w:eastAsia="en-AU"/>
              </w:rPr>
            </w:pPr>
            <w:r w:rsidRPr="00221D1F">
              <w:rPr>
                <w:lang w:eastAsia="en-AU"/>
              </w:rPr>
              <w:t>6.9</w:t>
            </w:r>
          </w:p>
        </w:tc>
        <w:tc>
          <w:tcPr>
            <w:tcW w:w="423" w:type="pct"/>
            <w:noWrap/>
            <w:hideMark/>
          </w:tcPr>
          <w:p w14:paraId="0E541DB0" w14:textId="77777777" w:rsidR="00285F19" w:rsidRPr="00221D1F" w:rsidRDefault="00285F19" w:rsidP="006129E3">
            <w:pPr>
              <w:pStyle w:val="Tablebodytext"/>
              <w:jc w:val="right"/>
              <w:rPr>
                <w:lang w:eastAsia="en-AU"/>
              </w:rPr>
            </w:pPr>
            <w:r w:rsidRPr="00221D1F">
              <w:rPr>
                <w:lang w:eastAsia="en-AU"/>
              </w:rPr>
              <w:t>23.9</w:t>
            </w:r>
          </w:p>
        </w:tc>
        <w:tc>
          <w:tcPr>
            <w:tcW w:w="321" w:type="pct"/>
            <w:noWrap/>
            <w:hideMark/>
          </w:tcPr>
          <w:p w14:paraId="4C03A57B" w14:textId="77777777" w:rsidR="00285F19" w:rsidRPr="00221D1F" w:rsidRDefault="00285F19" w:rsidP="006129E3">
            <w:pPr>
              <w:pStyle w:val="Tablebodytext"/>
              <w:jc w:val="right"/>
              <w:rPr>
                <w:lang w:eastAsia="en-AU"/>
              </w:rPr>
            </w:pPr>
            <w:r w:rsidRPr="00221D1F">
              <w:rPr>
                <w:lang w:eastAsia="en-AU"/>
              </w:rPr>
              <w:t>5.0</w:t>
            </w:r>
          </w:p>
        </w:tc>
        <w:tc>
          <w:tcPr>
            <w:tcW w:w="423" w:type="pct"/>
            <w:noWrap/>
            <w:hideMark/>
          </w:tcPr>
          <w:p w14:paraId="42F03088" w14:textId="77777777" w:rsidR="00285F19" w:rsidRPr="00221D1F" w:rsidRDefault="00285F19" w:rsidP="006129E3">
            <w:pPr>
              <w:pStyle w:val="Tablebodytext"/>
              <w:jc w:val="right"/>
              <w:rPr>
                <w:lang w:eastAsia="en-AU"/>
              </w:rPr>
            </w:pPr>
            <w:r w:rsidRPr="00221D1F">
              <w:rPr>
                <w:lang w:eastAsia="en-AU"/>
              </w:rPr>
              <w:t>14.4</w:t>
            </w:r>
          </w:p>
        </w:tc>
        <w:tc>
          <w:tcPr>
            <w:tcW w:w="364" w:type="pct"/>
            <w:noWrap/>
            <w:hideMark/>
          </w:tcPr>
          <w:p w14:paraId="1382AAE0" w14:textId="77777777" w:rsidR="00285F19" w:rsidRPr="00221D1F" w:rsidRDefault="00285F19" w:rsidP="006129E3">
            <w:pPr>
              <w:pStyle w:val="Tablebodytext"/>
              <w:jc w:val="right"/>
              <w:rPr>
                <w:lang w:eastAsia="en-AU"/>
              </w:rPr>
            </w:pPr>
            <w:r w:rsidRPr="00221D1F">
              <w:rPr>
                <w:lang w:eastAsia="en-AU"/>
              </w:rPr>
              <w:t>5.1</w:t>
            </w:r>
          </w:p>
        </w:tc>
        <w:tc>
          <w:tcPr>
            <w:tcW w:w="423" w:type="pct"/>
            <w:noWrap/>
            <w:hideMark/>
          </w:tcPr>
          <w:p w14:paraId="16E20235" w14:textId="77777777" w:rsidR="00285F19" w:rsidRPr="00221D1F" w:rsidRDefault="00285F19" w:rsidP="006129E3">
            <w:pPr>
              <w:pStyle w:val="Tablebodytext"/>
              <w:jc w:val="right"/>
              <w:rPr>
                <w:lang w:eastAsia="en-AU"/>
              </w:rPr>
            </w:pPr>
            <w:r w:rsidRPr="00221D1F">
              <w:rPr>
                <w:lang w:eastAsia="en-AU"/>
              </w:rPr>
              <w:t>26.2</w:t>
            </w:r>
          </w:p>
        </w:tc>
        <w:tc>
          <w:tcPr>
            <w:tcW w:w="321" w:type="pct"/>
            <w:noWrap/>
            <w:hideMark/>
          </w:tcPr>
          <w:p w14:paraId="777B72E2" w14:textId="77777777" w:rsidR="00285F19" w:rsidRPr="00221D1F" w:rsidRDefault="00285F19" w:rsidP="006129E3">
            <w:pPr>
              <w:pStyle w:val="Tablebodytext"/>
              <w:jc w:val="right"/>
              <w:rPr>
                <w:lang w:eastAsia="en-AU"/>
              </w:rPr>
            </w:pPr>
            <w:r w:rsidRPr="00221D1F">
              <w:rPr>
                <w:lang w:eastAsia="en-AU"/>
              </w:rPr>
              <w:t>3.7</w:t>
            </w:r>
          </w:p>
        </w:tc>
      </w:tr>
      <w:tr w:rsidR="00285F19" w:rsidRPr="00221D1F" w14:paraId="04A54D1A"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416" w:type="pct"/>
            <w:noWrap/>
            <w:hideMark/>
          </w:tcPr>
          <w:p w14:paraId="6F24415C" w14:textId="77777777" w:rsidR="00285F19" w:rsidRPr="00221D1F" w:rsidRDefault="00285F19" w:rsidP="006129E3">
            <w:pPr>
              <w:pStyle w:val="Tablebodytext"/>
              <w:rPr>
                <w:lang w:eastAsia="en-AU"/>
              </w:rPr>
            </w:pPr>
            <w:r w:rsidRPr="00221D1F">
              <w:rPr>
                <w:lang w:eastAsia="en-AU"/>
              </w:rPr>
              <w:t>2013-14</w:t>
            </w:r>
          </w:p>
        </w:tc>
        <w:tc>
          <w:tcPr>
            <w:tcW w:w="423" w:type="pct"/>
            <w:noWrap/>
            <w:hideMark/>
          </w:tcPr>
          <w:p w14:paraId="5CEC53AA" w14:textId="77777777" w:rsidR="00285F19" w:rsidRPr="00221D1F" w:rsidRDefault="00285F19" w:rsidP="006129E3">
            <w:pPr>
              <w:pStyle w:val="Tablebodytext"/>
              <w:jc w:val="right"/>
              <w:rPr>
                <w:lang w:eastAsia="en-AU"/>
              </w:rPr>
            </w:pPr>
            <w:r w:rsidRPr="00221D1F">
              <w:rPr>
                <w:lang w:eastAsia="en-AU"/>
              </w:rPr>
              <w:t>31.2</w:t>
            </w:r>
          </w:p>
        </w:tc>
        <w:tc>
          <w:tcPr>
            <w:tcW w:w="329" w:type="pct"/>
            <w:noWrap/>
            <w:hideMark/>
          </w:tcPr>
          <w:p w14:paraId="71529AAA" w14:textId="77777777" w:rsidR="00285F19" w:rsidRPr="00221D1F" w:rsidRDefault="00285F19" w:rsidP="006129E3">
            <w:pPr>
              <w:pStyle w:val="Tablebodytext"/>
              <w:jc w:val="right"/>
              <w:rPr>
                <w:lang w:eastAsia="en-AU"/>
              </w:rPr>
            </w:pPr>
            <w:r w:rsidRPr="00221D1F">
              <w:rPr>
                <w:lang w:eastAsia="en-AU"/>
              </w:rPr>
              <w:t>7.9</w:t>
            </w:r>
          </w:p>
        </w:tc>
        <w:tc>
          <w:tcPr>
            <w:tcW w:w="423" w:type="pct"/>
            <w:noWrap/>
            <w:hideMark/>
          </w:tcPr>
          <w:p w14:paraId="090459E8" w14:textId="77777777" w:rsidR="00285F19" w:rsidRPr="00221D1F" w:rsidRDefault="00285F19" w:rsidP="006129E3">
            <w:pPr>
              <w:pStyle w:val="Tablebodytext"/>
              <w:jc w:val="right"/>
              <w:rPr>
                <w:lang w:eastAsia="en-AU"/>
              </w:rPr>
            </w:pPr>
            <w:r w:rsidRPr="00221D1F">
              <w:rPr>
                <w:lang w:eastAsia="en-AU"/>
              </w:rPr>
              <w:t>26.4</w:t>
            </w:r>
          </w:p>
        </w:tc>
        <w:tc>
          <w:tcPr>
            <w:tcW w:w="329" w:type="pct"/>
            <w:noWrap/>
            <w:hideMark/>
          </w:tcPr>
          <w:p w14:paraId="06F9CD5C" w14:textId="77777777" w:rsidR="00285F19" w:rsidRPr="00221D1F" w:rsidRDefault="00285F19" w:rsidP="006129E3">
            <w:pPr>
              <w:pStyle w:val="Tablebodytext"/>
              <w:jc w:val="right"/>
              <w:rPr>
                <w:lang w:eastAsia="en-AU"/>
              </w:rPr>
            </w:pPr>
            <w:r w:rsidRPr="00221D1F">
              <w:rPr>
                <w:lang w:eastAsia="en-AU"/>
              </w:rPr>
              <w:t>3.8</w:t>
            </w:r>
          </w:p>
        </w:tc>
        <w:tc>
          <w:tcPr>
            <w:tcW w:w="423" w:type="pct"/>
            <w:noWrap/>
            <w:hideMark/>
          </w:tcPr>
          <w:p w14:paraId="3847FF1D" w14:textId="77777777" w:rsidR="00285F19" w:rsidRPr="00221D1F" w:rsidRDefault="00285F19" w:rsidP="006129E3">
            <w:pPr>
              <w:pStyle w:val="Tablebodytext"/>
              <w:jc w:val="right"/>
              <w:rPr>
                <w:lang w:eastAsia="en-AU"/>
              </w:rPr>
            </w:pPr>
            <w:r w:rsidRPr="00221D1F">
              <w:rPr>
                <w:lang w:eastAsia="en-AU"/>
              </w:rPr>
              <w:t>29.0</w:t>
            </w:r>
          </w:p>
        </w:tc>
        <w:tc>
          <w:tcPr>
            <w:tcW w:w="381" w:type="pct"/>
            <w:noWrap/>
            <w:hideMark/>
          </w:tcPr>
          <w:p w14:paraId="3D12DA52" w14:textId="77777777" w:rsidR="00285F19" w:rsidRPr="00221D1F" w:rsidRDefault="00285F19" w:rsidP="006129E3">
            <w:pPr>
              <w:pStyle w:val="Tablebodytext"/>
              <w:jc w:val="right"/>
              <w:rPr>
                <w:lang w:eastAsia="en-AU"/>
              </w:rPr>
            </w:pPr>
            <w:r w:rsidRPr="00221D1F">
              <w:rPr>
                <w:lang w:eastAsia="en-AU"/>
              </w:rPr>
              <w:t>6.9</w:t>
            </w:r>
          </w:p>
        </w:tc>
        <w:tc>
          <w:tcPr>
            <w:tcW w:w="423" w:type="pct"/>
            <w:noWrap/>
            <w:hideMark/>
          </w:tcPr>
          <w:p w14:paraId="174E4D04" w14:textId="77777777" w:rsidR="00285F19" w:rsidRPr="00221D1F" w:rsidRDefault="00285F19" w:rsidP="006129E3">
            <w:pPr>
              <w:pStyle w:val="Tablebodytext"/>
              <w:jc w:val="right"/>
              <w:rPr>
                <w:lang w:eastAsia="en-AU"/>
              </w:rPr>
            </w:pPr>
            <w:r w:rsidRPr="00221D1F">
              <w:rPr>
                <w:lang w:eastAsia="en-AU"/>
              </w:rPr>
              <w:t>24.0</w:t>
            </w:r>
          </w:p>
        </w:tc>
        <w:tc>
          <w:tcPr>
            <w:tcW w:w="321" w:type="pct"/>
            <w:noWrap/>
            <w:hideMark/>
          </w:tcPr>
          <w:p w14:paraId="31ED4209" w14:textId="77777777" w:rsidR="00285F19" w:rsidRPr="00221D1F" w:rsidRDefault="00285F19" w:rsidP="006129E3">
            <w:pPr>
              <w:pStyle w:val="Tablebodytext"/>
              <w:jc w:val="right"/>
              <w:rPr>
                <w:lang w:eastAsia="en-AU"/>
              </w:rPr>
            </w:pPr>
            <w:r w:rsidRPr="00221D1F">
              <w:rPr>
                <w:lang w:eastAsia="en-AU"/>
              </w:rPr>
              <w:t>5.2</w:t>
            </w:r>
          </w:p>
        </w:tc>
        <w:tc>
          <w:tcPr>
            <w:tcW w:w="423" w:type="pct"/>
            <w:noWrap/>
            <w:hideMark/>
          </w:tcPr>
          <w:p w14:paraId="760B13DB" w14:textId="77777777" w:rsidR="00285F19" w:rsidRPr="00221D1F" w:rsidRDefault="00285F19" w:rsidP="006129E3">
            <w:pPr>
              <w:pStyle w:val="Tablebodytext"/>
              <w:jc w:val="right"/>
              <w:rPr>
                <w:lang w:eastAsia="en-AU"/>
              </w:rPr>
            </w:pPr>
            <w:r w:rsidRPr="00221D1F">
              <w:rPr>
                <w:lang w:eastAsia="en-AU"/>
              </w:rPr>
              <w:t>14.3</w:t>
            </w:r>
          </w:p>
        </w:tc>
        <w:tc>
          <w:tcPr>
            <w:tcW w:w="364" w:type="pct"/>
            <w:noWrap/>
            <w:hideMark/>
          </w:tcPr>
          <w:p w14:paraId="2205A86E" w14:textId="77777777" w:rsidR="00285F19" w:rsidRPr="00221D1F" w:rsidRDefault="00285F19" w:rsidP="006129E3">
            <w:pPr>
              <w:pStyle w:val="Tablebodytext"/>
              <w:jc w:val="right"/>
              <w:rPr>
                <w:lang w:eastAsia="en-AU"/>
              </w:rPr>
            </w:pPr>
            <w:r w:rsidRPr="00221D1F">
              <w:rPr>
                <w:lang w:eastAsia="en-AU"/>
              </w:rPr>
              <w:t>5.2</w:t>
            </w:r>
          </w:p>
        </w:tc>
        <w:tc>
          <w:tcPr>
            <w:tcW w:w="423" w:type="pct"/>
            <w:noWrap/>
            <w:hideMark/>
          </w:tcPr>
          <w:p w14:paraId="4E1B3EC7" w14:textId="77777777" w:rsidR="00285F19" w:rsidRPr="00221D1F" w:rsidRDefault="00285F19" w:rsidP="006129E3">
            <w:pPr>
              <w:pStyle w:val="Tablebodytext"/>
              <w:jc w:val="right"/>
              <w:rPr>
                <w:lang w:eastAsia="en-AU"/>
              </w:rPr>
            </w:pPr>
            <w:r w:rsidRPr="00221D1F">
              <w:rPr>
                <w:lang w:eastAsia="en-AU"/>
              </w:rPr>
              <w:t>26.1</w:t>
            </w:r>
          </w:p>
        </w:tc>
        <w:tc>
          <w:tcPr>
            <w:tcW w:w="321" w:type="pct"/>
            <w:noWrap/>
            <w:hideMark/>
          </w:tcPr>
          <w:p w14:paraId="064448B0" w14:textId="77777777" w:rsidR="00285F19" w:rsidRPr="00221D1F" w:rsidRDefault="00285F19" w:rsidP="006129E3">
            <w:pPr>
              <w:pStyle w:val="Tablebodytext"/>
              <w:jc w:val="right"/>
              <w:rPr>
                <w:lang w:eastAsia="en-AU"/>
              </w:rPr>
            </w:pPr>
            <w:r w:rsidRPr="00221D1F">
              <w:rPr>
                <w:lang w:eastAsia="en-AU"/>
              </w:rPr>
              <w:t>3.8</w:t>
            </w:r>
          </w:p>
        </w:tc>
      </w:tr>
    </w:tbl>
    <w:p w14:paraId="548B84A8" w14:textId="77777777" w:rsidR="00285F19" w:rsidRPr="00221D1F" w:rsidRDefault="00285F19" w:rsidP="00285F19">
      <w:pPr>
        <w:pStyle w:val="Placeholder"/>
      </w:pPr>
    </w:p>
    <w:p w14:paraId="076D134D" w14:textId="77777777" w:rsidR="00285F19" w:rsidRPr="00C62F3A" w:rsidRDefault="00285F19" w:rsidP="00285F19">
      <w:pPr>
        <w:pStyle w:val="Note"/>
      </w:pPr>
      <w:r>
        <w:rPr>
          <w:lang w:eastAsia="en-AU"/>
        </w:rPr>
        <w:t xml:space="preserve">Notes: </w:t>
      </w:r>
      <w:r>
        <w:t>Statistics relate to simple (non-profiled) businesses from the linked BLADE-DIBP dataset. Statistics not directly comparable to official DIBP visa grant statistics.</w:t>
      </w:r>
    </w:p>
    <w:p w14:paraId="7E8A2485" w14:textId="367B7E1C" w:rsidR="00285F19" w:rsidRDefault="00285F19" w:rsidP="00285F19">
      <w:pPr>
        <w:pStyle w:val="Source"/>
        <w:rPr>
          <w:lang w:eastAsia="en-AU"/>
        </w:rPr>
      </w:pPr>
      <w:r>
        <w:rPr>
          <w:lang w:eastAsia="en-AU"/>
        </w:rPr>
        <w:t>Source: DIIS (201</w:t>
      </w:r>
      <w:r w:rsidR="006A6D70">
        <w:rPr>
          <w:lang w:eastAsia="en-AU"/>
        </w:rPr>
        <w:t>9</w:t>
      </w:r>
      <w:r>
        <w:rPr>
          <w:lang w:eastAsia="en-AU"/>
        </w:rPr>
        <w:t>)</w:t>
      </w:r>
      <w:r w:rsidR="006A6D70">
        <w:rPr>
          <w:lang w:eastAsia="en-AU"/>
        </w:rPr>
        <w:t xml:space="preserve"> using ABS BLADE</w:t>
      </w:r>
    </w:p>
    <w:p w14:paraId="14A80153" w14:textId="77777777" w:rsidR="00285F19" w:rsidRDefault="00285F19" w:rsidP="00285F19">
      <w:pPr>
        <w:pStyle w:val="BodyText"/>
      </w:pPr>
    </w:p>
    <w:p w14:paraId="0C477C23" w14:textId="77777777" w:rsidR="00285F19" w:rsidRDefault="00285F19" w:rsidP="00285F19">
      <w:pPr>
        <w:spacing w:after="200" w:line="276" w:lineRule="auto"/>
        <w:ind w:left="0"/>
        <w:jc w:val="left"/>
        <w:rPr>
          <w:rFonts w:asciiTheme="minorHAnsi" w:hAnsiTheme="minorHAnsi"/>
        </w:rPr>
      </w:pPr>
      <w:r>
        <w:br w:type="page"/>
      </w:r>
    </w:p>
    <w:p w14:paraId="2D71F9EC" w14:textId="77777777" w:rsidR="00285F19" w:rsidRDefault="00285F19" w:rsidP="00285F19">
      <w:pPr>
        <w:pStyle w:val="BodyText"/>
        <w:sectPr w:rsidR="00285F19" w:rsidSect="006129E3">
          <w:pgSz w:w="16838" w:h="11906" w:orient="landscape" w:code="9"/>
          <w:pgMar w:top="1440" w:right="1440" w:bottom="1440" w:left="1440" w:header="709" w:footer="709" w:gutter="0"/>
          <w:cols w:space="708"/>
          <w:docGrid w:linePitch="360"/>
        </w:sectPr>
      </w:pPr>
    </w:p>
    <w:p w14:paraId="088D96D9" w14:textId="77777777" w:rsidR="00285F19" w:rsidRDefault="00285F19" w:rsidP="002F2E2B">
      <w:pPr>
        <w:pStyle w:val="Heading1"/>
        <w:numPr>
          <w:ilvl w:val="0"/>
          <w:numId w:val="9"/>
        </w:numPr>
      </w:pPr>
      <w:r w:rsidRPr="003404B6">
        <w:lastRenderedPageBreak/>
        <w:t xml:space="preserve"> </w:t>
      </w:r>
      <w:r>
        <w:t>Establishing a counterfactual</w:t>
      </w:r>
    </w:p>
    <w:p w14:paraId="3AE0BA94" w14:textId="77777777" w:rsidR="00285F19" w:rsidRDefault="00285F19" w:rsidP="002F2E2B">
      <w:pPr>
        <w:pStyle w:val="BodyText"/>
      </w:pPr>
      <w:r>
        <w:t>The descriptive statistics presented in the previous section suggest that 457 sponsoring businesses were generally larger and out-performed similar non-sponsoring businesses.</w:t>
      </w:r>
    </w:p>
    <w:p w14:paraId="5A629F00" w14:textId="77777777" w:rsidR="00285F19" w:rsidRDefault="00285F19" w:rsidP="002F2E2B">
      <w:pPr>
        <w:pStyle w:val="BodyText"/>
      </w:pPr>
      <w:r>
        <w:t>As an additional robustness check to ascertain whether performance differences do in fact exist between businesses that sponsor and employ 457 migrants and those that do not, a nearest-neighbour matching estimator is used to establish a synthetic counterfactual. This is done to minimise the presence of any selection biases that might be responsible for the performance differences observed in the descriptive statistics.</w:t>
      </w:r>
    </w:p>
    <w:p w14:paraId="147A97AC" w14:textId="77777777" w:rsidR="00285F19" w:rsidRPr="005A6170" w:rsidRDefault="00285F19" w:rsidP="002F2E2B">
      <w:pPr>
        <w:pStyle w:val="BodyText"/>
        <w:rPr>
          <w:rFonts w:cs="Arial"/>
        </w:rPr>
      </w:pPr>
      <w:r>
        <w:rPr>
          <w:rFonts w:cs="Arial"/>
        </w:rPr>
        <w:t>This is a similar methodology to Rafi (2017)</w:t>
      </w:r>
      <w:r>
        <w:rPr>
          <w:rStyle w:val="FootnoteReference"/>
          <w:rFonts w:cs="Arial"/>
        </w:rPr>
        <w:footnoteReference w:id="20"/>
      </w:r>
      <w:r>
        <w:rPr>
          <w:rFonts w:cs="Arial"/>
        </w:rPr>
        <w:t xml:space="preserve"> and </w:t>
      </w:r>
      <w:r w:rsidRPr="005A6170">
        <w:rPr>
          <w:rFonts w:cs="Arial"/>
        </w:rPr>
        <w:t>draws upon the work of Abadie and Imbens</w:t>
      </w:r>
      <w:r w:rsidRPr="005A6170">
        <w:rPr>
          <w:rStyle w:val="FootnoteReference"/>
          <w:rFonts w:cs="Arial"/>
        </w:rPr>
        <w:footnoteReference w:id="21"/>
      </w:r>
      <w:r w:rsidRPr="005A6170">
        <w:rPr>
          <w:rFonts w:cs="Arial"/>
        </w:rPr>
        <w:t>, Abadie et.al</w:t>
      </w:r>
      <w:r w:rsidRPr="005A6170">
        <w:rPr>
          <w:rStyle w:val="FootnoteReference"/>
          <w:rFonts w:cs="Arial"/>
        </w:rPr>
        <w:footnoteReference w:id="22"/>
      </w:r>
      <w:r w:rsidRPr="005A6170">
        <w:rPr>
          <w:rFonts w:cs="Arial"/>
        </w:rPr>
        <w:t xml:space="preserve"> and Caliendo and Kopeinig</w:t>
      </w:r>
      <w:r w:rsidRPr="005A6170">
        <w:rPr>
          <w:rStyle w:val="FootnoteReference"/>
          <w:rFonts w:cs="Arial"/>
        </w:rPr>
        <w:footnoteReference w:id="23"/>
      </w:r>
      <w:r w:rsidRPr="005A6170">
        <w:rPr>
          <w:rFonts w:cs="Arial"/>
        </w:rPr>
        <w:t xml:space="preserve"> who discuss the theoretical underpinning and mathematical notation of matching estimators.</w:t>
      </w:r>
    </w:p>
    <w:p w14:paraId="3E195EB4" w14:textId="77777777" w:rsidR="00285F19" w:rsidRPr="005A6170" w:rsidRDefault="00285F19" w:rsidP="002F2E2B">
      <w:pPr>
        <w:pStyle w:val="BodyText"/>
        <w:rPr>
          <w:rFonts w:cs="Arial"/>
        </w:rPr>
      </w:pPr>
      <w:r w:rsidRPr="005A6170">
        <w:rPr>
          <w:rFonts w:cs="Arial"/>
        </w:rPr>
        <w:t>For an individual firm</w:t>
      </w:r>
      <m:oMath>
        <m:r>
          <m:rPr>
            <m:sty m:val="p"/>
          </m:rPr>
          <w:rPr>
            <w:rFonts w:ascii="Cambria Math" w:hAnsi="Cambria Math"/>
          </w:rPr>
          <m:t xml:space="preserve">,  </m:t>
        </m:r>
        <m:r>
          <w:rPr>
            <w:rFonts w:ascii="Cambria Math" w:hAnsi="Cambria Math"/>
          </w:rPr>
          <m:t>i</m:t>
        </m:r>
        <m:r>
          <m:rPr>
            <m:sty m:val="p"/>
          </m:rPr>
          <w:rPr>
            <w:rFonts w:ascii="Cambria Math" w:hAnsi="Cambria Math"/>
          </w:rPr>
          <m:t>=1,…,</m:t>
        </m:r>
        <m:r>
          <w:rPr>
            <w:rFonts w:ascii="Cambria Math" w:hAnsi="Cambria Math"/>
          </w:rPr>
          <m:t>N</m:t>
        </m:r>
      </m:oMath>
      <w:r w:rsidRPr="00B05253">
        <w:t xml:space="preserve"> , </w:t>
      </w:r>
      <w:r w:rsidRPr="005A6170">
        <w:rPr>
          <w:rFonts w:cs="Arial"/>
        </w:rPr>
        <w:t>with all units exchangeable, let:</w:t>
      </w:r>
    </w:p>
    <w:p w14:paraId="6E52E239" w14:textId="77777777" w:rsidR="00285F19" w:rsidRPr="005A6170" w:rsidRDefault="004723CA" w:rsidP="002F2E2B">
      <w:pPr>
        <w:pStyle w:val="BodyText"/>
        <w:rPr>
          <w:rFonts w:cs="Arial"/>
        </w:rPr>
      </w:pP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Y</m:t>
                </m:r>
              </m:e>
              <m:sub>
                <m:r>
                  <w:rPr>
                    <w:rFonts w:ascii="Cambria Math" w:hAnsi="Cambria Math"/>
                  </w:rPr>
                  <m:t>i</m:t>
                </m:r>
              </m:sub>
            </m:sSub>
            <m:d>
              <m:dPr>
                <m:ctrlPr>
                  <w:rPr>
                    <w:rFonts w:ascii="Cambria Math" w:hAnsi="Cambria Math"/>
                  </w:rPr>
                </m:ctrlPr>
              </m:dPr>
              <m:e>
                <m:r>
                  <m:rPr>
                    <m:sty m:val="p"/>
                  </m:rPr>
                  <w:rPr>
                    <w:rFonts w:ascii="Cambria Math" w:hAnsi="Cambria Math"/>
                  </w:rPr>
                  <m:t>0</m:t>
                </m:r>
              </m:e>
            </m:d>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m:t>
                </m:r>
                <m:r>
                  <w:rPr>
                    <w:rFonts w:ascii="Cambria Math" w:hAnsi="Cambria Math"/>
                  </w:rPr>
                  <m:t>Y</m:t>
                </m:r>
              </m:e>
              <m:sub>
                <m:r>
                  <w:rPr>
                    <w:rFonts w:ascii="Cambria Math" w:hAnsi="Cambria Math"/>
                  </w:rPr>
                  <m:t>i</m:t>
                </m:r>
              </m:sub>
            </m:sSub>
            <m:d>
              <m:dPr>
                <m:ctrlPr>
                  <w:rPr>
                    <w:rFonts w:ascii="Cambria Math" w:hAnsi="Cambria Math"/>
                  </w:rPr>
                </m:ctrlPr>
              </m:dPr>
              <m:e>
                <m:r>
                  <m:rPr>
                    <m:sty m:val="p"/>
                  </m:rPr>
                  <w:rPr>
                    <w:rFonts w:ascii="Cambria Math" w:hAnsi="Cambria Math"/>
                  </w:rPr>
                  <m:t>1</m:t>
                </m:r>
              </m:e>
            </m:d>
          </m:e>
        </m:d>
      </m:oMath>
      <w:r w:rsidR="00285F19" w:rsidRPr="00B05253">
        <w:t xml:space="preserve"> </w:t>
      </w:r>
      <w:r w:rsidR="00285F19" w:rsidRPr="005A6170">
        <w:rPr>
          <w:rFonts w:cs="Arial"/>
        </w:rPr>
        <w:t xml:space="preserve">denote the two possible outcomes, namely </w:t>
      </w:r>
      <m:oMath>
        <m:sSub>
          <m:sSubPr>
            <m:ctrlPr>
              <w:rPr>
                <w:rFonts w:ascii="Cambria Math" w:hAnsi="Cambria Math" w:cs="Arial"/>
              </w:rPr>
            </m:ctrlPr>
          </m:sSubPr>
          <m:e>
            <m:r>
              <w:rPr>
                <w:rFonts w:ascii="Cambria Math" w:hAnsi="Cambria Math" w:cs="Arial"/>
              </w:rPr>
              <m:t>Y</m:t>
            </m:r>
          </m:e>
          <m:sub>
            <m:r>
              <w:rPr>
                <w:rFonts w:ascii="Cambria Math" w:hAnsi="Cambria Math" w:cs="Arial"/>
              </w:rPr>
              <m:t>i</m:t>
            </m:r>
          </m:sub>
        </m:sSub>
        <m:d>
          <m:dPr>
            <m:ctrlPr>
              <w:rPr>
                <w:rFonts w:ascii="Cambria Math" w:hAnsi="Cambria Math" w:cs="Arial"/>
              </w:rPr>
            </m:ctrlPr>
          </m:dPr>
          <m:e>
            <m:r>
              <m:rPr>
                <m:sty m:val="p"/>
              </m:rPr>
              <w:rPr>
                <w:rFonts w:ascii="Cambria Math" w:hAnsi="Cambria Math" w:cs="Arial"/>
              </w:rPr>
              <m:t>0</m:t>
            </m:r>
          </m:e>
        </m:d>
      </m:oMath>
      <w:r w:rsidR="00285F19" w:rsidRPr="005A6170">
        <w:rPr>
          <w:rFonts w:cs="Arial"/>
        </w:rPr>
        <w:t xml:space="preserve"> is the outcome when an individual firm does not </w:t>
      </w:r>
      <w:r w:rsidR="00285F19">
        <w:rPr>
          <w:rFonts w:cs="Arial"/>
        </w:rPr>
        <w:t>sponsor a 457 migrant</w:t>
      </w:r>
      <w:r w:rsidR="00285F19" w:rsidRPr="005A6170">
        <w:rPr>
          <w:rFonts w:cs="Arial"/>
        </w:rPr>
        <w:t xml:space="preserve"> and </w:t>
      </w:r>
      <m:oMath>
        <m:sSub>
          <m:sSubPr>
            <m:ctrlPr>
              <w:rPr>
                <w:rFonts w:ascii="Cambria Math" w:hAnsi="Cambria Math" w:cs="Arial"/>
              </w:rPr>
            </m:ctrlPr>
          </m:sSubPr>
          <m:e>
            <m:r>
              <w:rPr>
                <w:rFonts w:ascii="Cambria Math" w:hAnsi="Cambria Math" w:cs="Arial"/>
              </w:rPr>
              <m:t>Y</m:t>
            </m:r>
          </m:e>
          <m:sub>
            <m:r>
              <w:rPr>
                <w:rFonts w:ascii="Cambria Math" w:hAnsi="Cambria Math" w:cs="Arial"/>
              </w:rPr>
              <m:t>i</m:t>
            </m:r>
          </m:sub>
        </m:sSub>
        <m:d>
          <m:dPr>
            <m:ctrlPr>
              <w:rPr>
                <w:rFonts w:ascii="Cambria Math" w:hAnsi="Cambria Math" w:cs="Arial"/>
              </w:rPr>
            </m:ctrlPr>
          </m:dPr>
          <m:e>
            <m:r>
              <m:rPr>
                <m:sty m:val="p"/>
              </m:rPr>
              <w:rPr>
                <w:rFonts w:ascii="Cambria Math" w:hAnsi="Cambria Math" w:cs="Arial"/>
              </w:rPr>
              <m:t>1</m:t>
            </m:r>
          </m:e>
        </m:d>
      </m:oMath>
      <w:r w:rsidR="00285F19" w:rsidRPr="005A6170">
        <w:rPr>
          <w:rFonts w:cs="Arial"/>
        </w:rPr>
        <w:t xml:space="preserve"> is the outcome when it does.</w:t>
      </w:r>
    </w:p>
    <w:p w14:paraId="7CBDA5CE" w14:textId="77777777" w:rsidR="00285F19" w:rsidRPr="005A6170" w:rsidRDefault="00285F19" w:rsidP="002F2E2B">
      <w:pPr>
        <w:pStyle w:val="BodyText"/>
        <w:rPr>
          <w:rFonts w:cs="Arial"/>
        </w:rPr>
      </w:pPr>
      <w:r w:rsidRPr="005A6170">
        <w:rPr>
          <w:rFonts w:cs="Arial"/>
        </w:rPr>
        <w:t>The average treatment effect (ATE) can then be expressed as the difference between the two outcomes:</w:t>
      </w:r>
    </w:p>
    <w:p w14:paraId="128ECED8" w14:textId="77777777" w:rsidR="00285F19" w:rsidRPr="0096348E" w:rsidRDefault="00285F19" w:rsidP="002F2E2B">
      <w:pPr>
        <w:spacing w:after="160" w:line="259" w:lineRule="auto"/>
        <w:ind w:left="0"/>
        <w:jc w:val="left"/>
        <w:rPr>
          <w:rFonts w:eastAsia="Times New Roman" w:cs="Arial"/>
          <w:color w:val="373737" w:themeColor="text1"/>
          <w:sz w:val="22"/>
          <w:lang w:val="en-US"/>
        </w:rPr>
      </w:pPr>
      <m:oMathPara>
        <m:oMath>
          <m:r>
            <w:rPr>
              <w:rFonts w:ascii="Cambria Math" w:eastAsia="Calibri" w:hAnsi="Cambria Math" w:cs="Arial"/>
              <w:color w:val="373737" w:themeColor="text1"/>
              <w:sz w:val="22"/>
              <w:lang w:val="en-US"/>
            </w:rPr>
            <m:t>τ=E{Y</m:t>
          </m:r>
          <m:d>
            <m:dPr>
              <m:ctrlPr>
                <w:rPr>
                  <w:rFonts w:ascii="Cambria Math" w:eastAsia="Calibri" w:hAnsi="Cambria Math" w:cs="Arial"/>
                  <w:i/>
                  <w:color w:val="373737" w:themeColor="text1"/>
                  <w:sz w:val="22"/>
                  <w:lang w:val="en-US"/>
                </w:rPr>
              </m:ctrlPr>
            </m:dPr>
            <m:e>
              <m:r>
                <w:rPr>
                  <w:rFonts w:ascii="Cambria Math" w:eastAsia="Calibri" w:hAnsi="Cambria Math" w:cs="Arial"/>
                  <w:color w:val="373737" w:themeColor="text1"/>
                  <w:sz w:val="22"/>
                  <w:lang w:val="en-US"/>
                </w:rPr>
                <m:t>1</m:t>
              </m:r>
            </m:e>
          </m:d>
          <m:r>
            <w:rPr>
              <w:rFonts w:ascii="Cambria Math" w:eastAsia="Calibri" w:hAnsi="Cambria Math" w:cs="Arial"/>
              <w:color w:val="373737" w:themeColor="text1"/>
              <w:sz w:val="22"/>
              <w:lang w:val="en-US"/>
            </w:rPr>
            <m:t>-Y</m:t>
          </m:r>
          <m:d>
            <m:dPr>
              <m:ctrlPr>
                <w:rPr>
                  <w:rFonts w:ascii="Cambria Math" w:eastAsia="Calibri" w:hAnsi="Cambria Math" w:cs="Arial"/>
                  <w:i/>
                  <w:color w:val="373737" w:themeColor="text1"/>
                  <w:sz w:val="22"/>
                  <w:lang w:val="en-US"/>
                </w:rPr>
              </m:ctrlPr>
            </m:dPr>
            <m:e>
              <m:r>
                <w:rPr>
                  <w:rFonts w:ascii="Cambria Math" w:eastAsia="Calibri" w:hAnsi="Cambria Math" w:cs="Arial"/>
                  <w:color w:val="373737" w:themeColor="text1"/>
                  <w:sz w:val="22"/>
                  <w:lang w:val="en-US"/>
                </w:rPr>
                <m:t>0</m:t>
              </m:r>
            </m:e>
          </m:d>
          <m:r>
            <w:rPr>
              <w:rFonts w:ascii="Cambria Math" w:eastAsia="Calibri" w:hAnsi="Cambria Math" w:cs="Arial"/>
              <w:color w:val="373737" w:themeColor="text1"/>
              <w:sz w:val="22"/>
              <w:lang w:val="en-US"/>
            </w:rPr>
            <m:t>}</m:t>
          </m:r>
        </m:oMath>
      </m:oMathPara>
    </w:p>
    <w:p w14:paraId="0BA1E374" w14:textId="77777777" w:rsidR="00285F19" w:rsidRPr="005A6170" w:rsidRDefault="00285F19" w:rsidP="002F2E2B">
      <w:pPr>
        <w:pStyle w:val="BodyText"/>
        <w:rPr>
          <w:rFonts w:cs="Arial"/>
        </w:rPr>
      </w:pPr>
      <w:r w:rsidRPr="005A6170">
        <w:rPr>
          <w:rFonts w:cs="Arial"/>
        </w:rPr>
        <w:t>However, when estimating the ATE, only one of the two outcomes is observed. Intuitively,</w:t>
      </w:r>
      <w:r>
        <w:rPr>
          <w:rFonts w:cs="Arial"/>
        </w:rPr>
        <w:t xml:space="preserve"> at a given point in time,</w:t>
      </w:r>
      <w:r w:rsidRPr="005A6170">
        <w:rPr>
          <w:rFonts w:cs="Arial"/>
        </w:rPr>
        <w:t xml:space="preserve"> if an individual firm </w:t>
      </w:r>
      <w:r>
        <w:rPr>
          <w:rFonts w:cs="Arial"/>
        </w:rPr>
        <w:t>chooses to be a 457 migrant sponsoring firm</w:t>
      </w:r>
      <w:r w:rsidRPr="005A6170">
        <w:rPr>
          <w:rFonts w:cs="Arial"/>
        </w:rPr>
        <w:t xml:space="preserve"> then it can</w:t>
      </w:r>
      <w:r>
        <w:rPr>
          <w:rFonts w:cs="Arial"/>
        </w:rPr>
        <w:t>not</w:t>
      </w:r>
      <w:r w:rsidRPr="005A6170">
        <w:rPr>
          <w:rFonts w:cs="Arial"/>
        </w:rPr>
        <w:t xml:space="preserve"> also </w:t>
      </w:r>
      <w:r>
        <w:rPr>
          <w:rFonts w:cs="Arial"/>
        </w:rPr>
        <w:t>be non-sponsoring firm</w:t>
      </w:r>
      <w:r w:rsidRPr="005A6170">
        <w:rPr>
          <w:rFonts w:cs="Arial"/>
        </w:rPr>
        <w:t xml:space="preserve">. </w:t>
      </w:r>
      <w:r>
        <w:rPr>
          <w:rFonts w:cs="Arial"/>
        </w:rPr>
        <w:t>At a point in time, f</w:t>
      </w:r>
      <w:r w:rsidRPr="005A6170">
        <w:rPr>
          <w:rFonts w:cs="Arial"/>
        </w:rPr>
        <w:t xml:space="preserve">or an individual firm the two outcomes are mutually exclusive. The observed outcome can be denoted as: </w:t>
      </w:r>
    </w:p>
    <w:p w14:paraId="5C9F8858" w14:textId="77777777" w:rsidR="00285F19" w:rsidRPr="0096348E" w:rsidRDefault="004723CA" w:rsidP="002F2E2B">
      <w:pPr>
        <w:spacing w:after="160" w:line="259" w:lineRule="auto"/>
        <w:ind w:left="0"/>
        <w:jc w:val="left"/>
        <w:rPr>
          <w:rFonts w:eastAsia="Calibri" w:cs="Arial"/>
          <w:color w:val="373737" w:themeColor="text1"/>
          <w:sz w:val="22"/>
          <w:lang w:val="en-US"/>
        </w:rPr>
      </w:pPr>
      <m:oMathPara>
        <m:oMath>
          <m:sSub>
            <m:sSubPr>
              <m:ctrlPr>
                <w:rPr>
                  <w:rFonts w:ascii="Cambria Math" w:eastAsia="Calibri" w:hAnsi="Cambria Math" w:cs="Arial"/>
                  <w:i/>
                  <w:color w:val="373737" w:themeColor="text1"/>
                  <w:sz w:val="22"/>
                  <w:lang w:val="en-US"/>
                </w:rPr>
              </m:ctrlPr>
            </m:sSubPr>
            <m:e>
              <m:r>
                <w:rPr>
                  <w:rFonts w:ascii="Cambria Math" w:eastAsia="Calibri" w:hAnsi="Cambria Math" w:cs="Arial"/>
                  <w:color w:val="373737" w:themeColor="text1"/>
                  <w:sz w:val="22"/>
                  <w:lang w:val="en-US"/>
                </w:rPr>
                <m:t>Y</m:t>
              </m:r>
            </m:e>
            <m:sub>
              <m:r>
                <w:rPr>
                  <w:rFonts w:ascii="Cambria Math" w:eastAsia="Calibri" w:hAnsi="Cambria Math" w:cs="Arial"/>
                  <w:color w:val="373737" w:themeColor="text1"/>
                  <w:sz w:val="22"/>
                  <w:lang w:val="en-US"/>
                </w:rPr>
                <m:t>i</m:t>
              </m:r>
            </m:sub>
          </m:sSub>
          <m:r>
            <w:rPr>
              <w:rFonts w:ascii="Cambria Math" w:eastAsia="Calibri" w:hAnsi="Cambria Math" w:cs="Arial"/>
              <w:color w:val="373737" w:themeColor="text1"/>
              <w:sz w:val="22"/>
              <w:lang w:val="en-US"/>
            </w:rPr>
            <m:t xml:space="preserve">= </m:t>
          </m:r>
          <m:sSub>
            <m:sSubPr>
              <m:ctrlPr>
                <w:rPr>
                  <w:rFonts w:ascii="Cambria Math" w:eastAsia="Calibri" w:hAnsi="Cambria Math" w:cs="Arial"/>
                  <w:i/>
                  <w:color w:val="373737" w:themeColor="text1"/>
                  <w:sz w:val="22"/>
                  <w:lang w:val="en-US"/>
                </w:rPr>
              </m:ctrlPr>
            </m:sSubPr>
            <m:e>
              <m:r>
                <w:rPr>
                  <w:rFonts w:ascii="Cambria Math" w:eastAsia="Calibri" w:hAnsi="Cambria Math" w:cs="Arial"/>
                  <w:color w:val="373737" w:themeColor="text1"/>
                  <w:sz w:val="22"/>
                  <w:lang w:val="en-US"/>
                </w:rPr>
                <m:t>Y</m:t>
              </m:r>
            </m:e>
            <m:sub>
              <m:r>
                <w:rPr>
                  <w:rFonts w:ascii="Cambria Math" w:eastAsia="Calibri" w:hAnsi="Cambria Math" w:cs="Arial"/>
                  <w:color w:val="373737" w:themeColor="text1"/>
                  <w:sz w:val="22"/>
                  <w:lang w:val="en-US"/>
                </w:rPr>
                <m:t>i</m:t>
              </m:r>
            </m:sub>
          </m:sSub>
          <m:d>
            <m:dPr>
              <m:ctrlPr>
                <w:rPr>
                  <w:rFonts w:ascii="Cambria Math" w:eastAsia="Calibri" w:hAnsi="Cambria Math" w:cs="Arial"/>
                  <w:i/>
                  <w:color w:val="373737" w:themeColor="text1"/>
                  <w:sz w:val="22"/>
                  <w:lang w:val="en-US"/>
                </w:rPr>
              </m:ctrlPr>
            </m:dPr>
            <m:e>
              <m:sSub>
                <m:sSubPr>
                  <m:ctrlPr>
                    <w:rPr>
                      <w:rFonts w:ascii="Cambria Math" w:eastAsia="Calibri" w:hAnsi="Cambria Math" w:cs="Arial"/>
                      <w:i/>
                      <w:color w:val="373737" w:themeColor="text1"/>
                      <w:sz w:val="22"/>
                      <w:lang w:val="en-US"/>
                    </w:rPr>
                  </m:ctrlPr>
                </m:sSubPr>
                <m:e>
                  <m:r>
                    <w:rPr>
                      <w:rFonts w:ascii="Cambria Math" w:eastAsia="Calibri" w:hAnsi="Cambria Math" w:cs="Arial"/>
                      <w:color w:val="373737" w:themeColor="text1"/>
                      <w:sz w:val="22"/>
                      <w:lang w:val="en-US"/>
                    </w:rPr>
                    <m:t>W</m:t>
                  </m:r>
                </m:e>
                <m:sub>
                  <m:r>
                    <w:rPr>
                      <w:rFonts w:ascii="Cambria Math" w:eastAsia="Calibri" w:hAnsi="Cambria Math" w:cs="Arial"/>
                      <w:color w:val="373737" w:themeColor="text1"/>
                      <w:sz w:val="22"/>
                      <w:lang w:val="en-US"/>
                    </w:rPr>
                    <m:t>i</m:t>
                  </m:r>
                </m:sub>
              </m:sSub>
            </m:e>
          </m:d>
          <m:r>
            <w:rPr>
              <w:rFonts w:ascii="Cambria Math" w:eastAsia="Calibri" w:hAnsi="Cambria Math" w:cs="Arial"/>
              <w:color w:val="373737" w:themeColor="text1"/>
              <w:sz w:val="22"/>
              <w:lang w:val="en-US"/>
            </w:rPr>
            <m:t xml:space="preserve">= </m:t>
          </m:r>
          <m:d>
            <m:dPr>
              <m:begChr m:val="{"/>
              <m:endChr m:val=""/>
              <m:ctrlPr>
                <w:rPr>
                  <w:rFonts w:ascii="Cambria Math" w:eastAsia="Calibri" w:hAnsi="Cambria Math" w:cs="Arial"/>
                  <w:i/>
                  <w:color w:val="373737" w:themeColor="text1"/>
                  <w:sz w:val="22"/>
                  <w:lang w:val="en-US"/>
                </w:rPr>
              </m:ctrlPr>
            </m:dPr>
            <m:e>
              <m:eqArr>
                <m:eqArrPr>
                  <m:ctrlPr>
                    <w:rPr>
                      <w:rFonts w:ascii="Cambria Math" w:eastAsia="Calibri" w:hAnsi="Cambria Math" w:cs="Arial"/>
                      <w:i/>
                      <w:color w:val="373737" w:themeColor="text1"/>
                      <w:sz w:val="22"/>
                      <w:lang w:val="en-US"/>
                    </w:rPr>
                  </m:ctrlPr>
                </m:eqArrPr>
                <m:e>
                  <m:sSub>
                    <m:sSubPr>
                      <m:ctrlPr>
                        <w:rPr>
                          <w:rFonts w:ascii="Cambria Math" w:eastAsia="Calibri" w:hAnsi="Cambria Math" w:cs="Arial"/>
                          <w:i/>
                          <w:color w:val="373737" w:themeColor="text1"/>
                          <w:sz w:val="22"/>
                          <w:lang w:val="en-US"/>
                        </w:rPr>
                      </m:ctrlPr>
                    </m:sSubPr>
                    <m:e>
                      <m:r>
                        <w:rPr>
                          <w:rFonts w:ascii="Cambria Math" w:eastAsia="Calibri" w:hAnsi="Cambria Math" w:cs="Arial"/>
                          <w:color w:val="373737" w:themeColor="text1"/>
                          <w:sz w:val="22"/>
                          <w:lang w:val="en-US"/>
                        </w:rPr>
                        <m:t>Y</m:t>
                      </m:r>
                    </m:e>
                    <m:sub>
                      <m:r>
                        <w:rPr>
                          <w:rFonts w:ascii="Cambria Math" w:eastAsia="Calibri" w:hAnsi="Cambria Math" w:cs="Arial"/>
                          <w:color w:val="373737" w:themeColor="text1"/>
                          <w:sz w:val="22"/>
                          <w:lang w:val="en-US"/>
                        </w:rPr>
                        <m:t>i</m:t>
                      </m:r>
                    </m:sub>
                  </m:sSub>
                  <m:d>
                    <m:dPr>
                      <m:ctrlPr>
                        <w:rPr>
                          <w:rFonts w:ascii="Cambria Math" w:eastAsia="Calibri" w:hAnsi="Cambria Math" w:cs="Arial"/>
                          <w:i/>
                          <w:color w:val="373737" w:themeColor="text1"/>
                          <w:sz w:val="22"/>
                          <w:lang w:val="en-US"/>
                        </w:rPr>
                      </m:ctrlPr>
                    </m:dPr>
                    <m:e>
                      <m:r>
                        <w:rPr>
                          <w:rFonts w:ascii="Cambria Math" w:eastAsia="Calibri" w:hAnsi="Cambria Math" w:cs="Arial"/>
                          <w:color w:val="373737" w:themeColor="text1"/>
                          <w:sz w:val="22"/>
                          <w:lang w:val="en-US"/>
                        </w:rPr>
                        <m:t>0</m:t>
                      </m:r>
                    </m:e>
                  </m:d>
                  <m:r>
                    <w:rPr>
                      <w:rFonts w:ascii="Cambria Math" w:eastAsia="Calibri" w:hAnsi="Cambria Math" w:cs="Arial"/>
                      <w:color w:val="373737" w:themeColor="text1"/>
                      <w:sz w:val="22"/>
                      <w:lang w:val="en-US"/>
                    </w:rPr>
                    <m:t xml:space="preserve">           if </m:t>
                  </m:r>
                  <m:sSub>
                    <m:sSubPr>
                      <m:ctrlPr>
                        <w:rPr>
                          <w:rFonts w:ascii="Cambria Math" w:eastAsia="Calibri" w:hAnsi="Cambria Math" w:cs="Arial"/>
                          <w:i/>
                          <w:color w:val="373737" w:themeColor="text1"/>
                          <w:sz w:val="22"/>
                          <w:lang w:val="en-US"/>
                        </w:rPr>
                      </m:ctrlPr>
                    </m:sSubPr>
                    <m:e>
                      <m:r>
                        <w:rPr>
                          <w:rFonts w:ascii="Cambria Math" w:eastAsia="Calibri" w:hAnsi="Cambria Math" w:cs="Arial"/>
                          <w:color w:val="373737" w:themeColor="text1"/>
                          <w:sz w:val="22"/>
                          <w:lang w:val="en-US"/>
                        </w:rPr>
                        <m:t>W</m:t>
                      </m:r>
                    </m:e>
                    <m:sub>
                      <m:r>
                        <w:rPr>
                          <w:rFonts w:ascii="Cambria Math" w:eastAsia="Calibri" w:hAnsi="Cambria Math" w:cs="Arial"/>
                          <w:color w:val="373737" w:themeColor="text1"/>
                          <w:sz w:val="22"/>
                          <w:lang w:val="en-US"/>
                        </w:rPr>
                        <m:t>i</m:t>
                      </m:r>
                    </m:sub>
                  </m:sSub>
                  <m:r>
                    <w:rPr>
                      <w:rFonts w:ascii="Cambria Math" w:eastAsia="Calibri" w:hAnsi="Cambria Math" w:cs="Arial"/>
                      <w:color w:val="373737" w:themeColor="text1"/>
                      <w:sz w:val="22"/>
                      <w:lang w:val="en-US"/>
                    </w:rPr>
                    <m:t>(non-sponsor)=0</m:t>
                  </m:r>
                </m:e>
                <m:e>
                  <m:sSub>
                    <m:sSubPr>
                      <m:ctrlPr>
                        <w:rPr>
                          <w:rFonts w:ascii="Cambria Math" w:eastAsia="Calibri" w:hAnsi="Cambria Math" w:cs="Arial"/>
                          <w:i/>
                          <w:color w:val="373737" w:themeColor="text1"/>
                          <w:sz w:val="22"/>
                          <w:lang w:val="en-US"/>
                        </w:rPr>
                      </m:ctrlPr>
                    </m:sSubPr>
                    <m:e>
                      <m:r>
                        <w:rPr>
                          <w:rFonts w:ascii="Cambria Math" w:eastAsia="Calibri" w:hAnsi="Cambria Math" w:cs="Arial"/>
                          <w:color w:val="373737" w:themeColor="text1"/>
                          <w:sz w:val="22"/>
                          <w:lang w:val="en-US"/>
                        </w:rPr>
                        <m:t>Y</m:t>
                      </m:r>
                    </m:e>
                    <m:sub>
                      <m:r>
                        <w:rPr>
                          <w:rFonts w:ascii="Cambria Math" w:eastAsia="Calibri" w:hAnsi="Cambria Math" w:cs="Arial"/>
                          <w:color w:val="373737" w:themeColor="text1"/>
                          <w:sz w:val="22"/>
                          <w:lang w:val="en-US"/>
                        </w:rPr>
                        <m:t xml:space="preserve">i </m:t>
                      </m:r>
                    </m:sub>
                  </m:sSub>
                  <m:d>
                    <m:dPr>
                      <m:ctrlPr>
                        <w:rPr>
                          <w:rFonts w:ascii="Cambria Math" w:eastAsia="Calibri" w:hAnsi="Cambria Math" w:cs="Arial"/>
                          <w:i/>
                          <w:color w:val="373737" w:themeColor="text1"/>
                          <w:sz w:val="22"/>
                          <w:lang w:val="en-US"/>
                        </w:rPr>
                      </m:ctrlPr>
                    </m:dPr>
                    <m:e>
                      <m:r>
                        <w:rPr>
                          <w:rFonts w:ascii="Cambria Math" w:eastAsia="Calibri" w:hAnsi="Cambria Math" w:cs="Arial"/>
                          <w:color w:val="373737" w:themeColor="text1"/>
                          <w:sz w:val="22"/>
                          <w:lang w:val="en-US"/>
                        </w:rPr>
                        <m:t>1</m:t>
                      </m:r>
                    </m:e>
                  </m:d>
                  <m:r>
                    <w:rPr>
                      <w:rFonts w:ascii="Cambria Math" w:eastAsia="Calibri" w:hAnsi="Cambria Math" w:cs="Arial"/>
                      <w:color w:val="373737" w:themeColor="text1"/>
                      <w:sz w:val="22"/>
                      <w:lang w:val="en-US"/>
                    </w:rPr>
                    <m:t xml:space="preserve">                       if </m:t>
                  </m:r>
                  <m:sSub>
                    <m:sSubPr>
                      <m:ctrlPr>
                        <w:rPr>
                          <w:rFonts w:ascii="Cambria Math" w:eastAsia="Calibri" w:hAnsi="Cambria Math" w:cs="Arial"/>
                          <w:i/>
                          <w:color w:val="373737" w:themeColor="text1"/>
                          <w:sz w:val="22"/>
                          <w:lang w:val="en-US"/>
                        </w:rPr>
                      </m:ctrlPr>
                    </m:sSubPr>
                    <m:e>
                      <m:r>
                        <w:rPr>
                          <w:rFonts w:ascii="Cambria Math" w:eastAsia="Calibri" w:hAnsi="Cambria Math" w:cs="Arial"/>
                          <w:color w:val="373737" w:themeColor="text1"/>
                          <w:sz w:val="22"/>
                          <w:lang w:val="en-US"/>
                        </w:rPr>
                        <m:t>W</m:t>
                      </m:r>
                    </m:e>
                    <m:sub>
                      <m:r>
                        <w:rPr>
                          <w:rFonts w:ascii="Cambria Math" w:eastAsia="Calibri" w:hAnsi="Cambria Math" w:cs="Arial"/>
                          <w:color w:val="373737" w:themeColor="text1"/>
                          <w:sz w:val="22"/>
                          <w:lang w:val="en-US"/>
                        </w:rPr>
                        <m:t>i</m:t>
                      </m:r>
                    </m:sub>
                  </m:sSub>
                  <m:r>
                    <w:rPr>
                      <w:rFonts w:ascii="Cambria Math" w:eastAsia="Calibri" w:hAnsi="Cambria Math" w:cs="Arial"/>
                      <w:color w:val="373737" w:themeColor="text1"/>
                      <w:sz w:val="22"/>
                      <w:lang w:val="en-US"/>
                    </w:rPr>
                    <m:t>(sponsor)=1</m:t>
                  </m:r>
                </m:e>
              </m:eqArr>
            </m:e>
          </m:d>
        </m:oMath>
      </m:oMathPara>
    </w:p>
    <w:p w14:paraId="6F3E8270" w14:textId="77777777" w:rsidR="00285F19" w:rsidRPr="0039404C" w:rsidRDefault="00285F19" w:rsidP="002F2E2B">
      <w:pPr>
        <w:pStyle w:val="BodyText"/>
      </w:pPr>
      <w:r w:rsidRPr="0039404C">
        <w:t>Since only one of the two outcomes is observed we must estimate the other unobserved potential outcome for each individual firm in the sample.</w:t>
      </w:r>
    </w:p>
    <w:p w14:paraId="4C1F0729" w14:textId="77777777" w:rsidR="00285F19" w:rsidRPr="0039404C" w:rsidRDefault="00285F19" w:rsidP="002F2E2B">
      <w:pPr>
        <w:pStyle w:val="BodyText"/>
      </w:pPr>
      <w:r w:rsidRPr="0039404C">
        <w:t xml:space="preserve">If the decision to sponsor is random for individual firms with similar characteristics (often referred to as pre-treatment variables or covariates) then </w:t>
      </w:r>
      <w:r w:rsidRPr="0039404C">
        <w:lastRenderedPageBreak/>
        <w:t>the average outcome of similar firms that were non-sponsors can be used to estimate the unobserved outcome for the sponsoring firms.</w:t>
      </w:r>
    </w:p>
    <w:p w14:paraId="5D628F20" w14:textId="77777777" w:rsidR="00285F19" w:rsidRPr="005A6170" w:rsidRDefault="00285F19" w:rsidP="002F2E2B">
      <w:pPr>
        <w:pStyle w:val="BodyText"/>
      </w:pPr>
      <w:r w:rsidRPr="0039404C">
        <w:t>To ensure that the matching estimators</w:t>
      </w:r>
      <w:r w:rsidRPr="005A6170">
        <w:t xml:space="preserve"> identify and consistently estimate the treatment effects, it is assumed that: </w:t>
      </w:r>
    </w:p>
    <w:p w14:paraId="2919B9A9" w14:textId="77777777" w:rsidR="00285F19" w:rsidRPr="005A6170" w:rsidRDefault="00285F19" w:rsidP="002F2E2B">
      <w:pPr>
        <w:pStyle w:val="BodyText"/>
        <w:rPr>
          <w:rFonts w:cs="Arial"/>
        </w:rPr>
      </w:pPr>
      <w:r w:rsidRPr="005A6170">
        <w:rPr>
          <w:rFonts w:cs="Arial"/>
        </w:rPr>
        <w:t xml:space="preserve">For all </w:t>
      </w:r>
      <m:oMath>
        <m:r>
          <w:rPr>
            <w:rFonts w:ascii="Cambria Math" w:hAnsi="Cambria Math" w:cs="Arial"/>
          </w:rPr>
          <m:t>x</m:t>
        </m:r>
      </m:oMath>
      <w:r w:rsidRPr="005A6170">
        <w:rPr>
          <w:rFonts w:cs="Arial"/>
        </w:rPr>
        <w:t xml:space="preserve"> in the support of </w:t>
      </w:r>
      <m:oMath>
        <m:r>
          <w:rPr>
            <w:rFonts w:ascii="Cambria Math" w:hAnsi="Cambria Math" w:cs="Arial"/>
          </w:rPr>
          <m:t>X</m:t>
        </m:r>
        <m:r>
          <m:rPr>
            <m:sty m:val="p"/>
          </m:rPr>
          <w:rPr>
            <w:rFonts w:ascii="Cambria Math" w:hAnsi="Cambria Math" w:cs="Arial"/>
          </w:rPr>
          <m:t>,</m:t>
        </m:r>
      </m:oMath>
    </w:p>
    <w:p w14:paraId="5AF4459C" w14:textId="77777777" w:rsidR="00285F19" w:rsidRPr="0039404C" w:rsidRDefault="00285F19" w:rsidP="002F2E2B">
      <w:pPr>
        <w:pStyle w:val="BodyText"/>
      </w:pPr>
      <m:oMath>
        <m:r>
          <w:rPr>
            <w:rFonts w:ascii="Cambria Math" w:hAnsi="Cambria Math"/>
          </w:rPr>
          <m:t>W</m:t>
        </m:r>
      </m:oMath>
      <w:r w:rsidRPr="0039404C">
        <w:t xml:space="preserve"> (Decision to sponsor or in general the ‘treatment’) is independent of </w:t>
      </w:r>
      <m:oMath>
        <m:r>
          <m:rPr>
            <m:sty m:val="p"/>
          </m:rPr>
          <w:rPr>
            <w:rFonts w:ascii="Cambria Math" w:hAnsi="Cambria Math"/>
          </w:rPr>
          <m:t>(</m:t>
        </m:r>
        <m:r>
          <w:rPr>
            <w:rFonts w:ascii="Cambria Math" w:hAnsi="Cambria Math"/>
          </w:rPr>
          <m:t>Y</m:t>
        </m:r>
        <m:d>
          <m:dPr>
            <m:ctrlPr>
              <w:rPr>
                <w:rFonts w:ascii="Cambria Math" w:hAnsi="Cambria Math"/>
              </w:rPr>
            </m:ctrlPr>
          </m:dPr>
          <m:e>
            <m:r>
              <m:rPr>
                <m:sty m:val="p"/>
              </m:rPr>
              <w:rPr>
                <w:rFonts w:ascii="Cambria Math" w:hAnsi="Cambria Math"/>
              </w:rPr>
              <m:t>0</m:t>
            </m:r>
          </m:e>
        </m:d>
        <m:r>
          <m:rPr>
            <m:sty m:val="p"/>
          </m:rPr>
          <w:rPr>
            <w:rFonts w:ascii="Cambria Math" w:hAnsi="Cambria Math"/>
          </w:rPr>
          <m:t xml:space="preserve">, </m:t>
        </m:r>
        <m:r>
          <w:rPr>
            <w:rFonts w:ascii="Cambria Math" w:hAnsi="Cambria Math"/>
          </w:rPr>
          <m:t>Y</m:t>
        </m:r>
        <m:d>
          <m:dPr>
            <m:ctrlPr>
              <w:rPr>
                <w:rFonts w:ascii="Cambria Math" w:hAnsi="Cambria Math"/>
              </w:rPr>
            </m:ctrlPr>
          </m:dPr>
          <m:e>
            <m:r>
              <m:rPr>
                <m:sty m:val="p"/>
              </m:rPr>
              <w:rPr>
                <w:rFonts w:ascii="Cambria Math" w:hAnsi="Cambria Math"/>
              </w:rPr>
              <m:t>1</m:t>
            </m:r>
          </m:e>
        </m:d>
        <m:r>
          <m:rPr>
            <m:sty m:val="p"/>
          </m:rPr>
          <w:rPr>
            <w:rFonts w:ascii="Cambria Math" w:hAnsi="Cambria Math"/>
          </w:rPr>
          <m:t>)</m:t>
        </m:r>
      </m:oMath>
      <w:r w:rsidRPr="0039404C">
        <w:t xml:space="preserve"> conditional on </w:t>
      </w:r>
      <m:oMath>
        <m:r>
          <w:rPr>
            <w:rFonts w:ascii="Cambria Math" w:hAnsi="Cambria Math"/>
          </w:rPr>
          <m:t>X</m:t>
        </m:r>
        <m:r>
          <m:rPr>
            <m:sty m:val="p"/>
          </m:rPr>
          <w:rPr>
            <w:rFonts w:ascii="Cambria Math" w:hAnsi="Cambria Math"/>
          </w:rPr>
          <m:t>=</m:t>
        </m:r>
        <m:r>
          <w:rPr>
            <w:rFonts w:ascii="Cambria Math" w:hAnsi="Cambria Math"/>
          </w:rPr>
          <m:t>x</m:t>
        </m:r>
      </m:oMath>
      <w:r w:rsidRPr="0039404C">
        <w:t>. This is referred to as un-confoundedness or ‘selection on observables’.</w:t>
      </w:r>
    </w:p>
    <w:p w14:paraId="681F5ADE" w14:textId="77777777" w:rsidR="00285F19" w:rsidRPr="005A6170" w:rsidRDefault="00285F19" w:rsidP="002F2E2B">
      <w:pPr>
        <w:pStyle w:val="BodyText"/>
        <w:rPr>
          <w:rFonts w:cs="Arial"/>
        </w:rPr>
      </w:pPr>
      <w:r w:rsidRPr="005A6170">
        <w:rPr>
          <w:rFonts w:cs="Arial"/>
        </w:rPr>
        <w:t>Additionally it is also assumed that:</w:t>
      </w:r>
    </w:p>
    <w:p w14:paraId="15EDF7C1" w14:textId="77777777" w:rsidR="00285F19" w:rsidRPr="005A6170" w:rsidRDefault="00285F19" w:rsidP="002F2E2B">
      <w:pPr>
        <w:pStyle w:val="BodyText"/>
        <w:rPr>
          <w:rFonts w:cs="Arial"/>
        </w:rPr>
      </w:pPr>
      <m:oMath>
        <m:r>
          <w:rPr>
            <w:rFonts w:ascii="Cambria Math" w:hAnsi="Cambria Math" w:cs="Arial"/>
          </w:rPr>
          <m:t>c</m:t>
        </m:r>
        <m:r>
          <m:rPr>
            <m:sty m:val="p"/>
          </m:rPr>
          <w:rPr>
            <w:rFonts w:ascii="Cambria Math" w:hAnsi="Cambria Math" w:cs="Arial"/>
          </w:rPr>
          <m:t>&lt;</m:t>
        </m:r>
        <m:func>
          <m:funcPr>
            <m:ctrlPr>
              <w:rPr>
                <w:rFonts w:ascii="Cambria Math" w:hAnsi="Cambria Math" w:cs="Arial"/>
              </w:rPr>
            </m:ctrlPr>
          </m:funcPr>
          <m:fName>
            <m:r>
              <m:rPr>
                <m:sty m:val="p"/>
              </m:rPr>
              <w:rPr>
                <w:rFonts w:ascii="Cambria Math" w:hAnsi="Cambria Math" w:cs="Arial"/>
              </w:rPr>
              <m:t>Pr</m:t>
            </m:r>
          </m:fName>
          <m:e>
            <m:d>
              <m:dPr>
                <m:endChr m:val="|"/>
                <m:ctrlPr>
                  <w:rPr>
                    <w:rFonts w:ascii="Cambria Math" w:hAnsi="Cambria Math" w:cs="Arial"/>
                  </w:rPr>
                </m:ctrlPr>
              </m:dPr>
              <m:e>
                <m:r>
                  <w:rPr>
                    <w:rFonts w:ascii="Cambria Math" w:hAnsi="Cambria Math" w:cs="Arial"/>
                  </w:rPr>
                  <m:t>W</m:t>
                </m:r>
                <m:r>
                  <m:rPr>
                    <m:sty m:val="p"/>
                  </m:rPr>
                  <w:rPr>
                    <w:rFonts w:ascii="Cambria Math" w:hAnsi="Cambria Math" w:cs="Arial"/>
                  </w:rPr>
                  <m:t xml:space="preserve">=1 </m:t>
                </m:r>
              </m:e>
            </m:d>
            <m:r>
              <w:rPr>
                <w:rFonts w:ascii="Cambria Math" w:hAnsi="Cambria Math" w:cs="Arial"/>
              </w:rPr>
              <m:t>X</m:t>
            </m:r>
            <m:r>
              <m:rPr>
                <m:sty m:val="p"/>
              </m:rPr>
              <w:rPr>
                <w:rFonts w:ascii="Cambria Math" w:hAnsi="Cambria Math" w:cs="Arial"/>
              </w:rPr>
              <m:t>=</m:t>
            </m:r>
            <m:r>
              <w:rPr>
                <w:rFonts w:ascii="Cambria Math" w:hAnsi="Cambria Math" w:cs="Arial"/>
              </w:rPr>
              <m:t>x</m:t>
            </m:r>
            <m:r>
              <m:rPr>
                <m:sty m:val="p"/>
              </m:rPr>
              <w:rPr>
                <w:rFonts w:ascii="Cambria Math" w:hAnsi="Cambria Math" w:cs="Arial"/>
              </w:rPr>
              <m:t>)&lt;1-</m:t>
            </m:r>
            <m:r>
              <w:rPr>
                <w:rFonts w:ascii="Cambria Math" w:hAnsi="Cambria Math" w:cs="Arial"/>
              </w:rPr>
              <m:t>c</m:t>
            </m:r>
            <m:r>
              <m:rPr>
                <m:sty m:val="p"/>
              </m:rPr>
              <w:rPr>
                <w:rFonts w:ascii="Cambria Math" w:hAnsi="Cambria Math" w:cs="Arial"/>
              </w:rPr>
              <m:t xml:space="preserve">, </m:t>
            </m:r>
          </m:e>
        </m:func>
      </m:oMath>
      <w:r w:rsidRPr="005A6170">
        <w:rPr>
          <w:rFonts w:cs="Arial"/>
        </w:rPr>
        <w:t xml:space="preserve"> for some </w:t>
      </w:r>
      <m:oMath>
        <m:r>
          <w:rPr>
            <w:rFonts w:ascii="Cambria Math" w:hAnsi="Cambria Math" w:cs="Arial"/>
          </w:rPr>
          <m:t>c</m:t>
        </m:r>
        <m:r>
          <m:rPr>
            <m:sty m:val="p"/>
          </m:rPr>
          <w:rPr>
            <w:rFonts w:ascii="Cambria Math" w:hAnsi="Cambria Math" w:cs="Arial"/>
          </w:rPr>
          <m:t>&gt;0</m:t>
        </m:r>
      </m:oMath>
    </w:p>
    <w:p w14:paraId="65465950" w14:textId="77777777" w:rsidR="00285F19" w:rsidRPr="005A6170" w:rsidRDefault="00285F19" w:rsidP="002F2E2B">
      <w:pPr>
        <w:pStyle w:val="BodyText"/>
        <w:rPr>
          <w:rFonts w:cs="Arial"/>
        </w:rPr>
      </w:pPr>
      <w:r w:rsidRPr="005A6170">
        <w:rPr>
          <w:rFonts w:cs="Arial"/>
        </w:rPr>
        <w:t>This is referred to as the identification assumption, and states that the probability of assignment to the treatment is bounded away from 0 and 1. This assumption is also known as the overlap assumption. Essentially the overlap assumpti</w:t>
      </w:r>
      <w:r>
        <w:rPr>
          <w:rFonts w:cs="Arial"/>
        </w:rPr>
        <w:t xml:space="preserve">on must hold otherwise, if all businesses </w:t>
      </w:r>
      <w:r w:rsidRPr="005A6170">
        <w:rPr>
          <w:rFonts w:cs="Arial"/>
        </w:rPr>
        <w:t>with similar characteristics (covariates) choose the treatment</w:t>
      </w:r>
      <w:r>
        <w:rPr>
          <w:rFonts w:cs="Arial"/>
        </w:rPr>
        <w:t xml:space="preserve"> (sponsored, </w:t>
      </w:r>
      <w:r w:rsidRPr="005A6170">
        <w:rPr>
          <w:rFonts w:cs="Arial"/>
        </w:rPr>
        <w:t xml:space="preserve">probability of 1) or </w:t>
      </w:r>
      <w:r>
        <w:rPr>
          <w:rFonts w:cs="Arial"/>
        </w:rPr>
        <w:t>did not receive</w:t>
      </w:r>
      <w:r w:rsidRPr="005A6170">
        <w:rPr>
          <w:rFonts w:cs="Arial"/>
        </w:rPr>
        <w:t xml:space="preserve"> treatment (</w:t>
      </w:r>
      <w:r>
        <w:rPr>
          <w:rFonts w:cs="Arial"/>
        </w:rPr>
        <w:t xml:space="preserve">chose not to sponsor, </w:t>
      </w:r>
      <w:r w:rsidRPr="005A6170">
        <w:rPr>
          <w:rFonts w:cs="Arial"/>
        </w:rPr>
        <w:t xml:space="preserve">probability of 0), there would be no observations on similar </w:t>
      </w:r>
      <w:r>
        <w:rPr>
          <w:rFonts w:cs="Arial"/>
        </w:rPr>
        <w:t>businesses</w:t>
      </w:r>
      <w:r w:rsidRPr="005A6170">
        <w:rPr>
          <w:rFonts w:cs="Arial"/>
        </w:rPr>
        <w:t xml:space="preserve"> i</w:t>
      </w:r>
      <w:r>
        <w:rPr>
          <w:rFonts w:cs="Arial"/>
        </w:rPr>
        <w:t>n the opposite outcome category</w:t>
      </w:r>
      <w:r w:rsidRPr="005A6170">
        <w:rPr>
          <w:rFonts w:cs="Arial"/>
        </w:rPr>
        <w:t xml:space="preserve"> which could be used for comparison.</w:t>
      </w:r>
    </w:p>
    <w:p w14:paraId="56DD46BA" w14:textId="77777777" w:rsidR="00285F19" w:rsidRPr="005A6170" w:rsidRDefault="00285F19" w:rsidP="002F2E2B">
      <w:pPr>
        <w:pStyle w:val="BodyText"/>
        <w:rPr>
          <w:rFonts w:cs="Arial"/>
        </w:rPr>
      </w:pPr>
      <w:r w:rsidRPr="005A6170">
        <w:rPr>
          <w:rFonts w:cs="Arial"/>
        </w:rPr>
        <w:t>The nearest ne</w:t>
      </w:r>
      <w:r>
        <w:rPr>
          <w:rFonts w:cs="Arial"/>
        </w:rPr>
        <w:t xml:space="preserve">ighbour matching estimator </w:t>
      </w:r>
      <w:r w:rsidRPr="005A6170">
        <w:rPr>
          <w:rFonts w:cs="Arial"/>
        </w:rPr>
        <w:t xml:space="preserve">uses a scaling matrix </w:t>
      </w:r>
      <m:oMath>
        <m:r>
          <w:rPr>
            <w:rFonts w:ascii="Cambria Math" w:hAnsi="Cambria Math" w:cs="Arial"/>
          </w:rPr>
          <m:t>S</m:t>
        </m:r>
      </m:oMath>
      <w:r w:rsidRPr="005A6170">
        <w:rPr>
          <w:rFonts w:cs="Arial"/>
        </w:rPr>
        <w:t xml:space="preserve"> to determine the distance between vector covariate patterns (characteristics) to weight observations and find a close match for each individual</w:t>
      </w:r>
      <w:r>
        <w:rPr>
          <w:rFonts w:cs="Arial"/>
        </w:rPr>
        <w:t xml:space="preserve"> firm</w:t>
      </w:r>
      <w:r w:rsidRPr="005A6170">
        <w:rPr>
          <w:rFonts w:cs="Arial"/>
        </w:rPr>
        <w:t xml:space="preserve"> from the other group (treated or untreated). Specifically, the Mahalanobis Distance, which is the inverse of the sa</w:t>
      </w:r>
      <w:r>
        <w:rPr>
          <w:rFonts w:cs="Arial"/>
        </w:rPr>
        <w:t>mple covariate covariance matrix</w:t>
      </w:r>
      <w:r w:rsidRPr="005A6170">
        <w:rPr>
          <w:rFonts w:cs="Arial"/>
        </w:rPr>
        <w:t xml:space="preserve"> is used: </w:t>
      </w:r>
    </w:p>
    <w:p w14:paraId="01EF204C" w14:textId="77777777" w:rsidR="00285F19" w:rsidRPr="0096348E" w:rsidRDefault="00285F19" w:rsidP="002F2E2B">
      <w:pPr>
        <w:spacing w:after="160" w:line="259" w:lineRule="auto"/>
        <w:ind w:left="0"/>
        <w:jc w:val="left"/>
        <w:rPr>
          <w:rFonts w:eastAsia="Times New Roman" w:cs="Arial"/>
          <w:color w:val="373737" w:themeColor="text1"/>
          <w:sz w:val="22"/>
          <w:lang w:val="en-US"/>
        </w:rPr>
      </w:pPr>
      <m:oMathPara>
        <m:oMath>
          <m:r>
            <w:rPr>
              <w:rFonts w:ascii="Cambria Math" w:eastAsia="Times New Roman" w:hAnsi="Cambria Math" w:cs="Arial"/>
              <w:color w:val="373737" w:themeColor="text1"/>
              <w:sz w:val="22"/>
              <w:lang w:val="en-US"/>
            </w:rPr>
            <m:t xml:space="preserve">S= </m:t>
          </m:r>
          <m:f>
            <m:fPr>
              <m:ctrlPr>
                <w:rPr>
                  <w:rFonts w:ascii="Cambria Math" w:eastAsia="Times New Roman" w:hAnsi="Cambria Math" w:cs="Arial"/>
                  <w:i/>
                  <w:color w:val="373737" w:themeColor="text1"/>
                  <w:sz w:val="22"/>
                  <w:lang w:val="en-US"/>
                </w:rPr>
              </m:ctrlPr>
            </m:fPr>
            <m:num>
              <m:r>
                <w:rPr>
                  <w:rFonts w:ascii="Cambria Math" w:eastAsia="Times New Roman" w:hAnsi="Cambria Math" w:cs="Arial"/>
                  <w:color w:val="373737" w:themeColor="text1"/>
                  <w:sz w:val="22"/>
                  <w:lang w:val="en-US"/>
                </w:rPr>
                <m:t>(X-</m:t>
              </m:r>
              <m:acc>
                <m:accPr>
                  <m:chr m:val="̅"/>
                  <m:ctrlPr>
                    <w:rPr>
                      <w:rFonts w:ascii="Cambria Math" w:eastAsia="Times New Roman" w:hAnsi="Cambria Math" w:cs="Arial"/>
                      <w:i/>
                      <w:color w:val="373737" w:themeColor="text1"/>
                      <w:sz w:val="22"/>
                      <w:lang w:val="en-US"/>
                    </w:rPr>
                  </m:ctrlPr>
                </m:accPr>
                <m:e>
                  <m:r>
                    <w:rPr>
                      <w:rFonts w:ascii="Cambria Math" w:eastAsia="Times New Roman" w:hAnsi="Cambria Math" w:cs="Arial"/>
                      <w:color w:val="373737" w:themeColor="text1"/>
                      <w:sz w:val="22"/>
                      <w:lang w:val="en-US"/>
                    </w:rPr>
                    <m:t>x</m:t>
                  </m:r>
                </m:e>
              </m:acc>
              <m:r>
                <w:rPr>
                  <w:rFonts w:ascii="Cambria Math" w:eastAsia="Times New Roman" w:hAnsi="Cambria Math" w:cs="Arial"/>
                  <w:color w:val="373737" w:themeColor="text1"/>
                  <w:sz w:val="22"/>
                  <w:lang w:val="en-US"/>
                </w:rPr>
                <m:t>'</m:t>
              </m:r>
              <m:sSub>
                <m:sSubPr>
                  <m:ctrlPr>
                    <w:rPr>
                      <w:rFonts w:ascii="Cambria Math" w:eastAsia="Times New Roman" w:hAnsi="Cambria Math" w:cs="Arial"/>
                      <w:i/>
                      <w:color w:val="373737" w:themeColor="text1"/>
                      <w:sz w:val="22"/>
                      <w:lang w:val="en-US"/>
                    </w:rPr>
                  </m:ctrlPr>
                </m:sSubPr>
                <m:e>
                  <m:r>
                    <w:rPr>
                      <w:rFonts w:ascii="Cambria Math" w:eastAsia="Times New Roman" w:hAnsi="Cambria Math" w:cs="Arial"/>
                      <w:color w:val="373737" w:themeColor="text1"/>
                      <w:sz w:val="22"/>
                      <w:lang w:val="en-US"/>
                    </w:rPr>
                    <m:t>1</m:t>
                  </m:r>
                </m:e>
                <m:sub>
                  <m:r>
                    <w:rPr>
                      <w:rFonts w:ascii="Cambria Math" w:eastAsia="Times New Roman" w:hAnsi="Cambria Math" w:cs="Arial"/>
                      <w:color w:val="373737" w:themeColor="text1"/>
                      <w:sz w:val="22"/>
                      <w:lang w:val="en-US"/>
                    </w:rPr>
                    <m:t>n</m:t>
                  </m:r>
                </m:sub>
              </m:sSub>
              <m:r>
                <w:rPr>
                  <w:rFonts w:ascii="Cambria Math" w:eastAsia="Times New Roman" w:hAnsi="Cambria Math" w:cs="Arial"/>
                  <w:color w:val="373737" w:themeColor="text1"/>
                  <w:sz w:val="22"/>
                  <w:lang w:val="en-US"/>
                </w:rPr>
                <m:t>)'W(X-</m:t>
              </m:r>
              <m:acc>
                <m:accPr>
                  <m:chr m:val="̅"/>
                  <m:ctrlPr>
                    <w:rPr>
                      <w:rFonts w:ascii="Cambria Math" w:eastAsia="Times New Roman" w:hAnsi="Cambria Math" w:cs="Arial"/>
                      <w:i/>
                      <w:color w:val="373737" w:themeColor="text1"/>
                      <w:sz w:val="22"/>
                      <w:lang w:val="en-US"/>
                    </w:rPr>
                  </m:ctrlPr>
                </m:accPr>
                <m:e>
                  <m:r>
                    <w:rPr>
                      <w:rFonts w:ascii="Cambria Math" w:eastAsia="Times New Roman" w:hAnsi="Cambria Math" w:cs="Arial"/>
                      <w:color w:val="373737" w:themeColor="text1"/>
                      <w:sz w:val="22"/>
                      <w:lang w:val="en-US"/>
                    </w:rPr>
                    <m:t>x</m:t>
                  </m:r>
                </m:e>
              </m:acc>
              <m:r>
                <w:rPr>
                  <w:rFonts w:ascii="Cambria Math" w:eastAsia="Times New Roman" w:hAnsi="Cambria Math" w:cs="Arial"/>
                  <w:color w:val="373737" w:themeColor="text1"/>
                  <w:sz w:val="22"/>
                  <w:lang w:val="en-US"/>
                </w:rPr>
                <m:t>'</m:t>
              </m:r>
              <m:sSub>
                <m:sSubPr>
                  <m:ctrlPr>
                    <w:rPr>
                      <w:rFonts w:ascii="Cambria Math" w:eastAsia="Times New Roman" w:hAnsi="Cambria Math" w:cs="Arial"/>
                      <w:i/>
                      <w:color w:val="373737" w:themeColor="text1"/>
                      <w:sz w:val="22"/>
                      <w:lang w:val="en-US"/>
                    </w:rPr>
                  </m:ctrlPr>
                </m:sSubPr>
                <m:e>
                  <m:r>
                    <w:rPr>
                      <w:rFonts w:ascii="Cambria Math" w:eastAsia="Times New Roman" w:hAnsi="Cambria Math" w:cs="Arial"/>
                      <w:color w:val="373737" w:themeColor="text1"/>
                      <w:sz w:val="22"/>
                      <w:lang w:val="en-US"/>
                    </w:rPr>
                    <m:t>1</m:t>
                  </m:r>
                </m:e>
                <m:sub>
                  <m:r>
                    <w:rPr>
                      <w:rFonts w:ascii="Cambria Math" w:eastAsia="Times New Roman" w:hAnsi="Cambria Math" w:cs="Arial"/>
                      <w:color w:val="373737" w:themeColor="text1"/>
                      <w:sz w:val="22"/>
                      <w:lang w:val="en-US"/>
                    </w:rPr>
                    <m:t>n</m:t>
                  </m:r>
                </m:sub>
              </m:sSub>
              <m:r>
                <w:rPr>
                  <w:rFonts w:ascii="Cambria Math" w:eastAsia="Times New Roman" w:hAnsi="Cambria Math" w:cs="Arial"/>
                  <w:color w:val="373737" w:themeColor="text1"/>
                  <w:sz w:val="22"/>
                  <w:lang w:val="en-US"/>
                </w:rPr>
                <m:t>)</m:t>
              </m:r>
            </m:num>
            <m:den>
              <m:nary>
                <m:naryPr>
                  <m:chr m:val="∑"/>
                  <m:limLoc m:val="subSup"/>
                  <m:ctrlPr>
                    <w:rPr>
                      <w:rFonts w:ascii="Cambria Math" w:eastAsia="Times New Roman" w:hAnsi="Cambria Math" w:cs="Arial"/>
                      <w:i/>
                      <w:color w:val="373737" w:themeColor="text1"/>
                      <w:sz w:val="22"/>
                      <w:lang w:val="en-US"/>
                    </w:rPr>
                  </m:ctrlPr>
                </m:naryPr>
                <m:sub>
                  <m:r>
                    <w:rPr>
                      <w:rFonts w:ascii="Cambria Math" w:eastAsia="Times New Roman" w:hAnsi="Cambria Math" w:cs="Arial"/>
                      <w:color w:val="373737" w:themeColor="text1"/>
                      <w:sz w:val="22"/>
                      <w:lang w:val="en-US"/>
                    </w:rPr>
                    <m:t>i</m:t>
                  </m:r>
                </m:sub>
                <m:sup>
                  <m:r>
                    <w:rPr>
                      <w:rFonts w:ascii="Cambria Math" w:eastAsia="Times New Roman" w:hAnsi="Cambria Math" w:cs="Arial"/>
                      <w:color w:val="373737" w:themeColor="text1"/>
                      <w:sz w:val="22"/>
                      <w:lang w:val="en-US"/>
                    </w:rPr>
                    <m:t>n</m:t>
                  </m:r>
                </m:sup>
                <m:e>
                  <m:sSub>
                    <m:sSubPr>
                      <m:ctrlPr>
                        <w:rPr>
                          <w:rFonts w:ascii="Cambria Math" w:eastAsia="Times New Roman" w:hAnsi="Cambria Math" w:cs="Arial"/>
                          <w:i/>
                          <w:color w:val="373737" w:themeColor="text1"/>
                          <w:sz w:val="22"/>
                          <w:lang w:val="en-US"/>
                        </w:rPr>
                      </m:ctrlPr>
                    </m:sSubPr>
                    <m:e>
                      <m:r>
                        <w:rPr>
                          <w:rFonts w:ascii="Cambria Math" w:eastAsia="Times New Roman" w:hAnsi="Cambria Math" w:cs="Arial"/>
                          <w:color w:val="373737" w:themeColor="text1"/>
                          <w:sz w:val="22"/>
                          <w:lang w:val="en-US"/>
                        </w:rPr>
                        <m:t>w</m:t>
                      </m:r>
                    </m:e>
                    <m:sub>
                      <m:r>
                        <w:rPr>
                          <w:rFonts w:ascii="Cambria Math" w:eastAsia="Times New Roman" w:hAnsi="Cambria Math" w:cs="Arial"/>
                          <w:color w:val="373737" w:themeColor="text1"/>
                          <w:sz w:val="22"/>
                          <w:lang w:val="en-US"/>
                        </w:rPr>
                        <m:t>i</m:t>
                      </m:r>
                    </m:sub>
                  </m:sSub>
                  <m:r>
                    <w:rPr>
                      <w:rFonts w:ascii="Cambria Math" w:eastAsia="Times New Roman" w:hAnsi="Cambria Math" w:cs="Arial"/>
                      <w:color w:val="373737" w:themeColor="text1"/>
                      <w:sz w:val="22"/>
                      <w:lang w:val="en-US"/>
                    </w:rPr>
                    <m:t>-1</m:t>
                  </m:r>
                </m:e>
              </m:nary>
            </m:den>
          </m:f>
        </m:oMath>
      </m:oMathPara>
    </w:p>
    <w:p w14:paraId="4DB6A51A" w14:textId="77777777" w:rsidR="00285F19" w:rsidRPr="005A6170" w:rsidRDefault="00285F19" w:rsidP="002F2E2B">
      <w:pPr>
        <w:pStyle w:val="BodyText"/>
        <w:rPr>
          <w:rFonts w:cs="Arial"/>
        </w:rPr>
      </w:pPr>
      <w:r w:rsidRPr="005A6170">
        <w:rPr>
          <w:rFonts w:cs="Arial"/>
        </w:rPr>
        <w:t xml:space="preserve">Where </w:t>
      </w:r>
      <m:oMath>
        <m:sSub>
          <m:sSubPr>
            <m:ctrlPr>
              <w:rPr>
                <w:rFonts w:ascii="Cambria Math" w:hAnsi="Cambria Math" w:cs="Arial"/>
              </w:rPr>
            </m:ctrlPr>
          </m:sSubPr>
          <m:e>
            <m:r>
              <m:rPr>
                <m:sty m:val="p"/>
              </m:rPr>
              <w:rPr>
                <w:rFonts w:ascii="Cambria Math" w:hAnsi="Cambria Math" w:cs="Arial"/>
              </w:rPr>
              <m:t>1</m:t>
            </m:r>
          </m:e>
          <m:sub>
            <m:r>
              <w:rPr>
                <w:rFonts w:ascii="Cambria Math" w:hAnsi="Cambria Math" w:cs="Arial"/>
              </w:rPr>
              <m:t>n</m:t>
            </m:r>
          </m:sub>
        </m:sSub>
      </m:oMath>
      <w:r w:rsidRPr="005A6170">
        <w:rPr>
          <w:rFonts w:cs="Arial"/>
        </w:rPr>
        <w:t xml:space="preserve"> is a </w:t>
      </w:r>
      <m:oMath>
        <m:r>
          <w:rPr>
            <w:rFonts w:ascii="Cambria Math" w:hAnsi="Cambria Math" w:cs="Arial"/>
          </w:rPr>
          <m:t>n</m:t>
        </m:r>
      </m:oMath>
      <w:r w:rsidRPr="005A6170">
        <w:rPr>
          <w:rFonts w:cs="Arial"/>
        </w:rPr>
        <w:t xml:space="preserve"> x 1 vector of ones,</w:t>
      </w:r>
      <w:r>
        <w:rPr>
          <w:rFonts w:cs="Arial"/>
        </w:rPr>
        <w:t xml:space="preserve"> </w:t>
      </w:r>
      <m:oMath>
        <m:acc>
          <m:accPr>
            <m:chr m:val="̅"/>
            <m:ctrlPr>
              <w:rPr>
                <w:rFonts w:ascii="Cambria Math" w:hAnsi="Cambria Math" w:cs="Arial"/>
              </w:rPr>
            </m:ctrlPr>
          </m:accPr>
          <m:e>
            <m:r>
              <w:rPr>
                <w:rFonts w:ascii="Cambria Math" w:hAnsi="Cambria Math" w:cs="Arial"/>
              </w:rPr>
              <m:t>x</m:t>
            </m:r>
          </m:e>
        </m:acc>
        <m:r>
          <m:rPr>
            <m:sty m:val="p"/>
          </m:rPr>
          <w:rPr>
            <w:rFonts w:ascii="Cambria Math" w:hAnsi="Cambria Math" w:cs="Arial"/>
          </w:rPr>
          <m:t>=(</m:t>
        </m:r>
        <m:nary>
          <m:naryPr>
            <m:chr m:val="∑"/>
            <m:limLoc m:val="subSup"/>
            <m:ctrlPr>
              <w:rPr>
                <w:rFonts w:ascii="Cambria Math" w:hAnsi="Cambria Math" w:cs="Arial"/>
              </w:rPr>
            </m:ctrlPr>
          </m:naryPr>
          <m:sub>
            <m:r>
              <w:rPr>
                <w:rFonts w:ascii="Cambria Math" w:hAnsi="Cambria Math" w:cs="Arial"/>
              </w:rPr>
              <m:t>i</m:t>
            </m:r>
          </m:sub>
          <m:sup>
            <m:r>
              <w:rPr>
                <w:rFonts w:ascii="Cambria Math" w:hAnsi="Cambria Math" w:cs="Arial"/>
              </w:rPr>
              <m:t>n</m:t>
            </m:r>
          </m:sup>
          <m:e>
            <m:sSub>
              <m:sSubPr>
                <m:ctrlPr>
                  <w:rPr>
                    <w:rFonts w:ascii="Cambria Math" w:hAnsi="Cambria Math" w:cs="Arial"/>
                  </w:rPr>
                </m:ctrlPr>
              </m:sSubPr>
              <m:e>
                <m:r>
                  <w:rPr>
                    <w:rFonts w:ascii="Cambria Math" w:hAnsi="Cambria Math" w:cs="Arial"/>
                  </w:rPr>
                  <m:t>w</m:t>
                </m:r>
              </m:e>
              <m:sub>
                <m:r>
                  <w:rPr>
                    <w:rFonts w:ascii="Cambria Math" w:hAnsi="Cambria Math" w:cs="Arial"/>
                  </w:rPr>
                  <m:t>i</m:t>
                </m:r>
              </m:sub>
            </m:sSub>
            <m:sSub>
              <m:sSubPr>
                <m:ctrlPr>
                  <w:rPr>
                    <w:rFonts w:ascii="Cambria Math" w:hAnsi="Cambria Math" w:cs="Arial"/>
                  </w:rPr>
                </m:ctrlPr>
              </m:sSubPr>
              <m:e>
                <m:r>
                  <w:rPr>
                    <w:rFonts w:ascii="Cambria Math" w:hAnsi="Cambria Math" w:cs="Arial"/>
                  </w:rPr>
                  <m:t>x</m:t>
                </m:r>
              </m:e>
              <m:sub>
                <m:r>
                  <w:rPr>
                    <w:rFonts w:ascii="Cambria Math" w:hAnsi="Cambria Math" w:cs="Arial"/>
                  </w:rPr>
                  <m:t>i</m:t>
                </m:r>
              </m:sub>
            </m:sSub>
            <m:r>
              <m:rPr>
                <m:sty m:val="p"/>
              </m:rPr>
              <w:rPr>
                <w:rFonts w:ascii="Cambria Math" w:hAnsi="Cambria Math" w:cs="Arial"/>
              </w:rPr>
              <m:t>)/</m:t>
            </m:r>
          </m:e>
        </m:nary>
        <m:nary>
          <m:naryPr>
            <m:chr m:val="∑"/>
            <m:limLoc m:val="subSup"/>
            <m:ctrlPr>
              <w:rPr>
                <w:rFonts w:ascii="Cambria Math" w:hAnsi="Cambria Math" w:cs="Arial"/>
              </w:rPr>
            </m:ctrlPr>
          </m:naryPr>
          <m:sub>
            <m:r>
              <w:rPr>
                <w:rFonts w:ascii="Cambria Math" w:hAnsi="Cambria Math" w:cs="Arial"/>
              </w:rPr>
              <m:t>i</m:t>
            </m:r>
          </m:sub>
          <m:sup>
            <m:r>
              <w:rPr>
                <w:rFonts w:ascii="Cambria Math" w:hAnsi="Cambria Math" w:cs="Arial"/>
              </w:rPr>
              <m:t>n</m:t>
            </m:r>
          </m:sup>
          <m:e>
            <m:sSub>
              <m:sSubPr>
                <m:ctrlPr>
                  <w:rPr>
                    <w:rFonts w:ascii="Cambria Math" w:hAnsi="Cambria Math" w:cs="Arial"/>
                  </w:rPr>
                </m:ctrlPr>
              </m:sSubPr>
              <m:e>
                <m:r>
                  <w:rPr>
                    <w:rFonts w:ascii="Cambria Math" w:hAnsi="Cambria Math" w:cs="Arial"/>
                  </w:rPr>
                  <m:t>w</m:t>
                </m:r>
              </m:e>
              <m:sub>
                <m:r>
                  <w:rPr>
                    <w:rFonts w:ascii="Cambria Math" w:hAnsi="Cambria Math" w:cs="Arial"/>
                  </w:rPr>
                  <m:t>i</m:t>
                </m:r>
              </m:sub>
            </m:sSub>
          </m:e>
        </m:nary>
        <m:r>
          <m:rPr>
            <m:sty m:val="p"/>
          </m:rPr>
          <w:rPr>
            <w:rFonts w:ascii="Cambria Math" w:hAnsi="Cambria Math" w:cs="Arial"/>
          </w:rPr>
          <m:t>)</m:t>
        </m:r>
      </m:oMath>
      <w:r w:rsidRPr="005A6170">
        <w:rPr>
          <w:rFonts w:cs="Arial"/>
        </w:rPr>
        <w:t xml:space="preserve">, and </w:t>
      </w:r>
      <m:oMath>
        <m:r>
          <w:rPr>
            <w:rFonts w:ascii="Cambria Math" w:hAnsi="Cambria Math" w:cs="Arial"/>
          </w:rPr>
          <m:t>W</m:t>
        </m:r>
      </m:oMath>
      <w:r w:rsidRPr="005A6170">
        <w:rPr>
          <w:rFonts w:cs="Arial"/>
        </w:rPr>
        <w:t xml:space="preserve"> is an </w:t>
      </w:r>
      <m:oMath>
        <m:r>
          <w:rPr>
            <w:rFonts w:ascii="Cambria Math" w:hAnsi="Cambria Math" w:cs="Arial"/>
          </w:rPr>
          <m:t>n</m:t>
        </m:r>
      </m:oMath>
      <w:r w:rsidRPr="005A6170">
        <w:rPr>
          <w:rFonts w:cs="Arial"/>
        </w:rPr>
        <w:t xml:space="preserve"> x 1</w:t>
      </w:r>
      <w:r>
        <w:rPr>
          <w:rFonts w:cs="Arial"/>
        </w:rPr>
        <w:t xml:space="preserve"> </w:t>
      </w:r>
      <w:r w:rsidRPr="005A6170">
        <w:rPr>
          <w:rFonts w:cs="Arial"/>
        </w:rPr>
        <w:t>diagonal matrix containing frequency weights.</w:t>
      </w:r>
    </w:p>
    <w:p w14:paraId="72E8B7B4" w14:textId="77777777" w:rsidR="00285F19" w:rsidRPr="005A6170" w:rsidRDefault="00285F19" w:rsidP="002F2E2B">
      <w:pPr>
        <w:pStyle w:val="BodyText"/>
        <w:rPr>
          <w:rFonts w:cs="Arial"/>
        </w:rPr>
      </w:pPr>
      <w:r w:rsidRPr="005A6170">
        <w:rPr>
          <w:rFonts w:cs="Arial"/>
        </w:rPr>
        <w:t>The following firm characteristics are used for matching:</w:t>
      </w:r>
    </w:p>
    <w:p w14:paraId="64DC5C64" w14:textId="77777777" w:rsidR="00285F19" w:rsidRPr="006F71C3" w:rsidRDefault="00285F19" w:rsidP="009A29D3">
      <w:pPr>
        <w:pStyle w:val="ListBullet"/>
        <w:ind w:left="426"/>
        <w:rPr>
          <w:lang w:val="en-US"/>
        </w:rPr>
      </w:pPr>
      <w:r w:rsidRPr="006F71C3">
        <w:rPr>
          <w:lang w:val="en-US"/>
        </w:rPr>
        <w:t>firm size, established via full-time equivalent employment numbers at the time of matching</w:t>
      </w:r>
    </w:p>
    <w:p w14:paraId="74D146A9" w14:textId="77777777" w:rsidR="00285F19" w:rsidRPr="006F71C3" w:rsidRDefault="00285F19" w:rsidP="009A29D3">
      <w:pPr>
        <w:pStyle w:val="ListBullet"/>
        <w:ind w:left="426"/>
        <w:rPr>
          <w:lang w:val="en-US"/>
        </w:rPr>
      </w:pPr>
      <w:r w:rsidRPr="006F71C3">
        <w:rPr>
          <w:lang w:val="en-US"/>
        </w:rPr>
        <w:t>industry sector, as given by the four-digit ANZSIC for a finer comparison</w:t>
      </w:r>
    </w:p>
    <w:p w14:paraId="1B90B589" w14:textId="77777777" w:rsidR="00285F19" w:rsidRPr="006F71C3" w:rsidRDefault="00285F19" w:rsidP="009A29D3">
      <w:pPr>
        <w:pStyle w:val="ListBullet"/>
        <w:ind w:left="426"/>
        <w:rPr>
          <w:lang w:val="en-US"/>
        </w:rPr>
      </w:pPr>
      <w:r w:rsidRPr="006F71C3">
        <w:rPr>
          <w:lang w:val="en-US"/>
        </w:rPr>
        <w:t>a measure of past performance, proxied by the change in turnover in the two years prior to matching.</w:t>
      </w:r>
    </w:p>
    <w:p w14:paraId="1991113A" w14:textId="77777777" w:rsidR="00285F19" w:rsidRDefault="00285F19" w:rsidP="002F2E2B">
      <w:pPr>
        <w:pStyle w:val="BodyText"/>
        <w:rPr>
          <w:rFonts w:cs="Arial"/>
        </w:rPr>
      </w:pPr>
      <w:r>
        <w:rPr>
          <w:rFonts w:cs="Arial"/>
        </w:rPr>
        <w:t xml:space="preserve">Additionally, the matching selects a very specific cohort of sponsoring businesses to control for further unobservable effects that might lead to selection bias and/or identification issues. Notably, it is possible that differences in firm performance arise not only due to the use of 457 migrant workers but also due to the timing of sponsorship. It is possible that businesses that sponsored 457 workers at different points in time had differing performance characteristics, not only relative to non-sponsoring firms but also to each other. For example, a business that sponsored 457 migrants prior to the GFC could have differing levels of performance relative to a business that made use of the </w:t>
      </w:r>
      <w:r>
        <w:rPr>
          <w:rFonts w:cs="Arial"/>
        </w:rPr>
        <w:lastRenderedPageBreak/>
        <w:t>program post GFC. Similarly the legislative changes to the 457 program over the years may also have impacted on firm’s decision to use 457 workers at different points in time. To control for this, the two cohort of firms to be matched are defined as:</w:t>
      </w:r>
    </w:p>
    <w:p w14:paraId="6D4EAA58" w14:textId="7257F8F1" w:rsidR="00285F19" w:rsidRPr="006F71C3" w:rsidRDefault="006F71C3" w:rsidP="002F2E2B">
      <w:pPr>
        <w:pStyle w:val="ListBullet"/>
        <w:ind w:left="0"/>
        <w:rPr>
          <w:lang w:val="en-US"/>
        </w:rPr>
      </w:pPr>
      <w:r>
        <w:rPr>
          <w:lang w:val="en-US"/>
        </w:rPr>
        <w:t>f</w:t>
      </w:r>
      <w:r w:rsidR="00285F19" w:rsidRPr="006F71C3">
        <w:rPr>
          <w:lang w:val="en-US"/>
        </w:rPr>
        <w:t>irms that only first made use of (sponsored) 457 migrants in 2010-11</w:t>
      </w:r>
    </w:p>
    <w:p w14:paraId="7DE9EEB9" w14:textId="2944D801" w:rsidR="00285F19" w:rsidRPr="006F71C3" w:rsidRDefault="006F71C3" w:rsidP="002F2E2B">
      <w:pPr>
        <w:pStyle w:val="ListBullet"/>
        <w:ind w:left="0"/>
        <w:rPr>
          <w:lang w:val="en-US"/>
        </w:rPr>
      </w:pPr>
      <w:r>
        <w:rPr>
          <w:lang w:val="en-US"/>
        </w:rPr>
        <w:t>t</w:t>
      </w:r>
      <w:r w:rsidR="00285F19" w:rsidRPr="006F71C3">
        <w:rPr>
          <w:lang w:val="en-US"/>
        </w:rPr>
        <w:t>he pool of non-sponsoring firms for the financial year 2010-11 from which the counterfactual is drawn which consists of firms that have never sponsored a 457 migrant.</w:t>
      </w:r>
    </w:p>
    <w:p w14:paraId="127819AF" w14:textId="77777777" w:rsidR="00285F19" w:rsidRPr="005C5E8D" w:rsidRDefault="00285F19" w:rsidP="002F2E2B">
      <w:pPr>
        <w:pStyle w:val="BodyText"/>
      </w:pPr>
      <w:r w:rsidRPr="005C5E8D">
        <w:t>In this particular case each observation from the sponsoring group of firms is matched to at least three close observations with similar characteristics from the non-sponsoring group of firms based on the Mahalanobis Distance. The outcomes for the nearest neighbours are then averaged and compared against the outcome for each treated observation.</w:t>
      </w:r>
    </w:p>
    <w:p w14:paraId="247E0666" w14:textId="77777777" w:rsidR="00285F19" w:rsidRPr="005C5E8D" w:rsidRDefault="00285F19" w:rsidP="002F2E2B">
      <w:pPr>
        <w:pStyle w:val="BodyText"/>
      </w:pPr>
      <w:r w:rsidRPr="005C5E8D">
        <w:t>Nearest neighbour matching is implemented with replacement, which means that each observation from the untreated group can potentially be used as a match more than once. This results in reduced bias in the ATE estimates and a higher quality match although it does increase the variance of the estimates. However, this issue becomes less serious in large datasets, such as the one used for this project.</w:t>
      </w:r>
    </w:p>
    <w:p w14:paraId="11C836E6" w14:textId="439175B9" w:rsidR="00285F19" w:rsidRPr="005C5E8D" w:rsidRDefault="00285F19" w:rsidP="002F2E2B">
      <w:pPr>
        <w:pStyle w:val="BodyText"/>
      </w:pPr>
      <w:r w:rsidRPr="005C5E8D">
        <w:t xml:space="preserve">Compared to other matching estimators such as propensity scores, nearest neighbour matching has some advantages. By not imposing any functional form assumptions, the nearest neighbour matching estimator is more flexible relative to propensity score matching. </w:t>
      </w:r>
      <w:r w:rsidR="009A29D3">
        <w:t>I</w:t>
      </w:r>
      <w:r w:rsidRPr="005C5E8D">
        <w:t>t can be used to estimate ATEs for a much wider class of models. However the drawback is that the nearest neighbour matching estimator requires much more data, and the bias in the ATE estimate starts to increase as more continuous covariates are added to the model.</w:t>
      </w:r>
      <w:r w:rsidRPr="001C7341">
        <w:rPr>
          <w:rStyle w:val="FootnoteReference"/>
        </w:rPr>
        <w:footnoteReference w:id="24"/>
      </w:r>
      <w:r w:rsidRPr="005C5E8D">
        <w:t xml:space="preserve"> However, for this particular research project the advantages of the nearest neighbour matching estimator outweigh the negatives — there are a sufficiently large number of untreated </w:t>
      </w:r>
      <w:r>
        <w:t>non-sponsoring</w:t>
      </w:r>
      <w:r w:rsidRPr="005C5E8D">
        <w:t xml:space="preserve"> firms in the BLADE data to draw a counterfactual from, furthermore the continuous covariates (number of FTEs, past</w:t>
      </w:r>
      <w:r>
        <w:t xml:space="preserve"> turnover</w:t>
      </w:r>
      <w:r w:rsidRPr="005C5E8D">
        <w:t xml:space="preserve"> performance) are bias adjusted when matching to overcome one of the key limitation of nearest-neighbour matching.</w:t>
      </w:r>
    </w:p>
    <w:p w14:paraId="48EEBFBD" w14:textId="138087BB" w:rsidR="00285F19" w:rsidRDefault="00285F19" w:rsidP="002F2E2B">
      <w:pPr>
        <w:pStyle w:val="BodyText"/>
      </w:pPr>
      <w:r w:rsidRPr="005C5E8D">
        <w:t>To assess whether</w:t>
      </w:r>
      <w:r>
        <w:t xml:space="preserve"> there were any persistent</w:t>
      </w:r>
      <w:r w:rsidRPr="005C5E8D">
        <w:t xml:space="preserve"> differences in the performance of businesses sponsoring 457 visa migrant workers relative to similar non-sponsoring businesses</w:t>
      </w:r>
      <w:r>
        <w:t>,</w:t>
      </w:r>
      <w:r w:rsidRPr="005C5E8D">
        <w:t xml:space="preserve"> the three year forward change in turnover, employment (FTE), wage per FTE, and labour productivity</w:t>
      </w:r>
      <w:r>
        <w:t xml:space="preserve"> —between 2010</w:t>
      </w:r>
      <w:r w:rsidR="00085FB7">
        <w:rPr>
          <w:rFonts w:cstheme="minorHAnsi"/>
        </w:rPr>
        <w:t>–</w:t>
      </w:r>
      <w:r>
        <w:t xml:space="preserve">11 and </w:t>
      </w:r>
      <w:r w:rsidR="00085FB7">
        <w:br/>
      </w:r>
      <w:r>
        <w:t>2013</w:t>
      </w:r>
      <w:r w:rsidR="00085FB7">
        <w:rPr>
          <w:rFonts w:cstheme="minorHAnsi"/>
        </w:rPr>
        <w:t>–</w:t>
      </w:r>
      <w:r>
        <w:t>14 —</w:t>
      </w:r>
      <w:r w:rsidRPr="005C5E8D">
        <w:t xml:space="preserve"> </w:t>
      </w:r>
      <w:r>
        <w:t>were</w:t>
      </w:r>
      <w:r w:rsidRPr="005C5E8D">
        <w:t xml:space="preserve"> selected as the outcome variables in the matching estimation — with the Average Treatment Effects (ATEs) for these outcome variables used to assess differences in performance between sponsors and non-sponsors. </w:t>
      </w:r>
    </w:p>
    <w:p w14:paraId="0A3E999E" w14:textId="77777777" w:rsidR="00285F19" w:rsidRDefault="00285F19" w:rsidP="00DF31C2">
      <w:pPr>
        <w:pStyle w:val="Heading2"/>
        <w:numPr>
          <w:ilvl w:val="1"/>
          <w:numId w:val="9"/>
        </w:numPr>
        <w:ind w:left="709"/>
      </w:pPr>
      <w:r>
        <w:t xml:space="preserve">Assessing the evidence for any performance differentials </w:t>
      </w:r>
    </w:p>
    <w:p w14:paraId="1E9801B7" w14:textId="77777777" w:rsidR="00285F19" w:rsidRDefault="00285F19" w:rsidP="00DF31C2">
      <w:pPr>
        <w:pStyle w:val="BodyText"/>
      </w:pPr>
      <w:r>
        <w:t xml:space="preserve">Table 10 reports the ATEs for the outcome variables for all ANZSICs as well as for certain selected ANZSICs. The results are robust to heteroscedasticity and </w:t>
      </w:r>
      <w:r>
        <w:lastRenderedPageBreak/>
        <w:t>outlier analysis was used to trim the distributions for key variables to minimise the influence of extremely small or large values. Continuous variables used for nearest neighbour matching were further bias adjusted to overcome one of the major limitations of the nearest-neighbour estimator.</w:t>
      </w:r>
    </w:p>
    <w:p w14:paraId="48868F9D" w14:textId="77777777" w:rsidR="00285F19" w:rsidRDefault="00285F19" w:rsidP="00DF31C2">
      <w:pPr>
        <w:pStyle w:val="BodyText"/>
      </w:pPr>
      <w:r>
        <w:t>In terms of basic intuition, for 457 sponsoring businesses, the ATEs for the outcome variables provide an assessment of whether change in turnover, employment, wage per FTE and labour productivity three years onwards from 2010-11 was more or less than the counterfactual (non-sponsoring businesses). The magnitude and sign of the ATE is important in assessing performance differences. A positive (greater than 0) ATE implies that for sponsoring businesses the forward change in the outcome variable was greater or higher than the counterfactual and indicative of better performance.</w:t>
      </w:r>
    </w:p>
    <w:p w14:paraId="6D405479" w14:textId="77777777" w:rsidR="00285F19" w:rsidRDefault="00285F19" w:rsidP="00DF31C2">
      <w:pPr>
        <w:pStyle w:val="BodyText"/>
      </w:pPr>
      <w:r>
        <w:t xml:space="preserve">The results presented in Table 10 suggest a difference in turnover and employment performance of 457 sponsoring business relative to non-sponsors. However the ATEs for distinct ANZSICs exhibit more variability in terms of magnitude and statistical significance. In terms of statistical significance, evidence for additionality in performance is strongest for the forward change in turnover and employment and less so for wage per FTE and labour productivity. </w:t>
      </w:r>
    </w:p>
    <w:p w14:paraId="57F58903" w14:textId="77777777" w:rsidR="00285F19" w:rsidRDefault="00285F19" w:rsidP="00285F19">
      <w:pPr>
        <w:spacing w:after="200" w:line="276" w:lineRule="auto"/>
        <w:ind w:left="0"/>
        <w:jc w:val="left"/>
        <w:rPr>
          <w:rFonts w:asciiTheme="minorHAnsi" w:hAnsiTheme="minorHAnsi"/>
        </w:rPr>
      </w:pPr>
      <w:r>
        <w:br w:type="page"/>
      </w:r>
    </w:p>
    <w:p w14:paraId="01961707" w14:textId="77777777" w:rsidR="00285F19" w:rsidRDefault="00285F19" w:rsidP="00285F19">
      <w:pPr>
        <w:pStyle w:val="BodyText"/>
        <w:sectPr w:rsidR="00285F19" w:rsidSect="00DF31C2">
          <w:pgSz w:w="11906" w:h="16838" w:code="9"/>
          <w:pgMar w:top="1440" w:right="1440" w:bottom="1440" w:left="3544" w:header="709" w:footer="709" w:gutter="0"/>
          <w:cols w:space="708"/>
          <w:docGrid w:linePitch="360"/>
        </w:sectPr>
      </w:pPr>
    </w:p>
    <w:p w14:paraId="75FE2056" w14:textId="77777777" w:rsidR="00285F19" w:rsidRDefault="00285F19" w:rsidP="00285F19">
      <w:pPr>
        <w:pStyle w:val="Caption"/>
      </w:pPr>
      <w:r w:rsidRPr="000618FB">
        <w:lastRenderedPageBreak/>
        <w:t>Table</w:t>
      </w:r>
      <w:r>
        <w:t xml:space="preserve"> 10</w:t>
      </w:r>
      <w:r w:rsidRPr="000618FB">
        <w:t xml:space="preserve">: </w:t>
      </w:r>
      <w:r>
        <w:t>Average treatment effects for 457 sponsoring firms by industry</w:t>
      </w:r>
    </w:p>
    <w:tbl>
      <w:tblPr>
        <w:tblStyle w:val="OCETable"/>
        <w:tblW w:w="5000" w:type="pct"/>
        <w:tblLayout w:type="fixed"/>
        <w:tblLook w:val="04A0" w:firstRow="1" w:lastRow="0" w:firstColumn="1" w:lastColumn="0" w:noHBand="0" w:noVBand="1"/>
        <w:tblCaption w:val="Table 10: Average treatment effects for 457 sponsoring firms by industry"/>
        <w:tblDescription w:val="This table contains the results from the matching exercise which shows that after controlling for observable firm attributes, the performance of sponsoring businesses was higher than similar non-sponsoring firms."/>
      </w:tblPr>
      <w:tblGrid>
        <w:gridCol w:w="4545"/>
        <w:gridCol w:w="1125"/>
        <w:gridCol w:w="787"/>
        <w:gridCol w:w="773"/>
        <w:gridCol w:w="790"/>
        <w:gridCol w:w="910"/>
        <w:gridCol w:w="944"/>
        <w:gridCol w:w="1184"/>
        <w:gridCol w:w="770"/>
        <w:gridCol w:w="1052"/>
        <w:gridCol w:w="1078"/>
      </w:tblGrid>
      <w:tr w:rsidR="00285F19" w:rsidRPr="00647BC8" w14:paraId="2805392F" w14:textId="77777777" w:rsidTr="006129E3">
        <w:trPr>
          <w:cnfStyle w:val="100000000000" w:firstRow="1" w:lastRow="0" w:firstColumn="0" w:lastColumn="0" w:oddVBand="0" w:evenVBand="0" w:oddHBand="0" w:evenHBand="0" w:firstRowFirstColumn="0" w:firstRowLastColumn="0" w:lastRowFirstColumn="0" w:lastRowLastColumn="0"/>
          <w:trHeight w:val="300"/>
          <w:tblHeader/>
        </w:trPr>
        <w:tc>
          <w:tcPr>
            <w:tcW w:w="1628" w:type="pct"/>
            <w:noWrap/>
            <w:hideMark/>
          </w:tcPr>
          <w:p w14:paraId="312B774F" w14:textId="77777777" w:rsidR="00285F19" w:rsidRPr="005002D4" w:rsidRDefault="00285F19" w:rsidP="006129E3">
            <w:pPr>
              <w:pStyle w:val="Tableheadertext"/>
              <w:rPr>
                <w:lang w:eastAsia="en-AU"/>
              </w:rPr>
            </w:pPr>
            <w:r w:rsidRPr="005002D4">
              <w:rPr>
                <w:color w:val="FFFFFF" w:themeColor="background2"/>
                <w:lang w:eastAsia="en-AU"/>
              </w:rPr>
              <w:t>ANZSIC</w:t>
            </w:r>
          </w:p>
        </w:tc>
        <w:tc>
          <w:tcPr>
            <w:tcW w:w="2609" w:type="pct"/>
            <w:gridSpan w:val="8"/>
            <w:noWrap/>
            <w:hideMark/>
          </w:tcPr>
          <w:p w14:paraId="6B8CDEA6" w14:textId="77777777" w:rsidR="00285F19" w:rsidRPr="005002D4" w:rsidRDefault="00285F19" w:rsidP="006129E3">
            <w:pPr>
              <w:pStyle w:val="Tableheadertext"/>
              <w:jc w:val="center"/>
              <w:rPr>
                <w:color w:val="FFFFFF" w:themeColor="background2"/>
                <w:lang w:eastAsia="en-AU"/>
              </w:rPr>
            </w:pPr>
            <w:r w:rsidRPr="005002D4">
              <w:rPr>
                <w:color w:val="FFFFFF" w:themeColor="background2"/>
                <w:lang w:eastAsia="en-AU"/>
              </w:rPr>
              <w:t>Average treatment effect</w:t>
            </w:r>
          </w:p>
        </w:tc>
        <w:tc>
          <w:tcPr>
            <w:tcW w:w="763" w:type="pct"/>
            <w:gridSpan w:val="2"/>
            <w:noWrap/>
            <w:hideMark/>
          </w:tcPr>
          <w:p w14:paraId="1646750D" w14:textId="77777777" w:rsidR="00285F19" w:rsidRPr="005002D4" w:rsidRDefault="00285F19" w:rsidP="006129E3">
            <w:pPr>
              <w:pStyle w:val="Tableheadertext"/>
              <w:rPr>
                <w:color w:val="FFFFFF" w:themeColor="background2"/>
                <w:lang w:eastAsia="en-AU"/>
              </w:rPr>
            </w:pPr>
            <w:r w:rsidRPr="005002D4">
              <w:rPr>
                <w:color w:val="FFFFFF" w:themeColor="background2"/>
                <w:lang w:eastAsia="en-AU"/>
              </w:rPr>
              <w:t>Number of firms</w:t>
            </w:r>
          </w:p>
        </w:tc>
      </w:tr>
      <w:tr w:rsidR="00285F19" w:rsidRPr="00647BC8" w14:paraId="3B9CAB26" w14:textId="77777777" w:rsidTr="006129E3">
        <w:trPr>
          <w:cnfStyle w:val="000000100000" w:firstRow="0" w:lastRow="0" w:firstColumn="0" w:lastColumn="0" w:oddVBand="0" w:evenVBand="0" w:oddHBand="1" w:evenHBand="0" w:firstRowFirstColumn="0" w:firstRowLastColumn="0" w:lastRowFirstColumn="0" w:lastRowLastColumn="0"/>
          <w:trHeight w:val="660"/>
        </w:trPr>
        <w:tc>
          <w:tcPr>
            <w:tcW w:w="1628" w:type="pct"/>
            <w:noWrap/>
            <w:hideMark/>
          </w:tcPr>
          <w:p w14:paraId="6B6F8229" w14:textId="77777777" w:rsidR="00285F19" w:rsidRPr="005002D4" w:rsidRDefault="00285F19" w:rsidP="006129E3">
            <w:pPr>
              <w:pStyle w:val="Tablebodytext"/>
              <w:rPr>
                <w:rFonts w:asciiTheme="majorHAnsi" w:hAnsiTheme="majorHAnsi" w:cstheme="majorHAnsi"/>
                <w:b/>
                <w:color w:val="000000"/>
                <w:sz w:val="22"/>
                <w:lang w:eastAsia="en-AU"/>
              </w:rPr>
            </w:pPr>
          </w:p>
        </w:tc>
        <w:tc>
          <w:tcPr>
            <w:tcW w:w="403" w:type="pct"/>
            <w:hideMark/>
          </w:tcPr>
          <w:p w14:paraId="2FE140AD"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 xml:space="preserve">Turnover ($) </w:t>
            </w:r>
          </w:p>
        </w:tc>
        <w:tc>
          <w:tcPr>
            <w:tcW w:w="282" w:type="pct"/>
            <w:hideMark/>
          </w:tcPr>
          <w:p w14:paraId="6F7B0855" w14:textId="77777777" w:rsidR="00285F19" w:rsidRPr="005002D4" w:rsidRDefault="00285F19" w:rsidP="006129E3">
            <w:pPr>
              <w:pStyle w:val="Tabletext"/>
              <w:jc w:val="right"/>
              <w:rPr>
                <w:rFonts w:asciiTheme="majorHAnsi" w:hAnsiTheme="majorHAnsi" w:cstheme="majorHAnsi"/>
                <w:lang w:eastAsia="en-AU"/>
              </w:rPr>
            </w:pPr>
          </w:p>
        </w:tc>
        <w:tc>
          <w:tcPr>
            <w:tcW w:w="277" w:type="pct"/>
            <w:hideMark/>
          </w:tcPr>
          <w:p w14:paraId="5DFB9CC3"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FTE</w:t>
            </w:r>
          </w:p>
        </w:tc>
        <w:tc>
          <w:tcPr>
            <w:tcW w:w="283" w:type="pct"/>
            <w:hideMark/>
          </w:tcPr>
          <w:p w14:paraId="18B9D6A9" w14:textId="77777777" w:rsidR="00285F19" w:rsidRPr="005002D4" w:rsidRDefault="00285F19" w:rsidP="006129E3">
            <w:pPr>
              <w:pStyle w:val="Tabletext"/>
              <w:jc w:val="right"/>
              <w:rPr>
                <w:rFonts w:asciiTheme="majorHAnsi" w:hAnsiTheme="majorHAnsi" w:cstheme="majorHAnsi"/>
                <w:lang w:eastAsia="en-AU"/>
              </w:rPr>
            </w:pPr>
          </w:p>
        </w:tc>
        <w:tc>
          <w:tcPr>
            <w:tcW w:w="326" w:type="pct"/>
            <w:hideMark/>
          </w:tcPr>
          <w:p w14:paraId="2C6CC180"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 xml:space="preserve">wage per FTE ($) </w:t>
            </w:r>
          </w:p>
        </w:tc>
        <w:tc>
          <w:tcPr>
            <w:tcW w:w="338" w:type="pct"/>
            <w:hideMark/>
          </w:tcPr>
          <w:p w14:paraId="63481680" w14:textId="77777777" w:rsidR="00285F19" w:rsidRPr="005002D4" w:rsidRDefault="00285F19" w:rsidP="006129E3">
            <w:pPr>
              <w:pStyle w:val="Tabletext"/>
              <w:jc w:val="right"/>
              <w:rPr>
                <w:rFonts w:asciiTheme="majorHAnsi" w:hAnsiTheme="majorHAnsi" w:cstheme="majorHAnsi"/>
                <w:lang w:eastAsia="en-AU"/>
              </w:rPr>
            </w:pPr>
          </w:p>
        </w:tc>
        <w:tc>
          <w:tcPr>
            <w:tcW w:w="424" w:type="pct"/>
            <w:hideMark/>
          </w:tcPr>
          <w:p w14:paraId="5F9425E2"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value-added per FTE ($)</w:t>
            </w:r>
          </w:p>
        </w:tc>
        <w:tc>
          <w:tcPr>
            <w:tcW w:w="276" w:type="pct"/>
            <w:hideMark/>
          </w:tcPr>
          <w:p w14:paraId="517E32D5" w14:textId="77777777" w:rsidR="00285F19" w:rsidRPr="005002D4" w:rsidRDefault="00285F19" w:rsidP="006129E3">
            <w:pPr>
              <w:pStyle w:val="Tabletext"/>
              <w:jc w:val="right"/>
              <w:rPr>
                <w:rFonts w:asciiTheme="majorHAnsi" w:hAnsiTheme="majorHAnsi" w:cstheme="majorHAnsi"/>
                <w:lang w:eastAsia="en-AU"/>
              </w:rPr>
            </w:pPr>
          </w:p>
        </w:tc>
        <w:tc>
          <w:tcPr>
            <w:tcW w:w="377" w:type="pct"/>
            <w:hideMark/>
          </w:tcPr>
          <w:p w14:paraId="7170E626" w14:textId="10C7F9D9" w:rsidR="00285F19" w:rsidRPr="005002D4" w:rsidRDefault="007843BA"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S</w:t>
            </w:r>
            <w:r w:rsidR="00285F19" w:rsidRPr="005002D4">
              <w:rPr>
                <w:rFonts w:asciiTheme="majorHAnsi" w:hAnsiTheme="majorHAnsi" w:cstheme="majorHAnsi"/>
                <w:lang w:eastAsia="en-AU"/>
              </w:rPr>
              <w:t>pon</w:t>
            </w:r>
            <w:r>
              <w:rPr>
                <w:rFonts w:asciiTheme="majorHAnsi" w:hAnsiTheme="majorHAnsi" w:cstheme="majorHAnsi"/>
                <w:lang w:eastAsia="en-AU"/>
              </w:rPr>
              <w:softHyphen/>
            </w:r>
            <w:r>
              <w:rPr>
                <w:rFonts w:asciiTheme="majorHAnsi" w:hAnsiTheme="majorHAnsi" w:cstheme="majorHAnsi"/>
                <w:lang w:eastAsia="en-AU"/>
              </w:rPr>
              <w:softHyphen/>
            </w:r>
            <w:r w:rsidR="00285F19" w:rsidRPr="005002D4">
              <w:rPr>
                <w:rFonts w:asciiTheme="majorHAnsi" w:hAnsiTheme="majorHAnsi" w:cstheme="majorHAnsi"/>
                <w:lang w:eastAsia="en-AU"/>
              </w:rPr>
              <w:t>sors</w:t>
            </w:r>
          </w:p>
        </w:tc>
        <w:tc>
          <w:tcPr>
            <w:tcW w:w="386" w:type="pct"/>
            <w:hideMark/>
          </w:tcPr>
          <w:p w14:paraId="133A38AB"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non-sponsors</w:t>
            </w:r>
          </w:p>
        </w:tc>
      </w:tr>
      <w:tr w:rsidR="00285F19" w:rsidRPr="00647BC8" w14:paraId="396CF451"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1628" w:type="pct"/>
            <w:noWrap/>
            <w:hideMark/>
          </w:tcPr>
          <w:p w14:paraId="045E9F09" w14:textId="77777777" w:rsidR="00285F19" w:rsidRPr="005002D4" w:rsidRDefault="00285F19" w:rsidP="006129E3">
            <w:pPr>
              <w:pStyle w:val="Tabletext"/>
              <w:rPr>
                <w:rFonts w:asciiTheme="majorHAnsi" w:hAnsiTheme="majorHAnsi" w:cstheme="majorHAnsi"/>
                <w:lang w:eastAsia="en-AU"/>
              </w:rPr>
            </w:pPr>
            <w:r w:rsidRPr="005002D4">
              <w:rPr>
                <w:rFonts w:asciiTheme="majorHAnsi" w:hAnsiTheme="majorHAnsi" w:cstheme="majorHAnsi"/>
                <w:lang w:eastAsia="en-AU"/>
              </w:rPr>
              <w:t xml:space="preserve">Manufacturing </w:t>
            </w:r>
          </w:p>
        </w:tc>
        <w:tc>
          <w:tcPr>
            <w:tcW w:w="403" w:type="pct"/>
            <w:noWrap/>
            <w:hideMark/>
          </w:tcPr>
          <w:p w14:paraId="3D07C1A9"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58,000</w:t>
            </w:r>
          </w:p>
        </w:tc>
        <w:tc>
          <w:tcPr>
            <w:tcW w:w="282" w:type="pct"/>
            <w:noWrap/>
            <w:hideMark/>
          </w:tcPr>
          <w:p w14:paraId="6D9D3C5F" w14:textId="77777777" w:rsidR="00285F19" w:rsidRPr="005002D4" w:rsidRDefault="00285F19" w:rsidP="006129E3">
            <w:pPr>
              <w:pStyle w:val="Tabletext"/>
              <w:jc w:val="right"/>
              <w:rPr>
                <w:rFonts w:asciiTheme="majorHAnsi" w:hAnsiTheme="majorHAnsi" w:cstheme="majorHAnsi"/>
                <w:lang w:eastAsia="en-AU"/>
              </w:rPr>
            </w:pPr>
          </w:p>
        </w:tc>
        <w:tc>
          <w:tcPr>
            <w:tcW w:w="277" w:type="pct"/>
            <w:noWrap/>
            <w:hideMark/>
          </w:tcPr>
          <w:p w14:paraId="4421E965"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0.85</w:t>
            </w:r>
          </w:p>
        </w:tc>
        <w:tc>
          <w:tcPr>
            <w:tcW w:w="283" w:type="pct"/>
            <w:noWrap/>
            <w:hideMark/>
          </w:tcPr>
          <w:p w14:paraId="64039C49"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326" w:type="pct"/>
            <w:noWrap/>
            <w:hideMark/>
          </w:tcPr>
          <w:p w14:paraId="798F7921"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5,700</w:t>
            </w:r>
          </w:p>
        </w:tc>
        <w:tc>
          <w:tcPr>
            <w:tcW w:w="338" w:type="pct"/>
            <w:noWrap/>
            <w:hideMark/>
          </w:tcPr>
          <w:p w14:paraId="1026D450"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424" w:type="pct"/>
            <w:noWrap/>
            <w:hideMark/>
          </w:tcPr>
          <w:p w14:paraId="3CABB523"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17,500</w:t>
            </w:r>
          </w:p>
        </w:tc>
        <w:tc>
          <w:tcPr>
            <w:tcW w:w="276" w:type="pct"/>
            <w:noWrap/>
            <w:hideMark/>
          </w:tcPr>
          <w:p w14:paraId="2250E2C6"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377" w:type="pct"/>
            <w:noWrap/>
            <w:hideMark/>
          </w:tcPr>
          <w:p w14:paraId="14187E5B"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194</w:t>
            </w:r>
          </w:p>
        </w:tc>
        <w:tc>
          <w:tcPr>
            <w:tcW w:w="386" w:type="pct"/>
            <w:noWrap/>
            <w:hideMark/>
          </w:tcPr>
          <w:p w14:paraId="0AB413EC"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21,260</w:t>
            </w:r>
          </w:p>
        </w:tc>
      </w:tr>
      <w:tr w:rsidR="00285F19" w:rsidRPr="00647BC8" w14:paraId="5A2D8221"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1628" w:type="pct"/>
            <w:noWrap/>
            <w:hideMark/>
          </w:tcPr>
          <w:p w14:paraId="23E58804" w14:textId="77777777" w:rsidR="00285F19" w:rsidRPr="005002D4" w:rsidRDefault="00285F19" w:rsidP="006129E3">
            <w:pPr>
              <w:pStyle w:val="Tabletext"/>
              <w:rPr>
                <w:rFonts w:asciiTheme="majorHAnsi" w:hAnsiTheme="majorHAnsi" w:cstheme="majorHAnsi"/>
                <w:lang w:eastAsia="en-AU"/>
              </w:rPr>
            </w:pPr>
            <w:r w:rsidRPr="005002D4">
              <w:rPr>
                <w:rFonts w:asciiTheme="majorHAnsi" w:hAnsiTheme="majorHAnsi" w:cstheme="majorHAnsi"/>
                <w:lang w:eastAsia="en-AU"/>
              </w:rPr>
              <w:t>Construction</w:t>
            </w:r>
          </w:p>
        </w:tc>
        <w:tc>
          <w:tcPr>
            <w:tcW w:w="403" w:type="pct"/>
            <w:noWrap/>
            <w:hideMark/>
          </w:tcPr>
          <w:p w14:paraId="379FCAF5"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186,000</w:t>
            </w:r>
          </w:p>
        </w:tc>
        <w:tc>
          <w:tcPr>
            <w:tcW w:w="282" w:type="pct"/>
            <w:noWrap/>
            <w:hideMark/>
          </w:tcPr>
          <w:p w14:paraId="0839FA1D"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277" w:type="pct"/>
            <w:noWrap/>
            <w:hideMark/>
          </w:tcPr>
          <w:p w14:paraId="333CED99"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2.2</w:t>
            </w:r>
          </w:p>
        </w:tc>
        <w:tc>
          <w:tcPr>
            <w:tcW w:w="283" w:type="pct"/>
            <w:noWrap/>
            <w:hideMark/>
          </w:tcPr>
          <w:p w14:paraId="4373CFDD"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326" w:type="pct"/>
            <w:noWrap/>
            <w:hideMark/>
          </w:tcPr>
          <w:p w14:paraId="4CFA1D7D"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1,860</w:t>
            </w:r>
          </w:p>
        </w:tc>
        <w:tc>
          <w:tcPr>
            <w:tcW w:w="338" w:type="pct"/>
            <w:noWrap/>
            <w:hideMark/>
          </w:tcPr>
          <w:p w14:paraId="324A13D6" w14:textId="77777777" w:rsidR="00285F19" w:rsidRPr="005002D4" w:rsidRDefault="00285F19" w:rsidP="006129E3">
            <w:pPr>
              <w:pStyle w:val="Tabletext"/>
              <w:jc w:val="right"/>
              <w:rPr>
                <w:rFonts w:asciiTheme="majorHAnsi" w:hAnsiTheme="majorHAnsi" w:cstheme="majorHAnsi"/>
                <w:lang w:eastAsia="en-AU"/>
              </w:rPr>
            </w:pPr>
          </w:p>
        </w:tc>
        <w:tc>
          <w:tcPr>
            <w:tcW w:w="424" w:type="pct"/>
            <w:noWrap/>
            <w:hideMark/>
          </w:tcPr>
          <w:p w14:paraId="5EE7C0E6"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-11,900</w:t>
            </w:r>
          </w:p>
        </w:tc>
        <w:tc>
          <w:tcPr>
            <w:tcW w:w="276" w:type="pct"/>
            <w:noWrap/>
            <w:hideMark/>
          </w:tcPr>
          <w:p w14:paraId="7BE00E51" w14:textId="77777777" w:rsidR="00285F19" w:rsidRPr="005002D4" w:rsidRDefault="00285F19" w:rsidP="006129E3">
            <w:pPr>
              <w:pStyle w:val="Tabletext"/>
              <w:jc w:val="right"/>
              <w:rPr>
                <w:rFonts w:asciiTheme="majorHAnsi" w:hAnsiTheme="majorHAnsi" w:cstheme="majorHAnsi"/>
                <w:lang w:eastAsia="en-AU"/>
              </w:rPr>
            </w:pPr>
          </w:p>
        </w:tc>
        <w:tc>
          <w:tcPr>
            <w:tcW w:w="377" w:type="pct"/>
            <w:noWrap/>
            <w:hideMark/>
          </w:tcPr>
          <w:p w14:paraId="5D9246AA"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289</w:t>
            </w:r>
          </w:p>
        </w:tc>
        <w:tc>
          <w:tcPr>
            <w:tcW w:w="386" w:type="pct"/>
            <w:noWrap/>
            <w:hideMark/>
          </w:tcPr>
          <w:p w14:paraId="4FADD0BB"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44,702</w:t>
            </w:r>
          </w:p>
        </w:tc>
      </w:tr>
      <w:tr w:rsidR="00285F19" w:rsidRPr="00647BC8" w14:paraId="03E9D57D"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1628" w:type="pct"/>
            <w:noWrap/>
            <w:hideMark/>
          </w:tcPr>
          <w:p w14:paraId="1EE610EB" w14:textId="77777777" w:rsidR="00285F19" w:rsidRPr="005002D4" w:rsidRDefault="00285F19" w:rsidP="006129E3">
            <w:pPr>
              <w:pStyle w:val="Tabletext"/>
              <w:rPr>
                <w:rFonts w:asciiTheme="majorHAnsi" w:hAnsiTheme="majorHAnsi" w:cstheme="majorHAnsi"/>
                <w:lang w:eastAsia="en-AU"/>
              </w:rPr>
            </w:pPr>
            <w:r w:rsidRPr="005002D4">
              <w:rPr>
                <w:rFonts w:asciiTheme="majorHAnsi" w:hAnsiTheme="majorHAnsi" w:cstheme="majorHAnsi"/>
                <w:lang w:eastAsia="en-AU"/>
              </w:rPr>
              <w:t>Wholesale trade</w:t>
            </w:r>
          </w:p>
        </w:tc>
        <w:tc>
          <w:tcPr>
            <w:tcW w:w="403" w:type="pct"/>
            <w:noWrap/>
            <w:hideMark/>
          </w:tcPr>
          <w:p w14:paraId="7B23D48B"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668,000</w:t>
            </w:r>
          </w:p>
        </w:tc>
        <w:tc>
          <w:tcPr>
            <w:tcW w:w="282" w:type="pct"/>
            <w:noWrap/>
            <w:hideMark/>
          </w:tcPr>
          <w:p w14:paraId="289DDC26"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277" w:type="pct"/>
            <w:noWrap/>
            <w:hideMark/>
          </w:tcPr>
          <w:p w14:paraId="4B1356D3"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1.6</w:t>
            </w:r>
          </w:p>
        </w:tc>
        <w:tc>
          <w:tcPr>
            <w:tcW w:w="283" w:type="pct"/>
            <w:noWrap/>
            <w:hideMark/>
          </w:tcPr>
          <w:p w14:paraId="3FF6BF42"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326" w:type="pct"/>
            <w:noWrap/>
            <w:hideMark/>
          </w:tcPr>
          <w:p w14:paraId="78142250"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-310</w:t>
            </w:r>
          </w:p>
        </w:tc>
        <w:tc>
          <w:tcPr>
            <w:tcW w:w="338" w:type="pct"/>
            <w:noWrap/>
            <w:hideMark/>
          </w:tcPr>
          <w:p w14:paraId="37754103" w14:textId="77777777" w:rsidR="00285F19" w:rsidRPr="005002D4" w:rsidRDefault="00285F19" w:rsidP="006129E3">
            <w:pPr>
              <w:pStyle w:val="Tabletext"/>
              <w:jc w:val="right"/>
              <w:rPr>
                <w:rFonts w:asciiTheme="majorHAnsi" w:hAnsiTheme="majorHAnsi" w:cstheme="majorHAnsi"/>
                <w:lang w:eastAsia="en-AU"/>
              </w:rPr>
            </w:pPr>
          </w:p>
        </w:tc>
        <w:tc>
          <w:tcPr>
            <w:tcW w:w="424" w:type="pct"/>
            <w:noWrap/>
            <w:hideMark/>
          </w:tcPr>
          <w:p w14:paraId="284BE3F0"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30,000</w:t>
            </w:r>
          </w:p>
        </w:tc>
        <w:tc>
          <w:tcPr>
            <w:tcW w:w="276" w:type="pct"/>
            <w:noWrap/>
            <w:hideMark/>
          </w:tcPr>
          <w:p w14:paraId="02742B7C" w14:textId="77777777" w:rsidR="00285F19" w:rsidRPr="005002D4" w:rsidRDefault="00285F19" w:rsidP="006129E3">
            <w:pPr>
              <w:pStyle w:val="Tabletext"/>
              <w:jc w:val="right"/>
              <w:rPr>
                <w:rFonts w:asciiTheme="majorHAnsi" w:hAnsiTheme="majorHAnsi" w:cstheme="majorHAnsi"/>
                <w:lang w:eastAsia="en-AU"/>
              </w:rPr>
            </w:pPr>
          </w:p>
        </w:tc>
        <w:tc>
          <w:tcPr>
            <w:tcW w:w="377" w:type="pct"/>
            <w:noWrap/>
            <w:hideMark/>
          </w:tcPr>
          <w:p w14:paraId="3DB4D77D"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192</w:t>
            </w:r>
          </w:p>
        </w:tc>
        <w:tc>
          <w:tcPr>
            <w:tcW w:w="386" w:type="pct"/>
            <w:noWrap/>
            <w:hideMark/>
          </w:tcPr>
          <w:p w14:paraId="5DBBAD07"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16,625</w:t>
            </w:r>
          </w:p>
        </w:tc>
      </w:tr>
      <w:tr w:rsidR="00285F19" w:rsidRPr="00647BC8" w14:paraId="3E9B6271"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1628" w:type="pct"/>
            <w:noWrap/>
            <w:hideMark/>
          </w:tcPr>
          <w:p w14:paraId="3CAFDE1F" w14:textId="77777777" w:rsidR="00285F19" w:rsidRPr="005002D4" w:rsidRDefault="00285F19" w:rsidP="006129E3">
            <w:pPr>
              <w:pStyle w:val="Tabletext"/>
              <w:rPr>
                <w:rFonts w:asciiTheme="majorHAnsi" w:hAnsiTheme="majorHAnsi" w:cstheme="majorHAnsi"/>
                <w:lang w:eastAsia="en-AU"/>
              </w:rPr>
            </w:pPr>
            <w:r w:rsidRPr="005002D4">
              <w:rPr>
                <w:rFonts w:asciiTheme="majorHAnsi" w:hAnsiTheme="majorHAnsi" w:cstheme="majorHAnsi"/>
                <w:lang w:eastAsia="en-AU"/>
              </w:rPr>
              <w:t>Retail trade</w:t>
            </w:r>
          </w:p>
        </w:tc>
        <w:tc>
          <w:tcPr>
            <w:tcW w:w="403" w:type="pct"/>
            <w:noWrap/>
            <w:hideMark/>
          </w:tcPr>
          <w:p w14:paraId="41E93091"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233,000</w:t>
            </w:r>
          </w:p>
        </w:tc>
        <w:tc>
          <w:tcPr>
            <w:tcW w:w="282" w:type="pct"/>
            <w:noWrap/>
            <w:hideMark/>
          </w:tcPr>
          <w:p w14:paraId="29F8F455"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277" w:type="pct"/>
            <w:noWrap/>
            <w:hideMark/>
          </w:tcPr>
          <w:p w14:paraId="4EC2298F"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1.6</w:t>
            </w:r>
          </w:p>
        </w:tc>
        <w:tc>
          <w:tcPr>
            <w:tcW w:w="283" w:type="pct"/>
            <w:noWrap/>
            <w:hideMark/>
          </w:tcPr>
          <w:p w14:paraId="09C13423"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326" w:type="pct"/>
            <w:noWrap/>
            <w:hideMark/>
          </w:tcPr>
          <w:p w14:paraId="53F9C661"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2,400</w:t>
            </w:r>
          </w:p>
        </w:tc>
        <w:tc>
          <w:tcPr>
            <w:tcW w:w="338" w:type="pct"/>
            <w:noWrap/>
            <w:hideMark/>
          </w:tcPr>
          <w:p w14:paraId="303C62C3"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424" w:type="pct"/>
            <w:noWrap/>
            <w:hideMark/>
          </w:tcPr>
          <w:p w14:paraId="17A59F6B"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-5,840</w:t>
            </w:r>
          </w:p>
        </w:tc>
        <w:tc>
          <w:tcPr>
            <w:tcW w:w="276" w:type="pct"/>
            <w:noWrap/>
            <w:hideMark/>
          </w:tcPr>
          <w:p w14:paraId="47E197C6" w14:textId="77777777" w:rsidR="00285F19" w:rsidRPr="005002D4" w:rsidRDefault="00285F19" w:rsidP="006129E3">
            <w:pPr>
              <w:pStyle w:val="Tabletext"/>
              <w:jc w:val="right"/>
              <w:rPr>
                <w:rFonts w:asciiTheme="majorHAnsi" w:hAnsiTheme="majorHAnsi" w:cstheme="majorHAnsi"/>
                <w:lang w:eastAsia="en-AU"/>
              </w:rPr>
            </w:pPr>
          </w:p>
        </w:tc>
        <w:tc>
          <w:tcPr>
            <w:tcW w:w="377" w:type="pct"/>
            <w:noWrap/>
            <w:hideMark/>
          </w:tcPr>
          <w:p w14:paraId="348860D8"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131</w:t>
            </w:r>
          </w:p>
        </w:tc>
        <w:tc>
          <w:tcPr>
            <w:tcW w:w="386" w:type="pct"/>
            <w:noWrap/>
            <w:hideMark/>
          </w:tcPr>
          <w:p w14:paraId="6EF8171B"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30,089</w:t>
            </w:r>
          </w:p>
        </w:tc>
      </w:tr>
      <w:tr w:rsidR="00285F19" w:rsidRPr="00647BC8" w14:paraId="7D43109E"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1628" w:type="pct"/>
            <w:noWrap/>
            <w:hideMark/>
          </w:tcPr>
          <w:p w14:paraId="6A1C57CC" w14:textId="77777777" w:rsidR="00285F19" w:rsidRPr="005002D4" w:rsidRDefault="00285F19" w:rsidP="006129E3">
            <w:pPr>
              <w:pStyle w:val="Tabletext"/>
              <w:rPr>
                <w:rFonts w:asciiTheme="majorHAnsi" w:hAnsiTheme="majorHAnsi" w:cstheme="majorHAnsi"/>
                <w:lang w:eastAsia="en-AU"/>
              </w:rPr>
            </w:pPr>
            <w:r w:rsidRPr="005002D4">
              <w:rPr>
                <w:rFonts w:asciiTheme="majorHAnsi" w:hAnsiTheme="majorHAnsi" w:cstheme="majorHAnsi"/>
                <w:lang w:eastAsia="en-AU"/>
              </w:rPr>
              <w:t>Accommodation and food  services</w:t>
            </w:r>
          </w:p>
        </w:tc>
        <w:tc>
          <w:tcPr>
            <w:tcW w:w="403" w:type="pct"/>
            <w:noWrap/>
            <w:hideMark/>
          </w:tcPr>
          <w:p w14:paraId="5C6129A4"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52,400</w:t>
            </w:r>
          </w:p>
        </w:tc>
        <w:tc>
          <w:tcPr>
            <w:tcW w:w="282" w:type="pct"/>
            <w:noWrap/>
            <w:hideMark/>
          </w:tcPr>
          <w:p w14:paraId="16874E13" w14:textId="77777777" w:rsidR="00285F19" w:rsidRPr="005002D4" w:rsidRDefault="00285F19" w:rsidP="006129E3">
            <w:pPr>
              <w:pStyle w:val="Tabletext"/>
              <w:jc w:val="right"/>
              <w:rPr>
                <w:rFonts w:asciiTheme="majorHAnsi" w:hAnsiTheme="majorHAnsi" w:cstheme="majorHAnsi"/>
                <w:lang w:eastAsia="en-AU"/>
              </w:rPr>
            </w:pPr>
          </w:p>
        </w:tc>
        <w:tc>
          <w:tcPr>
            <w:tcW w:w="277" w:type="pct"/>
            <w:noWrap/>
            <w:hideMark/>
          </w:tcPr>
          <w:p w14:paraId="5FCAEC0B"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w:t>
            </w:r>
          </w:p>
        </w:tc>
        <w:tc>
          <w:tcPr>
            <w:tcW w:w="283" w:type="pct"/>
            <w:noWrap/>
            <w:hideMark/>
          </w:tcPr>
          <w:p w14:paraId="06CE443B"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326" w:type="pct"/>
            <w:noWrap/>
            <w:hideMark/>
          </w:tcPr>
          <w:p w14:paraId="321C43EE"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-880</w:t>
            </w:r>
          </w:p>
        </w:tc>
        <w:tc>
          <w:tcPr>
            <w:tcW w:w="338" w:type="pct"/>
            <w:noWrap/>
            <w:hideMark/>
          </w:tcPr>
          <w:p w14:paraId="0166D9A8" w14:textId="77777777" w:rsidR="00285F19" w:rsidRPr="005002D4" w:rsidRDefault="00285F19" w:rsidP="006129E3">
            <w:pPr>
              <w:pStyle w:val="Tabletext"/>
              <w:jc w:val="right"/>
              <w:rPr>
                <w:rFonts w:asciiTheme="majorHAnsi" w:hAnsiTheme="majorHAnsi" w:cstheme="majorHAnsi"/>
                <w:lang w:eastAsia="en-AU"/>
              </w:rPr>
            </w:pPr>
          </w:p>
        </w:tc>
        <w:tc>
          <w:tcPr>
            <w:tcW w:w="424" w:type="pct"/>
            <w:noWrap/>
            <w:hideMark/>
          </w:tcPr>
          <w:p w14:paraId="61B8AD7D"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2,840</w:t>
            </w:r>
          </w:p>
        </w:tc>
        <w:tc>
          <w:tcPr>
            <w:tcW w:w="276" w:type="pct"/>
            <w:noWrap/>
            <w:hideMark/>
          </w:tcPr>
          <w:p w14:paraId="04E47BBE" w14:textId="77777777" w:rsidR="00285F19" w:rsidRPr="005002D4" w:rsidRDefault="00285F19" w:rsidP="006129E3">
            <w:pPr>
              <w:pStyle w:val="Tabletext"/>
              <w:jc w:val="right"/>
              <w:rPr>
                <w:rFonts w:asciiTheme="majorHAnsi" w:hAnsiTheme="majorHAnsi" w:cstheme="majorHAnsi"/>
                <w:lang w:eastAsia="en-AU"/>
              </w:rPr>
            </w:pPr>
          </w:p>
        </w:tc>
        <w:tc>
          <w:tcPr>
            <w:tcW w:w="377" w:type="pct"/>
            <w:noWrap/>
            <w:hideMark/>
          </w:tcPr>
          <w:p w14:paraId="4C6BD31B"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207</w:t>
            </w:r>
          </w:p>
        </w:tc>
        <w:tc>
          <w:tcPr>
            <w:tcW w:w="386" w:type="pct"/>
            <w:noWrap/>
            <w:hideMark/>
          </w:tcPr>
          <w:p w14:paraId="5F8E9DA8"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14,990</w:t>
            </w:r>
          </w:p>
        </w:tc>
      </w:tr>
      <w:tr w:rsidR="00285F19" w:rsidRPr="00647BC8" w14:paraId="21EC8D35"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1628" w:type="pct"/>
            <w:noWrap/>
            <w:hideMark/>
          </w:tcPr>
          <w:p w14:paraId="10E16E65" w14:textId="77777777" w:rsidR="00285F19" w:rsidRPr="005002D4" w:rsidRDefault="00285F19" w:rsidP="006129E3">
            <w:pPr>
              <w:pStyle w:val="Tabletext"/>
              <w:rPr>
                <w:rFonts w:asciiTheme="majorHAnsi" w:hAnsiTheme="majorHAnsi" w:cstheme="majorHAnsi"/>
                <w:lang w:eastAsia="en-AU"/>
              </w:rPr>
            </w:pPr>
            <w:r w:rsidRPr="005002D4">
              <w:rPr>
                <w:rFonts w:asciiTheme="majorHAnsi" w:hAnsiTheme="majorHAnsi" w:cstheme="majorHAnsi"/>
                <w:lang w:eastAsia="en-AU"/>
              </w:rPr>
              <w:t>Professional, scientific and technical services</w:t>
            </w:r>
          </w:p>
        </w:tc>
        <w:tc>
          <w:tcPr>
            <w:tcW w:w="403" w:type="pct"/>
            <w:noWrap/>
            <w:hideMark/>
          </w:tcPr>
          <w:p w14:paraId="3354C8DF"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194,000</w:t>
            </w:r>
          </w:p>
        </w:tc>
        <w:tc>
          <w:tcPr>
            <w:tcW w:w="282" w:type="pct"/>
            <w:noWrap/>
            <w:hideMark/>
          </w:tcPr>
          <w:p w14:paraId="56AAE4FB"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277" w:type="pct"/>
            <w:noWrap/>
            <w:hideMark/>
          </w:tcPr>
          <w:p w14:paraId="751F6672"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1.7</w:t>
            </w:r>
          </w:p>
        </w:tc>
        <w:tc>
          <w:tcPr>
            <w:tcW w:w="283" w:type="pct"/>
            <w:noWrap/>
            <w:hideMark/>
          </w:tcPr>
          <w:p w14:paraId="50AA0784"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326" w:type="pct"/>
            <w:noWrap/>
            <w:hideMark/>
          </w:tcPr>
          <w:p w14:paraId="25EF4692"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6,500</w:t>
            </w:r>
          </w:p>
        </w:tc>
        <w:tc>
          <w:tcPr>
            <w:tcW w:w="338" w:type="pct"/>
            <w:noWrap/>
            <w:hideMark/>
          </w:tcPr>
          <w:p w14:paraId="67730CEE"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424" w:type="pct"/>
            <w:noWrap/>
            <w:hideMark/>
          </w:tcPr>
          <w:p w14:paraId="43C3E1A6"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5,110</w:t>
            </w:r>
          </w:p>
        </w:tc>
        <w:tc>
          <w:tcPr>
            <w:tcW w:w="276" w:type="pct"/>
            <w:noWrap/>
            <w:hideMark/>
          </w:tcPr>
          <w:p w14:paraId="4CB47951" w14:textId="77777777" w:rsidR="00285F19" w:rsidRPr="005002D4" w:rsidRDefault="00285F19" w:rsidP="006129E3">
            <w:pPr>
              <w:pStyle w:val="Tabletext"/>
              <w:jc w:val="right"/>
              <w:rPr>
                <w:rFonts w:asciiTheme="majorHAnsi" w:hAnsiTheme="majorHAnsi" w:cstheme="majorHAnsi"/>
                <w:lang w:eastAsia="en-AU"/>
              </w:rPr>
            </w:pPr>
          </w:p>
        </w:tc>
        <w:tc>
          <w:tcPr>
            <w:tcW w:w="377" w:type="pct"/>
            <w:noWrap/>
            <w:hideMark/>
          </w:tcPr>
          <w:p w14:paraId="429EF45D"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415</w:t>
            </w:r>
          </w:p>
        </w:tc>
        <w:tc>
          <w:tcPr>
            <w:tcW w:w="386" w:type="pct"/>
            <w:noWrap/>
            <w:hideMark/>
          </w:tcPr>
          <w:p w14:paraId="671168C0"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39,844</w:t>
            </w:r>
          </w:p>
        </w:tc>
      </w:tr>
      <w:tr w:rsidR="00285F19" w:rsidRPr="00647BC8" w14:paraId="57CD5837"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1628" w:type="pct"/>
            <w:noWrap/>
            <w:hideMark/>
          </w:tcPr>
          <w:p w14:paraId="0AF1DC9C" w14:textId="77777777" w:rsidR="00285F19" w:rsidRPr="005002D4" w:rsidRDefault="00285F19" w:rsidP="006129E3">
            <w:pPr>
              <w:pStyle w:val="Tabletext"/>
              <w:rPr>
                <w:rFonts w:asciiTheme="majorHAnsi" w:hAnsiTheme="majorHAnsi" w:cstheme="majorHAnsi"/>
                <w:lang w:eastAsia="en-AU"/>
              </w:rPr>
            </w:pPr>
            <w:r w:rsidRPr="005002D4">
              <w:rPr>
                <w:rFonts w:asciiTheme="majorHAnsi" w:hAnsiTheme="majorHAnsi" w:cstheme="majorHAnsi"/>
                <w:lang w:eastAsia="en-AU"/>
              </w:rPr>
              <w:t>Administrative and support services</w:t>
            </w:r>
          </w:p>
        </w:tc>
        <w:tc>
          <w:tcPr>
            <w:tcW w:w="403" w:type="pct"/>
            <w:noWrap/>
            <w:hideMark/>
          </w:tcPr>
          <w:p w14:paraId="7BA9028B"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116,000</w:t>
            </w:r>
          </w:p>
        </w:tc>
        <w:tc>
          <w:tcPr>
            <w:tcW w:w="282" w:type="pct"/>
            <w:noWrap/>
            <w:hideMark/>
          </w:tcPr>
          <w:p w14:paraId="1DD37F57" w14:textId="77777777" w:rsidR="00285F19" w:rsidRPr="005002D4" w:rsidRDefault="00285F19" w:rsidP="006129E3">
            <w:pPr>
              <w:pStyle w:val="Tabletext"/>
              <w:jc w:val="right"/>
              <w:rPr>
                <w:rFonts w:asciiTheme="majorHAnsi" w:hAnsiTheme="majorHAnsi" w:cstheme="majorHAnsi"/>
                <w:lang w:eastAsia="en-AU"/>
              </w:rPr>
            </w:pPr>
          </w:p>
        </w:tc>
        <w:tc>
          <w:tcPr>
            <w:tcW w:w="277" w:type="pct"/>
            <w:noWrap/>
            <w:hideMark/>
          </w:tcPr>
          <w:p w14:paraId="55C8F55C"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2.5</w:t>
            </w:r>
          </w:p>
        </w:tc>
        <w:tc>
          <w:tcPr>
            <w:tcW w:w="283" w:type="pct"/>
            <w:noWrap/>
            <w:hideMark/>
          </w:tcPr>
          <w:p w14:paraId="1979B293"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326" w:type="pct"/>
            <w:noWrap/>
            <w:hideMark/>
          </w:tcPr>
          <w:p w14:paraId="6CC4774F"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-280</w:t>
            </w:r>
          </w:p>
        </w:tc>
        <w:tc>
          <w:tcPr>
            <w:tcW w:w="338" w:type="pct"/>
            <w:noWrap/>
            <w:hideMark/>
          </w:tcPr>
          <w:p w14:paraId="4821FD99" w14:textId="77777777" w:rsidR="00285F19" w:rsidRPr="005002D4" w:rsidRDefault="00285F19" w:rsidP="006129E3">
            <w:pPr>
              <w:pStyle w:val="Tabletext"/>
              <w:jc w:val="right"/>
              <w:rPr>
                <w:rFonts w:asciiTheme="majorHAnsi" w:hAnsiTheme="majorHAnsi" w:cstheme="majorHAnsi"/>
                <w:lang w:eastAsia="en-AU"/>
              </w:rPr>
            </w:pPr>
          </w:p>
        </w:tc>
        <w:tc>
          <w:tcPr>
            <w:tcW w:w="424" w:type="pct"/>
            <w:noWrap/>
            <w:hideMark/>
          </w:tcPr>
          <w:p w14:paraId="5B0A9FA3"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-7,200</w:t>
            </w:r>
          </w:p>
        </w:tc>
        <w:tc>
          <w:tcPr>
            <w:tcW w:w="276" w:type="pct"/>
            <w:noWrap/>
            <w:hideMark/>
          </w:tcPr>
          <w:p w14:paraId="419B0DE0" w14:textId="77777777" w:rsidR="00285F19" w:rsidRPr="005002D4" w:rsidRDefault="00285F19" w:rsidP="006129E3">
            <w:pPr>
              <w:pStyle w:val="Tabletext"/>
              <w:jc w:val="right"/>
              <w:rPr>
                <w:rFonts w:asciiTheme="majorHAnsi" w:hAnsiTheme="majorHAnsi" w:cstheme="majorHAnsi"/>
                <w:lang w:eastAsia="en-AU"/>
              </w:rPr>
            </w:pPr>
          </w:p>
        </w:tc>
        <w:tc>
          <w:tcPr>
            <w:tcW w:w="377" w:type="pct"/>
            <w:noWrap/>
            <w:hideMark/>
          </w:tcPr>
          <w:p w14:paraId="74702629"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111</w:t>
            </w:r>
          </w:p>
        </w:tc>
        <w:tc>
          <w:tcPr>
            <w:tcW w:w="386" w:type="pct"/>
            <w:noWrap/>
            <w:hideMark/>
          </w:tcPr>
          <w:p w14:paraId="0D74E04B"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11,884</w:t>
            </w:r>
          </w:p>
        </w:tc>
      </w:tr>
      <w:tr w:rsidR="00285F19" w:rsidRPr="00647BC8" w14:paraId="6B2BCB0F"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1628" w:type="pct"/>
            <w:noWrap/>
            <w:hideMark/>
          </w:tcPr>
          <w:p w14:paraId="7BBE0DF1" w14:textId="77777777" w:rsidR="00285F19" w:rsidRPr="005002D4" w:rsidRDefault="00285F19" w:rsidP="006129E3">
            <w:pPr>
              <w:pStyle w:val="Tabletext"/>
              <w:rPr>
                <w:rFonts w:asciiTheme="majorHAnsi" w:hAnsiTheme="majorHAnsi" w:cstheme="majorHAnsi"/>
                <w:lang w:eastAsia="en-AU"/>
              </w:rPr>
            </w:pPr>
            <w:r w:rsidRPr="005002D4">
              <w:rPr>
                <w:rFonts w:asciiTheme="majorHAnsi" w:hAnsiTheme="majorHAnsi" w:cstheme="majorHAnsi"/>
                <w:lang w:eastAsia="en-AU"/>
              </w:rPr>
              <w:t>Health care and social assistance</w:t>
            </w:r>
          </w:p>
        </w:tc>
        <w:tc>
          <w:tcPr>
            <w:tcW w:w="403" w:type="pct"/>
            <w:noWrap/>
            <w:hideMark/>
          </w:tcPr>
          <w:p w14:paraId="4529E032"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90,000</w:t>
            </w:r>
          </w:p>
        </w:tc>
        <w:tc>
          <w:tcPr>
            <w:tcW w:w="282" w:type="pct"/>
            <w:noWrap/>
            <w:hideMark/>
          </w:tcPr>
          <w:p w14:paraId="728AAB90" w14:textId="77777777" w:rsidR="00285F19" w:rsidRPr="005002D4" w:rsidRDefault="00285F19" w:rsidP="006129E3">
            <w:pPr>
              <w:pStyle w:val="Tabletext"/>
              <w:jc w:val="right"/>
              <w:rPr>
                <w:rFonts w:asciiTheme="majorHAnsi" w:hAnsiTheme="majorHAnsi" w:cstheme="majorHAnsi"/>
                <w:lang w:eastAsia="en-AU"/>
              </w:rPr>
            </w:pPr>
          </w:p>
        </w:tc>
        <w:tc>
          <w:tcPr>
            <w:tcW w:w="277" w:type="pct"/>
            <w:noWrap/>
            <w:hideMark/>
          </w:tcPr>
          <w:p w14:paraId="4CE4A581"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0.6</w:t>
            </w:r>
          </w:p>
        </w:tc>
        <w:tc>
          <w:tcPr>
            <w:tcW w:w="283" w:type="pct"/>
            <w:noWrap/>
            <w:hideMark/>
          </w:tcPr>
          <w:p w14:paraId="7AAE18CE" w14:textId="77777777" w:rsidR="00285F19" w:rsidRPr="005002D4" w:rsidRDefault="00285F19" w:rsidP="006129E3">
            <w:pPr>
              <w:pStyle w:val="Tabletext"/>
              <w:jc w:val="right"/>
              <w:rPr>
                <w:rFonts w:asciiTheme="majorHAnsi" w:hAnsiTheme="majorHAnsi" w:cstheme="majorHAnsi"/>
                <w:lang w:eastAsia="en-AU"/>
              </w:rPr>
            </w:pPr>
          </w:p>
        </w:tc>
        <w:tc>
          <w:tcPr>
            <w:tcW w:w="326" w:type="pct"/>
            <w:noWrap/>
            <w:hideMark/>
          </w:tcPr>
          <w:p w14:paraId="03FA99F7"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-5,800</w:t>
            </w:r>
          </w:p>
        </w:tc>
        <w:tc>
          <w:tcPr>
            <w:tcW w:w="338" w:type="pct"/>
            <w:noWrap/>
            <w:hideMark/>
          </w:tcPr>
          <w:p w14:paraId="3FF14769" w14:textId="77777777" w:rsidR="00285F19" w:rsidRPr="005002D4" w:rsidRDefault="00285F19" w:rsidP="006129E3">
            <w:pPr>
              <w:pStyle w:val="Tabletext"/>
              <w:jc w:val="right"/>
              <w:rPr>
                <w:rFonts w:asciiTheme="majorHAnsi" w:hAnsiTheme="majorHAnsi" w:cstheme="majorHAnsi"/>
                <w:lang w:eastAsia="en-AU"/>
              </w:rPr>
            </w:pPr>
          </w:p>
        </w:tc>
        <w:tc>
          <w:tcPr>
            <w:tcW w:w="424" w:type="pct"/>
            <w:noWrap/>
            <w:hideMark/>
          </w:tcPr>
          <w:p w14:paraId="264D6734"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14,000</w:t>
            </w:r>
          </w:p>
        </w:tc>
        <w:tc>
          <w:tcPr>
            <w:tcW w:w="276" w:type="pct"/>
            <w:noWrap/>
            <w:hideMark/>
          </w:tcPr>
          <w:p w14:paraId="027D0A7D" w14:textId="77777777" w:rsidR="00285F19" w:rsidRPr="005002D4" w:rsidRDefault="00285F19" w:rsidP="006129E3">
            <w:pPr>
              <w:pStyle w:val="Tabletext"/>
              <w:jc w:val="right"/>
              <w:rPr>
                <w:rFonts w:asciiTheme="majorHAnsi" w:hAnsiTheme="majorHAnsi" w:cstheme="majorHAnsi"/>
                <w:lang w:eastAsia="en-AU"/>
              </w:rPr>
            </w:pPr>
          </w:p>
        </w:tc>
        <w:tc>
          <w:tcPr>
            <w:tcW w:w="377" w:type="pct"/>
            <w:noWrap/>
            <w:hideMark/>
          </w:tcPr>
          <w:p w14:paraId="120813A9"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177</w:t>
            </w:r>
          </w:p>
        </w:tc>
        <w:tc>
          <w:tcPr>
            <w:tcW w:w="386" w:type="pct"/>
            <w:noWrap/>
            <w:hideMark/>
          </w:tcPr>
          <w:p w14:paraId="5AE7015A"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26,288</w:t>
            </w:r>
          </w:p>
        </w:tc>
      </w:tr>
      <w:tr w:rsidR="00285F19" w:rsidRPr="00647BC8" w14:paraId="5A93EE9D"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1628" w:type="pct"/>
            <w:noWrap/>
            <w:hideMark/>
          </w:tcPr>
          <w:p w14:paraId="0A19F7D6" w14:textId="77777777" w:rsidR="00285F19" w:rsidRPr="005002D4" w:rsidRDefault="00285F19" w:rsidP="006129E3">
            <w:pPr>
              <w:pStyle w:val="Tabletext"/>
              <w:rPr>
                <w:rFonts w:asciiTheme="majorHAnsi" w:hAnsiTheme="majorHAnsi" w:cstheme="majorHAnsi"/>
                <w:lang w:eastAsia="en-AU"/>
              </w:rPr>
            </w:pPr>
            <w:r w:rsidRPr="005002D4">
              <w:rPr>
                <w:rFonts w:asciiTheme="majorHAnsi" w:hAnsiTheme="majorHAnsi" w:cstheme="majorHAnsi"/>
                <w:lang w:eastAsia="en-AU"/>
              </w:rPr>
              <w:t>Other services</w:t>
            </w:r>
          </w:p>
        </w:tc>
        <w:tc>
          <w:tcPr>
            <w:tcW w:w="403" w:type="pct"/>
            <w:noWrap/>
            <w:hideMark/>
          </w:tcPr>
          <w:p w14:paraId="21458A1C"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180,000</w:t>
            </w:r>
          </w:p>
        </w:tc>
        <w:tc>
          <w:tcPr>
            <w:tcW w:w="282" w:type="pct"/>
            <w:noWrap/>
            <w:hideMark/>
          </w:tcPr>
          <w:p w14:paraId="03D024F3"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277" w:type="pct"/>
            <w:noWrap/>
            <w:hideMark/>
          </w:tcPr>
          <w:p w14:paraId="63262A69"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2.2</w:t>
            </w:r>
          </w:p>
        </w:tc>
        <w:tc>
          <w:tcPr>
            <w:tcW w:w="283" w:type="pct"/>
            <w:noWrap/>
            <w:hideMark/>
          </w:tcPr>
          <w:p w14:paraId="4A35D775"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326" w:type="pct"/>
            <w:noWrap/>
            <w:hideMark/>
          </w:tcPr>
          <w:p w14:paraId="0E979121"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-900</w:t>
            </w:r>
          </w:p>
        </w:tc>
        <w:tc>
          <w:tcPr>
            <w:tcW w:w="338" w:type="pct"/>
            <w:noWrap/>
            <w:hideMark/>
          </w:tcPr>
          <w:p w14:paraId="67A7487F" w14:textId="77777777" w:rsidR="00285F19" w:rsidRPr="005002D4" w:rsidRDefault="00285F19" w:rsidP="006129E3">
            <w:pPr>
              <w:pStyle w:val="Tabletext"/>
              <w:jc w:val="right"/>
              <w:rPr>
                <w:rFonts w:asciiTheme="majorHAnsi" w:hAnsiTheme="majorHAnsi" w:cstheme="majorHAnsi"/>
                <w:lang w:eastAsia="en-AU"/>
              </w:rPr>
            </w:pPr>
          </w:p>
        </w:tc>
        <w:tc>
          <w:tcPr>
            <w:tcW w:w="424" w:type="pct"/>
            <w:noWrap/>
            <w:hideMark/>
          </w:tcPr>
          <w:p w14:paraId="1795221B"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6,240</w:t>
            </w:r>
          </w:p>
        </w:tc>
        <w:tc>
          <w:tcPr>
            <w:tcW w:w="276" w:type="pct"/>
            <w:noWrap/>
            <w:hideMark/>
          </w:tcPr>
          <w:p w14:paraId="4F4A23D9" w14:textId="77777777" w:rsidR="00285F19" w:rsidRPr="005002D4" w:rsidRDefault="00285F19" w:rsidP="006129E3">
            <w:pPr>
              <w:pStyle w:val="Tabletext"/>
              <w:jc w:val="right"/>
              <w:rPr>
                <w:rFonts w:asciiTheme="majorHAnsi" w:hAnsiTheme="majorHAnsi" w:cstheme="majorHAnsi"/>
                <w:lang w:eastAsia="en-AU"/>
              </w:rPr>
            </w:pPr>
          </w:p>
        </w:tc>
        <w:tc>
          <w:tcPr>
            <w:tcW w:w="377" w:type="pct"/>
            <w:noWrap/>
            <w:hideMark/>
          </w:tcPr>
          <w:p w14:paraId="6A4E24F4"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121</w:t>
            </w:r>
          </w:p>
        </w:tc>
        <w:tc>
          <w:tcPr>
            <w:tcW w:w="386" w:type="pct"/>
            <w:noWrap/>
            <w:hideMark/>
          </w:tcPr>
          <w:p w14:paraId="52EC9EC6"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22,671</w:t>
            </w:r>
          </w:p>
        </w:tc>
      </w:tr>
      <w:tr w:rsidR="00285F19" w:rsidRPr="00647BC8" w14:paraId="3D165A59" w14:textId="77777777" w:rsidTr="006129E3">
        <w:trPr>
          <w:cnfStyle w:val="000000100000" w:firstRow="0" w:lastRow="0" w:firstColumn="0" w:lastColumn="0" w:oddVBand="0" w:evenVBand="0" w:oddHBand="1" w:evenHBand="0" w:firstRowFirstColumn="0" w:firstRowLastColumn="0" w:lastRowFirstColumn="0" w:lastRowLastColumn="0"/>
          <w:trHeight w:val="300"/>
        </w:trPr>
        <w:tc>
          <w:tcPr>
            <w:tcW w:w="1628" w:type="pct"/>
            <w:noWrap/>
            <w:hideMark/>
          </w:tcPr>
          <w:p w14:paraId="7835F152" w14:textId="77777777" w:rsidR="00285F19" w:rsidRPr="005002D4" w:rsidRDefault="00285F19" w:rsidP="006129E3">
            <w:pPr>
              <w:pStyle w:val="Tabletext"/>
              <w:rPr>
                <w:rFonts w:asciiTheme="majorHAnsi" w:hAnsiTheme="majorHAnsi" w:cstheme="majorHAnsi"/>
                <w:lang w:eastAsia="en-AU"/>
              </w:rPr>
            </w:pPr>
          </w:p>
        </w:tc>
        <w:tc>
          <w:tcPr>
            <w:tcW w:w="403" w:type="pct"/>
            <w:noWrap/>
            <w:hideMark/>
          </w:tcPr>
          <w:p w14:paraId="4877D365" w14:textId="77777777" w:rsidR="00285F19" w:rsidRPr="005002D4" w:rsidRDefault="00285F19" w:rsidP="006129E3">
            <w:pPr>
              <w:pStyle w:val="Tabletext"/>
              <w:jc w:val="right"/>
              <w:rPr>
                <w:rFonts w:asciiTheme="majorHAnsi" w:hAnsiTheme="majorHAnsi" w:cstheme="majorHAnsi"/>
                <w:szCs w:val="20"/>
                <w:lang w:eastAsia="en-AU"/>
              </w:rPr>
            </w:pPr>
          </w:p>
        </w:tc>
        <w:tc>
          <w:tcPr>
            <w:tcW w:w="282" w:type="pct"/>
            <w:noWrap/>
            <w:hideMark/>
          </w:tcPr>
          <w:p w14:paraId="37F5A63B" w14:textId="77777777" w:rsidR="00285F19" w:rsidRPr="005002D4" w:rsidRDefault="00285F19" w:rsidP="006129E3">
            <w:pPr>
              <w:pStyle w:val="Tabletext"/>
              <w:jc w:val="right"/>
              <w:rPr>
                <w:rFonts w:asciiTheme="majorHAnsi" w:hAnsiTheme="majorHAnsi" w:cstheme="majorHAnsi"/>
                <w:szCs w:val="20"/>
                <w:lang w:eastAsia="en-AU"/>
              </w:rPr>
            </w:pPr>
          </w:p>
        </w:tc>
        <w:tc>
          <w:tcPr>
            <w:tcW w:w="277" w:type="pct"/>
            <w:noWrap/>
            <w:hideMark/>
          </w:tcPr>
          <w:p w14:paraId="65F6E56C" w14:textId="77777777" w:rsidR="00285F19" w:rsidRPr="005002D4" w:rsidRDefault="00285F19" w:rsidP="006129E3">
            <w:pPr>
              <w:pStyle w:val="Tabletext"/>
              <w:jc w:val="right"/>
              <w:rPr>
                <w:rFonts w:asciiTheme="majorHAnsi" w:hAnsiTheme="majorHAnsi" w:cstheme="majorHAnsi"/>
                <w:szCs w:val="20"/>
                <w:lang w:eastAsia="en-AU"/>
              </w:rPr>
            </w:pPr>
          </w:p>
        </w:tc>
        <w:tc>
          <w:tcPr>
            <w:tcW w:w="283" w:type="pct"/>
            <w:noWrap/>
            <w:hideMark/>
          </w:tcPr>
          <w:p w14:paraId="4BCC3EB8" w14:textId="77777777" w:rsidR="00285F19" w:rsidRPr="005002D4" w:rsidRDefault="00285F19" w:rsidP="006129E3">
            <w:pPr>
              <w:pStyle w:val="Tabletext"/>
              <w:jc w:val="right"/>
              <w:rPr>
                <w:rFonts w:asciiTheme="majorHAnsi" w:hAnsiTheme="majorHAnsi" w:cstheme="majorHAnsi"/>
                <w:szCs w:val="20"/>
                <w:lang w:eastAsia="en-AU"/>
              </w:rPr>
            </w:pPr>
          </w:p>
        </w:tc>
        <w:tc>
          <w:tcPr>
            <w:tcW w:w="326" w:type="pct"/>
            <w:noWrap/>
            <w:hideMark/>
          </w:tcPr>
          <w:p w14:paraId="758EF48E" w14:textId="77777777" w:rsidR="00285F19" w:rsidRPr="005002D4" w:rsidRDefault="00285F19" w:rsidP="006129E3">
            <w:pPr>
              <w:pStyle w:val="Tabletext"/>
              <w:jc w:val="right"/>
              <w:rPr>
                <w:rFonts w:asciiTheme="majorHAnsi" w:hAnsiTheme="majorHAnsi" w:cstheme="majorHAnsi"/>
                <w:szCs w:val="20"/>
                <w:lang w:eastAsia="en-AU"/>
              </w:rPr>
            </w:pPr>
          </w:p>
        </w:tc>
        <w:tc>
          <w:tcPr>
            <w:tcW w:w="338" w:type="pct"/>
            <w:noWrap/>
            <w:hideMark/>
          </w:tcPr>
          <w:p w14:paraId="0848D204" w14:textId="77777777" w:rsidR="00285F19" w:rsidRPr="005002D4" w:rsidRDefault="00285F19" w:rsidP="006129E3">
            <w:pPr>
              <w:pStyle w:val="Tabletext"/>
              <w:jc w:val="right"/>
              <w:rPr>
                <w:rFonts w:asciiTheme="majorHAnsi" w:hAnsiTheme="majorHAnsi" w:cstheme="majorHAnsi"/>
                <w:szCs w:val="20"/>
                <w:lang w:eastAsia="en-AU"/>
              </w:rPr>
            </w:pPr>
          </w:p>
        </w:tc>
        <w:tc>
          <w:tcPr>
            <w:tcW w:w="424" w:type="pct"/>
            <w:noWrap/>
            <w:hideMark/>
          </w:tcPr>
          <w:p w14:paraId="6CADA29E" w14:textId="77777777" w:rsidR="00285F19" w:rsidRPr="005002D4" w:rsidRDefault="00285F19" w:rsidP="006129E3">
            <w:pPr>
              <w:pStyle w:val="Tabletext"/>
              <w:jc w:val="right"/>
              <w:rPr>
                <w:rFonts w:asciiTheme="majorHAnsi" w:hAnsiTheme="majorHAnsi" w:cstheme="majorHAnsi"/>
                <w:szCs w:val="20"/>
                <w:lang w:eastAsia="en-AU"/>
              </w:rPr>
            </w:pPr>
          </w:p>
        </w:tc>
        <w:tc>
          <w:tcPr>
            <w:tcW w:w="276" w:type="pct"/>
            <w:noWrap/>
            <w:hideMark/>
          </w:tcPr>
          <w:p w14:paraId="5C4465F5" w14:textId="77777777" w:rsidR="00285F19" w:rsidRPr="005002D4" w:rsidRDefault="00285F19" w:rsidP="006129E3">
            <w:pPr>
              <w:pStyle w:val="Tabletext"/>
              <w:jc w:val="right"/>
              <w:rPr>
                <w:rFonts w:asciiTheme="majorHAnsi" w:hAnsiTheme="majorHAnsi" w:cstheme="majorHAnsi"/>
                <w:szCs w:val="20"/>
                <w:lang w:eastAsia="en-AU"/>
              </w:rPr>
            </w:pPr>
          </w:p>
        </w:tc>
        <w:tc>
          <w:tcPr>
            <w:tcW w:w="377" w:type="pct"/>
            <w:noWrap/>
            <w:hideMark/>
          </w:tcPr>
          <w:p w14:paraId="47084AD6" w14:textId="77777777" w:rsidR="00285F19" w:rsidRPr="005002D4" w:rsidRDefault="00285F19" w:rsidP="006129E3">
            <w:pPr>
              <w:pStyle w:val="Tabletext"/>
              <w:jc w:val="right"/>
              <w:rPr>
                <w:rFonts w:asciiTheme="majorHAnsi" w:hAnsiTheme="majorHAnsi" w:cstheme="majorHAnsi"/>
                <w:szCs w:val="20"/>
                <w:lang w:eastAsia="en-AU"/>
              </w:rPr>
            </w:pPr>
          </w:p>
        </w:tc>
        <w:tc>
          <w:tcPr>
            <w:tcW w:w="386" w:type="pct"/>
            <w:noWrap/>
            <w:hideMark/>
          </w:tcPr>
          <w:p w14:paraId="242BBDA0" w14:textId="77777777" w:rsidR="00285F19" w:rsidRPr="005002D4" w:rsidRDefault="00285F19" w:rsidP="006129E3">
            <w:pPr>
              <w:pStyle w:val="Tabletext"/>
              <w:jc w:val="right"/>
              <w:rPr>
                <w:rFonts w:asciiTheme="majorHAnsi" w:hAnsiTheme="majorHAnsi" w:cstheme="majorHAnsi"/>
                <w:szCs w:val="20"/>
                <w:lang w:eastAsia="en-AU"/>
              </w:rPr>
            </w:pPr>
          </w:p>
        </w:tc>
      </w:tr>
      <w:tr w:rsidR="00285F19" w:rsidRPr="00647BC8" w14:paraId="7A610DF4" w14:textId="77777777" w:rsidTr="006129E3">
        <w:trPr>
          <w:cnfStyle w:val="000000010000" w:firstRow="0" w:lastRow="0" w:firstColumn="0" w:lastColumn="0" w:oddVBand="0" w:evenVBand="0" w:oddHBand="0" w:evenHBand="1" w:firstRowFirstColumn="0" w:firstRowLastColumn="0" w:lastRowFirstColumn="0" w:lastRowLastColumn="0"/>
          <w:trHeight w:val="300"/>
        </w:trPr>
        <w:tc>
          <w:tcPr>
            <w:tcW w:w="1628" w:type="pct"/>
            <w:noWrap/>
            <w:hideMark/>
          </w:tcPr>
          <w:p w14:paraId="1D94DD27" w14:textId="77777777" w:rsidR="00285F19" w:rsidRPr="005002D4" w:rsidRDefault="00285F19" w:rsidP="006129E3">
            <w:pPr>
              <w:pStyle w:val="Tabletext"/>
              <w:rPr>
                <w:rFonts w:asciiTheme="majorHAnsi" w:hAnsiTheme="majorHAnsi" w:cstheme="majorHAnsi"/>
                <w:lang w:eastAsia="en-AU"/>
              </w:rPr>
            </w:pPr>
            <w:r w:rsidRPr="005002D4">
              <w:rPr>
                <w:rFonts w:asciiTheme="majorHAnsi" w:hAnsiTheme="majorHAnsi" w:cstheme="majorHAnsi"/>
                <w:lang w:eastAsia="en-AU"/>
              </w:rPr>
              <w:t>All ANZSICs</w:t>
            </w:r>
          </w:p>
        </w:tc>
        <w:tc>
          <w:tcPr>
            <w:tcW w:w="403" w:type="pct"/>
            <w:noWrap/>
            <w:hideMark/>
          </w:tcPr>
          <w:p w14:paraId="72F4EC51"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146,000</w:t>
            </w:r>
          </w:p>
        </w:tc>
        <w:tc>
          <w:tcPr>
            <w:tcW w:w="282" w:type="pct"/>
            <w:noWrap/>
            <w:hideMark/>
          </w:tcPr>
          <w:p w14:paraId="391AE6BF"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277" w:type="pct"/>
            <w:noWrap/>
            <w:hideMark/>
          </w:tcPr>
          <w:p w14:paraId="58130906"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1.5</w:t>
            </w:r>
          </w:p>
        </w:tc>
        <w:tc>
          <w:tcPr>
            <w:tcW w:w="283" w:type="pct"/>
            <w:noWrap/>
            <w:hideMark/>
          </w:tcPr>
          <w:p w14:paraId="6D4E0AA3"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w:t>
            </w:r>
          </w:p>
        </w:tc>
        <w:tc>
          <w:tcPr>
            <w:tcW w:w="326" w:type="pct"/>
            <w:noWrap/>
            <w:hideMark/>
          </w:tcPr>
          <w:p w14:paraId="65FAF8C9"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2,300</w:t>
            </w:r>
          </w:p>
        </w:tc>
        <w:tc>
          <w:tcPr>
            <w:tcW w:w="338" w:type="pct"/>
            <w:noWrap/>
            <w:hideMark/>
          </w:tcPr>
          <w:p w14:paraId="682734AC" w14:textId="77777777" w:rsidR="00285F19" w:rsidRPr="005002D4" w:rsidRDefault="00285F19" w:rsidP="006129E3">
            <w:pPr>
              <w:pStyle w:val="Tabletext"/>
              <w:jc w:val="right"/>
              <w:rPr>
                <w:rFonts w:asciiTheme="majorHAnsi" w:hAnsiTheme="majorHAnsi" w:cstheme="majorHAnsi"/>
                <w:lang w:eastAsia="en-AU"/>
              </w:rPr>
            </w:pPr>
          </w:p>
        </w:tc>
        <w:tc>
          <w:tcPr>
            <w:tcW w:w="424" w:type="pct"/>
            <w:noWrap/>
            <w:hideMark/>
          </w:tcPr>
          <w:p w14:paraId="431C9BC7"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3,000</w:t>
            </w:r>
          </w:p>
        </w:tc>
        <w:tc>
          <w:tcPr>
            <w:tcW w:w="276" w:type="pct"/>
            <w:noWrap/>
            <w:hideMark/>
          </w:tcPr>
          <w:p w14:paraId="3B90ED59" w14:textId="77777777" w:rsidR="00285F19" w:rsidRPr="005002D4" w:rsidRDefault="00285F19" w:rsidP="006129E3">
            <w:pPr>
              <w:pStyle w:val="Tabletext"/>
              <w:jc w:val="right"/>
              <w:rPr>
                <w:rFonts w:asciiTheme="majorHAnsi" w:hAnsiTheme="majorHAnsi" w:cstheme="majorHAnsi"/>
                <w:lang w:eastAsia="en-AU"/>
              </w:rPr>
            </w:pPr>
          </w:p>
        </w:tc>
        <w:tc>
          <w:tcPr>
            <w:tcW w:w="377" w:type="pct"/>
            <w:noWrap/>
            <w:hideMark/>
          </w:tcPr>
          <w:p w14:paraId="41EE30D2"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2,230</w:t>
            </w:r>
          </w:p>
        </w:tc>
        <w:tc>
          <w:tcPr>
            <w:tcW w:w="386" w:type="pct"/>
            <w:noWrap/>
            <w:hideMark/>
          </w:tcPr>
          <w:p w14:paraId="69D3B8AF" w14:textId="77777777" w:rsidR="00285F19" w:rsidRPr="005002D4" w:rsidRDefault="00285F19" w:rsidP="006129E3">
            <w:pPr>
              <w:pStyle w:val="Tabletext"/>
              <w:jc w:val="right"/>
              <w:rPr>
                <w:rFonts w:asciiTheme="majorHAnsi" w:hAnsiTheme="majorHAnsi" w:cstheme="majorHAnsi"/>
                <w:lang w:eastAsia="en-AU"/>
              </w:rPr>
            </w:pPr>
            <w:r w:rsidRPr="005002D4">
              <w:rPr>
                <w:rFonts w:asciiTheme="majorHAnsi" w:hAnsiTheme="majorHAnsi" w:cstheme="majorHAnsi"/>
                <w:lang w:eastAsia="en-AU"/>
              </w:rPr>
              <w:t>312,772</w:t>
            </w:r>
          </w:p>
        </w:tc>
      </w:tr>
    </w:tbl>
    <w:p w14:paraId="7861378F" w14:textId="77777777" w:rsidR="00285F19" w:rsidRPr="00647BC8" w:rsidRDefault="00285F19" w:rsidP="00285F19">
      <w:pPr>
        <w:pStyle w:val="Placeholder"/>
      </w:pPr>
    </w:p>
    <w:p w14:paraId="449D54C5" w14:textId="77777777" w:rsidR="00285F19" w:rsidRPr="00C21B00" w:rsidRDefault="00285F19" w:rsidP="00285F19">
      <w:pPr>
        <w:pStyle w:val="Note"/>
        <w:rPr>
          <w:lang w:val="en-AU" w:eastAsia="en-AU"/>
        </w:rPr>
      </w:pPr>
      <w:r>
        <w:rPr>
          <w:lang w:eastAsia="en-AU"/>
        </w:rPr>
        <w:t xml:space="preserve">Notes: </w:t>
      </w:r>
      <w:r w:rsidRPr="00C21B00">
        <w:rPr>
          <w:lang w:val="en-AU" w:eastAsia="en-AU"/>
        </w:rPr>
        <w:t>*** significant at 1 per cent</w:t>
      </w:r>
      <w:r>
        <w:rPr>
          <w:lang w:val="en-AU" w:eastAsia="en-AU"/>
        </w:rPr>
        <w:t xml:space="preserve">, </w:t>
      </w:r>
      <w:r>
        <w:rPr>
          <w:lang w:eastAsia="en-AU"/>
        </w:rPr>
        <w:t>** significant at 5</w:t>
      </w:r>
      <w:r w:rsidRPr="00C21B00">
        <w:rPr>
          <w:lang w:eastAsia="en-AU"/>
        </w:rPr>
        <w:t xml:space="preserve"> per cent</w:t>
      </w:r>
      <w:r>
        <w:rPr>
          <w:lang w:eastAsia="en-AU"/>
        </w:rPr>
        <w:t xml:space="preserve">, </w:t>
      </w:r>
      <w:r>
        <w:rPr>
          <w:lang w:val="en-AU" w:eastAsia="en-AU"/>
        </w:rPr>
        <w:t>*</w:t>
      </w:r>
      <w:r w:rsidRPr="00C21B00">
        <w:rPr>
          <w:lang w:val="en-AU" w:eastAsia="en-AU"/>
        </w:rPr>
        <w:t xml:space="preserve"> significant at 1</w:t>
      </w:r>
      <w:r>
        <w:rPr>
          <w:lang w:val="en-AU" w:eastAsia="en-AU"/>
        </w:rPr>
        <w:t>0</w:t>
      </w:r>
      <w:r w:rsidRPr="00C21B00">
        <w:rPr>
          <w:lang w:val="en-AU" w:eastAsia="en-AU"/>
        </w:rPr>
        <w:t xml:space="preserve"> per cent</w:t>
      </w:r>
      <w:r>
        <w:rPr>
          <w:lang w:val="en-AU" w:eastAsia="en-AU"/>
        </w:rPr>
        <w:t>. FTE is a measure of employment and stands for ‘Full Time Equivalent’</w:t>
      </w:r>
    </w:p>
    <w:p w14:paraId="62C9F217" w14:textId="50C19E55" w:rsidR="00285F19" w:rsidRDefault="00290149" w:rsidP="00285F19">
      <w:pPr>
        <w:pStyle w:val="Source"/>
        <w:rPr>
          <w:lang w:eastAsia="en-AU"/>
        </w:rPr>
      </w:pPr>
      <w:r>
        <w:rPr>
          <w:lang w:eastAsia="en-AU"/>
        </w:rPr>
        <w:t>Source: DIIS (2019</w:t>
      </w:r>
      <w:r w:rsidR="00285F19">
        <w:rPr>
          <w:lang w:eastAsia="en-AU"/>
        </w:rPr>
        <w:t>)</w:t>
      </w:r>
      <w:r>
        <w:rPr>
          <w:lang w:eastAsia="en-AU"/>
        </w:rPr>
        <w:t xml:space="preserve"> using ABS BLADE</w:t>
      </w:r>
    </w:p>
    <w:p w14:paraId="7859451A" w14:textId="77777777" w:rsidR="00285F19" w:rsidRPr="00F0561A" w:rsidRDefault="00285F19" w:rsidP="00285F19">
      <w:pPr>
        <w:pStyle w:val="BodyText"/>
      </w:pPr>
    </w:p>
    <w:p w14:paraId="13BCF41A" w14:textId="77777777" w:rsidR="00285F19" w:rsidRDefault="00285F19" w:rsidP="00285F19">
      <w:pPr>
        <w:pStyle w:val="BodyText"/>
      </w:pPr>
    </w:p>
    <w:p w14:paraId="52ED5473" w14:textId="77777777" w:rsidR="00285F19" w:rsidRPr="00605170" w:rsidRDefault="00285F19" w:rsidP="00285F19">
      <w:pPr>
        <w:pStyle w:val="BodyText"/>
        <w:sectPr w:rsidR="00285F19" w:rsidRPr="00605170" w:rsidSect="006129E3">
          <w:pgSz w:w="16838" w:h="11906" w:orient="landscape" w:code="9"/>
          <w:pgMar w:top="1440" w:right="1440" w:bottom="1440" w:left="1440" w:header="709" w:footer="709" w:gutter="0"/>
          <w:cols w:space="708"/>
          <w:docGrid w:linePitch="360"/>
        </w:sectPr>
      </w:pPr>
    </w:p>
    <w:p w14:paraId="6A857FD6" w14:textId="72C46CDD" w:rsidR="00285F19" w:rsidRDefault="00285F19" w:rsidP="00285F19">
      <w:pPr>
        <w:pStyle w:val="BodyText"/>
      </w:pPr>
      <w:r>
        <w:lastRenderedPageBreak/>
        <w:t>Across all ANZSICs the ATE for turnover shows that the three-year forward chan</w:t>
      </w:r>
      <w:r w:rsidR="00085FB7">
        <w:t>ge in turnover was on average $</w:t>
      </w:r>
      <w:r>
        <w:t>146,000 higher for the sponsoring firms relative to the non-sponsoring firms. Within ANZSICs there was marked variability with the forward change being $668,000 higher for sponsors in Wholesale Trade, $186,000 higher for sponsors in Construction and $194,000 higher for sponsors in PST. This preliminary research could not establish statistically significant evidence of differences in forward turnover performance for other key sponsors of 457 migrants such as businesses in the Accommodation and Food Services industry.</w:t>
      </w:r>
    </w:p>
    <w:p w14:paraId="1E862BF5" w14:textId="77777777" w:rsidR="00285F19" w:rsidRDefault="00285F19" w:rsidP="00285F19">
      <w:pPr>
        <w:pStyle w:val="BodyText"/>
      </w:pPr>
      <w:r>
        <w:t xml:space="preserve">In terms of employment, the ATEs from the matching estimation also suggest a modestly better performance in terms of employment creation by 457 migrant sponsoring businesses. Prior to matching, for sponsoring businesses, their total number of FTEs is adjusted downwards by the number of 457 migrants sponsored each year. </w:t>
      </w:r>
      <w:r w:rsidRPr="00683619">
        <w:rPr>
          <w:i/>
        </w:rPr>
        <w:t>Essentially the ATE for employment</w:t>
      </w:r>
      <w:r>
        <w:rPr>
          <w:i/>
        </w:rPr>
        <w:t xml:space="preserve"> (FTE)</w:t>
      </w:r>
      <w:r w:rsidRPr="00683619">
        <w:rPr>
          <w:i/>
        </w:rPr>
        <w:t xml:space="preserve"> for the sponsoring firms is net of the number of 457 migrants sponsored in any given financial year.</w:t>
      </w:r>
      <w:r>
        <w:t xml:space="preserve">  The ATEs for FTE therefore suggest that even after controlling for the number of 457 migrants sponsored, on average across all ANZSICs the three-year forward change in employment was 1.5 FTE higher in the sponsoring businesses relative to the non-sponsoring firms. While there is some variability in the FTE forward change ATEs across key Industries, in general the results in Table 10 suggest that the additional employment generated by sponsoring firms is modest relative to the non-sponsoring firms, although very statistically significant.</w:t>
      </w:r>
    </w:p>
    <w:p w14:paraId="1C51091C" w14:textId="77777777" w:rsidR="00285F19" w:rsidRDefault="00285F19" w:rsidP="00285F19">
      <w:pPr>
        <w:pStyle w:val="BodyText"/>
      </w:pPr>
      <w:r>
        <w:t>The evidence is considerably less statistically significant for any performance premium in terms of the forward change in wage per FTE and labour productivity. However the treatment effects for wage per FTE for Manufacturing, Retail Trade, and PST suggests that three years onwards from 2010-11 457 sponsoring businesses in these three industries were on average paying a higher wage per employee. Overall, however, the statistical evidence is tenuous to suggest that growth in wage per employee was higher in 457 industries relative to the counterfactual. One possible reason for this could be the relatively rigid and regimented nature of certain aspects of the Australian labour market such as the Awards system and other forms of wage arbitration, which on average results in broadly similar cohorts of Australian businesses paying similar wages.</w:t>
      </w:r>
    </w:p>
    <w:p w14:paraId="6BD72600" w14:textId="77777777" w:rsidR="00285F19" w:rsidRDefault="00285F19" w:rsidP="00285F19">
      <w:pPr>
        <w:pStyle w:val="BodyText"/>
      </w:pPr>
      <w:r>
        <w:t xml:space="preserve">Similarly, the matching estimation does not find definitive statistic evidence that change in labour productivity three years onwards from 2010-11 was higher in the 457 firms relative to the counterfactual. The only sponsoring industry that returned a statistically significant ATE was Manufacturing where on average the forward change in labour productivity was $17,500 higher for sponsoring firms relative to the counterfactual. There are a number of possible interpretations of this result, first, that there is little difference in the labour productivity of 457 sponsoring and non-sponsoring firms, second, it is more likely that the lack of statistically significant labour productivity differentials is a consequence of measurement issues particularly for services industries and the proxy chosen to derive labour productivity from the financial data (Turnover less other non-capital expenditure per FTE). This issue requires further research and a more nuanced empirical model beyond the exploratory approach of this paper. </w:t>
      </w:r>
    </w:p>
    <w:p w14:paraId="37D9BBFF" w14:textId="77777777" w:rsidR="00285F19" w:rsidRDefault="00285F19" w:rsidP="00285F19">
      <w:pPr>
        <w:pStyle w:val="Heading1"/>
        <w:numPr>
          <w:ilvl w:val="0"/>
          <w:numId w:val="9"/>
        </w:numPr>
      </w:pPr>
      <w:r>
        <w:lastRenderedPageBreak/>
        <w:t>Discussion and caveats</w:t>
      </w:r>
    </w:p>
    <w:p w14:paraId="370DF1FD" w14:textId="77777777" w:rsidR="00285F19" w:rsidRPr="00F83E27" w:rsidRDefault="00285F19" w:rsidP="00285F19">
      <w:pPr>
        <w:pStyle w:val="BodyText"/>
      </w:pPr>
      <w:r>
        <w:t xml:space="preserve">The descriptive statistics and the matching estimation of the preceding sections establish that there are performance differentials between firms that sponsored 457 migrants and those that did not, particularly in terms of turnover and employment performance. This is evident across a number of ANZSICs, firm size classes and time periods. It would be tempting to assert that this performance differential is exclusively due to the use of sponsored 457 migrants, however this is unlikely. The use of 457 migrants is certain to have contributed to helping preserve and grow a businesses’ competitive advantage but </w:t>
      </w:r>
      <w:r w:rsidRPr="00F83E27">
        <w:t>there are other potential factors that help explain these performance differentials, notably differences in managerial ability, business age, product mix and life cycle, and the human capital and experience of existing employees</w:t>
      </w:r>
      <w:r>
        <w:t xml:space="preserve"> (including permanent skilled migrants)</w:t>
      </w:r>
      <w:r w:rsidRPr="00F83E27">
        <w:t>. Controlling for factors such as these in the analysis, particularly the matching estimation would assist in further isolating the impact of 457 migrant sponsorship on firm performance. Unfortunately, given current data limitations it is not possible to control for many of these factors as while BLADE data is rich in financial information from taxation data it is fairly limited in terms of other variables that help shed more light on the labour mix, production technology, and managerial quality of a business. Future developments in terms of the development of a linked Employer-Employee Dataset (LEED) by the ABS which can be integrated with BLADE, and the recently completed</w:t>
      </w:r>
      <w:r>
        <w:t xml:space="preserve"> ABS</w:t>
      </w:r>
      <w:r w:rsidRPr="00F83E27">
        <w:t xml:space="preserve"> Management Capability Survey </w:t>
      </w:r>
      <w:r>
        <w:t>will allow for</w:t>
      </w:r>
      <w:r w:rsidRPr="00F83E27">
        <w:t xml:space="preserve"> any subsequent research on the impact of skilled migrants on business performance</w:t>
      </w:r>
      <w:r>
        <w:t xml:space="preserve"> to be</w:t>
      </w:r>
      <w:r w:rsidRPr="00F83E27">
        <w:t xml:space="preserve"> more definitive. </w:t>
      </w:r>
    </w:p>
    <w:p w14:paraId="2D095446" w14:textId="33E91D51" w:rsidR="00285F19" w:rsidRPr="00F83E27" w:rsidRDefault="00285F19" w:rsidP="00285F19">
      <w:pPr>
        <w:pStyle w:val="BodyText"/>
      </w:pPr>
      <w:r w:rsidRPr="00F83E27">
        <w:t>Even if performance differentials are not exclusively due to 457 migrants, the spo</w:t>
      </w:r>
      <w:r w:rsidR="00085FB7">
        <w:t xml:space="preserve">nsorship of 457 migrants by </w:t>
      </w:r>
      <w:r w:rsidRPr="00F83E27">
        <w:t>better performing</w:t>
      </w:r>
      <w:r w:rsidR="00085FB7">
        <w:t xml:space="preserve"> Australian</w:t>
      </w:r>
      <w:r w:rsidRPr="00F83E27">
        <w:t xml:space="preserve"> firms is an interesting research finding. In this regards this paper adds value to the academic and policy discussion by identifying a gap in the literature in terms of an assessment of the firm-level impacts of migration policies. Furthermore this paper highlights the utility of administrative data as a rich vein of information that can assist researchers in terms of quantifying and assessing these impacts.  There is considerable scope to refine the current research, notably in terms of controlling for the additional factors identified above and also by broadening the scope of the research to include</w:t>
      </w:r>
      <w:r>
        <w:t xml:space="preserve"> the </w:t>
      </w:r>
      <w:r w:rsidRPr="00F83E27">
        <w:t>larger, complex (profiled) firm</w:t>
      </w:r>
      <w:r>
        <w:t>s</w:t>
      </w:r>
      <w:r w:rsidRPr="00F83E27">
        <w:t xml:space="preserve"> within BLADE. </w:t>
      </w:r>
    </w:p>
    <w:p w14:paraId="59F2C158" w14:textId="77777777" w:rsidR="00285F19" w:rsidRPr="009C5AA4" w:rsidRDefault="00285F19" w:rsidP="00285F19">
      <w:pPr>
        <w:pStyle w:val="Heading1"/>
        <w:numPr>
          <w:ilvl w:val="0"/>
          <w:numId w:val="9"/>
        </w:numPr>
      </w:pPr>
      <w:r>
        <w:t>Conclusion</w:t>
      </w:r>
    </w:p>
    <w:p w14:paraId="27B488E2" w14:textId="09F97AC4" w:rsidR="00285F19" w:rsidRDefault="00285F19" w:rsidP="00DF31C2">
      <w:pPr>
        <w:pStyle w:val="BodyText"/>
      </w:pPr>
      <w:r>
        <w:t>This research paper provided a summary of the salient characteristics of the 457 program over the two decades of its operation. Despite its use by a variety of Australian industries and businesses there has been a lack of quantitative research on 457 migrants, employers, and industries. This is primarily due to a lack of suitable micro-data on 457 migrants and sponsoring employers. This paper attempted to circumvent this limitation by making use of linked administrative data, and provides a compact methodological framework for assessing research questions such as the presence and extent of performance differentials between firms that sponsored 457 migrants and those that do not. The findings of this paper suggest that 457 sponsoring firms outperform</w:t>
      </w:r>
      <w:r w:rsidR="00085FB7">
        <w:t>ed</w:t>
      </w:r>
      <w:r>
        <w:t xml:space="preserve"> non-</w:t>
      </w:r>
      <w:r>
        <w:lastRenderedPageBreak/>
        <w:t xml:space="preserve">sponsoring firms, however it is unlikely that 457 </w:t>
      </w:r>
      <w:r w:rsidR="00085FB7">
        <w:t>migrants were</w:t>
      </w:r>
      <w:r>
        <w:t xml:space="preserve"> the exclusive source of this performance premium. </w:t>
      </w:r>
      <w:r>
        <w:br w:type="page"/>
      </w:r>
    </w:p>
    <w:p w14:paraId="53F405CA" w14:textId="77777777" w:rsidR="00285F19" w:rsidRDefault="00285F19" w:rsidP="00285F19">
      <w:pPr>
        <w:pStyle w:val="UnnumberedHeading"/>
      </w:pPr>
      <w:r>
        <w:lastRenderedPageBreak/>
        <w:t>Reference List</w:t>
      </w:r>
    </w:p>
    <w:p w14:paraId="538EFF5B" w14:textId="77777777" w:rsidR="00285F19" w:rsidRPr="00A10E32" w:rsidRDefault="00285F19" w:rsidP="00285F19">
      <w:pPr>
        <w:pStyle w:val="BodyText"/>
      </w:pPr>
      <w:r w:rsidRPr="00A10E32">
        <w:t xml:space="preserve">Abadie A and Imbens G (2002) </w:t>
      </w:r>
      <w:r w:rsidRPr="00A10E32">
        <w:rPr>
          <w:i/>
        </w:rPr>
        <w:t>Simple and bias-corrected matching estimators for average treatment effects</w:t>
      </w:r>
      <w:r w:rsidRPr="00A10E32">
        <w:t>, National Bureau of Economic Research Cambridge, Mass., USA</w:t>
      </w:r>
    </w:p>
    <w:p w14:paraId="2FE73242" w14:textId="77777777" w:rsidR="00285F19" w:rsidRPr="00A10E32" w:rsidRDefault="00285F19" w:rsidP="00285F19">
      <w:pPr>
        <w:pStyle w:val="BodyText"/>
      </w:pPr>
      <w:r w:rsidRPr="00A10E32">
        <w:t xml:space="preserve">Abadie A, Drukker D, Herr JL, et al. (2004) Implementing matching estimators for average treatment effects in Stata, </w:t>
      </w:r>
      <w:r w:rsidRPr="00A10E32">
        <w:rPr>
          <w:i/>
        </w:rPr>
        <w:t>Stata journal,</w:t>
      </w:r>
      <w:r w:rsidRPr="00A10E32">
        <w:t xml:space="preserve"> 4, pp. 290-311</w:t>
      </w:r>
    </w:p>
    <w:p w14:paraId="537FCC8A" w14:textId="77777777" w:rsidR="00285F19" w:rsidRPr="00A10E32" w:rsidRDefault="00285F19" w:rsidP="00285F19">
      <w:pPr>
        <w:pStyle w:val="BodyText"/>
      </w:pPr>
      <w:r w:rsidRPr="00A10E32">
        <w:t xml:space="preserve">Bahn, S., Barratt-Pugh, L., &amp; Yap, G. (2012). The employment of skilled migrants on temporary 457 visas in Australia: Emerging issues. </w:t>
      </w:r>
      <w:r w:rsidRPr="00A10E32">
        <w:rPr>
          <w:i/>
          <w:iCs/>
        </w:rPr>
        <w:t>Labour &amp; Industry: a journal of the social and economic relations of work</w:t>
      </w:r>
      <w:r w:rsidRPr="00A10E32">
        <w:t xml:space="preserve">, </w:t>
      </w:r>
      <w:r w:rsidRPr="00A10E32">
        <w:rPr>
          <w:i/>
          <w:iCs/>
        </w:rPr>
        <w:t>22</w:t>
      </w:r>
      <w:r w:rsidRPr="00A10E32">
        <w:t>(4), 379-398</w:t>
      </w:r>
    </w:p>
    <w:p w14:paraId="68D6BDAC" w14:textId="77777777" w:rsidR="00285F19" w:rsidRPr="00A10E32" w:rsidRDefault="00285F19" w:rsidP="00285F19">
      <w:pPr>
        <w:pStyle w:val="BodyText"/>
      </w:pPr>
      <w:r w:rsidRPr="00A10E32">
        <w:t xml:space="preserve">Caliendo M and Kopeinig S (2008) Some practical guidance for the implementation of propensity score matching, </w:t>
      </w:r>
      <w:r w:rsidRPr="00A10E32">
        <w:rPr>
          <w:i/>
        </w:rPr>
        <w:t>Journal of economic surveys,</w:t>
      </w:r>
      <w:r w:rsidRPr="00A10E32">
        <w:t xml:space="preserve"> 22(1), pp. 31-72</w:t>
      </w:r>
    </w:p>
    <w:p w14:paraId="11374CC6" w14:textId="77777777" w:rsidR="00285F19" w:rsidRPr="00A10E32" w:rsidRDefault="00285F19" w:rsidP="00285F19">
      <w:pPr>
        <w:pStyle w:val="BodyText"/>
      </w:pPr>
      <w:r w:rsidRPr="00A10E32">
        <w:t xml:space="preserve">Chiswick, B. R., &amp; Miller, P. W. (2009). Earnings and occupational attainment among immigrants. </w:t>
      </w:r>
      <w:r w:rsidRPr="00A10E32">
        <w:rPr>
          <w:i/>
          <w:iCs/>
        </w:rPr>
        <w:t>Industrial Relations</w:t>
      </w:r>
      <w:r w:rsidRPr="00A10E32">
        <w:t xml:space="preserve">, </w:t>
      </w:r>
      <w:r w:rsidRPr="00A10E32">
        <w:rPr>
          <w:i/>
          <w:iCs/>
        </w:rPr>
        <w:t>48</w:t>
      </w:r>
      <w:r w:rsidRPr="00A10E32">
        <w:t>(3), 454–465</w:t>
      </w:r>
    </w:p>
    <w:p w14:paraId="118900E1" w14:textId="77777777" w:rsidR="00285F19" w:rsidRPr="00A10E32" w:rsidRDefault="00285F19" w:rsidP="00285F19">
      <w:pPr>
        <w:pStyle w:val="BodyText"/>
      </w:pPr>
      <w:r w:rsidRPr="00A10E32">
        <w:t xml:space="preserve">CIE (2013). </w:t>
      </w:r>
      <w:r w:rsidRPr="00A10E32">
        <w:rPr>
          <w:i/>
        </w:rPr>
        <w:t>The economic impacts of migration</w:t>
      </w:r>
      <w:r w:rsidRPr="00A10E32">
        <w:t>. Report prepared for NSW Trade and Investment, Regional Infrastructure and Services, The Centre for International Economics</w:t>
      </w:r>
    </w:p>
    <w:p w14:paraId="4FF36D03" w14:textId="77777777" w:rsidR="00285F19" w:rsidRPr="00A10E32" w:rsidRDefault="00285F19" w:rsidP="00285F19">
      <w:pPr>
        <w:pStyle w:val="BodyText"/>
      </w:pPr>
      <w:r w:rsidRPr="00A10E32">
        <w:t xml:space="preserve">Campbell, I., &amp; Tham, J. C. (2014). Labour market deregulation and temporary migrant labour schemes: An analysis of the 457 visa program, </w:t>
      </w:r>
      <w:r w:rsidRPr="00A10E32">
        <w:rPr>
          <w:i/>
        </w:rPr>
        <w:t>Australian Journal of Labour Law</w:t>
      </w:r>
      <w:r w:rsidRPr="00A10E32">
        <w:t xml:space="preserve"> No. 26</w:t>
      </w:r>
    </w:p>
    <w:p w14:paraId="48A9EB8C" w14:textId="77777777" w:rsidR="00285F19" w:rsidRPr="00A10E32" w:rsidRDefault="00285F19" w:rsidP="00285F19">
      <w:pPr>
        <w:pStyle w:val="BodyText"/>
      </w:pPr>
      <w:r w:rsidRPr="00A10E32">
        <w:t xml:space="preserve">DIBP (nd) </w:t>
      </w:r>
      <w:r w:rsidRPr="00A10E32">
        <w:rPr>
          <w:i/>
        </w:rPr>
        <w:t>Filling the gaps; Findings from the 2012 Survey of subclass 457 employers and employees</w:t>
      </w:r>
      <w:r w:rsidRPr="00A10E32">
        <w:t>, Department of Immigration and Border Protection, Commonwealth of Australia, Canberra</w:t>
      </w:r>
    </w:p>
    <w:p w14:paraId="39BE436F" w14:textId="5F91676D" w:rsidR="00285F19" w:rsidRPr="00A10E32" w:rsidRDefault="00285F19" w:rsidP="00285F19">
      <w:pPr>
        <w:pStyle w:val="BodyText"/>
      </w:pPr>
      <w:r w:rsidRPr="00A10E32">
        <w:t xml:space="preserve">DIBP (2017) </w:t>
      </w:r>
      <w:r w:rsidRPr="00A10E32">
        <w:rPr>
          <w:i/>
        </w:rPr>
        <w:t>Temporary Work (Skilled) visa (subclass 457)</w:t>
      </w:r>
      <w:r w:rsidRPr="00A10E32">
        <w:t>, Department of Immigration and Border Pro</w:t>
      </w:r>
      <w:r w:rsidR="009553FB">
        <w:t>tection, Canberra</w:t>
      </w:r>
    </w:p>
    <w:p w14:paraId="532DD08A" w14:textId="7998FF05" w:rsidR="00285F19" w:rsidRPr="00A10E32" w:rsidRDefault="00285F19" w:rsidP="00285F19">
      <w:pPr>
        <w:pStyle w:val="BodyText"/>
      </w:pPr>
      <w:r w:rsidRPr="00A10E32">
        <w:t>DIBP (2017) Abolition and replacement of the 457 visa – Government reforms to employer sponsored skilled migration visas, Department of Immigratio</w:t>
      </w:r>
      <w:r w:rsidR="009553FB">
        <w:t>n and Border Protection, Canberra</w:t>
      </w:r>
    </w:p>
    <w:p w14:paraId="1FA62875" w14:textId="77777777" w:rsidR="00285F19" w:rsidRPr="00A10E32" w:rsidRDefault="00285F19" w:rsidP="00285F19">
      <w:pPr>
        <w:pStyle w:val="BodyText"/>
      </w:pPr>
      <w:r w:rsidRPr="00A10E32">
        <w:t xml:space="preserve">Huber C (2015) </w:t>
      </w:r>
      <w:r w:rsidRPr="00A10E32">
        <w:rPr>
          <w:i/>
        </w:rPr>
        <w:t>Introduction to treatment effects in Stata: Part 2</w:t>
      </w:r>
      <w:r w:rsidRPr="00A10E32">
        <w:t>, Stata Press, http://blog.stata.com/2015/08/24/introduction-to-treatment-effects-instata-part-2/</w:t>
      </w:r>
    </w:p>
    <w:p w14:paraId="446AE0AD" w14:textId="77777777" w:rsidR="00285F19" w:rsidRPr="00A10E32" w:rsidRDefault="00285F19" w:rsidP="00285F19">
      <w:pPr>
        <w:pStyle w:val="BodyText"/>
      </w:pPr>
      <w:r w:rsidRPr="00A10E32">
        <w:t xml:space="preserve">Gregory, R. (2014). </w:t>
      </w:r>
      <w:r w:rsidRPr="00A10E32">
        <w:rPr>
          <w:i/>
          <w:iCs/>
        </w:rPr>
        <w:t xml:space="preserve">The two-step Australian immigration policy and its impact on immigrant employment outcomes </w:t>
      </w:r>
      <w:r w:rsidRPr="00A10E32">
        <w:t>(IZA Discussion Paper No. 8061). Bonn: Germany</w:t>
      </w:r>
    </w:p>
    <w:p w14:paraId="533A3453" w14:textId="77777777" w:rsidR="00285F19" w:rsidRPr="00A10E32" w:rsidRDefault="00285F19" w:rsidP="00285F19">
      <w:pPr>
        <w:pStyle w:val="BodyText"/>
      </w:pPr>
      <w:r w:rsidRPr="00A10E32">
        <w:t xml:space="preserve">Hansell, D. &amp; Rafi, B. (2017) Firm-level Analysis using the ABS’ Business Longitudinal Analysis Data Environment (BLADE), Data Survey, forthcoming in the </w:t>
      </w:r>
      <w:r w:rsidRPr="00A10E32">
        <w:rPr>
          <w:i/>
        </w:rPr>
        <w:t>Australian Economic Review</w:t>
      </w:r>
    </w:p>
    <w:p w14:paraId="7AF62812" w14:textId="77777777" w:rsidR="00285F19" w:rsidRPr="00A10E32" w:rsidRDefault="00285F19" w:rsidP="00285F19">
      <w:pPr>
        <w:pStyle w:val="BodyText"/>
      </w:pPr>
      <w:r w:rsidRPr="00A10E32">
        <w:t xml:space="preserve">Larsen, G. (2013). </w:t>
      </w:r>
      <w:r w:rsidRPr="00A10E32">
        <w:rPr>
          <w:i/>
        </w:rPr>
        <w:t>The subclass 457 visa: a quick guide</w:t>
      </w:r>
      <w:r w:rsidRPr="00A10E32">
        <w:t>. Parliamentary Library</w:t>
      </w:r>
    </w:p>
    <w:p w14:paraId="506C2529" w14:textId="77777777" w:rsidR="00285F19" w:rsidRPr="00A10E32" w:rsidRDefault="00285F19" w:rsidP="00285F19">
      <w:pPr>
        <w:pStyle w:val="BodyText"/>
      </w:pPr>
      <w:r w:rsidRPr="00A10E32">
        <w:t xml:space="preserve">Miller, P. W., &amp; Neo, L. M. (2003). Labour market flexibility and immigrant adjustment. </w:t>
      </w:r>
      <w:r w:rsidRPr="00A10E32">
        <w:rPr>
          <w:i/>
          <w:iCs/>
        </w:rPr>
        <w:t>Economic Record</w:t>
      </w:r>
      <w:r w:rsidRPr="00A10E32">
        <w:t xml:space="preserve">, </w:t>
      </w:r>
      <w:r w:rsidRPr="00A10E32">
        <w:rPr>
          <w:i/>
          <w:iCs/>
        </w:rPr>
        <w:t>79</w:t>
      </w:r>
      <w:r w:rsidRPr="00A10E32">
        <w:t>(246), 336</w:t>
      </w:r>
    </w:p>
    <w:p w14:paraId="5FDA8204" w14:textId="77777777" w:rsidR="00285F19" w:rsidRPr="00A10E32" w:rsidRDefault="00285F19" w:rsidP="00285F19">
      <w:pPr>
        <w:pStyle w:val="BodyText"/>
      </w:pPr>
      <w:r w:rsidRPr="00A10E32">
        <w:lastRenderedPageBreak/>
        <w:t xml:space="preserve">Parliament of Australia (1994) </w:t>
      </w:r>
      <w:r w:rsidRPr="00A10E32">
        <w:rPr>
          <w:i/>
        </w:rPr>
        <w:t>Business Temporary Entry: Future Directions</w:t>
      </w:r>
      <w:r w:rsidRPr="00A10E32">
        <w:t>, Committee of inquiry into the temporary entry of business people and highly skilled specialists (Roach Report), Parliament of Australia, Canberra</w:t>
      </w:r>
    </w:p>
    <w:p w14:paraId="5CBAB169" w14:textId="77777777" w:rsidR="00285F19" w:rsidRPr="00A10E32" w:rsidRDefault="00285F19" w:rsidP="00285F19">
      <w:pPr>
        <w:pStyle w:val="BodyText"/>
        <w:rPr>
          <w:iCs/>
        </w:rPr>
      </w:pPr>
      <w:r w:rsidRPr="00A10E32">
        <w:t xml:space="preserve">Parham, D. &amp; To, H. &amp; Ratna, N. &amp; Regan, S. &amp; Grafton, Q. (1999). </w:t>
      </w:r>
      <w:r w:rsidRPr="00A10E32">
        <w:rPr>
          <w:i/>
        </w:rPr>
        <w:t>Migration and Productivity in Australia</w:t>
      </w:r>
      <w:r w:rsidRPr="00A10E32">
        <w:t xml:space="preserve">. </w:t>
      </w:r>
      <w:r w:rsidRPr="00A10E32">
        <w:rPr>
          <w:iCs/>
        </w:rPr>
        <w:t>Crawford School of Public Policy, Australian National University, Canberra</w:t>
      </w:r>
    </w:p>
    <w:p w14:paraId="013500CF" w14:textId="77777777" w:rsidR="00285F19" w:rsidRPr="00A10E32" w:rsidRDefault="00285F19" w:rsidP="00285F19">
      <w:pPr>
        <w:pStyle w:val="BodyText"/>
        <w:rPr>
          <w:iCs/>
        </w:rPr>
      </w:pPr>
      <w:r w:rsidRPr="00A10E32">
        <w:rPr>
          <w:iCs/>
        </w:rPr>
        <w:t xml:space="preserve">Productivity Commission. (2006). </w:t>
      </w:r>
      <w:r w:rsidRPr="00A10E32">
        <w:rPr>
          <w:i/>
          <w:iCs/>
        </w:rPr>
        <w:t>Economic impacts of migration and population growth</w:t>
      </w:r>
      <w:r w:rsidRPr="00A10E32">
        <w:rPr>
          <w:iCs/>
        </w:rPr>
        <w:t>, Commonwealth of Australia, Canberra</w:t>
      </w:r>
    </w:p>
    <w:p w14:paraId="696CBBBF" w14:textId="77777777" w:rsidR="00285F19" w:rsidRPr="00A10E32" w:rsidRDefault="00285F19" w:rsidP="00285F19">
      <w:pPr>
        <w:pStyle w:val="BodyText"/>
      </w:pPr>
      <w:r w:rsidRPr="00A10E32">
        <w:rPr>
          <w:iCs/>
        </w:rPr>
        <w:t xml:space="preserve">Productivity Commission. (2016). </w:t>
      </w:r>
      <w:r w:rsidRPr="00A10E32">
        <w:rPr>
          <w:i/>
          <w:iCs/>
        </w:rPr>
        <w:t>Migrant intake into Australia</w:t>
      </w:r>
      <w:r w:rsidRPr="00A10E32">
        <w:rPr>
          <w:iCs/>
        </w:rPr>
        <w:t>. Final Report, Commonwealth of Australia, Canberra</w:t>
      </w:r>
    </w:p>
    <w:p w14:paraId="0B6B7139" w14:textId="77777777" w:rsidR="00285F19" w:rsidRPr="00A10E32" w:rsidRDefault="00285F19" w:rsidP="00285F19">
      <w:pPr>
        <w:pStyle w:val="BodyText"/>
      </w:pPr>
      <w:r w:rsidRPr="00A10E32">
        <w:t xml:space="preserve">Rafi, B. (2016) </w:t>
      </w:r>
      <w:r w:rsidRPr="00A10E32">
        <w:rPr>
          <w:i/>
        </w:rPr>
        <w:t>The labour market outcomes of Indian male migrants in Australia</w:t>
      </w:r>
      <w:r w:rsidRPr="00A10E32">
        <w:t>, Doctoral Thesis, University of Canberra</w:t>
      </w:r>
    </w:p>
    <w:p w14:paraId="33E346B0" w14:textId="77777777" w:rsidR="00285F19" w:rsidRPr="00A10E32" w:rsidRDefault="00285F19" w:rsidP="00285F19">
      <w:pPr>
        <w:pStyle w:val="BodyText"/>
      </w:pPr>
      <w:r w:rsidRPr="00A10E32">
        <w:t xml:space="preserve">Rafi, B. (2017) </w:t>
      </w:r>
      <w:r w:rsidRPr="00A10E32">
        <w:rPr>
          <w:i/>
        </w:rPr>
        <w:t>Participation in South Australian Innovation and Investment Funds: Impact on firm performance</w:t>
      </w:r>
      <w:r w:rsidRPr="00A10E32">
        <w:t xml:space="preserve">, Research Paper 1/2017, Office of the Chief Economist, Department of Industry, Innovation and Science, Canberra </w:t>
      </w:r>
      <w:hyperlink r:id="rId23" w:history="1">
        <w:r w:rsidRPr="00A10E32">
          <w:rPr>
            <w:rStyle w:val="Hyperlink"/>
          </w:rPr>
          <w:t>https://industry.gov.au/Office-of-the-Chief-Economist/Research-Papers/Pages/The-impact-of-labour-market-regulation-on-the-unemployment-rate-Evidence-from-OECD-economies.aspx</w:t>
        </w:r>
      </w:hyperlink>
    </w:p>
    <w:p w14:paraId="52349F5A" w14:textId="1611A3BD" w:rsidR="00285F19" w:rsidRPr="00F0561A" w:rsidRDefault="00285F19" w:rsidP="00285F19">
      <w:pPr>
        <w:pStyle w:val="BodyText"/>
      </w:pPr>
      <w:r w:rsidRPr="00A10E32">
        <w:t xml:space="preserve">Velayutham, S. (2013). Precarious experiences of Indians in Australia on 457 temporary work visas. </w:t>
      </w:r>
      <w:r w:rsidRPr="00A10E32">
        <w:rPr>
          <w:i/>
          <w:iCs/>
        </w:rPr>
        <w:t>The Economic and Labour Relations Review</w:t>
      </w:r>
      <w:r w:rsidRPr="00A10E32">
        <w:t xml:space="preserve">, </w:t>
      </w:r>
      <w:r w:rsidRPr="00A10E32">
        <w:rPr>
          <w:i/>
          <w:iCs/>
        </w:rPr>
        <w:t>24</w:t>
      </w:r>
      <w:r w:rsidRPr="00A10E32">
        <w:t>(3), 340-361</w:t>
      </w:r>
    </w:p>
    <w:p w14:paraId="47D21EEE" w14:textId="77777777" w:rsidR="00DC5EFA" w:rsidRPr="00DC5EFA" w:rsidRDefault="00DC5EFA" w:rsidP="00DC5EFA">
      <w:pPr>
        <w:pStyle w:val="BodyText"/>
      </w:pPr>
    </w:p>
    <w:sectPr w:rsidR="00DC5EFA" w:rsidRPr="00DC5EFA" w:rsidSect="00DF31C2">
      <w:footerReference w:type="default" r:id="rId24"/>
      <w:footerReference w:type="first" r:id="rId25"/>
      <w:pgSz w:w="11906" w:h="16838" w:code="9"/>
      <w:pgMar w:top="1440" w:right="1440" w:bottom="1440" w:left="35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C72A5" w14:textId="77777777" w:rsidR="00F551D5" w:rsidRDefault="00F551D5" w:rsidP="00F244EA">
      <w:pPr>
        <w:spacing w:after="0" w:line="240" w:lineRule="auto"/>
      </w:pPr>
      <w:r>
        <w:separator/>
      </w:r>
    </w:p>
  </w:endnote>
  <w:endnote w:type="continuationSeparator" w:id="0">
    <w:p w14:paraId="1BD2B7A8" w14:textId="77777777" w:rsidR="00F551D5" w:rsidRDefault="00F551D5" w:rsidP="00F24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8CC5A" w14:textId="77777777" w:rsidR="00F551D5" w:rsidRDefault="00F551D5" w:rsidP="006129E3">
    <w:pPr>
      <w:pStyle w:val="Footer"/>
      <w:jc w:val="right"/>
    </w:pPr>
    <w:r w:rsidRPr="001C2E57">
      <w:fldChar w:fldCharType="begin"/>
    </w:r>
    <w:r w:rsidRPr="001C2E57">
      <w:instrText xml:space="preserve"> PAGE   \* MERGEFORMAT </w:instrText>
    </w:r>
    <w:r w:rsidRPr="001C2E57">
      <w:fldChar w:fldCharType="separate"/>
    </w:r>
    <w:r w:rsidR="004723CA">
      <w:rPr>
        <w:noProof/>
      </w:rPr>
      <w:t>2</w:t>
    </w:r>
    <w:r w:rsidRPr="001C2E5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E4D0C" w14:textId="77777777" w:rsidR="00F551D5" w:rsidRPr="001C2E57" w:rsidRDefault="00F551D5" w:rsidP="00301D88">
    <w:pPr>
      <w:pStyle w:val="Footer"/>
      <w:tabs>
        <w:tab w:val="clear" w:pos="9680"/>
      </w:tabs>
    </w:pPr>
    <w:r w:rsidRPr="001C2E57">
      <w:fldChar w:fldCharType="begin"/>
    </w:r>
    <w:r w:rsidRPr="001C2E57">
      <w:instrText>IF</w:instrText>
    </w:r>
    <w:r>
      <w:rPr>
        <w:noProof/>
      </w:rPr>
      <w:fldChar w:fldCharType="begin"/>
    </w:r>
    <w:r>
      <w:rPr>
        <w:noProof/>
      </w:rPr>
      <w:instrText xml:space="preserve"> STYLEREF "Title Heading" \* Charformat </w:instrText>
    </w:r>
    <w:r>
      <w:rPr>
        <w:noProof/>
      </w:rPr>
      <w:fldChar w:fldCharType="separate"/>
    </w:r>
    <w:r w:rsidR="004723CA">
      <w:rPr>
        <w:noProof/>
      </w:rPr>
      <w:instrText>The characteristics and performance of 457 migrant visa sponsoring businesses</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sidR="004723CA">
      <w:rPr>
        <w:noProof/>
      </w:rPr>
      <w:instrText>The characteristics and performance of 457 migrant visa sponsoring businesses</w:instrText>
    </w:r>
    <w:r>
      <w:rPr>
        <w:noProof/>
      </w:rPr>
      <w:fldChar w:fldCharType="end"/>
    </w:r>
    <w:r w:rsidRPr="001C2E57">
      <w:instrText xml:space="preserve"> </w:instrText>
    </w:r>
    <w:r w:rsidRPr="001C2E57">
      <w:fldChar w:fldCharType="separate"/>
    </w:r>
    <w:r w:rsidR="004723CA">
      <w:rPr>
        <w:noProof/>
      </w:rPr>
      <w:t>The characteristics and performance of 457 migrant visa sponsoring businesses</w: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sidR="004723CA">
      <w:rPr>
        <w:noProof/>
      </w:rPr>
      <w:t>32</w:t>
    </w:r>
    <w:r w:rsidRPr="001C2E57">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68C44" w14:textId="77777777" w:rsidR="00F551D5" w:rsidRPr="001C2E57" w:rsidRDefault="00F551D5" w:rsidP="00E35ECE">
    <w:pPr>
      <w:pStyle w:val="Footer"/>
    </w:pPr>
    <w:r w:rsidRPr="001C2E57">
      <w:fldChar w:fldCharType="begin"/>
    </w:r>
    <w:r w:rsidRPr="001C2E57">
      <w:instrText>IF</w:instrText>
    </w:r>
    <w:r>
      <w:fldChar w:fldCharType="begin"/>
    </w:r>
    <w:r>
      <w:instrText xml:space="preserve"> STYLEREF "Title Heading" \* Charformat </w:instrText>
    </w:r>
    <w:r>
      <w:fldChar w:fldCharType="separate"/>
    </w:r>
    <w:r>
      <w:rPr>
        <w:b/>
        <w:bCs/>
        <w:noProof/>
        <w:lang w:val="en-US"/>
      </w:rPr>
      <w:instrText>Error! No text of specified style in document.</w:instrText>
    </w:r>
    <w:r>
      <w:rPr>
        <w:noProof/>
      </w:rPr>
      <w:fldChar w:fldCharType="end"/>
    </w:r>
    <w:r w:rsidRPr="001C2E57">
      <w:instrText xml:space="preserve"> &lt;&gt; "Error*" </w:instrText>
    </w:r>
    <w:r>
      <w:rPr>
        <w:noProof/>
      </w:rPr>
      <w:fldChar w:fldCharType="begin"/>
    </w:r>
    <w:r>
      <w:rPr>
        <w:noProof/>
      </w:rPr>
      <w:instrText xml:space="preserve"> STYLEREF "Title Heading" \* Charformat </w:instrText>
    </w:r>
    <w:r>
      <w:rPr>
        <w:noProof/>
      </w:rPr>
      <w:fldChar w:fldCharType="separate"/>
    </w:r>
    <w:r>
      <w:rPr>
        <w:noProof/>
      </w:rPr>
      <w:instrText>[Research Paper Title]</w:instrText>
    </w:r>
    <w:r>
      <w:rPr>
        <w:noProof/>
      </w:rPr>
      <w:fldChar w:fldCharType="end"/>
    </w:r>
    <w:r w:rsidRPr="001C2E57">
      <w:instrText xml:space="preserve"> </w:instrText>
    </w:r>
    <w:r w:rsidRPr="001C2E57">
      <w:fldChar w:fldCharType="end"/>
    </w:r>
    <w:r>
      <w:ptab w:relativeTo="margin" w:alignment="right" w:leader="none"/>
    </w:r>
    <w:r w:rsidRPr="001C2E57">
      <w:fldChar w:fldCharType="begin"/>
    </w:r>
    <w:r w:rsidRPr="001C2E57">
      <w:instrText xml:space="preserve"> PAGE   \* MERGEFORMAT </w:instrText>
    </w:r>
    <w:r w:rsidRPr="001C2E57">
      <w:fldChar w:fldCharType="separate"/>
    </w:r>
    <w:r>
      <w:rPr>
        <w:noProof/>
      </w:rPr>
      <w:t>1</w:t>
    </w:r>
    <w:r w:rsidRPr="001C2E5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C246C" w14:textId="77777777" w:rsidR="00F551D5" w:rsidRDefault="00F551D5" w:rsidP="004D3673">
      <w:pPr>
        <w:spacing w:after="0" w:line="240" w:lineRule="auto"/>
        <w:ind w:left="0"/>
      </w:pPr>
      <w:r>
        <w:separator/>
      </w:r>
    </w:p>
  </w:footnote>
  <w:footnote w:type="continuationSeparator" w:id="0">
    <w:p w14:paraId="233F2815" w14:textId="77777777" w:rsidR="00F551D5" w:rsidRDefault="00F551D5" w:rsidP="00F244EA">
      <w:pPr>
        <w:spacing w:after="0" w:line="240" w:lineRule="auto"/>
      </w:pPr>
      <w:r>
        <w:continuationSeparator/>
      </w:r>
    </w:p>
  </w:footnote>
  <w:footnote w:id="1">
    <w:p w14:paraId="2020CA5F" w14:textId="77777777" w:rsidR="00F551D5" w:rsidRDefault="00F551D5" w:rsidP="00464782">
      <w:pPr>
        <w:pStyle w:val="FootnoteText"/>
        <w:ind w:left="142"/>
      </w:pPr>
      <w:r w:rsidRPr="00075B39">
        <w:rPr>
          <w:rStyle w:val="FootnoteReference"/>
        </w:rPr>
        <w:footnoteRef/>
      </w:r>
      <w:r>
        <w:t xml:space="preserve"> The terms ‘firm’ and ‘business’ are treated as synonyms throughout this paper </w:t>
      </w:r>
    </w:p>
  </w:footnote>
  <w:footnote w:id="2">
    <w:p w14:paraId="2500524A" w14:textId="0217D3F1" w:rsidR="00F551D5" w:rsidRDefault="00F551D5" w:rsidP="00464782">
      <w:pPr>
        <w:pStyle w:val="FootnoteText"/>
        <w:ind w:left="142"/>
      </w:pPr>
      <w:r>
        <w:rPr>
          <w:rStyle w:val="FootnoteReference"/>
        </w:rPr>
        <w:footnoteRef/>
      </w:r>
      <w:r>
        <w:t xml:space="preserve"> This paper refers to the Department of Home Affairs by its previous name of ‘Department of Immigration and Border Protection (DIBP)’ for any cited material that carried the previous departmental name. More generally it is referred to as the ‘immigration department’</w:t>
      </w:r>
    </w:p>
  </w:footnote>
  <w:footnote w:id="3">
    <w:p w14:paraId="1861A811" w14:textId="77777777" w:rsidR="00F551D5" w:rsidRDefault="00F551D5" w:rsidP="00364C8A">
      <w:pPr>
        <w:pStyle w:val="FootnoteText"/>
        <w:ind w:left="142"/>
      </w:pPr>
      <w:r>
        <w:rPr>
          <w:rStyle w:val="FootnoteReference"/>
        </w:rPr>
        <w:footnoteRef/>
      </w:r>
      <w:r>
        <w:t xml:space="preserve"> </w:t>
      </w:r>
      <w:r w:rsidRPr="00931062">
        <w:t xml:space="preserve">Campbell, I., &amp; Tham, J. C. (2014). </w:t>
      </w:r>
      <w:r w:rsidRPr="006941C1">
        <w:t>Labour market deregulation and temporary migrant labour schemes: An analysis of the 457 visa program</w:t>
      </w:r>
      <w:r>
        <w:t xml:space="preserve">, </w:t>
      </w:r>
      <w:r w:rsidRPr="00147D3F">
        <w:t>Australian Journal of Labour Law</w:t>
      </w:r>
      <w:r>
        <w:t xml:space="preserve"> No. 26</w:t>
      </w:r>
    </w:p>
  </w:footnote>
  <w:footnote w:id="4">
    <w:p w14:paraId="75795D14" w14:textId="77777777" w:rsidR="00F551D5" w:rsidRDefault="00F551D5" w:rsidP="00364C8A">
      <w:pPr>
        <w:pStyle w:val="FootnoteText"/>
        <w:ind w:left="142"/>
      </w:pPr>
      <w:r w:rsidRPr="00147D3F">
        <w:rPr>
          <w:rStyle w:val="FootnoteReference"/>
        </w:rPr>
        <w:footnoteRef/>
      </w:r>
      <w:r>
        <w:t xml:space="preserve"> </w:t>
      </w:r>
      <w:r w:rsidRPr="006941C1">
        <w:t xml:space="preserve">Larsen, G. (2013). </w:t>
      </w:r>
      <w:r w:rsidRPr="00147D3F">
        <w:t>The subclass 457 visa: a quick guide</w:t>
      </w:r>
      <w:r>
        <w:t>. Parliamentary Library</w:t>
      </w:r>
    </w:p>
  </w:footnote>
  <w:footnote w:id="5">
    <w:p w14:paraId="4BF4BE5A" w14:textId="1A7D5425" w:rsidR="00F551D5" w:rsidRDefault="00F551D5" w:rsidP="00364C8A">
      <w:pPr>
        <w:pStyle w:val="FootnoteText"/>
        <w:ind w:left="142"/>
      </w:pPr>
      <w:r w:rsidRPr="00147D3F">
        <w:rPr>
          <w:rStyle w:val="FootnoteReference"/>
        </w:rPr>
        <w:footnoteRef/>
      </w:r>
      <w:r>
        <w:t xml:space="preserve"> DIBP (2017) </w:t>
      </w:r>
      <w:r w:rsidRPr="00147D3F">
        <w:t>Temporary Work (Skilled) visa (subclass 457)</w:t>
      </w:r>
      <w:r>
        <w:t>, Department of Immigration and Border Protection</w:t>
      </w:r>
    </w:p>
  </w:footnote>
  <w:footnote w:id="6">
    <w:p w14:paraId="073766BA" w14:textId="77777777" w:rsidR="00F551D5" w:rsidRDefault="00F551D5" w:rsidP="00364C8A">
      <w:pPr>
        <w:pStyle w:val="FootnoteText"/>
        <w:ind w:left="142"/>
      </w:pPr>
      <w:r w:rsidRPr="00147D3F">
        <w:rPr>
          <w:rStyle w:val="FootnoteReference"/>
        </w:rPr>
        <w:footnoteRef/>
      </w:r>
      <w:r>
        <w:t xml:space="preserve"> Parliament of Australia (1994) </w:t>
      </w:r>
      <w:r w:rsidRPr="00147D3F">
        <w:t>Business Temporary Entry: Future Directions</w:t>
      </w:r>
      <w:r>
        <w:t>, Committee of inquiry into the temporary entry of business people and highly skilled specialists (Roach Report), Parliament of Australia, Canberra</w:t>
      </w:r>
    </w:p>
  </w:footnote>
  <w:footnote w:id="7">
    <w:p w14:paraId="736CB3DA" w14:textId="77777777" w:rsidR="00F551D5" w:rsidRDefault="00F551D5" w:rsidP="00364C8A">
      <w:pPr>
        <w:pStyle w:val="FootnoteText"/>
        <w:ind w:left="142"/>
      </w:pPr>
      <w:r w:rsidRPr="001F46CA">
        <w:rPr>
          <w:vertAlign w:val="superscript"/>
        </w:rPr>
        <w:footnoteRef/>
      </w:r>
      <w:r>
        <w:t xml:space="preserve"> This proportion was assessed by the immigration department’s staff on a case by case basis</w:t>
      </w:r>
    </w:p>
  </w:footnote>
  <w:footnote w:id="8">
    <w:p w14:paraId="2C3C9A92" w14:textId="77777777" w:rsidR="00F551D5" w:rsidRDefault="00F551D5" w:rsidP="00364C8A">
      <w:pPr>
        <w:pStyle w:val="FootnoteText"/>
        <w:ind w:left="142"/>
      </w:pPr>
      <w:r>
        <w:rPr>
          <w:rStyle w:val="FootnoteReference"/>
        </w:rPr>
        <w:footnoteRef/>
      </w:r>
      <w:r>
        <w:t xml:space="preserve"> </w:t>
      </w:r>
      <w:r w:rsidRPr="006941C1">
        <w:t xml:space="preserve">Gregory, R. (2014). </w:t>
      </w:r>
      <w:r w:rsidRPr="00147D3F">
        <w:t xml:space="preserve">The two-step Australian immigration policy and its impact on immigrant employment outcomes </w:t>
      </w:r>
      <w:r w:rsidRPr="006941C1">
        <w:t>(IZA Discussion</w:t>
      </w:r>
      <w:r>
        <w:t xml:space="preserve"> Paper No. 8061). Bonn: Germany</w:t>
      </w:r>
    </w:p>
  </w:footnote>
  <w:footnote w:id="9">
    <w:p w14:paraId="2C02ADEE" w14:textId="77777777" w:rsidR="00F551D5" w:rsidRDefault="00F551D5" w:rsidP="00364C8A">
      <w:pPr>
        <w:pStyle w:val="FootnoteText"/>
        <w:ind w:left="142"/>
      </w:pPr>
      <w:r w:rsidRPr="000737AA">
        <w:rPr>
          <w:vertAlign w:val="superscript"/>
        </w:rPr>
        <w:footnoteRef/>
      </w:r>
      <w:r>
        <w:t xml:space="preserve"> Short, C. (2017) Personal correspondence, Department of Immigration and Border Protection, Canberra</w:t>
      </w:r>
    </w:p>
  </w:footnote>
  <w:footnote w:id="10">
    <w:p w14:paraId="7DD74399" w14:textId="77777777" w:rsidR="00F551D5" w:rsidRDefault="00F551D5" w:rsidP="00364C8A">
      <w:pPr>
        <w:pStyle w:val="FootnoteText"/>
        <w:ind w:left="142"/>
      </w:pPr>
      <w:r>
        <w:rPr>
          <w:rStyle w:val="FootnoteReference"/>
        </w:rPr>
        <w:footnoteRef/>
      </w:r>
      <w:r>
        <w:t xml:space="preserve"> DIBP (2016) </w:t>
      </w:r>
      <w:r w:rsidRPr="006129E3">
        <w:t>Subclass 457 quarterly report: quarter ending at June 2016</w:t>
      </w:r>
      <w:r>
        <w:t>, Department of Immigration and Border Protection, Canberra</w:t>
      </w:r>
    </w:p>
  </w:footnote>
  <w:footnote w:id="11">
    <w:p w14:paraId="46493101" w14:textId="030474A9" w:rsidR="00F551D5" w:rsidRDefault="00F551D5" w:rsidP="00B916D7">
      <w:pPr>
        <w:pStyle w:val="FootnoteText"/>
        <w:ind w:left="142"/>
      </w:pPr>
      <w:r w:rsidRPr="00B916D7">
        <w:rPr>
          <w:vertAlign w:val="superscript"/>
        </w:rPr>
        <w:footnoteRef/>
      </w:r>
      <w:r>
        <w:t xml:space="preserve"> DIBP (2017) </w:t>
      </w:r>
      <w:r w:rsidRPr="00BC420F">
        <w:t>Abolition and replacement of the 457 visa – Government reforms to employer sponsored skilled migration visas</w:t>
      </w:r>
      <w:r>
        <w:t>, Department of Immigration and Border Protection, Canberra</w:t>
      </w:r>
    </w:p>
  </w:footnote>
  <w:footnote w:id="12">
    <w:p w14:paraId="00E9C6EA" w14:textId="77777777" w:rsidR="00F551D5" w:rsidRDefault="00F551D5" w:rsidP="00075B39">
      <w:pPr>
        <w:pStyle w:val="FootnoteText"/>
        <w:ind w:left="142"/>
      </w:pPr>
      <w:r>
        <w:rPr>
          <w:rStyle w:val="FootnoteReference"/>
        </w:rPr>
        <w:footnoteRef/>
      </w:r>
      <w:r>
        <w:t xml:space="preserve"> For some notable examples of research in this area, see for example, </w:t>
      </w:r>
      <w:r w:rsidRPr="0024695C">
        <w:t xml:space="preserve">Chiswick, B. R., &amp; Miller, P. W. (2009). Earnings and occupational attainment among immigrants. </w:t>
      </w:r>
      <w:r w:rsidRPr="006129E3">
        <w:t>Industrial Relations</w:t>
      </w:r>
      <w:r w:rsidRPr="0024695C">
        <w:t xml:space="preserve">, </w:t>
      </w:r>
      <w:r w:rsidRPr="006129E3">
        <w:t>48</w:t>
      </w:r>
      <w:r w:rsidRPr="0024695C">
        <w:t>(3), 454–465.</w:t>
      </w:r>
      <w:r>
        <w:t xml:space="preserve">; </w:t>
      </w:r>
      <w:r w:rsidRPr="0024695C">
        <w:t xml:space="preserve">Miller, P. W., &amp; Neo, L. M. (2003). Labour market flexibility and immigrant adjustment. </w:t>
      </w:r>
      <w:r w:rsidRPr="006129E3">
        <w:t>Economic Record</w:t>
      </w:r>
      <w:r w:rsidRPr="0024695C">
        <w:t xml:space="preserve">, </w:t>
      </w:r>
      <w:r w:rsidRPr="006129E3">
        <w:t>79</w:t>
      </w:r>
      <w:r w:rsidRPr="0024695C">
        <w:t>(246), 336;</w:t>
      </w:r>
      <w:r w:rsidRPr="00FD090C">
        <w:t xml:space="preserve"> </w:t>
      </w:r>
      <w:r>
        <w:t xml:space="preserve">and  Rafi, B. (2016) </w:t>
      </w:r>
      <w:r w:rsidRPr="006129E3">
        <w:t>The labour market outcomes of Indian male migrants in Australia</w:t>
      </w:r>
      <w:r>
        <w:t>, Doctoral Thesis, University of Canberra</w:t>
      </w:r>
    </w:p>
  </w:footnote>
  <w:footnote w:id="13">
    <w:p w14:paraId="2380A06E" w14:textId="77777777" w:rsidR="00F551D5" w:rsidRDefault="00F551D5" w:rsidP="00075B39">
      <w:pPr>
        <w:pStyle w:val="FootnoteText"/>
        <w:ind w:left="142"/>
      </w:pPr>
      <w:r w:rsidRPr="00075B39">
        <w:rPr>
          <w:vertAlign w:val="superscript"/>
        </w:rPr>
        <w:footnoteRef/>
      </w:r>
      <w:r>
        <w:t xml:space="preserve"> </w:t>
      </w:r>
      <w:r w:rsidRPr="006941C1">
        <w:t xml:space="preserve">Gregory, R. (2014). </w:t>
      </w:r>
      <w:r w:rsidRPr="006129E3">
        <w:t xml:space="preserve">The two-step Australian immigration policy and its impact on immigrant employment outcomes </w:t>
      </w:r>
      <w:r w:rsidRPr="006941C1">
        <w:t>(IZA Discussion</w:t>
      </w:r>
      <w:r>
        <w:t xml:space="preserve"> Paper No. 8061). Bonn: Germany</w:t>
      </w:r>
    </w:p>
  </w:footnote>
  <w:footnote w:id="14">
    <w:p w14:paraId="18974FE4" w14:textId="77777777" w:rsidR="00F551D5" w:rsidRPr="006F0957" w:rsidRDefault="00F551D5" w:rsidP="00AE46D9">
      <w:pPr>
        <w:pStyle w:val="FootnoteText"/>
        <w:ind w:left="142"/>
      </w:pPr>
      <w:r w:rsidRPr="00075B39">
        <w:rPr>
          <w:vertAlign w:val="superscript"/>
        </w:rPr>
        <w:footnoteRef/>
      </w:r>
      <w:r>
        <w:t xml:space="preserve"> See for example </w:t>
      </w:r>
      <w:r w:rsidRPr="00AB745A">
        <w:t xml:space="preserve">Bahn, S., Barratt-Pugh, L., &amp; Yap, G. (2012). The employment of skilled migrants on temporary 457 visas in Australia: Emerging issues. </w:t>
      </w:r>
      <w:r w:rsidRPr="006129E3">
        <w:t>Labour &amp; Industry: a journal of the social and economic relations of work</w:t>
      </w:r>
      <w:r w:rsidRPr="00AB745A">
        <w:t xml:space="preserve">, </w:t>
      </w:r>
      <w:r w:rsidRPr="006129E3">
        <w:t>22</w:t>
      </w:r>
      <w:r>
        <w:t xml:space="preserve">(4), 379-398; and </w:t>
      </w:r>
      <w:r w:rsidRPr="006F0957">
        <w:t>Parham, D.</w:t>
      </w:r>
      <w:r>
        <w:t xml:space="preserve"> &amp; To, H. &amp; Ratna, N. &amp; Regan, S. &amp; Grafton, Q.</w:t>
      </w:r>
      <w:r w:rsidRPr="006F0957">
        <w:t xml:space="preserve"> (1999). </w:t>
      </w:r>
      <w:r w:rsidRPr="006129E3">
        <w:t>Migration and Productivity in Australia</w:t>
      </w:r>
      <w:r w:rsidRPr="006F0957">
        <w:t xml:space="preserve">. </w:t>
      </w:r>
      <w:r w:rsidRPr="006129E3">
        <w:t>Crawford School of Public Policy, Australian National University, Canberra</w:t>
      </w:r>
    </w:p>
  </w:footnote>
  <w:footnote w:id="15">
    <w:p w14:paraId="7FE09815" w14:textId="77777777" w:rsidR="00F551D5" w:rsidRDefault="00F551D5" w:rsidP="00AE46D9">
      <w:pPr>
        <w:pStyle w:val="FootnoteText"/>
        <w:ind w:left="142"/>
      </w:pPr>
      <w:r>
        <w:rPr>
          <w:rStyle w:val="FootnoteReference"/>
        </w:rPr>
        <w:footnoteRef/>
      </w:r>
      <w:r>
        <w:t xml:space="preserve"> </w:t>
      </w:r>
      <w:r w:rsidRPr="00DA457E">
        <w:t xml:space="preserve">Velayutham, S. (2013). Precarious experiences of Indians in Australia on 457 temporary work visas. </w:t>
      </w:r>
      <w:r w:rsidRPr="006F71C3">
        <w:t>The Economic and Labour Relations Review</w:t>
      </w:r>
      <w:r w:rsidRPr="00DA457E">
        <w:t xml:space="preserve">, </w:t>
      </w:r>
      <w:r w:rsidRPr="006F71C3">
        <w:t>24</w:t>
      </w:r>
      <w:r>
        <w:t>(3), 340-361</w:t>
      </w:r>
    </w:p>
  </w:footnote>
  <w:footnote w:id="16">
    <w:p w14:paraId="6637534D" w14:textId="77777777" w:rsidR="00F551D5" w:rsidRDefault="00F551D5" w:rsidP="00AE46D9">
      <w:pPr>
        <w:pStyle w:val="FootnoteText"/>
        <w:ind w:left="142"/>
      </w:pPr>
      <w:r w:rsidRPr="00B30D53">
        <w:rPr>
          <w:vertAlign w:val="superscript"/>
        </w:rPr>
        <w:footnoteRef/>
      </w:r>
      <w:r>
        <w:t xml:space="preserve"> CIE (2013). </w:t>
      </w:r>
      <w:r w:rsidRPr="006F71C3">
        <w:t>The economic impacts of migration</w:t>
      </w:r>
      <w:r>
        <w:t>. Report prepared for NSW Trade and Investment, Regional Infrastructure and Services, The Centre for International Economics</w:t>
      </w:r>
    </w:p>
  </w:footnote>
  <w:footnote w:id="17">
    <w:p w14:paraId="7383A855" w14:textId="77777777" w:rsidR="00F551D5" w:rsidRDefault="00F551D5" w:rsidP="00AE46D9">
      <w:pPr>
        <w:pStyle w:val="FootnoteText"/>
        <w:ind w:left="142"/>
      </w:pPr>
      <w:r w:rsidRPr="00B30D53">
        <w:rPr>
          <w:vertAlign w:val="superscript"/>
        </w:rPr>
        <w:footnoteRef/>
      </w:r>
      <w:r>
        <w:t xml:space="preserve"> </w:t>
      </w:r>
      <w:r w:rsidRPr="00A83F90">
        <w:t xml:space="preserve">Productivity Commission. (2006). </w:t>
      </w:r>
      <w:r w:rsidRPr="006F71C3">
        <w:t>Economic impacts of migration and population growth</w:t>
      </w:r>
      <w:r>
        <w:t xml:space="preserve">, </w:t>
      </w:r>
      <w:r w:rsidRPr="006F71C3">
        <w:t>Commonwealth of Australia, Canberra</w:t>
      </w:r>
      <w:r>
        <w:t xml:space="preserve">; </w:t>
      </w:r>
      <w:r w:rsidRPr="00A83F90">
        <w:t>Productivity Commi</w:t>
      </w:r>
      <w:r>
        <w:t>ssion. (2016</w:t>
      </w:r>
      <w:r w:rsidRPr="00A83F90">
        <w:t xml:space="preserve">). </w:t>
      </w:r>
      <w:r w:rsidRPr="006F71C3">
        <w:t>Migrant intake into Australia</w:t>
      </w:r>
      <w:r w:rsidRPr="00A83F90">
        <w:t xml:space="preserve">. </w:t>
      </w:r>
      <w:r w:rsidRPr="006F71C3">
        <w:t>Final Report</w:t>
      </w:r>
      <w:r>
        <w:t>, Commonwealth of Australia, Canberra</w:t>
      </w:r>
    </w:p>
  </w:footnote>
  <w:footnote w:id="18">
    <w:p w14:paraId="1CDDAC48" w14:textId="77777777" w:rsidR="00F551D5" w:rsidRDefault="00F551D5" w:rsidP="00AE46D9">
      <w:pPr>
        <w:pStyle w:val="FootnoteText"/>
        <w:ind w:left="142"/>
      </w:pPr>
      <w:r w:rsidRPr="00B30D53">
        <w:rPr>
          <w:vertAlign w:val="superscript"/>
        </w:rPr>
        <w:footnoteRef/>
      </w:r>
      <w:r>
        <w:t xml:space="preserve"> DIBP (nd) </w:t>
      </w:r>
      <w:r w:rsidRPr="006F71C3">
        <w:t>Filling the gaps; Findings from the 2012 Survey of subclass 457 employers and employees</w:t>
      </w:r>
      <w:r>
        <w:t>, Department of Immigration and Border Protection, Commonwealth of Australia, Canberra</w:t>
      </w:r>
    </w:p>
  </w:footnote>
  <w:footnote w:id="19">
    <w:p w14:paraId="7F27131B" w14:textId="77777777" w:rsidR="00F551D5" w:rsidRPr="002E2D2E" w:rsidRDefault="00F551D5" w:rsidP="006F71C3">
      <w:pPr>
        <w:pStyle w:val="FootnoteText"/>
      </w:pPr>
      <w:r w:rsidRPr="005576C6">
        <w:rPr>
          <w:vertAlign w:val="superscript"/>
        </w:rPr>
        <w:footnoteRef/>
      </w:r>
      <w:r w:rsidRPr="005576C6">
        <w:rPr>
          <w:vertAlign w:val="superscript"/>
        </w:rPr>
        <w:t xml:space="preserve"> </w:t>
      </w:r>
      <w:r>
        <w:t xml:space="preserve">Hansell, D. &amp; Rafi, B. (2017) </w:t>
      </w:r>
      <w:r w:rsidRPr="002E2D2E">
        <w:t>Firm-level Analysis using the ABS’ Business Longitudinal Analysis Data Environment (BLADE)</w:t>
      </w:r>
      <w:r>
        <w:t xml:space="preserve">, Data Survey, forthcoming in the </w:t>
      </w:r>
      <w:r w:rsidRPr="006F71C3">
        <w:t>Australian Economic Review</w:t>
      </w:r>
    </w:p>
    <w:p w14:paraId="1914E18E" w14:textId="77777777" w:rsidR="00F551D5" w:rsidRDefault="00F551D5" w:rsidP="00285F19">
      <w:pPr>
        <w:pStyle w:val="FootnoteText"/>
      </w:pPr>
    </w:p>
  </w:footnote>
  <w:footnote w:id="20">
    <w:p w14:paraId="511DCA0B" w14:textId="77777777" w:rsidR="00F551D5" w:rsidRDefault="00F551D5" w:rsidP="006F71C3">
      <w:pPr>
        <w:pStyle w:val="FootnoteText"/>
      </w:pPr>
      <w:r>
        <w:rPr>
          <w:rStyle w:val="FootnoteReference"/>
        </w:rPr>
        <w:footnoteRef/>
      </w:r>
      <w:r>
        <w:t xml:space="preserve"> </w:t>
      </w:r>
      <w:r w:rsidRPr="00AF54CB">
        <w:t xml:space="preserve">Rafi, B. (2017) </w:t>
      </w:r>
      <w:r w:rsidRPr="006F71C3">
        <w:t>Participation in South Australian Innovation and Investment Funds: Impact on firm performance</w:t>
      </w:r>
      <w:r w:rsidRPr="00AF54CB">
        <w:t>, Research Paper 1/2017, Office of the Chief Economist, Department of Industry, Innovation and Science, Canberra</w:t>
      </w:r>
    </w:p>
  </w:footnote>
  <w:footnote w:id="21">
    <w:p w14:paraId="7EDCF071" w14:textId="77777777" w:rsidR="00F551D5" w:rsidRDefault="00F551D5" w:rsidP="006F71C3">
      <w:pPr>
        <w:pStyle w:val="FootnoteText"/>
      </w:pPr>
      <w:r w:rsidRPr="009A29D3">
        <w:rPr>
          <w:vertAlign w:val="superscript"/>
        </w:rPr>
        <w:footnoteRef/>
      </w:r>
      <w:r>
        <w:t xml:space="preserve"> Abadie A and Imbens G (2002) </w:t>
      </w:r>
      <w:r w:rsidRPr="006F71C3">
        <w:t>Simple and bias-corrected matching estimators for average treatment effects</w:t>
      </w:r>
      <w:r>
        <w:t>, National Bureau of Economic Research Cambridge, Mass., USA</w:t>
      </w:r>
    </w:p>
  </w:footnote>
  <w:footnote w:id="22">
    <w:p w14:paraId="7D012731" w14:textId="77777777" w:rsidR="00F551D5" w:rsidRDefault="00F551D5" w:rsidP="006F71C3">
      <w:pPr>
        <w:pStyle w:val="FootnoteText"/>
      </w:pPr>
      <w:r w:rsidRPr="009A29D3">
        <w:rPr>
          <w:vertAlign w:val="superscript"/>
        </w:rPr>
        <w:footnoteRef/>
      </w:r>
      <w:r>
        <w:t xml:space="preserve"> Abadie A, Drukker D, Herr JL, et al. (2004) Implementing matching estimators for average treatment effects in Stata, </w:t>
      </w:r>
      <w:r w:rsidRPr="006F71C3">
        <w:t>Stata journal,</w:t>
      </w:r>
      <w:r>
        <w:t xml:space="preserve"> 4, pp. 290-311</w:t>
      </w:r>
    </w:p>
  </w:footnote>
  <w:footnote w:id="23">
    <w:p w14:paraId="304984A7" w14:textId="77777777" w:rsidR="00F551D5" w:rsidRDefault="00F551D5" w:rsidP="006F71C3">
      <w:pPr>
        <w:pStyle w:val="FootnoteText"/>
      </w:pPr>
      <w:r w:rsidRPr="009A29D3">
        <w:rPr>
          <w:vertAlign w:val="superscript"/>
        </w:rPr>
        <w:footnoteRef/>
      </w:r>
      <w:r>
        <w:t xml:space="preserve"> Caliendo M and Kopeinig S (2008) Some practical guidance for the implementation of propensity score matching, </w:t>
      </w:r>
      <w:r w:rsidRPr="006F71C3">
        <w:t>Journal of economic surveys,</w:t>
      </w:r>
      <w:r>
        <w:t xml:space="preserve"> 22(1), pp. 31-72</w:t>
      </w:r>
    </w:p>
  </w:footnote>
  <w:footnote w:id="24">
    <w:p w14:paraId="0F72CC45" w14:textId="34805B09" w:rsidR="00F551D5" w:rsidRDefault="00F551D5" w:rsidP="000D0C82">
      <w:pPr>
        <w:pStyle w:val="FootnoteText"/>
      </w:pPr>
      <w:r w:rsidRPr="00085FB7">
        <w:rPr>
          <w:vertAlign w:val="superscript"/>
        </w:rPr>
        <w:footnoteRef/>
      </w:r>
      <w:r w:rsidR="000D0C82">
        <w:t xml:space="preserve"> </w:t>
      </w:r>
      <w:r>
        <w:t xml:space="preserve">Huber C (2015) </w:t>
      </w:r>
      <w:r w:rsidRPr="00F73228">
        <w:t>Introduction to treatment effects in Stata: Part 2</w:t>
      </w:r>
      <w:r>
        <w:t>, Stata Press, http://blog.stata.com/2015/08/24/introduction-to-treatment-effects-instata-part-2/s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E77F3" w14:textId="3537AF9C" w:rsidR="00F551D5" w:rsidRDefault="00F551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DAD83" w14:textId="3458B2FD" w:rsidR="00F551D5" w:rsidRDefault="00F551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695B1" w14:textId="1F8B11D4" w:rsidR="00F551D5" w:rsidRDefault="00F551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3B38"/>
    <w:multiLevelType w:val="multilevel"/>
    <w:tmpl w:val="D5BAF582"/>
    <w:styleLink w:val="OCEHeadings"/>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5955" w:hanging="709"/>
      </w:pPr>
      <w:rPr>
        <w:rFonts w:hint="default"/>
      </w:rPr>
    </w:lvl>
    <w:lvl w:ilvl="2">
      <w:start w:val="1"/>
      <w:numFmt w:val="none"/>
      <w:pStyle w:val="Heading3"/>
      <w:suff w:val="nothing"/>
      <w:lvlText w:val=""/>
      <w:lvlJc w:val="left"/>
      <w:pPr>
        <w:ind w:left="0" w:firstLine="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upperLetter"/>
      <w:pStyle w:val="Heading6"/>
      <w:lvlText w:val="Appendix %6"/>
      <w:lvlJc w:val="left"/>
      <w:pPr>
        <w:ind w:left="2381" w:hanging="2381"/>
      </w:pPr>
      <w:rPr>
        <w:rFonts w:hint="default"/>
      </w:rPr>
    </w:lvl>
    <w:lvl w:ilvl="6">
      <w:start w:val="1"/>
      <w:numFmt w:val="decimal"/>
      <w:pStyle w:val="Heading7"/>
      <w:lvlText w:val="%6.%7"/>
      <w:lvlJc w:val="left"/>
      <w:pPr>
        <w:ind w:left="709" w:hanging="709"/>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59A6EC1"/>
    <w:multiLevelType w:val="multilevel"/>
    <w:tmpl w:val="3BFA39A6"/>
    <w:numStyleLink w:val="OCENumberedList"/>
  </w:abstractNum>
  <w:abstractNum w:abstractNumId="2" w15:restartNumberingAfterBreak="0">
    <w:nsid w:val="182859EC"/>
    <w:multiLevelType w:val="multilevel"/>
    <w:tmpl w:val="3684BDEC"/>
    <w:styleLink w:val="OCETableBullets"/>
    <w:lvl w:ilvl="0">
      <w:start w:val="1"/>
      <w:numFmt w:val="bullet"/>
      <w:pStyle w:val="TableListBullet"/>
      <w:lvlText w:val=""/>
      <w:lvlJc w:val="left"/>
      <w:pPr>
        <w:ind w:left="113" w:hanging="113"/>
      </w:pPr>
      <w:rPr>
        <w:rFonts w:ascii="Wingdings" w:hAnsi="Wingdings" w:hint="default"/>
      </w:rPr>
    </w:lvl>
    <w:lvl w:ilvl="1">
      <w:start w:val="1"/>
      <w:numFmt w:val="none"/>
      <w:suff w:val="nothing"/>
      <w:lvlText w:val=""/>
      <w:lvlJc w:val="left"/>
      <w:pPr>
        <w:ind w:left="-32767" w:firstLine="0"/>
      </w:pPr>
      <w:rPr>
        <w:rFonts w:hint="default"/>
      </w:rPr>
    </w:lvl>
    <w:lvl w:ilvl="2">
      <w:start w:val="1"/>
      <w:numFmt w:val="none"/>
      <w:suff w:val="nothing"/>
      <w:lvlText w:val=""/>
      <w:lvlJc w:val="left"/>
      <w:pPr>
        <w:ind w:left="-32767" w:firstLine="0"/>
      </w:pPr>
      <w:rPr>
        <w:rFonts w:hint="default"/>
      </w:rPr>
    </w:lvl>
    <w:lvl w:ilvl="3">
      <w:start w:val="1"/>
      <w:numFmt w:val="none"/>
      <w:suff w:val="nothing"/>
      <w:lvlText w:val=""/>
      <w:lvlJc w:val="left"/>
      <w:pPr>
        <w:ind w:left="-32767" w:firstLine="0"/>
      </w:pPr>
      <w:rPr>
        <w:rFonts w:hint="default"/>
      </w:rPr>
    </w:lvl>
    <w:lvl w:ilvl="4">
      <w:start w:val="1"/>
      <w:numFmt w:val="none"/>
      <w:suff w:val="nothing"/>
      <w:lvlText w:val=""/>
      <w:lvlJc w:val="left"/>
      <w:pPr>
        <w:ind w:left="-32767" w:firstLine="0"/>
      </w:pPr>
      <w:rPr>
        <w:rFonts w:hint="default"/>
      </w:rPr>
    </w:lvl>
    <w:lvl w:ilvl="5">
      <w:start w:val="1"/>
      <w:numFmt w:val="none"/>
      <w:suff w:val="nothing"/>
      <w:lvlText w:val=""/>
      <w:lvlJc w:val="left"/>
      <w:pPr>
        <w:ind w:left="-32767" w:firstLine="0"/>
      </w:pPr>
      <w:rPr>
        <w:rFonts w:hint="default"/>
      </w:rPr>
    </w:lvl>
    <w:lvl w:ilvl="6">
      <w:start w:val="1"/>
      <w:numFmt w:val="bullet"/>
      <w:suff w:val="nothing"/>
      <w:lvlText w:val=""/>
      <w:lvlJc w:val="left"/>
      <w:pPr>
        <w:ind w:left="-32767" w:firstLine="0"/>
      </w:pPr>
      <w:rPr>
        <w:rFonts w:ascii="Symbol" w:hAnsi="Symbol" w:hint="default"/>
      </w:rPr>
    </w:lvl>
    <w:lvl w:ilvl="7">
      <w:start w:val="1"/>
      <w:numFmt w:val="bullet"/>
      <w:suff w:val="nothing"/>
      <w:lvlText w:val="o"/>
      <w:lvlJc w:val="left"/>
      <w:pPr>
        <w:ind w:left="-32767" w:firstLine="0"/>
      </w:pPr>
      <w:rPr>
        <w:rFonts w:ascii="Courier New" w:hAnsi="Courier New" w:hint="default"/>
      </w:rPr>
    </w:lvl>
    <w:lvl w:ilvl="8">
      <w:start w:val="1"/>
      <w:numFmt w:val="bullet"/>
      <w:suff w:val="nothing"/>
      <w:lvlText w:val=""/>
      <w:lvlJc w:val="left"/>
      <w:pPr>
        <w:ind w:left="-32767" w:firstLine="0"/>
      </w:pPr>
      <w:rPr>
        <w:rFonts w:ascii="Wingdings" w:hAnsi="Wingdings" w:hint="default"/>
      </w:rPr>
    </w:lvl>
  </w:abstractNum>
  <w:abstractNum w:abstractNumId="3" w15:restartNumberingAfterBreak="0">
    <w:nsid w:val="187029E1"/>
    <w:multiLevelType w:val="multilevel"/>
    <w:tmpl w:val="9E06CAEE"/>
    <w:styleLink w:val="EASDMultilevelList"/>
    <w:lvl w:ilvl="0">
      <w:start w:val="1"/>
      <w:numFmt w:val="decimal"/>
      <w:lvlText w:val="%1."/>
      <w:lvlJc w:val="left"/>
      <w:pPr>
        <w:ind w:left="2520" w:hanging="360"/>
      </w:pPr>
      <w:rPr>
        <w:rFonts w:hint="default"/>
      </w:rPr>
    </w:lvl>
    <w:lvl w:ilvl="1">
      <w:start w:val="1"/>
      <w:numFmt w:val="decimal"/>
      <w:lvlText w:val="%1.%2."/>
      <w:lvlJc w:val="left"/>
      <w:pPr>
        <w:ind w:left="2121" w:firstLine="399"/>
      </w:pPr>
      <w:rPr>
        <w:rFonts w:hint="default"/>
      </w:rPr>
    </w:lvl>
    <w:lvl w:ilvl="2">
      <w:start w:val="1"/>
      <w:numFmt w:val="decimal"/>
      <w:lvlText w:val="%1.%2.%3."/>
      <w:lvlJc w:val="left"/>
      <w:pPr>
        <w:ind w:left="2121" w:firstLine="759"/>
      </w:pPr>
      <w:rPr>
        <w:rFonts w:hint="default"/>
      </w:rPr>
    </w:lvl>
    <w:lvl w:ilvl="3">
      <w:start w:val="1"/>
      <w:numFmt w:val="decimal"/>
      <w:lvlText w:val="%1.%2.%3.%4."/>
      <w:lvlJc w:val="left"/>
      <w:pPr>
        <w:ind w:left="2121" w:firstLine="1119"/>
      </w:pPr>
      <w:rPr>
        <w:rFonts w:hint="default"/>
      </w:rPr>
    </w:lvl>
    <w:lvl w:ilvl="4">
      <w:start w:val="1"/>
      <w:numFmt w:val="decimal"/>
      <w:lvlText w:val="%1.%2.%3.%4.%5."/>
      <w:lvlJc w:val="left"/>
      <w:pPr>
        <w:ind w:left="4392" w:hanging="792"/>
      </w:pPr>
      <w:rPr>
        <w:rFonts w:hint="default"/>
      </w:rPr>
    </w:lvl>
    <w:lvl w:ilvl="5">
      <w:start w:val="1"/>
      <w:numFmt w:val="decimal"/>
      <w:lvlText w:val="%1.%2.%3.%4.%5.%6."/>
      <w:lvlJc w:val="left"/>
      <w:pPr>
        <w:ind w:left="4896" w:hanging="936"/>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5904" w:hanging="1224"/>
      </w:pPr>
      <w:rPr>
        <w:rFonts w:hint="default"/>
      </w:rPr>
    </w:lvl>
    <w:lvl w:ilvl="8">
      <w:start w:val="1"/>
      <w:numFmt w:val="decimal"/>
      <w:lvlText w:val="%1.%2.%3.%4.%5.%6.%7.%8.%9."/>
      <w:lvlJc w:val="left"/>
      <w:pPr>
        <w:ind w:left="6480" w:hanging="1440"/>
      </w:pPr>
      <w:rPr>
        <w:rFonts w:hint="default"/>
      </w:rPr>
    </w:lvl>
  </w:abstractNum>
  <w:abstractNum w:abstractNumId="4" w15:restartNumberingAfterBreak="0">
    <w:nsid w:val="18801DAD"/>
    <w:multiLevelType w:val="multilevel"/>
    <w:tmpl w:val="3BFA39A6"/>
    <w:styleLink w:val="OCENumberedList"/>
    <w:lvl w:ilvl="0">
      <w:start w:val="1"/>
      <w:numFmt w:val="decimal"/>
      <w:pStyle w:val="ListNumber"/>
      <w:lvlText w:val="%1."/>
      <w:lvlJc w:val="left"/>
      <w:pPr>
        <w:ind w:left="425" w:hanging="425"/>
      </w:pPr>
      <w:rPr>
        <w:color w:val="005CAF"/>
      </w:rPr>
    </w:lvl>
    <w:lvl w:ilvl="1">
      <w:start w:val="1"/>
      <w:numFmt w:val="decimal"/>
      <w:pStyle w:val="ListNumber2"/>
      <w:lvlText w:val="%1.%2"/>
      <w:lvlJc w:val="left"/>
      <w:pPr>
        <w:ind w:left="992" w:hanging="567"/>
      </w:pPr>
      <w:rPr>
        <w:color w:val="005CAF"/>
      </w:rPr>
    </w:lvl>
    <w:lvl w:ilvl="2">
      <w:start w:val="1"/>
      <w:numFmt w:val="decimal"/>
      <w:pStyle w:val="ListNumber3"/>
      <w:lvlText w:val="%1.%2.%3"/>
      <w:lvlJc w:val="left"/>
      <w:pPr>
        <w:ind w:left="1701" w:hanging="709"/>
      </w:pPr>
      <w:rPr>
        <w:color w:val="005CAF"/>
      </w:rPr>
    </w:lvl>
    <w:lvl w:ilvl="3">
      <w:start w:val="1"/>
      <w:numFmt w:val="none"/>
      <w:pStyle w:val="ListNumber4"/>
      <w:suff w:val="nothing"/>
      <w:lvlText w:val=""/>
      <w:lvlJc w:val="left"/>
      <w:pPr>
        <w:ind w:left="1701" w:firstLine="0"/>
      </w:pPr>
      <w:rPr>
        <w:rFonts w:hint="default"/>
      </w:rPr>
    </w:lvl>
    <w:lvl w:ilvl="4">
      <w:start w:val="1"/>
      <w:numFmt w:val="none"/>
      <w:lvlRestart w:val="0"/>
      <w:suff w:val="nothing"/>
      <w:lvlText w:val=""/>
      <w:lvlJc w:val="left"/>
      <w:pPr>
        <w:ind w:left="3686" w:firstLine="0"/>
      </w:pPr>
      <w:rPr>
        <w:rFonts w:hint="default"/>
      </w:rPr>
    </w:lvl>
    <w:lvl w:ilvl="5">
      <w:start w:val="1"/>
      <w:numFmt w:val="none"/>
      <w:lvlRestart w:val="0"/>
      <w:suff w:val="nothing"/>
      <w:lvlText w:val=""/>
      <w:lvlJc w:val="left"/>
      <w:pPr>
        <w:ind w:left="3686" w:firstLine="0"/>
      </w:pPr>
      <w:rPr>
        <w:rFonts w:hint="default"/>
      </w:rPr>
    </w:lvl>
    <w:lvl w:ilvl="6">
      <w:start w:val="1"/>
      <w:numFmt w:val="none"/>
      <w:lvlRestart w:val="0"/>
      <w:suff w:val="nothing"/>
      <w:lvlText w:val=""/>
      <w:lvlJc w:val="left"/>
      <w:pPr>
        <w:ind w:left="3686" w:firstLine="0"/>
      </w:pPr>
      <w:rPr>
        <w:rFonts w:hint="default"/>
      </w:rPr>
    </w:lvl>
    <w:lvl w:ilvl="7">
      <w:start w:val="1"/>
      <w:numFmt w:val="none"/>
      <w:lvlRestart w:val="0"/>
      <w:suff w:val="nothing"/>
      <w:lvlText w:val=""/>
      <w:lvlJc w:val="left"/>
      <w:pPr>
        <w:ind w:left="3686" w:firstLine="0"/>
      </w:pPr>
      <w:rPr>
        <w:rFonts w:hint="default"/>
      </w:rPr>
    </w:lvl>
    <w:lvl w:ilvl="8">
      <w:start w:val="1"/>
      <w:numFmt w:val="none"/>
      <w:lvlRestart w:val="0"/>
      <w:suff w:val="nothing"/>
      <w:lvlText w:val=""/>
      <w:lvlJc w:val="left"/>
      <w:pPr>
        <w:ind w:left="3686" w:firstLine="0"/>
      </w:pPr>
      <w:rPr>
        <w:rFonts w:hint="default"/>
      </w:rPr>
    </w:lvl>
  </w:abstractNum>
  <w:abstractNum w:abstractNumId="5" w15:restartNumberingAfterBreak="0">
    <w:nsid w:val="3CA8400C"/>
    <w:multiLevelType w:val="singleLevel"/>
    <w:tmpl w:val="D42E603A"/>
    <w:lvl w:ilvl="0">
      <w:start w:val="1"/>
      <w:numFmt w:val="bullet"/>
      <w:pStyle w:val="Bullet2"/>
      <w:lvlText w:val=""/>
      <w:lvlJc w:val="left"/>
      <w:pPr>
        <w:tabs>
          <w:tab w:val="num" w:pos="1418"/>
        </w:tabs>
        <w:ind w:left="1418" w:hanging="709"/>
      </w:pPr>
      <w:rPr>
        <w:rFonts w:ascii="Symbol" w:hAnsi="Symbol" w:hint="default"/>
        <w:b w:val="0"/>
        <w:i w:val="0"/>
        <w:sz w:val="20"/>
      </w:rPr>
    </w:lvl>
  </w:abstractNum>
  <w:abstractNum w:abstractNumId="6" w15:restartNumberingAfterBreak="0">
    <w:nsid w:val="427C52AC"/>
    <w:multiLevelType w:val="hybridMultilevel"/>
    <w:tmpl w:val="B33EFA24"/>
    <w:lvl w:ilvl="0" w:tplc="421473CC">
      <w:start w:val="1"/>
      <w:numFmt w:val="bullet"/>
      <w:pStyle w:val="Keypointsbullet"/>
      <w:lvlText w:val=""/>
      <w:lvlJc w:val="left"/>
      <w:pPr>
        <w:ind w:left="360" w:hanging="360"/>
      </w:pPr>
      <w:rPr>
        <w:rFonts w:ascii="Wingdings" w:hAnsi="Wingdings" w:hint="default"/>
        <w:color w:val="005CAF"/>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7" w15:restartNumberingAfterBreak="0">
    <w:nsid w:val="4B94390E"/>
    <w:multiLevelType w:val="multilevel"/>
    <w:tmpl w:val="7D22E52C"/>
    <w:styleLink w:val="OCEBulletedList"/>
    <w:lvl w:ilvl="0">
      <w:start w:val="1"/>
      <w:numFmt w:val="bullet"/>
      <w:pStyle w:val="ListBullet"/>
      <w:lvlText w:val=""/>
      <w:lvlJc w:val="left"/>
      <w:pPr>
        <w:ind w:left="1020" w:hanging="340"/>
      </w:pPr>
      <w:rPr>
        <w:rFonts w:ascii="Wingdings" w:hAnsi="Wingdings" w:hint="default"/>
        <w:color w:val="005CAF"/>
      </w:rPr>
    </w:lvl>
    <w:lvl w:ilvl="1">
      <w:start w:val="1"/>
      <w:numFmt w:val="bullet"/>
      <w:pStyle w:val="ListBullet2"/>
      <w:lvlText w:val=""/>
      <w:lvlJc w:val="left"/>
      <w:pPr>
        <w:ind w:left="1730" w:hanging="340"/>
      </w:pPr>
      <w:rPr>
        <w:rFonts w:ascii="Wingdings" w:hAnsi="Wingdings" w:hint="default"/>
        <w:b w:val="0"/>
        <w:i w:val="0"/>
        <w:color w:val="005CAF"/>
        <w:w w:val="100"/>
        <w:position w:val="0"/>
        <w:sz w:val="20"/>
        <w:vertAlign w:val="baseline"/>
      </w:rPr>
    </w:lvl>
    <w:lvl w:ilvl="2">
      <w:start w:val="1"/>
      <w:numFmt w:val="bullet"/>
      <w:pStyle w:val="ListBullet3"/>
      <w:lvlText w:val="-"/>
      <w:lvlJc w:val="left"/>
      <w:pPr>
        <w:ind w:left="1644" w:hanging="255"/>
      </w:pPr>
      <w:rPr>
        <w:rFonts w:ascii="Courier New" w:hAnsi="Courier New" w:hint="default"/>
        <w:color w:val="005CAF"/>
      </w:rPr>
    </w:lvl>
    <w:lvl w:ilvl="3">
      <w:start w:val="1"/>
      <w:numFmt w:val="none"/>
      <w:pStyle w:val="ListBullet4"/>
      <w:suff w:val="nothing"/>
      <w:lvlText w:val=""/>
      <w:lvlJc w:val="left"/>
      <w:pPr>
        <w:ind w:left="1814" w:firstLine="0"/>
      </w:pPr>
      <w:rPr>
        <w:rFonts w:hint="default"/>
      </w:rPr>
    </w:lvl>
    <w:lvl w:ilvl="4">
      <w:start w:val="1"/>
      <w:numFmt w:val="none"/>
      <w:lvlText w:val=""/>
      <w:lvlJc w:val="left"/>
      <w:pPr>
        <w:ind w:left="680" w:firstLine="0"/>
      </w:pPr>
      <w:rPr>
        <w:rFonts w:hint="default"/>
      </w:rPr>
    </w:lvl>
    <w:lvl w:ilvl="5">
      <w:start w:val="1"/>
      <w:numFmt w:val="none"/>
      <w:lvlText w:val=""/>
      <w:lvlJc w:val="left"/>
      <w:pPr>
        <w:ind w:left="680" w:firstLine="0"/>
      </w:pPr>
      <w:rPr>
        <w:rFonts w:hint="default"/>
      </w:rPr>
    </w:lvl>
    <w:lvl w:ilvl="6">
      <w:start w:val="1"/>
      <w:numFmt w:val="none"/>
      <w:lvlText w:val=""/>
      <w:lvlJc w:val="left"/>
      <w:pPr>
        <w:ind w:left="680" w:firstLine="0"/>
      </w:pPr>
      <w:rPr>
        <w:rFonts w:hint="default"/>
      </w:rPr>
    </w:lvl>
    <w:lvl w:ilvl="7">
      <w:start w:val="1"/>
      <w:numFmt w:val="none"/>
      <w:lvlText w:val=""/>
      <w:lvlJc w:val="left"/>
      <w:pPr>
        <w:ind w:left="680" w:firstLine="0"/>
      </w:pPr>
      <w:rPr>
        <w:rFonts w:hint="default"/>
      </w:rPr>
    </w:lvl>
    <w:lvl w:ilvl="8">
      <w:start w:val="1"/>
      <w:numFmt w:val="none"/>
      <w:lvlText w:val=""/>
      <w:lvlJc w:val="left"/>
      <w:pPr>
        <w:ind w:left="680" w:firstLine="0"/>
      </w:pPr>
      <w:rPr>
        <w:rFonts w:hint="default"/>
      </w:rPr>
    </w:lvl>
  </w:abstractNum>
  <w:abstractNum w:abstractNumId="8" w15:restartNumberingAfterBreak="0">
    <w:nsid w:val="53813CDC"/>
    <w:multiLevelType w:val="multilevel"/>
    <w:tmpl w:val="D5BAF582"/>
    <w:numStyleLink w:val="OCEHeadings"/>
  </w:abstractNum>
  <w:abstractNum w:abstractNumId="9" w15:restartNumberingAfterBreak="0">
    <w:nsid w:val="7E9912D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9"/>
  </w:num>
  <w:num w:numId="3">
    <w:abstractNumId w:val="0"/>
  </w:num>
  <w:num w:numId="4">
    <w:abstractNumId w:val="7"/>
  </w:num>
  <w:num w:numId="5">
    <w:abstractNumId w:val="4"/>
  </w:num>
  <w:num w:numId="6">
    <w:abstractNumId w:val="3"/>
  </w:num>
  <w:num w:numId="7">
    <w:abstractNumId w:val="6"/>
  </w:num>
  <w:num w:numId="8">
    <w:abstractNumId w:val="2"/>
  </w:num>
  <w:num w:numId="9">
    <w:abstractNumId w:val="8"/>
    <w:lvlOverride w:ilvl="0">
      <w:lvl w:ilvl="0">
        <w:start w:val="1"/>
        <w:numFmt w:val="decimal"/>
        <w:pStyle w:val="Heading1"/>
        <w:lvlText w:val="%1."/>
        <w:lvlJc w:val="left"/>
        <w:pPr>
          <w:ind w:left="709" w:hanging="709"/>
        </w:pPr>
        <w:rPr>
          <w:rFonts w:hint="default"/>
        </w:rPr>
      </w:lvl>
    </w:lvlOverride>
  </w:num>
  <w:num w:numId="10">
    <w:abstractNumId w:val="8"/>
  </w:num>
  <w:num w:numId="11">
    <w:abstractNumId w:val="1"/>
  </w:num>
  <w:num w:numId="12">
    <w:abstractNumId w:val="2"/>
  </w:num>
  <w:num w:numId="13">
    <w:abstractNumId w:val="8"/>
  </w:num>
  <w:num w:numId="14">
    <w:abstractNumId w:val="7"/>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lickAndTypeStyle w:val="BodyText"/>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19"/>
    <w:rsid w:val="00000A47"/>
    <w:rsid w:val="00002F55"/>
    <w:rsid w:val="000036F1"/>
    <w:rsid w:val="00003B81"/>
    <w:rsid w:val="00004365"/>
    <w:rsid w:val="00004BF6"/>
    <w:rsid w:val="00007EBB"/>
    <w:rsid w:val="00010903"/>
    <w:rsid w:val="0001161C"/>
    <w:rsid w:val="00011BE7"/>
    <w:rsid w:val="000122D8"/>
    <w:rsid w:val="00013F4A"/>
    <w:rsid w:val="00013F80"/>
    <w:rsid w:val="00017BB5"/>
    <w:rsid w:val="000238B9"/>
    <w:rsid w:val="0002648C"/>
    <w:rsid w:val="00035325"/>
    <w:rsid w:val="00037B42"/>
    <w:rsid w:val="00041FE3"/>
    <w:rsid w:val="00043051"/>
    <w:rsid w:val="00047373"/>
    <w:rsid w:val="0005753A"/>
    <w:rsid w:val="00060184"/>
    <w:rsid w:val="00060761"/>
    <w:rsid w:val="00060CE1"/>
    <w:rsid w:val="000614AF"/>
    <w:rsid w:val="000618FB"/>
    <w:rsid w:val="000641E0"/>
    <w:rsid w:val="0006492D"/>
    <w:rsid w:val="00067812"/>
    <w:rsid w:val="00070749"/>
    <w:rsid w:val="00070B5D"/>
    <w:rsid w:val="0007137D"/>
    <w:rsid w:val="000728D2"/>
    <w:rsid w:val="000737AA"/>
    <w:rsid w:val="00075B39"/>
    <w:rsid w:val="00076E42"/>
    <w:rsid w:val="00082BF4"/>
    <w:rsid w:val="00085FB7"/>
    <w:rsid w:val="00090174"/>
    <w:rsid w:val="000904D3"/>
    <w:rsid w:val="000920D2"/>
    <w:rsid w:val="000A011E"/>
    <w:rsid w:val="000A1FC0"/>
    <w:rsid w:val="000A29BA"/>
    <w:rsid w:val="000A3D7F"/>
    <w:rsid w:val="000A4E45"/>
    <w:rsid w:val="000A5452"/>
    <w:rsid w:val="000A5CFF"/>
    <w:rsid w:val="000A6370"/>
    <w:rsid w:val="000A63C0"/>
    <w:rsid w:val="000A6F5B"/>
    <w:rsid w:val="000B279E"/>
    <w:rsid w:val="000B2C1B"/>
    <w:rsid w:val="000B2DFC"/>
    <w:rsid w:val="000B5BC7"/>
    <w:rsid w:val="000B7F7A"/>
    <w:rsid w:val="000C03CF"/>
    <w:rsid w:val="000C0DD7"/>
    <w:rsid w:val="000C19CB"/>
    <w:rsid w:val="000C5C3C"/>
    <w:rsid w:val="000C6AD6"/>
    <w:rsid w:val="000D030B"/>
    <w:rsid w:val="000D0C82"/>
    <w:rsid w:val="000D33DA"/>
    <w:rsid w:val="000D5123"/>
    <w:rsid w:val="000E415F"/>
    <w:rsid w:val="000F0460"/>
    <w:rsid w:val="000F0E5C"/>
    <w:rsid w:val="00100B74"/>
    <w:rsid w:val="00101A29"/>
    <w:rsid w:val="00107A3F"/>
    <w:rsid w:val="00110A66"/>
    <w:rsid w:val="00112208"/>
    <w:rsid w:val="00114BB1"/>
    <w:rsid w:val="0011640A"/>
    <w:rsid w:val="00116E58"/>
    <w:rsid w:val="0012045F"/>
    <w:rsid w:val="00120E94"/>
    <w:rsid w:val="001243D4"/>
    <w:rsid w:val="001246EC"/>
    <w:rsid w:val="00125971"/>
    <w:rsid w:val="0013066A"/>
    <w:rsid w:val="00134B28"/>
    <w:rsid w:val="00135E19"/>
    <w:rsid w:val="00147D3F"/>
    <w:rsid w:val="0015000D"/>
    <w:rsid w:val="001517A1"/>
    <w:rsid w:val="00156B5B"/>
    <w:rsid w:val="00163D6E"/>
    <w:rsid w:val="001658D2"/>
    <w:rsid w:val="00166576"/>
    <w:rsid w:val="00166996"/>
    <w:rsid w:val="0017293E"/>
    <w:rsid w:val="001732B4"/>
    <w:rsid w:val="00174624"/>
    <w:rsid w:val="0017468E"/>
    <w:rsid w:val="00180E4F"/>
    <w:rsid w:val="00182B15"/>
    <w:rsid w:val="001862AC"/>
    <w:rsid w:val="00186D3D"/>
    <w:rsid w:val="001900EE"/>
    <w:rsid w:val="0019168F"/>
    <w:rsid w:val="00195C83"/>
    <w:rsid w:val="001A322A"/>
    <w:rsid w:val="001A3451"/>
    <w:rsid w:val="001A48B2"/>
    <w:rsid w:val="001A4E10"/>
    <w:rsid w:val="001A6352"/>
    <w:rsid w:val="001B032F"/>
    <w:rsid w:val="001B345E"/>
    <w:rsid w:val="001B3F96"/>
    <w:rsid w:val="001B54B9"/>
    <w:rsid w:val="001B6316"/>
    <w:rsid w:val="001B6554"/>
    <w:rsid w:val="001C4733"/>
    <w:rsid w:val="001C4FFC"/>
    <w:rsid w:val="001C5291"/>
    <w:rsid w:val="001D07A5"/>
    <w:rsid w:val="001D1B60"/>
    <w:rsid w:val="001D204F"/>
    <w:rsid w:val="001D2E2D"/>
    <w:rsid w:val="001D4374"/>
    <w:rsid w:val="001E2136"/>
    <w:rsid w:val="001E4942"/>
    <w:rsid w:val="001E6BC8"/>
    <w:rsid w:val="001F1E5D"/>
    <w:rsid w:val="001F46CA"/>
    <w:rsid w:val="001F551B"/>
    <w:rsid w:val="001F5BC1"/>
    <w:rsid w:val="001F5F85"/>
    <w:rsid w:val="001F61C6"/>
    <w:rsid w:val="001F6FAB"/>
    <w:rsid w:val="001F7477"/>
    <w:rsid w:val="001F74CA"/>
    <w:rsid w:val="002029E0"/>
    <w:rsid w:val="002076C8"/>
    <w:rsid w:val="00207D37"/>
    <w:rsid w:val="00214241"/>
    <w:rsid w:val="0022378D"/>
    <w:rsid w:val="00224137"/>
    <w:rsid w:val="00225842"/>
    <w:rsid w:val="00234CEA"/>
    <w:rsid w:val="002400CF"/>
    <w:rsid w:val="00246F21"/>
    <w:rsid w:val="00247B26"/>
    <w:rsid w:val="00251254"/>
    <w:rsid w:val="00252C28"/>
    <w:rsid w:val="00255773"/>
    <w:rsid w:val="00256BD3"/>
    <w:rsid w:val="002630DD"/>
    <w:rsid w:val="0026576F"/>
    <w:rsid w:val="0026658D"/>
    <w:rsid w:val="00267246"/>
    <w:rsid w:val="00267507"/>
    <w:rsid w:val="00272952"/>
    <w:rsid w:val="002757A5"/>
    <w:rsid w:val="00280EB9"/>
    <w:rsid w:val="002830F6"/>
    <w:rsid w:val="00285A2F"/>
    <w:rsid w:val="00285F19"/>
    <w:rsid w:val="002866DE"/>
    <w:rsid w:val="00290149"/>
    <w:rsid w:val="0029234D"/>
    <w:rsid w:val="00292AE8"/>
    <w:rsid w:val="002A33E7"/>
    <w:rsid w:val="002A6979"/>
    <w:rsid w:val="002A7F2D"/>
    <w:rsid w:val="002B1DD2"/>
    <w:rsid w:val="002B3220"/>
    <w:rsid w:val="002B779D"/>
    <w:rsid w:val="002C1206"/>
    <w:rsid w:val="002C46C9"/>
    <w:rsid w:val="002C7B38"/>
    <w:rsid w:val="002D0127"/>
    <w:rsid w:val="002D322E"/>
    <w:rsid w:val="002D4188"/>
    <w:rsid w:val="002D4DC6"/>
    <w:rsid w:val="002D56BA"/>
    <w:rsid w:val="002D5C65"/>
    <w:rsid w:val="002E3270"/>
    <w:rsid w:val="002E43BD"/>
    <w:rsid w:val="002F0EEF"/>
    <w:rsid w:val="002F2208"/>
    <w:rsid w:val="002F2E2B"/>
    <w:rsid w:val="002F487F"/>
    <w:rsid w:val="002F56EE"/>
    <w:rsid w:val="00300738"/>
    <w:rsid w:val="00301D88"/>
    <w:rsid w:val="0030442F"/>
    <w:rsid w:val="003076BF"/>
    <w:rsid w:val="00307AD6"/>
    <w:rsid w:val="00311A07"/>
    <w:rsid w:val="00311B71"/>
    <w:rsid w:val="00315AE5"/>
    <w:rsid w:val="00315B65"/>
    <w:rsid w:val="00315C5C"/>
    <w:rsid w:val="00322656"/>
    <w:rsid w:val="0032775D"/>
    <w:rsid w:val="003322B1"/>
    <w:rsid w:val="00340E62"/>
    <w:rsid w:val="00345516"/>
    <w:rsid w:val="00347A7F"/>
    <w:rsid w:val="00350C19"/>
    <w:rsid w:val="003514FE"/>
    <w:rsid w:val="00352356"/>
    <w:rsid w:val="00354E7E"/>
    <w:rsid w:val="00354EA2"/>
    <w:rsid w:val="003578A6"/>
    <w:rsid w:val="003641D9"/>
    <w:rsid w:val="00364BAD"/>
    <w:rsid w:val="00364C8A"/>
    <w:rsid w:val="00370CD0"/>
    <w:rsid w:val="003712D9"/>
    <w:rsid w:val="00371F36"/>
    <w:rsid w:val="0037708E"/>
    <w:rsid w:val="00382BE7"/>
    <w:rsid w:val="00385BB6"/>
    <w:rsid w:val="00387F73"/>
    <w:rsid w:val="003960C5"/>
    <w:rsid w:val="003967EE"/>
    <w:rsid w:val="00396E87"/>
    <w:rsid w:val="003A253A"/>
    <w:rsid w:val="003A33D9"/>
    <w:rsid w:val="003A564E"/>
    <w:rsid w:val="003A5A88"/>
    <w:rsid w:val="003B12F3"/>
    <w:rsid w:val="003B141B"/>
    <w:rsid w:val="003B7ABC"/>
    <w:rsid w:val="003B7C70"/>
    <w:rsid w:val="003C0FAA"/>
    <w:rsid w:val="003C5819"/>
    <w:rsid w:val="003C587D"/>
    <w:rsid w:val="003C622D"/>
    <w:rsid w:val="003D0E4F"/>
    <w:rsid w:val="003D1CCE"/>
    <w:rsid w:val="003D7074"/>
    <w:rsid w:val="003E246C"/>
    <w:rsid w:val="003E32D9"/>
    <w:rsid w:val="003E50C4"/>
    <w:rsid w:val="003E762E"/>
    <w:rsid w:val="003F5A63"/>
    <w:rsid w:val="003F7E51"/>
    <w:rsid w:val="00407BFB"/>
    <w:rsid w:val="00410B42"/>
    <w:rsid w:val="0041256E"/>
    <w:rsid w:val="00420D9B"/>
    <w:rsid w:val="004253A5"/>
    <w:rsid w:val="00426883"/>
    <w:rsid w:val="00430E39"/>
    <w:rsid w:val="00431C6A"/>
    <w:rsid w:val="00432ABB"/>
    <w:rsid w:val="00434C78"/>
    <w:rsid w:val="00435FDB"/>
    <w:rsid w:val="0044360D"/>
    <w:rsid w:val="004459B3"/>
    <w:rsid w:val="00445DE2"/>
    <w:rsid w:val="00446C1F"/>
    <w:rsid w:val="00447193"/>
    <w:rsid w:val="00447972"/>
    <w:rsid w:val="00447B15"/>
    <w:rsid w:val="00453DB8"/>
    <w:rsid w:val="004561DA"/>
    <w:rsid w:val="0045635D"/>
    <w:rsid w:val="004577AD"/>
    <w:rsid w:val="00457D05"/>
    <w:rsid w:val="0046406C"/>
    <w:rsid w:val="00464782"/>
    <w:rsid w:val="00464C8C"/>
    <w:rsid w:val="00464F71"/>
    <w:rsid w:val="0047180F"/>
    <w:rsid w:val="004723CA"/>
    <w:rsid w:val="00474C4B"/>
    <w:rsid w:val="0047563C"/>
    <w:rsid w:val="00477C01"/>
    <w:rsid w:val="0048023B"/>
    <w:rsid w:val="00480CAF"/>
    <w:rsid w:val="004812C0"/>
    <w:rsid w:val="00483169"/>
    <w:rsid w:val="00483F96"/>
    <w:rsid w:val="00493446"/>
    <w:rsid w:val="004939EA"/>
    <w:rsid w:val="004942C4"/>
    <w:rsid w:val="00495C1B"/>
    <w:rsid w:val="00496236"/>
    <w:rsid w:val="00496875"/>
    <w:rsid w:val="00496DA4"/>
    <w:rsid w:val="004A1092"/>
    <w:rsid w:val="004A46E3"/>
    <w:rsid w:val="004A5598"/>
    <w:rsid w:val="004A6042"/>
    <w:rsid w:val="004A752B"/>
    <w:rsid w:val="004A756B"/>
    <w:rsid w:val="004B0E4F"/>
    <w:rsid w:val="004B2C98"/>
    <w:rsid w:val="004B2FEA"/>
    <w:rsid w:val="004B3DA9"/>
    <w:rsid w:val="004B4E62"/>
    <w:rsid w:val="004B53E7"/>
    <w:rsid w:val="004B70E3"/>
    <w:rsid w:val="004B7AEA"/>
    <w:rsid w:val="004C1602"/>
    <w:rsid w:val="004C2892"/>
    <w:rsid w:val="004C3A58"/>
    <w:rsid w:val="004C57DA"/>
    <w:rsid w:val="004C7203"/>
    <w:rsid w:val="004D142A"/>
    <w:rsid w:val="004D3673"/>
    <w:rsid w:val="004E0B4D"/>
    <w:rsid w:val="004E1CA5"/>
    <w:rsid w:val="004E2E6A"/>
    <w:rsid w:val="004E33DE"/>
    <w:rsid w:val="004E3D67"/>
    <w:rsid w:val="004E744E"/>
    <w:rsid w:val="004F0959"/>
    <w:rsid w:val="004F3AB0"/>
    <w:rsid w:val="004F7D5E"/>
    <w:rsid w:val="005002D4"/>
    <w:rsid w:val="00502804"/>
    <w:rsid w:val="00503C02"/>
    <w:rsid w:val="00505701"/>
    <w:rsid w:val="0051017B"/>
    <w:rsid w:val="0051079B"/>
    <w:rsid w:val="0051099B"/>
    <w:rsid w:val="00511756"/>
    <w:rsid w:val="005126DB"/>
    <w:rsid w:val="00513F90"/>
    <w:rsid w:val="005141A1"/>
    <w:rsid w:val="00516A09"/>
    <w:rsid w:val="00516D57"/>
    <w:rsid w:val="00521151"/>
    <w:rsid w:val="00522523"/>
    <w:rsid w:val="00522EBD"/>
    <w:rsid w:val="00523B54"/>
    <w:rsid w:val="00524743"/>
    <w:rsid w:val="00525CAD"/>
    <w:rsid w:val="00527CD7"/>
    <w:rsid w:val="00530869"/>
    <w:rsid w:val="00532498"/>
    <w:rsid w:val="005453E2"/>
    <w:rsid w:val="00550C82"/>
    <w:rsid w:val="00556CF7"/>
    <w:rsid w:val="005576C6"/>
    <w:rsid w:val="005577F2"/>
    <w:rsid w:val="00562489"/>
    <w:rsid w:val="00570C8E"/>
    <w:rsid w:val="0057169D"/>
    <w:rsid w:val="00573F05"/>
    <w:rsid w:val="00576504"/>
    <w:rsid w:val="00576B53"/>
    <w:rsid w:val="00584542"/>
    <w:rsid w:val="00585BB3"/>
    <w:rsid w:val="005862E9"/>
    <w:rsid w:val="00587701"/>
    <w:rsid w:val="005971FA"/>
    <w:rsid w:val="005A09DF"/>
    <w:rsid w:val="005A39A1"/>
    <w:rsid w:val="005A409E"/>
    <w:rsid w:val="005A65AA"/>
    <w:rsid w:val="005B525D"/>
    <w:rsid w:val="005C4185"/>
    <w:rsid w:val="005C5D37"/>
    <w:rsid w:val="005C6FB9"/>
    <w:rsid w:val="005D0BB0"/>
    <w:rsid w:val="005D0DE5"/>
    <w:rsid w:val="005D3502"/>
    <w:rsid w:val="005D7981"/>
    <w:rsid w:val="005E121F"/>
    <w:rsid w:val="005E17A8"/>
    <w:rsid w:val="005E5AE3"/>
    <w:rsid w:val="005E6AC0"/>
    <w:rsid w:val="005E7981"/>
    <w:rsid w:val="005F4627"/>
    <w:rsid w:val="005F5226"/>
    <w:rsid w:val="005F74B5"/>
    <w:rsid w:val="00602C85"/>
    <w:rsid w:val="00603F30"/>
    <w:rsid w:val="00604241"/>
    <w:rsid w:val="006043C0"/>
    <w:rsid w:val="00611312"/>
    <w:rsid w:val="0061140B"/>
    <w:rsid w:val="006128D9"/>
    <w:rsid w:val="006129E3"/>
    <w:rsid w:val="006169F8"/>
    <w:rsid w:val="006169F9"/>
    <w:rsid w:val="00616A03"/>
    <w:rsid w:val="0062058C"/>
    <w:rsid w:val="00620945"/>
    <w:rsid w:val="0063036B"/>
    <w:rsid w:val="006321E5"/>
    <w:rsid w:val="00632C94"/>
    <w:rsid w:val="006346A5"/>
    <w:rsid w:val="0063575B"/>
    <w:rsid w:val="00635987"/>
    <w:rsid w:val="006370E6"/>
    <w:rsid w:val="00640B00"/>
    <w:rsid w:val="00641BBD"/>
    <w:rsid w:val="006446EF"/>
    <w:rsid w:val="00646834"/>
    <w:rsid w:val="0065093E"/>
    <w:rsid w:val="0065213F"/>
    <w:rsid w:val="00652811"/>
    <w:rsid w:val="0065696F"/>
    <w:rsid w:val="00665B3D"/>
    <w:rsid w:val="00670810"/>
    <w:rsid w:val="00671B11"/>
    <w:rsid w:val="00672152"/>
    <w:rsid w:val="006721A2"/>
    <w:rsid w:val="00684893"/>
    <w:rsid w:val="00685F6E"/>
    <w:rsid w:val="006915ED"/>
    <w:rsid w:val="00692166"/>
    <w:rsid w:val="006A12D8"/>
    <w:rsid w:val="006A3983"/>
    <w:rsid w:val="006A553E"/>
    <w:rsid w:val="006A6873"/>
    <w:rsid w:val="006A6D70"/>
    <w:rsid w:val="006C0A8C"/>
    <w:rsid w:val="006C295D"/>
    <w:rsid w:val="006C5E1A"/>
    <w:rsid w:val="006C604E"/>
    <w:rsid w:val="006D3274"/>
    <w:rsid w:val="006D6C5F"/>
    <w:rsid w:val="006D7511"/>
    <w:rsid w:val="006D7B80"/>
    <w:rsid w:val="006E1824"/>
    <w:rsid w:val="006E4627"/>
    <w:rsid w:val="006F1F8D"/>
    <w:rsid w:val="006F398D"/>
    <w:rsid w:val="006F71C3"/>
    <w:rsid w:val="00703105"/>
    <w:rsid w:val="00712467"/>
    <w:rsid w:val="00712F84"/>
    <w:rsid w:val="00722986"/>
    <w:rsid w:val="0072328B"/>
    <w:rsid w:val="00727D3D"/>
    <w:rsid w:val="00730ADA"/>
    <w:rsid w:val="00731E8B"/>
    <w:rsid w:val="00732BB5"/>
    <w:rsid w:val="0073384B"/>
    <w:rsid w:val="00746272"/>
    <w:rsid w:val="00746291"/>
    <w:rsid w:val="00746DCC"/>
    <w:rsid w:val="00751128"/>
    <w:rsid w:val="00752049"/>
    <w:rsid w:val="007529B4"/>
    <w:rsid w:val="00754819"/>
    <w:rsid w:val="007602FD"/>
    <w:rsid w:val="00765582"/>
    <w:rsid w:val="00765BAA"/>
    <w:rsid w:val="00766E58"/>
    <w:rsid w:val="00767248"/>
    <w:rsid w:val="007719E5"/>
    <w:rsid w:val="00772A9A"/>
    <w:rsid w:val="007765E4"/>
    <w:rsid w:val="007812AE"/>
    <w:rsid w:val="007843BA"/>
    <w:rsid w:val="0079046B"/>
    <w:rsid w:val="00792D85"/>
    <w:rsid w:val="00795CA9"/>
    <w:rsid w:val="00796467"/>
    <w:rsid w:val="007A59E6"/>
    <w:rsid w:val="007A6224"/>
    <w:rsid w:val="007A6BA0"/>
    <w:rsid w:val="007A7202"/>
    <w:rsid w:val="007A7D5A"/>
    <w:rsid w:val="007B315F"/>
    <w:rsid w:val="007B3AAC"/>
    <w:rsid w:val="007C6F2D"/>
    <w:rsid w:val="007D5E09"/>
    <w:rsid w:val="007D7031"/>
    <w:rsid w:val="007D7C0B"/>
    <w:rsid w:val="007D7D86"/>
    <w:rsid w:val="007E42AC"/>
    <w:rsid w:val="007E6036"/>
    <w:rsid w:val="007F11CB"/>
    <w:rsid w:val="007F13C4"/>
    <w:rsid w:val="007F194E"/>
    <w:rsid w:val="007F75D3"/>
    <w:rsid w:val="008006BA"/>
    <w:rsid w:val="00802621"/>
    <w:rsid w:val="00805429"/>
    <w:rsid w:val="008057E6"/>
    <w:rsid w:val="00806251"/>
    <w:rsid w:val="00810F3D"/>
    <w:rsid w:val="00811315"/>
    <w:rsid w:val="008174F6"/>
    <w:rsid w:val="00817A6A"/>
    <w:rsid w:val="00820F49"/>
    <w:rsid w:val="008233B0"/>
    <w:rsid w:val="0082355B"/>
    <w:rsid w:val="00823F43"/>
    <w:rsid w:val="008240FF"/>
    <w:rsid w:val="00832CAA"/>
    <w:rsid w:val="008338C6"/>
    <w:rsid w:val="00836BF4"/>
    <w:rsid w:val="00847122"/>
    <w:rsid w:val="00850C5D"/>
    <w:rsid w:val="008515B0"/>
    <w:rsid w:val="00855182"/>
    <w:rsid w:val="00861B19"/>
    <w:rsid w:val="008620BF"/>
    <w:rsid w:val="0086611B"/>
    <w:rsid w:val="0087267D"/>
    <w:rsid w:val="008729B5"/>
    <w:rsid w:val="008735F6"/>
    <w:rsid w:val="00876BAA"/>
    <w:rsid w:val="00881C1C"/>
    <w:rsid w:val="0088317C"/>
    <w:rsid w:val="00890F2D"/>
    <w:rsid w:val="0089465B"/>
    <w:rsid w:val="00895006"/>
    <w:rsid w:val="00895030"/>
    <w:rsid w:val="008A1F4D"/>
    <w:rsid w:val="008A25C6"/>
    <w:rsid w:val="008A3D49"/>
    <w:rsid w:val="008B4FA8"/>
    <w:rsid w:val="008B5EA3"/>
    <w:rsid w:val="008C3E24"/>
    <w:rsid w:val="008C6145"/>
    <w:rsid w:val="008C7439"/>
    <w:rsid w:val="008D02EA"/>
    <w:rsid w:val="008D0685"/>
    <w:rsid w:val="008D1F5D"/>
    <w:rsid w:val="008D2E53"/>
    <w:rsid w:val="008D4E56"/>
    <w:rsid w:val="008D5B59"/>
    <w:rsid w:val="008E4D04"/>
    <w:rsid w:val="008F03FE"/>
    <w:rsid w:val="008F28CD"/>
    <w:rsid w:val="008F3372"/>
    <w:rsid w:val="008F4093"/>
    <w:rsid w:val="008F55F3"/>
    <w:rsid w:val="008F5AC4"/>
    <w:rsid w:val="0090166C"/>
    <w:rsid w:val="0090240E"/>
    <w:rsid w:val="00902DB8"/>
    <w:rsid w:val="00903E9B"/>
    <w:rsid w:val="00917C8D"/>
    <w:rsid w:val="00917F97"/>
    <w:rsid w:val="00921365"/>
    <w:rsid w:val="00921942"/>
    <w:rsid w:val="0092504F"/>
    <w:rsid w:val="009301C2"/>
    <w:rsid w:val="0093309C"/>
    <w:rsid w:val="00935433"/>
    <w:rsid w:val="009366BF"/>
    <w:rsid w:val="00940A3B"/>
    <w:rsid w:val="00941C35"/>
    <w:rsid w:val="00944C03"/>
    <w:rsid w:val="00947AD1"/>
    <w:rsid w:val="00951561"/>
    <w:rsid w:val="00952C25"/>
    <w:rsid w:val="009547E5"/>
    <w:rsid w:val="009553FB"/>
    <w:rsid w:val="00960F04"/>
    <w:rsid w:val="009635EF"/>
    <w:rsid w:val="00973C7C"/>
    <w:rsid w:val="009828CA"/>
    <w:rsid w:val="009861EC"/>
    <w:rsid w:val="0099012D"/>
    <w:rsid w:val="009927A3"/>
    <w:rsid w:val="009A29D3"/>
    <w:rsid w:val="009A3B62"/>
    <w:rsid w:val="009B3448"/>
    <w:rsid w:val="009B5C1C"/>
    <w:rsid w:val="009C187E"/>
    <w:rsid w:val="009C25FD"/>
    <w:rsid w:val="009C3B91"/>
    <w:rsid w:val="009D1323"/>
    <w:rsid w:val="009D2673"/>
    <w:rsid w:val="009D6B76"/>
    <w:rsid w:val="009D6D28"/>
    <w:rsid w:val="009E01B6"/>
    <w:rsid w:val="009E16E5"/>
    <w:rsid w:val="009E29F9"/>
    <w:rsid w:val="009E410B"/>
    <w:rsid w:val="009E42B5"/>
    <w:rsid w:val="009E5DBE"/>
    <w:rsid w:val="009E684E"/>
    <w:rsid w:val="009E68A2"/>
    <w:rsid w:val="009F02A0"/>
    <w:rsid w:val="009F2590"/>
    <w:rsid w:val="009F5FB3"/>
    <w:rsid w:val="009F78F1"/>
    <w:rsid w:val="00A001C7"/>
    <w:rsid w:val="00A01741"/>
    <w:rsid w:val="00A03095"/>
    <w:rsid w:val="00A03212"/>
    <w:rsid w:val="00A03C28"/>
    <w:rsid w:val="00A05049"/>
    <w:rsid w:val="00A05086"/>
    <w:rsid w:val="00A0712A"/>
    <w:rsid w:val="00A07FE5"/>
    <w:rsid w:val="00A13119"/>
    <w:rsid w:val="00A15233"/>
    <w:rsid w:val="00A15A6F"/>
    <w:rsid w:val="00A22938"/>
    <w:rsid w:val="00A25395"/>
    <w:rsid w:val="00A30089"/>
    <w:rsid w:val="00A32C6A"/>
    <w:rsid w:val="00A3749F"/>
    <w:rsid w:val="00A374F9"/>
    <w:rsid w:val="00A426CF"/>
    <w:rsid w:val="00A43EC9"/>
    <w:rsid w:val="00A45C3D"/>
    <w:rsid w:val="00A46192"/>
    <w:rsid w:val="00A503BF"/>
    <w:rsid w:val="00A527F7"/>
    <w:rsid w:val="00A52AFD"/>
    <w:rsid w:val="00A56D66"/>
    <w:rsid w:val="00A5742D"/>
    <w:rsid w:val="00A61083"/>
    <w:rsid w:val="00A646CC"/>
    <w:rsid w:val="00A65155"/>
    <w:rsid w:val="00A67E97"/>
    <w:rsid w:val="00A70018"/>
    <w:rsid w:val="00A7049C"/>
    <w:rsid w:val="00A70ECE"/>
    <w:rsid w:val="00A71905"/>
    <w:rsid w:val="00A71A91"/>
    <w:rsid w:val="00A73C05"/>
    <w:rsid w:val="00A82E10"/>
    <w:rsid w:val="00A84879"/>
    <w:rsid w:val="00A84D04"/>
    <w:rsid w:val="00A87C5A"/>
    <w:rsid w:val="00A90D4B"/>
    <w:rsid w:val="00A9133A"/>
    <w:rsid w:val="00A955B9"/>
    <w:rsid w:val="00A95F9C"/>
    <w:rsid w:val="00AA1AF9"/>
    <w:rsid w:val="00AA71B0"/>
    <w:rsid w:val="00AA7485"/>
    <w:rsid w:val="00AA785F"/>
    <w:rsid w:val="00AB28E0"/>
    <w:rsid w:val="00AB3F23"/>
    <w:rsid w:val="00AB46B7"/>
    <w:rsid w:val="00AB4844"/>
    <w:rsid w:val="00AB4C03"/>
    <w:rsid w:val="00AB4D42"/>
    <w:rsid w:val="00AC0A27"/>
    <w:rsid w:val="00AC0EE4"/>
    <w:rsid w:val="00AD0224"/>
    <w:rsid w:val="00AD6E41"/>
    <w:rsid w:val="00AE3349"/>
    <w:rsid w:val="00AE46D9"/>
    <w:rsid w:val="00AE46E9"/>
    <w:rsid w:val="00AF0526"/>
    <w:rsid w:val="00AF1D6E"/>
    <w:rsid w:val="00AF2F00"/>
    <w:rsid w:val="00B0306F"/>
    <w:rsid w:val="00B0602D"/>
    <w:rsid w:val="00B07217"/>
    <w:rsid w:val="00B124FA"/>
    <w:rsid w:val="00B15477"/>
    <w:rsid w:val="00B16326"/>
    <w:rsid w:val="00B16F86"/>
    <w:rsid w:val="00B2365E"/>
    <w:rsid w:val="00B27CBF"/>
    <w:rsid w:val="00B30D53"/>
    <w:rsid w:val="00B31763"/>
    <w:rsid w:val="00B3291A"/>
    <w:rsid w:val="00B343CA"/>
    <w:rsid w:val="00B41006"/>
    <w:rsid w:val="00B42D88"/>
    <w:rsid w:val="00B438A3"/>
    <w:rsid w:val="00B44F7B"/>
    <w:rsid w:val="00B51CF2"/>
    <w:rsid w:val="00B5752F"/>
    <w:rsid w:val="00B6022F"/>
    <w:rsid w:val="00B67312"/>
    <w:rsid w:val="00B67813"/>
    <w:rsid w:val="00B72E9A"/>
    <w:rsid w:val="00B76076"/>
    <w:rsid w:val="00B762FC"/>
    <w:rsid w:val="00B766F7"/>
    <w:rsid w:val="00B76E6A"/>
    <w:rsid w:val="00B80788"/>
    <w:rsid w:val="00B80B54"/>
    <w:rsid w:val="00B84180"/>
    <w:rsid w:val="00B857CA"/>
    <w:rsid w:val="00B9059F"/>
    <w:rsid w:val="00B9127E"/>
    <w:rsid w:val="00B916D7"/>
    <w:rsid w:val="00B924F0"/>
    <w:rsid w:val="00B940DA"/>
    <w:rsid w:val="00B96F46"/>
    <w:rsid w:val="00BA05AA"/>
    <w:rsid w:val="00BA31B0"/>
    <w:rsid w:val="00BA478A"/>
    <w:rsid w:val="00BB087B"/>
    <w:rsid w:val="00BB394D"/>
    <w:rsid w:val="00BC05D4"/>
    <w:rsid w:val="00BC1EBA"/>
    <w:rsid w:val="00BC412E"/>
    <w:rsid w:val="00BC49C9"/>
    <w:rsid w:val="00BD1765"/>
    <w:rsid w:val="00BD771A"/>
    <w:rsid w:val="00BD7D60"/>
    <w:rsid w:val="00BF7420"/>
    <w:rsid w:val="00C003CB"/>
    <w:rsid w:val="00C00493"/>
    <w:rsid w:val="00C005AE"/>
    <w:rsid w:val="00C0070E"/>
    <w:rsid w:val="00C05DA9"/>
    <w:rsid w:val="00C16EC7"/>
    <w:rsid w:val="00C21AAD"/>
    <w:rsid w:val="00C2262E"/>
    <w:rsid w:val="00C238A8"/>
    <w:rsid w:val="00C27B67"/>
    <w:rsid w:val="00C3014C"/>
    <w:rsid w:val="00C325FC"/>
    <w:rsid w:val="00C347B5"/>
    <w:rsid w:val="00C357EC"/>
    <w:rsid w:val="00C36E29"/>
    <w:rsid w:val="00C36EE4"/>
    <w:rsid w:val="00C4445F"/>
    <w:rsid w:val="00C44A93"/>
    <w:rsid w:val="00C46613"/>
    <w:rsid w:val="00C50571"/>
    <w:rsid w:val="00C51D12"/>
    <w:rsid w:val="00C527E6"/>
    <w:rsid w:val="00C55C83"/>
    <w:rsid w:val="00C5633C"/>
    <w:rsid w:val="00C57069"/>
    <w:rsid w:val="00C5799E"/>
    <w:rsid w:val="00C648E0"/>
    <w:rsid w:val="00C65595"/>
    <w:rsid w:val="00C726CD"/>
    <w:rsid w:val="00C73580"/>
    <w:rsid w:val="00C8039D"/>
    <w:rsid w:val="00C8621D"/>
    <w:rsid w:val="00C9326C"/>
    <w:rsid w:val="00C9626D"/>
    <w:rsid w:val="00CA001F"/>
    <w:rsid w:val="00CA1216"/>
    <w:rsid w:val="00CA2ABF"/>
    <w:rsid w:val="00CB267B"/>
    <w:rsid w:val="00CB448F"/>
    <w:rsid w:val="00CC2CAB"/>
    <w:rsid w:val="00CC38E3"/>
    <w:rsid w:val="00CC6865"/>
    <w:rsid w:val="00CD00E3"/>
    <w:rsid w:val="00CD3477"/>
    <w:rsid w:val="00CD595F"/>
    <w:rsid w:val="00CE2C82"/>
    <w:rsid w:val="00CE51A0"/>
    <w:rsid w:val="00CF0D8C"/>
    <w:rsid w:val="00CF0FB2"/>
    <w:rsid w:val="00CF30D8"/>
    <w:rsid w:val="00CF357C"/>
    <w:rsid w:val="00CF4D53"/>
    <w:rsid w:val="00CF52CC"/>
    <w:rsid w:val="00CF6976"/>
    <w:rsid w:val="00D006FC"/>
    <w:rsid w:val="00D010F6"/>
    <w:rsid w:val="00D01FAB"/>
    <w:rsid w:val="00D03244"/>
    <w:rsid w:val="00D078C6"/>
    <w:rsid w:val="00D12B36"/>
    <w:rsid w:val="00D1580C"/>
    <w:rsid w:val="00D15F7F"/>
    <w:rsid w:val="00D1663A"/>
    <w:rsid w:val="00D16DBB"/>
    <w:rsid w:val="00D30438"/>
    <w:rsid w:val="00D35D6F"/>
    <w:rsid w:val="00D367B5"/>
    <w:rsid w:val="00D37E46"/>
    <w:rsid w:val="00D43764"/>
    <w:rsid w:val="00D437D7"/>
    <w:rsid w:val="00D45BAF"/>
    <w:rsid w:val="00D45F2A"/>
    <w:rsid w:val="00D50174"/>
    <w:rsid w:val="00D5121F"/>
    <w:rsid w:val="00D519D2"/>
    <w:rsid w:val="00D53B4E"/>
    <w:rsid w:val="00D53B84"/>
    <w:rsid w:val="00D542AF"/>
    <w:rsid w:val="00D56EFB"/>
    <w:rsid w:val="00D620AE"/>
    <w:rsid w:val="00D66B6D"/>
    <w:rsid w:val="00D67873"/>
    <w:rsid w:val="00D70AF6"/>
    <w:rsid w:val="00D71A31"/>
    <w:rsid w:val="00D71BBF"/>
    <w:rsid w:val="00D755C0"/>
    <w:rsid w:val="00D77D5B"/>
    <w:rsid w:val="00D84868"/>
    <w:rsid w:val="00D84AAE"/>
    <w:rsid w:val="00D8534F"/>
    <w:rsid w:val="00D85F56"/>
    <w:rsid w:val="00D86837"/>
    <w:rsid w:val="00D869EB"/>
    <w:rsid w:val="00D924A8"/>
    <w:rsid w:val="00D9288D"/>
    <w:rsid w:val="00D96258"/>
    <w:rsid w:val="00D9649E"/>
    <w:rsid w:val="00DA046E"/>
    <w:rsid w:val="00DA04D0"/>
    <w:rsid w:val="00DA7831"/>
    <w:rsid w:val="00DB2638"/>
    <w:rsid w:val="00DB6D06"/>
    <w:rsid w:val="00DC0E9F"/>
    <w:rsid w:val="00DC10F5"/>
    <w:rsid w:val="00DC5EFA"/>
    <w:rsid w:val="00DC637E"/>
    <w:rsid w:val="00DD18BE"/>
    <w:rsid w:val="00DD2175"/>
    <w:rsid w:val="00DD2763"/>
    <w:rsid w:val="00DD43BB"/>
    <w:rsid w:val="00DD4AAB"/>
    <w:rsid w:val="00DD50F8"/>
    <w:rsid w:val="00DE1337"/>
    <w:rsid w:val="00DE40EE"/>
    <w:rsid w:val="00DE4703"/>
    <w:rsid w:val="00DE5B67"/>
    <w:rsid w:val="00DE7755"/>
    <w:rsid w:val="00DF1E20"/>
    <w:rsid w:val="00DF31C2"/>
    <w:rsid w:val="00DF53F2"/>
    <w:rsid w:val="00DF64BA"/>
    <w:rsid w:val="00DF7BBA"/>
    <w:rsid w:val="00E03969"/>
    <w:rsid w:val="00E122F2"/>
    <w:rsid w:val="00E12B1D"/>
    <w:rsid w:val="00E2097B"/>
    <w:rsid w:val="00E255C4"/>
    <w:rsid w:val="00E26E73"/>
    <w:rsid w:val="00E27448"/>
    <w:rsid w:val="00E2785A"/>
    <w:rsid w:val="00E278C0"/>
    <w:rsid w:val="00E30D22"/>
    <w:rsid w:val="00E32D2C"/>
    <w:rsid w:val="00E3314E"/>
    <w:rsid w:val="00E35ECE"/>
    <w:rsid w:val="00E379FD"/>
    <w:rsid w:val="00E37C47"/>
    <w:rsid w:val="00E4080F"/>
    <w:rsid w:val="00E42758"/>
    <w:rsid w:val="00E429B4"/>
    <w:rsid w:val="00E45C78"/>
    <w:rsid w:val="00E46010"/>
    <w:rsid w:val="00E501EA"/>
    <w:rsid w:val="00E52C9F"/>
    <w:rsid w:val="00E530CD"/>
    <w:rsid w:val="00E532B3"/>
    <w:rsid w:val="00E57835"/>
    <w:rsid w:val="00E609D5"/>
    <w:rsid w:val="00E60AF7"/>
    <w:rsid w:val="00E614C0"/>
    <w:rsid w:val="00E6385A"/>
    <w:rsid w:val="00E64624"/>
    <w:rsid w:val="00E66DFD"/>
    <w:rsid w:val="00E702BF"/>
    <w:rsid w:val="00E70C38"/>
    <w:rsid w:val="00E776DF"/>
    <w:rsid w:val="00E77B01"/>
    <w:rsid w:val="00E80CBC"/>
    <w:rsid w:val="00E8157A"/>
    <w:rsid w:val="00E81C89"/>
    <w:rsid w:val="00E827BF"/>
    <w:rsid w:val="00E82990"/>
    <w:rsid w:val="00E830C8"/>
    <w:rsid w:val="00E83525"/>
    <w:rsid w:val="00E845F8"/>
    <w:rsid w:val="00E84DF0"/>
    <w:rsid w:val="00E85A86"/>
    <w:rsid w:val="00E9567E"/>
    <w:rsid w:val="00EA34B8"/>
    <w:rsid w:val="00EB38F2"/>
    <w:rsid w:val="00EB68CB"/>
    <w:rsid w:val="00EB736A"/>
    <w:rsid w:val="00EC0098"/>
    <w:rsid w:val="00EC0548"/>
    <w:rsid w:val="00EC3441"/>
    <w:rsid w:val="00EC700F"/>
    <w:rsid w:val="00ED1389"/>
    <w:rsid w:val="00ED7134"/>
    <w:rsid w:val="00EE0A8B"/>
    <w:rsid w:val="00EF054B"/>
    <w:rsid w:val="00EF0AB2"/>
    <w:rsid w:val="00EF37CC"/>
    <w:rsid w:val="00F04158"/>
    <w:rsid w:val="00F04CC2"/>
    <w:rsid w:val="00F057A8"/>
    <w:rsid w:val="00F07260"/>
    <w:rsid w:val="00F1195C"/>
    <w:rsid w:val="00F12AAF"/>
    <w:rsid w:val="00F132F5"/>
    <w:rsid w:val="00F17117"/>
    <w:rsid w:val="00F1782E"/>
    <w:rsid w:val="00F20A86"/>
    <w:rsid w:val="00F20F51"/>
    <w:rsid w:val="00F228DB"/>
    <w:rsid w:val="00F244EA"/>
    <w:rsid w:val="00F26232"/>
    <w:rsid w:val="00F27390"/>
    <w:rsid w:val="00F317E0"/>
    <w:rsid w:val="00F32A6C"/>
    <w:rsid w:val="00F334D2"/>
    <w:rsid w:val="00F34137"/>
    <w:rsid w:val="00F37625"/>
    <w:rsid w:val="00F415DF"/>
    <w:rsid w:val="00F45969"/>
    <w:rsid w:val="00F53D90"/>
    <w:rsid w:val="00F551D5"/>
    <w:rsid w:val="00F558B0"/>
    <w:rsid w:val="00F56A1E"/>
    <w:rsid w:val="00F61ECB"/>
    <w:rsid w:val="00F67D7A"/>
    <w:rsid w:val="00F73228"/>
    <w:rsid w:val="00F73CF2"/>
    <w:rsid w:val="00F8591F"/>
    <w:rsid w:val="00F87674"/>
    <w:rsid w:val="00F87BD3"/>
    <w:rsid w:val="00F93FC9"/>
    <w:rsid w:val="00F94061"/>
    <w:rsid w:val="00F946CA"/>
    <w:rsid w:val="00FB1482"/>
    <w:rsid w:val="00FB28D2"/>
    <w:rsid w:val="00FB2996"/>
    <w:rsid w:val="00FB3DCF"/>
    <w:rsid w:val="00FB61FB"/>
    <w:rsid w:val="00FC05A6"/>
    <w:rsid w:val="00FC33ED"/>
    <w:rsid w:val="00FC4976"/>
    <w:rsid w:val="00FC4D5C"/>
    <w:rsid w:val="00FD0B43"/>
    <w:rsid w:val="00FD13F9"/>
    <w:rsid w:val="00FD3EBC"/>
    <w:rsid w:val="00FD62ED"/>
    <w:rsid w:val="00FD6F22"/>
    <w:rsid w:val="00FE046E"/>
    <w:rsid w:val="00FE08FC"/>
    <w:rsid w:val="00FE4A3C"/>
    <w:rsid w:val="00FF3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D6DA3D"/>
  <w15:docId w15:val="{9211E34F-86E3-48FF-8A21-DB7249AC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iPriority="9" w:unhideWhenUsed="1"/>
    <w:lsdException w:name="heading 5" w:semiHidden="1" w:uiPriority="9"/>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iPriority="19" w:unhideWhenUsed="1"/>
    <w:lsdException w:name="envelope return" w:semiHidden="1" w:uiPriority="19"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nhideWhenUsed="1"/>
    <w:lsdException w:name="macro" w:semiHidden="1" w:unhideWhenUsed="1"/>
    <w:lsdException w:name="toa heading" w:semiHidden="1" w:unhideWhenUsed="1"/>
    <w:lsdException w:name="List" w:semiHidden="1" w:uiPriority="29" w:unhideWhenUsed="1"/>
    <w:lsdException w:name="List Bullet" w:semiHidden="1" w:uiPriority="4" w:unhideWhenUsed="1" w:qFormat="1"/>
    <w:lsdException w:name="List Number" w:uiPriority="4" w:qFormat="1"/>
    <w:lsdException w:name="List 2" w:semiHidden="1" w:uiPriority="29" w:unhideWhenUsed="1"/>
    <w:lsdException w:name="List 3" w:semiHidden="1" w:uiPriority="29" w:unhideWhenUsed="1"/>
    <w:lsdException w:name="List 4" w:uiPriority="29"/>
    <w:lsdException w:name="List 5" w:uiPriority="29"/>
    <w:lsdException w:name="List Bullet 2" w:semiHidden="1" w:uiPriority="4" w:unhideWhenUsed="1" w:qFormat="1"/>
    <w:lsdException w:name="List Bullet 3" w:semiHidden="1" w:uiPriority="4" w:unhideWhenUsed="1" w:qFormat="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uiPriority="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9" w:unhideWhenUsed="1"/>
    <w:lsdException w:name="Emphasis" w:uiPriority="19"/>
    <w:lsdException w:name="Document Map" w:semiHidden="1" w:uiPriority="19" w:unhideWhenUsed="1"/>
    <w:lsdException w:name="Plain Text" w:semiHidden="1"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5F19"/>
    <w:pPr>
      <w:spacing w:after="180" w:line="260" w:lineRule="exact"/>
      <w:ind w:left="2160"/>
      <w:jc w:val="both"/>
    </w:pPr>
    <w:rPr>
      <w:rFonts w:ascii="Arial" w:hAnsi="Arial"/>
      <w:color w:val="373737"/>
      <w:sz w:val="20"/>
    </w:rPr>
  </w:style>
  <w:style w:type="paragraph" w:styleId="Heading1">
    <w:name w:val="heading 1"/>
    <w:basedOn w:val="Normal"/>
    <w:next w:val="BodyText"/>
    <w:link w:val="Heading1Char"/>
    <w:qFormat/>
    <w:rsid w:val="002C7B38"/>
    <w:pPr>
      <w:keepNext/>
      <w:numPr>
        <w:numId w:val="13"/>
      </w:numPr>
      <w:spacing w:before="300" w:line="280" w:lineRule="atLeast"/>
      <w:ind w:left="3402"/>
      <w:jc w:val="left"/>
      <w:outlineLvl w:val="0"/>
    </w:pPr>
    <w:rPr>
      <w:rFonts w:asciiTheme="majorHAnsi" w:eastAsia="Times New Roman" w:hAnsiTheme="majorHAnsi" w:cs="Arial"/>
      <w:b/>
      <w:bCs/>
      <w:color w:val="005CAF"/>
      <w:kern w:val="32"/>
      <w:sz w:val="32"/>
      <w:szCs w:val="32"/>
    </w:rPr>
  </w:style>
  <w:style w:type="paragraph" w:styleId="Heading2">
    <w:name w:val="heading 2"/>
    <w:basedOn w:val="Heading1"/>
    <w:next w:val="BodyText"/>
    <w:link w:val="Heading2Char"/>
    <w:qFormat/>
    <w:rsid w:val="0051079B"/>
    <w:pPr>
      <w:numPr>
        <w:ilvl w:val="1"/>
      </w:numPr>
      <w:ind w:left="3402"/>
      <w:outlineLvl w:val="1"/>
    </w:pPr>
    <w:rPr>
      <w:bCs w:val="0"/>
      <w:iCs/>
      <w:color w:val="56B4DF"/>
      <w:sz w:val="22"/>
      <w:szCs w:val="28"/>
    </w:rPr>
  </w:style>
  <w:style w:type="paragraph" w:styleId="Heading3">
    <w:name w:val="heading 3"/>
    <w:basedOn w:val="BodyText"/>
    <w:next w:val="BodyText"/>
    <w:link w:val="Heading3Char"/>
    <w:qFormat/>
    <w:rsid w:val="002C7B38"/>
    <w:pPr>
      <w:keepNext/>
      <w:numPr>
        <w:ilvl w:val="2"/>
        <w:numId w:val="13"/>
      </w:numPr>
      <w:spacing w:before="300" w:line="280" w:lineRule="atLeast"/>
      <w:jc w:val="left"/>
      <w:outlineLvl w:val="2"/>
    </w:pPr>
    <w:rPr>
      <w:rFonts w:asciiTheme="majorHAnsi" w:eastAsia="Times New Roman" w:hAnsiTheme="majorHAnsi" w:cs="Arial"/>
      <w:bCs/>
      <w:color w:val="005CAF"/>
      <w:sz w:val="22"/>
    </w:rPr>
  </w:style>
  <w:style w:type="paragraph" w:styleId="Heading4">
    <w:name w:val="heading 4"/>
    <w:basedOn w:val="BodyText"/>
    <w:next w:val="BodyText"/>
    <w:link w:val="Heading4Char"/>
    <w:uiPriority w:val="9"/>
    <w:unhideWhenUsed/>
    <w:rsid w:val="009F2590"/>
    <w:pPr>
      <w:keepNext/>
      <w:keepLines/>
      <w:spacing w:before="200" w:after="0"/>
      <w:outlineLvl w:val="3"/>
    </w:pPr>
    <w:rPr>
      <w:rFonts w:asciiTheme="majorHAnsi" w:eastAsiaTheme="majorEastAsia" w:hAnsiTheme="majorHAnsi" w:cstheme="majorBidi"/>
      <w:b/>
      <w:bCs/>
      <w:i/>
      <w:iCs/>
      <w:color w:val="auto"/>
    </w:rPr>
  </w:style>
  <w:style w:type="paragraph" w:styleId="Heading6">
    <w:name w:val="heading 6"/>
    <w:basedOn w:val="Normal"/>
    <w:next w:val="BodyText"/>
    <w:link w:val="Heading6Char"/>
    <w:uiPriority w:val="1"/>
    <w:qFormat/>
    <w:rsid w:val="002C7B38"/>
    <w:pPr>
      <w:keepNext/>
      <w:pageBreakBefore/>
      <w:numPr>
        <w:ilvl w:val="5"/>
        <w:numId w:val="13"/>
      </w:numPr>
      <w:spacing w:before="300" w:line="280" w:lineRule="atLeast"/>
      <w:jc w:val="left"/>
      <w:outlineLvl w:val="5"/>
    </w:pPr>
    <w:rPr>
      <w:rFonts w:asciiTheme="majorHAnsi" w:eastAsiaTheme="majorEastAsia" w:hAnsiTheme="majorHAnsi" w:cstheme="majorBidi"/>
      <w:b/>
      <w:iCs/>
      <w:color w:val="005CAF"/>
      <w:sz w:val="32"/>
    </w:rPr>
  </w:style>
  <w:style w:type="paragraph" w:styleId="Heading7">
    <w:name w:val="heading 7"/>
    <w:basedOn w:val="Normal"/>
    <w:next w:val="BodyText"/>
    <w:link w:val="Heading7Char"/>
    <w:uiPriority w:val="1"/>
    <w:qFormat/>
    <w:rsid w:val="002C7B38"/>
    <w:pPr>
      <w:keepNext/>
      <w:keepLines/>
      <w:numPr>
        <w:ilvl w:val="6"/>
        <w:numId w:val="13"/>
      </w:numPr>
      <w:spacing w:before="300" w:line="280" w:lineRule="atLeast"/>
      <w:jc w:val="left"/>
      <w:outlineLvl w:val="6"/>
    </w:pPr>
    <w:rPr>
      <w:rFonts w:asciiTheme="majorHAnsi" w:eastAsiaTheme="majorEastAsia" w:hAnsiTheme="majorHAnsi" w:cstheme="majorBidi"/>
      <w:b/>
      <w:iCs/>
      <w:color w:val="56B4DF"/>
      <w:sz w:val="22"/>
    </w:rPr>
  </w:style>
  <w:style w:type="paragraph" w:styleId="Heading8">
    <w:name w:val="heading 8"/>
    <w:basedOn w:val="Normal"/>
    <w:next w:val="BodyText"/>
    <w:link w:val="Heading8Char"/>
    <w:uiPriority w:val="1"/>
    <w:qFormat/>
    <w:rsid w:val="002C7B38"/>
    <w:pPr>
      <w:keepNext/>
      <w:keepLines/>
      <w:numPr>
        <w:ilvl w:val="7"/>
        <w:numId w:val="10"/>
      </w:numPr>
      <w:spacing w:before="300"/>
      <w:jc w:val="left"/>
      <w:outlineLvl w:val="7"/>
    </w:pPr>
    <w:rPr>
      <w:rFonts w:asciiTheme="majorHAnsi" w:eastAsiaTheme="majorEastAsia" w:hAnsiTheme="majorHAnsi" w:cstheme="majorBidi"/>
      <w:color w:val="005CA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ontemporary">
    <w:name w:val="Table Contemporary"/>
    <w:basedOn w:val="TableNormal"/>
    <w:rsid w:val="009F2590"/>
    <w:rPr>
      <w:rFonts w:eastAsia="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Bullet2">
    <w:name w:val="Bullet 2"/>
    <w:basedOn w:val="Normal"/>
    <w:semiHidden/>
    <w:rsid w:val="008F3372"/>
    <w:pPr>
      <w:numPr>
        <w:numId w:val="1"/>
      </w:numPr>
      <w:tabs>
        <w:tab w:val="clear" w:pos="1418"/>
        <w:tab w:val="num" w:pos="360"/>
      </w:tabs>
      <w:spacing w:before="100" w:line="312" w:lineRule="auto"/>
      <w:ind w:left="2160" w:firstLine="0"/>
    </w:pPr>
    <w:rPr>
      <w:rFonts w:eastAsia="Times New Roman"/>
      <w:lang w:eastAsia="en-AU"/>
    </w:rPr>
  </w:style>
  <w:style w:type="character" w:customStyle="1" w:styleId="Heading1Char">
    <w:name w:val="Heading 1 Char"/>
    <w:basedOn w:val="DefaultParagraphFont"/>
    <w:link w:val="Heading1"/>
    <w:rsid w:val="0051079B"/>
    <w:rPr>
      <w:rFonts w:asciiTheme="majorHAnsi" w:eastAsia="Times New Roman" w:hAnsiTheme="majorHAnsi" w:cs="Arial"/>
      <w:b/>
      <w:bCs/>
      <w:color w:val="005CAF"/>
      <w:kern w:val="32"/>
      <w:sz w:val="32"/>
      <w:szCs w:val="32"/>
    </w:rPr>
  </w:style>
  <w:style w:type="character" w:customStyle="1" w:styleId="Heading2Char">
    <w:name w:val="Heading 2 Char"/>
    <w:basedOn w:val="DefaultParagraphFont"/>
    <w:link w:val="Heading2"/>
    <w:rsid w:val="0051079B"/>
    <w:rPr>
      <w:rFonts w:asciiTheme="majorHAnsi" w:eastAsia="Times New Roman" w:hAnsiTheme="majorHAnsi" w:cs="Arial"/>
      <w:b/>
      <w:iCs/>
      <w:color w:val="56B4DF"/>
      <w:kern w:val="32"/>
      <w:szCs w:val="28"/>
    </w:rPr>
  </w:style>
  <w:style w:type="character" w:customStyle="1" w:styleId="Heading3Char">
    <w:name w:val="Heading 3 Char"/>
    <w:basedOn w:val="DefaultParagraphFont"/>
    <w:link w:val="Heading3"/>
    <w:rsid w:val="0051079B"/>
    <w:rPr>
      <w:rFonts w:asciiTheme="majorHAnsi" w:eastAsia="Times New Roman" w:hAnsiTheme="majorHAnsi" w:cs="Arial"/>
      <w:bCs/>
      <w:color w:val="005CAF"/>
    </w:rPr>
  </w:style>
  <w:style w:type="paragraph" w:styleId="TOC1">
    <w:name w:val="toc 1"/>
    <w:basedOn w:val="Normal"/>
    <w:next w:val="Normal"/>
    <w:autoRedefine/>
    <w:uiPriority w:val="39"/>
    <w:rsid w:val="009F2590"/>
    <w:pPr>
      <w:tabs>
        <w:tab w:val="right" w:pos="8931"/>
      </w:tabs>
      <w:spacing w:before="240" w:after="120"/>
      <w:ind w:left="1276" w:right="804" w:hanging="567"/>
    </w:pPr>
    <w:rPr>
      <w:rFonts w:eastAsia="Times New Roman"/>
      <w:b/>
      <w:noProof/>
      <w:szCs w:val="24"/>
    </w:rPr>
  </w:style>
  <w:style w:type="paragraph" w:styleId="FootnoteText">
    <w:name w:val="footnote text"/>
    <w:basedOn w:val="Normal"/>
    <w:link w:val="FootnoteTextChar"/>
    <w:uiPriority w:val="19"/>
    <w:rsid w:val="00267246"/>
    <w:pPr>
      <w:ind w:left="108" w:hanging="108"/>
    </w:pPr>
    <w:rPr>
      <w:rFonts w:eastAsia="Times New Roman"/>
      <w:sz w:val="16"/>
    </w:rPr>
  </w:style>
  <w:style w:type="character" w:customStyle="1" w:styleId="FootnoteTextChar">
    <w:name w:val="Footnote Text Char"/>
    <w:basedOn w:val="DefaultParagraphFont"/>
    <w:link w:val="FootnoteText"/>
    <w:uiPriority w:val="19"/>
    <w:rsid w:val="00267246"/>
    <w:rPr>
      <w:rFonts w:ascii="Arial" w:eastAsia="Times New Roman" w:hAnsi="Arial"/>
      <w:color w:val="373737"/>
      <w:sz w:val="16"/>
    </w:rPr>
  </w:style>
  <w:style w:type="paragraph" w:styleId="Footer">
    <w:name w:val="footer"/>
    <w:basedOn w:val="Normal"/>
    <w:link w:val="FooterChar"/>
    <w:uiPriority w:val="99"/>
    <w:rsid w:val="00E35ECE"/>
    <w:pPr>
      <w:tabs>
        <w:tab w:val="right" w:pos="9680"/>
      </w:tabs>
      <w:ind w:left="0"/>
    </w:pPr>
    <w:rPr>
      <w:rFonts w:eastAsia="Times New Roman"/>
      <w:sz w:val="16"/>
      <w:szCs w:val="16"/>
    </w:rPr>
  </w:style>
  <w:style w:type="character" w:customStyle="1" w:styleId="FooterChar">
    <w:name w:val="Footer Char"/>
    <w:basedOn w:val="DefaultParagraphFont"/>
    <w:link w:val="Footer"/>
    <w:uiPriority w:val="99"/>
    <w:rsid w:val="00E35ECE"/>
    <w:rPr>
      <w:rFonts w:ascii="Arial" w:eastAsia="Times New Roman" w:hAnsi="Arial"/>
      <w:color w:val="595A5B"/>
      <w:sz w:val="16"/>
      <w:szCs w:val="16"/>
    </w:rPr>
  </w:style>
  <w:style w:type="paragraph" w:styleId="TableofFigures">
    <w:name w:val="table of figures"/>
    <w:basedOn w:val="Normal"/>
    <w:next w:val="Normal"/>
    <w:uiPriority w:val="99"/>
    <w:rsid w:val="009F2590"/>
    <w:pPr>
      <w:tabs>
        <w:tab w:val="right" w:pos="8930"/>
      </w:tabs>
      <w:ind w:left="1134" w:right="804" w:hanging="440"/>
      <w:jc w:val="left"/>
    </w:pPr>
    <w:rPr>
      <w:rFonts w:asciiTheme="minorHAnsi" w:eastAsia="Times New Roman" w:hAnsiTheme="minorHAnsi"/>
      <w:b/>
      <w:bCs/>
      <w:noProof/>
      <w:lang w:val="en-US"/>
    </w:rPr>
  </w:style>
  <w:style w:type="character" w:styleId="FootnoteReference">
    <w:name w:val="footnote reference"/>
    <w:basedOn w:val="DefaultParagraphFont"/>
    <w:uiPriority w:val="19"/>
    <w:rsid w:val="009F2590"/>
    <w:rPr>
      <w:vertAlign w:val="superscript"/>
    </w:rPr>
  </w:style>
  <w:style w:type="character" w:styleId="PageNumber">
    <w:name w:val="page number"/>
    <w:rsid w:val="009F2590"/>
    <w:rPr>
      <w:rFonts w:ascii="Arial" w:hAnsi="Arial"/>
      <w:sz w:val="18"/>
    </w:rPr>
  </w:style>
  <w:style w:type="paragraph" w:styleId="BodyText">
    <w:name w:val="Body Text"/>
    <w:link w:val="BodyTextChar"/>
    <w:qFormat/>
    <w:rsid w:val="0051079B"/>
    <w:pPr>
      <w:spacing w:after="180" w:line="270" w:lineRule="exact"/>
      <w:jc w:val="both"/>
    </w:pPr>
    <w:rPr>
      <w:color w:val="373737"/>
      <w:sz w:val="20"/>
    </w:rPr>
  </w:style>
  <w:style w:type="character" w:customStyle="1" w:styleId="BodyTextChar">
    <w:name w:val="Body Text Char"/>
    <w:basedOn w:val="DefaultParagraphFont"/>
    <w:link w:val="BodyText"/>
    <w:rsid w:val="0051079B"/>
    <w:rPr>
      <w:color w:val="373737"/>
      <w:sz w:val="20"/>
    </w:rPr>
  </w:style>
  <w:style w:type="paragraph" w:styleId="Subtitle">
    <w:name w:val="Subtitle"/>
    <w:basedOn w:val="Normal"/>
    <w:next w:val="Normal"/>
    <w:link w:val="SubtitleChar"/>
    <w:rsid w:val="009F2590"/>
    <w:pPr>
      <w:numPr>
        <w:ilvl w:val="1"/>
      </w:numPr>
      <w:ind w:left="2160"/>
    </w:pPr>
    <w:rPr>
      <w:rFonts w:asciiTheme="majorHAnsi" w:eastAsiaTheme="majorEastAsia" w:hAnsiTheme="majorHAnsi" w:cstheme="majorBidi"/>
      <w:i/>
      <w:iCs/>
      <w:color w:val="005CAF" w:themeColor="accent1"/>
      <w:spacing w:val="15"/>
      <w:sz w:val="24"/>
      <w:szCs w:val="24"/>
    </w:rPr>
  </w:style>
  <w:style w:type="character" w:customStyle="1" w:styleId="SubtitleChar">
    <w:name w:val="Subtitle Char"/>
    <w:basedOn w:val="DefaultParagraphFont"/>
    <w:link w:val="Subtitle"/>
    <w:rsid w:val="009F2590"/>
    <w:rPr>
      <w:rFonts w:asciiTheme="majorHAnsi" w:eastAsiaTheme="majorEastAsia" w:hAnsiTheme="majorHAnsi" w:cstheme="majorBidi"/>
      <w:i/>
      <w:iCs/>
      <w:color w:val="005CAF" w:themeColor="accent1"/>
      <w:spacing w:val="15"/>
      <w:sz w:val="24"/>
      <w:szCs w:val="24"/>
    </w:rPr>
  </w:style>
  <w:style w:type="character" w:styleId="Hyperlink">
    <w:name w:val="Hyperlink"/>
    <w:rsid w:val="00F07260"/>
    <w:rPr>
      <w:color w:val="005CAF"/>
      <w:u w:val="none"/>
    </w:rPr>
  </w:style>
  <w:style w:type="table" w:styleId="Table3Deffects1">
    <w:name w:val="Table 3D effects 1"/>
    <w:basedOn w:val="TableNormal"/>
    <w:rsid w:val="009F2590"/>
    <w:rPr>
      <w:rFonts w:eastAsia="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rsid w:val="009F2590"/>
    <w:rPr>
      <w:rFonts w:ascii="Tahoma" w:eastAsia="Times New Roman" w:hAnsi="Tahoma" w:cs="Tahoma"/>
      <w:sz w:val="16"/>
      <w:szCs w:val="16"/>
    </w:rPr>
  </w:style>
  <w:style w:type="character" w:customStyle="1" w:styleId="BalloonTextChar">
    <w:name w:val="Balloon Text Char"/>
    <w:basedOn w:val="DefaultParagraphFont"/>
    <w:link w:val="BalloonText"/>
    <w:rsid w:val="009F2590"/>
    <w:rPr>
      <w:rFonts w:ascii="Tahoma" w:eastAsia="Times New Roman" w:hAnsi="Tahoma" w:cs="Tahoma"/>
      <w:color w:val="595A5B"/>
      <w:sz w:val="16"/>
      <w:szCs w:val="16"/>
    </w:rPr>
  </w:style>
  <w:style w:type="table" w:styleId="TableGrid">
    <w:name w:val="Table Grid"/>
    <w:basedOn w:val="TableNormal"/>
    <w:uiPriority w:val="59"/>
    <w:rsid w:val="009F2590"/>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372"/>
    <w:rPr>
      <w:color w:val="808080"/>
    </w:rPr>
  </w:style>
  <w:style w:type="table" w:styleId="MediumGrid3-Accent1">
    <w:name w:val="Medium Grid 3 Accent 1"/>
    <w:basedOn w:val="TableNormal"/>
    <w:uiPriority w:val="69"/>
    <w:rsid w:val="009F2590"/>
    <w:rPr>
      <w:rFonts w:eastAsia="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D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A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A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A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8A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8AFFF" w:themeFill="accent1" w:themeFillTint="7F"/>
      </w:tcPr>
    </w:tblStylePr>
  </w:style>
  <w:style w:type="table" w:styleId="ColorfulGrid-Accent1">
    <w:name w:val="Colorful Grid Accent 1"/>
    <w:basedOn w:val="TableNormal"/>
    <w:uiPriority w:val="73"/>
    <w:rsid w:val="009F2590"/>
    <w:rPr>
      <w:rFonts w:eastAsia="Times New Roman"/>
      <w:color w:val="373737" w:themeColor="text1"/>
      <w:lang w:eastAsia="en-AU"/>
    </w:rPr>
    <w:tblPr>
      <w:tblStyleRowBandSize w:val="1"/>
      <w:tblStyleColBandSize w:val="1"/>
      <w:tblBorders>
        <w:insideH w:val="single" w:sz="4" w:space="0" w:color="FFFFFF" w:themeColor="background1"/>
      </w:tblBorders>
    </w:tblPr>
    <w:tcPr>
      <w:shd w:val="clear" w:color="auto" w:fill="BCDFFF" w:themeFill="accent1" w:themeFillTint="33"/>
    </w:tcPr>
    <w:tblStylePr w:type="firstRow">
      <w:rPr>
        <w:b/>
        <w:bCs/>
      </w:rPr>
      <w:tblPr/>
      <w:tcPr>
        <w:shd w:val="clear" w:color="auto" w:fill="79BFFF" w:themeFill="accent1" w:themeFillTint="66"/>
      </w:tcPr>
    </w:tblStylePr>
    <w:tblStylePr w:type="lastRow">
      <w:rPr>
        <w:b/>
        <w:bCs/>
        <w:color w:val="373737" w:themeColor="text1"/>
      </w:rPr>
      <w:tblPr/>
      <w:tcPr>
        <w:shd w:val="clear" w:color="auto" w:fill="79BFFF" w:themeFill="accent1" w:themeFillTint="66"/>
      </w:tcPr>
    </w:tblStylePr>
    <w:tblStylePr w:type="firstCol">
      <w:rPr>
        <w:color w:val="FFFFFF" w:themeColor="background1"/>
      </w:rPr>
      <w:tblPr/>
      <w:tcPr>
        <w:shd w:val="clear" w:color="auto" w:fill="004483" w:themeFill="accent1" w:themeFillShade="BF"/>
      </w:tcPr>
    </w:tblStylePr>
    <w:tblStylePr w:type="lastCol">
      <w:rPr>
        <w:color w:val="FFFFFF" w:themeColor="background1"/>
      </w:rPr>
      <w:tblPr/>
      <w:tcPr>
        <w:shd w:val="clear" w:color="auto" w:fill="004483" w:themeFill="accent1" w:themeFillShade="BF"/>
      </w:tcPr>
    </w:tblStylePr>
    <w:tblStylePr w:type="band1Vert">
      <w:tblPr/>
      <w:tcPr>
        <w:shd w:val="clear" w:color="auto" w:fill="58AFFF" w:themeFill="accent1" w:themeFillTint="7F"/>
      </w:tcPr>
    </w:tblStylePr>
    <w:tblStylePr w:type="band1Horz">
      <w:tblPr/>
      <w:tcPr>
        <w:shd w:val="clear" w:color="auto" w:fill="58AFFF" w:themeFill="accent1" w:themeFillTint="7F"/>
      </w:tcPr>
    </w:tblStylePr>
  </w:style>
  <w:style w:type="character" w:styleId="IntenseEmphasis">
    <w:name w:val="Intense Emphasis"/>
    <w:basedOn w:val="DefaultParagraphFont"/>
    <w:uiPriority w:val="21"/>
    <w:rsid w:val="009F2590"/>
    <w:rPr>
      <w:b/>
      <w:bCs/>
      <w:i/>
      <w:iCs/>
      <w:color w:val="005CAF" w:themeColor="accent1"/>
    </w:rPr>
  </w:style>
  <w:style w:type="paragraph" w:styleId="Bibliography">
    <w:name w:val="Bibliography"/>
    <w:basedOn w:val="Normal"/>
    <w:next w:val="Normal"/>
    <w:uiPriority w:val="37"/>
    <w:unhideWhenUsed/>
    <w:rsid w:val="009F2590"/>
    <w:rPr>
      <w:rFonts w:eastAsia="Times New Roman"/>
    </w:rPr>
  </w:style>
  <w:style w:type="paragraph" w:styleId="TOCHeading">
    <w:name w:val="TOC Heading"/>
    <w:basedOn w:val="Heading1"/>
    <w:next w:val="Normal"/>
    <w:uiPriority w:val="39"/>
    <w:semiHidden/>
    <w:unhideWhenUsed/>
    <w:qFormat/>
    <w:rsid w:val="008F3372"/>
    <w:pPr>
      <w:keepLines/>
      <w:spacing w:before="480" w:after="0" w:line="276" w:lineRule="auto"/>
      <w:outlineLvl w:val="9"/>
    </w:pPr>
    <w:rPr>
      <w:rFonts w:eastAsiaTheme="majorEastAsia" w:cstheme="majorBidi"/>
      <w:color w:val="004483" w:themeColor="accent1" w:themeShade="BF"/>
      <w:kern w:val="0"/>
      <w:sz w:val="28"/>
      <w:szCs w:val="28"/>
      <w:lang w:eastAsia="ja-JP"/>
    </w:rPr>
  </w:style>
  <w:style w:type="table" w:styleId="Table3Deffects2">
    <w:name w:val="Table 3D effects 2"/>
    <w:basedOn w:val="TableNormal"/>
    <w:rsid w:val="009F2590"/>
    <w:rPr>
      <w:rFonts w:eastAsia="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OCEHeadings">
    <w:name w:val="OCE Headings"/>
    <w:uiPriority w:val="99"/>
    <w:rsid w:val="0001161C"/>
    <w:pPr>
      <w:numPr>
        <w:numId w:val="3"/>
      </w:numPr>
    </w:pPr>
  </w:style>
  <w:style w:type="character" w:customStyle="1" w:styleId="Heading4Char">
    <w:name w:val="Heading 4 Char"/>
    <w:basedOn w:val="DefaultParagraphFont"/>
    <w:link w:val="Heading4"/>
    <w:uiPriority w:val="9"/>
    <w:rsid w:val="009F2590"/>
    <w:rPr>
      <w:rFonts w:asciiTheme="majorHAnsi" w:eastAsiaTheme="majorEastAsia" w:hAnsiTheme="majorHAnsi" w:cstheme="majorBidi"/>
      <w:b/>
      <w:bCs/>
      <w:i/>
      <w:iCs/>
      <w:sz w:val="20"/>
    </w:rPr>
  </w:style>
  <w:style w:type="character" w:customStyle="1" w:styleId="Heading6Char">
    <w:name w:val="Heading 6 Char"/>
    <w:basedOn w:val="DefaultParagraphFont"/>
    <w:link w:val="Heading6"/>
    <w:uiPriority w:val="1"/>
    <w:rsid w:val="002C7B38"/>
    <w:rPr>
      <w:rFonts w:asciiTheme="majorHAnsi" w:eastAsiaTheme="majorEastAsia" w:hAnsiTheme="majorHAnsi" w:cstheme="majorBidi"/>
      <w:b/>
      <w:iCs/>
      <w:color w:val="005CAF"/>
      <w:sz w:val="32"/>
    </w:rPr>
  </w:style>
  <w:style w:type="paragraph" w:styleId="ListParagraph">
    <w:name w:val="List Paragraph"/>
    <w:basedOn w:val="ListBullet"/>
    <w:link w:val="ListParagraphChar"/>
    <w:uiPriority w:val="34"/>
    <w:rsid w:val="009F2590"/>
    <w:rPr>
      <w:lang w:val="en"/>
    </w:rPr>
  </w:style>
  <w:style w:type="character" w:customStyle="1" w:styleId="ListParagraphChar">
    <w:name w:val="List Paragraph Char"/>
    <w:basedOn w:val="DefaultParagraphFont"/>
    <w:link w:val="ListParagraph"/>
    <w:uiPriority w:val="34"/>
    <w:rsid w:val="009F2590"/>
    <w:rPr>
      <w:color w:val="373737"/>
      <w:sz w:val="20"/>
      <w:lang w:val="en"/>
    </w:rPr>
  </w:style>
  <w:style w:type="numbering" w:customStyle="1" w:styleId="OCEBulletedList">
    <w:name w:val="OCE Bulleted List"/>
    <w:uiPriority w:val="99"/>
    <w:rsid w:val="000B2DFC"/>
    <w:pPr>
      <w:numPr>
        <w:numId w:val="4"/>
      </w:numPr>
    </w:pPr>
  </w:style>
  <w:style w:type="paragraph" w:styleId="ListBullet">
    <w:name w:val="List Bullet"/>
    <w:basedOn w:val="BodyText"/>
    <w:uiPriority w:val="4"/>
    <w:qFormat/>
    <w:rsid w:val="000B2DFC"/>
    <w:pPr>
      <w:numPr>
        <w:numId w:val="14"/>
      </w:numPr>
      <w:spacing w:after="120"/>
    </w:pPr>
  </w:style>
  <w:style w:type="paragraph" w:styleId="ListContinue2">
    <w:name w:val="List Continue 2"/>
    <w:basedOn w:val="Normal"/>
    <w:rsid w:val="009F2590"/>
    <w:pPr>
      <w:spacing w:after="120"/>
      <w:ind w:left="566"/>
      <w:contextualSpacing/>
    </w:pPr>
  </w:style>
  <w:style w:type="paragraph" w:styleId="ListBullet2">
    <w:name w:val="List Bullet 2"/>
    <w:basedOn w:val="ListBullet"/>
    <w:uiPriority w:val="4"/>
    <w:qFormat/>
    <w:rsid w:val="00D77D5B"/>
    <w:pPr>
      <w:numPr>
        <w:ilvl w:val="1"/>
      </w:numPr>
      <w:ind w:left="709"/>
    </w:pPr>
  </w:style>
  <w:style w:type="paragraph" w:styleId="ListBullet4">
    <w:name w:val="List Bullet 4"/>
    <w:basedOn w:val="ListBullet3"/>
    <w:rsid w:val="00E12B1D"/>
    <w:pPr>
      <w:numPr>
        <w:ilvl w:val="3"/>
      </w:numPr>
    </w:pPr>
  </w:style>
  <w:style w:type="paragraph" w:styleId="ListBullet3">
    <w:name w:val="List Bullet 3"/>
    <w:basedOn w:val="ListBullet2"/>
    <w:uiPriority w:val="4"/>
    <w:qFormat/>
    <w:rsid w:val="00E2785A"/>
    <w:pPr>
      <w:numPr>
        <w:ilvl w:val="2"/>
      </w:numPr>
    </w:pPr>
  </w:style>
  <w:style w:type="paragraph" w:styleId="ListNumber">
    <w:name w:val="List Number"/>
    <w:basedOn w:val="Normal"/>
    <w:uiPriority w:val="4"/>
    <w:qFormat/>
    <w:rsid w:val="004C7203"/>
    <w:pPr>
      <w:numPr>
        <w:numId w:val="11"/>
      </w:numPr>
      <w:spacing w:after="120"/>
    </w:pPr>
  </w:style>
  <w:style w:type="paragraph" w:styleId="ListNumber2">
    <w:name w:val="List Number 2"/>
    <w:basedOn w:val="ListNumber"/>
    <w:uiPriority w:val="4"/>
    <w:qFormat/>
    <w:rsid w:val="00070749"/>
    <w:pPr>
      <w:numPr>
        <w:ilvl w:val="1"/>
      </w:numPr>
    </w:pPr>
  </w:style>
  <w:style w:type="paragraph" w:styleId="ListNumber3">
    <w:name w:val="List Number 3"/>
    <w:basedOn w:val="ListNumber2"/>
    <w:uiPriority w:val="4"/>
    <w:qFormat/>
    <w:rsid w:val="00070749"/>
    <w:pPr>
      <w:numPr>
        <w:ilvl w:val="2"/>
      </w:numPr>
    </w:pPr>
  </w:style>
  <w:style w:type="character" w:customStyle="1" w:styleId="Heading7Char">
    <w:name w:val="Heading 7 Char"/>
    <w:basedOn w:val="DefaultParagraphFont"/>
    <w:link w:val="Heading7"/>
    <w:uiPriority w:val="1"/>
    <w:rsid w:val="002C7B38"/>
    <w:rPr>
      <w:rFonts w:asciiTheme="majorHAnsi" w:eastAsiaTheme="majorEastAsia" w:hAnsiTheme="majorHAnsi" w:cstheme="majorBidi"/>
      <w:b/>
      <w:iCs/>
      <w:color w:val="56B4DF"/>
    </w:rPr>
  </w:style>
  <w:style w:type="paragraph" w:styleId="BodyTextFirstIndent">
    <w:name w:val="Body Text First Indent"/>
    <w:basedOn w:val="BodyText"/>
    <w:link w:val="BodyTextFirstIndentChar"/>
    <w:semiHidden/>
    <w:rsid w:val="008F3372"/>
    <w:pPr>
      <w:ind w:firstLine="360"/>
    </w:pPr>
    <w:rPr>
      <w:rFonts w:ascii="Arial" w:hAnsi="Arial"/>
    </w:rPr>
  </w:style>
  <w:style w:type="character" w:customStyle="1" w:styleId="BodyTextFirstIndentChar">
    <w:name w:val="Body Text First Indent Char"/>
    <w:basedOn w:val="BodyTextChar"/>
    <w:link w:val="BodyTextFirstIndent"/>
    <w:semiHidden/>
    <w:rsid w:val="008F3372"/>
    <w:rPr>
      <w:rFonts w:ascii="Arial" w:hAnsi="Arial"/>
      <w:color w:val="595A5B"/>
      <w:sz w:val="20"/>
    </w:rPr>
  </w:style>
  <w:style w:type="paragraph" w:styleId="BodyTextIndent">
    <w:name w:val="Body Text Indent"/>
    <w:basedOn w:val="Normal"/>
    <w:link w:val="BodyTextIndentChar"/>
    <w:semiHidden/>
    <w:unhideWhenUsed/>
    <w:rsid w:val="008F3372"/>
    <w:pPr>
      <w:spacing w:after="120"/>
      <w:ind w:left="283"/>
    </w:pPr>
  </w:style>
  <w:style w:type="character" w:customStyle="1" w:styleId="BodyTextIndentChar">
    <w:name w:val="Body Text Indent Char"/>
    <w:basedOn w:val="DefaultParagraphFont"/>
    <w:link w:val="BodyTextIndent"/>
    <w:semiHidden/>
    <w:rsid w:val="008F3372"/>
    <w:rPr>
      <w:rFonts w:ascii="Arial" w:hAnsi="Arial"/>
      <w:color w:val="595A5B"/>
      <w:sz w:val="20"/>
    </w:rPr>
  </w:style>
  <w:style w:type="paragraph" w:styleId="BodyTextFirstIndent2">
    <w:name w:val="Body Text First Indent 2"/>
    <w:basedOn w:val="BodyTextIndent"/>
    <w:link w:val="BodyTextFirstIndent2Char"/>
    <w:semiHidden/>
    <w:rsid w:val="008F3372"/>
    <w:pPr>
      <w:spacing w:after="180"/>
      <w:ind w:left="360" w:firstLine="360"/>
    </w:pPr>
  </w:style>
  <w:style w:type="character" w:customStyle="1" w:styleId="BodyTextFirstIndent2Char">
    <w:name w:val="Body Text First Indent 2 Char"/>
    <w:basedOn w:val="BodyTextIndentChar"/>
    <w:link w:val="BodyTextFirstIndent2"/>
    <w:semiHidden/>
    <w:rsid w:val="008F3372"/>
    <w:rPr>
      <w:rFonts w:ascii="Arial" w:hAnsi="Arial"/>
      <w:color w:val="595A5B"/>
      <w:sz w:val="20"/>
    </w:rPr>
  </w:style>
  <w:style w:type="character" w:customStyle="1" w:styleId="Heading8Char">
    <w:name w:val="Heading 8 Char"/>
    <w:basedOn w:val="DefaultParagraphFont"/>
    <w:link w:val="Heading8"/>
    <w:uiPriority w:val="1"/>
    <w:rsid w:val="002C7B38"/>
    <w:rPr>
      <w:rFonts w:asciiTheme="majorHAnsi" w:eastAsiaTheme="majorEastAsia" w:hAnsiTheme="majorHAnsi" w:cstheme="majorBidi"/>
      <w:color w:val="005CAF"/>
      <w:szCs w:val="20"/>
    </w:rPr>
  </w:style>
  <w:style w:type="paragraph" w:customStyle="1" w:styleId="Source">
    <w:name w:val="Source"/>
    <w:basedOn w:val="Normal"/>
    <w:next w:val="BodyText"/>
    <w:link w:val="SourceChar"/>
    <w:qFormat/>
    <w:rsid w:val="00F228DB"/>
    <w:pPr>
      <w:keepLines/>
      <w:pBdr>
        <w:bottom w:val="single" w:sz="4" w:space="1" w:color="595A5B"/>
      </w:pBdr>
      <w:spacing w:before="60" w:after="360" w:line="270" w:lineRule="exact"/>
      <w:ind w:left="0"/>
    </w:pPr>
    <w:rPr>
      <w:rFonts w:eastAsia="Times New Roman" w:cs="Arial"/>
      <w:color w:val="005CAF"/>
      <w:sz w:val="16"/>
      <w:szCs w:val="20"/>
      <w:lang w:val="en"/>
    </w:rPr>
  </w:style>
  <w:style w:type="character" w:customStyle="1" w:styleId="SourceChar">
    <w:name w:val="Source Char"/>
    <w:basedOn w:val="DefaultParagraphFont"/>
    <w:link w:val="Source"/>
    <w:rsid w:val="00F228DB"/>
    <w:rPr>
      <w:rFonts w:ascii="Arial" w:eastAsia="Times New Roman" w:hAnsi="Arial" w:cs="Arial"/>
      <w:color w:val="005CAF"/>
      <w:sz w:val="16"/>
      <w:szCs w:val="20"/>
      <w:lang w:val="en"/>
    </w:rPr>
  </w:style>
  <w:style w:type="paragraph" w:customStyle="1" w:styleId="Tabletext">
    <w:name w:val="Table text"/>
    <w:basedOn w:val="Normal"/>
    <w:link w:val="TabletextChar"/>
    <w:qFormat/>
    <w:rsid w:val="00F228DB"/>
    <w:pPr>
      <w:keepNext/>
      <w:keepLines/>
      <w:spacing w:before="60" w:after="60" w:line="240" w:lineRule="auto"/>
      <w:ind w:left="0"/>
      <w:jc w:val="left"/>
    </w:pPr>
    <w:rPr>
      <w:rFonts w:cs="Arial"/>
      <w:sz w:val="18"/>
      <w:szCs w:val="18"/>
    </w:rPr>
  </w:style>
  <w:style w:type="character" w:customStyle="1" w:styleId="TabletextChar">
    <w:name w:val="Table text Char"/>
    <w:basedOn w:val="DefaultParagraphFont"/>
    <w:link w:val="Tabletext"/>
    <w:rsid w:val="00F228DB"/>
    <w:rPr>
      <w:rFonts w:ascii="Arial" w:hAnsi="Arial" w:cs="Arial"/>
      <w:color w:val="373737"/>
      <w:sz w:val="18"/>
      <w:szCs w:val="18"/>
    </w:rPr>
  </w:style>
  <w:style w:type="paragraph" w:customStyle="1" w:styleId="Tableheader">
    <w:name w:val="Table header"/>
    <w:basedOn w:val="Normal"/>
    <w:link w:val="TableheaderChar"/>
    <w:qFormat/>
    <w:rsid w:val="004812C0"/>
    <w:pPr>
      <w:keepNext/>
      <w:spacing w:before="120" w:after="120" w:line="240" w:lineRule="auto"/>
      <w:ind w:left="0"/>
      <w:jc w:val="left"/>
    </w:pPr>
    <w:rPr>
      <w:rFonts w:cs="Arial"/>
      <w:b/>
      <w:color w:val="FFFFFF"/>
      <w:sz w:val="18"/>
      <w:szCs w:val="18"/>
    </w:rPr>
  </w:style>
  <w:style w:type="character" w:customStyle="1" w:styleId="TableheaderChar">
    <w:name w:val="Table header Char"/>
    <w:basedOn w:val="DefaultParagraphFont"/>
    <w:link w:val="Tableheader"/>
    <w:rsid w:val="004812C0"/>
    <w:rPr>
      <w:rFonts w:ascii="Arial" w:hAnsi="Arial" w:cs="Arial"/>
      <w:b/>
      <w:color w:val="FFFFFF"/>
      <w:sz w:val="18"/>
      <w:szCs w:val="18"/>
    </w:rPr>
  </w:style>
  <w:style w:type="paragraph" w:styleId="Caption">
    <w:name w:val="caption"/>
    <w:basedOn w:val="Normal"/>
    <w:next w:val="Placeholder"/>
    <w:rsid w:val="004812C0"/>
    <w:pPr>
      <w:keepNext/>
      <w:keepLines/>
      <w:pBdr>
        <w:top w:val="single" w:sz="2" w:space="1" w:color="595A5B"/>
      </w:pBdr>
      <w:spacing w:before="360" w:after="240" w:line="240" w:lineRule="atLeast"/>
      <w:ind w:left="0"/>
    </w:pPr>
    <w:rPr>
      <w:bCs/>
      <w:color w:val="005CAF"/>
      <w:sz w:val="18"/>
      <w:szCs w:val="18"/>
    </w:rPr>
  </w:style>
  <w:style w:type="paragraph" w:customStyle="1" w:styleId="Note">
    <w:name w:val="Note"/>
    <w:basedOn w:val="Source"/>
    <w:rsid w:val="00300738"/>
    <w:pPr>
      <w:keepNext/>
      <w:pBdr>
        <w:bottom w:val="none" w:sz="0" w:space="0" w:color="auto"/>
      </w:pBdr>
      <w:spacing w:after="60"/>
    </w:pPr>
  </w:style>
  <w:style w:type="table" w:customStyle="1" w:styleId="OCETable">
    <w:name w:val="OCE Table"/>
    <w:basedOn w:val="TableNormal"/>
    <w:uiPriority w:val="99"/>
    <w:rsid w:val="00FE4A3C"/>
    <w:pPr>
      <w:spacing w:after="0" w:line="240" w:lineRule="auto"/>
    </w:pPr>
    <w:rPr>
      <w:color w:val="373737"/>
      <w:sz w:val="18"/>
    </w:rPr>
    <w:tblPr>
      <w:tblStyleRowBandSize w:val="1"/>
    </w:tblPr>
    <w:tcPr>
      <w:shd w:val="clear" w:color="auto" w:fill="CAE7F3"/>
    </w:tcPr>
    <w:tblStylePr w:type="firstRow">
      <w:rPr>
        <w:rFonts w:asciiTheme="minorHAnsi" w:hAnsiTheme="minorHAnsi"/>
        <w:b w:val="0"/>
        <w:i w:val="0"/>
        <w:color w:val="FFFFFF"/>
        <w:sz w:val="18"/>
      </w:rPr>
      <w:tblPr/>
      <w:tcPr>
        <w:tcBorders>
          <w:top w:val="nil"/>
          <w:left w:val="nil"/>
          <w:bottom w:val="nil"/>
          <w:right w:val="nil"/>
          <w:insideH w:val="nil"/>
          <w:insideV w:val="nil"/>
          <w:tl2br w:val="nil"/>
          <w:tr2bl w:val="nil"/>
        </w:tcBorders>
        <w:shd w:val="clear" w:color="auto" w:fill="005CAF"/>
      </w:tcPr>
    </w:tblStylePr>
    <w:tblStylePr w:type="band1Horz">
      <w:tblPr/>
      <w:tcPr>
        <w:shd w:val="clear" w:color="auto" w:fill="DEE8F1"/>
      </w:tcPr>
    </w:tblStylePr>
    <w:tblStylePr w:type="band2Horz">
      <w:tblPr/>
      <w:tcPr>
        <w:shd w:val="clear" w:color="auto" w:fill="FFFFFF" w:themeFill="background1"/>
      </w:tcPr>
    </w:tblStylePr>
  </w:style>
  <w:style w:type="paragraph" w:customStyle="1" w:styleId="CaptionWide">
    <w:name w:val="Caption Wide"/>
    <w:basedOn w:val="Caption"/>
    <w:next w:val="PlaceholderWide"/>
    <w:rsid w:val="00382BE7"/>
    <w:pPr>
      <w:ind w:left="-1985"/>
    </w:pPr>
  </w:style>
  <w:style w:type="paragraph" w:customStyle="1" w:styleId="NoteWide">
    <w:name w:val="Note Wide"/>
    <w:basedOn w:val="Note"/>
    <w:rsid w:val="00114BB1"/>
    <w:pPr>
      <w:ind w:left="-1985"/>
    </w:pPr>
  </w:style>
  <w:style w:type="paragraph" w:customStyle="1" w:styleId="SourceWide">
    <w:name w:val="Source Wide"/>
    <w:basedOn w:val="Source"/>
    <w:next w:val="BodyText"/>
    <w:rsid w:val="00114BB1"/>
    <w:pPr>
      <w:ind w:left="-1985"/>
    </w:pPr>
  </w:style>
  <w:style w:type="paragraph" w:customStyle="1" w:styleId="Placeholder">
    <w:name w:val="Placeholder"/>
    <w:basedOn w:val="Normal"/>
    <w:rsid w:val="000C19CB"/>
    <w:pPr>
      <w:keepNext/>
      <w:keepLines/>
      <w:spacing w:after="0" w:line="240" w:lineRule="auto"/>
      <w:ind w:left="0"/>
      <w:jc w:val="center"/>
    </w:pPr>
    <w:rPr>
      <w:sz w:val="18"/>
    </w:rPr>
  </w:style>
  <w:style w:type="paragraph" w:customStyle="1" w:styleId="PlaceholderWide">
    <w:name w:val="Placeholder Wide"/>
    <w:basedOn w:val="Placeholder"/>
    <w:rsid w:val="000C19CB"/>
  </w:style>
  <w:style w:type="paragraph" w:customStyle="1" w:styleId="Boxtext">
    <w:name w:val="Box text"/>
    <w:basedOn w:val="Placeholder"/>
    <w:rsid w:val="000C19CB"/>
    <w:pPr>
      <w:spacing w:before="120" w:after="120" w:line="260" w:lineRule="atLeast"/>
      <w:jc w:val="left"/>
    </w:pPr>
    <w:rPr>
      <w:rFonts w:eastAsia="Times New Roman" w:cs="Arial"/>
      <w:szCs w:val="18"/>
      <w:lang w:val="en"/>
    </w:rPr>
  </w:style>
  <w:style w:type="numbering" w:customStyle="1" w:styleId="OCENumberedList">
    <w:name w:val="OCE Numbered List"/>
    <w:uiPriority w:val="99"/>
    <w:rsid w:val="00070749"/>
    <w:pPr>
      <w:numPr>
        <w:numId w:val="5"/>
      </w:numPr>
    </w:pPr>
  </w:style>
  <w:style w:type="paragraph" w:customStyle="1" w:styleId="UnnumberedHeading">
    <w:name w:val="Unnumbered Heading"/>
    <w:next w:val="BodyText"/>
    <w:link w:val="UnnumberedHeadingChar"/>
    <w:rsid w:val="004F3AB0"/>
    <w:pPr>
      <w:keepNext/>
      <w:spacing w:before="300" w:after="180" w:line="280" w:lineRule="exact"/>
    </w:pPr>
    <w:rPr>
      <w:rFonts w:ascii="Arial" w:eastAsia="Times New Roman" w:hAnsi="Arial" w:cs="Times New Roman"/>
      <w:b/>
      <w:color w:val="005CAF"/>
      <w:kern w:val="32"/>
      <w:sz w:val="32"/>
      <w:szCs w:val="20"/>
    </w:rPr>
  </w:style>
  <w:style w:type="character" w:customStyle="1" w:styleId="UnnumberedHeadingChar">
    <w:name w:val="Unnumbered Heading Char"/>
    <w:basedOn w:val="Heading1Char"/>
    <w:link w:val="UnnumberedHeading"/>
    <w:rsid w:val="004F3AB0"/>
    <w:rPr>
      <w:rFonts w:ascii="Arial" w:eastAsia="Times New Roman" w:hAnsi="Arial" w:cs="Times New Roman"/>
      <w:b/>
      <w:bCs w:val="0"/>
      <w:color w:val="005CAF"/>
      <w:kern w:val="32"/>
      <w:sz w:val="32"/>
      <w:szCs w:val="20"/>
    </w:rPr>
  </w:style>
  <w:style w:type="paragraph" w:styleId="Title">
    <w:name w:val="Title"/>
    <w:basedOn w:val="ResearchPaper"/>
    <w:next w:val="Normal"/>
    <w:link w:val="TitleChar"/>
    <w:rsid w:val="009F2590"/>
    <w:pPr>
      <w:spacing w:before="600" w:after="600" w:line="240" w:lineRule="auto"/>
    </w:pPr>
    <w:rPr>
      <w:rFonts w:asciiTheme="majorHAnsi" w:hAnsiTheme="majorHAnsi"/>
      <w:b w:val="0"/>
      <w:color w:val="22789A"/>
      <w:sz w:val="72"/>
    </w:rPr>
  </w:style>
  <w:style w:type="character" w:customStyle="1" w:styleId="TitleChar">
    <w:name w:val="Title Char"/>
    <w:basedOn w:val="DefaultParagraphFont"/>
    <w:link w:val="Title"/>
    <w:rsid w:val="009F2590"/>
    <w:rPr>
      <w:rFonts w:asciiTheme="majorHAnsi" w:eastAsia="Times New Roman" w:hAnsiTheme="majorHAnsi" w:cs="Arial"/>
      <w:caps/>
      <w:color w:val="22789A"/>
      <w:sz w:val="72"/>
      <w:szCs w:val="20"/>
    </w:rPr>
  </w:style>
  <w:style w:type="paragraph" w:customStyle="1" w:styleId="ResearchPaper">
    <w:name w:val="Research Paper #"/>
    <w:basedOn w:val="CoverNormal"/>
    <w:next w:val="CoverNormal"/>
    <w:link w:val="ResearchPaperChar"/>
    <w:rsid w:val="009F2590"/>
    <w:pPr>
      <w:spacing w:before="240" w:line="270" w:lineRule="exact"/>
    </w:pPr>
    <w:rPr>
      <w:rFonts w:eastAsia="Times New Roman" w:cs="Arial"/>
      <w:b/>
      <w:caps/>
      <w:sz w:val="21"/>
      <w:szCs w:val="20"/>
    </w:rPr>
  </w:style>
  <w:style w:type="character" w:customStyle="1" w:styleId="ResearchPaperChar">
    <w:name w:val="Research Paper # Char"/>
    <w:link w:val="ResearchPaper"/>
    <w:rsid w:val="009F2590"/>
    <w:rPr>
      <w:rFonts w:eastAsia="Times New Roman" w:cs="Arial"/>
      <w:b/>
      <w:caps/>
      <w:color w:val="595A5B"/>
      <w:sz w:val="21"/>
      <w:szCs w:val="20"/>
    </w:rPr>
  </w:style>
  <w:style w:type="paragraph" w:customStyle="1" w:styleId="Author">
    <w:name w:val="Author"/>
    <w:basedOn w:val="Normal"/>
    <w:link w:val="AuthorChar"/>
    <w:rsid w:val="00F20A86"/>
    <w:pPr>
      <w:spacing w:before="180" w:line="270" w:lineRule="exact"/>
      <w:ind w:left="0"/>
      <w:jc w:val="left"/>
    </w:pPr>
    <w:rPr>
      <w:rFonts w:eastAsia="Times New Roman" w:cs="Arial"/>
      <w:b/>
      <w:color w:val="005CAF"/>
      <w:sz w:val="32"/>
      <w:szCs w:val="20"/>
    </w:rPr>
  </w:style>
  <w:style w:type="character" w:customStyle="1" w:styleId="AuthorChar">
    <w:name w:val="Author Char"/>
    <w:basedOn w:val="DefaultParagraphFont"/>
    <w:link w:val="Author"/>
    <w:rsid w:val="00F20A86"/>
    <w:rPr>
      <w:rFonts w:ascii="Arial" w:eastAsia="Times New Roman" w:hAnsi="Arial" w:cs="Arial"/>
      <w:b/>
      <w:color w:val="005CAF"/>
      <w:sz w:val="32"/>
      <w:szCs w:val="20"/>
    </w:rPr>
  </w:style>
  <w:style w:type="paragraph" w:customStyle="1" w:styleId="MonthYear">
    <w:name w:val="Month Year"/>
    <w:basedOn w:val="Normal"/>
    <w:link w:val="MonthYearChar"/>
    <w:qFormat/>
    <w:rsid w:val="00F20A86"/>
    <w:pPr>
      <w:spacing w:before="720" w:line="270" w:lineRule="exact"/>
      <w:ind w:left="0"/>
      <w:jc w:val="left"/>
    </w:pPr>
    <w:rPr>
      <w:rFonts w:asciiTheme="minorHAnsi" w:eastAsia="Times New Roman" w:hAnsiTheme="minorHAnsi" w:cs="Arial"/>
      <w:b/>
      <w:color w:val="56B4DF"/>
      <w:szCs w:val="20"/>
    </w:rPr>
  </w:style>
  <w:style w:type="character" w:customStyle="1" w:styleId="MonthYearChar">
    <w:name w:val="Month Year Char"/>
    <w:basedOn w:val="DefaultParagraphFont"/>
    <w:link w:val="MonthYear"/>
    <w:rsid w:val="00F20A86"/>
    <w:rPr>
      <w:rFonts w:eastAsia="Times New Roman" w:cs="Arial"/>
      <w:b/>
      <w:color w:val="56B4DF"/>
      <w:sz w:val="20"/>
      <w:szCs w:val="20"/>
    </w:rPr>
  </w:style>
  <w:style w:type="paragraph" w:customStyle="1" w:styleId="AbstractHeader">
    <w:name w:val="Abstract Header"/>
    <w:basedOn w:val="Normal"/>
    <w:link w:val="AbstractHeaderChar"/>
    <w:qFormat/>
    <w:rsid w:val="00F20A86"/>
    <w:pPr>
      <w:spacing w:before="360" w:line="270" w:lineRule="exact"/>
      <w:ind w:left="0"/>
    </w:pPr>
    <w:rPr>
      <w:rFonts w:eastAsia="Times New Roman" w:cs="Arial"/>
      <w:color w:val="005CAF"/>
      <w:sz w:val="32"/>
      <w:szCs w:val="20"/>
    </w:rPr>
  </w:style>
  <w:style w:type="character" w:customStyle="1" w:styleId="AbstractHeaderChar">
    <w:name w:val="Abstract Header Char"/>
    <w:basedOn w:val="DefaultParagraphFont"/>
    <w:link w:val="AbstractHeader"/>
    <w:rsid w:val="00F20A86"/>
    <w:rPr>
      <w:rFonts w:ascii="Arial" w:eastAsia="Times New Roman" w:hAnsi="Arial" w:cs="Arial"/>
      <w:color w:val="005CAF"/>
      <w:sz w:val="32"/>
      <w:szCs w:val="20"/>
    </w:rPr>
  </w:style>
  <w:style w:type="numbering" w:customStyle="1" w:styleId="EASDMultilevelList">
    <w:name w:val="EASD Multilevel List"/>
    <w:uiPriority w:val="99"/>
    <w:rsid w:val="009F2590"/>
    <w:pPr>
      <w:numPr>
        <w:numId w:val="6"/>
      </w:numPr>
    </w:pPr>
  </w:style>
  <w:style w:type="numbering" w:styleId="111111">
    <w:name w:val="Outline List 2"/>
    <w:basedOn w:val="NoList"/>
    <w:rsid w:val="009F2590"/>
    <w:pPr>
      <w:numPr>
        <w:numId w:val="2"/>
      </w:numPr>
    </w:pPr>
  </w:style>
  <w:style w:type="paragraph" w:customStyle="1" w:styleId="Abstractbodytext">
    <w:name w:val="Abstract body text"/>
    <w:basedOn w:val="CoverNormal"/>
    <w:link w:val="AbstractbodytextChar"/>
    <w:uiPriority w:val="9"/>
    <w:semiHidden/>
    <w:rsid w:val="008F3372"/>
    <w:pPr>
      <w:spacing w:before="60" w:after="60" w:line="270" w:lineRule="exact"/>
      <w:jc w:val="both"/>
    </w:pPr>
    <w:rPr>
      <w:rFonts w:eastAsia="Times New Roman" w:cs="Arial"/>
      <w:szCs w:val="20"/>
      <w:lang w:val="en"/>
    </w:rPr>
  </w:style>
  <w:style w:type="character" w:customStyle="1" w:styleId="AbstractbodytextChar">
    <w:name w:val="Abstract body text Char"/>
    <w:basedOn w:val="DefaultParagraphFont"/>
    <w:link w:val="Abstractbodytext"/>
    <w:uiPriority w:val="9"/>
    <w:semiHidden/>
    <w:rsid w:val="008F3372"/>
    <w:rPr>
      <w:rFonts w:eastAsia="Times New Roman" w:cs="Arial"/>
      <w:color w:val="595A5B"/>
      <w:sz w:val="20"/>
      <w:szCs w:val="20"/>
      <w:lang w:val="en"/>
    </w:rPr>
  </w:style>
  <w:style w:type="paragraph" w:customStyle="1" w:styleId="CoverNormal">
    <w:name w:val="Cover Normal"/>
    <w:rsid w:val="00F20A86"/>
    <w:pPr>
      <w:spacing w:line="240" w:lineRule="auto"/>
    </w:pPr>
    <w:rPr>
      <w:color w:val="373737"/>
      <w:sz w:val="20"/>
    </w:rPr>
  </w:style>
  <w:style w:type="paragraph" w:customStyle="1" w:styleId="TitleHeading">
    <w:name w:val="Title Heading"/>
    <w:link w:val="TitleHeadingChar"/>
    <w:qFormat/>
    <w:rsid w:val="003B7C70"/>
    <w:pPr>
      <w:keepNext/>
      <w:spacing w:before="600" w:after="600" w:line="240" w:lineRule="auto"/>
      <w:ind w:right="57"/>
    </w:pPr>
    <w:rPr>
      <w:rFonts w:ascii="Arial" w:eastAsia="Times New Roman" w:hAnsi="Arial" w:cs="Times New Roman"/>
      <w:color w:val="005CAF"/>
      <w:kern w:val="32"/>
      <w:sz w:val="72"/>
      <w:szCs w:val="20"/>
    </w:rPr>
  </w:style>
  <w:style w:type="character" w:customStyle="1" w:styleId="TitleHeadingChar">
    <w:name w:val="Title Heading Char"/>
    <w:basedOn w:val="Heading2Char"/>
    <w:link w:val="TitleHeading"/>
    <w:rsid w:val="003B7C70"/>
    <w:rPr>
      <w:rFonts w:ascii="Arial" w:eastAsia="Times New Roman" w:hAnsi="Arial" w:cs="Times New Roman"/>
      <w:b w:val="0"/>
      <w:iCs w:val="0"/>
      <w:color w:val="005CAF"/>
      <w:kern w:val="32"/>
      <w:sz w:val="72"/>
      <w:szCs w:val="20"/>
    </w:rPr>
  </w:style>
  <w:style w:type="paragraph" w:customStyle="1" w:styleId="Keypointsbullet">
    <w:name w:val="Key points bullet"/>
    <w:basedOn w:val="BodyText"/>
    <w:link w:val="KeypointsbulletChar"/>
    <w:qFormat/>
    <w:rsid w:val="00B766F7"/>
    <w:pPr>
      <w:numPr>
        <w:numId w:val="7"/>
      </w:numPr>
      <w:ind w:left="311" w:right="153" w:hanging="249"/>
    </w:pPr>
    <w:rPr>
      <w:rFonts w:eastAsia="Times New Roman" w:cs="Arial"/>
      <w:b/>
      <w:szCs w:val="20"/>
      <w:lang w:val="en"/>
    </w:rPr>
  </w:style>
  <w:style w:type="character" w:customStyle="1" w:styleId="KeypointsbulletChar">
    <w:name w:val="Key points bullet Char"/>
    <w:basedOn w:val="ListParagraphChar"/>
    <w:link w:val="Keypointsbullet"/>
    <w:rsid w:val="00B766F7"/>
    <w:rPr>
      <w:rFonts w:eastAsia="Times New Roman" w:cs="Arial"/>
      <w:b/>
      <w:color w:val="373737"/>
      <w:sz w:val="20"/>
      <w:szCs w:val="20"/>
      <w:lang w:val="en"/>
    </w:rPr>
  </w:style>
  <w:style w:type="paragraph" w:styleId="Header">
    <w:name w:val="header"/>
    <w:basedOn w:val="Normal"/>
    <w:link w:val="HeaderChar"/>
    <w:unhideWhenUsed/>
    <w:rsid w:val="00E35ECE"/>
    <w:pPr>
      <w:spacing w:after="0" w:line="240" w:lineRule="auto"/>
      <w:ind w:left="0"/>
    </w:pPr>
  </w:style>
  <w:style w:type="character" w:customStyle="1" w:styleId="HeaderChar">
    <w:name w:val="Header Char"/>
    <w:basedOn w:val="DefaultParagraphFont"/>
    <w:link w:val="Header"/>
    <w:rsid w:val="00E35ECE"/>
    <w:rPr>
      <w:rFonts w:ascii="Arial" w:hAnsi="Arial"/>
      <w:color w:val="595A5B"/>
      <w:sz w:val="20"/>
    </w:rPr>
  </w:style>
  <w:style w:type="paragraph" w:customStyle="1" w:styleId="CoverAbstract">
    <w:name w:val="Cover Abstract"/>
    <w:basedOn w:val="Normal"/>
    <w:uiPriority w:val="10"/>
    <w:rsid w:val="009F2590"/>
    <w:pPr>
      <w:spacing w:line="270" w:lineRule="exact"/>
    </w:pPr>
    <w:rPr>
      <w:lang w:val="en"/>
    </w:rPr>
  </w:style>
  <w:style w:type="paragraph" w:customStyle="1" w:styleId="ReportCoverContact">
    <w:name w:val="Report Cover Contact"/>
    <w:basedOn w:val="Normal"/>
    <w:rsid w:val="009F2590"/>
    <w:pPr>
      <w:spacing w:after="60" w:line="270" w:lineRule="exact"/>
      <w:ind w:left="0"/>
      <w:jc w:val="left"/>
    </w:pPr>
    <w:rPr>
      <w:rFonts w:eastAsia="Calibri" w:cs="Arial"/>
      <w:sz w:val="16"/>
      <w:szCs w:val="18"/>
      <w:lang w:val="en"/>
    </w:rPr>
  </w:style>
  <w:style w:type="paragraph" w:customStyle="1" w:styleId="ReportCoverInformation">
    <w:name w:val="Report Cover Information"/>
    <w:basedOn w:val="Normal"/>
    <w:rsid w:val="00F20A86"/>
    <w:pPr>
      <w:keepNext/>
      <w:pBdr>
        <w:top w:val="single" w:sz="4" w:space="1" w:color="595A5B"/>
      </w:pBdr>
      <w:spacing w:before="600" w:after="120" w:line="240" w:lineRule="atLeast"/>
      <w:ind w:left="0" w:right="57"/>
      <w:outlineLvl w:val="7"/>
    </w:pPr>
    <w:rPr>
      <w:rFonts w:eastAsia="Times New Roman" w:cs="Times New Roman"/>
      <w:color w:val="005CAF"/>
      <w:sz w:val="16"/>
      <w:szCs w:val="20"/>
      <w:lang w:val="en"/>
    </w:rPr>
  </w:style>
  <w:style w:type="paragraph" w:styleId="TOC2">
    <w:name w:val="toc 2"/>
    <w:basedOn w:val="Normal"/>
    <w:next w:val="Normal"/>
    <w:autoRedefine/>
    <w:uiPriority w:val="39"/>
    <w:rsid w:val="009F2590"/>
    <w:pPr>
      <w:tabs>
        <w:tab w:val="right" w:pos="8931"/>
      </w:tabs>
      <w:spacing w:after="100"/>
      <w:ind w:left="1843" w:right="804" w:hanging="567"/>
    </w:pPr>
    <w:rPr>
      <w:noProof/>
    </w:rPr>
  </w:style>
  <w:style w:type="paragraph" w:styleId="TOC3">
    <w:name w:val="toc 3"/>
    <w:basedOn w:val="Normal"/>
    <w:next w:val="Normal"/>
    <w:autoRedefine/>
    <w:uiPriority w:val="39"/>
    <w:rsid w:val="009F2590"/>
    <w:pPr>
      <w:tabs>
        <w:tab w:val="right" w:pos="8931"/>
      </w:tabs>
      <w:spacing w:after="100"/>
      <w:ind w:left="1843" w:right="804"/>
    </w:pPr>
    <w:rPr>
      <w:noProof/>
    </w:rPr>
  </w:style>
  <w:style w:type="paragraph" w:styleId="TOC6">
    <w:name w:val="toc 6"/>
    <w:basedOn w:val="Normal"/>
    <w:next w:val="Normal"/>
    <w:autoRedefine/>
    <w:uiPriority w:val="39"/>
    <w:rsid w:val="009F2590"/>
    <w:pPr>
      <w:tabs>
        <w:tab w:val="right" w:pos="8931"/>
      </w:tabs>
      <w:spacing w:after="100"/>
      <w:ind w:left="2127" w:right="804" w:hanging="1418"/>
    </w:pPr>
    <w:rPr>
      <w:b/>
    </w:rPr>
  </w:style>
  <w:style w:type="paragraph" w:customStyle="1" w:styleId="Contents">
    <w:name w:val="Contents"/>
    <w:basedOn w:val="CoverNormal"/>
    <w:rsid w:val="007D5E09"/>
    <w:pPr>
      <w:pageBreakBefore/>
      <w:ind w:left="567"/>
      <w:jc w:val="center"/>
    </w:pPr>
    <w:rPr>
      <w:rFonts w:asciiTheme="majorHAnsi" w:hAnsiTheme="majorHAnsi" w:cstheme="majorHAnsi"/>
      <w:b/>
      <w:color w:val="005CAF"/>
      <w:sz w:val="52"/>
      <w:szCs w:val="52"/>
    </w:rPr>
  </w:style>
  <w:style w:type="paragraph" w:customStyle="1" w:styleId="CreativeCommonsLicence">
    <w:name w:val="Creative Commons Licence"/>
    <w:basedOn w:val="DisclaimerHeading"/>
    <w:next w:val="DisclaimerandAcknowledgement"/>
    <w:rsid w:val="009F2590"/>
    <w:pPr>
      <w:keepNext/>
      <w:outlineLvl w:val="7"/>
    </w:pPr>
  </w:style>
  <w:style w:type="paragraph" w:customStyle="1" w:styleId="Keypointsheader">
    <w:name w:val="Key points header"/>
    <w:basedOn w:val="BodyText"/>
    <w:link w:val="KeypointsheaderChar"/>
    <w:qFormat/>
    <w:rsid w:val="001732B4"/>
    <w:pPr>
      <w:keepNext/>
      <w:pageBreakBefore/>
      <w:spacing w:before="300" w:line="280" w:lineRule="atLeast"/>
      <w:ind w:left="34" w:right="57"/>
      <w:jc w:val="left"/>
    </w:pPr>
    <w:rPr>
      <w:rFonts w:eastAsia="Times New Roman" w:cs="Times New Roman"/>
      <w:b/>
      <w:color w:val="005CAF"/>
      <w:sz w:val="32"/>
      <w:szCs w:val="20"/>
    </w:rPr>
  </w:style>
  <w:style w:type="character" w:customStyle="1" w:styleId="KeypointsheaderChar">
    <w:name w:val="Key points header Char"/>
    <w:basedOn w:val="DefaultParagraphFont"/>
    <w:link w:val="Keypointsheader"/>
    <w:rsid w:val="001732B4"/>
    <w:rPr>
      <w:rFonts w:eastAsia="Times New Roman" w:cs="Times New Roman"/>
      <w:b/>
      <w:color w:val="005CAF"/>
      <w:sz w:val="32"/>
      <w:szCs w:val="20"/>
    </w:rPr>
  </w:style>
  <w:style w:type="paragraph" w:customStyle="1" w:styleId="AbstractText">
    <w:name w:val="Abstract Text"/>
    <w:basedOn w:val="CoverNormal"/>
    <w:rsid w:val="005A409E"/>
    <w:pPr>
      <w:spacing w:before="60" w:after="60" w:line="260" w:lineRule="exact"/>
    </w:pPr>
  </w:style>
  <w:style w:type="paragraph" w:customStyle="1" w:styleId="JELCodeheader">
    <w:name w:val="JEL Code header"/>
    <w:link w:val="JELCodeheaderChar"/>
    <w:qFormat/>
    <w:rsid w:val="003E50C4"/>
    <w:pPr>
      <w:spacing w:after="0" w:line="270" w:lineRule="exact"/>
      <w:jc w:val="both"/>
    </w:pPr>
    <w:rPr>
      <w:rFonts w:ascii="Arial" w:eastAsia="Times New Roman" w:hAnsi="Arial" w:cs="Arial"/>
      <w:b/>
      <w:color w:val="373737"/>
      <w:sz w:val="20"/>
      <w:szCs w:val="20"/>
      <w:lang w:val="en"/>
    </w:rPr>
  </w:style>
  <w:style w:type="character" w:customStyle="1" w:styleId="JELCodeheaderChar">
    <w:name w:val="JEL Code header Char"/>
    <w:basedOn w:val="DefaultParagraphFont"/>
    <w:link w:val="JELCodeheader"/>
    <w:rsid w:val="003E50C4"/>
    <w:rPr>
      <w:rFonts w:ascii="Arial" w:eastAsia="Times New Roman" w:hAnsi="Arial" w:cs="Arial"/>
      <w:b/>
      <w:color w:val="373737"/>
      <w:sz w:val="20"/>
      <w:szCs w:val="20"/>
      <w:lang w:val="en"/>
    </w:rPr>
  </w:style>
  <w:style w:type="paragraph" w:customStyle="1" w:styleId="DisclaimerandAcknowledgement">
    <w:name w:val="Disclaimer and Acknowledgement"/>
    <w:basedOn w:val="Normal"/>
    <w:link w:val="DisclaimerandAcknowledgementChar"/>
    <w:qFormat/>
    <w:rsid w:val="009F2590"/>
    <w:pPr>
      <w:spacing w:after="140" w:line="270" w:lineRule="exact"/>
      <w:jc w:val="left"/>
    </w:pPr>
    <w:rPr>
      <w:rFonts w:eastAsia="Calibri" w:cs="Arial"/>
      <w:sz w:val="16"/>
      <w:szCs w:val="18"/>
      <w:lang w:val="en"/>
    </w:rPr>
  </w:style>
  <w:style w:type="character" w:customStyle="1" w:styleId="DisclaimerandAcknowledgementChar">
    <w:name w:val="Disclaimer and Acknowledgement Char"/>
    <w:link w:val="DisclaimerandAcknowledgement"/>
    <w:rsid w:val="009F2590"/>
    <w:rPr>
      <w:rFonts w:ascii="Arial" w:eastAsia="Calibri" w:hAnsi="Arial" w:cs="Arial"/>
      <w:color w:val="595A5B"/>
      <w:sz w:val="16"/>
      <w:szCs w:val="18"/>
      <w:lang w:val="en"/>
    </w:rPr>
  </w:style>
  <w:style w:type="paragraph" w:customStyle="1" w:styleId="HyperlinkStyle">
    <w:name w:val="Hyperlink Style"/>
    <w:basedOn w:val="Normal"/>
    <w:link w:val="HyperlinkStyleChar"/>
    <w:qFormat/>
    <w:rsid w:val="00B76E6A"/>
    <w:pPr>
      <w:spacing w:line="270" w:lineRule="exact"/>
    </w:pPr>
    <w:rPr>
      <w:rFonts w:eastAsia="Calibri" w:cs="Times New Roman"/>
      <w:color w:val="005CAF"/>
      <w:szCs w:val="20"/>
    </w:rPr>
  </w:style>
  <w:style w:type="character" w:customStyle="1" w:styleId="HyperlinkStyleChar">
    <w:name w:val="Hyperlink Style Char"/>
    <w:link w:val="HyperlinkStyle"/>
    <w:rsid w:val="00B76E6A"/>
    <w:rPr>
      <w:rFonts w:ascii="Arial" w:eastAsia="Calibri" w:hAnsi="Arial" w:cs="Times New Roman"/>
      <w:color w:val="005CAF"/>
      <w:sz w:val="20"/>
      <w:szCs w:val="20"/>
    </w:rPr>
  </w:style>
  <w:style w:type="paragraph" w:customStyle="1" w:styleId="DisclaimerHeading">
    <w:name w:val="Disclaimer Heading"/>
    <w:next w:val="DisclaimerandAcknowledgement"/>
    <w:link w:val="DisclaimerHeadingChar"/>
    <w:qFormat/>
    <w:rsid w:val="00F20A86"/>
    <w:pPr>
      <w:pBdr>
        <w:top w:val="single" w:sz="4" w:space="1" w:color="595A5B"/>
      </w:pBdr>
      <w:spacing w:before="360" w:after="120" w:line="240" w:lineRule="atLeast"/>
      <w:ind w:left="2160" w:right="57"/>
    </w:pPr>
    <w:rPr>
      <w:rFonts w:ascii="Arial" w:eastAsia="Times New Roman" w:hAnsi="Arial" w:cs="Times New Roman"/>
      <w:color w:val="005CAF"/>
      <w:sz w:val="16"/>
      <w:szCs w:val="20"/>
      <w:lang w:val="en"/>
    </w:rPr>
  </w:style>
  <w:style w:type="character" w:customStyle="1" w:styleId="DisclaimerHeadingChar">
    <w:name w:val="Disclaimer Heading Char"/>
    <w:basedOn w:val="DefaultParagraphFont"/>
    <w:link w:val="DisclaimerHeading"/>
    <w:rsid w:val="00F20A86"/>
    <w:rPr>
      <w:rFonts w:ascii="Arial" w:eastAsia="Times New Roman" w:hAnsi="Arial" w:cs="Times New Roman"/>
      <w:color w:val="005CAF"/>
      <w:sz w:val="16"/>
      <w:szCs w:val="20"/>
      <w:lang w:val="en"/>
    </w:rPr>
  </w:style>
  <w:style w:type="paragraph" w:styleId="Quote">
    <w:name w:val="Quote"/>
    <w:basedOn w:val="Normal"/>
    <w:next w:val="Normal"/>
    <w:link w:val="QuoteChar"/>
    <w:uiPriority w:val="29"/>
    <w:rsid w:val="005A09DF"/>
    <w:pPr>
      <w:ind w:left="284" w:right="522"/>
    </w:pPr>
    <w:rPr>
      <w:rFonts w:asciiTheme="minorHAnsi" w:hAnsiTheme="minorHAnsi"/>
      <w:iCs/>
      <w:sz w:val="18"/>
    </w:rPr>
  </w:style>
  <w:style w:type="character" w:customStyle="1" w:styleId="QuoteChar">
    <w:name w:val="Quote Char"/>
    <w:basedOn w:val="DefaultParagraphFont"/>
    <w:link w:val="Quote"/>
    <w:uiPriority w:val="29"/>
    <w:rsid w:val="005A09DF"/>
    <w:rPr>
      <w:iCs/>
      <w:color w:val="373737"/>
      <w:sz w:val="18"/>
    </w:rPr>
  </w:style>
  <w:style w:type="paragraph" w:customStyle="1" w:styleId="TableListBullet">
    <w:name w:val="Table List Bullet"/>
    <w:basedOn w:val="Tabletext"/>
    <w:rsid w:val="00F228DB"/>
    <w:pPr>
      <w:numPr>
        <w:numId w:val="12"/>
      </w:numPr>
    </w:pPr>
    <w:rPr>
      <w:rFonts w:eastAsia="Times New Roman"/>
      <w:lang w:eastAsia="en-AU"/>
    </w:rPr>
  </w:style>
  <w:style w:type="numbering" w:customStyle="1" w:styleId="OCETableBullets">
    <w:name w:val="OCE Table Bullets"/>
    <w:uiPriority w:val="99"/>
    <w:rsid w:val="009F2590"/>
    <w:pPr>
      <w:numPr>
        <w:numId w:val="8"/>
      </w:numPr>
    </w:pPr>
  </w:style>
  <w:style w:type="paragraph" w:customStyle="1" w:styleId="Logo">
    <w:name w:val="Logo"/>
    <w:basedOn w:val="Normal"/>
    <w:next w:val="DisclaimerHeading"/>
    <w:rsid w:val="009F2590"/>
    <w:pPr>
      <w:spacing w:before="600"/>
    </w:pPr>
    <w:rPr>
      <w:noProof/>
      <w:lang w:eastAsia="en-AU"/>
    </w:rPr>
  </w:style>
  <w:style w:type="paragraph" w:customStyle="1" w:styleId="SideQuote">
    <w:name w:val="Side Quote"/>
    <w:basedOn w:val="Normal"/>
    <w:next w:val="SideQuoteSource"/>
    <w:link w:val="SideQuoteChar"/>
    <w:rsid w:val="00C325FC"/>
    <w:pPr>
      <w:keepNext/>
      <w:framePr w:w="1701" w:hSpace="113" w:vSpace="113" w:wrap="around" w:vAnchor="text" w:hAnchor="margin" w:x="-1984" w:y="1"/>
      <w:pBdr>
        <w:top w:val="single" w:sz="12" w:space="3" w:color="005CAF"/>
        <w:bottom w:val="single" w:sz="12" w:space="3" w:color="005CAF"/>
      </w:pBdr>
      <w:spacing w:before="60" w:after="40" w:line="220" w:lineRule="exact"/>
      <w:ind w:left="0"/>
      <w:jc w:val="left"/>
    </w:pPr>
    <w:rPr>
      <w:rFonts w:asciiTheme="majorHAnsi" w:eastAsia="Times New Roman" w:hAnsiTheme="majorHAnsi" w:cs="Times New Roman"/>
      <w:sz w:val="16"/>
      <w:lang w:eastAsia="en-AU"/>
    </w:rPr>
  </w:style>
  <w:style w:type="character" w:customStyle="1" w:styleId="SideQuoteChar">
    <w:name w:val="Side Quote Char"/>
    <w:basedOn w:val="DefaultParagraphFont"/>
    <w:link w:val="SideQuote"/>
    <w:rsid w:val="00C325FC"/>
    <w:rPr>
      <w:rFonts w:asciiTheme="majorHAnsi" w:eastAsia="Times New Roman" w:hAnsiTheme="majorHAnsi" w:cs="Times New Roman"/>
      <w:color w:val="373737"/>
      <w:sz w:val="16"/>
      <w:lang w:eastAsia="en-AU"/>
    </w:rPr>
  </w:style>
  <w:style w:type="paragraph" w:customStyle="1" w:styleId="SideQuoteSource">
    <w:name w:val="Side Quote Source"/>
    <w:basedOn w:val="SideQuote"/>
    <w:next w:val="BodyText"/>
    <w:rsid w:val="005A09DF"/>
    <w:pPr>
      <w:framePr w:wrap="around"/>
      <w:jc w:val="right"/>
    </w:pPr>
    <w:rPr>
      <w:i/>
      <w:color w:val="005CAF"/>
    </w:rPr>
  </w:style>
  <w:style w:type="paragraph" w:customStyle="1" w:styleId="LetterBody">
    <w:name w:val="Letter Body"/>
    <w:qFormat/>
    <w:rsid w:val="005A409E"/>
    <w:rPr>
      <w:rFonts w:ascii="Arial" w:eastAsia="Times New Roman" w:hAnsi="Arial" w:cs="Times New Roman"/>
      <w:color w:val="373737"/>
      <w:sz w:val="20"/>
      <w:szCs w:val="20"/>
      <w:lang w:eastAsia="en-AU"/>
    </w:rPr>
  </w:style>
  <w:style w:type="paragraph" w:customStyle="1" w:styleId="LetterAddress">
    <w:name w:val="Letter Address"/>
    <w:basedOn w:val="LetterNormal"/>
    <w:qFormat/>
    <w:rsid w:val="009F2590"/>
    <w:pPr>
      <w:spacing w:after="80"/>
      <w:ind w:left="1701"/>
    </w:pPr>
    <w:rPr>
      <w:sz w:val="16"/>
      <w:szCs w:val="16"/>
    </w:rPr>
  </w:style>
  <w:style w:type="paragraph" w:customStyle="1" w:styleId="Addressee">
    <w:name w:val="Addressee"/>
    <w:qFormat/>
    <w:rsid w:val="009F2590"/>
    <w:pPr>
      <w:spacing w:after="0"/>
    </w:pPr>
    <w:rPr>
      <w:rFonts w:ascii="Arial" w:eastAsia="Times New Roman" w:hAnsi="Arial" w:cs="Times New Roman"/>
      <w:sz w:val="20"/>
      <w:szCs w:val="20"/>
      <w:lang w:eastAsia="en-AU"/>
    </w:rPr>
  </w:style>
  <w:style w:type="paragraph" w:customStyle="1" w:styleId="LetterAddressee">
    <w:name w:val="Letter Addressee"/>
    <w:basedOn w:val="LetterNormal"/>
    <w:qFormat/>
    <w:rsid w:val="009F2590"/>
  </w:style>
  <w:style w:type="paragraph" w:customStyle="1" w:styleId="LetterSalutation">
    <w:name w:val="Letter Salutation"/>
    <w:basedOn w:val="LetterBody"/>
    <w:qFormat/>
    <w:rsid w:val="009F2590"/>
  </w:style>
  <w:style w:type="paragraph" w:customStyle="1" w:styleId="LetterSignature">
    <w:name w:val="Letter Signature"/>
    <w:basedOn w:val="LetterNormal"/>
    <w:qFormat/>
    <w:rsid w:val="009F2590"/>
    <w:pPr>
      <w:tabs>
        <w:tab w:val="left" w:pos="6200"/>
      </w:tabs>
    </w:pPr>
  </w:style>
  <w:style w:type="paragraph" w:customStyle="1" w:styleId="LetterNormal">
    <w:name w:val="Letter Normal"/>
    <w:basedOn w:val="Normal"/>
    <w:qFormat/>
    <w:rsid w:val="00CC6865"/>
    <w:pPr>
      <w:suppressAutoHyphens/>
      <w:spacing w:after="0" w:line="240" w:lineRule="auto"/>
      <w:ind w:left="0"/>
      <w:jc w:val="left"/>
    </w:pPr>
    <w:rPr>
      <w:rFonts w:eastAsia="Times New Roman" w:cs="Times New Roman"/>
      <w:szCs w:val="20"/>
      <w:lang w:eastAsia="en-AU"/>
    </w:rPr>
  </w:style>
  <w:style w:type="paragraph" w:customStyle="1" w:styleId="LetterAddressBlock">
    <w:name w:val="Letter Address Block"/>
    <w:basedOn w:val="LetterNormal"/>
    <w:qFormat/>
    <w:rsid w:val="00CC6865"/>
    <w:pPr>
      <w:spacing w:after="80"/>
    </w:pPr>
    <w:rPr>
      <w:sz w:val="16"/>
      <w:szCs w:val="16"/>
    </w:rPr>
  </w:style>
  <w:style w:type="paragraph" w:customStyle="1" w:styleId="AgendaBodyText">
    <w:name w:val="Agenda Body Text"/>
    <w:qFormat/>
    <w:rsid w:val="007E6036"/>
    <w:pPr>
      <w:spacing w:before="120" w:after="0" w:line="240" w:lineRule="auto"/>
    </w:pPr>
    <w:rPr>
      <w:rFonts w:ascii="Arial" w:hAnsi="Arial"/>
      <w:color w:val="373737"/>
      <w:sz w:val="18"/>
      <w:lang w:eastAsia="en-AU"/>
    </w:rPr>
  </w:style>
  <w:style w:type="paragraph" w:customStyle="1" w:styleId="AgendaTableColHeading">
    <w:name w:val="Agenda Table Co lHeading"/>
    <w:next w:val="AgendaBodyText"/>
    <w:qFormat/>
    <w:rsid w:val="00350C19"/>
    <w:pPr>
      <w:spacing w:before="200" w:after="0" w:line="240" w:lineRule="auto"/>
    </w:pPr>
    <w:rPr>
      <w:rFonts w:ascii="Arial" w:hAnsi="Arial"/>
      <w:b/>
      <w:color w:val="22789A"/>
    </w:rPr>
  </w:style>
  <w:style w:type="paragraph" w:customStyle="1" w:styleId="AgendaTableSubHeading">
    <w:name w:val="Agenda Table Sub Heading"/>
    <w:qFormat/>
    <w:rsid w:val="007E6036"/>
    <w:pPr>
      <w:spacing w:after="120" w:line="240" w:lineRule="auto"/>
    </w:pPr>
    <w:rPr>
      <w:rFonts w:ascii="Arial" w:hAnsi="Arial"/>
      <w:b/>
      <w:color w:val="373737"/>
      <w:sz w:val="18"/>
      <w:lang w:eastAsia="en-AU"/>
    </w:rPr>
  </w:style>
  <w:style w:type="paragraph" w:customStyle="1" w:styleId="AgendaTableColHeading0">
    <w:name w:val="Agenda Table Col Heading"/>
    <w:next w:val="AgendaBodyText"/>
    <w:qFormat/>
    <w:rsid w:val="007E6036"/>
    <w:pPr>
      <w:spacing w:before="200" w:after="0" w:line="240" w:lineRule="auto"/>
    </w:pPr>
    <w:rPr>
      <w:rFonts w:ascii="Arial" w:eastAsia="Times New Roman" w:hAnsi="Arial"/>
      <w:b/>
      <w:color w:val="005CAF"/>
      <w:lang w:eastAsia="en-AU"/>
    </w:rPr>
  </w:style>
  <w:style w:type="paragraph" w:customStyle="1" w:styleId="address">
    <w:name w:val="address"/>
    <w:basedOn w:val="Normal"/>
    <w:rsid w:val="00CC6865"/>
    <w:pPr>
      <w:widowControl w:val="0"/>
      <w:suppressAutoHyphens/>
      <w:spacing w:after="240" w:line="240" w:lineRule="auto"/>
      <w:ind w:left="0"/>
      <w:jc w:val="left"/>
    </w:pPr>
    <w:rPr>
      <w:rFonts w:eastAsia="Times New Roman" w:cs="Times New Roman"/>
      <w:color w:val="auto"/>
      <w:sz w:val="16"/>
      <w:szCs w:val="16"/>
      <w:lang w:val="en-GB" w:eastAsia="en-AU"/>
    </w:rPr>
  </w:style>
  <w:style w:type="paragraph" w:styleId="ListNumber4">
    <w:name w:val="List Number 4"/>
    <w:basedOn w:val="Normal"/>
    <w:rsid w:val="004C7203"/>
    <w:pPr>
      <w:numPr>
        <w:ilvl w:val="3"/>
        <w:numId w:val="11"/>
      </w:numPr>
      <w:contextualSpacing/>
    </w:pPr>
  </w:style>
  <w:style w:type="paragraph" w:customStyle="1" w:styleId="BriefingTitle">
    <w:name w:val="Briefing Title"/>
    <w:basedOn w:val="BodyText"/>
    <w:rsid w:val="00A03095"/>
    <w:pPr>
      <w:spacing w:before="180" w:line="240" w:lineRule="auto"/>
    </w:pPr>
    <w:rPr>
      <w:color w:val="005CAF"/>
      <w:sz w:val="56"/>
    </w:rPr>
  </w:style>
  <w:style w:type="paragraph" w:customStyle="1" w:styleId="OnePagerLinks">
    <w:name w:val="OnePagerLinks"/>
    <w:basedOn w:val="Normal"/>
    <w:rsid w:val="00EF0AB2"/>
    <w:pPr>
      <w:spacing w:after="0" w:line="240" w:lineRule="auto"/>
      <w:ind w:left="114"/>
      <w:jc w:val="left"/>
    </w:pPr>
    <w:rPr>
      <w:color w:val="005CAF"/>
    </w:rPr>
  </w:style>
  <w:style w:type="paragraph" w:customStyle="1" w:styleId="OnePagerLink">
    <w:name w:val="OnePagerLink"/>
    <w:basedOn w:val="Normal"/>
    <w:rsid w:val="0017468E"/>
    <w:pPr>
      <w:spacing w:after="0" w:line="240" w:lineRule="auto"/>
      <w:ind w:left="114"/>
      <w:jc w:val="left"/>
    </w:pPr>
    <w:rPr>
      <w:color w:val="005CAF"/>
    </w:rPr>
  </w:style>
  <w:style w:type="character" w:customStyle="1" w:styleId="BriefingDate">
    <w:name w:val="Briefing Date"/>
    <w:basedOn w:val="DefaultParagraphFont"/>
    <w:uiPriority w:val="1"/>
    <w:rsid w:val="001B3F96"/>
    <w:rPr>
      <w:rFonts w:ascii="Arial" w:hAnsi="Arial"/>
      <w:color w:val="FFFFFF" w:themeColor="background1"/>
      <w:sz w:val="18"/>
    </w:rPr>
  </w:style>
  <w:style w:type="paragraph" w:customStyle="1" w:styleId="Tableheadertext">
    <w:name w:val="Table header text"/>
    <w:basedOn w:val="Normal"/>
    <w:link w:val="TableheadertextChar"/>
    <w:qFormat/>
    <w:rsid w:val="0057169D"/>
    <w:pPr>
      <w:keepNext/>
      <w:spacing w:before="120" w:after="120" w:line="240" w:lineRule="auto"/>
      <w:ind w:left="0"/>
      <w:jc w:val="left"/>
    </w:pPr>
    <w:rPr>
      <w:rFonts w:cs="Arial"/>
      <w:b/>
      <w:color w:val="FFFFFF"/>
      <w:sz w:val="18"/>
      <w:szCs w:val="18"/>
    </w:rPr>
  </w:style>
  <w:style w:type="character" w:customStyle="1" w:styleId="TableheadertextChar">
    <w:name w:val="Table header text Char"/>
    <w:basedOn w:val="DefaultParagraphFont"/>
    <w:link w:val="Tableheadertext"/>
    <w:rsid w:val="0057169D"/>
    <w:rPr>
      <w:rFonts w:ascii="Arial" w:hAnsi="Arial" w:cs="Arial"/>
      <w:b/>
      <w:color w:val="FFFFFF"/>
      <w:sz w:val="18"/>
      <w:szCs w:val="18"/>
    </w:rPr>
  </w:style>
  <w:style w:type="paragraph" w:customStyle="1" w:styleId="Tablebodytext">
    <w:name w:val="Table body text"/>
    <w:basedOn w:val="Normal"/>
    <w:link w:val="TablebodytextChar"/>
    <w:qFormat/>
    <w:rsid w:val="00765BAA"/>
    <w:pPr>
      <w:keepNext/>
      <w:keepLines/>
      <w:spacing w:before="60" w:after="60" w:line="240" w:lineRule="auto"/>
      <w:ind w:left="0"/>
      <w:jc w:val="left"/>
    </w:pPr>
    <w:rPr>
      <w:rFonts w:cs="Arial"/>
      <w:sz w:val="18"/>
      <w:szCs w:val="18"/>
    </w:rPr>
  </w:style>
  <w:style w:type="character" w:customStyle="1" w:styleId="TablebodytextChar">
    <w:name w:val="Table body text Char"/>
    <w:basedOn w:val="DefaultParagraphFont"/>
    <w:link w:val="Tablebodytext"/>
    <w:rsid w:val="00765BAA"/>
    <w:rPr>
      <w:rFonts w:ascii="Arial" w:hAnsi="Arial" w:cs="Arial"/>
      <w:color w:val="373737"/>
      <w:sz w:val="18"/>
      <w:szCs w:val="18"/>
    </w:rPr>
  </w:style>
  <w:style w:type="paragraph" w:styleId="NormalWeb">
    <w:name w:val="Normal (Web)"/>
    <w:basedOn w:val="Normal"/>
    <w:semiHidden/>
    <w:unhideWhenUsed/>
    <w:rsid w:val="00285F19"/>
    <w:rPr>
      <w:rFonts w:ascii="Times New Roman" w:hAnsi="Times New Roman" w:cs="Times New Roman"/>
      <w:sz w:val="24"/>
      <w:szCs w:val="24"/>
    </w:rPr>
  </w:style>
  <w:style w:type="character" w:styleId="FollowedHyperlink">
    <w:name w:val="FollowedHyperlink"/>
    <w:basedOn w:val="DefaultParagraphFont"/>
    <w:uiPriority w:val="19"/>
    <w:semiHidden/>
    <w:unhideWhenUsed/>
    <w:rsid w:val="00285F19"/>
    <w:rPr>
      <w:color w:val="56B4E9" w:themeColor="followedHyperlink"/>
      <w:u w:val="single"/>
    </w:rPr>
  </w:style>
  <w:style w:type="character" w:styleId="CommentReference">
    <w:name w:val="annotation reference"/>
    <w:basedOn w:val="DefaultParagraphFont"/>
    <w:semiHidden/>
    <w:unhideWhenUsed/>
    <w:rsid w:val="00285F19"/>
    <w:rPr>
      <w:sz w:val="16"/>
      <w:szCs w:val="16"/>
    </w:rPr>
  </w:style>
  <w:style w:type="paragraph" w:styleId="CommentText">
    <w:name w:val="annotation text"/>
    <w:basedOn w:val="Normal"/>
    <w:link w:val="CommentTextChar"/>
    <w:semiHidden/>
    <w:unhideWhenUsed/>
    <w:rsid w:val="00285F19"/>
    <w:pPr>
      <w:spacing w:line="240" w:lineRule="auto"/>
    </w:pPr>
    <w:rPr>
      <w:szCs w:val="20"/>
    </w:rPr>
  </w:style>
  <w:style w:type="character" w:customStyle="1" w:styleId="CommentTextChar">
    <w:name w:val="Comment Text Char"/>
    <w:basedOn w:val="DefaultParagraphFont"/>
    <w:link w:val="CommentText"/>
    <w:semiHidden/>
    <w:rsid w:val="00285F19"/>
    <w:rPr>
      <w:rFonts w:ascii="Arial" w:hAnsi="Arial"/>
      <w:color w:val="373737"/>
      <w:sz w:val="20"/>
      <w:szCs w:val="20"/>
    </w:rPr>
  </w:style>
  <w:style w:type="paragraph" w:styleId="CommentSubject">
    <w:name w:val="annotation subject"/>
    <w:basedOn w:val="CommentText"/>
    <w:next w:val="CommentText"/>
    <w:link w:val="CommentSubjectChar"/>
    <w:semiHidden/>
    <w:unhideWhenUsed/>
    <w:rsid w:val="00285F19"/>
    <w:rPr>
      <w:b/>
      <w:bCs/>
    </w:rPr>
  </w:style>
  <w:style w:type="character" w:customStyle="1" w:styleId="CommentSubjectChar">
    <w:name w:val="Comment Subject Char"/>
    <w:basedOn w:val="CommentTextChar"/>
    <w:link w:val="CommentSubject"/>
    <w:semiHidden/>
    <w:rsid w:val="00285F19"/>
    <w:rPr>
      <w:rFonts w:ascii="Arial" w:hAnsi="Arial"/>
      <w:b/>
      <w:bCs/>
      <w:color w:val="373737"/>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505712">
      <w:bodyDiv w:val="1"/>
      <w:marLeft w:val="0"/>
      <w:marRight w:val="0"/>
      <w:marTop w:val="0"/>
      <w:marBottom w:val="0"/>
      <w:divBdr>
        <w:top w:val="none" w:sz="0" w:space="0" w:color="auto"/>
        <w:left w:val="none" w:sz="0" w:space="0" w:color="auto"/>
        <w:bottom w:val="none" w:sz="0" w:space="0" w:color="auto"/>
        <w:right w:val="none" w:sz="0" w:space="0" w:color="auto"/>
      </w:divBdr>
    </w:div>
    <w:div w:id="811798125">
      <w:bodyDiv w:val="1"/>
      <w:marLeft w:val="0"/>
      <w:marRight w:val="0"/>
      <w:marTop w:val="0"/>
      <w:marBottom w:val="0"/>
      <w:divBdr>
        <w:top w:val="none" w:sz="0" w:space="0" w:color="auto"/>
        <w:left w:val="none" w:sz="0" w:space="0" w:color="auto"/>
        <w:bottom w:val="none" w:sz="0" w:space="0" w:color="auto"/>
        <w:right w:val="none" w:sz="0" w:space="0" w:color="auto"/>
      </w:divBdr>
    </w:div>
    <w:div w:id="19221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industry.gov.au/OCE" TargetMode="External"/><Relationship Id="rId23" Type="http://schemas.openxmlformats.org/officeDocument/2006/relationships/hyperlink" Target="https://industry.gov.au/Office-of-the-Chief-Economist/Research-Papers/Pages/The-impact-of-labour-market-regulation-on-the-unemployment-rate-Evidence-from-OECD-economies.asp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hiefeconomist@industry.gov.au" TargetMode="External"/><Relationship Id="rId22" Type="http://schemas.openxmlformats.org/officeDocument/2006/relationships/image" Target="media/image3.png"/><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dochub/div/economicanalyticalservices/templates/OCE%20Portrait%20Template.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'Condensed stats'!$A$16</c:f>
              <c:strCache>
                <c:ptCount val="1"/>
                <c:pt idx="0">
                  <c:v>Primary</c:v>
                </c:pt>
              </c:strCache>
            </c:strRef>
          </c:tx>
          <c:spPr>
            <a:ln w="28575" cap="rnd">
              <a:solidFill>
                <a:srgbClr val="005CAF"/>
              </a:solidFill>
              <a:round/>
            </a:ln>
            <a:effectLst/>
          </c:spPr>
          <c:marker>
            <c:symbol val="none"/>
          </c:marker>
          <c:cat>
            <c:strRef>
              <c:f>'Condensed stats'!$B$15:$M$15</c:f>
              <c:strCache>
                <c:ptCount val="12"/>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 </c:v>
                </c:pt>
              </c:strCache>
            </c:strRef>
          </c:cat>
          <c:val>
            <c:numRef>
              <c:f>'Condensed stats'!$B$16:$M$16</c:f>
              <c:numCache>
                <c:formatCode>General</c:formatCode>
                <c:ptCount val="12"/>
                <c:pt idx="0">
                  <c:v>39527</c:v>
                </c:pt>
                <c:pt idx="1">
                  <c:v>46675</c:v>
                </c:pt>
                <c:pt idx="2">
                  <c:v>58052</c:v>
                </c:pt>
                <c:pt idx="3">
                  <c:v>50661</c:v>
                </c:pt>
                <c:pt idx="4">
                  <c:v>34788</c:v>
                </c:pt>
                <c:pt idx="5">
                  <c:v>48075</c:v>
                </c:pt>
                <c:pt idx="6">
                  <c:v>68313</c:v>
                </c:pt>
                <c:pt idx="7">
                  <c:v>68481</c:v>
                </c:pt>
                <c:pt idx="8">
                  <c:v>51939</c:v>
                </c:pt>
                <c:pt idx="9">
                  <c:v>51125</c:v>
                </c:pt>
                <c:pt idx="10">
                  <c:v>45395</c:v>
                </c:pt>
                <c:pt idx="11">
                  <c:v>46480</c:v>
                </c:pt>
              </c:numCache>
            </c:numRef>
          </c:val>
          <c:smooth val="0"/>
        </c:ser>
        <c:ser>
          <c:idx val="1"/>
          <c:order val="1"/>
          <c:tx>
            <c:strRef>
              <c:f>'Condensed stats'!$A$17</c:f>
              <c:strCache>
                <c:ptCount val="1"/>
                <c:pt idx="0">
                  <c:v>Secondary</c:v>
                </c:pt>
              </c:strCache>
            </c:strRef>
          </c:tx>
          <c:spPr>
            <a:ln w="28575" cap="rnd">
              <a:solidFill>
                <a:srgbClr val="56B4DF"/>
              </a:solidFill>
              <a:round/>
            </a:ln>
            <a:effectLst/>
          </c:spPr>
          <c:marker>
            <c:symbol val="none"/>
          </c:marker>
          <c:cat>
            <c:strRef>
              <c:f>'Condensed stats'!$B$15:$M$15</c:f>
              <c:strCache>
                <c:ptCount val="12"/>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 </c:v>
                </c:pt>
              </c:strCache>
            </c:strRef>
          </c:cat>
          <c:val>
            <c:numRef>
              <c:f>'Condensed stats'!$B$17:$M$17</c:f>
              <c:numCache>
                <c:formatCode>General</c:formatCode>
                <c:ptCount val="12"/>
                <c:pt idx="0">
                  <c:v>31622</c:v>
                </c:pt>
                <c:pt idx="1">
                  <c:v>40638</c:v>
                </c:pt>
                <c:pt idx="2">
                  <c:v>52515</c:v>
                </c:pt>
                <c:pt idx="3">
                  <c:v>50623</c:v>
                </c:pt>
                <c:pt idx="4">
                  <c:v>33191</c:v>
                </c:pt>
                <c:pt idx="5">
                  <c:v>42044</c:v>
                </c:pt>
                <c:pt idx="6">
                  <c:v>56757</c:v>
                </c:pt>
                <c:pt idx="7">
                  <c:v>57867</c:v>
                </c:pt>
                <c:pt idx="8">
                  <c:v>46632</c:v>
                </c:pt>
                <c:pt idx="9">
                  <c:v>44959</c:v>
                </c:pt>
                <c:pt idx="10">
                  <c:v>40216</c:v>
                </c:pt>
                <c:pt idx="11">
                  <c:v>41100</c:v>
                </c:pt>
              </c:numCache>
            </c:numRef>
          </c:val>
          <c:smooth val="0"/>
        </c:ser>
        <c:dLbls>
          <c:showLegendKey val="0"/>
          <c:showVal val="0"/>
          <c:showCatName val="0"/>
          <c:showSerName val="0"/>
          <c:showPercent val="0"/>
          <c:showBubbleSize val="0"/>
        </c:dLbls>
        <c:smooth val="0"/>
        <c:axId val="267826392"/>
        <c:axId val="267826784"/>
      </c:lineChart>
      <c:catAx>
        <c:axId val="267826392"/>
        <c:scaling>
          <c:orientation val="minMax"/>
        </c:scaling>
        <c:delete val="0"/>
        <c:axPos val="b"/>
        <c:numFmt formatCode="General" sourceLinked="1"/>
        <c:majorTickMark val="out"/>
        <c:minorTickMark val="none"/>
        <c:tickLblPos val="nextTo"/>
        <c:spPr>
          <a:noFill/>
          <a:ln w="9525" cap="flat" cmpd="sng" algn="ctr">
            <a:solidFill>
              <a:srgbClr val="BCBFC1"/>
            </a:solidFill>
            <a:round/>
          </a:ln>
          <a:effectLst/>
        </c:spPr>
        <c:txPr>
          <a:bodyPr rot="-6000000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crossAx val="267826784"/>
        <c:crosses val="autoZero"/>
        <c:auto val="1"/>
        <c:lblAlgn val="ctr"/>
        <c:lblOffset val="100"/>
        <c:noMultiLvlLbl val="0"/>
      </c:catAx>
      <c:valAx>
        <c:axId val="267826784"/>
        <c:scaling>
          <c:orientation val="minMax"/>
          <c:min val="20000"/>
        </c:scaling>
        <c:delete val="0"/>
        <c:axPos val="l"/>
        <c:title>
          <c:tx>
            <c:rich>
              <a:bodyPr rot="-5400000" spcFirstLastPara="1" vertOverflow="ellipsis" vert="horz" wrap="square" anchor="ctr" anchorCtr="1"/>
              <a:lstStyle/>
              <a:p>
                <a:pPr>
                  <a:defRPr sz="1000" b="0" i="0" u="none" strike="noStrike" kern="1200" baseline="0">
                    <a:solidFill>
                      <a:srgbClr val="373737"/>
                    </a:solidFill>
                    <a:latin typeface="+mn-lt"/>
                    <a:ea typeface="+mn-ea"/>
                    <a:cs typeface="+mn-cs"/>
                  </a:defRPr>
                </a:pPr>
                <a:r>
                  <a:rPr lang="en-AU" baseline="0">
                    <a:solidFill>
                      <a:srgbClr val="373737"/>
                    </a:solidFill>
                  </a:rPr>
                  <a:t>Number of grants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373737"/>
                  </a:solidFill>
                  <a:latin typeface="+mn-lt"/>
                  <a:ea typeface="+mn-ea"/>
                  <a:cs typeface="+mn-cs"/>
                </a:defRPr>
              </a:pPr>
              <a:endParaRPr lang="en-US"/>
            </a:p>
          </c:txPr>
        </c:title>
        <c:numFmt formatCode="#,##0" sourceLinked="0"/>
        <c:majorTickMark val="out"/>
        <c:minorTickMark val="none"/>
        <c:tickLblPos val="nextTo"/>
        <c:spPr>
          <a:noFill/>
          <a:ln>
            <a:solidFill>
              <a:srgbClr val="BCBFC1"/>
            </a:solidFill>
          </a:ln>
          <a:effectLst/>
        </c:spPr>
        <c:txPr>
          <a:bodyPr rot="-6000000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crossAx val="267826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'Condensed stats'!$A$3</c:f>
              <c:strCache>
                <c:ptCount val="1"/>
                <c:pt idx="0">
                  <c:v>India</c:v>
                </c:pt>
              </c:strCache>
            </c:strRef>
          </c:tx>
          <c:spPr>
            <a:ln w="28575" cap="rnd">
              <a:solidFill>
                <a:srgbClr val="005CAF"/>
              </a:solidFill>
              <a:round/>
            </a:ln>
            <a:effectLst/>
          </c:spPr>
          <c:marker>
            <c:symbol val="none"/>
          </c:marker>
          <c:cat>
            <c:strRef>
              <c:f>'Condensed stats'!$B$2:$M$2</c:f>
              <c:strCache>
                <c:ptCount val="12"/>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 </c:v>
                </c:pt>
              </c:strCache>
            </c:strRef>
          </c:cat>
          <c:val>
            <c:numRef>
              <c:f>'Condensed stats'!$B$3:$M$3</c:f>
              <c:numCache>
                <c:formatCode>General</c:formatCode>
                <c:ptCount val="12"/>
                <c:pt idx="0">
                  <c:v>3989</c:v>
                </c:pt>
                <c:pt idx="1">
                  <c:v>6521</c:v>
                </c:pt>
                <c:pt idx="2">
                  <c:v>8247</c:v>
                </c:pt>
                <c:pt idx="3">
                  <c:v>7418</c:v>
                </c:pt>
                <c:pt idx="4">
                  <c:v>5824</c:v>
                </c:pt>
                <c:pt idx="5">
                  <c:v>8761</c:v>
                </c:pt>
                <c:pt idx="6">
                  <c:v>11938</c:v>
                </c:pt>
                <c:pt idx="7">
                  <c:v>14247</c:v>
                </c:pt>
                <c:pt idx="8">
                  <c:v>12120</c:v>
                </c:pt>
                <c:pt idx="9">
                  <c:v>12447</c:v>
                </c:pt>
                <c:pt idx="10">
                  <c:v>11270</c:v>
                </c:pt>
                <c:pt idx="11">
                  <c:v>10403</c:v>
                </c:pt>
              </c:numCache>
            </c:numRef>
          </c:val>
          <c:smooth val="0"/>
        </c:ser>
        <c:ser>
          <c:idx val="1"/>
          <c:order val="1"/>
          <c:tx>
            <c:strRef>
              <c:f>'Condensed stats'!$A$4</c:f>
              <c:strCache>
                <c:ptCount val="1"/>
                <c:pt idx="0">
                  <c:v>United Kingdom</c:v>
                </c:pt>
              </c:strCache>
            </c:strRef>
          </c:tx>
          <c:spPr>
            <a:ln w="28575" cap="rnd">
              <a:solidFill>
                <a:srgbClr val="56B4DF"/>
              </a:solidFill>
              <a:round/>
            </a:ln>
            <a:effectLst/>
          </c:spPr>
          <c:marker>
            <c:symbol val="none"/>
          </c:marker>
          <c:cat>
            <c:strRef>
              <c:f>'Condensed stats'!$B$2:$M$2</c:f>
              <c:strCache>
                <c:ptCount val="12"/>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 </c:v>
                </c:pt>
              </c:strCache>
            </c:strRef>
          </c:cat>
          <c:val>
            <c:numRef>
              <c:f>'Condensed stats'!$B$4:$M$4</c:f>
              <c:numCache>
                <c:formatCode>General</c:formatCode>
                <c:ptCount val="12"/>
                <c:pt idx="0">
                  <c:v>9834</c:v>
                </c:pt>
                <c:pt idx="1">
                  <c:v>10643</c:v>
                </c:pt>
                <c:pt idx="2">
                  <c:v>13112</c:v>
                </c:pt>
                <c:pt idx="3">
                  <c:v>11444</c:v>
                </c:pt>
                <c:pt idx="4">
                  <c:v>8580</c:v>
                </c:pt>
                <c:pt idx="5">
                  <c:v>11817</c:v>
                </c:pt>
                <c:pt idx="6">
                  <c:v>15754</c:v>
                </c:pt>
                <c:pt idx="7">
                  <c:v>13305</c:v>
                </c:pt>
                <c:pt idx="8">
                  <c:v>9511</c:v>
                </c:pt>
                <c:pt idx="9">
                  <c:v>8794</c:v>
                </c:pt>
                <c:pt idx="10">
                  <c:v>7801</c:v>
                </c:pt>
                <c:pt idx="11">
                  <c:v>8256</c:v>
                </c:pt>
              </c:numCache>
            </c:numRef>
          </c:val>
          <c:smooth val="0"/>
        </c:ser>
        <c:ser>
          <c:idx val="2"/>
          <c:order val="2"/>
          <c:tx>
            <c:strRef>
              <c:f>'Condensed stats'!$A$5</c:f>
              <c:strCache>
                <c:ptCount val="1"/>
                <c:pt idx="0">
                  <c:v>China</c:v>
                </c:pt>
              </c:strCache>
            </c:strRef>
          </c:tx>
          <c:spPr>
            <a:ln w="28575" cap="rnd">
              <a:solidFill>
                <a:srgbClr val="9ED9DF"/>
              </a:solidFill>
              <a:round/>
            </a:ln>
            <a:effectLst/>
          </c:spPr>
          <c:marker>
            <c:symbol val="none"/>
          </c:marker>
          <c:cat>
            <c:strRef>
              <c:f>'Condensed stats'!$B$2:$M$2</c:f>
              <c:strCache>
                <c:ptCount val="12"/>
                <c:pt idx="0">
                  <c:v>2005-06</c:v>
                </c:pt>
                <c:pt idx="1">
                  <c:v>2006-07</c:v>
                </c:pt>
                <c:pt idx="2">
                  <c:v>2007-08</c:v>
                </c:pt>
                <c:pt idx="3">
                  <c:v>2008-09</c:v>
                </c:pt>
                <c:pt idx="4">
                  <c:v>2009-10</c:v>
                </c:pt>
                <c:pt idx="5">
                  <c:v>2010-11</c:v>
                </c:pt>
                <c:pt idx="6">
                  <c:v>2011-12</c:v>
                </c:pt>
                <c:pt idx="7">
                  <c:v>2012-13</c:v>
                </c:pt>
                <c:pt idx="8">
                  <c:v>2013-14</c:v>
                </c:pt>
                <c:pt idx="9">
                  <c:v>2014-15</c:v>
                </c:pt>
                <c:pt idx="10">
                  <c:v>2015-16</c:v>
                </c:pt>
                <c:pt idx="11">
                  <c:v>2016-17 </c:v>
                </c:pt>
              </c:strCache>
            </c:strRef>
          </c:cat>
          <c:val>
            <c:numRef>
              <c:f>'Condensed stats'!$B$5:$M$5</c:f>
              <c:numCache>
                <c:formatCode>General</c:formatCode>
                <c:ptCount val="12"/>
                <c:pt idx="0">
                  <c:v>2080</c:v>
                </c:pt>
                <c:pt idx="1">
                  <c:v>2637</c:v>
                </c:pt>
                <c:pt idx="2">
                  <c:v>3364</c:v>
                </c:pt>
                <c:pt idx="3">
                  <c:v>2281</c:v>
                </c:pt>
                <c:pt idx="4">
                  <c:v>1415</c:v>
                </c:pt>
                <c:pt idx="5">
                  <c:v>1602</c:v>
                </c:pt>
                <c:pt idx="6">
                  <c:v>2589</c:v>
                </c:pt>
                <c:pt idx="7">
                  <c:v>3727</c:v>
                </c:pt>
                <c:pt idx="8">
                  <c:v>3358</c:v>
                </c:pt>
                <c:pt idx="9">
                  <c:v>3522</c:v>
                </c:pt>
                <c:pt idx="10">
                  <c:v>2847</c:v>
                </c:pt>
                <c:pt idx="11">
                  <c:v>2773</c:v>
                </c:pt>
              </c:numCache>
            </c:numRef>
          </c:val>
          <c:smooth val="0"/>
        </c:ser>
        <c:dLbls>
          <c:showLegendKey val="0"/>
          <c:showVal val="0"/>
          <c:showCatName val="0"/>
          <c:showSerName val="0"/>
          <c:showPercent val="0"/>
          <c:showBubbleSize val="0"/>
        </c:dLbls>
        <c:smooth val="0"/>
        <c:axId val="417158392"/>
        <c:axId val="417154472"/>
      </c:lineChart>
      <c:catAx>
        <c:axId val="417158392"/>
        <c:scaling>
          <c:orientation val="minMax"/>
        </c:scaling>
        <c:delete val="0"/>
        <c:axPos val="b"/>
        <c:numFmt formatCode="General" sourceLinked="1"/>
        <c:majorTickMark val="out"/>
        <c:minorTickMark val="none"/>
        <c:tickLblPos val="nextTo"/>
        <c:spPr>
          <a:noFill/>
          <a:ln w="9525" cap="flat" cmpd="sng" algn="ctr">
            <a:solidFill>
              <a:srgbClr val="BCBFC1"/>
            </a:solidFill>
            <a:round/>
          </a:ln>
          <a:effectLst/>
        </c:spPr>
        <c:txPr>
          <a:bodyPr rot="-6000000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crossAx val="417154472"/>
        <c:crosses val="autoZero"/>
        <c:auto val="1"/>
        <c:lblAlgn val="ctr"/>
        <c:lblOffset val="100"/>
        <c:noMultiLvlLbl val="0"/>
      </c:catAx>
      <c:valAx>
        <c:axId val="4171544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solidFill>
                      <a:srgbClr val="373737"/>
                    </a:solidFill>
                  </a:rPr>
                  <a:t>Number</a:t>
                </a:r>
                <a:r>
                  <a:rPr lang="en-AU" baseline="0">
                    <a:solidFill>
                      <a:srgbClr val="373737"/>
                    </a:solidFill>
                  </a:rPr>
                  <a:t> </a:t>
                </a:r>
                <a:r>
                  <a:rPr lang="en-AU" sz="900" baseline="0">
                    <a:solidFill>
                      <a:srgbClr val="373737"/>
                    </a:solidFill>
                  </a:rPr>
                  <a:t>of</a:t>
                </a:r>
                <a:r>
                  <a:rPr lang="en-AU" baseline="0">
                    <a:solidFill>
                      <a:srgbClr val="373737"/>
                    </a:solidFill>
                  </a:rPr>
                  <a:t> grants</a:t>
                </a:r>
                <a:endParaRPr lang="en-AU">
                  <a:solidFill>
                    <a:srgbClr val="373737"/>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a:solidFill>
              <a:srgbClr val="BCBFC1"/>
            </a:solidFill>
          </a:ln>
          <a:effectLst/>
        </c:spPr>
        <c:txPr>
          <a:bodyPr rot="-6000000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crossAx val="417158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373737"/>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F184CCB68D4A34B39D5AF1D23F20C1"/>
        <w:category>
          <w:name w:val="General"/>
          <w:gallery w:val="placeholder"/>
        </w:category>
        <w:types>
          <w:type w:val="bbPlcHdr"/>
        </w:types>
        <w:behaviors>
          <w:behavior w:val="content"/>
        </w:behaviors>
        <w:guid w:val="{3132AE12-7239-4D92-B2F2-39BAC920A505}"/>
      </w:docPartPr>
      <w:docPartBody>
        <w:p w:rsidR="007D01BA" w:rsidRDefault="00C50B66" w:rsidP="00C50B66">
          <w:pPr>
            <w:pStyle w:val="F9F184CCB68D4A34B39D5AF1D23F20C1"/>
          </w:pPr>
          <w:r w:rsidRPr="0016199E">
            <w:rPr>
              <w:rStyle w:val="PlaceholderText"/>
              <w:color w:val="22789A"/>
            </w:rPr>
            <w:t>Type Research Paper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B66"/>
    <w:rsid w:val="0056524F"/>
    <w:rsid w:val="00640AD4"/>
    <w:rsid w:val="007D01BA"/>
    <w:rsid w:val="00AD7C11"/>
    <w:rsid w:val="00C50B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01BA"/>
    <w:rPr>
      <w:color w:val="808080"/>
    </w:rPr>
  </w:style>
  <w:style w:type="paragraph" w:customStyle="1" w:styleId="F9F184CCB68D4A34B39D5AF1D23F20C1">
    <w:name w:val="F9F184CCB68D4A34B39D5AF1D23F20C1"/>
    <w:rsid w:val="00C50B66"/>
  </w:style>
  <w:style w:type="paragraph" w:customStyle="1" w:styleId="0E11EAE6B336471DA615A0E0C5337826">
    <w:name w:val="0E11EAE6B336471DA615A0E0C5337826"/>
    <w:rsid w:val="007D01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CE">
  <a:themeElements>
    <a:clrScheme name="OCE May 2017">
      <a:dk1>
        <a:srgbClr val="373737"/>
      </a:dk1>
      <a:lt1>
        <a:srgbClr val="FFFFFF"/>
      </a:lt1>
      <a:dk2>
        <a:srgbClr val="373737"/>
      </a:dk2>
      <a:lt2>
        <a:srgbClr val="FFFFFF"/>
      </a:lt2>
      <a:accent1>
        <a:srgbClr val="005CAF"/>
      </a:accent1>
      <a:accent2>
        <a:srgbClr val="56B4DF"/>
      </a:accent2>
      <a:accent3>
        <a:srgbClr val="9ED9DF"/>
      </a:accent3>
      <a:accent4>
        <a:srgbClr val="BCBFC1"/>
      </a:accent4>
      <a:accent5>
        <a:srgbClr val="51B7A4"/>
      </a:accent5>
      <a:accent6>
        <a:srgbClr val="0A7568"/>
      </a:accent6>
      <a:hlink>
        <a:srgbClr val="005CAF"/>
      </a:hlink>
      <a:folHlink>
        <a:srgbClr val="56B4E9"/>
      </a:folHlink>
    </a:clrScheme>
    <a:fontScheme name="O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n99e4c9942c6404eb103464a00e6097b xmlns="46486fd5-fff8-4cbe-a2d1-89ce7ea547a7">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adb9bed2e36e4a93af574aeb444da63e xmlns="46486fd5-fff8-4cbe-a2d1-89ce7ea547a7">
      <Terms xmlns="http://schemas.microsoft.com/office/infopath/2007/PartnerControls">
        <TermInfo xmlns="http://schemas.microsoft.com/office/infopath/2007/PartnerControls">
          <TermName xmlns="http://schemas.microsoft.com/office/infopath/2007/PartnerControls">457Visa</TermName>
          <TermId xmlns="http://schemas.microsoft.com/office/infopath/2007/PartnerControls">b4fe52cf-5d59-4a00-b3e7-6e867068e150</TermId>
        </TermInfo>
        <TermInfo xmlns="http://schemas.microsoft.com/office/infopath/2007/PartnerControls">
          <TermName xmlns="http://schemas.microsoft.com/office/infopath/2007/PartnerControls">firm performance</TermName>
          <TermId xmlns="http://schemas.microsoft.com/office/infopath/2007/PartnerControls">17091888-58bb-4455-ab07-e9c54201258c</TermId>
        </TermInfo>
      </Terms>
    </adb9bed2e36e4a93af574aeb444da63e>
    <pe2555c81638466f9eb614edb9ecde52 xmlns="46486fd5-fff8-4cbe-a2d1-89ce7ea547a7">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b28facd8-3dc8-46bf-a2b8-d55c169e0df6</TermId>
        </TermInfo>
      </Terms>
    </pe2555c81638466f9eb614edb9ecde52>
    <TaxCatchAll xmlns="46486fd5-fff8-4cbe-a2d1-89ce7ea547a7">
      <Value>780</Value>
      <Value>82</Value>
      <Value>1480</Value>
      <Value>3</Value>
      <Value>121</Value>
      <Value>1140</Value>
    </TaxCatchAll>
    <aa25a1a23adf4c92a153145de6afe324 xmlns="46486fd5-fff8-4cbe-a2d1-89ce7ea547a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g7bcb40ba23249a78edca7d43a67c1c9 xmlns="46486fd5-fff8-4cbe-a2d1-89ce7ea547a7">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7b4c149d-8b70-4bf0-8e72-df534d298464</TermId>
        </TermInfo>
      </Terms>
    </g7bcb40ba23249a78edca7d43a67c1c9>
    <_dlc_DocId xmlns="46486fd5-fff8-4cbe-a2d1-89ce7ea547a7">EUCW2WRC2PUD-172758258-68</_dlc_DocId>
    <_dlc_DocIdUrl xmlns="46486fd5-fff8-4cbe-a2d1-89ce7ea547a7">
      <Url>https://dochub/div/economicanalyticalservices/businessfunctions/publicationsmgmt/researchpapers/_layouts/15/DocIdRedir.aspx?ID=EUCW2WRC2PUD-172758258-68</Url>
      <Description>EUCW2WRC2PUD-172758258-68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42ABE2D4EDB3C45BCCA6C138F7C803F" ma:contentTypeVersion="13" ma:contentTypeDescription="Create a new document." ma:contentTypeScope="" ma:versionID="e3126c604c76e54e3eb2d9ee7f5a9183">
  <xsd:schema xmlns:xsd="http://www.w3.org/2001/XMLSchema" xmlns:xs="http://www.w3.org/2001/XMLSchema" xmlns:p="http://schemas.microsoft.com/office/2006/metadata/properties" xmlns:ns1="http://schemas.microsoft.com/sharepoint/v3" xmlns:ns2="46486fd5-fff8-4cbe-a2d1-89ce7ea547a7" xmlns:ns3="e47d1c65-9f6c-49e5-a774-2c92ccb46d02" targetNamespace="http://schemas.microsoft.com/office/2006/metadata/properties" ma:root="true" ma:fieldsID="b6d96a828f635981de61a75ca72f0890" ns1:_="" ns2:_="" ns3:_="">
    <xsd:import namespace="http://schemas.microsoft.com/sharepoint/v3"/>
    <xsd:import namespace="46486fd5-fff8-4cbe-a2d1-89ce7ea547a7"/>
    <xsd:import namespace="e47d1c65-9f6c-49e5-a774-2c92ccb46d02"/>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486fd5-fff8-4cbe-a2d1-89ce7ea547a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35f851f-72f6-498a-a802-dc52b0f6bebd}" ma:internalName="TaxCatchAll" ma:showField="CatchAllData" ma:web="e47d1c65-9f6c-49e5-a774-2c92ccb46d02">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990c95c-aaef-4b88-979c-1afb69c61976"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7d1c65-9f6c-49e5-a774-2c92ccb46d0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2E28D-6947-480F-BBF1-3DFDF858D2E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47d1c65-9f6c-49e5-a774-2c92ccb46d02"/>
    <ds:schemaRef ds:uri="46486fd5-fff8-4cbe-a2d1-89ce7ea547a7"/>
    <ds:schemaRef ds:uri="http://www.w3.org/XML/1998/namespace"/>
    <ds:schemaRef ds:uri="http://purl.org/dc/dcmitype/"/>
  </ds:schemaRefs>
</ds:datastoreItem>
</file>

<file path=customXml/itemProps2.xml><?xml version="1.0" encoding="utf-8"?>
<ds:datastoreItem xmlns:ds="http://schemas.openxmlformats.org/officeDocument/2006/customXml" ds:itemID="{893EDBD2-23D7-4E56-9CFC-97C6144F6BD8}">
  <ds:schemaRefs>
    <ds:schemaRef ds:uri="http://schemas.microsoft.com/sharepoint/events"/>
  </ds:schemaRefs>
</ds:datastoreItem>
</file>

<file path=customXml/itemProps3.xml><?xml version="1.0" encoding="utf-8"?>
<ds:datastoreItem xmlns:ds="http://schemas.openxmlformats.org/officeDocument/2006/customXml" ds:itemID="{7CDB312B-3195-45E8-8C5D-F13D4644F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486fd5-fff8-4cbe-a2d1-89ce7ea547a7"/>
    <ds:schemaRef ds:uri="e47d1c65-9f6c-49e5-a774-2c92ccb46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02024-C005-4DC0-B358-BDFF341AD36E}">
  <ds:schemaRefs>
    <ds:schemaRef ds:uri="http://schemas.microsoft.com/sharepoint/v3/contenttype/forms"/>
  </ds:schemaRefs>
</ds:datastoreItem>
</file>

<file path=customXml/itemProps5.xml><?xml version="1.0" encoding="utf-8"?>
<ds:datastoreItem xmlns:ds="http://schemas.openxmlformats.org/officeDocument/2006/customXml" ds:itemID="{C82449DD-DE29-4EBE-A6AB-7DD06352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OCE%20Portrait%20Template</Template>
  <TotalTime>0</TotalTime>
  <Pages>32</Pages>
  <Words>9055</Words>
  <Characters>51619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OCE Report Template</vt:lpstr>
    </vt:vector>
  </TitlesOfParts>
  <Company>INDUSTRY</Company>
  <LinksUpToDate>false</LinksUpToDate>
  <CharactersWithSpaces>60553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OCE Report Template</dc:title>
  <dc:creator>Rafi, Bilal</dc:creator>
  <cp:lastModifiedBy>Brooks, Lou</cp:lastModifiedBy>
  <cp:revision>3</cp:revision>
  <cp:lastPrinted>2017-05-29T22:28:00Z</cp:lastPrinted>
  <dcterms:created xsi:type="dcterms:W3CDTF">2019-06-27T03:17:00Z</dcterms:created>
  <dcterms:modified xsi:type="dcterms:W3CDTF">2019-06-27T03:51:00Z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0x010100642ABE2D4EDB3C45BCCA6C138F7C803F</vt:lpwstr>
  </property>
  <property fmtid="{D5CDD505-2E9C-101B-9397-08002B2CF9AE}" pid="3" name="VersionNumber">
    <vt:i4>0</vt:i4>
  </property>
  <property fmtid="{D5CDD505-2E9C-101B-9397-08002B2CF9AE}" pid="4" name="ClassificationPty">
    <vt:lpwstr/>
  </property>
  <property fmtid="{D5CDD505-2E9C-101B-9397-08002B2CF9AE}" pid="5" name="FileNumberPty">
    <vt:lpwstr/>
  </property>
  <property fmtid="{D5CDD505-2E9C-101B-9397-08002B2CF9AE}" pid="6" name="CorporateTmplBased">
    <vt:lpwstr>No</vt:lpwstr>
  </property>
  <property fmtid="{D5CDD505-2E9C-101B-9397-08002B2CF9AE}" pid="7" name="_dlc_DocIdItemGuid">
    <vt:lpwstr>52d7d085-2dc6-47b5-b995-c538f3ee182f</vt:lpwstr>
  </property>
  <property fmtid="{D5CDD505-2E9C-101B-9397-08002B2CF9AE}" pid="8" name="DocHub_Year">
    <vt:lpwstr>1480;#2018|224abc7b-6f7e-4064-b773-6750976429b5</vt:lpwstr>
  </property>
  <property fmtid="{D5CDD505-2E9C-101B-9397-08002B2CF9AE}" pid="9" name="DocHub_DocumentType">
    <vt:lpwstr>121;#Research|b28facd8-3dc8-46bf-a2b8-d55c169e0df6</vt:lpwstr>
  </property>
  <property fmtid="{D5CDD505-2E9C-101B-9397-08002B2CF9AE}" pid="10" name="DocHub_SecurityClassification">
    <vt:lpwstr>3;#UNCLASSIFIED|6106d03b-a1a0-4e30-9d91-d5e9fb4314f9</vt:lpwstr>
  </property>
  <property fmtid="{D5CDD505-2E9C-101B-9397-08002B2CF9AE}" pid="11" name="DocHub_Keywords">
    <vt:lpwstr>1140;#457Visa|b4fe52cf-5d59-4a00-b3e7-6e867068e150;#780;#firm performance|17091888-58bb-4455-ab07-e9c54201258c</vt:lpwstr>
  </property>
  <property fmtid="{D5CDD505-2E9C-101B-9397-08002B2CF9AE}" pid="12" name="DocHub_WorkActivity">
    <vt:lpwstr>82;#Research|7b4c149d-8b70-4bf0-8e72-df534d298464</vt:lpwstr>
  </property>
  <property fmtid="{D5CDD505-2E9C-101B-9397-08002B2CF9AE}" pid="13" name="IconOverlay">
    <vt:lpwstr/>
  </property>
</Properties>
</file>