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18853589"/>
        <w:docPartObj>
          <w:docPartGallery w:val="Cover Pages"/>
          <w:docPartUnique/>
        </w:docPartObj>
      </w:sdtPr>
      <w:sdtEndPr/>
      <w:sdtContent>
        <w:tbl>
          <w:tblPr>
            <w:tblW w:w="0" w:type="auto"/>
            <w:tblLook w:val="04A0" w:firstRow="1" w:lastRow="0" w:firstColumn="1" w:lastColumn="0" w:noHBand="0" w:noVBand="1"/>
          </w:tblPr>
          <w:tblGrid>
            <w:gridCol w:w="9026"/>
          </w:tblGrid>
          <w:tr w:rsidR="005920EC" w14:paraId="778D94EC" w14:textId="77777777" w:rsidTr="00004A4B">
            <w:trPr>
              <w:cantSplit/>
              <w:trHeight w:val="1418"/>
            </w:trPr>
            <w:tc>
              <w:tcPr>
                <w:tcW w:w="9242" w:type="dxa"/>
              </w:tcPr>
              <w:p w14:paraId="6D4B29C0" w14:textId="75FED4B2" w:rsidR="005920EC" w:rsidRDefault="0011570B" w:rsidP="00004A4B">
                <w:pPr>
                  <w:pStyle w:val="CoverNormal"/>
                </w:pPr>
                <w:r w:rsidRPr="0011570B">
                  <w:rPr>
                    <w:rFonts w:ascii="Arial" w:hAnsi="Arial"/>
                    <w:noProof/>
                    <w:lang w:eastAsia="en-AU"/>
                  </w:rPr>
                  <w:drawing>
                    <wp:anchor distT="0" distB="0" distL="114300" distR="114300" simplePos="0" relativeHeight="251661314" behindDoc="0" locked="0" layoutInCell="1" allowOverlap="1" wp14:anchorId="270915AC" wp14:editId="3DDDEFD6">
                      <wp:simplePos x="0" y="0"/>
                      <wp:positionH relativeFrom="column">
                        <wp:posOffset>0</wp:posOffset>
                      </wp:positionH>
                      <wp:positionV relativeFrom="paragraph">
                        <wp:posOffset>0</wp:posOffset>
                      </wp:positionV>
                      <wp:extent cx="2610485" cy="678815"/>
                      <wp:effectExtent l="0" t="0" r="0" b="6985"/>
                      <wp:wrapSquare wrapText="bothSides"/>
                      <wp:docPr id="30" name="Picture 30" title="Economic Data and Analysi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40949.9BC999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1048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70B">
                  <w:rPr>
                    <w:rFonts w:ascii="Arial" w:hAnsi="Arial"/>
                    <w:noProof/>
                    <w:lang w:eastAsia="en-AU"/>
                  </w:rPr>
                  <w:drawing>
                    <wp:anchor distT="0" distB="0" distL="114300" distR="114300" simplePos="0" relativeHeight="251660290" behindDoc="0" locked="0" layoutInCell="1" allowOverlap="1" wp14:anchorId="53705C36" wp14:editId="4FDF2010">
                      <wp:simplePos x="0" y="0"/>
                      <wp:positionH relativeFrom="column">
                        <wp:posOffset>2755265</wp:posOffset>
                      </wp:positionH>
                      <wp:positionV relativeFrom="paragraph">
                        <wp:posOffset>0</wp:posOffset>
                      </wp:positionV>
                      <wp:extent cx="2892425" cy="454025"/>
                      <wp:effectExtent l="0" t="0" r="3175" b="3175"/>
                      <wp:wrapSquare wrapText="bothSides"/>
                      <wp:docPr id="14" name="Picture 14"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2425" cy="454025"/>
                              </a:xfrm>
                              <a:prstGeom prst="rect">
                                <a:avLst/>
                              </a:prstGeom>
                            </pic:spPr>
                          </pic:pic>
                        </a:graphicData>
                      </a:graphic>
                      <wp14:sizeRelH relativeFrom="margin">
                        <wp14:pctWidth>0</wp14:pctWidth>
                      </wp14:sizeRelH>
                      <wp14:sizeRelV relativeFrom="margin">
                        <wp14:pctHeight>0</wp14:pctHeight>
                      </wp14:sizeRelV>
                    </wp:anchor>
                  </w:drawing>
                </w:r>
              </w:p>
            </w:tc>
          </w:tr>
          <w:tr w:rsidR="005920EC" w14:paraId="76772E8A" w14:textId="77777777" w:rsidTr="00004A4B">
            <w:trPr>
              <w:cantSplit/>
              <w:trHeight w:hRule="exact" w:val="1417"/>
            </w:trPr>
            <w:tc>
              <w:tcPr>
                <w:tcW w:w="9242" w:type="dxa"/>
                <w:vAlign w:val="bottom"/>
              </w:tcPr>
              <w:p w14:paraId="0D970A6A" w14:textId="73031179" w:rsidR="005920EC" w:rsidRDefault="00B86E60" w:rsidP="00D62A02">
                <w:pPr>
                  <w:pStyle w:val="ResearchPaper"/>
                </w:pPr>
                <w:r>
                  <w:t xml:space="preserve">Research Paper </w:t>
                </w:r>
                <w:r w:rsidR="00D62A02">
                  <w:t>1</w:t>
                </w:r>
                <w:r>
                  <w:t>/201</w:t>
                </w:r>
                <w:r w:rsidR="00F146F6">
                  <w:t>9</w:t>
                </w:r>
              </w:p>
            </w:tc>
          </w:tr>
          <w:tr w:rsidR="005920EC" w:rsidRPr="00CF654B" w14:paraId="48206F82" w14:textId="77777777" w:rsidTr="00004A4B">
            <w:trPr>
              <w:cantSplit/>
            </w:trPr>
            <w:sdt>
              <w:sdtPr>
                <w:rPr>
                  <w:rStyle w:val="TitleHeadingChar"/>
                  <w:b/>
                </w:rPr>
                <w:alias w:val="Research Paper Title"/>
                <w:tag w:val="Research Paper Title"/>
                <w:id w:val="803742244"/>
                <w:placeholder>
                  <w:docPart w:val="3395A25B3C894121A7EBD4D55E6F5718"/>
                </w:placeholder>
              </w:sdtPr>
              <w:sdtEndPr>
                <w:rPr>
                  <w:rStyle w:val="DefaultParagraphFont"/>
                </w:rPr>
              </w:sdtEndPr>
              <w:sdtContent>
                <w:tc>
                  <w:tcPr>
                    <w:tcW w:w="9242" w:type="dxa"/>
                  </w:tcPr>
                  <w:p w14:paraId="55416083" w14:textId="1464FE2C" w:rsidR="005920EC" w:rsidRPr="00E018A4" w:rsidRDefault="00A4153D" w:rsidP="00A4153D">
                    <w:pPr>
                      <w:pStyle w:val="TitleHeading"/>
                      <w:rPr>
                        <w:b/>
                      </w:rPr>
                    </w:pPr>
                    <w:r>
                      <w:rPr>
                        <w:rStyle w:val="TitleHeadingChar"/>
                      </w:rPr>
                      <w:t>Business</w:t>
                    </w:r>
                    <w:r w:rsidR="00CD7616">
                      <w:rPr>
                        <w:rStyle w:val="TitleHeadingChar"/>
                      </w:rPr>
                      <w:t xml:space="preserve"> performance </w:t>
                    </w:r>
                    <w:r w:rsidR="003778C6">
                      <w:rPr>
                        <w:rStyle w:val="TitleHeadingChar"/>
                      </w:rPr>
                      <w:br/>
                    </w:r>
                    <w:r w:rsidR="004746F3">
                      <w:rPr>
                        <w:rStyle w:val="TitleHeadingChar"/>
                      </w:rPr>
                      <w:t xml:space="preserve">of Enterprise Connect participants </w:t>
                    </w:r>
                  </w:p>
                </w:tc>
              </w:sdtContent>
            </w:sdt>
          </w:tr>
          <w:tr w:rsidR="005920EC" w14:paraId="298566F1" w14:textId="77777777" w:rsidTr="00004A4B">
            <w:trPr>
              <w:cantSplit/>
            </w:trPr>
            <w:tc>
              <w:tcPr>
                <w:tcW w:w="9242" w:type="dxa"/>
                <w:vAlign w:val="center"/>
              </w:tcPr>
              <w:p w14:paraId="1F62B9FA" w14:textId="79B080C1" w:rsidR="005920EC" w:rsidRDefault="00FF5948" w:rsidP="000D732C">
                <w:pPr>
                  <w:pStyle w:val="Author"/>
                </w:pPr>
                <w:r>
                  <w:t xml:space="preserve">Angelina Bruno </w:t>
                </w:r>
              </w:p>
            </w:tc>
          </w:tr>
          <w:tr w:rsidR="005920EC" w14:paraId="6CA9AC64" w14:textId="77777777" w:rsidTr="00004A4B">
            <w:trPr>
              <w:cantSplit/>
            </w:trPr>
            <w:tc>
              <w:tcPr>
                <w:tcW w:w="9242" w:type="dxa"/>
                <w:vAlign w:val="center"/>
              </w:tcPr>
              <w:p w14:paraId="7DCAEB16" w14:textId="115DD2F6" w:rsidR="005920EC" w:rsidRDefault="00CC0EFD" w:rsidP="005A2144">
                <w:pPr>
                  <w:pStyle w:val="MonthYear"/>
                </w:pPr>
                <w:r>
                  <w:fldChar w:fldCharType="begin"/>
                </w:r>
                <w:r>
                  <w:instrText xml:space="preserve"> DATE  \@ "MMMM yyyy"  \* MERGEFORMAT </w:instrText>
                </w:r>
                <w:r>
                  <w:fldChar w:fldCharType="separate"/>
                </w:r>
                <w:r w:rsidR="003A4982">
                  <w:rPr>
                    <w:noProof/>
                  </w:rPr>
                  <w:t>May 2020</w:t>
                </w:r>
                <w:r>
                  <w:fldChar w:fldCharType="end"/>
                </w:r>
              </w:p>
            </w:tc>
          </w:tr>
          <w:tr w:rsidR="005920EC" w14:paraId="03275F55" w14:textId="77777777" w:rsidTr="00004A4B">
            <w:trPr>
              <w:cantSplit/>
              <w:trHeight w:val="765"/>
            </w:trPr>
            <w:tc>
              <w:tcPr>
                <w:tcW w:w="9242" w:type="dxa"/>
              </w:tcPr>
              <w:p w14:paraId="44476CD7" w14:textId="77777777" w:rsidR="005920EC" w:rsidRDefault="005920EC" w:rsidP="00004A4B">
                <w:pPr>
                  <w:pStyle w:val="AbstractHeader"/>
                </w:pPr>
                <w:r w:rsidRPr="002054C2">
                  <w:t>Abstract</w:t>
                </w:r>
              </w:p>
            </w:tc>
          </w:tr>
          <w:tr w:rsidR="005920EC" w14:paraId="259A6085" w14:textId="77777777" w:rsidTr="00004A4B">
            <w:trPr>
              <w:cantSplit/>
              <w:trHeight w:val="1125"/>
            </w:trPr>
            <w:tc>
              <w:tcPr>
                <w:tcW w:w="9242" w:type="dxa"/>
              </w:tcPr>
              <w:p w14:paraId="1880F096" w14:textId="2B29AED8" w:rsidR="005920EC" w:rsidRPr="00C63547" w:rsidRDefault="0069308A" w:rsidP="00021E92">
                <w:pPr>
                  <w:pStyle w:val="AbstractText"/>
                  <w:jc w:val="both"/>
                </w:pPr>
                <w:r>
                  <w:t xml:space="preserve">This paper assesses the impact of participation in the Enterprise Connect </w:t>
                </w:r>
                <w:r w:rsidR="00DC7603">
                  <w:t xml:space="preserve">(EC) </w:t>
                </w:r>
                <w:r>
                  <w:t>program on firm performance</w:t>
                </w:r>
                <w:r w:rsidR="00AA78C9">
                  <w:t>.</w:t>
                </w:r>
                <w:r w:rsidR="00021E92">
                  <w:t xml:space="preserve"> </w:t>
                </w:r>
                <w:r w:rsidR="00323598">
                  <w:t>A</w:t>
                </w:r>
                <w:r w:rsidR="00AA78C9">
                  <w:t xml:space="preserve"> counterfactual </w:t>
                </w:r>
                <w:r w:rsidR="00323598">
                  <w:t>(</w:t>
                </w:r>
                <w:r w:rsidR="00D77CAE">
                  <w:t>non-</w:t>
                </w:r>
                <w:r w:rsidR="00323598">
                  <w:t xml:space="preserve">treated) </w:t>
                </w:r>
                <w:r w:rsidR="00AA78C9">
                  <w:t>set of firms is</w:t>
                </w:r>
                <w:r w:rsidR="00605069">
                  <w:t xml:space="preserve"> constructed</w:t>
                </w:r>
                <w:r w:rsidR="00AA78C9">
                  <w:t xml:space="preserve"> using </w:t>
                </w:r>
                <w:r w:rsidR="00323598">
                  <w:t>observable characteristics in the Business Longitudinal Ana</w:t>
                </w:r>
                <w:r w:rsidR="00605069">
                  <w:t xml:space="preserve">lysis Data Environment (BLADE). </w:t>
                </w:r>
                <w:r w:rsidR="00CC4332">
                  <w:t xml:space="preserve">Average treatment </w:t>
                </w:r>
                <w:r w:rsidR="006C1D2C">
                  <w:t>effects</w:t>
                </w:r>
                <w:r w:rsidR="00CC4332">
                  <w:t xml:space="preserve"> on</w:t>
                </w:r>
                <w:r w:rsidR="00DC7603">
                  <w:t xml:space="preserve"> the treated (</w:t>
                </w:r>
                <w:r w:rsidR="004F71ED">
                  <w:t>ATT</w:t>
                </w:r>
                <w:r w:rsidR="00DC7603">
                  <w:t xml:space="preserve">) are </w:t>
                </w:r>
                <w:r w:rsidR="006C1D2C">
                  <w:t>estimated</w:t>
                </w:r>
                <w:r w:rsidR="00DC7603">
                  <w:t xml:space="preserve"> to compare the outcome of treated firms to </w:t>
                </w:r>
                <w:r w:rsidR="00E50B93">
                  <w:t xml:space="preserve">that of </w:t>
                </w:r>
                <w:r w:rsidR="00DC7603">
                  <w:t>the counterfactual</w:t>
                </w:r>
                <w:r w:rsidR="00E50B93">
                  <w:t>s</w:t>
                </w:r>
                <w:r w:rsidR="00DC7603">
                  <w:t xml:space="preserve"> </w:t>
                </w:r>
                <w:r w:rsidR="00E50B93">
                  <w:t>and</w:t>
                </w:r>
                <w:r w:rsidR="00DC7603">
                  <w:t xml:space="preserve"> obtain a reliable estimate of the average ‘additional’ impact of the EC program. </w:t>
                </w:r>
                <w:r w:rsidR="003C1837">
                  <w:t xml:space="preserve">The </w:t>
                </w:r>
                <w:r w:rsidR="003C1837">
                  <w:rPr>
                    <w:rFonts w:ascii="Arial" w:eastAsia="Arial" w:hAnsi="Arial" w:cs="Times New Roman"/>
                  </w:rPr>
                  <w:t xml:space="preserve">results </w:t>
                </w:r>
                <w:r w:rsidR="00792FC8">
                  <w:rPr>
                    <w:rFonts w:ascii="Arial" w:eastAsia="Arial" w:hAnsi="Arial" w:cs="Times New Roman"/>
                  </w:rPr>
                  <w:t xml:space="preserve">show </w:t>
                </w:r>
                <w:r w:rsidR="00E50B93">
                  <w:rPr>
                    <w:rFonts w:ascii="Arial" w:eastAsia="Arial" w:hAnsi="Arial" w:cs="Times New Roman"/>
                  </w:rPr>
                  <w:t xml:space="preserve">that </w:t>
                </w:r>
                <w:r w:rsidR="00792FC8">
                  <w:rPr>
                    <w:rFonts w:ascii="Arial" w:eastAsia="Arial" w:hAnsi="Arial" w:cs="Times New Roman"/>
                  </w:rPr>
                  <w:t xml:space="preserve">firms </w:t>
                </w:r>
                <w:r w:rsidR="00E50B93">
                  <w:rPr>
                    <w:rFonts w:ascii="Arial" w:eastAsia="Arial" w:hAnsi="Arial" w:cs="Times New Roman"/>
                  </w:rPr>
                  <w:t xml:space="preserve">that </w:t>
                </w:r>
                <w:r w:rsidR="00133974">
                  <w:rPr>
                    <w:rFonts w:ascii="Arial" w:eastAsia="Arial" w:hAnsi="Arial" w:cs="Times New Roman"/>
                  </w:rPr>
                  <w:t>received a Business R</w:t>
                </w:r>
                <w:r w:rsidR="00331856">
                  <w:rPr>
                    <w:rFonts w:ascii="Arial" w:eastAsia="Arial" w:hAnsi="Arial" w:cs="Times New Roman"/>
                  </w:rPr>
                  <w:t xml:space="preserve">eview and a grant </w:t>
                </w:r>
                <w:r w:rsidR="00792FC8">
                  <w:rPr>
                    <w:rFonts w:ascii="Arial" w:eastAsia="Arial" w:hAnsi="Arial" w:cs="Times New Roman"/>
                  </w:rPr>
                  <w:t xml:space="preserve">from the EC </w:t>
                </w:r>
                <w:r w:rsidR="000B568B">
                  <w:rPr>
                    <w:rFonts w:ascii="Arial" w:eastAsia="Arial" w:hAnsi="Arial" w:cs="Times New Roman"/>
                  </w:rPr>
                  <w:t>program</w:t>
                </w:r>
                <w:r w:rsidR="00E50B93">
                  <w:rPr>
                    <w:rFonts w:ascii="Arial" w:eastAsia="Arial" w:hAnsi="Arial" w:cs="Times New Roman"/>
                  </w:rPr>
                  <w:t xml:space="preserve"> performed better</w:t>
                </w:r>
                <w:r w:rsidR="00792FC8">
                  <w:rPr>
                    <w:rFonts w:ascii="Arial" w:eastAsia="Arial" w:hAnsi="Arial" w:cs="Times New Roman"/>
                  </w:rPr>
                  <w:t xml:space="preserve"> in terms</w:t>
                </w:r>
                <w:r w:rsidR="001E21C9">
                  <w:rPr>
                    <w:rFonts w:ascii="Arial" w:eastAsia="Arial" w:hAnsi="Arial" w:cs="Times New Roman"/>
                  </w:rPr>
                  <w:t xml:space="preserve"> of </w:t>
                </w:r>
                <w:r w:rsidR="008D54CE">
                  <w:rPr>
                    <w:rFonts w:ascii="Arial" w:eastAsia="Arial" w:hAnsi="Arial" w:cs="Times New Roman"/>
                  </w:rPr>
                  <w:t>growth</w:t>
                </w:r>
                <w:r w:rsidR="00193D84">
                  <w:rPr>
                    <w:rFonts w:ascii="Arial" w:eastAsia="Arial" w:hAnsi="Arial" w:cs="Times New Roman"/>
                  </w:rPr>
                  <w:t xml:space="preserve"> in turnover</w:t>
                </w:r>
                <w:r w:rsidR="0078072B">
                  <w:rPr>
                    <w:rFonts w:ascii="Arial" w:eastAsia="Arial" w:hAnsi="Arial" w:cs="Times New Roman"/>
                  </w:rPr>
                  <w:t>,</w:t>
                </w:r>
                <w:r w:rsidR="001E21C9">
                  <w:rPr>
                    <w:rFonts w:ascii="Arial" w:eastAsia="Arial" w:hAnsi="Arial" w:cs="Times New Roman"/>
                  </w:rPr>
                  <w:t xml:space="preserve"> employment</w:t>
                </w:r>
                <w:r w:rsidR="0078072B">
                  <w:rPr>
                    <w:rFonts w:ascii="Arial" w:eastAsia="Arial" w:hAnsi="Arial" w:cs="Times New Roman"/>
                  </w:rPr>
                  <w:t xml:space="preserve"> and </w:t>
                </w:r>
                <w:r w:rsidR="00F245EC">
                  <w:rPr>
                    <w:rFonts w:ascii="Arial" w:eastAsia="Arial" w:hAnsi="Arial" w:cs="Times New Roman"/>
                  </w:rPr>
                  <w:t>capital expenditure</w:t>
                </w:r>
                <w:r w:rsidR="0061227A">
                  <w:rPr>
                    <w:rFonts w:ascii="Arial" w:eastAsia="Arial" w:hAnsi="Arial" w:cs="Times New Roman"/>
                  </w:rPr>
                  <w:t>, as well as higher rates of survival</w:t>
                </w:r>
                <w:r w:rsidR="003C1837">
                  <w:rPr>
                    <w:rFonts w:ascii="Arial" w:eastAsia="Arial" w:hAnsi="Arial" w:cs="Times New Roman"/>
                  </w:rPr>
                  <w:t xml:space="preserve"> compared to similar non-participating firms</w:t>
                </w:r>
                <w:r w:rsidR="001E21C9">
                  <w:rPr>
                    <w:rFonts w:ascii="Arial" w:eastAsia="Arial" w:hAnsi="Arial" w:cs="Times New Roman"/>
                  </w:rPr>
                  <w:t>.</w:t>
                </w:r>
                <w:r w:rsidR="00792FC8">
                  <w:rPr>
                    <w:rFonts w:ascii="Arial" w:eastAsia="Arial" w:hAnsi="Arial" w:cs="Times New Roman"/>
                  </w:rPr>
                  <w:t xml:space="preserve"> However, </w:t>
                </w:r>
                <w:r w:rsidR="00B82E04">
                  <w:rPr>
                    <w:rFonts w:ascii="Arial" w:eastAsia="Arial" w:hAnsi="Arial" w:cs="Times New Roman"/>
                  </w:rPr>
                  <w:t>the size and direction of impacts differ across cohorts</w:t>
                </w:r>
                <w:r w:rsidR="00894D91">
                  <w:rPr>
                    <w:rFonts w:ascii="Arial" w:eastAsia="Arial" w:hAnsi="Arial" w:cs="Times New Roman"/>
                  </w:rPr>
                  <w:t xml:space="preserve"> and</w:t>
                </w:r>
                <w:r w:rsidR="00B82E04">
                  <w:rPr>
                    <w:rFonts w:ascii="Arial" w:eastAsia="Arial" w:hAnsi="Arial" w:cs="Times New Roman"/>
                  </w:rPr>
                  <w:t xml:space="preserve"> industries. </w:t>
                </w:r>
                <w:r w:rsidR="008267F5">
                  <w:rPr>
                    <w:rFonts w:ascii="Arial" w:eastAsia="Arial" w:hAnsi="Arial" w:cs="Times New Roman"/>
                  </w:rPr>
                  <w:t xml:space="preserve"> </w:t>
                </w:r>
              </w:p>
            </w:tc>
          </w:tr>
          <w:tr w:rsidR="005920EC" w14:paraId="400A9709" w14:textId="77777777" w:rsidTr="00004A4B">
            <w:trPr>
              <w:cantSplit/>
              <w:trHeight w:val="1125"/>
            </w:trPr>
            <w:tc>
              <w:tcPr>
                <w:tcW w:w="9242" w:type="dxa"/>
              </w:tcPr>
              <w:p w14:paraId="2E75975F" w14:textId="0DA3EFEE" w:rsidR="005920EC" w:rsidRPr="00116A9D" w:rsidRDefault="005920EC" w:rsidP="00004A4B">
                <w:pPr>
                  <w:pStyle w:val="JELCodeheader"/>
                  <w:rPr>
                    <w:b w:val="0"/>
                  </w:rPr>
                </w:pPr>
                <w:r w:rsidRPr="000502F2">
                  <w:rPr>
                    <w:color w:val="005CAF"/>
                  </w:rPr>
                  <w:t>JEL Codes:</w:t>
                </w:r>
                <w:r w:rsidRPr="000502F2">
                  <w:rPr>
                    <w:b w:val="0"/>
                    <w:color w:val="005CAF"/>
                  </w:rPr>
                  <w:t xml:space="preserve"> </w:t>
                </w:r>
                <w:r w:rsidR="00257BA1">
                  <w:rPr>
                    <w:b w:val="0"/>
                  </w:rPr>
                  <w:t>H</w:t>
                </w:r>
                <w:r w:rsidR="00341D71">
                  <w:rPr>
                    <w:b w:val="0"/>
                  </w:rPr>
                  <w:t>25</w:t>
                </w:r>
                <w:r w:rsidRPr="00116A9D">
                  <w:rPr>
                    <w:b w:val="0"/>
                  </w:rPr>
                  <w:t xml:space="preserve">, </w:t>
                </w:r>
                <w:r w:rsidR="00257BA1">
                  <w:rPr>
                    <w:b w:val="0"/>
                  </w:rPr>
                  <w:t>L25</w:t>
                </w:r>
                <w:r w:rsidR="00341D71">
                  <w:rPr>
                    <w:b w:val="0"/>
                  </w:rPr>
                  <w:t>, L26</w:t>
                </w:r>
              </w:p>
              <w:p w14:paraId="703CF52B" w14:textId="4311BEE3" w:rsidR="005920EC" w:rsidRDefault="005920EC" w:rsidP="00004A4B">
                <w:pPr>
                  <w:pStyle w:val="JELCodeheader"/>
                  <w:rPr>
                    <w:b w:val="0"/>
                  </w:rPr>
                </w:pPr>
                <w:r w:rsidRPr="000502F2">
                  <w:rPr>
                    <w:color w:val="005CAF"/>
                  </w:rPr>
                  <w:t>Keywords:</w:t>
                </w:r>
                <w:r w:rsidRPr="00116A9D">
                  <w:rPr>
                    <w:b w:val="0"/>
                  </w:rPr>
                  <w:t xml:space="preserve"> </w:t>
                </w:r>
                <w:r w:rsidR="00C06115">
                  <w:rPr>
                    <w:b w:val="0"/>
                  </w:rPr>
                  <w:t>Fir</w:t>
                </w:r>
                <w:r w:rsidR="00341D71">
                  <w:rPr>
                    <w:b w:val="0"/>
                  </w:rPr>
                  <w:t xml:space="preserve">m Performance, Impact Analysis, Innovation, Public Policy, Entrepreneurship </w:t>
                </w:r>
              </w:p>
              <w:p w14:paraId="6D9674C5" w14:textId="77777777" w:rsidR="005920EC" w:rsidRPr="002054C2" w:rsidRDefault="005920EC" w:rsidP="00004A4B">
                <w:pPr>
                  <w:pStyle w:val="JELCodeheader"/>
                </w:pPr>
              </w:p>
            </w:tc>
          </w:tr>
        </w:tbl>
        <w:p w14:paraId="71511CA4" w14:textId="7C9B89B5" w:rsidR="005920EC" w:rsidRDefault="005920EC" w:rsidP="00004A4B">
          <w:pPr>
            <w:pStyle w:val="CoverNormal"/>
          </w:pPr>
        </w:p>
        <w:p w14:paraId="4FC4C0C1" w14:textId="77777777" w:rsidR="005920EC" w:rsidRDefault="005920EC" w:rsidP="00004A4B">
          <w:r>
            <w:br w:type="page"/>
          </w:r>
        </w:p>
        <w:p w14:paraId="4A238BA6" w14:textId="77777777" w:rsidR="005920EC" w:rsidRDefault="005920EC" w:rsidP="00004A4B">
          <w:pPr>
            <w:pStyle w:val="CoverNormal"/>
          </w:pPr>
          <w:r>
            <w:rPr>
              <w:noProof/>
              <w:lang w:eastAsia="en-AU"/>
            </w:rPr>
            <w:lastRenderedPageBreak/>
            <w:drawing>
              <wp:anchor distT="0" distB="0" distL="114300" distR="114300" simplePos="0" relativeHeight="251658240" behindDoc="0" locked="0" layoutInCell="1" allowOverlap="1" wp14:anchorId="59E8AD04" wp14:editId="185541D0">
                <wp:simplePos x="0" y="0"/>
                <wp:positionH relativeFrom="column">
                  <wp:posOffset>1371600</wp:posOffset>
                </wp:positionH>
                <wp:positionV relativeFrom="paragraph">
                  <wp:posOffset>-66675</wp:posOffset>
                </wp:positionV>
                <wp:extent cx="3841040" cy="604800"/>
                <wp:effectExtent l="0" t="0" r="7620" b="5080"/>
                <wp:wrapSquare wrapText="bothSides"/>
                <wp:docPr id="15" name="Picture 15" descr="Office of the Chief Economi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1040" cy="604800"/>
                        </a:xfrm>
                        <a:prstGeom prst="rect">
                          <a:avLst/>
                        </a:prstGeom>
                      </pic:spPr>
                    </pic:pic>
                  </a:graphicData>
                </a:graphic>
                <wp14:sizeRelH relativeFrom="margin">
                  <wp14:pctWidth>0</wp14:pctWidth>
                </wp14:sizeRelH>
                <wp14:sizeRelV relativeFrom="margin">
                  <wp14:pctHeight>0</wp14:pctHeight>
                </wp14:sizeRelV>
              </wp:anchor>
            </w:drawing>
          </w:r>
          <w:r>
            <w:br/>
          </w:r>
        </w:p>
        <w:p w14:paraId="50B1297C" w14:textId="77777777" w:rsidR="005920EC" w:rsidRDefault="005920EC" w:rsidP="00004A4B">
          <w:pPr>
            <w:pStyle w:val="CoverNormal"/>
          </w:pPr>
        </w:p>
        <w:p w14:paraId="37914D25" w14:textId="0C6BC129" w:rsidR="005920EC" w:rsidRDefault="000205E3" w:rsidP="000205E3">
          <w:pPr>
            <w:pStyle w:val="DisclaimerHeading"/>
            <w:keepNext/>
            <w:spacing w:before="600"/>
            <w:outlineLvl w:val="7"/>
          </w:pPr>
          <w:r>
            <w:t>For</w:t>
          </w:r>
          <w:r w:rsidR="00045CC0" w:rsidRPr="00045CC0">
            <w:rPr>
              <w:color w:val="FFFFFF" w:themeColor="background2"/>
            </w:rPr>
            <w:t>f</w:t>
          </w:r>
          <w:r w:rsidR="005920EC" w:rsidRPr="00F12E30">
            <w:t xml:space="preserve">further information on this research paper please </w:t>
          </w:r>
          <w:r w:rsidR="005920EC" w:rsidRPr="00B91524">
            <w:t xml:space="preserve">contact: </w:t>
          </w:r>
        </w:p>
        <w:p w14:paraId="5C4948C6" w14:textId="19CA8CC0" w:rsidR="005920EC" w:rsidRPr="00EC76AE" w:rsidRDefault="005E4F85" w:rsidP="00004A4B">
          <w:pPr>
            <w:pStyle w:val="DisclaimerandAcknowledgement"/>
          </w:pPr>
          <w:r>
            <w:t>Angelina Bruno</w:t>
          </w:r>
        </w:p>
        <w:p w14:paraId="0279C6F3" w14:textId="2A0870B3" w:rsidR="005920EC" w:rsidRPr="00EC76AE" w:rsidRDefault="005E4F85" w:rsidP="00004A4B">
          <w:pPr>
            <w:pStyle w:val="DisclaimerandAcknowledgement"/>
          </w:pPr>
          <w:r>
            <w:t xml:space="preserve">Industry and Firm Analysis </w:t>
          </w:r>
        </w:p>
        <w:p w14:paraId="14D204CA" w14:textId="77777777" w:rsidR="005920EC" w:rsidRPr="00B91524" w:rsidRDefault="005920EC" w:rsidP="00004A4B">
          <w:pPr>
            <w:pStyle w:val="DisclaimerandAcknowledgement"/>
          </w:pPr>
          <w:r w:rsidRPr="00B91524">
            <w:t>Department of Industry</w:t>
          </w:r>
          <w:r>
            <w:t>, Innovation and Science</w:t>
          </w:r>
        </w:p>
        <w:p w14:paraId="580E68D0" w14:textId="07440F2C" w:rsidR="005920EC" w:rsidRPr="00EC76AE" w:rsidRDefault="003A6FBB" w:rsidP="00004A4B">
          <w:pPr>
            <w:pStyle w:val="DisclaimerandAcknowledgement"/>
          </w:pPr>
          <w:r>
            <w:t>GPO Box 2013</w:t>
          </w:r>
        </w:p>
        <w:p w14:paraId="3BD7E395" w14:textId="77777777" w:rsidR="005920EC" w:rsidRPr="00EC76AE" w:rsidRDefault="005920EC" w:rsidP="00004A4B">
          <w:pPr>
            <w:pStyle w:val="DisclaimerandAcknowledgement"/>
          </w:pPr>
          <w:r w:rsidRPr="00EC76AE">
            <w:t>Canberra ACT 2601</w:t>
          </w:r>
        </w:p>
        <w:p w14:paraId="644293CF" w14:textId="2B7CF360" w:rsidR="005920EC" w:rsidRPr="00EC76AE" w:rsidRDefault="001D5550" w:rsidP="00004A4B">
          <w:pPr>
            <w:pStyle w:val="DisclaimerandAcknowledgement"/>
          </w:pPr>
          <w:r w:rsidRPr="00EC76AE">
            <w:t>Phone:</w:t>
          </w:r>
          <w:r w:rsidR="005920EC">
            <w:t xml:space="preserve"> +61 2 </w:t>
          </w:r>
          <w:r w:rsidR="00D72FC1">
            <w:t>6102 9975</w:t>
          </w:r>
        </w:p>
        <w:p w14:paraId="692D4D61" w14:textId="252C86C7" w:rsidR="005920EC" w:rsidRDefault="005920EC" w:rsidP="00004A4B">
          <w:pPr>
            <w:pStyle w:val="DisclaimerandAcknowledgement"/>
            <w:rPr>
              <w:rStyle w:val="HyperlinkStyleChar"/>
            </w:rPr>
          </w:pPr>
          <w:r w:rsidRPr="00EC76AE">
            <w:t xml:space="preserve">Email: </w:t>
          </w:r>
          <w:r w:rsidR="001F6300">
            <w:t>Angelina.Bruno</w:t>
          </w:r>
          <w:r>
            <w:t>@industry.gov.au</w:t>
          </w:r>
        </w:p>
        <w:p w14:paraId="09FE72A2" w14:textId="77777777" w:rsidR="005920EC" w:rsidRPr="00EC76AE" w:rsidRDefault="005920EC" w:rsidP="00004A4B">
          <w:pPr>
            <w:pStyle w:val="DisclaimerHeading"/>
            <w:keepNext/>
            <w:numPr>
              <w:ilvl w:val="7"/>
              <w:numId w:val="3"/>
            </w:numPr>
            <w:spacing w:before="600"/>
            <w:ind w:left="2160"/>
            <w:outlineLvl w:val="7"/>
          </w:pPr>
          <w:r w:rsidRPr="00EC76AE">
            <w:t>Disclaimer</w:t>
          </w:r>
        </w:p>
        <w:p w14:paraId="01807604" w14:textId="77777777" w:rsidR="005920EC" w:rsidRDefault="005920EC" w:rsidP="00004A4B">
          <w:pPr>
            <w:pStyle w:val="DisclaimerandAcknowledgement"/>
          </w:pPr>
          <w:r>
            <w:t xml:space="preserve">The views expressed in this report are those of the author(s) and do not necessarily reflect those of the Australian Government or the Department of </w:t>
          </w:r>
          <w:r w:rsidRPr="00B91524">
            <w:t>Industry</w:t>
          </w:r>
          <w:r>
            <w:t>, Innovation and Science.</w:t>
          </w:r>
        </w:p>
        <w:p w14:paraId="383C1DAB" w14:textId="0335075B" w:rsidR="005920EC" w:rsidRPr="00EC76AE" w:rsidRDefault="005920EC" w:rsidP="00004A4B">
          <w:pPr>
            <w:pStyle w:val="DisclaimerandAcknowledgement"/>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3A4982">
            <w:rPr>
              <w:noProof/>
            </w:rPr>
            <w:t>2020</w:t>
          </w:r>
          <w:r>
            <w:fldChar w:fldCharType="end"/>
          </w:r>
          <w:r>
            <w:t>.</w:t>
          </w:r>
          <w:r w:rsidRPr="00EC76AE">
            <w:t xml:space="preserve"> </w:t>
          </w:r>
        </w:p>
        <w:p w14:paraId="754AF506" w14:textId="10A5E439" w:rsidR="005920EC" w:rsidRDefault="005920EC" w:rsidP="00004A4B">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8241" behindDoc="0" locked="0" layoutInCell="1" allowOverlap="1" wp14:anchorId="22894872" wp14:editId="07ACFEC1">
                <wp:simplePos x="0" y="0"/>
                <wp:positionH relativeFrom="column">
                  <wp:posOffset>1374140</wp:posOffset>
                </wp:positionH>
                <wp:positionV relativeFrom="paragraph">
                  <wp:posOffset>1024890</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7"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8" w:tooltip="www.industry.gov.au/OCE" w:history="1">
            <w:r w:rsidRPr="001B6EF9">
              <w:rPr>
                <w:rStyle w:val="Hyperlink"/>
              </w:rPr>
              <w:t>www.industry.gov.au/OCE</w:t>
            </w:r>
          </w:hyperlink>
        </w:p>
        <w:p w14:paraId="57A6CC8E" w14:textId="77777777" w:rsidR="005920EC" w:rsidRDefault="005920EC" w:rsidP="00004A4B">
          <w:pPr>
            <w:pStyle w:val="DisclaimerandAcknowledgement"/>
            <w:rPr>
              <w:rStyle w:val="HyperlinkStyleChar"/>
              <w:sz w:val="18"/>
            </w:rPr>
          </w:pPr>
        </w:p>
        <w:p w14:paraId="35025AA6" w14:textId="77777777" w:rsidR="005920EC" w:rsidRDefault="005920EC" w:rsidP="00004A4B">
          <w:pPr>
            <w:rPr>
              <w:rStyle w:val="HyperlinkStyleChar"/>
              <w:rFonts w:cs="Arial"/>
              <w:b/>
              <w:color w:val="595A5B"/>
              <w:sz w:val="18"/>
            </w:rPr>
          </w:pPr>
        </w:p>
        <w:p w14:paraId="365C5DD5" w14:textId="77777777" w:rsidR="005920EC" w:rsidRPr="004D7A11" w:rsidRDefault="005920EC" w:rsidP="00004A4B">
          <w:pPr>
            <w:pStyle w:val="DisclaimerHeading"/>
            <w:keepNext/>
            <w:numPr>
              <w:ilvl w:val="7"/>
              <w:numId w:val="3"/>
            </w:numPr>
            <w:spacing w:before="600"/>
            <w:ind w:left="2160"/>
            <w:outlineLvl w:val="7"/>
            <w:rPr>
              <w:rFonts w:eastAsia="Calibri"/>
            </w:rPr>
          </w:pPr>
          <w:r w:rsidRPr="004D7A11">
            <w:t>Creative Commons Licence</w:t>
          </w:r>
        </w:p>
        <w:p w14:paraId="108891D1" w14:textId="77777777" w:rsidR="005920EC" w:rsidRPr="00A1774F" w:rsidRDefault="005920EC" w:rsidP="00004A4B">
          <w:pPr>
            <w:pStyle w:val="DisclaimerandAcknowledgement"/>
          </w:pPr>
          <w:r w:rsidRPr="00A1774F">
            <w:t>With the exception of the Coat of Arms, this publication is licensed under a Creative Commons Attribution 3.0 Australia Licence.</w:t>
          </w:r>
        </w:p>
        <w:p w14:paraId="624EC5CE" w14:textId="77777777" w:rsidR="005920EC" w:rsidRPr="00A1774F" w:rsidRDefault="005920EC" w:rsidP="00004A4B">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 The full licence terms are available from http://creativecommons.org/lic</w:t>
          </w:r>
          <w:r>
            <w:t>enses/</w:t>
          </w:r>
          <w:r w:rsidRPr="00A1774F">
            <w:t>by/3.0/au/legalcode.</w:t>
          </w:r>
        </w:p>
        <w:p w14:paraId="03076999" w14:textId="77777777" w:rsidR="005920EC" w:rsidRPr="00A1774F" w:rsidRDefault="005920EC" w:rsidP="00004A4B">
          <w:pPr>
            <w:pStyle w:val="DisclaimerandAcknowledgement"/>
          </w:pPr>
          <w:r w:rsidRPr="00A1774F">
            <w:t>The Commonwealth’s preference is that you attribute this publication (and any material sourc</w:t>
          </w:r>
          <w:r>
            <w:t xml:space="preserve">ed from it) using the following </w:t>
          </w:r>
          <w:r w:rsidRPr="00A1774F">
            <w:t>wording:</w:t>
          </w:r>
        </w:p>
        <w:p w14:paraId="4E6ACC6D" w14:textId="77777777" w:rsidR="005920EC" w:rsidRDefault="005920EC" w:rsidP="00004A4B">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57E5D352" w14:textId="77777777" w:rsidR="00FD0635" w:rsidRDefault="00FD0635">
          <w:pPr>
            <w:spacing w:after="200" w:line="276" w:lineRule="auto"/>
            <w:ind w:left="0"/>
            <w:jc w:val="left"/>
          </w:pPr>
          <w:r>
            <w:br w:type="page"/>
          </w:r>
        </w:p>
        <w:tbl>
          <w:tblPr>
            <w:tblW w:w="6945" w:type="dxa"/>
            <w:tblInd w:w="2127" w:type="dxa"/>
            <w:shd w:val="clear" w:color="auto" w:fill="DEE8F1"/>
            <w:tblLayout w:type="fixed"/>
            <w:tblLook w:val="04A0" w:firstRow="1" w:lastRow="0" w:firstColumn="1" w:lastColumn="0" w:noHBand="0" w:noVBand="1"/>
          </w:tblPr>
          <w:tblGrid>
            <w:gridCol w:w="6945"/>
          </w:tblGrid>
          <w:tr w:rsidR="00FD0635" w14:paraId="5FB362F2" w14:textId="77777777" w:rsidTr="003A6FBB">
            <w:tc>
              <w:tcPr>
                <w:tcW w:w="6945" w:type="dxa"/>
                <w:shd w:val="clear" w:color="auto" w:fill="DEE8F1"/>
              </w:tcPr>
              <w:p w14:paraId="1CAE4F29" w14:textId="3A78A2B9" w:rsidR="00FD0635" w:rsidRPr="001835DD" w:rsidRDefault="00FD0635" w:rsidP="00193D84">
                <w:pPr>
                  <w:pStyle w:val="Keypointsheader"/>
                </w:pPr>
                <w:r w:rsidRPr="00AC3DDE">
                  <w:lastRenderedPageBreak/>
                  <w:t>Key points</w:t>
                </w:r>
              </w:p>
              <w:p w14:paraId="661F88F8" w14:textId="27476DF7" w:rsidR="00FD0635" w:rsidRDefault="00FD0635" w:rsidP="00193D84">
                <w:pPr>
                  <w:pStyle w:val="Keypointsbullet"/>
                  <w:ind w:left="317" w:right="155" w:hanging="252"/>
                </w:pPr>
                <w:r>
                  <w:t>L</w:t>
                </w:r>
                <w:r w:rsidR="006953B6">
                  <w:t xml:space="preserve">inking Departmental program data with the Business </w:t>
                </w:r>
                <w:r w:rsidR="004B3424">
                  <w:t>Longitudinal</w:t>
                </w:r>
                <w:r w:rsidR="006953B6">
                  <w:t xml:space="preserve"> </w:t>
                </w:r>
                <w:r w:rsidR="009B3B44">
                  <w:t xml:space="preserve">Analysis </w:t>
                </w:r>
                <w:r w:rsidR="006953B6">
                  <w:t xml:space="preserve">Data Environment (BLADE) enables an empirical impact study of </w:t>
                </w:r>
                <w:r w:rsidR="00E44C5E">
                  <w:t>the Enterprise Connect program</w:t>
                </w:r>
                <w:r w:rsidR="006953B6">
                  <w:t xml:space="preserve"> on participant firms </w:t>
                </w:r>
              </w:p>
              <w:p w14:paraId="692FF255" w14:textId="5CFBDE65" w:rsidR="00884DB8" w:rsidRDefault="0000269E" w:rsidP="00EA0B0C">
                <w:pPr>
                  <w:pStyle w:val="Keypointsbullet"/>
                  <w:ind w:left="317" w:right="155" w:hanging="252"/>
                </w:pPr>
                <w:r>
                  <w:t>EC participant</w:t>
                </w:r>
                <w:r w:rsidR="001D5550">
                  <w:t xml:space="preserve"> firms</w:t>
                </w:r>
                <w:r>
                  <w:t xml:space="preserve"> ha</w:t>
                </w:r>
                <w:r w:rsidR="00295803">
                  <w:t>d</w:t>
                </w:r>
                <w:r w:rsidR="00E172C9">
                  <w:t xml:space="preserve"> higher</w:t>
                </w:r>
                <w:r>
                  <w:t xml:space="preserve"> performance than </w:t>
                </w:r>
                <w:r w:rsidR="00D77CAE">
                  <w:t>non-</w:t>
                </w:r>
                <w:r>
                  <w:t>participants</w:t>
                </w:r>
                <w:r w:rsidR="001D5550">
                  <w:t xml:space="preserve"> firms</w:t>
                </w:r>
                <w:r>
                  <w:t xml:space="preserve">, in terms of </w:t>
                </w:r>
                <w:r w:rsidR="00884DB8">
                  <w:t xml:space="preserve">growth in turnover, </w:t>
                </w:r>
                <w:r>
                  <w:t>employment</w:t>
                </w:r>
                <w:r w:rsidR="00884DB8">
                  <w:t xml:space="preserve">, </w:t>
                </w:r>
                <w:r w:rsidR="008202F5">
                  <w:t>capital expenditure</w:t>
                </w:r>
                <w:r w:rsidR="00884DB8">
                  <w:t xml:space="preserve"> and survival rates</w:t>
                </w:r>
              </w:p>
              <w:p w14:paraId="1B9C9EFC" w14:textId="32133050" w:rsidR="00443DEA" w:rsidRDefault="00B212BC" w:rsidP="00443DEA">
                <w:pPr>
                  <w:pStyle w:val="Keypointsbullet"/>
                  <w:ind w:left="317" w:right="155" w:hanging="252"/>
                </w:pPr>
                <w:r>
                  <w:t xml:space="preserve">Micro and </w:t>
                </w:r>
                <w:r w:rsidR="0023664C">
                  <w:t xml:space="preserve">other </w:t>
                </w:r>
                <w:r>
                  <w:t xml:space="preserve">small </w:t>
                </w:r>
                <w:r w:rsidR="0023664C">
                  <w:t xml:space="preserve">employing </w:t>
                </w:r>
                <w:r w:rsidR="00443DEA">
                  <w:t xml:space="preserve">participant firms </w:t>
                </w:r>
                <w:r w:rsidR="00E172C9">
                  <w:t>were</w:t>
                </w:r>
                <w:r w:rsidR="00443DEA">
                  <w:t xml:space="preserve"> driving the growth in turnover</w:t>
                </w:r>
                <w:r>
                  <w:t xml:space="preserve">, </w:t>
                </w:r>
                <w:r w:rsidR="00443DEA">
                  <w:t>employment</w:t>
                </w:r>
                <w:r>
                  <w:t xml:space="preserve"> and capital expenditure </w:t>
                </w:r>
              </w:p>
              <w:p w14:paraId="4362A59F" w14:textId="6447AF81" w:rsidR="00787EB4" w:rsidRDefault="00EA0B0C" w:rsidP="00C324B8">
                <w:pPr>
                  <w:pStyle w:val="Keypointsbullet"/>
                  <w:ind w:left="317" w:right="155" w:hanging="252"/>
                </w:pPr>
                <w:r>
                  <w:t xml:space="preserve">Manufacturing firms and </w:t>
                </w:r>
                <w:r w:rsidR="001D5550">
                  <w:t xml:space="preserve">firms in the </w:t>
                </w:r>
                <w:r>
                  <w:t xml:space="preserve">Other Services </w:t>
                </w:r>
                <w:r w:rsidR="00936E14">
                  <w:t>industries</w:t>
                </w:r>
                <w:r>
                  <w:t xml:space="preserve"> </w:t>
                </w:r>
                <w:r w:rsidR="00787EB4">
                  <w:t>contribut</w:t>
                </w:r>
                <w:r w:rsidR="00E172C9">
                  <w:t>ed</w:t>
                </w:r>
                <w:r w:rsidR="00787EB4">
                  <w:t xml:space="preserve"> more to growth in turnover, employment and </w:t>
                </w:r>
                <w:r w:rsidR="008202F5">
                  <w:t xml:space="preserve">capital expenditure </w:t>
                </w:r>
                <w:r w:rsidR="00787EB4">
                  <w:t xml:space="preserve"> </w:t>
                </w:r>
              </w:p>
              <w:p w14:paraId="606D6472" w14:textId="441CB6D6" w:rsidR="00173EB6" w:rsidRDefault="00B12497" w:rsidP="00954FD6">
                <w:pPr>
                  <w:pStyle w:val="Keypointsbullet"/>
                  <w:ind w:left="317" w:right="155" w:hanging="252"/>
                </w:pPr>
                <w:r>
                  <w:t>Firms participating in both the EC and the R&amp;D</w:t>
                </w:r>
                <w:r w:rsidR="00E44C5E">
                  <w:t xml:space="preserve"> Tax Incentive (RDTI) program</w:t>
                </w:r>
                <w:r>
                  <w:t xml:space="preserve"> outperform firms only p</w:t>
                </w:r>
                <w:r w:rsidR="00E44C5E">
                  <w:t xml:space="preserve">articipating in the </w:t>
                </w:r>
                <w:r w:rsidR="00A84E58">
                  <w:t xml:space="preserve">RDTI </w:t>
                </w:r>
                <w:r w:rsidR="00E44C5E">
                  <w:t>program</w:t>
                </w:r>
                <w:r>
                  <w:t xml:space="preserve"> in terms of turnover growth</w:t>
                </w:r>
              </w:p>
            </w:tc>
          </w:tr>
        </w:tbl>
        <w:p w14:paraId="7FE7CF94" w14:textId="77777777" w:rsidR="00FD0635" w:rsidRDefault="00FD0635" w:rsidP="00FD0635">
          <w:pPr>
            <w:pStyle w:val="BodyText"/>
          </w:pPr>
        </w:p>
        <w:p w14:paraId="72315421" w14:textId="2EE3D9A4" w:rsidR="005920EC" w:rsidRPr="00FD0635" w:rsidRDefault="00FD0635" w:rsidP="00FD0635">
          <w:pPr>
            <w:spacing w:after="200" w:line="276" w:lineRule="auto"/>
            <w:ind w:left="0"/>
            <w:jc w:val="left"/>
            <w:rPr>
              <w:rFonts w:asciiTheme="minorHAnsi" w:hAnsiTheme="minorHAnsi"/>
            </w:rPr>
            <w:sectPr w:rsidR="005920EC" w:rsidRPr="00FD0635" w:rsidSect="00004A4B">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pgNumType w:start="0"/>
              <w:cols w:space="708"/>
              <w:titlePg/>
              <w:docGrid w:linePitch="360"/>
            </w:sectPr>
          </w:pPr>
          <w:r>
            <w:rPr>
              <w:rFonts w:asciiTheme="minorHAnsi" w:hAnsiTheme="minorHAnsi"/>
            </w:rPr>
            <w:br w:type="page"/>
          </w:r>
        </w:p>
      </w:sdtContent>
    </w:sdt>
    <w:p w14:paraId="6975615C" w14:textId="77777777" w:rsidR="00DC5EFA" w:rsidRDefault="005920EC" w:rsidP="005920EC">
      <w:pPr>
        <w:pStyle w:val="Heading1"/>
      </w:pPr>
      <w:r>
        <w:lastRenderedPageBreak/>
        <w:t xml:space="preserve">Introduction </w:t>
      </w:r>
    </w:p>
    <w:p w14:paraId="5724EB80" w14:textId="3198C3A7" w:rsidR="002B5105" w:rsidRDefault="00CB5F6F" w:rsidP="002B5105">
      <w:pPr>
        <w:pStyle w:val="BodyText"/>
      </w:pPr>
      <w:r>
        <w:t xml:space="preserve">Enterprise Connect (EC) </w:t>
      </w:r>
      <w:r w:rsidR="00BC4D1A">
        <w:t>was</w:t>
      </w:r>
      <w:r>
        <w:t xml:space="preserve"> </w:t>
      </w:r>
      <w:r w:rsidR="00BC4D1A">
        <w:t>launched on 21 May 2008</w:t>
      </w:r>
      <w:r>
        <w:t xml:space="preserve"> to provide advisory services tailored</w:t>
      </w:r>
      <w:r w:rsidRPr="00CB5F6F">
        <w:t xml:space="preserve"> </w:t>
      </w:r>
      <w:r w:rsidR="007315F6">
        <w:t xml:space="preserve">to </w:t>
      </w:r>
      <w:r w:rsidR="00204AFF">
        <w:t xml:space="preserve">the needs of </w:t>
      </w:r>
      <w:r>
        <w:t>Australian Small and Medium sized Enterprises (SMEs)</w:t>
      </w:r>
      <w:r w:rsidR="0046393C">
        <w:t xml:space="preserve">. </w:t>
      </w:r>
      <w:r w:rsidR="00204AFF">
        <w:t xml:space="preserve">Matched </w:t>
      </w:r>
      <w:r w:rsidR="00F147D3">
        <w:t>grants</w:t>
      </w:r>
      <w:r w:rsidR="00204AFF">
        <w:t xml:space="preserve"> were also provided </w:t>
      </w:r>
      <w:r w:rsidR="00121962">
        <w:t xml:space="preserve">to </w:t>
      </w:r>
      <w:r w:rsidR="00204AFF">
        <w:t>assist participants implement the advice received</w:t>
      </w:r>
      <w:r w:rsidR="00F147D3">
        <w:t xml:space="preserve">. </w:t>
      </w:r>
      <w:r w:rsidR="00791D20">
        <w:t xml:space="preserve">This </w:t>
      </w:r>
      <w:r w:rsidR="007B7476">
        <w:t>paper</w:t>
      </w:r>
      <w:r w:rsidR="00791D20">
        <w:t xml:space="preserve"> </w:t>
      </w:r>
      <w:r w:rsidR="00204AFF">
        <w:t>uses</w:t>
      </w:r>
      <w:r w:rsidR="009706E0">
        <w:t xml:space="preserve"> the </w:t>
      </w:r>
      <w:r w:rsidR="00204AFF">
        <w:t xml:space="preserve">identifiable </w:t>
      </w:r>
      <w:r w:rsidR="009706E0">
        <w:t xml:space="preserve">characteristics of participants to </w:t>
      </w:r>
      <w:r w:rsidR="00204AFF">
        <w:t>develop a quasi</w:t>
      </w:r>
      <w:r w:rsidR="00792861">
        <w:t>-</w:t>
      </w:r>
      <w:r w:rsidR="00204AFF">
        <w:t>control group</w:t>
      </w:r>
      <w:r w:rsidR="009706E0">
        <w:t xml:space="preserve"> </w:t>
      </w:r>
      <w:r w:rsidR="00204AFF">
        <w:t>of similar firms. This allows change in</w:t>
      </w:r>
      <w:r w:rsidR="009706E0">
        <w:t xml:space="preserve"> </w:t>
      </w:r>
      <w:r w:rsidR="00791D20">
        <w:t>financial performance of EC parti</w:t>
      </w:r>
      <w:r w:rsidR="005C32B2">
        <w:t>ci</w:t>
      </w:r>
      <w:r w:rsidR="00791D20">
        <w:t xml:space="preserve">pants </w:t>
      </w:r>
      <w:r w:rsidR="00204AFF">
        <w:t xml:space="preserve">to be compared with this </w:t>
      </w:r>
      <w:r w:rsidR="00156379">
        <w:t xml:space="preserve">counterfactual </w:t>
      </w:r>
      <w:r w:rsidR="00204AFF">
        <w:t>group in order to control for external factors when estimating the impact of EC on participants.</w:t>
      </w:r>
      <w:r w:rsidR="00780E6A">
        <w:t xml:space="preserve"> </w:t>
      </w:r>
      <w:r w:rsidR="00790EC6">
        <w:t xml:space="preserve">The impact of the EC program is </w:t>
      </w:r>
      <w:r w:rsidR="00C11821">
        <w:t xml:space="preserve">separately </w:t>
      </w:r>
      <w:r w:rsidR="00B3373A">
        <w:t xml:space="preserve">measured </w:t>
      </w:r>
      <w:r w:rsidR="00C11821">
        <w:t>for</w:t>
      </w:r>
      <w:r w:rsidR="00B3373A">
        <w:t xml:space="preserve"> each </w:t>
      </w:r>
      <w:r w:rsidR="00780E6A">
        <w:t>c</w:t>
      </w:r>
      <w:r w:rsidR="00232309">
        <w:t>ohort</w:t>
      </w:r>
      <w:r w:rsidR="002B2FBE">
        <w:t>, where a cohort is</w:t>
      </w:r>
      <w:r w:rsidR="00232309">
        <w:t xml:space="preserve"> defined by the year in which the </w:t>
      </w:r>
      <w:r w:rsidR="00780E6A">
        <w:t xml:space="preserve">firm </w:t>
      </w:r>
      <w:r w:rsidR="00C11821">
        <w:t>receives</w:t>
      </w:r>
      <w:r w:rsidR="00780E6A">
        <w:t xml:space="preserve"> </w:t>
      </w:r>
      <w:r w:rsidR="00204AFF">
        <w:t>assistance</w:t>
      </w:r>
      <w:r w:rsidR="00232309">
        <w:t>.</w:t>
      </w:r>
      <w:r w:rsidR="001A56D9">
        <w:t xml:space="preserve"> Results for each cohort are then combined into a pooled result to provide a general outcome.</w:t>
      </w:r>
      <w:r w:rsidR="00232309">
        <w:t xml:space="preserve"> </w:t>
      </w:r>
      <w:r w:rsidR="00E260AD">
        <w:t xml:space="preserve">The analysis is </w:t>
      </w:r>
      <w:r w:rsidR="00121962">
        <w:t xml:space="preserve">further </w:t>
      </w:r>
      <w:r w:rsidR="001A56D9">
        <w:t xml:space="preserve">split </w:t>
      </w:r>
      <w:r w:rsidR="00121962">
        <w:t xml:space="preserve">into </w:t>
      </w:r>
      <w:r w:rsidR="00E260AD">
        <w:t xml:space="preserve">three major industries: Manufacturing, PST and </w:t>
      </w:r>
      <w:r w:rsidR="00760583">
        <w:t xml:space="preserve">Other </w:t>
      </w:r>
      <w:r w:rsidR="00E260AD">
        <w:t>Services</w:t>
      </w:r>
      <w:r w:rsidR="006411DA">
        <w:t xml:space="preserve"> </w:t>
      </w:r>
      <w:r w:rsidR="00084862">
        <w:t>firms.</w:t>
      </w:r>
      <w:r w:rsidR="001E21C9">
        <w:rPr>
          <w:rStyle w:val="FootnoteReference"/>
        </w:rPr>
        <w:footnoteReference w:id="2"/>
      </w:r>
      <w:r w:rsidR="00E260AD">
        <w:t xml:space="preserve"> </w:t>
      </w:r>
    </w:p>
    <w:p w14:paraId="6463AFAC" w14:textId="0975B5D7" w:rsidR="00AE38A8" w:rsidRDefault="001A56D9" w:rsidP="002B5105">
      <w:pPr>
        <w:pStyle w:val="BodyText"/>
      </w:pPr>
      <w:r>
        <w:t xml:space="preserve">The </w:t>
      </w:r>
      <w:r w:rsidR="002840CE">
        <w:t xml:space="preserve">closure of </w:t>
      </w:r>
      <w:r>
        <w:t xml:space="preserve">EC </w:t>
      </w:r>
      <w:r w:rsidR="003F4A68">
        <w:t xml:space="preserve">was </w:t>
      </w:r>
      <w:r w:rsidR="002840CE">
        <w:t xml:space="preserve">announced in May 2014 with the majority of </w:t>
      </w:r>
      <w:r w:rsidR="00DB630F">
        <w:t xml:space="preserve">program </w:t>
      </w:r>
      <w:r w:rsidR="002840CE">
        <w:t>activities concluded</w:t>
      </w:r>
      <w:r w:rsidR="003F4A68">
        <w:t xml:space="preserve"> by </w:t>
      </w:r>
      <w:r w:rsidR="002840CE">
        <w:t xml:space="preserve">December 2014. </w:t>
      </w:r>
      <w:r>
        <w:t>The</w:t>
      </w:r>
      <w:r w:rsidR="003F4A68">
        <w:t xml:space="preserve"> </w:t>
      </w:r>
      <w:r w:rsidR="00121962">
        <w:t xml:space="preserve">new </w:t>
      </w:r>
      <w:r w:rsidR="003F4A68">
        <w:t xml:space="preserve">Entrepreneurs’ </w:t>
      </w:r>
      <w:r w:rsidR="000B568B">
        <w:t>Program</w:t>
      </w:r>
      <w:r w:rsidR="00BB5F4E">
        <w:t xml:space="preserve">me </w:t>
      </w:r>
      <w:r w:rsidR="003F4A68">
        <w:t>(EP)</w:t>
      </w:r>
      <w:r w:rsidR="002840CE">
        <w:t xml:space="preserve"> was announced in May 2014. EP </w:t>
      </w:r>
      <w:r w:rsidR="00AE38A8">
        <w:t>drew together</w:t>
      </w:r>
      <w:r w:rsidR="002840CE">
        <w:t xml:space="preserve"> some of the </w:t>
      </w:r>
      <w:r w:rsidR="00AE38A8">
        <w:t xml:space="preserve">key elements of a number of closing programs including EC. EP is </w:t>
      </w:r>
      <w:r w:rsidR="003F4A68">
        <w:t xml:space="preserve">an important pillar of </w:t>
      </w:r>
      <w:r w:rsidR="00AE38A8">
        <w:t xml:space="preserve">both the National Industry and Competitiveness Agenda and </w:t>
      </w:r>
      <w:r w:rsidR="003F4A68">
        <w:t xml:space="preserve">the National Innovation and </w:t>
      </w:r>
      <w:r w:rsidR="003F4A68" w:rsidRPr="00C91291">
        <w:t>Science Agenda (NISA).</w:t>
      </w:r>
      <w:r w:rsidR="003F4A68">
        <w:t xml:space="preserve"> </w:t>
      </w:r>
    </w:p>
    <w:p w14:paraId="2F724248" w14:textId="4524451E" w:rsidR="00C91291" w:rsidRDefault="00F50694" w:rsidP="002B5105">
      <w:pPr>
        <w:pStyle w:val="BodyText"/>
      </w:pPr>
      <w:r>
        <w:t>The</w:t>
      </w:r>
      <w:r w:rsidR="003F4A68">
        <w:t xml:space="preserve"> </w:t>
      </w:r>
      <w:r w:rsidR="00AE38A8">
        <w:t>Business Management element of</w:t>
      </w:r>
      <w:r w:rsidR="003F4A68">
        <w:t xml:space="preserve"> EP </w:t>
      </w:r>
      <w:r w:rsidR="00AE38A8">
        <w:t xml:space="preserve">built on and </w:t>
      </w:r>
      <w:r w:rsidR="00751D18">
        <w:t>improved</w:t>
      </w:r>
      <w:r w:rsidR="003F4A68">
        <w:t xml:space="preserve"> the </w:t>
      </w:r>
      <w:r w:rsidR="00AE38A8">
        <w:t xml:space="preserve">Business Review service and the Tailored Advisory Service Grant provided under </w:t>
      </w:r>
      <w:r w:rsidR="003F4A68">
        <w:t>EC</w:t>
      </w:r>
      <w:r>
        <w:t>. Therefore</w:t>
      </w:r>
      <w:r w:rsidR="003F4A68">
        <w:t xml:space="preserve"> it is expected that this paper will help inform policy development of the EP. This </w:t>
      </w:r>
      <w:r w:rsidR="00C91291" w:rsidRPr="00C91291">
        <w:t xml:space="preserve">research is to update and expand on </w:t>
      </w:r>
      <w:r w:rsidR="00512F54">
        <w:t xml:space="preserve">exploratory work the </w:t>
      </w:r>
      <w:r w:rsidR="00512F54" w:rsidRPr="00C91291">
        <w:t>ABS</w:t>
      </w:r>
      <w:r w:rsidR="00512F54">
        <w:t xml:space="preserve"> undertook in 2013</w:t>
      </w:r>
      <w:r w:rsidR="00512F54">
        <w:rPr>
          <w:rStyle w:val="FootnoteReference"/>
        </w:rPr>
        <w:footnoteReference w:id="3"/>
      </w:r>
      <w:r w:rsidR="00C91291" w:rsidRPr="00C91291">
        <w:t>, and to provide a standardised assessment strategy, that can be repeated as financial data</w:t>
      </w:r>
      <w:r w:rsidR="003F4A68">
        <w:t xml:space="preserve"> on the EP</w:t>
      </w:r>
      <w:r w:rsidR="00C91291" w:rsidRPr="00C91291">
        <w:t xml:space="preserve"> is made available</w:t>
      </w:r>
      <w:r w:rsidR="003F4A68">
        <w:t xml:space="preserve"> over 2015</w:t>
      </w:r>
      <w:r w:rsidR="00FF1370">
        <w:t>–</w:t>
      </w:r>
      <w:r w:rsidR="003F4A68">
        <w:t>16 to 2018</w:t>
      </w:r>
      <w:r w:rsidR="00FF1370">
        <w:t>–</w:t>
      </w:r>
      <w:r w:rsidR="003F4A68">
        <w:t xml:space="preserve">19. </w:t>
      </w:r>
    </w:p>
    <w:p w14:paraId="6FC88BBE" w14:textId="77777777" w:rsidR="002B5105" w:rsidRDefault="002B5105" w:rsidP="002B5105">
      <w:pPr>
        <w:pStyle w:val="Heading1"/>
      </w:pPr>
      <w:r>
        <w:t xml:space="preserve">Enterprise Connect Background </w:t>
      </w:r>
    </w:p>
    <w:p w14:paraId="1E4B48A4" w14:textId="42D504A9" w:rsidR="0066108A" w:rsidRDefault="0066108A" w:rsidP="0066108A">
      <w:pPr>
        <w:pStyle w:val="Heading2"/>
        <w:numPr>
          <w:ilvl w:val="1"/>
          <w:numId w:val="9"/>
        </w:numPr>
      </w:pPr>
      <w:r>
        <w:t>History</w:t>
      </w:r>
    </w:p>
    <w:p w14:paraId="5B5406D4" w14:textId="150112F0" w:rsidR="000926D2" w:rsidRDefault="00C74091" w:rsidP="00326400">
      <w:pPr>
        <w:pStyle w:val="BodyText"/>
      </w:pPr>
      <w:r>
        <w:t xml:space="preserve">The </w:t>
      </w:r>
      <w:r w:rsidRPr="000E300E">
        <w:t>E</w:t>
      </w:r>
      <w:r w:rsidR="00265438" w:rsidRPr="000E300E">
        <w:t>C</w:t>
      </w:r>
      <w:r w:rsidRPr="00C74091">
        <w:t xml:space="preserve"> </w:t>
      </w:r>
      <w:r w:rsidR="000B568B">
        <w:t>program</w:t>
      </w:r>
      <w:r>
        <w:t xml:space="preserve"> </w:t>
      </w:r>
      <w:r w:rsidR="0066108A">
        <w:t xml:space="preserve">was launched on 21 May 2008 as </w:t>
      </w:r>
      <w:r w:rsidRPr="00C74091">
        <w:t xml:space="preserve">a network of </w:t>
      </w:r>
      <w:r w:rsidR="000926D2">
        <w:t xml:space="preserve">twelve </w:t>
      </w:r>
      <w:r w:rsidR="007418A8">
        <w:t>c</w:t>
      </w:r>
      <w:r w:rsidRPr="00C74091">
        <w:t xml:space="preserve">entres </w:t>
      </w:r>
      <w:r w:rsidR="00E14D76">
        <w:t xml:space="preserve">located </w:t>
      </w:r>
      <w:r w:rsidRPr="00C74091">
        <w:t xml:space="preserve">around Australia </w:t>
      </w:r>
      <w:r w:rsidR="000926D2">
        <w:t xml:space="preserve">with over 100 advisers </w:t>
      </w:r>
      <w:r w:rsidR="00F147D3">
        <w:t xml:space="preserve">dedicated to </w:t>
      </w:r>
      <w:r w:rsidR="00AE38A8">
        <w:t xml:space="preserve">delivering </w:t>
      </w:r>
      <w:r w:rsidR="00E14D76">
        <w:t xml:space="preserve">business improvement </w:t>
      </w:r>
      <w:r w:rsidR="000926D2">
        <w:t>services to Australian SMEs.</w:t>
      </w:r>
    </w:p>
    <w:p w14:paraId="53F28010" w14:textId="384580ED" w:rsidR="000926D2" w:rsidRDefault="000926D2" w:rsidP="00326400">
      <w:pPr>
        <w:pStyle w:val="BodyText"/>
      </w:pPr>
      <w:r w:rsidRPr="00C74091">
        <w:t xml:space="preserve">The Centres worked with industries as diverse as manufacturing, clean technology, defence, resources and the creative sector, the services were available to businesses whether they </w:t>
      </w:r>
      <w:r w:rsidR="00E14D76">
        <w:t>were</w:t>
      </w:r>
      <w:r w:rsidRPr="00C74091">
        <w:t xml:space="preserve"> located in metropolitan areas, country centres or remote Australia.</w:t>
      </w:r>
    </w:p>
    <w:p w14:paraId="6EB49675" w14:textId="10131DD6" w:rsidR="0066108A" w:rsidRDefault="0066108A" w:rsidP="00326400">
      <w:pPr>
        <w:pStyle w:val="BodyText"/>
      </w:pPr>
      <w:r>
        <w:lastRenderedPageBreak/>
        <w:t xml:space="preserve">Delivery of the </w:t>
      </w:r>
      <w:r w:rsidR="009B3B44" w:rsidRPr="000E300E">
        <w:t>EC</w:t>
      </w:r>
      <w:r>
        <w:t xml:space="preserve"> program was built on the </w:t>
      </w:r>
      <w:r w:rsidR="00E14D76">
        <w:t>previous</w:t>
      </w:r>
      <w:r>
        <w:t xml:space="preserve"> Australian Industry Productivity Centres </w:t>
      </w:r>
      <w:r w:rsidRPr="001808AC">
        <w:t xml:space="preserve">(AIPC) </w:t>
      </w:r>
      <w:r w:rsidR="000B568B">
        <w:t>program</w:t>
      </w:r>
      <w:r>
        <w:t>. The AIPC was launched on 3 October 2007</w:t>
      </w:r>
      <w:r w:rsidRPr="001808AC">
        <w:t xml:space="preserve"> to provide b</w:t>
      </w:r>
      <w:r>
        <w:t>usiness improvement services to firms</w:t>
      </w:r>
      <w:r w:rsidRPr="001808AC">
        <w:t xml:space="preserve"> throughout Australia.</w:t>
      </w:r>
      <w:r>
        <w:t xml:space="preserve"> Eligible firms were those in both manufacturing and service</w:t>
      </w:r>
      <w:r w:rsidR="00792861">
        <w:t>-</w:t>
      </w:r>
      <w:r>
        <w:t>related sectors deemed to be trade</w:t>
      </w:r>
      <w:r w:rsidR="00D77CAE">
        <w:t>-</w:t>
      </w:r>
      <w:r>
        <w:t>exposed. Performance of early cohort</w:t>
      </w:r>
      <w:r w:rsidR="000B568B">
        <w:t>s may reflect the AIPC program</w:t>
      </w:r>
      <w:r>
        <w:t xml:space="preserve"> rather than </w:t>
      </w:r>
      <w:r w:rsidR="00404F5F">
        <w:t xml:space="preserve">the </w:t>
      </w:r>
      <w:r w:rsidR="009B3B44" w:rsidRPr="000E300E">
        <w:t>EC</w:t>
      </w:r>
      <w:r w:rsidR="00404F5F">
        <w:t xml:space="preserve"> program.</w:t>
      </w:r>
    </w:p>
    <w:p w14:paraId="35567FD9" w14:textId="527386EA" w:rsidR="0066108A" w:rsidRDefault="0066108A" w:rsidP="0066108A">
      <w:pPr>
        <w:pStyle w:val="Heading2"/>
        <w:numPr>
          <w:ilvl w:val="1"/>
          <w:numId w:val="9"/>
        </w:numPr>
      </w:pPr>
      <w:r>
        <w:t>Objective and rationale</w:t>
      </w:r>
    </w:p>
    <w:p w14:paraId="29EC54B4" w14:textId="784A957D" w:rsidR="001F339E" w:rsidRPr="000E300E" w:rsidRDefault="001F339E" w:rsidP="001F339E">
      <w:pPr>
        <w:pStyle w:val="BodyText"/>
      </w:pPr>
      <w:r>
        <w:t xml:space="preserve">The overarching </w:t>
      </w:r>
      <w:r w:rsidRPr="000E300E">
        <w:t xml:space="preserve">objective of the </w:t>
      </w:r>
      <w:r w:rsidR="009B3B44" w:rsidRPr="000E300E">
        <w:t>EC</w:t>
      </w:r>
      <w:r w:rsidRPr="000E300E">
        <w:t xml:space="preserve"> </w:t>
      </w:r>
      <w:r w:rsidR="000B568B" w:rsidRPr="000E300E">
        <w:t>program</w:t>
      </w:r>
      <w:r w:rsidR="00E14D76" w:rsidRPr="000E300E">
        <w:t xml:space="preserve"> </w:t>
      </w:r>
      <w:r w:rsidR="002A459C" w:rsidRPr="000E300E">
        <w:t>was</w:t>
      </w:r>
      <w:r w:rsidRPr="000E300E">
        <w:t xml:space="preserve"> to provide SMEs with better access to new ideas, knowledge and technologies, to enable business to become more innovative, efficient and competitive and to lift productivity across Australian industry.</w:t>
      </w:r>
      <w:r w:rsidR="00E353F7" w:rsidRPr="000E300E">
        <w:t xml:space="preserve"> </w:t>
      </w:r>
      <w:r w:rsidR="00E06C2C" w:rsidRPr="000E300E">
        <w:t>Measuring the change in outcome variables such as turnover, employment</w:t>
      </w:r>
      <w:r w:rsidR="007B1D86" w:rsidRPr="000E300E">
        <w:t>, export sales</w:t>
      </w:r>
      <w:r w:rsidR="00B212BC" w:rsidRPr="000E300E">
        <w:t>, capital expenditure</w:t>
      </w:r>
      <w:r w:rsidR="007B1D86" w:rsidRPr="000E300E">
        <w:t xml:space="preserve"> and survival rates attempts to assess</w:t>
      </w:r>
      <w:r w:rsidR="000B568B" w:rsidRPr="000E300E">
        <w:t xml:space="preserve"> the success of the EC program</w:t>
      </w:r>
      <w:r w:rsidR="007B1D86" w:rsidRPr="000E300E">
        <w:t xml:space="preserve"> in achieving its objectives.</w:t>
      </w:r>
      <w:r w:rsidR="00E06C2C" w:rsidRPr="000E300E">
        <w:t xml:space="preserve"> </w:t>
      </w:r>
    </w:p>
    <w:p w14:paraId="6E660CA7" w14:textId="54B1215B" w:rsidR="001F339E" w:rsidRPr="000E300E" w:rsidRDefault="001F339E" w:rsidP="001F339E">
      <w:pPr>
        <w:pStyle w:val="BodyText"/>
      </w:pPr>
      <w:r w:rsidRPr="000E300E">
        <w:t xml:space="preserve">The market failure that </w:t>
      </w:r>
      <w:r w:rsidR="00232436" w:rsidRPr="000E300E">
        <w:t xml:space="preserve">the </w:t>
      </w:r>
      <w:r w:rsidR="009B3B44" w:rsidRPr="000E300E">
        <w:t>EC</w:t>
      </w:r>
      <w:r w:rsidRPr="000E300E">
        <w:t xml:space="preserve"> </w:t>
      </w:r>
      <w:r w:rsidR="00232436" w:rsidRPr="000E300E">
        <w:t xml:space="preserve">program </w:t>
      </w:r>
      <w:r w:rsidRPr="000E300E">
        <w:t xml:space="preserve">was created to address was the failure of </w:t>
      </w:r>
      <w:r w:rsidR="00DC4800" w:rsidRPr="000E300E">
        <w:t>SME</w:t>
      </w:r>
      <w:r w:rsidRPr="000E300E">
        <w:t>s to seek professional advisory services to address strategic management issue</w:t>
      </w:r>
      <w:r w:rsidR="00EE2D1C" w:rsidRPr="000E300E">
        <w:t>s in their businesses. The</w:t>
      </w:r>
      <w:r w:rsidRPr="000E300E">
        <w:t xml:space="preserve"> ‘average’ SME owner </w:t>
      </w:r>
      <w:r w:rsidR="00EE2D1C" w:rsidRPr="000E300E">
        <w:t xml:space="preserve">often </w:t>
      </w:r>
      <w:r w:rsidRPr="000E300E">
        <w:t xml:space="preserve">lacked a formal business management qualification or experience. Managers/owners generally have extensive technical expertise and knowledge of their business, but lacked formal business management capability, including an understanding of technology or markets, or an inadequate capacity to absorb new technology. Gaps in these capabilities impede their adaptation to new technologies and ability to respond to new opportunities, leading to transition failures or learning failures. </w:t>
      </w:r>
    </w:p>
    <w:p w14:paraId="350BAC1B" w14:textId="1BD64D45" w:rsidR="0066108A" w:rsidRPr="000E300E" w:rsidRDefault="0066108A" w:rsidP="0066108A">
      <w:pPr>
        <w:pStyle w:val="Heading2"/>
        <w:numPr>
          <w:ilvl w:val="1"/>
          <w:numId w:val="9"/>
        </w:numPr>
      </w:pPr>
      <w:r w:rsidRPr="000E300E">
        <w:t>Services and grants</w:t>
      </w:r>
    </w:p>
    <w:p w14:paraId="72A3CCA2" w14:textId="6A10EE53" w:rsidR="00AE38A8" w:rsidRPr="000E300E" w:rsidRDefault="000926D2" w:rsidP="00326400">
      <w:pPr>
        <w:pStyle w:val="BodyText"/>
      </w:pPr>
      <w:r w:rsidRPr="000E300E">
        <w:t>T</w:t>
      </w:r>
      <w:r w:rsidR="00AE38A8" w:rsidRPr="000E300E">
        <w:t>he</w:t>
      </w:r>
      <w:r w:rsidRPr="000E300E">
        <w:t xml:space="preserve"> original </w:t>
      </w:r>
      <w:r w:rsidR="00AE38A8" w:rsidRPr="000E300E">
        <w:t xml:space="preserve">EC </w:t>
      </w:r>
      <w:r w:rsidR="00232436" w:rsidRPr="000E300E">
        <w:t xml:space="preserve">program </w:t>
      </w:r>
      <w:r w:rsidR="00AE38A8" w:rsidRPr="000E300E">
        <w:t>core services included the Business Review and the Tailored Advisory Service.</w:t>
      </w:r>
    </w:p>
    <w:p w14:paraId="4B46C050" w14:textId="4A8E9A58" w:rsidR="00AE38A8" w:rsidRDefault="00AE38A8" w:rsidP="00F11367">
      <w:pPr>
        <w:pStyle w:val="ListBullet"/>
        <w:numPr>
          <w:ilvl w:val="0"/>
          <w:numId w:val="4"/>
        </w:numPr>
      </w:pPr>
      <w:r w:rsidRPr="000E300E">
        <w:t xml:space="preserve">The </w:t>
      </w:r>
      <w:r w:rsidRPr="000E300E">
        <w:rPr>
          <w:b/>
        </w:rPr>
        <w:t>Business Review</w:t>
      </w:r>
      <w:r w:rsidRPr="000E300E">
        <w:t xml:space="preserve"> (BR) </w:t>
      </w:r>
      <w:r w:rsidR="000926D2" w:rsidRPr="000E300E">
        <w:t>provide</w:t>
      </w:r>
      <w:r w:rsidR="0031021C" w:rsidRPr="000E300E">
        <w:t>d</w:t>
      </w:r>
      <w:r w:rsidR="00EE2D1C">
        <w:t xml:space="preserve"> </w:t>
      </w:r>
      <w:r w:rsidR="000926D2" w:rsidRPr="00D94627">
        <w:t xml:space="preserve">SMEs </w:t>
      </w:r>
      <w:r w:rsidR="000926D2">
        <w:t xml:space="preserve">with </w:t>
      </w:r>
      <w:r w:rsidR="000926D2" w:rsidRPr="00D94627">
        <w:t xml:space="preserve">a holistic assessment of their </w:t>
      </w:r>
      <w:r w:rsidR="000926D2">
        <w:t>current performance</w:t>
      </w:r>
      <w:r w:rsidR="000B4F17">
        <w:t>,</w:t>
      </w:r>
      <w:r w:rsidR="000926D2">
        <w:t xml:space="preserve"> </w:t>
      </w:r>
      <w:r w:rsidR="000B4F17">
        <w:t>including benchmarking and a set</w:t>
      </w:r>
      <w:r w:rsidR="000926D2" w:rsidRPr="00D94627">
        <w:t xml:space="preserve"> of recommendations for improvement and</w:t>
      </w:r>
      <w:r w:rsidR="000926D2">
        <w:t xml:space="preserve"> </w:t>
      </w:r>
      <w:r w:rsidR="000926D2" w:rsidRPr="00D94627">
        <w:t>growth</w:t>
      </w:r>
      <w:r w:rsidR="000926D2">
        <w:t>.</w:t>
      </w:r>
    </w:p>
    <w:p w14:paraId="20F3E8F2" w14:textId="2A1CBA93" w:rsidR="00AE38A8" w:rsidRDefault="000926D2" w:rsidP="00F11367">
      <w:pPr>
        <w:pStyle w:val="ListBullet"/>
        <w:numPr>
          <w:ilvl w:val="0"/>
          <w:numId w:val="4"/>
        </w:numPr>
      </w:pPr>
      <w:r>
        <w:t>Firms that complete</w:t>
      </w:r>
      <w:r w:rsidR="00EE2D1C">
        <w:t>d</w:t>
      </w:r>
      <w:r>
        <w:t xml:space="preserve"> </w:t>
      </w:r>
      <w:r w:rsidRPr="00A63503">
        <w:t xml:space="preserve">a Business Review </w:t>
      </w:r>
      <w:r w:rsidR="00EE2D1C">
        <w:t>could</w:t>
      </w:r>
      <w:r w:rsidRPr="00A63503">
        <w:t xml:space="preserve"> apply for a </w:t>
      </w:r>
      <w:r w:rsidRPr="000926D2">
        <w:rPr>
          <w:b/>
        </w:rPr>
        <w:t>Tailored Advisory Service grant</w:t>
      </w:r>
      <w:r>
        <w:t xml:space="preserve"> </w:t>
      </w:r>
      <w:r w:rsidR="000B4F17">
        <w:t xml:space="preserve">to </w:t>
      </w:r>
      <w:r>
        <w:t>cover hal</w:t>
      </w:r>
      <w:r w:rsidRPr="00A63503">
        <w:t xml:space="preserve">f the cost, up to a maximum </w:t>
      </w:r>
      <w:r>
        <w:t xml:space="preserve">grant </w:t>
      </w:r>
      <w:r w:rsidRPr="00A63503">
        <w:t xml:space="preserve">of $20,000 (excluding GST), of engaging a consultant to </w:t>
      </w:r>
      <w:r>
        <w:t>implement Business Review recommendations.</w:t>
      </w:r>
    </w:p>
    <w:p w14:paraId="5ADF831C" w14:textId="6BFA4402" w:rsidR="00326400" w:rsidRDefault="000926D2" w:rsidP="00326400">
      <w:pPr>
        <w:pStyle w:val="BodyText"/>
      </w:pPr>
      <w:r>
        <w:t xml:space="preserve">Two other core services were </w:t>
      </w:r>
      <w:r w:rsidR="00F11367">
        <w:t>introduced</w:t>
      </w:r>
      <w:r>
        <w:t xml:space="preserve"> later. These included the Researches in Business grant which was introduced in 2009 and the Continuous Improvement Program w</w:t>
      </w:r>
      <w:r w:rsidR="00F11367">
        <w:t>hich was introduced in 2011</w:t>
      </w:r>
      <w:r>
        <w:t>.</w:t>
      </w:r>
    </w:p>
    <w:p w14:paraId="712A2418" w14:textId="087C4781" w:rsidR="00326400" w:rsidRDefault="00326400" w:rsidP="00326400">
      <w:pPr>
        <w:pStyle w:val="ListBullet"/>
        <w:numPr>
          <w:ilvl w:val="0"/>
          <w:numId w:val="4"/>
        </w:numPr>
      </w:pPr>
      <w:r w:rsidRPr="006967DB">
        <w:rPr>
          <w:b/>
        </w:rPr>
        <w:t>Researchers in Business</w:t>
      </w:r>
      <w:r>
        <w:t xml:space="preserve"> (RIB)</w:t>
      </w:r>
      <w:r w:rsidR="006D4E3A">
        <w:t xml:space="preserve"> </w:t>
      </w:r>
      <w:r w:rsidR="004C4C4A">
        <w:t>provided</w:t>
      </w:r>
      <w:r w:rsidR="00F11367">
        <w:t xml:space="preserve"> up to $50,000 in matched funding for SMEs </w:t>
      </w:r>
      <w:r w:rsidR="00F11367" w:rsidRPr="004A6117">
        <w:t>to engage a researcher to help</w:t>
      </w:r>
      <w:r w:rsidR="00F11367">
        <w:t xml:space="preserve"> </w:t>
      </w:r>
      <w:r w:rsidR="006D4E3A">
        <w:t>develop and implement a new idea with commercial potential</w:t>
      </w:r>
      <w:r w:rsidR="00F11367">
        <w:t>.</w:t>
      </w:r>
    </w:p>
    <w:p w14:paraId="03EFFE9A" w14:textId="138519F3" w:rsidR="00BF4156" w:rsidRDefault="00326400" w:rsidP="00A84C49">
      <w:pPr>
        <w:pStyle w:val="ListBullet"/>
        <w:numPr>
          <w:ilvl w:val="0"/>
          <w:numId w:val="4"/>
        </w:numPr>
      </w:pPr>
      <w:r w:rsidRPr="00A84C49">
        <w:rPr>
          <w:b/>
        </w:rPr>
        <w:t>Co</w:t>
      </w:r>
      <w:r w:rsidR="000B568B">
        <w:rPr>
          <w:b/>
        </w:rPr>
        <w:t>ntinuous Improvement Program</w:t>
      </w:r>
      <w:r w:rsidR="00114AA7">
        <w:t xml:space="preserve"> </w:t>
      </w:r>
      <w:r>
        <w:t>(CIP)</w:t>
      </w:r>
      <w:r w:rsidR="00662380">
        <w:t xml:space="preserve"> </w:t>
      </w:r>
      <w:r w:rsidR="00AE4DEA">
        <w:t>built</w:t>
      </w:r>
      <w:r w:rsidR="00AE4DEA" w:rsidRPr="00662380">
        <w:t xml:space="preserve"> </w:t>
      </w:r>
      <w:r w:rsidR="00662380" w:rsidRPr="00662380">
        <w:t>on a Business Review by incorporating the measurement of critical business information that w</w:t>
      </w:r>
      <w:r w:rsidR="004C4C4A">
        <w:t>ould</w:t>
      </w:r>
      <w:r w:rsidR="00662380" w:rsidRPr="00662380">
        <w:t xml:space="preserve"> be the foundation of the continuous improvement process.  The two cycle CIP</w:t>
      </w:r>
      <w:r w:rsidR="004C4C4A">
        <w:t xml:space="preserve"> engagement enabled</w:t>
      </w:r>
      <w:r w:rsidR="00662380" w:rsidRPr="00662380">
        <w:t xml:space="preserve"> sufficient time to implement and firmly embed the changes, with the ability to measure the outcomes and achievements</w:t>
      </w:r>
      <w:r w:rsidR="006967DB">
        <w:t xml:space="preserve">. CIP </w:t>
      </w:r>
      <w:r w:rsidR="006967DB">
        <w:lastRenderedPageBreak/>
        <w:t>also g</w:t>
      </w:r>
      <w:r w:rsidR="004C4C4A">
        <w:t>ave</w:t>
      </w:r>
      <w:r w:rsidR="006967DB">
        <w:t xml:space="preserve"> participants access to another $20,000 in matched funding through Tailored Advisory Service grants.</w:t>
      </w:r>
    </w:p>
    <w:p w14:paraId="6664F333" w14:textId="04BB72D9" w:rsidR="00CD0114" w:rsidRDefault="0030350C" w:rsidP="00326400">
      <w:pPr>
        <w:pStyle w:val="BodyText"/>
      </w:pPr>
      <w:r>
        <w:t xml:space="preserve">Only firms </w:t>
      </w:r>
      <w:r w:rsidR="00133974">
        <w:t>that received a B</w:t>
      </w:r>
      <w:r>
        <w:t>usines</w:t>
      </w:r>
      <w:r w:rsidR="00133974">
        <w:t>s R</w:t>
      </w:r>
      <w:r>
        <w:t xml:space="preserve">eview and subsequently succeeded in applying and </w:t>
      </w:r>
      <w:r w:rsidR="006821F5">
        <w:t>receiv</w:t>
      </w:r>
      <w:r>
        <w:t>ing</w:t>
      </w:r>
      <w:r w:rsidR="006821F5">
        <w:t xml:space="preserve"> a grant </w:t>
      </w:r>
      <w:r w:rsidR="006967DB">
        <w:t xml:space="preserve">(Tailored Advisory Service and Researchers in Business) </w:t>
      </w:r>
      <w:r w:rsidR="0013250E">
        <w:t>are analysed in this paper.</w:t>
      </w:r>
      <w:r w:rsidR="0013250E">
        <w:rPr>
          <w:rStyle w:val="FootnoteReference"/>
        </w:rPr>
        <w:t>4</w:t>
      </w:r>
    </w:p>
    <w:p w14:paraId="075F1228" w14:textId="5ADF517E" w:rsidR="0066108A" w:rsidRDefault="0066108A" w:rsidP="0066108A">
      <w:pPr>
        <w:pStyle w:val="Heading2"/>
        <w:numPr>
          <w:ilvl w:val="1"/>
          <w:numId w:val="9"/>
        </w:numPr>
      </w:pPr>
      <w:r>
        <w:t>Eligibility</w:t>
      </w:r>
    </w:p>
    <w:p w14:paraId="60D9BE7B" w14:textId="79070FCE" w:rsidR="00C020AE" w:rsidRDefault="00C020AE" w:rsidP="00C020AE">
      <w:pPr>
        <w:pStyle w:val="ListBullet"/>
        <w:ind w:left="0" w:firstLine="0"/>
      </w:pPr>
      <w:r>
        <w:t xml:space="preserve">To be eligible for </w:t>
      </w:r>
      <w:r w:rsidR="000B4F17">
        <w:t xml:space="preserve">all </w:t>
      </w:r>
      <w:r w:rsidR="009B3B44">
        <w:t>EC</w:t>
      </w:r>
      <w:r w:rsidR="006967DB">
        <w:t xml:space="preserve"> services and grants</w:t>
      </w:r>
      <w:r>
        <w:t xml:space="preserve"> a business must:</w:t>
      </w:r>
    </w:p>
    <w:p w14:paraId="1C6D53D8" w14:textId="102ABE27" w:rsidR="00C020AE" w:rsidRDefault="00C020AE" w:rsidP="001F66B4">
      <w:pPr>
        <w:pStyle w:val="ListBullet"/>
        <w:numPr>
          <w:ilvl w:val="0"/>
          <w:numId w:val="4"/>
        </w:numPr>
      </w:pPr>
      <w:r>
        <w:t>Possess an Australian Company Number (</w:t>
      </w:r>
      <w:r w:rsidR="00CB159F">
        <w:t>ACN</w:t>
      </w:r>
      <w:r>
        <w:t>) or Australian Business Number (ABN) for remote businesses</w:t>
      </w:r>
    </w:p>
    <w:p w14:paraId="2936532C" w14:textId="5BC8FD16" w:rsidR="00C020AE" w:rsidRDefault="00C020AE" w:rsidP="001F66B4">
      <w:pPr>
        <w:pStyle w:val="ListBullet"/>
        <w:numPr>
          <w:ilvl w:val="0"/>
          <w:numId w:val="4"/>
        </w:numPr>
      </w:pPr>
      <w:r>
        <w:t>Have revenue or expenditure between $750</w:t>
      </w:r>
      <w:r w:rsidR="00DC4800">
        <w:t>,000</w:t>
      </w:r>
      <w:r>
        <w:t xml:space="preserve"> and $100 million (depending on industry sector or region) in the current financial year or one of the two preceding financial years</w:t>
      </w:r>
    </w:p>
    <w:p w14:paraId="2424C7EB" w14:textId="77777777" w:rsidR="001F66B4" w:rsidRDefault="001F66B4" w:rsidP="001F66B4">
      <w:pPr>
        <w:pStyle w:val="ListBullet"/>
        <w:numPr>
          <w:ilvl w:val="0"/>
          <w:numId w:val="4"/>
        </w:numPr>
      </w:pPr>
      <w:r>
        <w:t>Be solvent</w:t>
      </w:r>
    </w:p>
    <w:p w14:paraId="3444B29D" w14:textId="5D53A780" w:rsidR="00C020AE" w:rsidRDefault="00C020AE" w:rsidP="001F66B4">
      <w:pPr>
        <w:pStyle w:val="ListBullet"/>
        <w:numPr>
          <w:ilvl w:val="0"/>
          <w:numId w:val="4"/>
        </w:numPr>
      </w:pPr>
      <w:r>
        <w:t>Have operated in Australia and filed Business Activity Statements showing ongoing trading in at least three full consecutive years</w:t>
      </w:r>
    </w:p>
    <w:p w14:paraId="4A850F4B" w14:textId="53263E05" w:rsidR="00C020AE" w:rsidRDefault="00C020AE" w:rsidP="001F66B4">
      <w:pPr>
        <w:pStyle w:val="ListBullet"/>
        <w:numPr>
          <w:ilvl w:val="0"/>
          <w:numId w:val="4"/>
        </w:numPr>
      </w:pPr>
      <w:r>
        <w:t xml:space="preserve">Be operating in an eligible industry sector or region </w:t>
      </w:r>
    </w:p>
    <w:p w14:paraId="5F9FBDB6" w14:textId="659370F6" w:rsidR="00A00723" w:rsidRDefault="00C020AE" w:rsidP="001F66B4">
      <w:pPr>
        <w:pStyle w:val="ListBullet"/>
        <w:numPr>
          <w:ilvl w:val="0"/>
          <w:numId w:val="4"/>
        </w:numPr>
      </w:pPr>
      <w:r>
        <w:t xml:space="preserve">Comply with its obligations under the Workplace Gender Equality Act 2012 </w:t>
      </w:r>
    </w:p>
    <w:p w14:paraId="6093EC7A" w14:textId="77777777" w:rsidR="00381F97" w:rsidRDefault="00381F97" w:rsidP="00381F97">
      <w:pPr>
        <w:pStyle w:val="Heading1"/>
      </w:pPr>
      <w:r>
        <w:t xml:space="preserve">Descriptive statistics </w:t>
      </w:r>
    </w:p>
    <w:p w14:paraId="25E3FA1C" w14:textId="3A45E02F" w:rsidR="004A6138" w:rsidRDefault="00934C68" w:rsidP="004A6138">
      <w:pPr>
        <w:pStyle w:val="Heading2"/>
      </w:pPr>
      <w:r>
        <w:t>Participant counts</w:t>
      </w:r>
    </w:p>
    <w:p w14:paraId="7898F014" w14:textId="4926EBF0" w:rsidR="00EE1BBF" w:rsidRDefault="00133B3E" w:rsidP="00EE1BBF">
      <w:pPr>
        <w:pStyle w:val="BodyText"/>
      </w:pPr>
      <w:r>
        <w:t>Firms p</w:t>
      </w:r>
      <w:r w:rsidR="000B568B">
        <w:t>articipating in the EC program</w:t>
      </w:r>
      <w:r>
        <w:t xml:space="preserve"> are</w:t>
      </w:r>
      <w:r w:rsidR="00D33C97">
        <w:t xml:space="preserve"> </w:t>
      </w:r>
      <w:r>
        <w:t xml:space="preserve">classified by their cohort. </w:t>
      </w:r>
      <w:r w:rsidR="00EE1BBF">
        <w:t xml:space="preserve">The cohort </w:t>
      </w:r>
      <w:r>
        <w:t xml:space="preserve">of each firm </w:t>
      </w:r>
      <w:r w:rsidR="00EE1BBF">
        <w:t xml:space="preserve">is defined by the year the participant firm </w:t>
      </w:r>
      <w:r w:rsidR="0004468C">
        <w:t>first engaged in the program.</w:t>
      </w:r>
      <w:r w:rsidR="00782E55">
        <w:t xml:space="preserve"> </w:t>
      </w:r>
      <w:r w:rsidR="00E33D52">
        <w:t>In the first year of the program</w:t>
      </w:r>
      <w:r w:rsidR="00DA31B6">
        <w:t xml:space="preserve"> </w:t>
      </w:r>
      <w:r w:rsidR="00B7316D">
        <w:t xml:space="preserve">there were </w:t>
      </w:r>
      <w:r w:rsidR="00E83367">
        <w:t>69</w:t>
      </w:r>
      <w:r w:rsidR="007147CD">
        <w:t xml:space="preserve"> participants</w:t>
      </w:r>
      <w:r w:rsidR="001E4D7C">
        <w:t xml:space="preserve"> </w:t>
      </w:r>
      <w:r w:rsidR="007147CD">
        <w:t>(</w:t>
      </w:r>
      <w:r w:rsidR="00426C03">
        <w:t xml:space="preserve">Table 3.1). </w:t>
      </w:r>
      <w:r w:rsidR="006A35BE">
        <w:t xml:space="preserve">The </w:t>
      </w:r>
      <w:r w:rsidR="00371E15">
        <w:t>overwhelming majority of grants are TAS grants (96.5 per cent) followed by RIB grants (2.7 per cent).</w:t>
      </w:r>
      <w:r w:rsidR="001D5EA9">
        <w:rPr>
          <w:rStyle w:val="FootnoteReference"/>
        </w:rPr>
        <w:footnoteReference w:id="4"/>
      </w:r>
      <w:r w:rsidR="00371E15">
        <w:t xml:space="preserve">  </w:t>
      </w:r>
    </w:p>
    <w:p w14:paraId="1FBCB353" w14:textId="57411A68" w:rsidR="00B70AD7" w:rsidRDefault="00B70AD7" w:rsidP="00B70AD7">
      <w:pPr>
        <w:pStyle w:val="Caption"/>
      </w:pPr>
      <w:r w:rsidRPr="000618FB">
        <w:lastRenderedPageBreak/>
        <w:t xml:space="preserve">Table </w:t>
      </w:r>
      <w:r w:rsidR="00790BD9">
        <w:rPr>
          <w:noProof/>
        </w:rPr>
        <w:fldChar w:fldCharType="begin"/>
      </w:r>
      <w:r w:rsidR="00790BD9">
        <w:rPr>
          <w:noProof/>
        </w:rPr>
        <w:instrText xml:space="preserve"> STYLEREF 1 \s </w:instrText>
      </w:r>
      <w:r w:rsidR="00790BD9">
        <w:rPr>
          <w:noProof/>
        </w:rPr>
        <w:fldChar w:fldCharType="separate"/>
      </w:r>
      <w:r w:rsidR="003A4982">
        <w:rPr>
          <w:noProof/>
        </w:rPr>
        <w:t>3</w:t>
      </w:r>
      <w:r w:rsidR="00790BD9">
        <w:rPr>
          <w:noProof/>
        </w:rPr>
        <w:fldChar w:fldCharType="end"/>
      </w:r>
      <w:r w:rsidRPr="000618FB">
        <w:t>.</w:t>
      </w:r>
      <w:r w:rsidR="00790BD9">
        <w:rPr>
          <w:noProof/>
        </w:rPr>
        <w:fldChar w:fldCharType="begin"/>
      </w:r>
      <w:r w:rsidR="00790BD9">
        <w:rPr>
          <w:noProof/>
        </w:rPr>
        <w:instrText xml:space="preserve"> SEQ Table \* ARABIC \s 1 </w:instrText>
      </w:r>
      <w:r w:rsidR="00790BD9">
        <w:rPr>
          <w:noProof/>
        </w:rPr>
        <w:fldChar w:fldCharType="separate"/>
      </w:r>
      <w:r w:rsidR="003A4982">
        <w:rPr>
          <w:noProof/>
        </w:rPr>
        <w:t>1</w:t>
      </w:r>
      <w:r w:rsidR="00790BD9">
        <w:rPr>
          <w:noProof/>
        </w:rPr>
        <w:fldChar w:fldCharType="end"/>
      </w:r>
      <w:r w:rsidRPr="000618FB">
        <w:t xml:space="preserve">: </w:t>
      </w:r>
      <w:r>
        <w:t>Pre</w:t>
      </w:r>
      <w:r w:rsidR="00FF1370">
        <w:t>–</w:t>
      </w:r>
      <w:r>
        <w:t>linked departmental data</w:t>
      </w:r>
      <w:r w:rsidR="00935AA4">
        <w:t xml:space="preserve">, counts </w:t>
      </w:r>
      <w:r>
        <w:t xml:space="preserve"> </w:t>
      </w:r>
    </w:p>
    <w:tbl>
      <w:tblPr>
        <w:tblStyle w:val="OCETable"/>
        <w:tblW w:w="2467" w:type="pct"/>
        <w:tblLayout w:type="fixed"/>
        <w:tblLook w:val="04A0" w:firstRow="1" w:lastRow="0" w:firstColumn="1" w:lastColumn="0" w:noHBand="0" w:noVBand="1"/>
        <w:tblCaption w:val="Table 3.1: Pre-linked departmental data, counts  "/>
      </w:tblPr>
      <w:tblGrid>
        <w:gridCol w:w="1701"/>
        <w:gridCol w:w="1700"/>
      </w:tblGrid>
      <w:tr w:rsidR="003756E7" w14:paraId="2F3A3BE0" w14:textId="77777777" w:rsidTr="00021E92">
        <w:trPr>
          <w:cnfStyle w:val="100000000000" w:firstRow="1" w:lastRow="0" w:firstColumn="0" w:lastColumn="0" w:oddVBand="0" w:evenVBand="0" w:oddHBand="0" w:evenHBand="0" w:firstRowFirstColumn="0" w:firstRowLastColumn="0" w:lastRowFirstColumn="0" w:lastRowLastColumn="0"/>
          <w:trHeight w:val="355"/>
          <w:tblHeader/>
        </w:trPr>
        <w:tc>
          <w:tcPr>
            <w:tcW w:w="1701" w:type="dxa"/>
          </w:tcPr>
          <w:p w14:paraId="19B6F157" w14:textId="77777777" w:rsidR="003756E7" w:rsidRDefault="003756E7" w:rsidP="00021E92">
            <w:pPr>
              <w:pStyle w:val="Tableheadertext"/>
              <w:rPr>
                <w:lang w:eastAsia="en-AU"/>
              </w:rPr>
            </w:pPr>
            <w:r>
              <w:rPr>
                <w:lang w:eastAsia="en-AU"/>
              </w:rPr>
              <w:t>Cohort</w:t>
            </w:r>
          </w:p>
        </w:tc>
        <w:tc>
          <w:tcPr>
            <w:tcW w:w="1701" w:type="dxa"/>
          </w:tcPr>
          <w:p w14:paraId="540DC48D" w14:textId="011F9A37" w:rsidR="003756E7" w:rsidRDefault="003756E7" w:rsidP="003756E7">
            <w:pPr>
              <w:pStyle w:val="Tableheadertext"/>
              <w:jc w:val="right"/>
              <w:rPr>
                <w:lang w:eastAsia="en-AU"/>
              </w:rPr>
            </w:pPr>
            <w:r>
              <w:rPr>
                <w:lang w:eastAsia="en-AU"/>
              </w:rPr>
              <w:t>EC firm count</w:t>
            </w:r>
          </w:p>
        </w:tc>
      </w:tr>
      <w:tr w:rsidR="003756E7" w14:paraId="6F3406EE" w14:textId="77777777" w:rsidTr="00021E92">
        <w:trPr>
          <w:cnfStyle w:val="000000100000" w:firstRow="0" w:lastRow="0" w:firstColumn="0" w:lastColumn="0" w:oddVBand="0" w:evenVBand="0" w:oddHBand="1" w:evenHBand="0" w:firstRowFirstColumn="0" w:firstRowLastColumn="0" w:lastRowFirstColumn="0" w:lastRowLastColumn="0"/>
          <w:trHeight w:val="259"/>
        </w:trPr>
        <w:tc>
          <w:tcPr>
            <w:tcW w:w="1701" w:type="dxa"/>
          </w:tcPr>
          <w:p w14:paraId="6817D45E" w14:textId="2816C1D8" w:rsidR="003756E7" w:rsidRDefault="003756E7" w:rsidP="00021E92">
            <w:pPr>
              <w:pStyle w:val="Tablebodytext"/>
              <w:rPr>
                <w:lang w:eastAsia="en-AU"/>
              </w:rPr>
            </w:pPr>
            <w:r>
              <w:rPr>
                <w:lang w:eastAsia="en-AU"/>
              </w:rPr>
              <w:t>2007–08</w:t>
            </w:r>
          </w:p>
        </w:tc>
        <w:tc>
          <w:tcPr>
            <w:tcW w:w="1701" w:type="dxa"/>
          </w:tcPr>
          <w:p w14:paraId="753E3995" w14:textId="77777777" w:rsidR="003756E7" w:rsidRDefault="003756E7" w:rsidP="00057CE0">
            <w:pPr>
              <w:pStyle w:val="Tablebodytext"/>
              <w:jc w:val="right"/>
              <w:rPr>
                <w:lang w:eastAsia="en-AU"/>
              </w:rPr>
            </w:pPr>
            <w:r>
              <w:rPr>
                <w:lang w:eastAsia="en-AU"/>
              </w:rPr>
              <w:t>69</w:t>
            </w:r>
          </w:p>
        </w:tc>
      </w:tr>
      <w:tr w:rsidR="003756E7" w14:paraId="4428EE61" w14:textId="77777777" w:rsidTr="00021E92">
        <w:trPr>
          <w:cnfStyle w:val="000000010000" w:firstRow="0" w:lastRow="0" w:firstColumn="0" w:lastColumn="0" w:oddVBand="0" w:evenVBand="0" w:oddHBand="0" w:evenHBand="1" w:firstRowFirstColumn="0" w:firstRowLastColumn="0" w:lastRowFirstColumn="0" w:lastRowLastColumn="0"/>
          <w:trHeight w:val="259"/>
        </w:trPr>
        <w:tc>
          <w:tcPr>
            <w:tcW w:w="1701" w:type="dxa"/>
          </w:tcPr>
          <w:p w14:paraId="39FAD7C4" w14:textId="75BD8E8B" w:rsidR="003756E7" w:rsidRDefault="003756E7" w:rsidP="00021E92">
            <w:pPr>
              <w:pStyle w:val="Tablebodytext"/>
              <w:rPr>
                <w:lang w:eastAsia="en-AU"/>
              </w:rPr>
            </w:pPr>
            <w:r>
              <w:rPr>
                <w:lang w:eastAsia="en-AU"/>
              </w:rPr>
              <w:t>2008–09</w:t>
            </w:r>
          </w:p>
        </w:tc>
        <w:tc>
          <w:tcPr>
            <w:tcW w:w="1701" w:type="dxa"/>
          </w:tcPr>
          <w:p w14:paraId="5B4A1588" w14:textId="77777777" w:rsidR="003756E7" w:rsidRDefault="003756E7" w:rsidP="00057CE0">
            <w:pPr>
              <w:pStyle w:val="Tablebodytext"/>
              <w:jc w:val="right"/>
              <w:rPr>
                <w:lang w:eastAsia="en-AU"/>
              </w:rPr>
            </w:pPr>
            <w:r>
              <w:rPr>
                <w:lang w:eastAsia="en-AU"/>
              </w:rPr>
              <w:t>339</w:t>
            </w:r>
          </w:p>
        </w:tc>
      </w:tr>
      <w:tr w:rsidR="003756E7" w14:paraId="09BBEE4D" w14:textId="77777777" w:rsidTr="00021E92">
        <w:trPr>
          <w:cnfStyle w:val="000000100000" w:firstRow="0" w:lastRow="0" w:firstColumn="0" w:lastColumn="0" w:oddVBand="0" w:evenVBand="0" w:oddHBand="1" w:evenHBand="0" w:firstRowFirstColumn="0" w:firstRowLastColumn="0" w:lastRowFirstColumn="0" w:lastRowLastColumn="0"/>
          <w:trHeight w:val="259"/>
        </w:trPr>
        <w:tc>
          <w:tcPr>
            <w:tcW w:w="1701" w:type="dxa"/>
          </w:tcPr>
          <w:p w14:paraId="714DCF42" w14:textId="4D78161B" w:rsidR="003756E7" w:rsidRDefault="003756E7" w:rsidP="00021E92">
            <w:pPr>
              <w:pStyle w:val="Tablebodytext"/>
              <w:rPr>
                <w:lang w:eastAsia="en-AU"/>
              </w:rPr>
            </w:pPr>
            <w:r>
              <w:rPr>
                <w:lang w:eastAsia="en-AU"/>
              </w:rPr>
              <w:t>2009–10</w:t>
            </w:r>
          </w:p>
        </w:tc>
        <w:tc>
          <w:tcPr>
            <w:tcW w:w="1701" w:type="dxa"/>
          </w:tcPr>
          <w:p w14:paraId="311B91FA" w14:textId="77777777" w:rsidR="003756E7" w:rsidRDefault="003756E7" w:rsidP="00057CE0">
            <w:pPr>
              <w:pStyle w:val="Tablebodytext"/>
              <w:jc w:val="right"/>
              <w:rPr>
                <w:lang w:eastAsia="en-AU"/>
              </w:rPr>
            </w:pPr>
            <w:r>
              <w:rPr>
                <w:lang w:eastAsia="en-AU"/>
              </w:rPr>
              <w:t>525</w:t>
            </w:r>
          </w:p>
        </w:tc>
      </w:tr>
      <w:tr w:rsidR="003756E7" w14:paraId="48B0EE07" w14:textId="77777777" w:rsidTr="00021E92">
        <w:trPr>
          <w:cnfStyle w:val="000000010000" w:firstRow="0" w:lastRow="0" w:firstColumn="0" w:lastColumn="0" w:oddVBand="0" w:evenVBand="0" w:oddHBand="0" w:evenHBand="1" w:firstRowFirstColumn="0" w:firstRowLastColumn="0" w:lastRowFirstColumn="0" w:lastRowLastColumn="0"/>
          <w:trHeight w:val="259"/>
        </w:trPr>
        <w:tc>
          <w:tcPr>
            <w:tcW w:w="1701" w:type="dxa"/>
          </w:tcPr>
          <w:p w14:paraId="09B1C895" w14:textId="5A99E8C6" w:rsidR="003756E7" w:rsidRDefault="003756E7" w:rsidP="00021E92">
            <w:pPr>
              <w:pStyle w:val="Tablebodytext"/>
              <w:rPr>
                <w:lang w:eastAsia="en-AU"/>
              </w:rPr>
            </w:pPr>
            <w:r>
              <w:rPr>
                <w:lang w:eastAsia="en-AU"/>
              </w:rPr>
              <w:t>2010–11</w:t>
            </w:r>
          </w:p>
        </w:tc>
        <w:tc>
          <w:tcPr>
            <w:tcW w:w="1701" w:type="dxa"/>
          </w:tcPr>
          <w:p w14:paraId="3F33FE56" w14:textId="77777777" w:rsidR="003756E7" w:rsidRDefault="003756E7" w:rsidP="00057CE0">
            <w:pPr>
              <w:pStyle w:val="Tablebodytext"/>
              <w:jc w:val="right"/>
              <w:rPr>
                <w:lang w:eastAsia="en-AU"/>
              </w:rPr>
            </w:pPr>
            <w:r>
              <w:rPr>
                <w:lang w:eastAsia="en-AU"/>
              </w:rPr>
              <w:t>645</w:t>
            </w:r>
          </w:p>
        </w:tc>
      </w:tr>
      <w:tr w:rsidR="003756E7" w14:paraId="4FA8DF27" w14:textId="77777777" w:rsidTr="00021E92">
        <w:trPr>
          <w:cnfStyle w:val="000000100000" w:firstRow="0" w:lastRow="0" w:firstColumn="0" w:lastColumn="0" w:oddVBand="0" w:evenVBand="0" w:oddHBand="1" w:evenHBand="0" w:firstRowFirstColumn="0" w:firstRowLastColumn="0" w:lastRowFirstColumn="0" w:lastRowLastColumn="0"/>
          <w:trHeight w:val="259"/>
        </w:trPr>
        <w:tc>
          <w:tcPr>
            <w:tcW w:w="1701" w:type="dxa"/>
          </w:tcPr>
          <w:p w14:paraId="46A852A4" w14:textId="25DB6055" w:rsidR="003756E7" w:rsidRDefault="003756E7" w:rsidP="00021E92">
            <w:pPr>
              <w:pStyle w:val="Tablebodytext"/>
              <w:rPr>
                <w:lang w:eastAsia="en-AU"/>
              </w:rPr>
            </w:pPr>
            <w:r>
              <w:rPr>
                <w:lang w:eastAsia="en-AU"/>
              </w:rPr>
              <w:t>2011–12</w:t>
            </w:r>
          </w:p>
        </w:tc>
        <w:tc>
          <w:tcPr>
            <w:tcW w:w="1701" w:type="dxa"/>
          </w:tcPr>
          <w:p w14:paraId="7395AA08" w14:textId="01FEFA8D" w:rsidR="003756E7" w:rsidRDefault="003756E7" w:rsidP="00057CE0">
            <w:pPr>
              <w:pStyle w:val="Tablebodytext"/>
              <w:jc w:val="right"/>
              <w:rPr>
                <w:lang w:eastAsia="en-AU"/>
              </w:rPr>
            </w:pPr>
            <w:r>
              <w:rPr>
                <w:lang w:eastAsia="en-AU"/>
              </w:rPr>
              <w:t>710</w:t>
            </w:r>
          </w:p>
        </w:tc>
      </w:tr>
      <w:tr w:rsidR="003756E7" w14:paraId="65E4CFD8" w14:textId="77777777" w:rsidTr="00021E92">
        <w:trPr>
          <w:cnfStyle w:val="000000010000" w:firstRow="0" w:lastRow="0" w:firstColumn="0" w:lastColumn="0" w:oddVBand="0" w:evenVBand="0" w:oddHBand="0" w:evenHBand="1" w:firstRowFirstColumn="0" w:firstRowLastColumn="0" w:lastRowFirstColumn="0" w:lastRowLastColumn="0"/>
          <w:trHeight w:val="259"/>
        </w:trPr>
        <w:tc>
          <w:tcPr>
            <w:tcW w:w="1701" w:type="dxa"/>
          </w:tcPr>
          <w:p w14:paraId="1C85CAE3" w14:textId="0D8BB164" w:rsidR="003756E7" w:rsidRDefault="003756E7" w:rsidP="00021E92">
            <w:pPr>
              <w:pStyle w:val="Tablebodytext"/>
              <w:rPr>
                <w:lang w:eastAsia="en-AU"/>
              </w:rPr>
            </w:pPr>
            <w:r>
              <w:rPr>
                <w:lang w:eastAsia="en-AU"/>
              </w:rPr>
              <w:t>2012–13</w:t>
            </w:r>
          </w:p>
        </w:tc>
        <w:tc>
          <w:tcPr>
            <w:tcW w:w="1701" w:type="dxa"/>
          </w:tcPr>
          <w:p w14:paraId="5040ED84" w14:textId="26144720" w:rsidR="003756E7" w:rsidRDefault="003756E7" w:rsidP="00057CE0">
            <w:pPr>
              <w:pStyle w:val="Tablebodytext"/>
              <w:jc w:val="right"/>
              <w:rPr>
                <w:lang w:eastAsia="en-AU"/>
              </w:rPr>
            </w:pPr>
            <w:r>
              <w:rPr>
                <w:lang w:eastAsia="en-AU"/>
              </w:rPr>
              <w:t>648</w:t>
            </w:r>
          </w:p>
        </w:tc>
      </w:tr>
      <w:tr w:rsidR="003756E7" w14:paraId="64A4E21D" w14:textId="77777777" w:rsidTr="00021E92">
        <w:trPr>
          <w:cnfStyle w:val="000000100000" w:firstRow="0" w:lastRow="0" w:firstColumn="0" w:lastColumn="0" w:oddVBand="0" w:evenVBand="0" w:oddHBand="1" w:evenHBand="0" w:firstRowFirstColumn="0" w:firstRowLastColumn="0" w:lastRowFirstColumn="0" w:lastRowLastColumn="0"/>
          <w:trHeight w:val="259"/>
        </w:trPr>
        <w:tc>
          <w:tcPr>
            <w:tcW w:w="1701" w:type="dxa"/>
          </w:tcPr>
          <w:p w14:paraId="16068B15" w14:textId="658925BF" w:rsidR="003756E7" w:rsidRDefault="003756E7" w:rsidP="00021E92">
            <w:pPr>
              <w:pStyle w:val="Tablebodytext"/>
              <w:rPr>
                <w:lang w:eastAsia="en-AU"/>
              </w:rPr>
            </w:pPr>
            <w:r>
              <w:rPr>
                <w:lang w:eastAsia="en-AU"/>
              </w:rPr>
              <w:t>2013–14</w:t>
            </w:r>
          </w:p>
        </w:tc>
        <w:tc>
          <w:tcPr>
            <w:tcW w:w="1701" w:type="dxa"/>
          </w:tcPr>
          <w:p w14:paraId="1DA8828B" w14:textId="77777777" w:rsidR="003756E7" w:rsidRDefault="003756E7" w:rsidP="00057CE0">
            <w:pPr>
              <w:pStyle w:val="Tablebodytext"/>
              <w:jc w:val="right"/>
              <w:rPr>
                <w:lang w:eastAsia="en-AU"/>
              </w:rPr>
            </w:pPr>
            <w:r>
              <w:rPr>
                <w:lang w:eastAsia="en-AU"/>
              </w:rPr>
              <w:t>609</w:t>
            </w:r>
          </w:p>
        </w:tc>
      </w:tr>
      <w:tr w:rsidR="003756E7" w14:paraId="440AC348" w14:textId="77777777" w:rsidTr="00021E92">
        <w:trPr>
          <w:cnfStyle w:val="000000010000" w:firstRow="0" w:lastRow="0" w:firstColumn="0" w:lastColumn="0" w:oddVBand="0" w:evenVBand="0" w:oddHBand="0" w:evenHBand="1" w:firstRowFirstColumn="0" w:firstRowLastColumn="0" w:lastRowFirstColumn="0" w:lastRowLastColumn="0"/>
          <w:trHeight w:val="259"/>
        </w:trPr>
        <w:tc>
          <w:tcPr>
            <w:tcW w:w="1701" w:type="dxa"/>
          </w:tcPr>
          <w:p w14:paraId="248367A6" w14:textId="35943F50" w:rsidR="003756E7" w:rsidRDefault="003756E7" w:rsidP="00021E92">
            <w:pPr>
              <w:pStyle w:val="Tablebodytext"/>
              <w:rPr>
                <w:lang w:eastAsia="en-AU"/>
              </w:rPr>
            </w:pPr>
            <w:r>
              <w:rPr>
                <w:lang w:eastAsia="en-AU"/>
              </w:rPr>
              <w:t>2014–15</w:t>
            </w:r>
          </w:p>
        </w:tc>
        <w:tc>
          <w:tcPr>
            <w:tcW w:w="1701" w:type="dxa"/>
          </w:tcPr>
          <w:p w14:paraId="180CF474" w14:textId="77777777" w:rsidR="003756E7" w:rsidRDefault="003756E7" w:rsidP="00057CE0">
            <w:pPr>
              <w:pStyle w:val="Tablebodytext"/>
              <w:jc w:val="right"/>
              <w:rPr>
                <w:lang w:eastAsia="en-AU"/>
              </w:rPr>
            </w:pPr>
            <w:r>
              <w:rPr>
                <w:lang w:eastAsia="en-AU"/>
              </w:rPr>
              <w:t>271</w:t>
            </w:r>
          </w:p>
        </w:tc>
      </w:tr>
      <w:tr w:rsidR="003756E7" w14:paraId="2796B109" w14:textId="77777777" w:rsidTr="00021E92">
        <w:trPr>
          <w:cnfStyle w:val="000000100000" w:firstRow="0" w:lastRow="0" w:firstColumn="0" w:lastColumn="0" w:oddVBand="0" w:evenVBand="0" w:oddHBand="1" w:evenHBand="0" w:firstRowFirstColumn="0" w:firstRowLastColumn="0" w:lastRowFirstColumn="0" w:lastRowLastColumn="0"/>
          <w:trHeight w:val="259"/>
        </w:trPr>
        <w:tc>
          <w:tcPr>
            <w:tcW w:w="1701" w:type="dxa"/>
          </w:tcPr>
          <w:p w14:paraId="6BF28363" w14:textId="77777777" w:rsidR="003756E7" w:rsidRDefault="003756E7" w:rsidP="00021E92">
            <w:pPr>
              <w:pStyle w:val="Tablebodytext"/>
              <w:rPr>
                <w:lang w:eastAsia="en-AU"/>
              </w:rPr>
            </w:pPr>
            <w:r>
              <w:rPr>
                <w:lang w:eastAsia="en-AU"/>
              </w:rPr>
              <w:t>Total</w:t>
            </w:r>
          </w:p>
        </w:tc>
        <w:tc>
          <w:tcPr>
            <w:tcW w:w="1701" w:type="dxa"/>
          </w:tcPr>
          <w:p w14:paraId="1A14B5FF" w14:textId="77777777" w:rsidR="003756E7" w:rsidRDefault="003756E7" w:rsidP="00057CE0">
            <w:pPr>
              <w:pStyle w:val="Tablebodytext"/>
              <w:jc w:val="right"/>
              <w:rPr>
                <w:lang w:eastAsia="en-AU"/>
              </w:rPr>
            </w:pPr>
            <w:r>
              <w:rPr>
                <w:lang w:eastAsia="en-AU"/>
              </w:rPr>
              <w:t>3,816</w:t>
            </w:r>
          </w:p>
        </w:tc>
      </w:tr>
    </w:tbl>
    <w:p w14:paraId="3965EBC3" w14:textId="3A68B430" w:rsidR="00B70AD7" w:rsidRDefault="00B70AD7" w:rsidP="00B70AD7">
      <w:pPr>
        <w:pStyle w:val="Note"/>
        <w:rPr>
          <w:lang w:eastAsia="en-AU"/>
        </w:rPr>
      </w:pPr>
      <w:r>
        <w:rPr>
          <w:lang w:eastAsia="en-AU"/>
        </w:rPr>
        <w:t xml:space="preserve">Notes: </w:t>
      </w:r>
      <w:r w:rsidR="006A35BE">
        <w:rPr>
          <w:lang w:eastAsia="en-AU"/>
        </w:rPr>
        <w:t>Unique firms counts</w:t>
      </w:r>
      <w:r w:rsidR="00371E15">
        <w:rPr>
          <w:lang w:eastAsia="en-AU"/>
        </w:rPr>
        <w:t xml:space="preserve"> </w:t>
      </w:r>
    </w:p>
    <w:p w14:paraId="0F6F0CE4" w14:textId="76FBEEE1" w:rsidR="00101AE0" w:rsidRPr="00101AE0" w:rsidRDefault="00B70AD7" w:rsidP="00773267">
      <w:pPr>
        <w:pStyle w:val="Source"/>
      </w:pPr>
      <w:r>
        <w:t xml:space="preserve">Source: </w:t>
      </w:r>
      <w:r w:rsidR="00581428">
        <w:t>D</w:t>
      </w:r>
      <w:r w:rsidR="00581428" w:rsidRPr="00581428">
        <w:t>epartment of Industry, Innovation and Science (2018)</w:t>
      </w:r>
    </w:p>
    <w:p w14:paraId="60941395" w14:textId="3532854C" w:rsidR="00773267" w:rsidRDefault="00773267" w:rsidP="00773267">
      <w:pPr>
        <w:pStyle w:val="BodyText"/>
        <w:rPr>
          <w:lang w:val="en"/>
        </w:rPr>
      </w:pPr>
      <w:r>
        <w:rPr>
          <w:lang w:val="en"/>
        </w:rPr>
        <w:t xml:space="preserve">To study firm </w:t>
      </w:r>
      <w:r w:rsidRPr="000E300E">
        <w:rPr>
          <w:lang w:val="en"/>
        </w:rPr>
        <w:t xml:space="preserve">performance across time using administrative data </w:t>
      </w:r>
      <w:r w:rsidR="005447D3" w:rsidRPr="000E300E">
        <w:rPr>
          <w:lang w:val="en"/>
        </w:rPr>
        <w:t xml:space="preserve">I </w:t>
      </w:r>
      <w:r w:rsidRPr="000E300E">
        <w:rPr>
          <w:lang w:val="en"/>
        </w:rPr>
        <w:t>ensure that the unique identifier (</w:t>
      </w:r>
      <w:r w:rsidR="009B3B44" w:rsidRPr="000E300E">
        <w:rPr>
          <w:lang w:val="en"/>
        </w:rPr>
        <w:t>ABN)</w:t>
      </w:r>
      <w:r w:rsidR="007E057A" w:rsidRPr="000E300E">
        <w:rPr>
          <w:lang w:val="en"/>
        </w:rPr>
        <w:t xml:space="preserve"> </w:t>
      </w:r>
      <w:r w:rsidRPr="000E300E">
        <w:rPr>
          <w:lang w:val="en"/>
        </w:rPr>
        <w:t xml:space="preserve">corresponds to a single firm and that there are </w:t>
      </w:r>
      <w:r w:rsidR="00D77CAE" w:rsidRPr="000E300E">
        <w:rPr>
          <w:lang w:val="en"/>
        </w:rPr>
        <w:t>non-</w:t>
      </w:r>
      <w:r w:rsidRPr="000E300E">
        <w:rPr>
          <w:lang w:val="en"/>
        </w:rPr>
        <w:t xml:space="preserve">missing values. Consequently </w:t>
      </w:r>
      <w:r w:rsidR="001349F5" w:rsidRPr="000E300E">
        <w:rPr>
          <w:lang w:val="en"/>
        </w:rPr>
        <w:t>businesses</w:t>
      </w:r>
      <w:r w:rsidRPr="000E300E">
        <w:rPr>
          <w:lang w:val="en"/>
        </w:rPr>
        <w:t xml:space="preserve"> are excluded from the analysis if the </w:t>
      </w:r>
      <w:r w:rsidR="000D435B" w:rsidRPr="000E300E">
        <w:rPr>
          <w:lang w:val="en"/>
        </w:rPr>
        <w:t>following occurs</w:t>
      </w:r>
      <w:r w:rsidRPr="000E300E">
        <w:rPr>
          <w:lang w:val="en"/>
        </w:rPr>
        <w:t>:</w:t>
      </w:r>
      <w:r>
        <w:rPr>
          <w:lang w:val="en"/>
        </w:rPr>
        <w:t xml:space="preserve"> </w:t>
      </w:r>
    </w:p>
    <w:p w14:paraId="2BC02767" w14:textId="132D2B21" w:rsidR="00773267" w:rsidRDefault="00773267" w:rsidP="00640788">
      <w:pPr>
        <w:pStyle w:val="ListBullet"/>
        <w:numPr>
          <w:ilvl w:val="0"/>
          <w:numId w:val="4"/>
        </w:numPr>
      </w:pPr>
      <w:r>
        <w:t>No ABN in EC data</w:t>
      </w:r>
    </w:p>
    <w:p w14:paraId="05B45FF5" w14:textId="0F494A2D" w:rsidR="00773267" w:rsidRDefault="00773267" w:rsidP="00640788">
      <w:pPr>
        <w:pStyle w:val="ListBullet"/>
        <w:numPr>
          <w:ilvl w:val="0"/>
          <w:numId w:val="4"/>
        </w:numPr>
      </w:pPr>
      <w:r>
        <w:t xml:space="preserve">Business is part of a GST grouping for ATO reporting purposes </w:t>
      </w:r>
    </w:p>
    <w:p w14:paraId="25287161" w14:textId="6AA86962" w:rsidR="00640788" w:rsidRDefault="00773267" w:rsidP="00640788">
      <w:pPr>
        <w:pStyle w:val="ListBullet"/>
        <w:numPr>
          <w:ilvl w:val="0"/>
          <w:numId w:val="4"/>
        </w:numPr>
      </w:pPr>
      <w:r>
        <w:t>Business is part of a complex business that is known to operate across multiple industries or has multiple ABNs (complex firm)</w:t>
      </w:r>
      <w:r w:rsidR="003660CE">
        <w:rPr>
          <w:rStyle w:val="FootnoteReference"/>
        </w:rPr>
        <w:footnoteReference w:id="5"/>
      </w:r>
    </w:p>
    <w:p w14:paraId="2A3D79B7" w14:textId="6E30824F" w:rsidR="00E21E5B" w:rsidRDefault="00A43125" w:rsidP="00EE1BBF">
      <w:pPr>
        <w:pStyle w:val="BodyText"/>
      </w:pPr>
      <w:r>
        <w:t>Table 3.</w:t>
      </w:r>
      <w:r w:rsidR="007C0FC7">
        <w:t>2</w:t>
      </w:r>
      <w:r>
        <w:t xml:space="preserve"> shows the number of businesses linked to the </w:t>
      </w:r>
      <w:r w:rsidR="009B3B44">
        <w:t xml:space="preserve">Business Longitudinal Analysis Data Environment (BLADE) </w:t>
      </w:r>
      <w:r>
        <w:t>after applying these restrictions.</w:t>
      </w:r>
    </w:p>
    <w:p w14:paraId="6B2A0111" w14:textId="77777777" w:rsidR="00085AF0" w:rsidRPr="00EE1BBF" w:rsidRDefault="00085AF0" w:rsidP="00EE1BBF">
      <w:pPr>
        <w:pStyle w:val="BodyText"/>
      </w:pPr>
    </w:p>
    <w:p w14:paraId="0AF18949" w14:textId="2FD698DB" w:rsidR="00504705" w:rsidRPr="00504705" w:rsidRDefault="00DF3456" w:rsidP="0057207A">
      <w:pPr>
        <w:pStyle w:val="Caption"/>
      </w:pPr>
      <w:r w:rsidRPr="000618FB">
        <w:lastRenderedPageBreak/>
        <w:t xml:space="preserve">Table </w:t>
      </w:r>
      <w:r w:rsidR="00790BD9">
        <w:rPr>
          <w:noProof/>
        </w:rPr>
        <w:fldChar w:fldCharType="begin"/>
      </w:r>
      <w:r w:rsidR="00790BD9">
        <w:rPr>
          <w:noProof/>
        </w:rPr>
        <w:instrText xml:space="preserve"> STYLEREF 1 \s </w:instrText>
      </w:r>
      <w:r w:rsidR="00790BD9">
        <w:rPr>
          <w:noProof/>
        </w:rPr>
        <w:fldChar w:fldCharType="separate"/>
      </w:r>
      <w:r w:rsidR="003A4982">
        <w:rPr>
          <w:noProof/>
        </w:rPr>
        <w:t>3</w:t>
      </w:r>
      <w:r w:rsidR="00790BD9">
        <w:rPr>
          <w:noProof/>
        </w:rPr>
        <w:fldChar w:fldCharType="end"/>
      </w:r>
      <w:r w:rsidRPr="000618FB">
        <w:t>.</w:t>
      </w:r>
      <w:r w:rsidR="00FA0523">
        <w:t>2</w:t>
      </w:r>
      <w:r w:rsidRPr="000618FB">
        <w:t xml:space="preserve">: </w:t>
      </w:r>
      <w:r w:rsidR="00017CB9">
        <w:t>BLADE linked data, counts</w:t>
      </w:r>
      <w:r w:rsidR="0030789B">
        <w:t xml:space="preserve"> </w:t>
      </w:r>
    </w:p>
    <w:tbl>
      <w:tblPr>
        <w:tblStyle w:val="OCETable"/>
        <w:tblW w:w="2467" w:type="pct"/>
        <w:tblLook w:val="04A0" w:firstRow="1" w:lastRow="0" w:firstColumn="1" w:lastColumn="0" w:noHBand="0" w:noVBand="1"/>
        <w:tblCaption w:val="Table 3.2: BLADE linked data, counts "/>
      </w:tblPr>
      <w:tblGrid>
        <w:gridCol w:w="1700"/>
        <w:gridCol w:w="1701"/>
      </w:tblGrid>
      <w:tr w:rsidR="00383F48" w14:paraId="701E03DC" w14:textId="230D91B0" w:rsidTr="00021E92">
        <w:trPr>
          <w:cnfStyle w:val="100000000000" w:firstRow="1" w:lastRow="0" w:firstColumn="0" w:lastColumn="0" w:oddVBand="0" w:evenVBand="0" w:oddHBand="0" w:evenHBand="0" w:firstRowFirstColumn="0" w:firstRowLastColumn="0" w:lastRowFirstColumn="0" w:lastRowLastColumn="0"/>
          <w:trHeight w:val="355"/>
          <w:tblHeader/>
        </w:trPr>
        <w:tc>
          <w:tcPr>
            <w:tcW w:w="2500" w:type="pct"/>
          </w:tcPr>
          <w:p w14:paraId="6F2C7608" w14:textId="23BF0D43" w:rsidR="00383F48" w:rsidRDefault="00383F48" w:rsidP="00021E92">
            <w:pPr>
              <w:pStyle w:val="Tableheadertext"/>
              <w:rPr>
                <w:lang w:eastAsia="en-AU"/>
              </w:rPr>
            </w:pPr>
            <w:r>
              <w:rPr>
                <w:lang w:eastAsia="en-AU"/>
              </w:rPr>
              <w:t>Cohort</w:t>
            </w:r>
          </w:p>
        </w:tc>
        <w:tc>
          <w:tcPr>
            <w:tcW w:w="2500" w:type="pct"/>
          </w:tcPr>
          <w:p w14:paraId="17B8F9CF" w14:textId="0535F037" w:rsidR="00383F48" w:rsidRDefault="00383F48" w:rsidP="003756E7">
            <w:pPr>
              <w:pStyle w:val="Tableheadertext"/>
              <w:jc w:val="right"/>
              <w:rPr>
                <w:lang w:eastAsia="en-AU"/>
              </w:rPr>
            </w:pPr>
            <w:r>
              <w:rPr>
                <w:lang w:eastAsia="en-AU"/>
              </w:rPr>
              <w:t xml:space="preserve">EC </w:t>
            </w:r>
            <w:r w:rsidR="003756E7">
              <w:rPr>
                <w:lang w:eastAsia="en-AU"/>
              </w:rPr>
              <w:t>firm count</w:t>
            </w:r>
          </w:p>
        </w:tc>
      </w:tr>
      <w:tr w:rsidR="00383F48" w14:paraId="76696DD5" w14:textId="6FBD730D" w:rsidTr="00021E92">
        <w:trPr>
          <w:cnfStyle w:val="000000100000" w:firstRow="0" w:lastRow="0" w:firstColumn="0" w:lastColumn="0" w:oddVBand="0" w:evenVBand="0" w:oddHBand="1" w:evenHBand="0" w:firstRowFirstColumn="0" w:firstRowLastColumn="0" w:lastRowFirstColumn="0" w:lastRowLastColumn="0"/>
          <w:trHeight w:val="259"/>
        </w:trPr>
        <w:tc>
          <w:tcPr>
            <w:tcW w:w="2500" w:type="pct"/>
          </w:tcPr>
          <w:p w14:paraId="4A870216" w14:textId="096F5EC6" w:rsidR="00383F48" w:rsidRDefault="00383F48" w:rsidP="00021E92">
            <w:pPr>
              <w:pStyle w:val="Tablebodytext"/>
              <w:rPr>
                <w:lang w:eastAsia="en-AU"/>
              </w:rPr>
            </w:pPr>
            <w:r>
              <w:rPr>
                <w:lang w:eastAsia="en-AU"/>
              </w:rPr>
              <w:t>2007–08</w:t>
            </w:r>
          </w:p>
        </w:tc>
        <w:tc>
          <w:tcPr>
            <w:tcW w:w="2500" w:type="pct"/>
          </w:tcPr>
          <w:p w14:paraId="3867E6E0" w14:textId="514EEDFF" w:rsidR="00383F48" w:rsidRDefault="00383F48" w:rsidP="00057CE0">
            <w:pPr>
              <w:pStyle w:val="Tablebodytext"/>
              <w:jc w:val="right"/>
              <w:rPr>
                <w:lang w:eastAsia="en-AU"/>
              </w:rPr>
            </w:pPr>
            <w:r>
              <w:rPr>
                <w:lang w:eastAsia="en-AU"/>
              </w:rPr>
              <w:t>61</w:t>
            </w:r>
          </w:p>
        </w:tc>
      </w:tr>
      <w:tr w:rsidR="00383F48" w14:paraId="27A95659" w14:textId="32E7CD53" w:rsidTr="00021E92">
        <w:trPr>
          <w:cnfStyle w:val="000000010000" w:firstRow="0" w:lastRow="0" w:firstColumn="0" w:lastColumn="0" w:oddVBand="0" w:evenVBand="0" w:oddHBand="0" w:evenHBand="1" w:firstRowFirstColumn="0" w:firstRowLastColumn="0" w:lastRowFirstColumn="0" w:lastRowLastColumn="0"/>
          <w:trHeight w:val="259"/>
        </w:trPr>
        <w:tc>
          <w:tcPr>
            <w:tcW w:w="2500" w:type="pct"/>
          </w:tcPr>
          <w:p w14:paraId="45A775D2" w14:textId="07CAA8F0" w:rsidR="00383F48" w:rsidRDefault="00383F48" w:rsidP="00021E92">
            <w:pPr>
              <w:pStyle w:val="Tablebodytext"/>
              <w:rPr>
                <w:lang w:eastAsia="en-AU"/>
              </w:rPr>
            </w:pPr>
            <w:r>
              <w:rPr>
                <w:lang w:eastAsia="en-AU"/>
              </w:rPr>
              <w:t>2008–09</w:t>
            </w:r>
          </w:p>
        </w:tc>
        <w:tc>
          <w:tcPr>
            <w:tcW w:w="2500" w:type="pct"/>
          </w:tcPr>
          <w:p w14:paraId="445FD36E" w14:textId="7F170956" w:rsidR="00383F48" w:rsidRDefault="00383F48" w:rsidP="00057CE0">
            <w:pPr>
              <w:pStyle w:val="Tablebodytext"/>
              <w:jc w:val="right"/>
              <w:rPr>
                <w:lang w:eastAsia="en-AU"/>
              </w:rPr>
            </w:pPr>
            <w:r>
              <w:rPr>
                <w:lang w:eastAsia="en-AU"/>
              </w:rPr>
              <w:t>304</w:t>
            </w:r>
          </w:p>
        </w:tc>
      </w:tr>
      <w:tr w:rsidR="00383F48" w14:paraId="1D317717" w14:textId="456B4FD9" w:rsidTr="00021E92">
        <w:trPr>
          <w:cnfStyle w:val="000000100000" w:firstRow="0" w:lastRow="0" w:firstColumn="0" w:lastColumn="0" w:oddVBand="0" w:evenVBand="0" w:oddHBand="1" w:evenHBand="0" w:firstRowFirstColumn="0" w:firstRowLastColumn="0" w:lastRowFirstColumn="0" w:lastRowLastColumn="0"/>
          <w:trHeight w:val="259"/>
        </w:trPr>
        <w:tc>
          <w:tcPr>
            <w:tcW w:w="2500" w:type="pct"/>
          </w:tcPr>
          <w:p w14:paraId="2662640F" w14:textId="49C5AEF7" w:rsidR="00383F48" w:rsidRDefault="00383F48" w:rsidP="00021E92">
            <w:pPr>
              <w:pStyle w:val="Tablebodytext"/>
              <w:rPr>
                <w:lang w:eastAsia="en-AU"/>
              </w:rPr>
            </w:pPr>
            <w:r>
              <w:rPr>
                <w:lang w:eastAsia="en-AU"/>
              </w:rPr>
              <w:t>2009–10</w:t>
            </w:r>
          </w:p>
        </w:tc>
        <w:tc>
          <w:tcPr>
            <w:tcW w:w="2500" w:type="pct"/>
          </w:tcPr>
          <w:p w14:paraId="27A5511E" w14:textId="4A8B4AD6" w:rsidR="00383F48" w:rsidRDefault="00383F48" w:rsidP="00057CE0">
            <w:pPr>
              <w:pStyle w:val="Tablebodytext"/>
              <w:jc w:val="right"/>
              <w:rPr>
                <w:lang w:eastAsia="en-AU"/>
              </w:rPr>
            </w:pPr>
            <w:r>
              <w:rPr>
                <w:lang w:eastAsia="en-AU"/>
              </w:rPr>
              <w:t>469</w:t>
            </w:r>
          </w:p>
        </w:tc>
      </w:tr>
      <w:tr w:rsidR="00383F48" w14:paraId="6CBE9A65" w14:textId="34CD9C84" w:rsidTr="00021E92">
        <w:trPr>
          <w:cnfStyle w:val="000000010000" w:firstRow="0" w:lastRow="0" w:firstColumn="0" w:lastColumn="0" w:oddVBand="0" w:evenVBand="0" w:oddHBand="0" w:evenHBand="1" w:firstRowFirstColumn="0" w:firstRowLastColumn="0" w:lastRowFirstColumn="0" w:lastRowLastColumn="0"/>
          <w:trHeight w:val="259"/>
        </w:trPr>
        <w:tc>
          <w:tcPr>
            <w:tcW w:w="2500" w:type="pct"/>
          </w:tcPr>
          <w:p w14:paraId="0DB261CF" w14:textId="10863310" w:rsidR="00383F48" w:rsidRDefault="00383F48" w:rsidP="00021E92">
            <w:pPr>
              <w:pStyle w:val="Tablebodytext"/>
              <w:rPr>
                <w:lang w:eastAsia="en-AU"/>
              </w:rPr>
            </w:pPr>
            <w:r>
              <w:rPr>
                <w:lang w:eastAsia="en-AU"/>
              </w:rPr>
              <w:t>2010–11</w:t>
            </w:r>
          </w:p>
        </w:tc>
        <w:tc>
          <w:tcPr>
            <w:tcW w:w="2500" w:type="pct"/>
          </w:tcPr>
          <w:p w14:paraId="0F5EFB5F" w14:textId="393E7453" w:rsidR="00383F48" w:rsidRDefault="00383F48" w:rsidP="00057CE0">
            <w:pPr>
              <w:pStyle w:val="Tablebodytext"/>
              <w:jc w:val="right"/>
              <w:rPr>
                <w:lang w:eastAsia="en-AU"/>
              </w:rPr>
            </w:pPr>
            <w:r>
              <w:rPr>
                <w:lang w:eastAsia="en-AU"/>
              </w:rPr>
              <w:t>599</w:t>
            </w:r>
          </w:p>
        </w:tc>
      </w:tr>
      <w:tr w:rsidR="00383F48" w14:paraId="5CBFA1E1" w14:textId="4543CD36" w:rsidTr="00021E92">
        <w:trPr>
          <w:cnfStyle w:val="000000100000" w:firstRow="0" w:lastRow="0" w:firstColumn="0" w:lastColumn="0" w:oddVBand="0" w:evenVBand="0" w:oddHBand="1" w:evenHBand="0" w:firstRowFirstColumn="0" w:firstRowLastColumn="0" w:lastRowFirstColumn="0" w:lastRowLastColumn="0"/>
          <w:trHeight w:val="259"/>
        </w:trPr>
        <w:tc>
          <w:tcPr>
            <w:tcW w:w="2500" w:type="pct"/>
          </w:tcPr>
          <w:p w14:paraId="6735FF63" w14:textId="478E45B6" w:rsidR="00383F48" w:rsidRDefault="00383F48" w:rsidP="00021E92">
            <w:pPr>
              <w:pStyle w:val="Tablebodytext"/>
              <w:rPr>
                <w:lang w:eastAsia="en-AU"/>
              </w:rPr>
            </w:pPr>
            <w:r>
              <w:rPr>
                <w:lang w:eastAsia="en-AU"/>
              </w:rPr>
              <w:t>2011–12</w:t>
            </w:r>
          </w:p>
        </w:tc>
        <w:tc>
          <w:tcPr>
            <w:tcW w:w="2500" w:type="pct"/>
          </w:tcPr>
          <w:p w14:paraId="1D936BFB" w14:textId="4F8C07EF" w:rsidR="00383F48" w:rsidRDefault="00383F48" w:rsidP="00057CE0">
            <w:pPr>
              <w:pStyle w:val="Tablebodytext"/>
              <w:jc w:val="right"/>
              <w:rPr>
                <w:lang w:eastAsia="en-AU"/>
              </w:rPr>
            </w:pPr>
            <w:r>
              <w:rPr>
                <w:lang w:eastAsia="en-AU"/>
              </w:rPr>
              <w:t>664</w:t>
            </w:r>
          </w:p>
        </w:tc>
      </w:tr>
      <w:tr w:rsidR="00383F48" w14:paraId="7ABFB242" w14:textId="6ED3C42E" w:rsidTr="00021E92">
        <w:trPr>
          <w:cnfStyle w:val="000000010000" w:firstRow="0" w:lastRow="0" w:firstColumn="0" w:lastColumn="0" w:oddVBand="0" w:evenVBand="0" w:oddHBand="0" w:evenHBand="1" w:firstRowFirstColumn="0" w:firstRowLastColumn="0" w:lastRowFirstColumn="0" w:lastRowLastColumn="0"/>
          <w:trHeight w:val="259"/>
        </w:trPr>
        <w:tc>
          <w:tcPr>
            <w:tcW w:w="2500" w:type="pct"/>
          </w:tcPr>
          <w:p w14:paraId="3EB20DC1" w14:textId="1DDC1182" w:rsidR="00383F48" w:rsidRDefault="00383F48" w:rsidP="00021E92">
            <w:pPr>
              <w:pStyle w:val="Tablebodytext"/>
              <w:rPr>
                <w:lang w:eastAsia="en-AU"/>
              </w:rPr>
            </w:pPr>
            <w:r>
              <w:rPr>
                <w:lang w:eastAsia="en-AU"/>
              </w:rPr>
              <w:t>2012–13</w:t>
            </w:r>
          </w:p>
        </w:tc>
        <w:tc>
          <w:tcPr>
            <w:tcW w:w="2500" w:type="pct"/>
          </w:tcPr>
          <w:p w14:paraId="4FC676DC" w14:textId="454EDF5E" w:rsidR="00383F48" w:rsidRDefault="00383F48" w:rsidP="00057CE0">
            <w:pPr>
              <w:pStyle w:val="Tablebodytext"/>
              <w:jc w:val="right"/>
              <w:rPr>
                <w:lang w:eastAsia="en-AU"/>
              </w:rPr>
            </w:pPr>
            <w:r>
              <w:rPr>
                <w:lang w:eastAsia="en-AU"/>
              </w:rPr>
              <w:t>623</w:t>
            </w:r>
          </w:p>
        </w:tc>
      </w:tr>
      <w:tr w:rsidR="00383F48" w14:paraId="355E9D65" w14:textId="61EBB122" w:rsidTr="00021E92">
        <w:trPr>
          <w:cnfStyle w:val="000000100000" w:firstRow="0" w:lastRow="0" w:firstColumn="0" w:lastColumn="0" w:oddVBand="0" w:evenVBand="0" w:oddHBand="1" w:evenHBand="0" w:firstRowFirstColumn="0" w:firstRowLastColumn="0" w:lastRowFirstColumn="0" w:lastRowLastColumn="0"/>
          <w:trHeight w:val="259"/>
        </w:trPr>
        <w:tc>
          <w:tcPr>
            <w:tcW w:w="2500" w:type="pct"/>
          </w:tcPr>
          <w:p w14:paraId="27268078" w14:textId="59897174" w:rsidR="00383F48" w:rsidRDefault="00383F48" w:rsidP="00021E92">
            <w:pPr>
              <w:pStyle w:val="Tablebodytext"/>
              <w:rPr>
                <w:lang w:eastAsia="en-AU"/>
              </w:rPr>
            </w:pPr>
            <w:r>
              <w:rPr>
                <w:lang w:eastAsia="en-AU"/>
              </w:rPr>
              <w:t>2013–14</w:t>
            </w:r>
          </w:p>
        </w:tc>
        <w:tc>
          <w:tcPr>
            <w:tcW w:w="2500" w:type="pct"/>
          </w:tcPr>
          <w:p w14:paraId="0B1B440E" w14:textId="7AD1BC66" w:rsidR="00383F48" w:rsidRDefault="00383F48" w:rsidP="00057CE0">
            <w:pPr>
              <w:pStyle w:val="Tablebodytext"/>
              <w:jc w:val="right"/>
              <w:rPr>
                <w:lang w:eastAsia="en-AU"/>
              </w:rPr>
            </w:pPr>
            <w:r>
              <w:rPr>
                <w:lang w:eastAsia="en-AU"/>
              </w:rPr>
              <w:t>586</w:t>
            </w:r>
          </w:p>
        </w:tc>
      </w:tr>
      <w:tr w:rsidR="00383F48" w14:paraId="42C56C67" w14:textId="6C7BC34E" w:rsidTr="00021E92">
        <w:trPr>
          <w:cnfStyle w:val="000000010000" w:firstRow="0" w:lastRow="0" w:firstColumn="0" w:lastColumn="0" w:oddVBand="0" w:evenVBand="0" w:oddHBand="0" w:evenHBand="1" w:firstRowFirstColumn="0" w:firstRowLastColumn="0" w:lastRowFirstColumn="0" w:lastRowLastColumn="0"/>
          <w:trHeight w:val="259"/>
        </w:trPr>
        <w:tc>
          <w:tcPr>
            <w:tcW w:w="2500" w:type="pct"/>
          </w:tcPr>
          <w:p w14:paraId="09C8EFBB" w14:textId="07C205CA" w:rsidR="00383F48" w:rsidRDefault="00383F48" w:rsidP="00021E92">
            <w:pPr>
              <w:pStyle w:val="Tablebodytext"/>
              <w:rPr>
                <w:lang w:eastAsia="en-AU"/>
              </w:rPr>
            </w:pPr>
            <w:r>
              <w:rPr>
                <w:lang w:eastAsia="en-AU"/>
              </w:rPr>
              <w:t>2014–15</w:t>
            </w:r>
          </w:p>
        </w:tc>
        <w:tc>
          <w:tcPr>
            <w:tcW w:w="2500" w:type="pct"/>
          </w:tcPr>
          <w:p w14:paraId="7CA189B5" w14:textId="2E02C0E3" w:rsidR="00383F48" w:rsidRDefault="00383F48" w:rsidP="00085AF0">
            <w:pPr>
              <w:pStyle w:val="Tablebodytext"/>
              <w:jc w:val="right"/>
              <w:rPr>
                <w:lang w:eastAsia="en-AU"/>
              </w:rPr>
            </w:pPr>
            <w:r>
              <w:rPr>
                <w:lang w:eastAsia="en-AU"/>
              </w:rPr>
              <w:t>263</w:t>
            </w:r>
          </w:p>
        </w:tc>
      </w:tr>
      <w:tr w:rsidR="00383F48" w14:paraId="7692B7AD" w14:textId="5004A34C" w:rsidTr="00021E92">
        <w:trPr>
          <w:cnfStyle w:val="000000100000" w:firstRow="0" w:lastRow="0" w:firstColumn="0" w:lastColumn="0" w:oddVBand="0" w:evenVBand="0" w:oddHBand="1" w:evenHBand="0" w:firstRowFirstColumn="0" w:firstRowLastColumn="0" w:lastRowFirstColumn="0" w:lastRowLastColumn="0"/>
          <w:trHeight w:val="259"/>
        </w:trPr>
        <w:tc>
          <w:tcPr>
            <w:tcW w:w="2500" w:type="pct"/>
          </w:tcPr>
          <w:p w14:paraId="2ADC7A18" w14:textId="77777777" w:rsidR="00383F48" w:rsidRDefault="00383F48" w:rsidP="00021E92">
            <w:pPr>
              <w:pStyle w:val="Tablebodytext"/>
              <w:rPr>
                <w:lang w:eastAsia="en-AU"/>
              </w:rPr>
            </w:pPr>
            <w:r>
              <w:rPr>
                <w:lang w:eastAsia="en-AU"/>
              </w:rPr>
              <w:t>Total</w:t>
            </w:r>
          </w:p>
        </w:tc>
        <w:tc>
          <w:tcPr>
            <w:tcW w:w="2500" w:type="pct"/>
          </w:tcPr>
          <w:p w14:paraId="6744B9EA" w14:textId="5352FDAD" w:rsidR="00383F48" w:rsidRDefault="00383F48" w:rsidP="00085AF0">
            <w:pPr>
              <w:pStyle w:val="Tablebodytext"/>
              <w:jc w:val="right"/>
              <w:rPr>
                <w:lang w:eastAsia="en-AU"/>
              </w:rPr>
            </w:pPr>
            <w:r>
              <w:rPr>
                <w:lang w:eastAsia="en-AU"/>
              </w:rPr>
              <w:t>3,569</w:t>
            </w:r>
          </w:p>
        </w:tc>
      </w:tr>
    </w:tbl>
    <w:p w14:paraId="2EB6DA33" w14:textId="1FF65907" w:rsidR="00DF3456" w:rsidRPr="004B2335" w:rsidRDefault="00B4363D" w:rsidP="00F7694B">
      <w:pPr>
        <w:pStyle w:val="Source"/>
        <w:rPr>
          <w:lang w:eastAsia="en-AU"/>
        </w:rPr>
      </w:pPr>
      <w:r>
        <w:t xml:space="preserve">Source: BLADE </w:t>
      </w:r>
      <w:r w:rsidR="00661250">
        <w:t>(2001</w:t>
      </w:r>
      <w:r w:rsidR="00FF1370">
        <w:t>–</w:t>
      </w:r>
      <w:r w:rsidR="00661250">
        <w:t>02 to 2014</w:t>
      </w:r>
      <w:r w:rsidR="00FF1370">
        <w:t>–</w:t>
      </w:r>
      <w:r w:rsidR="00661250">
        <w:t>15)</w:t>
      </w:r>
    </w:p>
    <w:p w14:paraId="37DD947E" w14:textId="64F2AAE1" w:rsidR="00C84D77" w:rsidRDefault="00934C68" w:rsidP="00C84D77">
      <w:pPr>
        <w:pStyle w:val="Heading2"/>
        <w:rPr>
          <w:b w:val="0"/>
        </w:rPr>
      </w:pPr>
      <w:r>
        <w:rPr>
          <w:b w:val="0"/>
        </w:rPr>
        <w:t>Participant c</w:t>
      </w:r>
      <w:r w:rsidRPr="004B2335">
        <w:rPr>
          <w:b w:val="0"/>
        </w:rPr>
        <w:t xml:space="preserve">haracteristics </w:t>
      </w:r>
    </w:p>
    <w:p w14:paraId="3FAB8493" w14:textId="6DFF7A3E" w:rsidR="000C24EF" w:rsidRPr="000C24EF" w:rsidRDefault="007C5E4D" w:rsidP="007C5E4D">
      <w:pPr>
        <w:pStyle w:val="BodyText"/>
        <w:tabs>
          <w:tab w:val="left" w:pos="6030"/>
        </w:tabs>
      </w:pPr>
      <w:r>
        <w:t>The average EC</w:t>
      </w:r>
      <w:r w:rsidR="00AC57DA">
        <w:t xml:space="preserve"> program </w:t>
      </w:r>
      <w:r>
        <w:t>participant is a</w:t>
      </w:r>
      <w:r w:rsidR="00AC57DA">
        <w:t xml:space="preserve"> </w:t>
      </w:r>
      <w:r>
        <w:t>small to medium sized private company on the east coast (NSW, VIC or QLD)</w:t>
      </w:r>
      <w:r w:rsidR="00A459FE">
        <w:t xml:space="preserve"> (Table 3.</w:t>
      </w:r>
      <w:r w:rsidR="002F5125">
        <w:t>3</w:t>
      </w:r>
      <w:r w:rsidR="00A459FE">
        <w:t xml:space="preserve">). </w:t>
      </w:r>
      <w:r w:rsidR="00F919EC">
        <w:t>A high share of participants are in Manufacturing and Professional, Scientific and Technical Services industries. About one third (</w:t>
      </w:r>
      <w:r w:rsidR="001254BE">
        <w:t>37.0</w:t>
      </w:r>
      <w:r w:rsidR="00F919EC">
        <w:t xml:space="preserve"> per cent) of </w:t>
      </w:r>
      <w:r w:rsidR="00671DA8">
        <w:t>EC participants</w:t>
      </w:r>
      <w:r w:rsidR="00F919EC">
        <w:t xml:space="preserve"> are in the Manufacturing industry</w:t>
      </w:r>
      <w:r w:rsidR="00C159B7">
        <w:t xml:space="preserve">. </w:t>
      </w:r>
      <w:r w:rsidR="00671DA8">
        <w:t>EC firms</w:t>
      </w:r>
      <w:r w:rsidR="00C159B7">
        <w:t xml:space="preserve"> are on average more likely to be </w:t>
      </w:r>
      <w:r w:rsidR="00B7583E">
        <w:t>a private company (</w:t>
      </w:r>
      <w:r w:rsidR="001254BE">
        <w:t>74.8</w:t>
      </w:r>
      <w:r w:rsidR="00B7583E">
        <w:t xml:space="preserve"> per cent), </w:t>
      </w:r>
      <w:r w:rsidR="00C159B7">
        <w:t>R&amp;D active</w:t>
      </w:r>
      <w:r w:rsidR="00985843">
        <w:t xml:space="preserve"> (</w:t>
      </w:r>
      <w:r w:rsidR="001254BE">
        <w:t>14.3</w:t>
      </w:r>
      <w:r w:rsidR="00985843">
        <w:t xml:space="preserve"> per cent)</w:t>
      </w:r>
      <w:r w:rsidR="00B7583E">
        <w:t xml:space="preserve"> and</w:t>
      </w:r>
      <w:r w:rsidR="00C159B7">
        <w:t xml:space="preserve"> export</w:t>
      </w:r>
      <w:r w:rsidR="00985843">
        <w:t>ing (</w:t>
      </w:r>
      <w:r w:rsidR="001254BE">
        <w:t>33.0</w:t>
      </w:r>
      <w:r w:rsidR="00985843">
        <w:t xml:space="preserve"> per cent)</w:t>
      </w:r>
      <w:r w:rsidR="00B7583E">
        <w:t xml:space="preserve">. </w:t>
      </w:r>
      <w:r w:rsidR="00E304D0">
        <w:t xml:space="preserve">Characteristics on an all firm benchmark </w:t>
      </w:r>
      <w:r w:rsidR="000E7784">
        <w:t>are</w:t>
      </w:r>
      <w:r w:rsidR="00E304D0">
        <w:t xml:space="preserve"> also provided so the characteristics of EC participants can be compared to the ‘average’ employing firm in the Australian economy.</w:t>
      </w:r>
      <w:r w:rsidR="00E304D0">
        <w:rPr>
          <w:rStyle w:val="FootnoteReference"/>
        </w:rPr>
        <w:footnoteReference w:id="6"/>
      </w:r>
      <w:r w:rsidR="00E304D0">
        <w:t xml:space="preserve"> </w:t>
      </w:r>
    </w:p>
    <w:p w14:paraId="602706B3" w14:textId="27F95D20" w:rsidR="00F149FA" w:rsidRDefault="00F149FA" w:rsidP="00E06A88">
      <w:pPr>
        <w:pStyle w:val="Caption"/>
      </w:pPr>
      <w:r w:rsidRPr="000618FB">
        <w:lastRenderedPageBreak/>
        <w:t xml:space="preserve">Table </w:t>
      </w:r>
      <w:r w:rsidR="00790BD9">
        <w:rPr>
          <w:noProof/>
        </w:rPr>
        <w:fldChar w:fldCharType="begin"/>
      </w:r>
      <w:r w:rsidR="00790BD9">
        <w:rPr>
          <w:noProof/>
        </w:rPr>
        <w:instrText xml:space="preserve"> STYLEREF 1 \s </w:instrText>
      </w:r>
      <w:r w:rsidR="00790BD9">
        <w:rPr>
          <w:noProof/>
        </w:rPr>
        <w:fldChar w:fldCharType="separate"/>
      </w:r>
      <w:r w:rsidR="003A4982">
        <w:rPr>
          <w:noProof/>
        </w:rPr>
        <w:t>3</w:t>
      </w:r>
      <w:r w:rsidR="00790BD9">
        <w:rPr>
          <w:noProof/>
        </w:rPr>
        <w:fldChar w:fldCharType="end"/>
      </w:r>
      <w:r w:rsidRPr="000618FB">
        <w:t>.</w:t>
      </w:r>
      <w:r w:rsidR="00FA0523">
        <w:t>3</w:t>
      </w:r>
      <w:r w:rsidRPr="000618FB">
        <w:t xml:space="preserve">: </w:t>
      </w:r>
      <w:r w:rsidR="008D6EFE">
        <w:t xml:space="preserve">The proportion </w:t>
      </w:r>
      <w:r w:rsidR="00F24BB8">
        <w:t>of EC participants</w:t>
      </w:r>
      <w:r w:rsidR="008D6EFE">
        <w:t xml:space="preserve"> by various metrics</w:t>
      </w:r>
      <w:r w:rsidR="00F24BB8">
        <w:t xml:space="preserve"> </w:t>
      </w:r>
    </w:p>
    <w:tbl>
      <w:tblPr>
        <w:tblStyle w:val="OCETable"/>
        <w:tblW w:w="3736" w:type="pct"/>
        <w:tblInd w:w="57" w:type="dxa"/>
        <w:tblLayout w:type="fixed"/>
        <w:tblLook w:val="04A0" w:firstRow="1" w:lastRow="0" w:firstColumn="1" w:lastColumn="0" w:noHBand="0" w:noVBand="1"/>
        <w:tblCaption w:val="Table 3.3: Characteristics of EC participants "/>
      </w:tblPr>
      <w:tblGrid>
        <w:gridCol w:w="1717"/>
        <w:gridCol w:w="1717"/>
        <w:gridCol w:w="1717"/>
      </w:tblGrid>
      <w:tr w:rsidR="00383F48" w14:paraId="52A532D2" w14:textId="22149A6F" w:rsidTr="00E83053">
        <w:trPr>
          <w:cnfStyle w:val="100000000000" w:firstRow="1" w:lastRow="0" w:firstColumn="0" w:lastColumn="0" w:oddVBand="0" w:evenVBand="0" w:oddHBand="0" w:evenHBand="0" w:firstRowFirstColumn="0" w:firstRowLastColumn="0" w:lastRowFirstColumn="0" w:lastRowLastColumn="0"/>
          <w:trHeight w:val="621"/>
          <w:tblHeader/>
        </w:trPr>
        <w:tc>
          <w:tcPr>
            <w:tcW w:w="1717" w:type="dxa"/>
            <w:vAlign w:val="center"/>
          </w:tcPr>
          <w:p w14:paraId="5438F2D8" w14:textId="4276B71F" w:rsidR="00383F48" w:rsidRDefault="00383F48" w:rsidP="00E83053">
            <w:pPr>
              <w:pStyle w:val="Tableheader"/>
              <w:rPr>
                <w:lang w:eastAsia="en-AU"/>
              </w:rPr>
            </w:pPr>
            <w:r>
              <w:rPr>
                <w:lang w:eastAsia="en-AU"/>
              </w:rPr>
              <w:t xml:space="preserve">Characteristic </w:t>
            </w:r>
          </w:p>
        </w:tc>
        <w:tc>
          <w:tcPr>
            <w:tcW w:w="1717" w:type="dxa"/>
            <w:vAlign w:val="center"/>
          </w:tcPr>
          <w:p w14:paraId="12C6D643" w14:textId="56FEC85B" w:rsidR="00383F48" w:rsidRDefault="00671DA8" w:rsidP="00E83053">
            <w:pPr>
              <w:pStyle w:val="Tableheader"/>
              <w:jc w:val="right"/>
              <w:rPr>
                <w:lang w:eastAsia="en-AU"/>
              </w:rPr>
            </w:pPr>
            <w:r>
              <w:rPr>
                <w:lang w:eastAsia="en-AU"/>
              </w:rPr>
              <w:t>EC participants</w:t>
            </w:r>
            <w:r w:rsidR="00383F48">
              <w:rPr>
                <w:lang w:eastAsia="en-AU"/>
              </w:rPr>
              <w:t xml:space="preserve"> </w:t>
            </w:r>
          </w:p>
        </w:tc>
        <w:tc>
          <w:tcPr>
            <w:tcW w:w="1717" w:type="dxa"/>
            <w:vAlign w:val="center"/>
          </w:tcPr>
          <w:p w14:paraId="0B755FDB" w14:textId="5BF64BCD" w:rsidR="00383F48" w:rsidRDefault="00383F48" w:rsidP="00E83053">
            <w:pPr>
              <w:pStyle w:val="Tableheader"/>
              <w:jc w:val="right"/>
              <w:rPr>
                <w:lang w:eastAsia="en-AU"/>
              </w:rPr>
            </w:pPr>
            <w:r>
              <w:rPr>
                <w:lang w:eastAsia="en-AU"/>
              </w:rPr>
              <w:t>All firm benchmark*</w:t>
            </w:r>
          </w:p>
        </w:tc>
      </w:tr>
      <w:tr w:rsidR="00383F48" w14:paraId="1EBCCB03" w14:textId="1C375BB2" w:rsidTr="00544E01">
        <w:trPr>
          <w:cnfStyle w:val="000000100000" w:firstRow="0" w:lastRow="0" w:firstColumn="0" w:lastColumn="0" w:oddVBand="0" w:evenVBand="0" w:oddHBand="1" w:evenHBand="0" w:firstRowFirstColumn="0" w:firstRowLastColumn="0" w:lastRowFirstColumn="0" w:lastRowLastColumn="0"/>
          <w:trHeight w:val="322"/>
        </w:trPr>
        <w:tc>
          <w:tcPr>
            <w:tcW w:w="1717" w:type="dxa"/>
          </w:tcPr>
          <w:p w14:paraId="269B8605" w14:textId="0E3F1909" w:rsidR="00383F48" w:rsidRPr="00CC6987" w:rsidRDefault="00383F48" w:rsidP="00F9603B">
            <w:pPr>
              <w:pStyle w:val="Tabletext"/>
              <w:rPr>
                <w:i/>
                <w:lang w:eastAsia="en-AU"/>
              </w:rPr>
            </w:pPr>
            <w:r w:rsidRPr="00CC6987">
              <w:rPr>
                <w:i/>
                <w:lang w:eastAsia="en-AU"/>
              </w:rPr>
              <w:t xml:space="preserve">Firm size  </w:t>
            </w:r>
          </w:p>
        </w:tc>
        <w:tc>
          <w:tcPr>
            <w:tcW w:w="1717" w:type="dxa"/>
          </w:tcPr>
          <w:p w14:paraId="7A56C73B" w14:textId="77777777" w:rsidR="00383F48" w:rsidRDefault="00383F48" w:rsidP="00F9603B">
            <w:pPr>
              <w:pStyle w:val="Tabletext"/>
              <w:jc w:val="right"/>
              <w:rPr>
                <w:lang w:eastAsia="en-AU"/>
              </w:rPr>
            </w:pPr>
          </w:p>
        </w:tc>
        <w:tc>
          <w:tcPr>
            <w:tcW w:w="1717" w:type="dxa"/>
          </w:tcPr>
          <w:p w14:paraId="12C57583" w14:textId="26327F9F" w:rsidR="00383F48" w:rsidRDefault="00383F48" w:rsidP="00F9603B">
            <w:pPr>
              <w:pStyle w:val="Tabletext"/>
              <w:jc w:val="right"/>
              <w:rPr>
                <w:lang w:eastAsia="en-AU"/>
              </w:rPr>
            </w:pPr>
          </w:p>
        </w:tc>
      </w:tr>
      <w:tr w:rsidR="00383F48" w14:paraId="0D94B4F7" w14:textId="55DF288A"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4BC4F959" w14:textId="5C508896" w:rsidR="00383F48" w:rsidRDefault="00383F48" w:rsidP="00F9603B">
            <w:pPr>
              <w:pStyle w:val="Tabletext"/>
              <w:rPr>
                <w:lang w:eastAsia="en-AU"/>
              </w:rPr>
            </w:pPr>
            <w:r>
              <w:rPr>
                <w:lang w:eastAsia="en-AU"/>
              </w:rPr>
              <w:t>Micro (1–4 employees)</w:t>
            </w:r>
          </w:p>
        </w:tc>
        <w:tc>
          <w:tcPr>
            <w:tcW w:w="1717" w:type="dxa"/>
          </w:tcPr>
          <w:p w14:paraId="7122B30F" w14:textId="693199AF" w:rsidR="00383F48" w:rsidRDefault="00383F48" w:rsidP="00F9603B">
            <w:pPr>
              <w:pStyle w:val="Tabletext"/>
              <w:jc w:val="right"/>
              <w:rPr>
                <w:lang w:eastAsia="en-AU"/>
              </w:rPr>
            </w:pPr>
            <w:r>
              <w:rPr>
                <w:lang w:eastAsia="en-AU"/>
              </w:rPr>
              <w:t>9.6</w:t>
            </w:r>
          </w:p>
        </w:tc>
        <w:tc>
          <w:tcPr>
            <w:tcW w:w="1717" w:type="dxa"/>
          </w:tcPr>
          <w:p w14:paraId="6D230973" w14:textId="17855536" w:rsidR="00383F48" w:rsidRDefault="00383F48" w:rsidP="00F9603B">
            <w:pPr>
              <w:pStyle w:val="Tabletext"/>
              <w:jc w:val="right"/>
              <w:rPr>
                <w:lang w:eastAsia="en-AU"/>
              </w:rPr>
            </w:pPr>
            <w:r>
              <w:rPr>
                <w:lang w:eastAsia="en-AU"/>
              </w:rPr>
              <w:t>69.9</w:t>
            </w:r>
          </w:p>
        </w:tc>
      </w:tr>
      <w:tr w:rsidR="00383F48" w14:paraId="18517528" w14:textId="13A5B1C5"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333327CC" w14:textId="1E180E66" w:rsidR="00383F48" w:rsidRDefault="00383F48" w:rsidP="00F9603B">
            <w:pPr>
              <w:pStyle w:val="Tabletext"/>
              <w:rPr>
                <w:lang w:eastAsia="en-AU"/>
              </w:rPr>
            </w:pPr>
            <w:r>
              <w:rPr>
                <w:lang w:eastAsia="en-AU"/>
              </w:rPr>
              <w:t>Small (5–19 employees)</w:t>
            </w:r>
          </w:p>
        </w:tc>
        <w:tc>
          <w:tcPr>
            <w:tcW w:w="1717" w:type="dxa"/>
          </w:tcPr>
          <w:p w14:paraId="16951D80" w14:textId="24C41CA0" w:rsidR="00383F48" w:rsidRDefault="00383F48" w:rsidP="00F9603B">
            <w:pPr>
              <w:pStyle w:val="Tabletext"/>
              <w:jc w:val="right"/>
              <w:rPr>
                <w:lang w:eastAsia="en-AU"/>
              </w:rPr>
            </w:pPr>
            <w:r>
              <w:rPr>
                <w:lang w:eastAsia="en-AU"/>
              </w:rPr>
              <w:t>45.3</w:t>
            </w:r>
          </w:p>
        </w:tc>
        <w:tc>
          <w:tcPr>
            <w:tcW w:w="1717" w:type="dxa"/>
          </w:tcPr>
          <w:p w14:paraId="56A1A0A4" w14:textId="4CD15ACC" w:rsidR="00383F48" w:rsidRDefault="00383F48" w:rsidP="00F9603B">
            <w:pPr>
              <w:pStyle w:val="Tabletext"/>
              <w:jc w:val="right"/>
              <w:rPr>
                <w:lang w:eastAsia="en-AU"/>
              </w:rPr>
            </w:pPr>
            <w:r>
              <w:rPr>
                <w:lang w:eastAsia="en-AU"/>
              </w:rPr>
              <w:t>23.6</w:t>
            </w:r>
          </w:p>
        </w:tc>
      </w:tr>
      <w:tr w:rsidR="00383F48" w14:paraId="3D991500" w14:textId="49F1A9CC" w:rsidTr="00544E01">
        <w:trPr>
          <w:cnfStyle w:val="000000010000" w:firstRow="0" w:lastRow="0" w:firstColumn="0" w:lastColumn="0" w:oddVBand="0" w:evenVBand="0" w:oddHBand="0" w:evenHBand="1" w:firstRowFirstColumn="0" w:firstRowLastColumn="0" w:lastRowFirstColumn="0" w:lastRowLastColumn="0"/>
          <w:trHeight w:val="509"/>
        </w:trPr>
        <w:tc>
          <w:tcPr>
            <w:tcW w:w="1717" w:type="dxa"/>
          </w:tcPr>
          <w:p w14:paraId="1CEF2A7E" w14:textId="38357B46" w:rsidR="00383F48" w:rsidRDefault="00383F48" w:rsidP="00F9603B">
            <w:pPr>
              <w:pStyle w:val="Tabletext"/>
              <w:rPr>
                <w:lang w:eastAsia="en-AU"/>
              </w:rPr>
            </w:pPr>
            <w:r>
              <w:rPr>
                <w:lang w:eastAsia="en-AU"/>
              </w:rPr>
              <w:t>Medium (20–199 employees)</w:t>
            </w:r>
          </w:p>
        </w:tc>
        <w:tc>
          <w:tcPr>
            <w:tcW w:w="1717" w:type="dxa"/>
          </w:tcPr>
          <w:p w14:paraId="673C5ABD" w14:textId="7842C724" w:rsidR="00383F48" w:rsidRDefault="00383F48" w:rsidP="00F9603B">
            <w:pPr>
              <w:pStyle w:val="Tabletext"/>
              <w:jc w:val="right"/>
              <w:rPr>
                <w:lang w:eastAsia="en-AU"/>
              </w:rPr>
            </w:pPr>
            <w:r>
              <w:rPr>
                <w:lang w:eastAsia="en-AU"/>
              </w:rPr>
              <w:t>42.4</w:t>
            </w:r>
          </w:p>
        </w:tc>
        <w:tc>
          <w:tcPr>
            <w:tcW w:w="1717" w:type="dxa"/>
          </w:tcPr>
          <w:p w14:paraId="570BD2AC" w14:textId="45FBC834" w:rsidR="00383F48" w:rsidRDefault="00383F48" w:rsidP="00F9603B">
            <w:pPr>
              <w:pStyle w:val="Tabletext"/>
              <w:jc w:val="right"/>
              <w:rPr>
                <w:lang w:eastAsia="en-AU"/>
              </w:rPr>
            </w:pPr>
            <w:r>
              <w:rPr>
                <w:lang w:eastAsia="en-AU"/>
              </w:rPr>
              <w:t>6.1</w:t>
            </w:r>
          </w:p>
        </w:tc>
      </w:tr>
      <w:tr w:rsidR="00383F48" w14:paraId="16D67669" w14:textId="2CCA5D03" w:rsidTr="00544E01">
        <w:trPr>
          <w:cnfStyle w:val="000000100000" w:firstRow="0" w:lastRow="0" w:firstColumn="0" w:lastColumn="0" w:oddVBand="0" w:evenVBand="0" w:oddHBand="1" w:evenHBand="0" w:firstRowFirstColumn="0" w:firstRowLastColumn="0" w:lastRowFirstColumn="0" w:lastRowLastColumn="0"/>
          <w:trHeight w:val="509"/>
        </w:trPr>
        <w:tc>
          <w:tcPr>
            <w:tcW w:w="1717" w:type="dxa"/>
          </w:tcPr>
          <w:p w14:paraId="0023A029" w14:textId="34DEB946" w:rsidR="00383F48" w:rsidRDefault="00383F48" w:rsidP="00F9603B">
            <w:pPr>
              <w:pStyle w:val="Tabletext"/>
              <w:rPr>
                <w:lang w:eastAsia="en-AU"/>
              </w:rPr>
            </w:pPr>
            <w:r>
              <w:rPr>
                <w:lang w:eastAsia="en-AU"/>
              </w:rPr>
              <w:t>Large</w:t>
            </w:r>
          </w:p>
        </w:tc>
        <w:tc>
          <w:tcPr>
            <w:tcW w:w="1717" w:type="dxa"/>
          </w:tcPr>
          <w:p w14:paraId="7FCB825D" w14:textId="5F8EA027" w:rsidR="00383F48" w:rsidRDefault="00383F48" w:rsidP="00F9603B">
            <w:pPr>
              <w:pStyle w:val="Tabletext"/>
              <w:jc w:val="right"/>
              <w:rPr>
                <w:lang w:eastAsia="en-AU"/>
              </w:rPr>
            </w:pPr>
            <w:r>
              <w:rPr>
                <w:lang w:eastAsia="en-AU"/>
              </w:rPr>
              <w:t>2.7</w:t>
            </w:r>
          </w:p>
        </w:tc>
        <w:tc>
          <w:tcPr>
            <w:tcW w:w="1717" w:type="dxa"/>
          </w:tcPr>
          <w:p w14:paraId="6A5F03A5" w14:textId="612C692B" w:rsidR="00383F48" w:rsidRDefault="00383F48" w:rsidP="00F9603B">
            <w:pPr>
              <w:pStyle w:val="Tabletext"/>
              <w:jc w:val="right"/>
              <w:rPr>
                <w:lang w:eastAsia="en-AU"/>
              </w:rPr>
            </w:pPr>
            <w:r>
              <w:rPr>
                <w:lang w:eastAsia="en-AU"/>
              </w:rPr>
              <w:t>0.4</w:t>
            </w:r>
          </w:p>
        </w:tc>
      </w:tr>
      <w:tr w:rsidR="00383F48" w14:paraId="0589E014" w14:textId="499827C6" w:rsidTr="00021E92">
        <w:trPr>
          <w:cnfStyle w:val="000000010000" w:firstRow="0" w:lastRow="0" w:firstColumn="0" w:lastColumn="0" w:oddVBand="0" w:evenVBand="0" w:oddHBand="0" w:evenHBand="1" w:firstRowFirstColumn="0" w:firstRowLastColumn="0" w:lastRowFirstColumn="0" w:lastRowLastColumn="0"/>
          <w:trHeight w:val="322"/>
        </w:trPr>
        <w:tc>
          <w:tcPr>
            <w:tcW w:w="1717" w:type="dxa"/>
            <w:shd w:val="clear" w:color="auto" w:fill="BCDFFF" w:themeFill="accent1" w:themeFillTint="33"/>
          </w:tcPr>
          <w:p w14:paraId="2F9DD3A9" w14:textId="2B76F15F" w:rsidR="00383F48" w:rsidRPr="00CC6987" w:rsidRDefault="00383F48" w:rsidP="00F9603B">
            <w:pPr>
              <w:pStyle w:val="Tabletext"/>
              <w:rPr>
                <w:i/>
                <w:lang w:eastAsia="en-AU"/>
              </w:rPr>
            </w:pPr>
            <w:r w:rsidRPr="00CC6987">
              <w:rPr>
                <w:i/>
                <w:lang w:eastAsia="en-AU"/>
              </w:rPr>
              <w:t>Location</w:t>
            </w:r>
          </w:p>
        </w:tc>
        <w:tc>
          <w:tcPr>
            <w:tcW w:w="1717" w:type="dxa"/>
            <w:shd w:val="clear" w:color="auto" w:fill="BCDFFF" w:themeFill="accent1" w:themeFillTint="33"/>
          </w:tcPr>
          <w:p w14:paraId="47DA141D" w14:textId="77777777" w:rsidR="00383F48" w:rsidRDefault="00383F48" w:rsidP="00F9603B">
            <w:pPr>
              <w:pStyle w:val="Tabletext"/>
              <w:jc w:val="right"/>
              <w:rPr>
                <w:lang w:eastAsia="en-AU"/>
              </w:rPr>
            </w:pPr>
          </w:p>
        </w:tc>
        <w:tc>
          <w:tcPr>
            <w:tcW w:w="1717" w:type="dxa"/>
            <w:shd w:val="clear" w:color="auto" w:fill="BCDFFF" w:themeFill="accent1" w:themeFillTint="33"/>
          </w:tcPr>
          <w:p w14:paraId="6D3AB1F7" w14:textId="12865E3D" w:rsidR="00383F48" w:rsidRDefault="00383F48" w:rsidP="00F9603B">
            <w:pPr>
              <w:pStyle w:val="Tabletext"/>
              <w:jc w:val="right"/>
              <w:rPr>
                <w:lang w:eastAsia="en-AU"/>
              </w:rPr>
            </w:pPr>
          </w:p>
        </w:tc>
      </w:tr>
      <w:tr w:rsidR="00383F48" w14:paraId="64C01857" w14:textId="75965A81"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38F7B407" w14:textId="1A62BB2D" w:rsidR="00383F48" w:rsidRDefault="00383F48" w:rsidP="00F9603B">
            <w:pPr>
              <w:pStyle w:val="Tabletext"/>
              <w:rPr>
                <w:lang w:eastAsia="en-AU"/>
              </w:rPr>
            </w:pPr>
            <w:r>
              <w:rPr>
                <w:lang w:eastAsia="en-AU"/>
              </w:rPr>
              <w:t>NSW</w:t>
            </w:r>
          </w:p>
        </w:tc>
        <w:tc>
          <w:tcPr>
            <w:tcW w:w="1717" w:type="dxa"/>
          </w:tcPr>
          <w:p w14:paraId="10B55879" w14:textId="7DA2EF3A" w:rsidR="00383F48" w:rsidRDefault="00383F48" w:rsidP="00F9603B">
            <w:pPr>
              <w:pStyle w:val="Tabletext"/>
              <w:jc w:val="right"/>
              <w:rPr>
                <w:lang w:eastAsia="en-AU"/>
              </w:rPr>
            </w:pPr>
            <w:r>
              <w:rPr>
                <w:lang w:eastAsia="en-AU"/>
              </w:rPr>
              <w:t>32.3</w:t>
            </w:r>
          </w:p>
        </w:tc>
        <w:tc>
          <w:tcPr>
            <w:tcW w:w="1717" w:type="dxa"/>
          </w:tcPr>
          <w:p w14:paraId="241B0C16" w14:textId="1A5D849E" w:rsidR="00383F48" w:rsidRDefault="00383F48" w:rsidP="00F9603B">
            <w:pPr>
              <w:pStyle w:val="Tabletext"/>
              <w:jc w:val="right"/>
              <w:rPr>
                <w:lang w:eastAsia="en-AU"/>
              </w:rPr>
            </w:pPr>
            <w:r>
              <w:rPr>
                <w:lang w:eastAsia="en-AU"/>
              </w:rPr>
              <w:t>34.8</w:t>
            </w:r>
          </w:p>
        </w:tc>
      </w:tr>
      <w:tr w:rsidR="00383F48" w14:paraId="67E06A90" w14:textId="00C2784E"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274F51DB" w14:textId="58B37A13" w:rsidR="00383F48" w:rsidRDefault="00383F48" w:rsidP="00F9603B">
            <w:pPr>
              <w:pStyle w:val="Tabletext"/>
              <w:rPr>
                <w:lang w:eastAsia="en-AU"/>
              </w:rPr>
            </w:pPr>
            <w:r>
              <w:rPr>
                <w:lang w:eastAsia="en-AU"/>
              </w:rPr>
              <w:t>VIC</w:t>
            </w:r>
          </w:p>
        </w:tc>
        <w:tc>
          <w:tcPr>
            <w:tcW w:w="1717" w:type="dxa"/>
          </w:tcPr>
          <w:p w14:paraId="03AD1B4A" w14:textId="687A3BCD" w:rsidR="00383F48" w:rsidRDefault="00383F48" w:rsidP="00F9603B">
            <w:pPr>
              <w:pStyle w:val="Tabletext"/>
              <w:jc w:val="right"/>
              <w:rPr>
                <w:lang w:eastAsia="en-AU"/>
              </w:rPr>
            </w:pPr>
            <w:r>
              <w:rPr>
                <w:lang w:eastAsia="en-AU"/>
              </w:rPr>
              <w:t>18.1</w:t>
            </w:r>
          </w:p>
        </w:tc>
        <w:tc>
          <w:tcPr>
            <w:tcW w:w="1717" w:type="dxa"/>
          </w:tcPr>
          <w:p w14:paraId="3F8DE8B5" w14:textId="66F5EDB5" w:rsidR="00383F48" w:rsidRDefault="00383F48" w:rsidP="00F9603B">
            <w:pPr>
              <w:pStyle w:val="Tabletext"/>
              <w:jc w:val="right"/>
              <w:rPr>
                <w:lang w:eastAsia="en-AU"/>
              </w:rPr>
            </w:pPr>
            <w:r>
              <w:rPr>
                <w:lang w:eastAsia="en-AU"/>
              </w:rPr>
              <w:t>25.6</w:t>
            </w:r>
          </w:p>
        </w:tc>
      </w:tr>
      <w:tr w:rsidR="00383F48" w14:paraId="2CEF2804" w14:textId="05D18F2D"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313DA720" w14:textId="785F04BD" w:rsidR="00383F48" w:rsidRDefault="00383F48" w:rsidP="00F9603B">
            <w:pPr>
              <w:pStyle w:val="Tabletext"/>
              <w:rPr>
                <w:lang w:eastAsia="en-AU"/>
              </w:rPr>
            </w:pPr>
            <w:r>
              <w:rPr>
                <w:lang w:eastAsia="en-AU"/>
              </w:rPr>
              <w:t>QLD</w:t>
            </w:r>
          </w:p>
        </w:tc>
        <w:tc>
          <w:tcPr>
            <w:tcW w:w="1717" w:type="dxa"/>
          </w:tcPr>
          <w:p w14:paraId="22FD3B99" w14:textId="3F0B8A1C" w:rsidR="00383F48" w:rsidRDefault="00383F48" w:rsidP="00F9603B">
            <w:pPr>
              <w:pStyle w:val="Tabletext"/>
              <w:jc w:val="right"/>
              <w:rPr>
                <w:lang w:eastAsia="en-AU"/>
              </w:rPr>
            </w:pPr>
            <w:r>
              <w:rPr>
                <w:lang w:eastAsia="en-AU"/>
              </w:rPr>
              <w:t>21.0</w:t>
            </w:r>
          </w:p>
        </w:tc>
        <w:tc>
          <w:tcPr>
            <w:tcW w:w="1717" w:type="dxa"/>
          </w:tcPr>
          <w:p w14:paraId="536E55B0" w14:textId="10F1B018" w:rsidR="00383F48" w:rsidRDefault="00383F48" w:rsidP="00F9603B">
            <w:pPr>
              <w:pStyle w:val="Tabletext"/>
              <w:jc w:val="right"/>
              <w:rPr>
                <w:lang w:eastAsia="en-AU"/>
              </w:rPr>
            </w:pPr>
            <w:r>
              <w:rPr>
                <w:lang w:eastAsia="en-AU"/>
              </w:rPr>
              <w:t>19.4</w:t>
            </w:r>
          </w:p>
        </w:tc>
      </w:tr>
      <w:tr w:rsidR="00383F48" w14:paraId="6FD97B2C" w14:textId="19CBC2C4"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2D385309" w14:textId="77777777" w:rsidR="00383F48" w:rsidRDefault="00383F48" w:rsidP="00F9603B">
            <w:pPr>
              <w:pStyle w:val="Tabletext"/>
              <w:rPr>
                <w:lang w:eastAsia="en-AU"/>
              </w:rPr>
            </w:pPr>
            <w:r>
              <w:rPr>
                <w:lang w:eastAsia="en-AU"/>
              </w:rPr>
              <w:t>SA</w:t>
            </w:r>
          </w:p>
        </w:tc>
        <w:tc>
          <w:tcPr>
            <w:tcW w:w="1717" w:type="dxa"/>
          </w:tcPr>
          <w:p w14:paraId="2E83D691" w14:textId="734E36E1" w:rsidR="00383F48" w:rsidRDefault="00383F48" w:rsidP="00F9603B">
            <w:pPr>
              <w:pStyle w:val="Tabletext"/>
              <w:jc w:val="right"/>
              <w:rPr>
                <w:lang w:eastAsia="en-AU"/>
              </w:rPr>
            </w:pPr>
            <w:r>
              <w:rPr>
                <w:lang w:eastAsia="en-AU"/>
              </w:rPr>
              <w:t>11.7</w:t>
            </w:r>
          </w:p>
        </w:tc>
        <w:tc>
          <w:tcPr>
            <w:tcW w:w="1717" w:type="dxa"/>
          </w:tcPr>
          <w:p w14:paraId="38FB936C" w14:textId="36F9F6F5" w:rsidR="00383F48" w:rsidRDefault="00383F48" w:rsidP="00F9603B">
            <w:pPr>
              <w:pStyle w:val="Tabletext"/>
              <w:jc w:val="right"/>
              <w:rPr>
                <w:lang w:eastAsia="en-AU"/>
              </w:rPr>
            </w:pPr>
            <w:r>
              <w:rPr>
                <w:lang w:eastAsia="en-AU"/>
              </w:rPr>
              <w:t>6.2</w:t>
            </w:r>
          </w:p>
        </w:tc>
      </w:tr>
      <w:tr w:rsidR="00383F48" w14:paraId="6756F4B9" w14:textId="3D3D1D40" w:rsidTr="00544E01">
        <w:trPr>
          <w:cnfStyle w:val="000000100000" w:firstRow="0" w:lastRow="0" w:firstColumn="0" w:lastColumn="0" w:oddVBand="0" w:evenVBand="0" w:oddHBand="1" w:evenHBand="0" w:firstRowFirstColumn="0" w:firstRowLastColumn="0" w:lastRowFirstColumn="0" w:lastRowLastColumn="0"/>
          <w:trHeight w:val="322"/>
        </w:trPr>
        <w:tc>
          <w:tcPr>
            <w:tcW w:w="1717" w:type="dxa"/>
          </w:tcPr>
          <w:p w14:paraId="786CFB06" w14:textId="3EB18C34" w:rsidR="00383F48" w:rsidRDefault="00383F48" w:rsidP="00F9603B">
            <w:pPr>
              <w:pStyle w:val="Tabletext"/>
              <w:rPr>
                <w:lang w:eastAsia="en-AU"/>
              </w:rPr>
            </w:pPr>
            <w:r>
              <w:rPr>
                <w:lang w:eastAsia="en-AU"/>
              </w:rPr>
              <w:t>WA</w:t>
            </w:r>
          </w:p>
        </w:tc>
        <w:tc>
          <w:tcPr>
            <w:tcW w:w="1717" w:type="dxa"/>
          </w:tcPr>
          <w:p w14:paraId="5292A17C" w14:textId="7940DFD0" w:rsidR="00383F48" w:rsidRDefault="00383F48" w:rsidP="00F9603B">
            <w:pPr>
              <w:pStyle w:val="Tabletext"/>
              <w:jc w:val="right"/>
              <w:rPr>
                <w:lang w:eastAsia="en-AU"/>
              </w:rPr>
            </w:pPr>
            <w:r>
              <w:rPr>
                <w:lang w:eastAsia="en-AU"/>
              </w:rPr>
              <w:t>11.5</w:t>
            </w:r>
          </w:p>
        </w:tc>
        <w:tc>
          <w:tcPr>
            <w:tcW w:w="1717" w:type="dxa"/>
          </w:tcPr>
          <w:p w14:paraId="6C97E21C" w14:textId="20CC2420" w:rsidR="00383F48" w:rsidRDefault="00383F48" w:rsidP="00F9603B">
            <w:pPr>
              <w:pStyle w:val="Tabletext"/>
              <w:jc w:val="right"/>
              <w:rPr>
                <w:lang w:eastAsia="en-AU"/>
              </w:rPr>
            </w:pPr>
            <w:r>
              <w:rPr>
                <w:lang w:eastAsia="en-AU"/>
              </w:rPr>
              <w:t>10.1</w:t>
            </w:r>
          </w:p>
        </w:tc>
      </w:tr>
      <w:tr w:rsidR="00383F48" w14:paraId="00A78757" w14:textId="461D94E8"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6878C12F" w14:textId="2C988F29" w:rsidR="00383F48" w:rsidRDefault="00383F48" w:rsidP="00F9603B">
            <w:pPr>
              <w:pStyle w:val="Tabletext"/>
              <w:rPr>
                <w:lang w:eastAsia="en-AU"/>
              </w:rPr>
            </w:pPr>
            <w:r>
              <w:rPr>
                <w:lang w:eastAsia="en-AU"/>
              </w:rPr>
              <w:t>Other States</w:t>
            </w:r>
          </w:p>
        </w:tc>
        <w:tc>
          <w:tcPr>
            <w:tcW w:w="1717" w:type="dxa"/>
          </w:tcPr>
          <w:p w14:paraId="5C0F63C5" w14:textId="02830305" w:rsidR="00383F48" w:rsidRDefault="00383F48" w:rsidP="00F9603B">
            <w:pPr>
              <w:pStyle w:val="Tabletext"/>
              <w:jc w:val="right"/>
              <w:rPr>
                <w:lang w:eastAsia="en-AU"/>
              </w:rPr>
            </w:pPr>
            <w:r>
              <w:rPr>
                <w:lang w:eastAsia="en-AU"/>
              </w:rPr>
              <w:t>5.4</w:t>
            </w:r>
          </w:p>
        </w:tc>
        <w:tc>
          <w:tcPr>
            <w:tcW w:w="1717" w:type="dxa"/>
          </w:tcPr>
          <w:p w14:paraId="77E65A53" w14:textId="65A0920A" w:rsidR="00383F48" w:rsidRDefault="00383F48" w:rsidP="00F9603B">
            <w:pPr>
              <w:pStyle w:val="Tabletext"/>
              <w:jc w:val="right"/>
              <w:rPr>
                <w:lang w:eastAsia="en-AU"/>
              </w:rPr>
            </w:pPr>
            <w:r>
              <w:rPr>
                <w:lang w:eastAsia="en-AU"/>
              </w:rPr>
              <w:t>4.0</w:t>
            </w:r>
          </w:p>
        </w:tc>
      </w:tr>
      <w:tr w:rsidR="00383F48" w14:paraId="4878F4CB" w14:textId="282FEECA"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32326819" w14:textId="306AE952" w:rsidR="00383F48" w:rsidRDefault="00383F48" w:rsidP="00F9603B">
            <w:pPr>
              <w:pStyle w:val="Tabletext"/>
              <w:rPr>
                <w:lang w:eastAsia="en-AU"/>
              </w:rPr>
            </w:pPr>
            <w:r>
              <w:rPr>
                <w:lang w:eastAsia="en-AU"/>
              </w:rPr>
              <w:t>Exporterᵃ</w:t>
            </w:r>
          </w:p>
        </w:tc>
        <w:tc>
          <w:tcPr>
            <w:tcW w:w="1717" w:type="dxa"/>
          </w:tcPr>
          <w:p w14:paraId="180D90F6" w14:textId="5D40CF7F" w:rsidR="00383F48" w:rsidRDefault="00383F48" w:rsidP="00F9603B">
            <w:pPr>
              <w:pStyle w:val="Tabletext"/>
              <w:jc w:val="right"/>
              <w:rPr>
                <w:lang w:eastAsia="en-AU"/>
              </w:rPr>
            </w:pPr>
            <w:r>
              <w:rPr>
                <w:lang w:eastAsia="en-AU"/>
              </w:rPr>
              <w:t>33.0ᵃ</w:t>
            </w:r>
          </w:p>
        </w:tc>
        <w:tc>
          <w:tcPr>
            <w:tcW w:w="1717" w:type="dxa"/>
          </w:tcPr>
          <w:p w14:paraId="51E877B3" w14:textId="5E1CF5C6" w:rsidR="00383F48" w:rsidRDefault="00383F48" w:rsidP="00F9603B">
            <w:pPr>
              <w:pStyle w:val="Tabletext"/>
              <w:jc w:val="right"/>
              <w:rPr>
                <w:lang w:eastAsia="en-AU"/>
              </w:rPr>
            </w:pPr>
            <w:r>
              <w:rPr>
                <w:lang w:eastAsia="en-AU"/>
              </w:rPr>
              <w:t>4.8</w:t>
            </w:r>
          </w:p>
        </w:tc>
      </w:tr>
      <w:tr w:rsidR="00383F48" w14:paraId="544C2953" w14:textId="3AD43DD3" w:rsidTr="00544E01">
        <w:trPr>
          <w:cnfStyle w:val="000000010000" w:firstRow="0" w:lastRow="0" w:firstColumn="0" w:lastColumn="0" w:oddVBand="0" w:evenVBand="0" w:oddHBand="0" w:evenHBand="1" w:firstRowFirstColumn="0" w:firstRowLastColumn="0" w:lastRowFirstColumn="0" w:lastRowLastColumn="0"/>
          <w:trHeight w:val="322"/>
        </w:trPr>
        <w:tc>
          <w:tcPr>
            <w:tcW w:w="1717" w:type="dxa"/>
          </w:tcPr>
          <w:p w14:paraId="30A3FFD8" w14:textId="4B9C617A" w:rsidR="00383F48" w:rsidRDefault="00383F48" w:rsidP="00F9603B">
            <w:pPr>
              <w:pStyle w:val="Tabletext"/>
              <w:rPr>
                <w:lang w:eastAsia="en-AU"/>
              </w:rPr>
            </w:pPr>
            <w:r>
              <w:rPr>
                <w:lang w:eastAsia="en-AU"/>
              </w:rPr>
              <w:t xml:space="preserve">R&amp;D activeᵇ </w:t>
            </w:r>
          </w:p>
        </w:tc>
        <w:tc>
          <w:tcPr>
            <w:tcW w:w="1717" w:type="dxa"/>
          </w:tcPr>
          <w:p w14:paraId="6D2B02B6" w14:textId="35387198" w:rsidR="00383F48" w:rsidRDefault="00383F48" w:rsidP="00F9603B">
            <w:pPr>
              <w:pStyle w:val="Tabletext"/>
              <w:jc w:val="right"/>
              <w:rPr>
                <w:lang w:eastAsia="en-AU"/>
              </w:rPr>
            </w:pPr>
            <w:r>
              <w:rPr>
                <w:lang w:eastAsia="en-AU"/>
              </w:rPr>
              <w:t>14.3ᵇ</w:t>
            </w:r>
          </w:p>
        </w:tc>
        <w:tc>
          <w:tcPr>
            <w:tcW w:w="1717" w:type="dxa"/>
          </w:tcPr>
          <w:p w14:paraId="7B5499D8" w14:textId="70A46105" w:rsidR="00383F48" w:rsidRDefault="00383F48" w:rsidP="00F9603B">
            <w:pPr>
              <w:pStyle w:val="Tabletext"/>
              <w:jc w:val="right"/>
              <w:rPr>
                <w:lang w:eastAsia="en-AU"/>
              </w:rPr>
            </w:pPr>
            <w:r>
              <w:rPr>
                <w:lang w:eastAsia="en-AU"/>
              </w:rPr>
              <w:t>0.6</w:t>
            </w:r>
          </w:p>
        </w:tc>
      </w:tr>
      <w:tr w:rsidR="00383F48" w14:paraId="33807174" w14:textId="0F70DE75" w:rsidTr="00021E92">
        <w:trPr>
          <w:cnfStyle w:val="000000100000" w:firstRow="0" w:lastRow="0" w:firstColumn="0" w:lastColumn="0" w:oddVBand="0" w:evenVBand="0" w:oddHBand="1" w:evenHBand="0" w:firstRowFirstColumn="0" w:firstRowLastColumn="0" w:lastRowFirstColumn="0" w:lastRowLastColumn="0"/>
          <w:trHeight w:val="310"/>
        </w:trPr>
        <w:tc>
          <w:tcPr>
            <w:tcW w:w="1717" w:type="dxa"/>
            <w:shd w:val="clear" w:color="auto" w:fill="BCDFFF" w:themeFill="accent1" w:themeFillTint="33"/>
          </w:tcPr>
          <w:p w14:paraId="007220CD" w14:textId="53720C7D" w:rsidR="00383F48" w:rsidRDefault="00383F48" w:rsidP="00F9603B">
            <w:pPr>
              <w:pStyle w:val="Tabletext"/>
              <w:rPr>
                <w:lang w:eastAsia="en-AU"/>
              </w:rPr>
            </w:pPr>
            <w:r>
              <w:rPr>
                <w:i/>
                <w:lang w:eastAsia="en-AU"/>
              </w:rPr>
              <w:t>Industry</w:t>
            </w:r>
          </w:p>
        </w:tc>
        <w:tc>
          <w:tcPr>
            <w:tcW w:w="1717" w:type="dxa"/>
            <w:shd w:val="clear" w:color="auto" w:fill="BCDFFF" w:themeFill="accent1" w:themeFillTint="33"/>
          </w:tcPr>
          <w:p w14:paraId="10AC8CEC" w14:textId="77777777" w:rsidR="00383F48" w:rsidRDefault="00383F48" w:rsidP="00F9603B">
            <w:pPr>
              <w:pStyle w:val="Tabletext"/>
              <w:jc w:val="right"/>
              <w:rPr>
                <w:lang w:eastAsia="en-AU"/>
              </w:rPr>
            </w:pPr>
          </w:p>
        </w:tc>
        <w:tc>
          <w:tcPr>
            <w:tcW w:w="1717" w:type="dxa"/>
            <w:shd w:val="clear" w:color="auto" w:fill="BCDFFF" w:themeFill="accent1" w:themeFillTint="33"/>
          </w:tcPr>
          <w:p w14:paraId="7812E8CC" w14:textId="3DC02DDF" w:rsidR="00383F48" w:rsidRDefault="00383F48" w:rsidP="00F9603B">
            <w:pPr>
              <w:pStyle w:val="Tabletext"/>
              <w:jc w:val="right"/>
              <w:rPr>
                <w:lang w:eastAsia="en-AU"/>
              </w:rPr>
            </w:pPr>
          </w:p>
        </w:tc>
      </w:tr>
      <w:tr w:rsidR="00383F48" w14:paraId="2A558E74" w14:textId="211C1FD4"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0E4EAA4D" w14:textId="5E137D77" w:rsidR="00383F48" w:rsidRPr="00B76848" w:rsidRDefault="00383F48" w:rsidP="00F9603B">
            <w:pPr>
              <w:pStyle w:val="Tabletext"/>
              <w:rPr>
                <w:i/>
                <w:lang w:eastAsia="en-AU"/>
              </w:rPr>
            </w:pPr>
            <w:r>
              <w:rPr>
                <w:lang w:eastAsia="en-AU"/>
              </w:rPr>
              <w:t>Manufacturing</w:t>
            </w:r>
          </w:p>
        </w:tc>
        <w:tc>
          <w:tcPr>
            <w:tcW w:w="1717" w:type="dxa"/>
          </w:tcPr>
          <w:p w14:paraId="6F05C247" w14:textId="02991EAA" w:rsidR="00383F48" w:rsidRDefault="00383F48" w:rsidP="00F9603B">
            <w:pPr>
              <w:pStyle w:val="Tabletext"/>
              <w:jc w:val="right"/>
              <w:rPr>
                <w:lang w:eastAsia="en-AU"/>
              </w:rPr>
            </w:pPr>
            <w:r>
              <w:rPr>
                <w:lang w:eastAsia="en-AU"/>
              </w:rPr>
              <w:t>37.0</w:t>
            </w:r>
          </w:p>
        </w:tc>
        <w:tc>
          <w:tcPr>
            <w:tcW w:w="1717" w:type="dxa"/>
          </w:tcPr>
          <w:p w14:paraId="4EFDC216" w14:textId="6E2DD308" w:rsidR="00383F48" w:rsidRDefault="00383F48" w:rsidP="00F9603B">
            <w:pPr>
              <w:pStyle w:val="Tabletext"/>
              <w:jc w:val="right"/>
              <w:rPr>
                <w:lang w:eastAsia="en-AU"/>
              </w:rPr>
            </w:pPr>
            <w:r>
              <w:rPr>
                <w:lang w:eastAsia="en-AU"/>
              </w:rPr>
              <w:t>5.2</w:t>
            </w:r>
          </w:p>
        </w:tc>
      </w:tr>
      <w:tr w:rsidR="00383F48" w14:paraId="77C8B910" w14:textId="2EB1E6FB"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09066BF0" w14:textId="456DB278" w:rsidR="00383F48" w:rsidRDefault="00383F48" w:rsidP="00F9603B">
            <w:pPr>
              <w:pStyle w:val="Tabletext"/>
              <w:rPr>
                <w:lang w:eastAsia="en-AU"/>
              </w:rPr>
            </w:pPr>
            <w:r>
              <w:rPr>
                <w:lang w:eastAsia="en-AU"/>
              </w:rPr>
              <w:t>PST</w:t>
            </w:r>
          </w:p>
        </w:tc>
        <w:tc>
          <w:tcPr>
            <w:tcW w:w="1717" w:type="dxa"/>
          </w:tcPr>
          <w:p w14:paraId="4623D64F" w14:textId="175A54FF" w:rsidR="00383F48" w:rsidRDefault="00383F48" w:rsidP="00F9603B">
            <w:pPr>
              <w:pStyle w:val="Tabletext"/>
              <w:jc w:val="right"/>
              <w:rPr>
                <w:lang w:eastAsia="en-AU"/>
              </w:rPr>
            </w:pPr>
            <w:r>
              <w:rPr>
                <w:lang w:eastAsia="en-AU"/>
              </w:rPr>
              <w:t>16.0</w:t>
            </w:r>
          </w:p>
        </w:tc>
        <w:tc>
          <w:tcPr>
            <w:tcW w:w="1717" w:type="dxa"/>
          </w:tcPr>
          <w:p w14:paraId="79F6FAFB" w14:textId="7E42076D" w:rsidR="00383F48" w:rsidRDefault="00383F48" w:rsidP="00F9603B">
            <w:pPr>
              <w:pStyle w:val="Tabletext"/>
              <w:jc w:val="right"/>
              <w:rPr>
                <w:lang w:eastAsia="en-AU"/>
              </w:rPr>
            </w:pPr>
            <w:r>
              <w:rPr>
                <w:lang w:eastAsia="en-AU"/>
              </w:rPr>
              <w:t>13.0</w:t>
            </w:r>
          </w:p>
        </w:tc>
      </w:tr>
      <w:tr w:rsidR="00383F48" w14:paraId="200DF9D9" w14:textId="65ED098B"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52354DB3" w14:textId="552D124E" w:rsidR="00383F48" w:rsidRDefault="00383F48" w:rsidP="00F9603B">
            <w:pPr>
              <w:pStyle w:val="Tabletext"/>
              <w:rPr>
                <w:lang w:eastAsia="en-AU"/>
              </w:rPr>
            </w:pPr>
            <w:r>
              <w:rPr>
                <w:lang w:eastAsia="en-AU"/>
              </w:rPr>
              <w:t>Other Services</w:t>
            </w:r>
          </w:p>
        </w:tc>
        <w:tc>
          <w:tcPr>
            <w:tcW w:w="1717" w:type="dxa"/>
          </w:tcPr>
          <w:p w14:paraId="6E87D99A" w14:textId="3CE30437" w:rsidR="00383F48" w:rsidRDefault="00383F48" w:rsidP="00F9603B">
            <w:pPr>
              <w:pStyle w:val="Tabletext"/>
              <w:jc w:val="right"/>
              <w:rPr>
                <w:lang w:eastAsia="en-AU"/>
              </w:rPr>
            </w:pPr>
            <w:r>
              <w:rPr>
                <w:lang w:eastAsia="en-AU"/>
              </w:rPr>
              <w:t>32.8</w:t>
            </w:r>
          </w:p>
        </w:tc>
        <w:tc>
          <w:tcPr>
            <w:tcW w:w="1717" w:type="dxa"/>
          </w:tcPr>
          <w:p w14:paraId="51941726" w14:textId="4202551C" w:rsidR="00383F48" w:rsidRDefault="00383F48" w:rsidP="00F9603B">
            <w:pPr>
              <w:pStyle w:val="Tabletext"/>
              <w:jc w:val="right"/>
              <w:rPr>
                <w:lang w:eastAsia="en-AU"/>
              </w:rPr>
            </w:pPr>
            <w:r>
              <w:rPr>
                <w:lang w:eastAsia="en-AU"/>
              </w:rPr>
              <w:t>58.1</w:t>
            </w:r>
          </w:p>
        </w:tc>
      </w:tr>
      <w:tr w:rsidR="00383F48" w14:paraId="52CA37B5" w14:textId="448BED34" w:rsidTr="00544E01">
        <w:trPr>
          <w:cnfStyle w:val="000000100000" w:firstRow="0" w:lastRow="0" w:firstColumn="0" w:lastColumn="0" w:oddVBand="0" w:evenVBand="0" w:oddHBand="1" w:evenHBand="0" w:firstRowFirstColumn="0" w:firstRowLastColumn="0" w:lastRowFirstColumn="0" w:lastRowLastColumn="0"/>
          <w:trHeight w:val="322"/>
        </w:trPr>
        <w:tc>
          <w:tcPr>
            <w:tcW w:w="1717" w:type="dxa"/>
          </w:tcPr>
          <w:p w14:paraId="3C08914D" w14:textId="21B8FED3" w:rsidR="00383F48" w:rsidRDefault="00383F48" w:rsidP="00F9603B">
            <w:pPr>
              <w:pStyle w:val="Tabletext"/>
              <w:rPr>
                <w:lang w:eastAsia="en-AU"/>
              </w:rPr>
            </w:pPr>
            <w:r>
              <w:rPr>
                <w:lang w:eastAsia="en-AU"/>
              </w:rPr>
              <w:t xml:space="preserve">Unknown/other industries </w:t>
            </w:r>
          </w:p>
        </w:tc>
        <w:tc>
          <w:tcPr>
            <w:tcW w:w="1717" w:type="dxa"/>
          </w:tcPr>
          <w:p w14:paraId="31186857" w14:textId="794933C0" w:rsidR="00383F48" w:rsidRDefault="00383F48" w:rsidP="00F9603B">
            <w:pPr>
              <w:pStyle w:val="Tabletext"/>
              <w:jc w:val="right"/>
              <w:rPr>
                <w:lang w:eastAsia="en-AU"/>
              </w:rPr>
            </w:pPr>
            <w:r>
              <w:rPr>
                <w:lang w:eastAsia="en-AU"/>
              </w:rPr>
              <w:t>14.2</w:t>
            </w:r>
          </w:p>
        </w:tc>
        <w:tc>
          <w:tcPr>
            <w:tcW w:w="1717" w:type="dxa"/>
          </w:tcPr>
          <w:p w14:paraId="4717B44A" w14:textId="5745F016" w:rsidR="00383F48" w:rsidRDefault="00383F48" w:rsidP="00F9603B">
            <w:pPr>
              <w:pStyle w:val="Tabletext"/>
              <w:jc w:val="right"/>
              <w:rPr>
                <w:lang w:eastAsia="en-AU"/>
              </w:rPr>
            </w:pPr>
            <w:r>
              <w:rPr>
                <w:lang w:eastAsia="en-AU"/>
              </w:rPr>
              <w:t>23.7</w:t>
            </w:r>
          </w:p>
        </w:tc>
      </w:tr>
      <w:tr w:rsidR="00383F48" w14:paraId="2D151C0A" w14:textId="4B6F8EC7" w:rsidTr="00021E92">
        <w:trPr>
          <w:cnfStyle w:val="000000010000" w:firstRow="0" w:lastRow="0" w:firstColumn="0" w:lastColumn="0" w:oddVBand="0" w:evenVBand="0" w:oddHBand="0" w:evenHBand="1" w:firstRowFirstColumn="0" w:firstRowLastColumn="0" w:lastRowFirstColumn="0" w:lastRowLastColumn="0"/>
          <w:trHeight w:val="310"/>
        </w:trPr>
        <w:tc>
          <w:tcPr>
            <w:tcW w:w="1717" w:type="dxa"/>
            <w:shd w:val="clear" w:color="auto" w:fill="BCDFFF" w:themeFill="accent1" w:themeFillTint="33"/>
          </w:tcPr>
          <w:p w14:paraId="186713F5" w14:textId="3E2F123C" w:rsidR="00383F48" w:rsidRPr="00BF5A62" w:rsidRDefault="00383F48" w:rsidP="00F9603B">
            <w:pPr>
              <w:pStyle w:val="Tabletext"/>
              <w:rPr>
                <w:i/>
                <w:lang w:eastAsia="en-AU"/>
              </w:rPr>
            </w:pPr>
            <w:r w:rsidRPr="00BF5A62">
              <w:rPr>
                <w:i/>
                <w:lang w:eastAsia="en-AU"/>
              </w:rPr>
              <w:t>Type of legal organisation</w:t>
            </w:r>
          </w:p>
        </w:tc>
        <w:tc>
          <w:tcPr>
            <w:tcW w:w="1717" w:type="dxa"/>
            <w:shd w:val="clear" w:color="auto" w:fill="BCDFFF" w:themeFill="accent1" w:themeFillTint="33"/>
          </w:tcPr>
          <w:p w14:paraId="020AE0D0" w14:textId="77777777" w:rsidR="00383F48" w:rsidRDefault="00383F48" w:rsidP="00F9603B">
            <w:pPr>
              <w:pStyle w:val="Tabletext"/>
              <w:jc w:val="right"/>
              <w:rPr>
                <w:lang w:eastAsia="en-AU"/>
              </w:rPr>
            </w:pPr>
          </w:p>
        </w:tc>
        <w:tc>
          <w:tcPr>
            <w:tcW w:w="1717" w:type="dxa"/>
            <w:shd w:val="clear" w:color="auto" w:fill="BCDFFF" w:themeFill="accent1" w:themeFillTint="33"/>
          </w:tcPr>
          <w:p w14:paraId="11C550BF" w14:textId="37E5B2D8" w:rsidR="00383F48" w:rsidRDefault="00383F48" w:rsidP="00F9603B">
            <w:pPr>
              <w:pStyle w:val="Tabletext"/>
              <w:jc w:val="right"/>
              <w:rPr>
                <w:lang w:eastAsia="en-AU"/>
              </w:rPr>
            </w:pPr>
          </w:p>
        </w:tc>
      </w:tr>
      <w:tr w:rsidR="00383F48" w14:paraId="10DFE336" w14:textId="67D92DCD"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417309D2" w14:textId="42875131" w:rsidR="00383F48" w:rsidRDefault="00383F48" w:rsidP="00F9603B">
            <w:pPr>
              <w:pStyle w:val="Tabletext"/>
              <w:rPr>
                <w:lang w:eastAsia="en-AU"/>
              </w:rPr>
            </w:pPr>
            <w:r>
              <w:rPr>
                <w:lang w:eastAsia="en-AU"/>
              </w:rPr>
              <w:t xml:space="preserve">Propriety Limited </w:t>
            </w:r>
          </w:p>
        </w:tc>
        <w:tc>
          <w:tcPr>
            <w:tcW w:w="1717" w:type="dxa"/>
          </w:tcPr>
          <w:p w14:paraId="04867F1D" w14:textId="7B2427C5" w:rsidR="00383F48" w:rsidRDefault="00383F48" w:rsidP="00F9603B">
            <w:pPr>
              <w:pStyle w:val="Tabletext"/>
              <w:jc w:val="right"/>
              <w:rPr>
                <w:lang w:eastAsia="en-AU"/>
              </w:rPr>
            </w:pPr>
            <w:r>
              <w:rPr>
                <w:lang w:eastAsia="en-AU"/>
              </w:rPr>
              <w:t>74.8</w:t>
            </w:r>
          </w:p>
        </w:tc>
        <w:tc>
          <w:tcPr>
            <w:tcW w:w="1717" w:type="dxa"/>
          </w:tcPr>
          <w:p w14:paraId="11BF077D" w14:textId="5A583217" w:rsidR="00383F48" w:rsidRDefault="00383F48" w:rsidP="00F9603B">
            <w:pPr>
              <w:pStyle w:val="Tabletext"/>
              <w:jc w:val="right"/>
              <w:rPr>
                <w:lang w:eastAsia="en-AU"/>
              </w:rPr>
            </w:pPr>
            <w:r>
              <w:rPr>
                <w:lang w:eastAsia="en-AU"/>
              </w:rPr>
              <w:t>52.4</w:t>
            </w:r>
          </w:p>
        </w:tc>
      </w:tr>
      <w:tr w:rsidR="00383F48" w14:paraId="1C958D37" w14:textId="61C42067" w:rsidTr="00544E01">
        <w:trPr>
          <w:cnfStyle w:val="000000010000" w:firstRow="0" w:lastRow="0" w:firstColumn="0" w:lastColumn="0" w:oddVBand="0" w:evenVBand="0" w:oddHBand="0" w:evenHBand="1" w:firstRowFirstColumn="0" w:firstRowLastColumn="0" w:lastRowFirstColumn="0" w:lastRowLastColumn="0"/>
          <w:trHeight w:val="310"/>
        </w:trPr>
        <w:tc>
          <w:tcPr>
            <w:tcW w:w="1717" w:type="dxa"/>
          </w:tcPr>
          <w:p w14:paraId="4356EB9A" w14:textId="14F46D43" w:rsidR="00383F48" w:rsidRDefault="00383F48" w:rsidP="00F9603B">
            <w:pPr>
              <w:pStyle w:val="Tabletext"/>
              <w:rPr>
                <w:lang w:eastAsia="en-AU"/>
              </w:rPr>
            </w:pPr>
            <w:r>
              <w:rPr>
                <w:lang w:eastAsia="en-AU"/>
              </w:rPr>
              <w:t>Trust</w:t>
            </w:r>
          </w:p>
        </w:tc>
        <w:tc>
          <w:tcPr>
            <w:tcW w:w="1717" w:type="dxa"/>
          </w:tcPr>
          <w:p w14:paraId="0FAD086F" w14:textId="3FEA8585" w:rsidR="00383F48" w:rsidRDefault="00383F48" w:rsidP="00F9603B">
            <w:pPr>
              <w:pStyle w:val="Tabletext"/>
              <w:jc w:val="right"/>
              <w:rPr>
                <w:lang w:eastAsia="en-AU"/>
              </w:rPr>
            </w:pPr>
            <w:r>
              <w:rPr>
                <w:lang w:eastAsia="en-AU"/>
              </w:rPr>
              <w:t>18.3</w:t>
            </w:r>
          </w:p>
        </w:tc>
        <w:tc>
          <w:tcPr>
            <w:tcW w:w="1717" w:type="dxa"/>
          </w:tcPr>
          <w:p w14:paraId="3C1BEDC1" w14:textId="44D3E2B5" w:rsidR="00383F48" w:rsidRDefault="00383F48" w:rsidP="00F9603B">
            <w:pPr>
              <w:pStyle w:val="Tabletext"/>
              <w:jc w:val="right"/>
              <w:rPr>
                <w:lang w:eastAsia="en-AU"/>
              </w:rPr>
            </w:pPr>
            <w:r>
              <w:rPr>
                <w:lang w:eastAsia="en-AU"/>
              </w:rPr>
              <w:t>22.1</w:t>
            </w:r>
          </w:p>
        </w:tc>
      </w:tr>
      <w:tr w:rsidR="00383F48" w14:paraId="24CC8EC3" w14:textId="703D260D" w:rsidTr="00544E01">
        <w:trPr>
          <w:cnfStyle w:val="000000100000" w:firstRow="0" w:lastRow="0" w:firstColumn="0" w:lastColumn="0" w:oddVBand="0" w:evenVBand="0" w:oddHBand="1" w:evenHBand="0" w:firstRowFirstColumn="0" w:firstRowLastColumn="0" w:lastRowFirstColumn="0" w:lastRowLastColumn="0"/>
          <w:trHeight w:val="310"/>
        </w:trPr>
        <w:tc>
          <w:tcPr>
            <w:tcW w:w="1717" w:type="dxa"/>
          </w:tcPr>
          <w:p w14:paraId="7627294A" w14:textId="2181365D" w:rsidR="00383F48" w:rsidRDefault="00383F48" w:rsidP="00F9603B">
            <w:pPr>
              <w:pStyle w:val="Tabletext"/>
              <w:rPr>
                <w:lang w:eastAsia="en-AU"/>
              </w:rPr>
            </w:pPr>
            <w:r>
              <w:rPr>
                <w:lang w:eastAsia="en-AU"/>
              </w:rPr>
              <w:t>Other</w:t>
            </w:r>
          </w:p>
        </w:tc>
        <w:tc>
          <w:tcPr>
            <w:tcW w:w="1717" w:type="dxa"/>
          </w:tcPr>
          <w:p w14:paraId="32E61BD0" w14:textId="642F6BFC" w:rsidR="00383F48" w:rsidRDefault="00383F48" w:rsidP="00F9603B">
            <w:pPr>
              <w:pStyle w:val="Tabletext"/>
              <w:jc w:val="right"/>
              <w:rPr>
                <w:lang w:eastAsia="en-AU"/>
              </w:rPr>
            </w:pPr>
            <w:r>
              <w:rPr>
                <w:lang w:eastAsia="en-AU"/>
              </w:rPr>
              <w:t>6.9</w:t>
            </w:r>
          </w:p>
        </w:tc>
        <w:tc>
          <w:tcPr>
            <w:tcW w:w="1717" w:type="dxa"/>
          </w:tcPr>
          <w:p w14:paraId="74E9C5B8" w14:textId="44DF3811" w:rsidR="00383F48" w:rsidRDefault="00383F48" w:rsidP="00F9603B">
            <w:pPr>
              <w:pStyle w:val="Tabletext"/>
              <w:jc w:val="right"/>
              <w:rPr>
                <w:lang w:eastAsia="en-AU"/>
              </w:rPr>
            </w:pPr>
            <w:r>
              <w:rPr>
                <w:lang w:eastAsia="en-AU"/>
              </w:rPr>
              <w:t>25.5</w:t>
            </w:r>
          </w:p>
        </w:tc>
      </w:tr>
    </w:tbl>
    <w:p w14:paraId="5755A815" w14:textId="545D27D4" w:rsidR="00CE1AD9" w:rsidRDefault="00F149FA" w:rsidP="00E06A88">
      <w:pPr>
        <w:pStyle w:val="Note"/>
        <w:rPr>
          <w:lang w:eastAsia="en-AU"/>
        </w:rPr>
      </w:pPr>
      <w:r>
        <w:rPr>
          <w:lang w:eastAsia="en-AU"/>
        </w:rPr>
        <w:t xml:space="preserve">Notes: </w:t>
      </w:r>
      <w:r w:rsidR="00BA26D9">
        <w:rPr>
          <w:lang w:eastAsia="en-AU"/>
        </w:rPr>
        <w:t>*</w:t>
      </w:r>
      <w:r w:rsidR="007D537A">
        <w:rPr>
          <w:lang w:eastAsia="en-AU"/>
        </w:rPr>
        <w:t>Other Services</w:t>
      </w:r>
      <w:r w:rsidR="008E72B1">
        <w:rPr>
          <w:lang w:eastAsia="en-AU"/>
        </w:rPr>
        <w:t xml:space="preserve"> here are ABS defined service industries, excluding PST </w:t>
      </w:r>
    </w:p>
    <w:p w14:paraId="34C7773E" w14:textId="6B3AD552" w:rsidR="00F149FA" w:rsidRDefault="00CE1AD9" w:rsidP="00E06A88">
      <w:pPr>
        <w:pStyle w:val="Note"/>
        <w:rPr>
          <w:lang w:eastAsia="en-AU"/>
        </w:rPr>
      </w:pPr>
      <w:r>
        <w:rPr>
          <w:lang w:eastAsia="en-AU"/>
        </w:rPr>
        <w:t>ᵃ</w:t>
      </w:r>
      <w:r w:rsidR="00C54736">
        <w:rPr>
          <w:lang w:eastAsia="en-AU"/>
        </w:rPr>
        <w:t>33.0</w:t>
      </w:r>
      <w:r w:rsidR="00D63127">
        <w:rPr>
          <w:lang w:eastAsia="en-AU"/>
        </w:rPr>
        <w:t xml:space="preserve"> per cent) </w:t>
      </w:r>
      <w:r w:rsidR="00FA61F3">
        <w:rPr>
          <w:lang w:eastAsia="en-AU"/>
        </w:rPr>
        <w:t xml:space="preserve">of </w:t>
      </w:r>
      <w:r>
        <w:rPr>
          <w:lang w:eastAsia="en-AU"/>
        </w:rPr>
        <w:t>EC</w:t>
      </w:r>
      <w:r w:rsidR="00671DA8">
        <w:rPr>
          <w:lang w:eastAsia="en-AU"/>
        </w:rPr>
        <w:t xml:space="preserve"> participants</w:t>
      </w:r>
      <w:r>
        <w:rPr>
          <w:lang w:eastAsia="en-AU"/>
        </w:rPr>
        <w:t xml:space="preserve"> firms were ex</w:t>
      </w:r>
      <w:r w:rsidR="001A05EB">
        <w:rPr>
          <w:lang w:eastAsia="en-AU"/>
        </w:rPr>
        <w:t xml:space="preserve">porting in their treatment year. Exporter </w:t>
      </w:r>
    </w:p>
    <w:p w14:paraId="7A66B5D7" w14:textId="5F9B7DED" w:rsidR="00CE1AD9" w:rsidRDefault="00097F76" w:rsidP="00E06A88">
      <w:pPr>
        <w:pStyle w:val="Note"/>
        <w:rPr>
          <w:lang w:eastAsia="en-AU"/>
        </w:rPr>
      </w:pPr>
      <w:r>
        <w:rPr>
          <w:lang w:eastAsia="en-AU"/>
        </w:rPr>
        <w:t>ᵇ</w:t>
      </w:r>
      <w:r w:rsidR="00C54736">
        <w:rPr>
          <w:lang w:eastAsia="en-AU"/>
        </w:rPr>
        <w:t>14.3</w:t>
      </w:r>
      <w:r w:rsidR="00D63127">
        <w:rPr>
          <w:lang w:eastAsia="en-AU"/>
        </w:rPr>
        <w:t xml:space="preserve"> per cent</w:t>
      </w:r>
      <w:r>
        <w:rPr>
          <w:lang w:eastAsia="en-AU"/>
        </w:rPr>
        <w:t xml:space="preserve"> of EC</w:t>
      </w:r>
      <w:r w:rsidR="00144BFF">
        <w:rPr>
          <w:lang w:eastAsia="en-AU"/>
        </w:rPr>
        <w:t xml:space="preserve"> </w:t>
      </w:r>
      <w:r>
        <w:rPr>
          <w:lang w:eastAsia="en-AU"/>
        </w:rPr>
        <w:t xml:space="preserve">participant firms were conducting R&amp;D in their treatment year </w:t>
      </w:r>
    </w:p>
    <w:p w14:paraId="5D648562" w14:textId="2B64574D" w:rsidR="007539E3" w:rsidRDefault="009E3E73" w:rsidP="00E06A88">
      <w:pPr>
        <w:pStyle w:val="Note"/>
        <w:rPr>
          <w:lang w:eastAsia="en-AU"/>
        </w:rPr>
      </w:pPr>
      <w:r>
        <w:rPr>
          <w:lang w:eastAsia="en-AU"/>
        </w:rPr>
        <w:t xml:space="preserve">*All employing firms </w:t>
      </w:r>
    </w:p>
    <w:p w14:paraId="5780A96C" w14:textId="459FE4DD" w:rsidR="00884C42" w:rsidRDefault="00A44D9E" w:rsidP="00E06A88">
      <w:pPr>
        <w:pStyle w:val="Note"/>
        <w:rPr>
          <w:lang w:eastAsia="en-AU"/>
        </w:rPr>
      </w:pPr>
      <w:r w:rsidRPr="00A44D9E">
        <w:rPr>
          <w:lang w:eastAsia="en-AU"/>
        </w:rPr>
        <w:t>n/a denotes data is unavailable or data has been confidentialised to ensure that they are not likely to enable identification of a particular business.</w:t>
      </w:r>
    </w:p>
    <w:p w14:paraId="0D8A1B1B" w14:textId="09C9C40B" w:rsidR="008A7C87" w:rsidRDefault="00682AEE" w:rsidP="00270079">
      <w:pPr>
        <w:pStyle w:val="Source"/>
      </w:pPr>
      <w:r>
        <w:t xml:space="preserve">Source: BLADE </w:t>
      </w:r>
      <w:r w:rsidR="00661250">
        <w:t>(2001</w:t>
      </w:r>
      <w:r w:rsidR="00FF1370">
        <w:t>–</w:t>
      </w:r>
      <w:r w:rsidR="00661250">
        <w:t>02 to 2014</w:t>
      </w:r>
      <w:r w:rsidR="00FF1370">
        <w:t>–</w:t>
      </w:r>
      <w:r w:rsidR="00661250">
        <w:t>15)</w:t>
      </w:r>
    </w:p>
    <w:p w14:paraId="51922047" w14:textId="77777777" w:rsidR="00E31268" w:rsidRPr="00E31268" w:rsidRDefault="00E31268" w:rsidP="00E31268">
      <w:pPr>
        <w:pStyle w:val="BodyText"/>
        <w:rPr>
          <w:lang w:val="en"/>
        </w:rPr>
      </w:pPr>
    </w:p>
    <w:p w14:paraId="063EA00C" w14:textId="77777777" w:rsidR="00C77747" w:rsidRDefault="00C77747" w:rsidP="00C77747">
      <w:pPr>
        <w:pStyle w:val="Heading1"/>
      </w:pPr>
      <w:r>
        <w:lastRenderedPageBreak/>
        <w:t xml:space="preserve">Data and methodology </w:t>
      </w:r>
    </w:p>
    <w:p w14:paraId="2B8E998B" w14:textId="32BF4FE9" w:rsidR="004268B4" w:rsidRDefault="000C6EAF" w:rsidP="004D2D85">
      <w:pPr>
        <w:pStyle w:val="Heading2"/>
      </w:pPr>
      <w:r>
        <w:t xml:space="preserve">Propensity score matching and the </w:t>
      </w:r>
      <w:r w:rsidR="005447D3">
        <w:t>a</w:t>
      </w:r>
      <w:r>
        <w:t>v</w:t>
      </w:r>
      <w:r w:rsidR="005447D3">
        <w:t>erage treatment effect on the t</w:t>
      </w:r>
      <w:r>
        <w:t>reated (ATT)</w:t>
      </w:r>
    </w:p>
    <w:p w14:paraId="436CA3F0" w14:textId="4D7AC100" w:rsidR="007D0A6A" w:rsidRDefault="00A410F7" w:rsidP="00495E49">
      <w:pPr>
        <w:pStyle w:val="ListBullet"/>
        <w:ind w:left="0" w:firstLine="0"/>
      </w:pPr>
      <w:r>
        <w:t xml:space="preserve">To understand the impact of the EC program on firm performance, </w:t>
      </w:r>
      <w:r w:rsidR="005447D3">
        <w:t>I</w:t>
      </w:r>
      <w:r w:rsidR="004268B4">
        <w:t xml:space="preserve"> construc</w:t>
      </w:r>
      <w:r w:rsidR="00D135F5">
        <w:t>t a sample of treated (EC program</w:t>
      </w:r>
      <w:r w:rsidR="004268B4">
        <w:t xml:space="preserve"> participants</w:t>
      </w:r>
      <w:r w:rsidR="00B257D3">
        <w:t>) and establish</w:t>
      </w:r>
      <w:r w:rsidR="00FC45CB">
        <w:t xml:space="preserve"> a</w:t>
      </w:r>
      <w:r w:rsidR="00B257D3">
        <w:t xml:space="preserve"> counterfactual</w:t>
      </w:r>
      <w:r w:rsidR="003D7C3B">
        <w:t xml:space="preserve"> (</w:t>
      </w:r>
      <w:r w:rsidR="00D77CAE">
        <w:t>non-</w:t>
      </w:r>
      <w:r w:rsidR="003E4B5D">
        <w:t xml:space="preserve">participants or </w:t>
      </w:r>
      <w:r w:rsidR="00B257D3">
        <w:t>untreated</w:t>
      </w:r>
      <w:r w:rsidR="003D7C3B">
        <w:t xml:space="preserve">) </w:t>
      </w:r>
      <w:r w:rsidR="00FC45CB">
        <w:t xml:space="preserve">set of </w:t>
      </w:r>
      <w:r w:rsidR="00D135F5">
        <w:t>firms that</w:t>
      </w:r>
      <w:r w:rsidR="003D7C3B">
        <w:t xml:space="preserve"> are as similar as possible in terms of observable characteristics prior to the policy intervention.</w:t>
      </w:r>
      <w:r w:rsidR="00383F48">
        <w:rPr>
          <w:rStyle w:val="FootnoteReference"/>
        </w:rPr>
        <w:footnoteReference w:id="7"/>
      </w:r>
      <w:r w:rsidR="003D7C3B">
        <w:t xml:space="preserve"> </w:t>
      </w:r>
      <w:r w:rsidR="000C6EAF">
        <w:t>This technique is referred to as propensity score matching (PSM), was first advanced by Rosenbaum and Rubin (1983).</w:t>
      </w:r>
      <w:r w:rsidR="000C6EAF">
        <w:rPr>
          <w:rStyle w:val="FootnoteReference"/>
        </w:rPr>
        <w:footnoteReference w:id="8"/>
      </w:r>
      <w:r w:rsidR="000C6EAF">
        <w:t xml:space="preserve"> </w:t>
      </w:r>
      <w:r w:rsidR="005447D3">
        <w:t>I</w:t>
      </w:r>
      <w:r w:rsidR="00E3422E">
        <w:t xml:space="preserve"> then </w:t>
      </w:r>
      <w:r w:rsidR="00D135F5">
        <w:t>compare ou</w:t>
      </w:r>
      <w:r w:rsidR="00A3269B">
        <w:t>tcomes of treated firms to the untreated (difference in differences or DID)</w:t>
      </w:r>
      <w:r w:rsidR="00D135F5">
        <w:t xml:space="preserve"> to obtain a reliable estimate </w:t>
      </w:r>
      <w:r w:rsidR="008B719B">
        <w:t xml:space="preserve">of the </w:t>
      </w:r>
      <w:r w:rsidR="002A4676">
        <w:t xml:space="preserve">average </w:t>
      </w:r>
      <w:r w:rsidR="003E4B5D">
        <w:t>‘</w:t>
      </w:r>
      <w:r w:rsidR="008B719B">
        <w:t>addi</w:t>
      </w:r>
      <w:r w:rsidR="003E4B5D">
        <w:t>tional’</w:t>
      </w:r>
      <w:r w:rsidR="005B18FD">
        <w:t xml:space="preserve"> impact of the EC program. </w:t>
      </w:r>
      <w:r w:rsidR="004932F8">
        <w:t xml:space="preserve">This difference is also </w:t>
      </w:r>
      <w:r w:rsidR="00A950CC">
        <w:t xml:space="preserve">referred to </w:t>
      </w:r>
      <w:r w:rsidR="004932F8">
        <w:t>as</w:t>
      </w:r>
      <w:r w:rsidR="00CC4332">
        <w:t xml:space="preserve"> the average treatment effect on</w:t>
      </w:r>
      <w:r w:rsidR="004932F8">
        <w:t xml:space="preserve"> the treated (</w:t>
      </w:r>
      <w:r w:rsidR="004F71ED">
        <w:t>ATT</w:t>
      </w:r>
      <w:r w:rsidR="004932F8">
        <w:t>).</w:t>
      </w:r>
      <w:r w:rsidR="006D6370">
        <w:rPr>
          <w:rStyle w:val="FootnoteReference"/>
        </w:rPr>
        <w:footnoteReference w:id="9"/>
      </w:r>
      <w:r w:rsidR="004932F8">
        <w:t xml:space="preserve"> </w:t>
      </w:r>
      <w:r w:rsidR="00495E49">
        <w:t>For the remainder of the analysis,</w:t>
      </w:r>
      <w:r w:rsidR="00CC4332">
        <w:t xml:space="preserve"> the average treatment effect on</w:t>
      </w:r>
      <w:r w:rsidR="00495E49">
        <w:t xml:space="preserve"> the treated will be referred to as the </w:t>
      </w:r>
      <w:r w:rsidR="004F71ED">
        <w:t>ATT</w:t>
      </w:r>
      <w:r w:rsidR="00495E49">
        <w:t xml:space="preserve"> or simply the average treatment effect. </w:t>
      </w:r>
    </w:p>
    <w:p w14:paraId="14604B16" w14:textId="7C12819D" w:rsidR="00FC45CB" w:rsidRDefault="00BF32AB" w:rsidP="004268B4">
      <w:pPr>
        <w:pStyle w:val="BodyText"/>
      </w:pPr>
      <w:r>
        <w:t>As is the case for most government programs, t</w:t>
      </w:r>
      <w:r w:rsidR="00FC45CB">
        <w:t xml:space="preserve">he counterfactual is never observed and therefore needs to be constructed. </w:t>
      </w:r>
      <w:r w:rsidR="0034756F">
        <w:t>This is because a particular firm cannot both participate and not</w:t>
      </w:r>
      <w:r w:rsidR="000B568B">
        <w:t xml:space="preserve"> participate in the EC program</w:t>
      </w:r>
      <w:r w:rsidR="0034756F">
        <w:t>.</w:t>
      </w:r>
      <w:r w:rsidR="0034756F">
        <w:rPr>
          <w:rStyle w:val="FootnoteReference"/>
        </w:rPr>
        <w:footnoteReference w:id="10"/>
      </w:r>
      <w:r w:rsidR="0034756F">
        <w:t xml:space="preserve"> </w:t>
      </w:r>
      <w:r w:rsidR="00F86E26">
        <w:t>Further</w:t>
      </w:r>
      <w:r>
        <w:t>more</w:t>
      </w:r>
      <w:r w:rsidR="00690BFC">
        <w:t>, firms</w:t>
      </w:r>
      <w:r w:rsidR="00F86E26">
        <w:t xml:space="preserve"> do not participate in the EC program randomly</w:t>
      </w:r>
      <w:r>
        <w:t xml:space="preserve">. An improper set of counterfactuals could lead </w:t>
      </w:r>
      <w:r w:rsidR="00690BFC">
        <w:t>to selection</w:t>
      </w:r>
      <w:r>
        <w:t xml:space="preserve"> bias.</w:t>
      </w:r>
      <w:r w:rsidR="00E304D0">
        <w:rPr>
          <w:rStyle w:val="FootnoteReference"/>
        </w:rPr>
        <w:footnoteReference w:id="11"/>
      </w:r>
      <w:r w:rsidR="00F86E26">
        <w:t xml:space="preserve"> </w:t>
      </w:r>
    </w:p>
    <w:p w14:paraId="4D2D39BF" w14:textId="005F1C3B" w:rsidR="00D31073" w:rsidRPr="00D31073" w:rsidRDefault="00A63D69" w:rsidP="00A63D69">
      <w:pPr>
        <w:pStyle w:val="BodyText"/>
      </w:pPr>
      <w:r>
        <w:t xml:space="preserve">More </w:t>
      </w:r>
      <w:r w:rsidRPr="00F31E42">
        <w:t>formally, let</w:t>
      </w:r>
      <w:r w:rsidR="00D31073" w:rsidRPr="00F31E42">
        <w:t xml:space="preserve"> </w:t>
      </w:r>
      <m:oMath>
        <m:sSub>
          <m:sSubPr>
            <m:ctrlPr>
              <w:rPr>
                <w:rFonts w:ascii="Cambria Math" w:hAnsi="Cambria Math"/>
              </w:rPr>
            </m:ctrlPr>
          </m:sSubPr>
          <m:e>
            <m:r>
              <w:rPr>
                <w:rFonts w:ascii="Cambria Math" w:hAnsi="Cambria Math"/>
              </w:rPr>
              <m:t>Y</m:t>
            </m:r>
          </m:e>
          <m:sub>
            <m:r>
              <m:rPr>
                <m:sty m:val="p"/>
              </m:rPr>
              <w:rPr>
                <w:rFonts w:ascii="Cambria Math" w:hAnsi="Cambria Math"/>
              </w:rPr>
              <m:t>1</m:t>
            </m:r>
          </m:sub>
        </m:sSub>
      </m:oMath>
      <w:r w:rsidR="00D31073" w:rsidRPr="00F31E42">
        <w:t xml:space="preserve"> equal</w:t>
      </w:r>
      <w:r w:rsidRPr="00F31E42">
        <w:t xml:space="preserve"> the outcome of interest (e.g. turnover) for firms that participate in the EC program</w:t>
      </w:r>
      <w:r w:rsidR="00D31073" w:rsidRPr="00F31E42">
        <w:t xml:space="preserve">, and let </w:t>
      </w:r>
      <m:oMath>
        <m:sSub>
          <m:sSubPr>
            <m:ctrlPr>
              <w:rPr>
                <w:rFonts w:ascii="Cambria Math" w:hAnsi="Cambria Math"/>
              </w:rPr>
            </m:ctrlPr>
          </m:sSubPr>
          <m:e>
            <m:r>
              <w:rPr>
                <w:rFonts w:ascii="Cambria Math" w:hAnsi="Cambria Math"/>
              </w:rPr>
              <m:t>Y</m:t>
            </m:r>
          </m:e>
          <m:sub>
            <m:r>
              <m:rPr>
                <m:sty m:val="p"/>
              </m:rPr>
              <w:rPr>
                <w:rFonts w:ascii="Cambria Math" w:hAnsi="Cambria Math"/>
              </w:rPr>
              <m:t>0</m:t>
            </m:r>
          </m:sub>
        </m:sSub>
      </m:oMath>
      <w:r w:rsidRPr="00F31E42">
        <w:t xml:space="preserve"> </w:t>
      </w:r>
      <w:r w:rsidR="00D31073" w:rsidRPr="00F31E42">
        <w:t>equal</w:t>
      </w:r>
      <w:r w:rsidRPr="00F31E42">
        <w:t xml:space="preserve"> the outcome of interest for firms that do not participate in the EC program</w:t>
      </w:r>
      <w:r w:rsidR="00D31073" w:rsidRPr="00F31E42">
        <w:t>.</w:t>
      </w:r>
      <w:r w:rsidR="00180922" w:rsidRPr="00F31E42">
        <w:t xml:space="preserve"> Let z denote the treatment indicator,</w:t>
      </w:r>
      <w:r w:rsidR="00180922">
        <w:rPr>
          <w:rFonts w:eastAsiaTheme="minorEastAsia"/>
        </w:rPr>
        <w:t xml:space="preserve"> which takes the value 1 for treated firms and 0 for untreated firms. </w:t>
      </w:r>
    </w:p>
    <w:p w14:paraId="5B0D3B69" w14:textId="63F2A098" w:rsidR="00F74D94" w:rsidRDefault="00365FD6" w:rsidP="004268B4">
      <w:pPr>
        <w:pStyle w:val="BodyText"/>
      </w:pPr>
      <w:r>
        <w:t xml:space="preserve">To estimate the </w:t>
      </w:r>
      <w:r w:rsidR="004F71ED">
        <w:t>ATT</w:t>
      </w:r>
      <w:r w:rsidR="00D31073">
        <w:t>,</w:t>
      </w:r>
    </w:p>
    <w:p w14:paraId="25AD21FC" w14:textId="4D7930DE" w:rsidR="00F74D94" w:rsidRDefault="00525523" w:rsidP="00F74D94">
      <w:pPr>
        <w:pStyle w:val="BodyText"/>
        <w:jc w:val="center"/>
        <w:rPr>
          <w:rFonts w:eastAsiaTheme="minorEastAsia"/>
        </w:rPr>
      </w:pPr>
      <w:r>
        <w:t>E(</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 xml:space="preserve"> </m:t>
        </m:r>
        <m:d>
          <m:dPr>
            <m:begChr m:val="|"/>
            <m:ctrlPr>
              <w:rPr>
                <w:rFonts w:ascii="Cambria Math" w:hAnsi="Cambria Math"/>
                <w:i/>
              </w:rPr>
            </m:ctrlPr>
          </m:dPr>
          <m:e>
            <m:r>
              <w:rPr>
                <w:rFonts w:ascii="Cambria Math" w:hAnsi="Cambria Math"/>
              </w:rPr>
              <m:t>z=1</m:t>
            </m:r>
          </m:e>
        </m:d>
        <m:r>
          <w:rPr>
            <w:rFonts w:ascii="Cambria Math" w:hAnsi="Cambria Math"/>
          </w:rPr>
          <m:t xml:space="preserve">= </m:t>
        </m:r>
      </m:oMath>
      <w:r w:rsidR="00D31073">
        <w:t>E(</w:t>
      </w:r>
      <m:oMath>
        <m:sSub>
          <m:sSubPr>
            <m:ctrlPr>
              <w:rPr>
                <w:rFonts w:ascii="Cambria Math" w:hAnsi="Cambria Math"/>
                <w:i/>
              </w:rPr>
            </m:ctrlPr>
          </m:sSubPr>
          <m:e>
            <m:r>
              <w:rPr>
                <w:rFonts w:ascii="Cambria Math" w:hAnsi="Cambria Math"/>
              </w:rPr>
              <m:t>Y</m:t>
            </m:r>
          </m:e>
          <m:sub>
            <m:r>
              <w:rPr>
                <w:rFonts w:ascii="Cambria Math" w:hAnsi="Cambria Math"/>
              </w:rPr>
              <m:t>1</m:t>
            </m:r>
          </m:sub>
        </m:sSub>
        <m:d>
          <m:dPr>
            <m:begChr m:val="|"/>
            <m:ctrlPr>
              <w:rPr>
                <w:rFonts w:ascii="Cambria Math" w:hAnsi="Cambria Math"/>
                <w:i/>
              </w:rPr>
            </m:ctrlPr>
          </m:dPr>
          <m:e>
            <m:r>
              <w:rPr>
                <w:rFonts w:ascii="Cambria Math" w:hAnsi="Cambria Math"/>
              </w:rPr>
              <m:t>z=1</m:t>
            </m:r>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0</m:t>
                </m:r>
              </m:sub>
            </m:sSub>
          </m:e>
          <m:e>
            <m:r>
              <w:rPr>
                <w:rFonts w:ascii="Cambria Math" w:hAnsi="Cambria Math"/>
              </w:rPr>
              <m:t>z=1</m:t>
            </m:r>
          </m:e>
        </m:d>
      </m:oMath>
    </w:p>
    <w:p w14:paraId="7DFD772B" w14:textId="51DBD66D" w:rsidR="00D31073" w:rsidRDefault="00F74D94" w:rsidP="004268B4">
      <w:pPr>
        <w:pStyle w:val="BodyText"/>
        <w:rPr>
          <w:rFonts w:eastAsiaTheme="minorEastAsia"/>
        </w:rPr>
      </w:pPr>
      <w:r>
        <w:rPr>
          <w:rFonts w:eastAsiaTheme="minorEastAsia"/>
        </w:rPr>
        <w:t>However, the second term is not observed</w:t>
      </w:r>
      <w:r w:rsidR="00BF32AB">
        <w:rPr>
          <w:rFonts w:eastAsiaTheme="minorEastAsia"/>
        </w:rPr>
        <w:t xml:space="preserve"> for the treated. It </w:t>
      </w:r>
      <w:r>
        <w:rPr>
          <w:rFonts w:eastAsiaTheme="minorEastAsia"/>
        </w:rPr>
        <w:t xml:space="preserve">is </w:t>
      </w:r>
      <w:r w:rsidR="00BF32AB">
        <w:rPr>
          <w:rFonts w:eastAsiaTheme="minorEastAsia"/>
        </w:rPr>
        <w:t xml:space="preserve">only </w:t>
      </w:r>
      <w:r>
        <w:rPr>
          <w:rFonts w:eastAsiaTheme="minorEastAsia"/>
        </w:rPr>
        <w:t>observed for firms who are untreated,</w:t>
      </w:r>
    </w:p>
    <w:p w14:paraId="7FD1966B" w14:textId="77777777" w:rsidR="00F74D94" w:rsidRPr="00F74D94" w:rsidRDefault="00F74D94" w:rsidP="004268B4">
      <w:pPr>
        <w:pStyle w:val="BodyText"/>
        <w:rPr>
          <w:rFonts w:eastAsiaTheme="minorEastAsia"/>
        </w:rPr>
      </w:pPr>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0</m:t>
                  </m:r>
                </m:sub>
              </m:sSub>
            </m:e>
            <m:e>
              <m:r>
                <w:rPr>
                  <w:rFonts w:ascii="Cambria Math" w:hAnsi="Cambria Math"/>
                </w:rPr>
                <m:t>z=0</m:t>
              </m:r>
            </m:e>
          </m:d>
        </m:oMath>
      </m:oMathPara>
    </w:p>
    <w:p w14:paraId="268472FF" w14:textId="4664C888" w:rsidR="00F74D94" w:rsidRDefault="005447D3" w:rsidP="004268B4">
      <w:pPr>
        <w:pStyle w:val="BodyText"/>
      </w:pPr>
      <w:r>
        <w:t>Assuming that</w:t>
      </w:r>
      <w:r w:rsidR="009B6845">
        <w:t xml:space="preserve"> g</w:t>
      </w:r>
      <w:r w:rsidR="009E3604">
        <w:t xml:space="preserve">iven a propensity score </w:t>
      </w:r>
      <w:r w:rsidR="009B6845">
        <w:t xml:space="preserve">P(X) estimated based on a vector of observable characteristics, the expected outcomes do not depend on the treatment status, then the treatment effect can be estimated since </w:t>
      </w:r>
    </w:p>
    <w:p w14:paraId="423C584F" w14:textId="12478CA3" w:rsidR="009A1ADE" w:rsidRDefault="009A1ADE" w:rsidP="009A1ADE">
      <w:pPr>
        <w:pStyle w:val="BodyText"/>
        <w:jc w:val="center"/>
        <w:rPr>
          <w:rFonts w:eastAsiaTheme="minorEastAsia"/>
        </w:rPr>
      </w:pPr>
      <w:r>
        <w:lastRenderedPageBreak/>
        <w:t>E(</w:t>
      </w:r>
      <m:oMath>
        <m:sSub>
          <m:sSubPr>
            <m:ctrlPr>
              <w:rPr>
                <w:rFonts w:ascii="Cambria Math" w:hAnsi="Cambria Math"/>
                <w:i/>
              </w:rPr>
            </m:ctrlPr>
          </m:sSubPr>
          <m:e>
            <m:r>
              <w:rPr>
                <w:rFonts w:ascii="Cambria Math" w:hAnsi="Cambria Math"/>
              </w:rPr>
              <m:t>Y</m:t>
            </m:r>
          </m:e>
          <m:sub>
            <m:r>
              <w:rPr>
                <w:rFonts w:ascii="Cambria Math" w:hAnsi="Cambria Math"/>
              </w:rPr>
              <m:t>0</m:t>
            </m:r>
          </m:sub>
        </m:sSub>
        <m:d>
          <m:dPr>
            <m:begChr m:val="|"/>
            <m:ctrlPr>
              <w:rPr>
                <w:rFonts w:ascii="Cambria Math" w:hAnsi="Cambria Math"/>
                <w:i/>
              </w:rPr>
            </m:ctrlPr>
          </m:dPr>
          <m:e>
            <m:r>
              <w:rPr>
                <w:rFonts w:ascii="Cambria Math" w:hAnsi="Cambria Math"/>
              </w:rPr>
              <m:t>z=1, P(X)</m:t>
            </m:r>
          </m:e>
        </m:d>
        <m:r>
          <w:rPr>
            <w:rFonts w:ascii="Cambria Math" w:hAnsi="Cambria Math"/>
          </w:rPr>
          <m:t>= E</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0</m:t>
                </m:r>
              </m:sub>
            </m:sSub>
          </m:e>
          <m:e>
            <m:r>
              <w:rPr>
                <w:rFonts w:ascii="Cambria Math" w:hAnsi="Cambria Math"/>
              </w:rPr>
              <m:t>z=0, P(X)</m:t>
            </m:r>
          </m:e>
        </m:d>
      </m:oMath>
    </w:p>
    <w:p w14:paraId="2014A6F8" w14:textId="77777777" w:rsidR="009B6845" w:rsidRDefault="00F83176" w:rsidP="004268B4">
      <w:pPr>
        <w:pStyle w:val="BodyText"/>
      </w:pPr>
      <w:r>
        <w:t>And therefore the estimated ATT using the observable relationship is:</w:t>
      </w:r>
    </w:p>
    <w:p w14:paraId="2BAA1386" w14:textId="19F943A2" w:rsidR="00281578" w:rsidRPr="00A5713A" w:rsidRDefault="00EC23BC" w:rsidP="00A5713A">
      <w:pPr>
        <w:pStyle w:val="BodyText"/>
        <w:jc w:val="center"/>
        <w:rPr>
          <w:rFonts w:eastAsiaTheme="minorEastAsia"/>
          <w:i/>
          <w:u w:val="single"/>
        </w:rPr>
      </w:pPr>
      <w:r w:rsidRPr="00726F53">
        <w:rPr>
          <w:i/>
          <w:u w:val="single"/>
        </w:rPr>
        <w:t>E(</w:t>
      </w:r>
      <m:oMath>
        <m:sSub>
          <m:sSubPr>
            <m:ctrlPr>
              <w:rPr>
                <w:rFonts w:ascii="Cambria Math" w:hAnsi="Cambria Math"/>
                <w:i/>
                <w:u w:val="single"/>
              </w:rPr>
            </m:ctrlPr>
          </m:sSubPr>
          <m:e>
            <m:r>
              <w:rPr>
                <w:rFonts w:ascii="Cambria Math" w:hAnsi="Cambria Math"/>
                <w:u w:val="single"/>
              </w:rPr>
              <m:t>Y</m:t>
            </m:r>
          </m:e>
          <m:sub>
            <m:r>
              <w:rPr>
                <w:rFonts w:ascii="Cambria Math" w:hAnsi="Cambria Math"/>
                <w:u w:val="single"/>
              </w:rPr>
              <m:t>1</m:t>
            </m:r>
          </m:sub>
        </m:sSub>
        <m:d>
          <m:dPr>
            <m:begChr m:val="|"/>
            <m:ctrlPr>
              <w:rPr>
                <w:rFonts w:ascii="Cambria Math" w:hAnsi="Cambria Math"/>
                <w:i/>
                <w:u w:val="single"/>
              </w:rPr>
            </m:ctrlPr>
          </m:dPr>
          <m:e>
            <m:r>
              <w:rPr>
                <w:rFonts w:ascii="Cambria Math" w:hAnsi="Cambria Math"/>
                <w:u w:val="single"/>
              </w:rPr>
              <m:t>z=1,P(X)</m:t>
            </m:r>
          </m:e>
        </m:d>
        <m:r>
          <w:rPr>
            <w:rFonts w:ascii="Cambria Math" w:hAnsi="Cambria Math"/>
            <w:u w:val="single"/>
          </w:rPr>
          <m:t>-E</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Y</m:t>
                </m:r>
              </m:e>
              <m:sub>
                <m:r>
                  <w:rPr>
                    <w:rFonts w:ascii="Cambria Math" w:hAnsi="Cambria Math"/>
                    <w:u w:val="single"/>
                  </w:rPr>
                  <m:t>0</m:t>
                </m:r>
              </m:sub>
            </m:sSub>
          </m:e>
          <m:e>
            <m:r>
              <w:rPr>
                <w:rFonts w:ascii="Cambria Math" w:hAnsi="Cambria Math"/>
                <w:u w:val="single"/>
              </w:rPr>
              <m:t>z=0,P(X)</m:t>
            </m:r>
          </m:e>
        </m:d>
      </m:oMath>
    </w:p>
    <w:p w14:paraId="2BA7FAAE" w14:textId="3D902193" w:rsidR="005F7F35" w:rsidRPr="005F7F35" w:rsidRDefault="005F7F35" w:rsidP="005F7F35">
      <w:pPr>
        <w:pStyle w:val="Heading2"/>
      </w:pPr>
      <w:r>
        <w:t>The use of matching estimators in measuring the impact of government programs</w:t>
      </w:r>
    </w:p>
    <w:p w14:paraId="47A8AD23" w14:textId="77777777" w:rsidR="00431D37" w:rsidRDefault="00431D37" w:rsidP="00431D37">
      <w:pPr>
        <w:pStyle w:val="BodyText"/>
      </w:pPr>
      <w:r>
        <w:t xml:space="preserve">While there is wide use of matching estimators in assessing the impact of government programs, there is limited use in the innovation program space, and even less so in the Australian context.  </w:t>
      </w:r>
    </w:p>
    <w:p w14:paraId="2D06EB1D" w14:textId="3811F3EC" w:rsidR="00431D37" w:rsidRDefault="00431D37" w:rsidP="00431D37">
      <w:pPr>
        <w:pStyle w:val="BodyText"/>
      </w:pPr>
      <w:r>
        <w:t>Rafi (2017) assesse</w:t>
      </w:r>
      <w:r w:rsidR="00747066">
        <w:t xml:space="preserve">d </w:t>
      </w:r>
      <w:r>
        <w:t>the impact of participation in the South Australia Innovation and Investment Funds on firm performance via a nearest neighbour matching (NNM) estimator.</w:t>
      </w:r>
      <w:r>
        <w:rPr>
          <w:rStyle w:val="FootnoteReference"/>
        </w:rPr>
        <w:footnoteReference w:id="12"/>
      </w:r>
      <w:r>
        <w:t xml:space="preserve"> Here, NNM is used rather than PSM due to the relatively low number of covariates required for matching.</w:t>
      </w:r>
      <w:r>
        <w:rPr>
          <w:rStyle w:val="FootnoteReference"/>
        </w:rPr>
        <w:footnoteReference w:id="13"/>
      </w:r>
      <w:r>
        <w:t xml:space="preserve"> Bakhtiari (2017) also uses NNM to study whether firms that received </w:t>
      </w:r>
      <w:r w:rsidR="000B568B">
        <w:t>a CleanTech Investment Program</w:t>
      </w:r>
      <w:r>
        <w:t xml:space="preserve"> grant outperformed their </w:t>
      </w:r>
      <w:r w:rsidR="00D77CAE">
        <w:t>non-</w:t>
      </w:r>
      <w:r>
        <w:t>CleanTech counterparts.</w:t>
      </w:r>
      <w:r>
        <w:rPr>
          <w:rStyle w:val="FootnoteReference"/>
        </w:rPr>
        <w:footnoteReference w:id="14"/>
      </w:r>
      <w:r>
        <w:t xml:space="preserve"> </w:t>
      </w:r>
    </w:p>
    <w:p w14:paraId="15A40575" w14:textId="65B3CF71" w:rsidR="00057CE0" w:rsidRDefault="00431D37" w:rsidP="00D77CAE">
      <w:pPr>
        <w:pStyle w:val="BodyText"/>
      </w:pPr>
      <w:r>
        <w:t>Frontier Economics was commissioned by the UK Department for Business, Energy &amp; Industrial Strategy and Innovate UK to study the economic impact of public sector support for private sector innovation. Frontier Economics used propensity score matching to examine the performance of firms receiving grants from innovative UK schemes and firms accessing services from the National Measurement System, compared to a constructed counterfactual of firms from the general business population.</w:t>
      </w:r>
      <w:r>
        <w:rPr>
          <w:rStyle w:val="FootnoteReference"/>
        </w:rPr>
        <w:footnoteReference w:id="15"/>
      </w:r>
      <w:r w:rsidR="00D77CAE">
        <w:t xml:space="preserve"> </w:t>
      </w:r>
    </w:p>
    <w:p w14:paraId="57985975" w14:textId="7DB405EB" w:rsidR="00004A4B" w:rsidRDefault="004B2335" w:rsidP="00B33472">
      <w:pPr>
        <w:pStyle w:val="Heading2"/>
      </w:pPr>
      <w:r>
        <w:t>Linking program</w:t>
      </w:r>
      <w:r w:rsidR="00004A4B">
        <w:t xml:space="preserve"> </w:t>
      </w:r>
      <w:r w:rsidR="00747066">
        <w:t xml:space="preserve">with </w:t>
      </w:r>
      <w:r w:rsidR="00004A4B">
        <w:t xml:space="preserve">BLADE data </w:t>
      </w:r>
    </w:p>
    <w:p w14:paraId="0AACCA14" w14:textId="72EF27FD" w:rsidR="00004A4B" w:rsidRDefault="00037689" w:rsidP="00004A4B">
      <w:pPr>
        <w:pStyle w:val="BodyText"/>
      </w:pPr>
      <w:r>
        <w:t xml:space="preserve">In order to estimate the effect of the EC program, information on firm characteristics and outcomes are </w:t>
      </w:r>
      <w:r w:rsidR="00831482">
        <w:t>used from the Business Longitudinal</w:t>
      </w:r>
      <w:r w:rsidR="00831482" w:rsidRPr="00831482">
        <w:t xml:space="preserve"> </w:t>
      </w:r>
      <w:r w:rsidR="00831482">
        <w:t>Analy</w:t>
      </w:r>
      <w:r w:rsidR="0072297F">
        <w:t>sis</w:t>
      </w:r>
      <w:r w:rsidR="00831482">
        <w:t xml:space="preserve"> Data Environment (BLADE). </w:t>
      </w:r>
      <w:r w:rsidR="00CF2F93">
        <w:t xml:space="preserve">The BLADE </w:t>
      </w:r>
      <w:r w:rsidR="005447D3">
        <w:t xml:space="preserve">is </w:t>
      </w:r>
      <w:r w:rsidR="00E74513">
        <w:t xml:space="preserve">comprised of </w:t>
      </w:r>
      <w:r w:rsidR="009116CA">
        <w:t xml:space="preserve">integrated administrative tax data and existing ABS survey data using the ABS business register as the integrating spine. </w:t>
      </w:r>
      <w:r w:rsidR="005447D3">
        <w:t xml:space="preserve">The administrative tax data in the BLADE is best described as a census of Australian firms. </w:t>
      </w:r>
      <w:r w:rsidR="009116CA">
        <w:t xml:space="preserve">The </w:t>
      </w:r>
      <w:r w:rsidR="003D4A9B">
        <w:t xml:space="preserve">conceptual basis of BLADE is aligned with the ABS economic statistics unit model that is the </w:t>
      </w:r>
      <w:r w:rsidR="00390D3A">
        <w:t>basis</w:t>
      </w:r>
      <w:r w:rsidR="003D4A9B">
        <w:t xml:space="preserve"> for </w:t>
      </w:r>
      <w:r w:rsidR="003D4A9B">
        <w:lastRenderedPageBreak/>
        <w:t xml:space="preserve">producing Australian </w:t>
      </w:r>
      <w:r w:rsidR="00EC208A">
        <w:t>economic</w:t>
      </w:r>
      <w:r w:rsidR="003D4A9B">
        <w:t xml:space="preserve"> statistics. </w:t>
      </w:r>
      <w:r w:rsidR="00983E43">
        <w:t>For further information on BLAD</w:t>
      </w:r>
      <w:r w:rsidR="00DC04B0">
        <w:t>E, refer to Rafi &amp; Hansell (2018</w:t>
      </w:r>
      <w:r w:rsidR="00983E43">
        <w:t>)</w:t>
      </w:r>
      <w:r w:rsidR="00747066">
        <w:t>.</w:t>
      </w:r>
      <w:r w:rsidR="00983E43">
        <w:rPr>
          <w:rStyle w:val="FootnoteReference"/>
        </w:rPr>
        <w:footnoteReference w:id="16"/>
      </w:r>
    </w:p>
    <w:p w14:paraId="079EE383" w14:textId="7966D4F5" w:rsidR="008A7DE8" w:rsidRDefault="008A7DE8" w:rsidP="00004A4B">
      <w:pPr>
        <w:pStyle w:val="BodyText"/>
      </w:pPr>
      <w:r>
        <w:t xml:space="preserve">The </w:t>
      </w:r>
      <w:r w:rsidR="00AD1EEA">
        <w:t>three core ABS business surveys included in BLADE are</w:t>
      </w:r>
      <w:r w:rsidR="00983E43">
        <w:t>:</w:t>
      </w:r>
    </w:p>
    <w:p w14:paraId="41F5D930" w14:textId="2A6B350A" w:rsidR="00266F4F" w:rsidRDefault="008A7DE8" w:rsidP="00266F4F">
      <w:pPr>
        <w:pStyle w:val="ListBullet"/>
        <w:numPr>
          <w:ilvl w:val="0"/>
          <w:numId w:val="4"/>
        </w:numPr>
      </w:pPr>
      <w:r>
        <w:t>Economic Activity Survey (EAS): EAS is a core data source for national accounts estimates of value</w:t>
      </w:r>
      <w:r w:rsidR="00FF1370">
        <w:t>–</w:t>
      </w:r>
      <w:r>
        <w:t>added by industry and collects a wealth of balance sheet and other information.</w:t>
      </w:r>
    </w:p>
    <w:p w14:paraId="4C385622" w14:textId="0DE1DC44" w:rsidR="008A7DE8" w:rsidRDefault="008A7DE8" w:rsidP="00266F4F">
      <w:pPr>
        <w:pStyle w:val="ListBullet"/>
        <w:numPr>
          <w:ilvl w:val="0"/>
          <w:numId w:val="4"/>
        </w:numPr>
      </w:pPr>
      <w:r>
        <w:t>Business Character</w:t>
      </w:r>
      <w:r w:rsidR="000F705F">
        <w:t xml:space="preserve">istics Survey (BCS): The BCS is </w:t>
      </w:r>
      <w:r>
        <w:t>used to construct cross</w:t>
      </w:r>
      <w:r w:rsidR="00FF1370">
        <w:t>–</w:t>
      </w:r>
      <w:r>
        <w:t xml:space="preserve">sectional population estimates of innovation and information technology use. </w:t>
      </w:r>
    </w:p>
    <w:p w14:paraId="4E348DB3" w14:textId="5806B9ED" w:rsidR="008A7DE8" w:rsidRDefault="008A7DE8" w:rsidP="00266F4F">
      <w:pPr>
        <w:pStyle w:val="ListBullet"/>
        <w:numPr>
          <w:ilvl w:val="0"/>
          <w:numId w:val="4"/>
        </w:numPr>
      </w:pPr>
      <w:r>
        <w:t xml:space="preserve">Survey of R&amp;D, Business </w:t>
      </w:r>
      <w:r w:rsidR="000F705F">
        <w:t xml:space="preserve">Expenditure on R&amp;D (BERD) </w:t>
      </w:r>
    </w:p>
    <w:p w14:paraId="224F51ED" w14:textId="77777777" w:rsidR="00266F4F" w:rsidRDefault="00266F4F" w:rsidP="00266F4F">
      <w:pPr>
        <w:pStyle w:val="ListBullet"/>
        <w:ind w:firstLine="0"/>
      </w:pPr>
    </w:p>
    <w:p w14:paraId="20EF02B1" w14:textId="0F2D71BC" w:rsidR="00AD1EEA" w:rsidRDefault="00AD1EEA" w:rsidP="00AD1EEA">
      <w:pPr>
        <w:pStyle w:val="ListBullet"/>
      </w:pPr>
      <w:r>
        <w:t>The main administrative data in BLADE is from the ATO and includes:</w:t>
      </w:r>
    </w:p>
    <w:p w14:paraId="3E0A28C3" w14:textId="23C1C2F9" w:rsidR="00AD1EEA" w:rsidRDefault="00AD1EEA" w:rsidP="00266F4F">
      <w:pPr>
        <w:pStyle w:val="ListBullet"/>
        <w:numPr>
          <w:ilvl w:val="0"/>
          <w:numId w:val="4"/>
        </w:numPr>
      </w:pPr>
      <w:r>
        <w:t xml:space="preserve">Business Activity Statements (BAS): All businesses registered for GST purposes must submit either monthly, quarterly or annual BAS to the ATO. Variables of interest to researchers include total sales; export sales; </w:t>
      </w:r>
      <w:r w:rsidR="00D77CAE">
        <w:t>non-</w:t>
      </w:r>
      <w:r>
        <w:t xml:space="preserve">capital purchases; capital purchases; and, wages, salaries and other payments. </w:t>
      </w:r>
    </w:p>
    <w:p w14:paraId="26CA9450" w14:textId="45A0EEEA" w:rsidR="00AD1EEA" w:rsidRDefault="00AD1EEA" w:rsidP="00266F4F">
      <w:pPr>
        <w:pStyle w:val="ListBullet"/>
        <w:numPr>
          <w:ilvl w:val="0"/>
          <w:numId w:val="4"/>
        </w:numPr>
      </w:pPr>
      <w:r>
        <w:t xml:space="preserve">Business Income Tax (BIT): BIT data encompasses four broad classes of reporting entities: companies, trusts, partnerships and sole proprietors. BIT data has a wealth of balance sheet information, such as assets, liabilities, bad debts and the like. </w:t>
      </w:r>
    </w:p>
    <w:p w14:paraId="544339E3" w14:textId="4910CEA5" w:rsidR="00281578" w:rsidRPr="00004A4B" w:rsidRDefault="00AD1EEA" w:rsidP="00266F4F">
      <w:pPr>
        <w:pStyle w:val="ListBullet"/>
        <w:numPr>
          <w:ilvl w:val="0"/>
          <w:numId w:val="4"/>
        </w:numPr>
      </w:pPr>
      <w:r>
        <w:t xml:space="preserve">Pay As You Go (PAYG): Businesses are required to submit statements </w:t>
      </w:r>
      <w:r w:rsidR="007D1C3C">
        <w:t xml:space="preserve">on behalf of </w:t>
      </w:r>
      <w:r>
        <w:t xml:space="preserve">employees </w:t>
      </w:r>
      <w:r w:rsidR="007D1C3C">
        <w:t xml:space="preserve">reporting </w:t>
      </w:r>
      <w:r>
        <w:t xml:space="preserve">income earned over each fiscal year. </w:t>
      </w:r>
      <w:r w:rsidR="007D1C3C">
        <w:t>In the BLADE all employment data are aggregated to the ABN level, so no individual employee can be identified</w:t>
      </w:r>
      <w:r>
        <w:t xml:space="preserve">. </w:t>
      </w:r>
    </w:p>
    <w:p w14:paraId="21D11C50" w14:textId="77777777" w:rsidR="00436C51" w:rsidRDefault="00B33472" w:rsidP="00B33472">
      <w:pPr>
        <w:pStyle w:val="Heading2"/>
      </w:pPr>
      <w:r>
        <w:t xml:space="preserve">Data </w:t>
      </w:r>
      <w:r w:rsidR="00D10CEE">
        <w:t xml:space="preserve">cleaning </w:t>
      </w:r>
    </w:p>
    <w:p w14:paraId="6E37E1A2" w14:textId="250D3DB2" w:rsidR="00D10CEE" w:rsidRDefault="00E37D62" w:rsidP="00D10CEE">
      <w:pPr>
        <w:pStyle w:val="BodyText"/>
      </w:pPr>
      <w:r>
        <w:t>T</w:t>
      </w:r>
      <w:r w:rsidR="00D10CEE">
        <w:t xml:space="preserve">he BLADE </w:t>
      </w:r>
      <w:r w:rsidR="00766538">
        <w:t>data covering</w:t>
      </w:r>
      <w:r>
        <w:t xml:space="preserve"> </w:t>
      </w:r>
      <w:r w:rsidR="00D10CEE">
        <w:t>years 2005</w:t>
      </w:r>
      <w:r w:rsidR="00FF1370">
        <w:t>–</w:t>
      </w:r>
      <w:r w:rsidR="00D10CEE">
        <w:t>06 to 2014</w:t>
      </w:r>
      <w:r w:rsidR="00FF1370">
        <w:t>–</w:t>
      </w:r>
      <w:r w:rsidR="00D10CEE">
        <w:t>15 yield</w:t>
      </w:r>
      <w:r>
        <w:t>s</w:t>
      </w:r>
      <w:r w:rsidR="00D10CEE">
        <w:t xml:space="preserve"> over </w:t>
      </w:r>
      <w:r w:rsidR="00AC0236">
        <w:t>21.3</w:t>
      </w:r>
      <w:r w:rsidR="00D10CEE">
        <w:t xml:space="preserve"> million observations, where an observation is a combination of firm and year. </w:t>
      </w:r>
    </w:p>
    <w:p w14:paraId="70D7E302" w14:textId="626F9489" w:rsidR="00C0437C" w:rsidRDefault="00E37D62" w:rsidP="00D10CEE">
      <w:pPr>
        <w:pStyle w:val="BodyText"/>
      </w:pPr>
      <w:r>
        <w:t>A</w:t>
      </w:r>
      <w:r w:rsidR="009F6EFD">
        <w:t xml:space="preserve"> number of </w:t>
      </w:r>
      <w:r w:rsidR="00B56BF6">
        <w:t xml:space="preserve">filters </w:t>
      </w:r>
      <w:r>
        <w:t>are</w:t>
      </w:r>
      <w:r w:rsidR="009F6EFD">
        <w:t xml:space="preserve"> applied to the data to exclude outl</w:t>
      </w:r>
      <w:r>
        <w:t>ying</w:t>
      </w:r>
      <w:r w:rsidR="009F6EFD">
        <w:t xml:space="preserve"> firms and other anomalies</w:t>
      </w:r>
      <w:r w:rsidR="00AC0236">
        <w:t xml:space="preserve"> </w:t>
      </w:r>
      <w:r>
        <w:t>that</w:t>
      </w:r>
      <w:r w:rsidR="00AC0236">
        <w:t xml:space="preserve"> could skew the treatment effects substantially.</w:t>
      </w:r>
      <w:r w:rsidR="001B4405">
        <w:rPr>
          <w:rStyle w:val="FootnoteReference"/>
        </w:rPr>
        <w:footnoteReference w:id="17"/>
      </w:r>
      <w:r w:rsidR="00AC0236">
        <w:t xml:space="preserve"> </w:t>
      </w:r>
      <w:r w:rsidR="006815FD">
        <w:t>These filters are described below.</w:t>
      </w:r>
    </w:p>
    <w:p w14:paraId="252CB7F1" w14:textId="77777777" w:rsidR="00C0437C" w:rsidRPr="00C0437C" w:rsidRDefault="00C0437C" w:rsidP="00D10CEE">
      <w:pPr>
        <w:pStyle w:val="BodyText"/>
        <w:rPr>
          <w:b/>
        </w:rPr>
      </w:pPr>
      <w:r w:rsidRPr="00C0437C">
        <w:rPr>
          <w:b/>
        </w:rPr>
        <w:t xml:space="preserve">Large firms </w:t>
      </w:r>
    </w:p>
    <w:p w14:paraId="3F9967E6" w14:textId="323EE577" w:rsidR="00C0437C" w:rsidRDefault="00C0437C" w:rsidP="00D10CEE">
      <w:pPr>
        <w:pStyle w:val="BodyText"/>
      </w:pPr>
      <w:r>
        <w:t xml:space="preserve">Firms </w:t>
      </w:r>
      <w:r w:rsidR="006815FD">
        <w:t xml:space="preserve">whose </w:t>
      </w:r>
      <w:r>
        <w:t xml:space="preserve">turnover and employment </w:t>
      </w:r>
      <w:r w:rsidR="006815FD">
        <w:t xml:space="preserve">lies </w:t>
      </w:r>
      <w:r>
        <w:t xml:space="preserve">in the top one percentile </w:t>
      </w:r>
      <w:r w:rsidR="006815FD">
        <w:t xml:space="preserve">when pooling all observations from all years in the </w:t>
      </w:r>
      <w:r>
        <w:t xml:space="preserve">BLADE. </w:t>
      </w:r>
    </w:p>
    <w:p w14:paraId="7B33CA1A" w14:textId="548B9E68" w:rsidR="004B1014" w:rsidRPr="00C0437C" w:rsidRDefault="004B1014" w:rsidP="004B1014">
      <w:pPr>
        <w:pStyle w:val="BodyText"/>
        <w:rPr>
          <w:b/>
        </w:rPr>
      </w:pPr>
      <w:r>
        <w:rPr>
          <w:b/>
        </w:rPr>
        <w:lastRenderedPageBreak/>
        <w:t>Complex</w:t>
      </w:r>
      <w:r w:rsidR="002B095D">
        <w:rPr>
          <w:b/>
        </w:rPr>
        <w:t xml:space="preserve"> </w:t>
      </w:r>
      <w:r w:rsidRPr="00C0437C">
        <w:rPr>
          <w:b/>
        </w:rPr>
        <w:t>firms</w:t>
      </w:r>
      <w:r w:rsidR="002B095D">
        <w:rPr>
          <w:rStyle w:val="FootnoteReference"/>
          <w:b/>
        </w:rPr>
        <w:footnoteReference w:id="18"/>
      </w:r>
      <w:r w:rsidR="002B095D" w:rsidRPr="00C0437C">
        <w:rPr>
          <w:b/>
        </w:rPr>
        <w:t xml:space="preserve"> </w:t>
      </w:r>
      <w:r w:rsidRPr="00C0437C">
        <w:rPr>
          <w:b/>
        </w:rPr>
        <w:t xml:space="preserve"> </w:t>
      </w:r>
    </w:p>
    <w:p w14:paraId="0CDD48B3" w14:textId="515232F2" w:rsidR="004B1014" w:rsidRDefault="006815FD" w:rsidP="00D10CEE">
      <w:pPr>
        <w:pStyle w:val="BodyText"/>
      </w:pPr>
      <w:r>
        <w:t>C</w:t>
      </w:r>
      <w:r w:rsidR="00914C57">
        <w:t xml:space="preserve">omplex </w:t>
      </w:r>
      <w:r w:rsidR="003F0E6C">
        <w:t>firm</w:t>
      </w:r>
      <w:r>
        <w:t>s in this contex</w:t>
      </w:r>
      <w:r w:rsidR="001B4405">
        <w:t>t</w:t>
      </w:r>
      <w:r>
        <w:t xml:space="preserve"> are those</w:t>
      </w:r>
      <w:r w:rsidR="00914C57">
        <w:t xml:space="preserve"> </w:t>
      </w:r>
      <w:r w:rsidR="00A728B5">
        <w:t>that are known to operate across multiple industries or have multiple ABNs</w:t>
      </w:r>
      <w:r>
        <w:t>. These firms</w:t>
      </w:r>
      <w:r w:rsidR="00A728B5">
        <w:t xml:space="preserve"> are excluded from the analysis </w:t>
      </w:r>
      <w:r w:rsidR="00914C57">
        <w:t xml:space="preserve">as </w:t>
      </w:r>
      <w:r>
        <w:t xml:space="preserve">turnover </w:t>
      </w:r>
      <w:r w:rsidR="00E97230">
        <w:t>and</w:t>
      </w:r>
      <w:r>
        <w:t xml:space="preserve"> employment cannot be prope</w:t>
      </w:r>
      <w:r w:rsidR="000B7810">
        <w:t>r</w:t>
      </w:r>
      <w:r>
        <w:t>ly apportioned</w:t>
      </w:r>
      <w:r w:rsidR="00CC4332">
        <w:t xml:space="preserve"> to account for the operation on</w:t>
      </w:r>
      <w:r>
        <w:t xml:space="preserve"> the treated subsidiary.  </w:t>
      </w:r>
    </w:p>
    <w:p w14:paraId="203ABB3E" w14:textId="2ECE4371" w:rsidR="00C0437C" w:rsidRPr="002F05A8" w:rsidRDefault="0073412F" w:rsidP="00D10CEE">
      <w:pPr>
        <w:pStyle w:val="BodyText"/>
        <w:rPr>
          <w:b/>
        </w:rPr>
      </w:pPr>
      <w:r>
        <w:rPr>
          <w:b/>
        </w:rPr>
        <w:t>Unreliable reports</w:t>
      </w:r>
    </w:p>
    <w:p w14:paraId="082E068E" w14:textId="00A36627" w:rsidR="00B64EA0" w:rsidRDefault="002F05A8" w:rsidP="002F05A8">
      <w:pPr>
        <w:pStyle w:val="BodyText"/>
        <w:rPr>
          <w:lang w:val="en"/>
        </w:rPr>
      </w:pPr>
      <w:r w:rsidRPr="002F05A8">
        <w:rPr>
          <w:lang w:val="en"/>
        </w:rPr>
        <w:t xml:space="preserve">Firms </w:t>
      </w:r>
      <w:r w:rsidR="0073412F">
        <w:rPr>
          <w:lang w:val="en"/>
        </w:rPr>
        <w:t>reporting</w:t>
      </w:r>
      <w:r w:rsidRPr="002F05A8">
        <w:rPr>
          <w:lang w:val="en"/>
        </w:rPr>
        <w:t xml:space="preserve"> zero employees or zero turnover in any year are excluded</w:t>
      </w:r>
      <w:r w:rsidR="0073412F">
        <w:rPr>
          <w:lang w:val="en"/>
        </w:rPr>
        <w:t>. These firms are deemed inactive or their reports are unreliable</w:t>
      </w:r>
      <w:r w:rsidR="00A728B5">
        <w:rPr>
          <w:lang w:val="en"/>
        </w:rPr>
        <w:t xml:space="preserve">. </w:t>
      </w:r>
    </w:p>
    <w:p w14:paraId="1078F3FE" w14:textId="518FB638" w:rsidR="000D732C" w:rsidRDefault="000D732C" w:rsidP="000D732C">
      <w:pPr>
        <w:pStyle w:val="BodyText"/>
        <w:rPr>
          <w:b/>
        </w:rPr>
      </w:pPr>
      <w:r>
        <w:rPr>
          <w:b/>
        </w:rPr>
        <w:t xml:space="preserve">Imputing missing employment figures  </w:t>
      </w:r>
    </w:p>
    <w:p w14:paraId="2030F8B7" w14:textId="7036028C" w:rsidR="000D732C" w:rsidRDefault="000D732C" w:rsidP="000D732C">
      <w:pPr>
        <w:pStyle w:val="BodyText"/>
      </w:pPr>
      <w:r>
        <w:t xml:space="preserve">There is a strong relationship between the wages and salaries variable and the employment (FTE) variable in </w:t>
      </w:r>
      <w:r w:rsidR="0073412F">
        <w:t xml:space="preserve">the </w:t>
      </w:r>
      <w:r>
        <w:t xml:space="preserve">BLADE, and this relationship is exploited to fill in </w:t>
      </w:r>
      <w:r w:rsidR="0073412F">
        <w:t xml:space="preserve">the </w:t>
      </w:r>
      <w:r>
        <w:t xml:space="preserve">missing employment values when wages and salaries </w:t>
      </w:r>
      <w:r w:rsidR="0073412F">
        <w:t xml:space="preserve"> are reported by employment is missing</w:t>
      </w:r>
      <w:r w:rsidR="00F224C1">
        <w:t>. See A</w:t>
      </w:r>
      <w:r>
        <w:t xml:space="preserve">ppendix </w:t>
      </w:r>
      <w:r w:rsidR="00843A90">
        <w:t>B</w:t>
      </w:r>
      <w:r w:rsidR="00AF7E02">
        <w:t xml:space="preserve"> </w:t>
      </w:r>
      <w:r>
        <w:t xml:space="preserve">for more detail.  </w:t>
      </w:r>
    </w:p>
    <w:p w14:paraId="47F9B911" w14:textId="122CA02A" w:rsidR="00AF7E02" w:rsidRPr="00F91C23" w:rsidRDefault="00E475E7" w:rsidP="000D732C">
      <w:pPr>
        <w:pStyle w:val="BodyText"/>
        <w:rPr>
          <w:b/>
        </w:rPr>
      </w:pPr>
      <w:r>
        <w:rPr>
          <w:b/>
        </w:rPr>
        <w:t xml:space="preserve">Multiple counts of assistance </w:t>
      </w:r>
    </w:p>
    <w:p w14:paraId="1BE1B1BF" w14:textId="5AF57B8B" w:rsidR="00194C2C" w:rsidRPr="002F05A8" w:rsidRDefault="00ED0406" w:rsidP="002F05A8">
      <w:pPr>
        <w:pStyle w:val="BodyText"/>
        <w:rPr>
          <w:lang w:val="en"/>
        </w:rPr>
      </w:pPr>
      <w:r>
        <w:rPr>
          <w:lang w:val="en"/>
        </w:rPr>
        <w:t>There are some firms that receive multiple grants. For these firms, the</w:t>
      </w:r>
      <w:r w:rsidR="00E97230">
        <w:rPr>
          <w:lang w:val="en"/>
        </w:rPr>
        <w:t xml:space="preserve"> impact of assistance is measured from </w:t>
      </w:r>
      <w:r>
        <w:rPr>
          <w:lang w:val="en"/>
        </w:rPr>
        <w:t xml:space="preserve">the first instance of assistance. </w:t>
      </w:r>
    </w:p>
    <w:p w14:paraId="0F40BCCC" w14:textId="77777777" w:rsidR="003460CD" w:rsidRDefault="003460CD" w:rsidP="003460CD">
      <w:pPr>
        <w:pStyle w:val="Heading3"/>
      </w:pPr>
      <w:r>
        <w:t xml:space="preserve">Characteristics used for matching </w:t>
      </w:r>
    </w:p>
    <w:p w14:paraId="419792B6" w14:textId="77777777" w:rsidR="003460CD" w:rsidRDefault="003460CD" w:rsidP="003460CD">
      <w:pPr>
        <w:pStyle w:val="BodyText"/>
      </w:pPr>
      <w:r>
        <w:t>The ANZSIC subdivision and state of location are included as control variables as industry subdivision and location. The FTE count will be used to proxy for the size of a firm. Export status and R&amp;D status are binary dummy variables that are equal to one when a business has export sales</w:t>
      </w:r>
      <w:r>
        <w:rPr>
          <w:rStyle w:val="FootnoteReference"/>
        </w:rPr>
        <w:footnoteReference w:id="19"/>
      </w:r>
      <w:r>
        <w:t xml:space="preserve"> or R&amp;D expenditure in the year of program treatment. </w:t>
      </w:r>
    </w:p>
    <w:p w14:paraId="3C6CAC87" w14:textId="77777777" w:rsidR="004B1014" w:rsidRDefault="004B1014" w:rsidP="004B1014">
      <w:pPr>
        <w:pStyle w:val="Heading2"/>
      </w:pPr>
      <w:r>
        <w:t xml:space="preserve">Model specification </w:t>
      </w:r>
    </w:p>
    <w:p w14:paraId="30237D1A" w14:textId="7EE9D654" w:rsidR="00C0437C" w:rsidRDefault="009F71DC" w:rsidP="00D10CEE">
      <w:pPr>
        <w:pStyle w:val="BodyText"/>
      </w:pPr>
      <w:r>
        <w:t>A propensity score for each firm is estimated using a logit model relating a dummy for treatment with a set of characteristics</w:t>
      </w:r>
      <w:r w:rsidR="00EB720F">
        <w:t>. The characteristics used for this estimation are described below</w:t>
      </w:r>
      <w:r>
        <w:t xml:space="preserve">. The model is estimated separately for </w:t>
      </w:r>
      <w:r w:rsidR="00EB720F">
        <w:t xml:space="preserve">each </w:t>
      </w:r>
      <w:r>
        <w:t>cohort (year of treatment)</w:t>
      </w:r>
      <w:r w:rsidR="00EB720F">
        <w:t xml:space="preserve">. A separate estimate for propensities is also computed when restricting the sample to </w:t>
      </w:r>
      <w:r>
        <w:t xml:space="preserve">Manufacturing </w:t>
      </w:r>
      <w:r w:rsidR="00EB720F">
        <w:t xml:space="preserve">or </w:t>
      </w:r>
      <w:r>
        <w:t xml:space="preserve">PST and </w:t>
      </w:r>
      <w:r w:rsidR="00194A11">
        <w:t xml:space="preserve">Other </w:t>
      </w:r>
      <w:r w:rsidR="0006748A">
        <w:t>Services</w:t>
      </w:r>
      <w:r w:rsidR="0006748A">
        <w:rPr>
          <w:rStyle w:val="FootnoteReference"/>
        </w:rPr>
        <w:footnoteReference w:id="20"/>
      </w:r>
      <w:r w:rsidR="00052897">
        <w:t xml:space="preserve"> firms. </w:t>
      </w:r>
      <w:r w:rsidR="00E744FA">
        <w:t xml:space="preserve">An example of the logit results can be found in </w:t>
      </w:r>
      <w:r w:rsidR="003E1A53">
        <w:t>A</w:t>
      </w:r>
      <w:r w:rsidR="00E744FA">
        <w:t>ppendix C.</w:t>
      </w:r>
    </w:p>
    <w:p w14:paraId="1107D3DE" w14:textId="5E5483FF" w:rsidR="008120B6" w:rsidRDefault="008120B6" w:rsidP="008120B6">
      <w:pPr>
        <w:pStyle w:val="Heading3"/>
      </w:pPr>
      <w:r>
        <w:t xml:space="preserve">Controlling for selection </w:t>
      </w:r>
      <w:r w:rsidR="00243355">
        <w:t>bias</w:t>
      </w:r>
      <w:r>
        <w:t xml:space="preserve"> </w:t>
      </w:r>
    </w:p>
    <w:p w14:paraId="0BF9F9DA" w14:textId="56D5B27A" w:rsidR="008120B6" w:rsidRDefault="004F1223" w:rsidP="00D10CEE">
      <w:pPr>
        <w:pStyle w:val="BodyText"/>
      </w:pPr>
      <w:r>
        <w:t xml:space="preserve">Firm characteristics in the propensity score model should include all factors influencing both a firm’s likelihood to be treated and its outcomes post treatment. </w:t>
      </w:r>
      <w:r w:rsidR="00B91642">
        <w:t>In addition to</w:t>
      </w:r>
      <w:r>
        <w:t xml:space="preserve"> including </w:t>
      </w:r>
      <w:r w:rsidR="00B91642">
        <w:t xml:space="preserve">observable characteristics such as size, industry, location and type of legal organisation, </w:t>
      </w:r>
      <w:r w:rsidR="008D7A81">
        <w:t xml:space="preserve">variables that capture </w:t>
      </w:r>
      <w:r w:rsidR="00E1794F">
        <w:t xml:space="preserve">past </w:t>
      </w:r>
      <w:r w:rsidR="00E70E83">
        <w:t xml:space="preserve">firm performance should be included in the model. </w:t>
      </w:r>
      <w:r w:rsidR="004D0665">
        <w:t>P</w:t>
      </w:r>
      <w:r w:rsidR="00E1794F">
        <w:t>ast firm performance</w:t>
      </w:r>
      <w:r w:rsidR="00C82DD6">
        <w:t xml:space="preserve"> </w:t>
      </w:r>
      <w:r w:rsidR="00243355">
        <w:t xml:space="preserve">is a good </w:t>
      </w:r>
      <w:r w:rsidR="00C82DD6">
        <w:lastRenderedPageBreak/>
        <w:t>indicat</w:t>
      </w:r>
      <w:r w:rsidR="00243355">
        <w:t>or of</w:t>
      </w:r>
      <w:r w:rsidR="00C82DD6">
        <w:t xml:space="preserve"> a firms’ willingness to grow</w:t>
      </w:r>
      <w:r w:rsidR="00243355">
        <w:t>.</w:t>
      </w:r>
      <w:r w:rsidR="00C82DD6">
        <w:t xml:space="preserve"> </w:t>
      </w:r>
      <w:r w:rsidR="00243355">
        <w:t xml:space="preserve">A positive past performance </w:t>
      </w:r>
      <w:r w:rsidR="00C82DD6">
        <w:t xml:space="preserve">will increase the </w:t>
      </w:r>
      <w:r w:rsidR="00457AF1">
        <w:t xml:space="preserve">firms’ prospects in being selected for an EC grant. </w:t>
      </w:r>
      <w:r w:rsidR="008B7FBE">
        <w:t>Therefore</w:t>
      </w:r>
      <w:r w:rsidR="00DD5E13">
        <w:t>,</w:t>
      </w:r>
      <w:r w:rsidR="008B7FBE">
        <w:t xml:space="preserve"> </w:t>
      </w:r>
      <w:r w:rsidR="00E1794F">
        <w:t>one year lagged growth ra</w:t>
      </w:r>
      <w:r w:rsidR="008B7FBE">
        <w:t xml:space="preserve">tes of turnover and employment are included in the </w:t>
      </w:r>
      <w:r w:rsidR="000366B4">
        <w:t xml:space="preserve">propensity score </w:t>
      </w:r>
      <w:r w:rsidR="008B7FBE">
        <w:t>model specification</w:t>
      </w:r>
      <w:r w:rsidR="00365B49">
        <w:t>.</w:t>
      </w:r>
    </w:p>
    <w:p w14:paraId="5C8321EA" w14:textId="77777777" w:rsidR="009B4DFB" w:rsidRDefault="009B4DFB" w:rsidP="00DC2BAA">
      <w:pPr>
        <w:pStyle w:val="Caption"/>
      </w:pPr>
      <w:r w:rsidRPr="000618FB">
        <w:t xml:space="preserve">Table </w:t>
      </w:r>
      <w:r w:rsidR="00790BD9">
        <w:rPr>
          <w:noProof/>
        </w:rPr>
        <w:fldChar w:fldCharType="begin"/>
      </w:r>
      <w:r w:rsidR="00790BD9">
        <w:rPr>
          <w:noProof/>
        </w:rPr>
        <w:instrText xml:space="preserve"> STYLEREF 1 \s </w:instrText>
      </w:r>
      <w:r w:rsidR="00790BD9">
        <w:rPr>
          <w:noProof/>
        </w:rPr>
        <w:fldChar w:fldCharType="separate"/>
      </w:r>
      <w:r w:rsidR="003A4982">
        <w:rPr>
          <w:noProof/>
        </w:rPr>
        <w:t>4</w:t>
      </w:r>
      <w:r w:rsidR="00790BD9">
        <w:rPr>
          <w:noProof/>
        </w:rPr>
        <w:fldChar w:fldCharType="end"/>
      </w:r>
      <w:r w:rsidRPr="000618FB">
        <w:t>.</w:t>
      </w:r>
      <w:r w:rsidR="00790BD9">
        <w:rPr>
          <w:noProof/>
        </w:rPr>
        <w:fldChar w:fldCharType="begin"/>
      </w:r>
      <w:r w:rsidR="00790BD9">
        <w:rPr>
          <w:noProof/>
        </w:rPr>
        <w:instrText xml:space="preserve"> SEQ Table \* ARABIC \s 1 </w:instrText>
      </w:r>
      <w:r w:rsidR="00790BD9">
        <w:rPr>
          <w:noProof/>
        </w:rPr>
        <w:fldChar w:fldCharType="separate"/>
      </w:r>
      <w:r w:rsidR="003A4982">
        <w:rPr>
          <w:noProof/>
        </w:rPr>
        <w:t>1</w:t>
      </w:r>
      <w:r w:rsidR="00790BD9">
        <w:rPr>
          <w:noProof/>
        </w:rPr>
        <w:fldChar w:fldCharType="end"/>
      </w:r>
      <w:r w:rsidRPr="000618FB">
        <w:t xml:space="preserve">: </w:t>
      </w:r>
      <w:r w:rsidR="001822C1" w:rsidRPr="001822C1">
        <w:t>Propensity score model specification</w:t>
      </w:r>
    </w:p>
    <w:tbl>
      <w:tblPr>
        <w:tblStyle w:val="OCETable"/>
        <w:tblW w:w="5000" w:type="pct"/>
        <w:tblInd w:w="57" w:type="dxa"/>
        <w:tblLayout w:type="fixed"/>
        <w:tblLook w:val="04A0" w:firstRow="1" w:lastRow="0" w:firstColumn="1" w:lastColumn="0" w:noHBand="0" w:noVBand="1"/>
        <w:tblCaption w:val="Table 4.1: Propensity score model specification"/>
      </w:tblPr>
      <w:tblGrid>
        <w:gridCol w:w="2298"/>
        <w:gridCol w:w="4596"/>
      </w:tblGrid>
      <w:tr w:rsidR="00D1366F" w14:paraId="240A6BCB" w14:textId="77777777" w:rsidTr="00EC0113">
        <w:trPr>
          <w:cnfStyle w:val="100000000000" w:firstRow="1" w:lastRow="0" w:firstColumn="0" w:lastColumn="0" w:oddVBand="0" w:evenVBand="0" w:oddHBand="0" w:evenHBand="0" w:firstRowFirstColumn="0" w:firstRowLastColumn="0" w:lastRowFirstColumn="0" w:lastRowLastColumn="0"/>
          <w:tblHeader/>
        </w:trPr>
        <w:tc>
          <w:tcPr>
            <w:tcW w:w="2298" w:type="dxa"/>
          </w:tcPr>
          <w:p w14:paraId="2DB8F52F" w14:textId="77777777" w:rsidR="00D1366F" w:rsidRDefault="00D1366F" w:rsidP="00DC2BAA">
            <w:pPr>
              <w:pStyle w:val="Tableheader"/>
              <w:rPr>
                <w:lang w:eastAsia="en-AU"/>
              </w:rPr>
            </w:pPr>
            <w:r>
              <w:rPr>
                <w:lang w:eastAsia="en-AU"/>
              </w:rPr>
              <w:t>Variable</w:t>
            </w:r>
          </w:p>
        </w:tc>
        <w:tc>
          <w:tcPr>
            <w:tcW w:w="4596" w:type="dxa"/>
          </w:tcPr>
          <w:p w14:paraId="2BA2EA7C" w14:textId="77777777" w:rsidR="00D1366F" w:rsidRDefault="00D1366F" w:rsidP="00DC2BAA">
            <w:pPr>
              <w:pStyle w:val="Tableheader"/>
              <w:rPr>
                <w:lang w:eastAsia="en-AU"/>
              </w:rPr>
            </w:pPr>
            <w:r>
              <w:rPr>
                <w:lang w:eastAsia="en-AU"/>
              </w:rPr>
              <w:t xml:space="preserve">Specification </w:t>
            </w:r>
          </w:p>
        </w:tc>
      </w:tr>
      <w:tr w:rsidR="00D1366F" w14:paraId="01667A40" w14:textId="77777777" w:rsidTr="00E83053">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3ED60EEE" w14:textId="77777777" w:rsidR="00D1366F" w:rsidRDefault="00D1366F" w:rsidP="00E83053">
            <w:pPr>
              <w:pStyle w:val="Tabletext"/>
              <w:rPr>
                <w:lang w:eastAsia="en-AU"/>
              </w:rPr>
            </w:pPr>
            <w:r>
              <w:rPr>
                <w:lang w:eastAsia="en-AU"/>
              </w:rPr>
              <w:t xml:space="preserve">Size </w:t>
            </w:r>
          </w:p>
        </w:tc>
        <w:tc>
          <w:tcPr>
            <w:tcW w:w="4596" w:type="dxa"/>
          </w:tcPr>
          <w:p w14:paraId="3507A58A" w14:textId="77777777" w:rsidR="00D1366F" w:rsidRDefault="00D1366F" w:rsidP="009B4863">
            <w:pPr>
              <w:pStyle w:val="Tabletext"/>
              <w:rPr>
                <w:lang w:eastAsia="en-AU"/>
              </w:rPr>
            </w:pPr>
            <w:r>
              <w:rPr>
                <w:lang w:eastAsia="en-AU"/>
              </w:rPr>
              <w:t>Number of employees (FTE)</w:t>
            </w:r>
          </w:p>
        </w:tc>
      </w:tr>
      <w:tr w:rsidR="00D1366F" w14:paraId="04FC7F61" w14:textId="77777777" w:rsidTr="00E83053">
        <w:trPr>
          <w:cnfStyle w:val="000000010000" w:firstRow="0" w:lastRow="0" w:firstColumn="0" w:lastColumn="0" w:oddVBand="0" w:evenVBand="0" w:oddHBand="0" w:evenHBand="1" w:firstRowFirstColumn="0" w:firstRowLastColumn="0" w:lastRowFirstColumn="0" w:lastRowLastColumn="0"/>
        </w:trPr>
        <w:tc>
          <w:tcPr>
            <w:tcW w:w="2298" w:type="dxa"/>
            <w:vAlign w:val="center"/>
          </w:tcPr>
          <w:p w14:paraId="536C97EE" w14:textId="77777777" w:rsidR="00D1366F" w:rsidRDefault="00D1366F" w:rsidP="00E83053">
            <w:pPr>
              <w:pStyle w:val="Tabletext"/>
              <w:rPr>
                <w:lang w:eastAsia="en-AU"/>
              </w:rPr>
            </w:pPr>
            <w:r>
              <w:rPr>
                <w:lang w:eastAsia="en-AU"/>
              </w:rPr>
              <w:t xml:space="preserve">Past firm performance </w:t>
            </w:r>
          </w:p>
        </w:tc>
        <w:tc>
          <w:tcPr>
            <w:tcW w:w="4596" w:type="dxa"/>
          </w:tcPr>
          <w:p w14:paraId="080D6586" w14:textId="77777777" w:rsidR="00D1366F" w:rsidRDefault="00D1366F" w:rsidP="009B4863">
            <w:pPr>
              <w:pStyle w:val="Tabletext"/>
              <w:rPr>
                <w:lang w:eastAsia="en-AU"/>
              </w:rPr>
            </w:pPr>
            <w:r>
              <w:rPr>
                <w:lang w:eastAsia="en-AU"/>
              </w:rPr>
              <w:t xml:space="preserve">Turnover and employee growth rates, one year prior to treatment  </w:t>
            </w:r>
          </w:p>
        </w:tc>
      </w:tr>
      <w:tr w:rsidR="00D1366F" w14:paraId="7B78DA35" w14:textId="77777777" w:rsidTr="00E83053">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65AF5A78" w14:textId="77777777" w:rsidR="00D1366F" w:rsidRDefault="00983A7C" w:rsidP="00E83053">
            <w:pPr>
              <w:pStyle w:val="Tabletext"/>
              <w:rPr>
                <w:lang w:eastAsia="en-AU"/>
              </w:rPr>
            </w:pPr>
            <w:r>
              <w:rPr>
                <w:lang w:eastAsia="en-AU"/>
              </w:rPr>
              <w:t>Industry</w:t>
            </w:r>
            <w:r w:rsidR="00D1366F">
              <w:rPr>
                <w:lang w:eastAsia="en-AU"/>
              </w:rPr>
              <w:t xml:space="preserve"> </w:t>
            </w:r>
          </w:p>
        </w:tc>
        <w:tc>
          <w:tcPr>
            <w:tcW w:w="4596" w:type="dxa"/>
          </w:tcPr>
          <w:p w14:paraId="132E8A35" w14:textId="7737859B" w:rsidR="00D1366F" w:rsidRDefault="00AA59E9" w:rsidP="00AA59E9">
            <w:pPr>
              <w:pStyle w:val="Tabletext"/>
              <w:rPr>
                <w:lang w:eastAsia="en-AU"/>
              </w:rPr>
            </w:pPr>
            <w:r>
              <w:rPr>
                <w:lang w:eastAsia="en-AU"/>
              </w:rPr>
              <w:t xml:space="preserve">2 digit ANZSIC subdivision </w:t>
            </w:r>
          </w:p>
        </w:tc>
      </w:tr>
      <w:tr w:rsidR="00D1366F" w14:paraId="047369B8" w14:textId="77777777" w:rsidTr="00E83053">
        <w:trPr>
          <w:cnfStyle w:val="000000010000" w:firstRow="0" w:lastRow="0" w:firstColumn="0" w:lastColumn="0" w:oddVBand="0" w:evenVBand="0" w:oddHBand="0" w:evenHBand="1" w:firstRowFirstColumn="0" w:firstRowLastColumn="0" w:lastRowFirstColumn="0" w:lastRowLastColumn="0"/>
        </w:trPr>
        <w:tc>
          <w:tcPr>
            <w:tcW w:w="2298" w:type="dxa"/>
            <w:vAlign w:val="center"/>
          </w:tcPr>
          <w:p w14:paraId="665823FB" w14:textId="6BDED883" w:rsidR="00D1366F" w:rsidRDefault="00922305" w:rsidP="00E83053">
            <w:pPr>
              <w:pStyle w:val="Tabletext"/>
              <w:rPr>
                <w:lang w:eastAsia="en-AU"/>
              </w:rPr>
            </w:pPr>
            <w:r>
              <w:rPr>
                <w:lang w:eastAsia="en-AU"/>
              </w:rPr>
              <w:t>Export</w:t>
            </w:r>
            <w:r w:rsidR="00793D21">
              <w:rPr>
                <w:lang w:eastAsia="en-AU"/>
              </w:rPr>
              <w:t>er</w:t>
            </w:r>
            <w:r w:rsidR="00D1366F">
              <w:rPr>
                <w:lang w:eastAsia="en-AU"/>
              </w:rPr>
              <w:t xml:space="preserve"> status </w:t>
            </w:r>
          </w:p>
        </w:tc>
        <w:tc>
          <w:tcPr>
            <w:tcW w:w="4596" w:type="dxa"/>
          </w:tcPr>
          <w:p w14:paraId="5E69306B" w14:textId="77777777" w:rsidR="00D1366F" w:rsidRDefault="00D1366F" w:rsidP="00685549">
            <w:pPr>
              <w:pStyle w:val="Tabletext"/>
              <w:rPr>
                <w:lang w:eastAsia="en-AU"/>
              </w:rPr>
            </w:pPr>
            <w:r>
              <w:rPr>
                <w:lang w:eastAsia="en-AU"/>
              </w:rPr>
              <w:t>Dummy variable for exporting more than $2000 in treatment year</w:t>
            </w:r>
          </w:p>
        </w:tc>
      </w:tr>
      <w:tr w:rsidR="00D1366F" w14:paraId="2D923768" w14:textId="77777777" w:rsidTr="00E83053">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5AAB5A16" w14:textId="77777777" w:rsidR="00D1366F" w:rsidRDefault="00D1366F" w:rsidP="00E83053">
            <w:pPr>
              <w:pStyle w:val="Tabletext"/>
              <w:rPr>
                <w:lang w:eastAsia="en-AU"/>
              </w:rPr>
            </w:pPr>
            <w:r>
              <w:rPr>
                <w:lang w:eastAsia="en-AU"/>
              </w:rPr>
              <w:t xml:space="preserve">Location </w:t>
            </w:r>
          </w:p>
        </w:tc>
        <w:tc>
          <w:tcPr>
            <w:tcW w:w="4596" w:type="dxa"/>
          </w:tcPr>
          <w:p w14:paraId="7AABD834" w14:textId="77777777" w:rsidR="00D1366F" w:rsidRDefault="00D1366F" w:rsidP="00DC2BAA">
            <w:pPr>
              <w:pStyle w:val="Tabletext"/>
              <w:rPr>
                <w:lang w:eastAsia="en-AU"/>
              </w:rPr>
            </w:pPr>
            <w:r>
              <w:rPr>
                <w:lang w:eastAsia="en-AU"/>
              </w:rPr>
              <w:t>7 state</w:t>
            </w:r>
            <w:r w:rsidR="006C306F">
              <w:rPr>
                <w:lang w:eastAsia="en-AU"/>
              </w:rPr>
              <w:t xml:space="preserve"> dummy variab</w:t>
            </w:r>
            <w:r w:rsidR="00DC2BAA">
              <w:rPr>
                <w:lang w:eastAsia="en-AU"/>
              </w:rPr>
              <w:t>les</w:t>
            </w:r>
            <w:r>
              <w:rPr>
                <w:lang w:eastAsia="en-AU"/>
              </w:rPr>
              <w:t xml:space="preserve">  </w:t>
            </w:r>
          </w:p>
        </w:tc>
      </w:tr>
      <w:tr w:rsidR="00D1366F" w14:paraId="5700D554" w14:textId="77777777" w:rsidTr="00E83053">
        <w:trPr>
          <w:cnfStyle w:val="000000010000" w:firstRow="0" w:lastRow="0" w:firstColumn="0" w:lastColumn="0" w:oddVBand="0" w:evenVBand="0" w:oddHBand="0" w:evenHBand="1" w:firstRowFirstColumn="0" w:firstRowLastColumn="0" w:lastRowFirstColumn="0" w:lastRowLastColumn="0"/>
        </w:trPr>
        <w:tc>
          <w:tcPr>
            <w:tcW w:w="2298" w:type="dxa"/>
            <w:vAlign w:val="center"/>
          </w:tcPr>
          <w:p w14:paraId="5D6455A4" w14:textId="77777777" w:rsidR="00D1366F" w:rsidRDefault="00D1366F" w:rsidP="00E83053">
            <w:pPr>
              <w:pStyle w:val="Tabletext"/>
              <w:rPr>
                <w:lang w:eastAsia="en-AU"/>
              </w:rPr>
            </w:pPr>
            <w:r>
              <w:rPr>
                <w:lang w:eastAsia="en-AU"/>
              </w:rPr>
              <w:t xml:space="preserve">Type of Legal Organisation </w:t>
            </w:r>
          </w:p>
        </w:tc>
        <w:tc>
          <w:tcPr>
            <w:tcW w:w="4596" w:type="dxa"/>
          </w:tcPr>
          <w:p w14:paraId="6D364BA4" w14:textId="77777777" w:rsidR="00D1366F" w:rsidRDefault="00D1366F" w:rsidP="00685549">
            <w:pPr>
              <w:pStyle w:val="Tabletext"/>
              <w:rPr>
                <w:lang w:eastAsia="en-AU"/>
              </w:rPr>
            </w:pPr>
            <w:r>
              <w:rPr>
                <w:lang w:eastAsia="en-AU"/>
              </w:rPr>
              <w:t>4 dummies – Public company, private company, trust or partnership</w:t>
            </w:r>
          </w:p>
        </w:tc>
      </w:tr>
      <w:tr w:rsidR="00D1366F" w14:paraId="271EAA4B" w14:textId="77777777" w:rsidTr="00E83053">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5604D001" w14:textId="77777777" w:rsidR="00D1366F" w:rsidRDefault="00D1366F" w:rsidP="00E83053">
            <w:pPr>
              <w:pStyle w:val="Tabletext"/>
              <w:rPr>
                <w:lang w:eastAsia="en-AU"/>
              </w:rPr>
            </w:pPr>
            <w:r>
              <w:rPr>
                <w:lang w:eastAsia="en-AU"/>
              </w:rPr>
              <w:t xml:space="preserve">R&amp;D status </w:t>
            </w:r>
          </w:p>
        </w:tc>
        <w:tc>
          <w:tcPr>
            <w:tcW w:w="4596" w:type="dxa"/>
          </w:tcPr>
          <w:p w14:paraId="11ACA410" w14:textId="77777777" w:rsidR="00D1366F" w:rsidRDefault="00D1366F" w:rsidP="00685549">
            <w:pPr>
              <w:pStyle w:val="Tabletext"/>
              <w:rPr>
                <w:lang w:eastAsia="en-AU"/>
              </w:rPr>
            </w:pPr>
            <w:r>
              <w:rPr>
                <w:lang w:eastAsia="en-AU"/>
              </w:rPr>
              <w:t xml:space="preserve">Dummy variable for spending on R&amp;D in treatment year </w:t>
            </w:r>
          </w:p>
        </w:tc>
      </w:tr>
    </w:tbl>
    <w:p w14:paraId="5E77C6BA" w14:textId="20386980" w:rsidR="009B4DFB" w:rsidRDefault="008F74A0" w:rsidP="00DC2BAA">
      <w:pPr>
        <w:pStyle w:val="Note"/>
        <w:rPr>
          <w:lang w:eastAsia="en-AU"/>
        </w:rPr>
      </w:pPr>
      <w:r>
        <w:rPr>
          <w:lang w:eastAsia="en-AU"/>
        </w:rPr>
        <w:t xml:space="preserve">Notes: A dummy variable </w:t>
      </w:r>
      <w:r w:rsidR="0057161A">
        <w:rPr>
          <w:lang w:eastAsia="en-AU"/>
        </w:rPr>
        <w:t xml:space="preserve">takes the value of 0 or 1 to indicate the absence or presence of a categorical effect. </w:t>
      </w:r>
    </w:p>
    <w:p w14:paraId="7B64902C" w14:textId="42FE07CB" w:rsidR="007D34B3" w:rsidRDefault="007D34B3" w:rsidP="007D34B3">
      <w:pPr>
        <w:pStyle w:val="Source"/>
      </w:pPr>
      <w:r>
        <w:t xml:space="preserve">Source: BLADE </w:t>
      </w:r>
      <w:r w:rsidR="00661250">
        <w:t>(2001</w:t>
      </w:r>
      <w:r w:rsidR="00FF1370">
        <w:t>–</w:t>
      </w:r>
      <w:r w:rsidR="00661250">
        <w:t>02 to 2014</w:t>
      </w:r>
      <w:r w:rsidR="00FF1370">
        <w:t>–</w:t>
      </w:r>
      <w:r w:rsidR="00661250">
        <w:t>15)</w:t>
      </w:r>
      <w:r>
        <w:t xml:space="preserve"> </w:t>
      </w:r>
    </w:p>
    <w:p w14:paraId="5939E5EF" w14:textId="6EA0501C" w:rsidR="00D10CEE" w:rsidRDefault="00FB4E0E" w:rsidP="00D92401">
      <w:pPr>
        <w:pStyle w:val="BodyText"/>
      </w:pPr>
      <w:r>
        <w:t xml:space="preserve">This model could still not factor in unobserved characteristics which means selection on </w:t>
      </w:r>
      <w:r w:rsidR="00AE3BF1">
        <w:t xml:space="preserve">unobservables remains an issue that could account for some of the </w:t>
      </w:r>
      <w:r w:rsidR="00631FD6">
        <w:t>estimated impact</w:t>
      </w:r>
      <w:r w:rsidR="00AE3BF1">
        <w:t xml:space="preserve">. </w:t>
      </w:r>
      <w:r>
        <w:t xml:space="preserve"> </w:t>
      </w:r>
    </w:p>
    <w:p w14:paraId="1D36E75B" w14:textId="267223E1" w:rsidR="001C616F" w:rsidRDefault="001156A1" w:rsidP="001156A1">
      <w:pPr>
        <w:pStyle w:val="Heading2"/>
      </w:pPr>
      <w:r>
        <w:t xml:space="preserve">Outcome variables </w:t>
      </w:r>
    </w:p>
    <w:p w14:paraId="2BBFE459" w14:textId="2A4B07E6" w:rsidR="00CC4332" w:rsidRDefault="00CC4332" w:rsidP="00CC4332">
      <w:pPr>
        <w:pStyle w:val="BodyText"/>
      </w:pPr>
      <w:r>
        <w:t>This paper investigates the ATT over time between program participants and a control group using the following outcome variables:</w:t>
      </w:r>
    </w:p>
    <w:p w14:paraId="7BA8000C" w14:textId="77777777" w:rsidR="00CC4332" w:rsidRDefault="00CC4332" w:rsidP="00CC4332">
      <w:pPr>
        <w:pStyle w:val="ListBullet"/>
        <w:numPr>
          <w:ilvl w:val="0"/>
          <w:numId w:val="4"/>
        </w:numPr>
      </w:pPr>
      <w:r>
        <w:t xml:space="preserve">Turnover </w:t>
      </w:r>
    </w:p>
    <w:p w14:paraId="7716C4C4" w14:textId="51724C3A" w:rsidR="00CC4332" w:rsidRDefault="00CC4332" w:rsidP="00CC4332">
      <w:pPr>
        <w:pStyle w:val="ListBullet"/>
        <w:numPr>
          <w:ilvl w:val="0"/>
          <w:numId w:val="4"/>
        </w:numPr>
      </w:pPr>
      <w:r>
        <w:t>Full</w:t>
      </w:r>
      <w:r w:rsidR="00A9357C">
        <w:t>-</w:t>
      </w:r>
      <w:r>
        <w:t>time equivalent employee numbers</w:t>
      </w:r>
    </w:p>
    <w:p w14:paraId="3F878F82" w14:textId="77777777" w:rsidR="00CC4332" w:rsidRDefault="00CC4332" w:rsidP="00CC4332">
      <w:pPr>
        <w:pStyle w:val="ListBullet"/>
        <w:numPr>
          <w:ilvl w:val="0"/>
          <w:numId w:val="4"/>
        </w:numPr>
      </w:pPr>
      <w:r>
        <w:t>Export sales</w:t>
      </w:r>
    </w:p>
    <w:p w14:paraId="7D0B6BBA" w14:textId="3A30CBF6" w:rsidR="00645868" w:rsidRDefault="00645868" w:rsidP="00CC4332">
      <w:pPr>
        <w:pStyle w:val="ListBullet"/>
        <w:numPr>
          <w:ilvl w:val="0"/>
          <w:numId w:val="4"/>
        </w:numPr>
      </w:pPr>
      <w:r>
        <w:t xml:space="preserve">Capital expenditure </w:t>
      </w:r>
    </w:p>
    <w:p w14:paraId="66092CEB" w14:textId="23DDE303" w:rsidR="00CC4332" w:rsidRPr="00CC4332" w:rsidRDefault="00CC4332" w:rsidP="00CC4332">
      <w:pPr>
        <w:pStyle w:val="ListBullet"/>
        <w:numPr>
          <w:ilvl w:val="0"/>
          <w:numId w:val="4"/>
        </w:numPr>
      </w:pPr>
      <w:r>
        <w:t xml:space="preserve">Survival rates </w:t>
      </w:r>
    </w:p>
    <w:p w14:paraId="7A7AEA0A" w14:textId="200DC648" w:rsidR="00057CE0" w:rsidRDefault="00CC4332" w:rsidP="00E417E0">
      <w:pPr>
        <w:pStyle w:val="BodyText"/>
      </w:pPr>
      <w:r>
        <w:t xml:space="preserve">These variables are measured from </w:t>
      </w:r>
      <w:r w:rsidR="008F2973">
        <w:t xml:space="preserve">one year prior to participation, and subsequently </w:t>
      </w:r>
      <w:r w:rsidR="00E34375">
        <w:t xml:space="preserve">follows those measures in </w:t>
      </w:r>
      <w:r w:rsidR="008F2973">
        <w:t>one</w:t>
      </w:r>
      <w:r w:rsidR="00E34375">
        <w:t xml:space="preserve"> to</w:t>
      </w:r>
      <w:r w:rsidR="008F2973">
        <w:t xml:space="preserve"> four years post participation.</w:t>
      </w:r>
      <w:r w:rsidR="00371A19">
        <w:t xml:space="preserve"> </w:t>
      </w:r>
      <w:r w:rsidR="00E34375">
        <w:t>In each year after participation, the</w:t>
      </w:r>
      <w:r w:rsidR="00371A19">
        <w:t xml:space="preserve"> </w:t>
      </w:r>
      <w:r>
        <w:t>ATT</w:t>
      </w:r>
      <w:r w:rsidR="000250D2">
        <w:t xml:space="preserve"> </w:t>
      </w:r>
      <w:r w:rsidR="00E34375">
        <w:t>is computed and compared</w:t>
      </w:r>
      <w:r w:rsidR="000250D2">
        <w:t xml:space="preserve">. </w:t>
      </w:r>
    </w:p>
    <w:p w14:paraId="0974B521" w14:textId="721B7A97" w:rsidR="00384B2E" w:rsidRDefault="008F0E59" w:rsidP="00384B2E">
      <w:pPr>
        <w:pStyle w:val="BodyText"/>
        <w:spacing w:before="240"/>
        <w:rPr>
          <w:noProof/>
          <w:lang w:eastAsia="en-AU"/>
        </w:rPr>
      </w:pPr>
      <w:r>
        <w:rPr>
          <w:noProof/>
          <w:lang w:eastAsia="en-AU"/>
        </w:rPr>
        <w:t xml:space="preserve">For example, Figure </w:t>
      </w:r>
      <w:r w:rsidR="00EC068A">
        <w:rPr>
          <w:noProof/>
          <w:lang w:eastAsia="en-AU"/>
        </w:rPr>
        <w:t>4.1</w:t>
      </w:r>
      <w:r>
        <w:rPr>
          <w:noProof/>
          <w:lang w:eastAsia="en-AU"/>
        </w:rPr>
        <w:t xml:space="preserve"> shows </w:t>
      </w:r>
      <w:r w:rsidR="00EC068A">
        <w:rPr>
          <w:noProof/>
          <w:lang w:eastAsia="en-AU"/>
        </w:rPr>
        <w:t>the</w:t>
      </w:r>
      <w:r>
        <w:rPr>
          <w:noProof/>
          <w:lang w:eastAsia="en-AU"/>
        </w:rPr>
        <w:t xml:space="preserve"> two</w:t>
      </w:r>
      <w:r w:rsidR="00A9357C">
        <w:rPr>
          <w:noProof/>
          <w:lang w:eastAsia="en-AU"/>
        </w:rPr>
        <w:t xml:space="preserve"> </w:t>
      </w:r>
      <w:r>
        <w:rPr>
          <w:noProof/>
          <w:lang w:eastAsia="en-AU"/>
        </w:rPr>
        <w:t>year treatment effect is c</w:t>
      </w:r>
      <w:r w:rsidR="00EC068A">
        <w:rPr>
          <w:noProof/>
          <w:lang w:eastAsia="en-AU"/>
        </w:rPr>
        <w:t>alculated from time t</w:t>
      </w:r>
      <w:r w:rsidR="00FF1370">
        <w:rPr>
          <w:noProof/>
          <w:lang w:eastAsia="en-AU"/>
        </w:rPr>
        <w:t>–</w:t>
      </w:r>
      <w:r w:rsidR="00EC068A">
        <w:rPr>
          <w:noProof/>
          <w:lang w:eastAsia="en-AU"/>
        </w:rPr>
        <w:t>1 to time t+1, if time t is the year of program treatment</w:t>
      </w:r>
      <w:r>
        <w:rPr>
          <w:noProof/>
          <w:lang w:eastAsia="en-AU"/>
        </w:rPr>
        <w:t>.</w:t>
      </w:r>
    </w:p>
    <w:p w14:paraId="08310F62" w14:textId="70B3588D" w:rsidR="00057CE0" w:rsidRDefault="00021E92" w:rsidP="00057CE0">
      <w:pPr>
        <w:pStyle w:val="Caption"/>
      </w:pPr>
      <w:r>
        <w:rPr>
          <w:noProof/>
          <w:lang w:eastAsia="en-AU"/>
        </w:rPr>
        <w:lastRenderedPageBreak/>
        <w:drawing>
          <wp:anchor distT="0" distB="0" distL="114300" distR="114300" simplePos="0" relativeHeight="251658242" behindDoc="0" locked="0" layoutInCell="1" allowOverlap="1" wp14:anchorId="335555E3" wp14:editId="4DA98BBF">
            <wp:simplePos x="0" y="0"/>
            <wp:positionH relativeFrom="margin">
              <wp:align>right</wp:align>
            </wp:positionH>
            <wp:positionV relativeFrom="paragraph">
              <wp:posOffset>337930</wp:posOffset>
            </wp:positionV>
            <wp:extent cx="4305300" cy="704850"/>
            <wp:effectExtent l="0" t="0" r="38100" b="0"/>
            <wp:wrapSquare wrapText="bothSides"/>
            <wp:docPr id="3" name="Diagram 3" descr="Time t-1&#10;Program treatment time t&#10;time t+1" title="Figure 4.1 Two year treatment effect calc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057CE0">
        <w:t>Figure</w:t>
      </w:r>
      <w:r w:rsidR="00057CE0" w:rsidRPr="000618FB">
        <w:t xml:space="preserve"> </w:t>
      </w:r>
      <w:r w:rsidR="00790BD9">
        <w:rPr>
          <w:noProof/>
        </w:rPr>
        <w:fldChar w:fldCharType="begin"/>
      </w:r>
      <w:r w:rsidR="00790BD9">
        <w:rPr>
          <w:noProof/>
        </w:rPr>
        <w:instrText xml:space="preserve"> STYLEREF 1 \s </w:instrText>
      </w:r>
      <w:r w:rsidR="00790BD9">
        <w:rPr>
          <w:noProof/>
        </w:rPr>
        <w:fldChar w:fldCharType="separate"/>
      </w:r>
      <w:r w:rsidR="003A4982">
        <w:rPr>
          <w:noProof/>
        </w:rPr>
        <w:t>4</w:t>
      </w:r>
      <w:r w:rsidR="00790BD9">
        <w:rPr>
          <w:noProof/>
        </w:rPr>
        <w:fldChar w:fldCharType="end"/>
      </w:r>
      <w:r w:rsidR="00057CE0" w:rsidRPr="000618FB">
        <w:t>.</w:t>
      </w:r>
      <w:r w:rsidR="00057CE0" w:rsidRPr="000618FB">
        <w:fldChar w:fldCharType="begin"/>
      </w:r>
      <w:r w:rsidR="00057CE0" w:rsidRPr="000618FB">
        <w:instrText xml:space="preserve"> SEQ </w:instrText>
      </w:r>
      <w:r w:rsidR="00057CE0">
        <w:instrText>Figure</w:instrText>
      </w:r>
      <w:r w:rsidR="00057CE0" w:rsidRPr="000618FB">
        <w:instrText xml:space="preserve"> \* ARABIC \s 1 </w:instrText>
      </w:r>
      <w:r w:rsidR="00057CE0" w:rsidRPr="000618FB">
        <w:fldChar w:fldCharType="separate"/>
      </w:r>
      <w:r w:rsidR="003A4982">
        <w:rPr>
          <w:noProof/>
        </w:rPr>
        <w:t>1</w:t>
      </w:r>
      <w:r w:rsidR="00057CE0" w:rsidRPr="000618FB">
        <w:fldChar w:fldCharType="end"/>
      </w:r>
      <w:r w:rsidR="00057CE0">
        <w:t xml:space="preserve">: </w:t>
      </w:r>
      <w:r w:rsidR="00D77CAE">
        <w:t>Two year treatment effect calculation</w:t>
      </w:r>
    </w:p>
    <w:tbl>
      <w:tblPr>
        <w:tblStyle w:val="OCETable"/>
        <w:tblW w:w="4940" w:type="pct"/>
        <w:tblInd w:w="108" w:type="dxa"/>
        <w:tblLayout w:type="fixed"/>
        <w:tblLook w:val="04A0" w:firstRow="1" w:lastRow="0" w:firstColumn="1" w:lastColumn="0" w:noHBand="0" w:noVBand="1"/>
        <w:tblCaption w:val="Placeholder table"/>
      </w:tblPr>
      <w:tblGrid>
        <w:gridCol w:w="6811"/>
      </w:tblGrid>
      <w:tr w:rsidR="00057CE0" w14:paraId="59BA4C8D" w14:textId="77777777" w:rsidTr="00EC011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5D27C4EB" w14:textId="6FE2F3E4" w:rsidR="00057CE0" w:rsidRDefault="00057CE0" w:rsidP="00021E92">
            <w:pPr>
              <w:pStyle w:val="PlaceholderWide"/>
              <w:jc w:val="both"/>
            </w:pPr>
          </w:p>
        </w:tc>
      </w:tr>
    </w:tbl>
    <w:p w14:paraId="5B17AD9D" w14:textId="3EB57BB4" w:rsidR="00057CE0" w:rsidRPr="00C62F3A" w:rsidRDefault="00057CE0" w:rsidP="00057CE0">
      <w:pPr>
        <w:pStyle w:val="Note"/>
      </w:pPr>
      <w:r>
        <w:t xml:space="preserve">Notes: </w:t>
      </w:r>
      <w:r w:rsidR="0010418C">
        <w:t>Time t is year of program treatment</w:t>
      </w:r>
    </w:p>
    <w:p w14:paraId="366C4B8F" w14:textId="7F73B701" w:rsidR="00057CE0" w:rsidRDefault="00057CE0" w:rsidP="00057CE0">
      <w:pPr>
        <w:pStyle w:val="Source"/>
      </w:pPr>
      <w:r>
        <w:t xml:space="preserve">Source: </w:t>
      </w:r>
      <w:r w:rsidR="0010418C" w:rsidRPr="0010418C">
        <w:t>Department of Industry, Innovation and Science (2018)</w:t>
      </w:r>
    </w:p>
    <w:p w14:paraId="1BBEFED9" w14:textId="77777777" w:rsidR="00384B2E" w:rsidRPr="008C04CA" w:rsidRDefault="00384B2E" w:rsidP="00384B2E">
      <w:pPr>
        <w:pStyle w:val="Heading1"/>
      </w:pPr>
      <w:r>
        <w:t xml:space="preserve">The impact of EC – pooled </w:t>
      </w:r>
    </w:p>
    <w:p w14:paraId="09437984" w14:textId="7256524F" w:rsidR="00384B2E" w:rsidRDefault="00384B2E" w:rsidP="00384B2E">
      <w:pPr>
        <w:pStyle w:val="BodyText"/>
        <w:rPr>
          <w:lang w:val="en"/>
        </w:rPr>
      </w:pPr>
      <w:r>
        <w:rPr>
          <w:lang w:val="en"/>
        </w:rPr>
        <w:t xml:space="preserve">In this section, results across cohorts are pooled together to measure the average treatment effect for all firms (by industry sector). </w:t>
      </w:r>
    </w:p>
    <w:p w14:paraId="4C3BB3AF" w14:textId="589A17FE" w:rsidR="00525956" w:rsidRPr="00525956" w:rsidRDefault="00384B2E" w:rsidP="00525956">
      <w:pPr>
        <w:pStyle w:val="Heading2"/>
      </w:pPr>
      <w:r>
        <w:t>Turnover</w:t>
      </w:r>
      <w:r w:rsidR="00D77CAE">
        <w:t xml:space="preserve"> growth</w:t>
      </w:r>
    </w:p>
    <w:p w14:paraId="266992E7" w14:textId="3073BA66" w:rsidR="00384B2E" w:rsidRDefault="00384B2E" w:rsidP="00384B2E">
      <w:pPr>
        <w:pStyle w:val="BodyText"/>
        <w:rPr>
          <w:lang w:val="en"/>
        </w:rPr>
      </w:pPr>
      <w:r w:rsidRPr="00BC65B4">
        <w:rPr>
          <w:lang w:val="en"/>
        </w:rPr>
        <w:t xml:space="preserve">Figure </w:t>
      </w:r>
      <w:r>
        <w:rPr>
          <w:lang w:val="en"/>
        </w:rPr>
        <w:t>5.1</w:t>
      </w:r>
      <w:r w:rsidRPr="00BC65B4">
        <w:rPr>
          <w:lang w:val="en"/>
        </w:rPr>
        <w:t xml:space="preserve"> reports the </w:t>
      </w:r>
      <w:r w:rsidR="004F71ED">
        <w:rPr>
          <w:lang w:val="en"/>
        </w:rPr>
        <w:t>ATT</w:t>
      </w:r>
      <w:r w:rsidRPr="00BC65B4">
        <w:rPr>
          <w:lang w:val="en"/>
        </w:rPr>
        <w:t xml:space="preserve"> for </w:t>
      </w:r>
      <w:r w:rsidR="005C4985">
        <w:rPr>
          <w:lang w:val="en"/>
        </w:rPr>
        <w:t>the two year, three year and</w:t>
      </w:r>
      <w:r w:rsidRPr="00BC65B4">
        <w:rPr>
          <w:lang w:val="en"/>
        </w:rPr>
        <w:t xml:space="preserve"> four year change </w:t>
      </w:r>
      <w:r>
        <w:rPr>
          <w:lang w:val="en"/>
        </w:rPr>
        <w:t>growth in turnover by industry.</w:t>
      </w:r>
      <w:r w:rsidRPr="00BC65B4">
        <w:rPr>
          <w:lang w:val="en"/>
        </w:rPr>
        <w:t xml:space="preserve"> </w:t>
      </w:r>
      <w:r>
        <w:rPr>
          <w:lang w:val="en"/>
        </w:rPr>
        <w:t>The results show that EC firms in all industries experienced positive and statistically significant gains to their turnover.</w:t>
      </w:r>
      <w:r w:rsidR="00793D21">
        <w:rPr>
          <w:lang w:val="en"/>
        </w:rPr>
        <w:t xml:space="preserve"> It is interesting to see </w:t>
      </w:r>
      <w:r w:rsidR="008D23D3">
        <w:rPr>
          <w:lang w:val="en"/>
        </w:rPr>
        <w:t>micro</w:t>
      </w:r>
      <w:r w:rsidR="00EB723F">
        <w:rPr>
          <w:lang w:val="en"/>
        </w:rPr>
        <w:t xml:space="preserve"> and other </w:t>
      </w:r>
      <w:r w:rsidR="00793D21">
        <w:rPr>
          <w:lang w:val="en"/>
        </w:rPr>
        <w:t xml:space="preserve">small </w:t>
      </w:r>
      <w:r w:rsidR="00EB723F">
        <w:rPr>
          <w:lang w:val="en"/>
        </w:rPr>
        <w:t xml:space="preserve">employing </w:t>
      </w:r>
      <w:r w:rsidR="00793D21">
        <w:rPr>
          <w:lang w:val="en"/>
        </w:rPr>
        <w:t xml:space="preserve">firms (between </w:t>
      </w:r>
      <w:r w:rsidR="00EB723F">
        <w:rPr>
          <w:lang w:val="en"/>
        </w:rPr>
        <w:t xml:space="preserve">1 </w:t>
      </w:r>
      <w:r w:rsidR="00793D21">
        <w:rPr>
          <w:lang w:val="en"/>
        </w:rPr>
        <w:t xml:space="preserve">and 19 </w:t>
      </w:r>
      <w:r w:rsidR="008D23D3">
        <w:rPr>
          <w:lang w:val="en"/>
        </w:rPr>
        <w:t>FTE employees</w:t>
      </w:r>
      <w:r w:rsidR="00793D21">
        <w:rPr>
          <w:lang w:val="en"/>
        </w:rPr>
        <w:t>) are driving the growt</w:t>
      </w:r>
      <w:r w:rsidR="00EC0113">
        <w:rPr>
          <w:lang w:val="en"/>
        </w:rPr>
        <w:t>h in turnover (see Appendix C</w:t>
      </w:r>
      <w:r w:rsidR="001F4958">
        <w:rPr>
          <w:lang w:val="en"/>
        </w:rPr>
        <w:t>, Figure C.1</w:t>
      </w:r>
      <w:r w:rsidR="00EC0113">
        <w:rPr>
          <w:lang w:val="en"/>
        </w:rPr>
        <w:t>).</w:t>
      </w:r>
    </w:p>
    <w:p w14:paraId="3B355E3E" w14:textId="633334AF" w:rsidR="00384B2E" w:rsidRDefault="00384B2E" w:rsidP="00384B2E">
      <w:pPr>
        <w:pStyle w:val="BodyText"/>
        <w:rPr>
          <w:lang w:val="en"/>
        </w:rPr>
      </w:pPr>
      <w:r>
        <w:rPr>
          <w:lang w:val="en"/>
        </w:rPr>
        <w:t xml:space="preserve">The </w:t>
      </w:r>
      <w:r w:rsidR="00671DA8">
        <w:rPr>
          <w:lang w:val="en"/>
        </w:rPr>
        <w:t>EC firms</w:t>
      </w:r>
      <w:r>
        <w:rPr>
          <w:lang w:val="en"/>
        </w:rPr>
        <w:t xml:space="preserve"> </w:t>
      </w:r>
      <w:r w:rsidR="00D2517D">
        <w:rPr>
          <w:lang w:val="en"/>
        </w:rPr>
        <w:t>in Manufacturing</w:t>
      </w:r>
      <w:r w:rsidR="00924A00">
        <w:rPr>
          <w:lang w:val="en"/>
        </w:rPr>
        <w:t xml:space="preserve"> </w:t>
      </w:r>
      <w:r>
        <w:rPr>
          <w:lang w:val="en"/>
        </w:rPr>
        <w:t>experienced on average an additional $</w:t>
      </w:r>
      <w:r w:rsidR="00A05ADD">
        <w:rPr>
          <w:lang w:val="en"/>
        </w:rPr>
        <w:t>94</w:t>
      </w:r>
      <w:r>
        <w:rPr>
          <w:lang w:val="en"/>
        </w:rPr>
        <w:t>,000 growth in turnover within two years, an additional $</w:t>
      </w:r>
      <w:r w:rsidR="00A05ADD">
        <w:rPr>
          <w:lang w:val="en"/>
        </w:rPr>
        <w:t>178</w:t>
      </w:r>
      <w:r>
        <w:rPr>
          <w:lang w:val="en"/>
        </w:rPr>
        <w:t>,000 growth in turnover over a three years and an additional $</w:t>
      </w:r>
      <w:r w:rsidR="00A05ADD">
        <w:rPr>
          <w:lang w:val="en"/>
        </w:rPr>
        <w:t>273</w:t>
      </w:r>
      <w:r>
        <w:rPr>
          <w:lang w:val="en"/>
        </w:rPr>
        <w:t>,000 growth in turnover within four years.</w:t>
      </w:r>
    </w:p>
    <w:p w14:paraId="096D3E74" w14:textId="0B92D8AD" w:rsidR="00384B2E" w:rsidRDefault="00384B2E" w:rsidP="00384B2E">
      <w:pPr>
        <w:pStyle w:val="BodyText"/>
        <w:rPr>
          <w:lang w:val="en"/>
        </w:rPr>
      </w:pPr>
      <w:r>
        <w:rPr>
          <w:lang w:val="en"/>
        </w:rPr>
        <w:t xml:space="preserve">The </w:t>
      </w:r>
      <w:r w:rsidR="00671DA8">
        <w:rPr>
          <w:lang w:val="en"/>
        </w:rPr>
        <w:t>EC firms</w:t>
      </w:r>
      <w:r>
        <w:rPr>
          <w:lang w:val="en"/>
        </w:rPr>
        <w:t xml:space="preserve"> </w:t>
      </w:r>
      <w:r w:rsidR="00D2517D">
        <w:rPr>
          <w:lang w:val="en"/>
        </w:rPr>
        <w:t xml:space="preserve">in PST </w:t>
      </w:r>
      <w:r>
        <w:rPr>
          <w:lang w:val="en"/>
        </w:rPr>
        <w:t>experienced on average an additional $</w:t>
      </w:r>
      <w:r w:rsidR="00A05ADD">
        <w:rPr>
          <w:lang w:val="en"/>
        </w:rPr>
        <w:t>81</w:t>
      </w:r>
      <w:r>
        <w:rPr>
          <w:lang w:val="en"/>
        </w:rPr>
        <w:t>,000 growth in turnover within two years, an additional $</w:t>
      </w:r>
      <w:r w:rsidR="00A05ADD">
        <w:rPr>
          <w:lang w:val="en"/>
        </w:rPr>
        <w:t>134</w:t>
      </w:r>
      <w:r>
        <w:rPr>
          <w:lang w:val="en"/>
        </w:rPr>
        <w:t>,000 growth in turnover within three years and an additional $</w:t>
      </w:r>
      <w:r w:rsidR="00A05ADD">
        <w:rPr>
          <w:lang w:val="en"/>
        </w:rPr>
        <w:t>174</w:t>
      </w:r>
      <w:r>
        <w:rPr>
          <w:lang w:val="en"/>
        </w:rPr>
        <w:t xml:space="preserve">,000 growth in turnover within four years. </w:t>
      </w:r>
    </w:p>
    <w:p w14:paraId="3F019805" w14:textId="489B9A97" w:rsidR="00384B2E" w:rsidRDefault="00384B2E" w:rsidP="00384B2E">
      <w:pPr>
        <w:pStyle w:val="BodyText"/>
        <w:rPr>
          <w:lang w:val="en"/>
        </w:rPr>
      </w:pPr>
      <w:r>
        <w:rPr>
          <w:lang w:val="en"/>
        </w:rPr>
        <w:t xml:space="preserve">The </w:t>
      </w:r>
      <w:r w:rsidR="00671DA8">
        <w:rPr>
          <w:lang w:val="en"/>
        </w:rPr>
        <w:t>EC firms</w:t>
      </w:r>
      <w:r>
        <w:rPr>
          <w:lang w:val="en"/>
        </w:rPr>
        <w:t xml:space="preserve"> </w:t>
      </w:r>
      <w:r w:rsidR="00552990">
        <w:rPr>
          <w:lang w:val="en"/>
        </w:rPr>
        <w:t xml:space="preserve">in Other Services </w:t>
      </w:r>
      <w:r>
        <w:rPr>
          <w:lang w:val="en"/>
        </w:rPr>
        <w:t>experienced on average an additional $</w:t>
      </w:r>
      <w:r w:rsidR="00106B2F">
        <w:rPr>
          <w:lang w:val="en"/>
        </w:rPr>
        <w:t>141</w:t>
      </w:r>
      <w:r>
        <w:rPr>
          <w:lang w:val="en"/>
        </w:rPr>
        <w:t>,000 growth in turnover within two years, an additional $</w:t>
      </w:r>
      <w:r w:rsidR="00106B2F">
        <w:rPr>
          <w:lang w:val="en"/>
        </w:rPr>
        <w:t>269</w:t>
      </w:r>
      <w:r>
        <w:rPr>
          <w:lang w:val="en"/>
        </w:rPr>
        <w:t>,000 growth in turnover within three years and an additional $</w:t>
      </w:r>
      <w:r w:rsidR="00106B2F">
        <w:rPr>
          <w:lang w:val="en"/>
        </w:rPr>
        <w:t>192</w:t>
      </w:r>
      <w:r>
        <w:rPr>
          <w:lang w:val="en"/>
        </w:rPr>
        <w:t xml:space="preserve">,000 growth in turnover within four years. </w:t>
      </w:r>
    </w:p>
    <w:p w14:paraId="3B31D447" w14:textId="3D7292F5" w:rsidR="00384B2E" w:rsidRDefault="00384B2E" w:rsidP="00384B2E">
      <w:pPr>
        <w:pStyle w:val="Caption"/>
      </w:pPr>
      <w:r>
        <w:lastRenderedPageBreak/>
        <w:t>Figure</w:t>
      </w:r>
      <w:r w:rsidRPr="000618FB">
        <w:t xml:space="preserve"> </w:t>
      </w:r>
      <w:r>
        <w:t>5</w:t>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3A4982">
        <w:rPr>
          <w:noProof/>
        </w:rPr>
        <w:t>1</w:t>
      </w:r>
      <w:r w:rsidRPr="000618FB">
        <w:fldChar w:fldCharType="end"/>
      </w:r>
      <w:r>
        <w:t>: Growth in turnover</w:t>
      </w:r>
      <w:r w:rsidRPr="005413EC">
        <w:t xml:space="preserve"> ($, 000),</w:t>
      </w:r>
      <w:r>
        <w:t xml:space="preserve"> average treatment effect, pooled across cohorts</w:t>
      </w:r>
      <w:r w:rsidR="00397343">
        <w:t>, by industry sector</w:t>
      </w:r>
    </w:p>
    <w:p w14:paraId="01A9872E" w14:textId="4EE2C3F8" w:rsidR="00384B2E" w:rsidRPr="00CB4BB4" w:rsidRDefault="00B410FC" w:rsidP="00384B2E">
      <w:pPr>
        <w:pStyle w:val="Placeholder"/>
      </w:pPr>
      <w:r>
        <w:rPr>
          <w:noProof/>
          <w:lang w:eastAsia="en-AU"/>
        </w:rPr>
        <w:drawing>
          <wp:inline distT="0" distB="0" distL="0" distR="0" wp14:anchorId="75FF648E" wp14:editId="026D8326">
            <wp:extent cx="4377690" cy="2626360"/>
            <wp:effectExtent l="0" t="0" r="3810" b="2540"/>
            <wp:docPr id="18" name="Chart 18" descr="Figure 5.1 reports the ATT for the two year, three year, four year and five year change growth in turnover by industry on a bar chart. The reported values are for both EC review only and EC grant participants, reported separately. The results show that EC firms in all industries experienced positive and statistically significant gains to their turnover. It is interesting to see small firms (employing between 5 and 19 employees) are driving the growth in turnover (see Appendix C).   " title="Figure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B3ABF4" w14:textId="79A8662D" w:rsidR="00384B2E" w:rsidRPr="00C62F3A" w:rsidRDefault="00384B2E" w:rsidP="00384B2E">
      <w:pPr>
        <w:pStyle w:val="Note"/>
      </w:pPr>
      <w:r>
        <w:t xml:space="preserve">Notes: </w:t>
      </w:r>
      <w:r w:rsidRPr="00596C64">
        <w:t xml:space="preserve">Length of the bars depicts the premium </w:t>
      </w:r>
      <w:r>
        <w:t>growth in turnover</w:t>
      </w:r>
      <w:r w:rsidRPr="00596C64">
        <w:t xml:space="preserve"> change relative to the counterfactual.</w:t>
      </w:r>
      <w:r w:rsidR="00953DCD">
        <w:t xml:space="preserve"> Missing bars signify results that are not statistically significant.</w:t>
      </w:r>
    </w:p>
    <w:p w14:paraId="0AD88AFC" w14:textId="28BC408A" w:rsidR="00384B2E" w:rsidRDefault="00384B2E" w:rsidP="00384B2E">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2DEC4CBA" w14:textId="77777777" w:rsidR="00397343" w:rsidRPr="00645868" w:rsidRDefault="00397343" w:rsidP="00A03FA3">
      <w:pPr>
        <w:pStyle w:val="BodyText"/>
      </w:pPr>
    </w:p>
    <w:p w14:paraId="41176BB8" w14:textId="7B6B5AF7" w:rsidR="00267357" w:rsidRPr="00267357" w:rsidRDefault="00384B2E" w:rsidP="00D77CAE">
      <w:pPr>
        <w:pStyle w:val="Heading2"/>
      </w:pPr>
      <w:r>
        <w:t>Employment</w:t>
      </w:r>
      <w:r w:rsidR="00D77CAE">
        <w:t xml:space="preserve"> growth</w:t>
      </w:r>
    </w:p>
    <w:p w14:paraId="50555F79" w14:textId="595A92DD" w:rsidR="00384B2E" w:rsidRDefault="00384B2E" w:rsidP="00384B2E">
      <w:pPr>
        <w:pStyle w:val="BodyText"/>
        <w:rPr>
          <w:lang w:val="en"/>
        </w:rPr>
      </w:pPr>
      <w:r w:rsidRPr="00BC65B4">
        <w:rPr>
          <w:lang w:val="en"/>
        </w:rPr>
        <w:t xml:space="preserve">Figure </w:t>
      </w:r>
      <w:r>
        <w:rPr>
          <w:lang w:val="en"/>
        </w:rPr>
        <w:t>5.2</w:t>
      </w:r>
      <w:r w:rsidRPr="00BC65B4">
        <w:rPr>
          <w:lang w:val="en"/>
        </w:rPr>
        <w:t xml:space="preserve"> reports the </w:t>
      </w:r>
      <w:r w:rsidR="004F71ED">
        <w:rPr>
          <w:lang w:val="en"/>
        </w:rPr>
        <w:t>ATT</w:t>
      </w:r>
      <w:r w:rsidR="005C4985">
        <w:rPr>
          <w:lang w:val="en"/>
        </w:rPr>
        <w:t xml:space="preserve"> for the two year, three year and</w:t>
      </w:r>
      <w:r w:rsidRPr="00BC65B4">
        <w:rPr>
          <w:lang w:val="en"/>
        </w:rPr>
        <w:t xml:space="preserve"> four year </w:t>
      </w:r>
      <w:r>
        <w:rPr>
          <w:lang w:val="en"/>
        </w:rPr>
        <w:t xml:space="preserve">growth in </w:t>
      </w:r>
      <w:r w:rsidR="00192FCB">
        <w:rPr>
          <w:lang w:val="en"/>
        </w:rPr>
        <w:t>employment (</w:t>
      </w:r>
      <w:r w:rsidR="00C46F93">
        <w:rPr>
          <w:lang w:val="en"/>
        </w:rPr>
        <w:t xml:space="preserve">number of </w:t>
      </w:r>
      <w:r w:rsidR="00192FCB">
        <w:rPr>
          <w:lang w:val="en"/>
        </w:rPr>
        <w:t xml:space="preserve">FTE) </w:t>
      </w:r>
      <w:r>
        <w:rPr>
          <w:lang w:val="en"/>
        </w:rPr>
        <w:t>by industry</w:t>
      </w:r>
      <w:r w:rsidR="00924A00">
        <w:rPr>
          <w:lang w:val="en"/>
        </w:rPr>
        <w:t>.</w:t>
      </w:r>
      <w:r>
        <w:rPr>
          <w:lang w:val="en"/>
        </w:rPr>
        <w:t xml:space="preserve"> </w:t>
      </w:r>
      <w:r w:rsidR="00924A00">
        <w:rPr>
          <w:lang w:val="en"/>
        </w:rPr>
        <w:t>EC firms across a</w:t>
      </w:r>
      <w:r>
        <w:rPr>
          <w:lang w:val="en"/>
        </w:rPr>
        <w:t>ll industries experience positive and statistically si</w:t>
      </w:r>
      <w:r w:rsidR="00192FCB">
        <w:rPr>
          <w:lang w:val="en"/>
        </w:rPr>
        <w:t xml:space="preserve">gnificant gains to employment. It is interesting to see </w:t>
      </w:r>
      <w:r w:rsidR="001F4958">
        <w:rPr>
          <w:lang w:val="en"/>
        </w:rPr>
        <w:t xml:space="preserve">micro </w:t>
      </w:r>
      <w:r w:rsidR="00324610">
        <w:rPr>
          <w:lang w:val="en"/>
        </w:rPr>
        <w:t>and other</w:t>
      </w:r>
      <w:r w:rsidR="001F4958">
        <w:rPr>
          <w:lang w:val="en"/>
        </w:rPr>
        <w:t xml:space="preserve"> </w:t>
      </w:r>
      <w:r w:rsidR="00192FCB">
        <w:rPr>
          <w:lang w:val="en"/>
        </w:rPr>
        <w:t>small</w:t>
      </w:r>
      <w:r w:rsidR="00324610">
        <w:rPr>
          <w:lang w:val="en"/>
        </w:rPr>
        <w:t xml:space="preserve"> employing firms (employing between 1</w:t>
      </w:r>
      <w:r w:rsidR="00192FCB">
        <w:rPr>
          <w:lang w:val="en"/>
        </w:rPr>
        <w:t xml:space="preserve"> and 19 </w:t>
      </w:r>
      <w:r w:rsidR="008D23D3">
        <w:rPr>
          <w:lang w:val="en"/>
        </w:rPr>
        <w:t xml:space="preserve">FTE </w:t>
      </w:r>
      <w:r w:rsidR="00192FCB">
        <w:rPr>
          <w:lang w:val="en"/>
        </w:rPr>
        <w:t>employees) are driving the growth in</w:t>
      </w:r>
      <w:r w:rsidR="00EC0113">
        <w:rPr>
          <w:lang w:val="en"/>
        </w:rPr>
        <w:t xml:space="preserve"> employment (see Appendix C</w:t>
      </w:r>
      <w:r w:rsidR="001F4958">
        <w:rPr>
          <w:lang w:val="en"/>
        </w:rPr>
        <w:t>, Figure C.2</w:t>
      </w:r>
      <w:r w:rsidR="00EC0113">
        <w:rPr>
          <w:lang w:val="en"/>
        </w:rPr>
        <w:t>).</w:t>
      </w:r>
    </w:p>
    <w:p w14:paraId="763C9054" w14:textId="6516B7D3" w:rsidR="00384B2E" w:rsidRDefault="00384B2E" w:rsidP="00384B2E">
      <w:pPr>
        <w:pStyle w:val="BodyText"/>
        <w:rPr>
          <w:lang w:val="en"/>
        </w:rPr>
      </w:pPr>
      <w:r>
        <w:rPr>
          <w:lang w:val="en"/>
        </w:rPr>
        <w:t xml:space="preserve">The </w:t>
      </w:r>
      <w:r w:rsidR="00671DA8">
        <w:rPr>
          <w:lang w:val="en"/>
        </w:rPr>
        <w:t>EC firms</w:t>
      </w:r>
      <w:r w:rsidR="00340B3C">
        <w:rPr>
          <w:lang w:val="en"/>
        </w:rPr>
        <w:t xml:space="preserve"> in Manufacturing</w:t>
      </w:r>
      <w:r>
        <w:rPr>
          <w:lang w:val="en"/>
        </w:rPr>
        <w:t xml:space="preserve"> experienced on average an additional </w:t>
      </w:r>
      <w:r w:rsidR="00112AA7">
        <w:rPr>
          <w:lang w:val="en"/>
        </w:rPr>
        <w:t>0.35</w:t>
      </w:r>
      <w:r>
        <w:rPr>
          <w:lang w:val="en"/>
        </w:rPr>
        <w:t xml:space="preserve"> FTE within two years, an additional </w:t>
      </w:r>
      <w:r w:rsidR="00112AA7">
        <w:rPr>
          <w:lang w:val="en"/>
        </w:rPr>
        <w:t>0.64</w:t>
      </w:r>
      <w:r>
        <w:rPr>
          <w:lang w:val="en"/>
        </w:rPr>
        <w:t xml:space="preserve"> FTE within three years and an additional </w:t>
      </w:r>
      <w:r w:rsidR="00112AA7">
        <w:rPr>
          <w:lang w:val="en"/>
        </w:rPr>
        <w:t>1.04</w:t>
      </w:r>
      <w:r>
        <w:rPr>
          <w:lang w:val="en"/>
        </w:rPr>
        <w:t xml:space="preserve"> FTE within four years. </w:t>
      </w:r>
    </w:p>
    <w:p w14:paraId="0C79CB86" w14:textId="2E3203A0" w:rsidR="00384B2E" w:rsidRDefault="00384B2E" w:rsidP="00384B2E">
      <w:pPr>
        <w:pStyle w:val="BodyText"/>
        <w:rPr>
          <w:lang w:val="en"/>
        </w:rPr>
      </w:pPr>
      <w:r>
        <w:rPr>
          <w:lang w:val="en"/>
        </w:rPr>
        <w:t xml:space="preserve">The </w:t>
      </w:r>
      <w:r w:rsidR="00671DA8">
        <w:rPr>
          <w:lang w:val="en"/>
        </w:rPr>
        <w:t>EC firms</w:t>
      </w:r>
      <w:r>
        <w:rPr>
          <w:lang w:val="en"/>
        </w:rPr>
        <w:t xml:space="preserve"> </w:t>
      </w:r>
      <w:r w:rsidR="00715B07">
        <w:rPr>
          <w:lang w:val="en"/>
        </w:rPr>
        <w:t>in PST</w:t>
      </w:r>
      <w:r w:rsidR="00136221">
        <w:rPr>
          <w:lang w:val="en"/>
        </w:rPr>
        <w:t xml:space="preserve"> </w:t>
      </w:r>
      <w:r>
        <w:rPr>
          <w:lang w:val="en"/>
        </w:rPr>
        <w:t xml:space="preserve">experienced on average an additional </w:t>
      </w:r>
      <w:r w:rsidR="009F27E7">
        <w:rPr>
          <w:lang w:val="en"/>
        </w:rPr>
        <w:t>0.38</w:t>
      </w:r>
      <w:r>
        <w:rPr>
          <w:lang w:val="en"/>
        </w:rPr>
        <w:t xml:space="preserve"> FTE within two years</w:t>
      </w:r>
      <w:r w:rsidR="009F27E7">
        <w:rPr>
          <w:lang w:val="en"/>
        </w:rPr>
        <w:t>,</w:t>
      </w:r>
      <w:r>
        <w:rPr>
          <w:lang w:val="en"/>
        </w:rPr>
        <w:t xml:space="preserve"> an additional </w:t>
      </w:r>
      <w:r w:rsidR="009F27E7">
        <w:rPr>
          <w:lang w:val="en"/>
        </w:rPr>
        <w:t>0.87</w:t>
      </w:r>
      <w:r>
        <w:rPr>
          <w:lang w:val="en"/>
        </w:rPr>
        <w:t xml:space="preserve"> FTE </w:t>
      </w:r>
      <w:r w:rsidR="009F27E7">
        <w:rPr>
          <w:lang w:val="en"/>
        </w:rPr>
        <w:t xml:space="preserve">within </w:t>
      </w:r>
      <w:r>
        <w:rPr>
          <w:lang w:val="en"/>
        </w:rPr>
        <w:t xml:space="preserve">three </w:t>
      </w:r>
      <w:r w:rsidR="009F27E7">
        <w:rPr>
          <w:lang w:val="en"/>
        </w:rPr>
        <w:t xml:space="preserve">years </w:t>
      </w:r>
      <w:r>
        <w:rPr>
          <w:lang w:val="en"/>
        </w:rPr>
        <w:t xml:space="preserve">and </w:t>
      </w:r>
      <w:r w:rsidR="009F27E7">
        <w:rPr>
          <w:lang w:val="en"/>
        </w:rPr>
        <w:t xml:space="preserve">an additional 1.28 FTE within </w:t>
      </w:r>
      <w:r>
        <w:rPr>
          <w:lang w:val="en"/>
        </w:rPr>
        <w:t>four years.</w:t>
      </w:r>
    </w:p>
    <w:p w14:paraId="37818176" w14:textId="1993AAD6" w:rsidR="00384B2E" w:rsidRDefault="00384B2E" w:rsidP="00384B2E">
      <w:pPr>
        <w:pStyle w:val="BodyText"/>
        <w:rPr>
          <w:lang w:val="en"/>
        </w:rPr>
      </w:pPr>
      <w:r>
        <w:rPr>
          <w:lang w:val="en"/>
        </w:rPr>
        <w:t xml:space="preserve">The </w:t>
      </w:r>
      <w:r w:rsidR="00671DA8">
        <w:rPr>
          <w:lang w:val="en"/>
        </w:rPr>
        <w:t>EC firms</w:t>
      </w:r>
      <w:r>
        <w:rPr>
          <w:lang w:val="en"/>
        </w:rPr>
        <w:t xml:space="preserve"> </w:t>
      </w:r>
      <w:r w:rsidR="00136221">
        <w:rPr>
          <w:lang w:val="en"/>
        </w:rPr>
        <w:t xml:space="preserve">in Other Services </w:t>
      </w:r>
      <w:r>
        <w:rPr>
          <w:lang w:val="en"/>
        </w:rPr>
        <w:t xml:space="preserve">experienced on average an additional </w:t>
      </w:r>
      <w:r w:rsidR="00601726">
        <w:rPr>
          <w:lang w:val="en"/>
        </w:rPr>
        <w:t>0.49</w:t>
      </w:r>
      <w:r>
        <w:rPr>
          <w:lang w:val="en"/>
        </w:rPr>
        <w:t xml:space="preserve"> FTE within two years, an additional </w:t>
      </w:r>
      <w:r w:rsidR="00601726">
        <w:rPr>
          <w:lang w:val="en"/>
        </w:rPr>
        <w:t>0.87</w:t>
      </w:r>
      <w:r>
        <w:rPr>
          <w:lang w:val="en"/>
        </w:rPr>
        <w:t xml:space="preserve"> FTE within three years and an additional </w:t>
      </w:r>
      <w:r w:rsidR="00601726">
        <w:rPr>
          <w:lang w:val="en"/>
        </w:rPr>
        <w:t>1.16</w:t>
      </w:r>
      <w:r w:rsidR="007B13CD">
        <w:rPr>
          <w:lang w:val="en"/>
        </w:rPr>
        <w:t xml:space="preserve"> </w:t>
      </w:r>
      <w:r>
        <w:rPr>
          <w:lang w:val="en"/>
        </w:rPr>
        <w:t xml:space="preserve">FTE within </w:t>
      </w:r>
      <w:r w:rsidR="00601726">
        <w:rPr>
          <w:lang w:val="en"/>
        </w:rPr>
        <w:t xml:space="preserve">four </w:t>
      </w:r>
      <w:r>
        <w:rPr>
          <w:lang w:val="en"/>
        </w:rPr>
        <w:t xml:space="preserve">years.  </w:t>
      </w:r>
    </w:p>
    <w:p w14:paraId="7E506507" w14:textId="1835258A" w:rsidR="00384B2E" w:rsidRDefault="00384B2E" w:rsidP="00384B2E">
      <w:pPr>
        <w:pStyle w:val="Caption"/>
      </w:pPr>
      <w:r>
        <w:lastRenderedPageBreak/>
        <w:t>Figure</w:t>
      </w:r>
      <w:r w:rsidRPr="000618FB">
        <w:t xml:space="preserve"> </w:t>
      </w:r>
      <w:r>
        <w:t>5</w:t>
      </w:r>
      <w:r w:rsidRPr="000618FB">
        <w:t>.</w:t>
      </w:r>
      <w:r>
        <w:t xml:space="preserve">2: Growth in employment (number of FTE), average treatment effect, pooled across cohorts </w:t>
      </w:r>
    </w:p>
    <w:p w14:paraId="6D40C396" w14:textId="7D6BE830" w:rsidR="00384B2E" w:rsidRPr="00CB4BB4" w:rsidRDefault="00B410FC" w:rsidP="00057CE0">
      <w:pPr>
        <w:pStyle w:val="Placeholder"/>
        <w:jc w:val="both"/>
      </w:pPr>
      <w:r>
        <w:rPr>
          <w:noProof/>
          <w:lang w:eastAsia="en-AU"/>
        </w:rPr>
        <w:drawing>
          <wp:inline distT="0" distB="0" distL="0" distR="0" wp14:anchorId="429E9209" wp14:editId="06CFF7FC">
            <wp:extent cx="4377690" cy="2626360"/>
            <wp:effectExtent l="0" t="0" r="3810" b="2540"/>
            <wp:docPr id="20" name="Chart 20" descr="Figure 5.2 reports the ATT for the two year, three year, four year and five year growth in employment (number of FTE) by industry, for EC participants on a bar chart. All industries experience positive and statistically significant gains to employment. It is interesting to see small firms (employing between 5 and 19 employees) are driving the growth in employment (see Appendix C).   " title="Figure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89C500B" w14:textId="57FEAD41" w:rsidR="00384B2E" w:rsidRPr="00C62F3A" w:rsidRDefault="00384B2E" w:rsidP="00384B2E">
      <w:pPr>
        <w:pStyle w:val="Note"/>
      </w:pPr>
      <w:r>
        <w:t xml:space="preserve">Notes: </w:t>
      </w:r>
      <w:r w:rsidRPr="00596C64">
        <w:t>Length of the bars depicts the premium in employment change relative to the counterfactual.</w:t>
      </w:r>
      <w:r w:rsidR="00953DCD" w:rsidRPr="00953DCD">
        <w:t xml:space="preserve"> </w:t>
      </w:r>
      <w:r w:rsidR="00953DCD">
        <w:t>Missing bars signify results that are not statistically significant.</w:t>
      </w:r>
    </w:p>
    <w:p w14:paraId="208C19AD" w14:textId="07750676" w:rsidR="00FA474A" w:rsidRPr="002A472B" w:rsidRDefault="00384B2E" w:rsidP="00FA474A">
      <w:pPr>
        <w:pStyle w:val="Source"/>
      </w:pPr>
      <w:r>
        <w:t xml:space="preserve">Source: </w:t>
      </w:r>
      <w:r w:rsidR="00FA474A" w:rsidRPr="008B43DD">
        <w:t xml:space="preserve">BLADE </w:t>
      </w:r>
      <w:r w:rsidR="00FA474A">
        <w:t>(2001–02 to 2014–15)</w:t>
      </w:r>
      <w:r w:rsidR="00FA474A" w:rsidRPr="008B43DD">
        <w:t xml:space="preserve"> Author’s calculations</w:t>
      </w:r>
    </w:p>
    <w:p w14:paraId="0686886F" w14:textId="77777777" w:rsidR="00FA474A" w:rsidRPr="00645868" w:rsidRDefault="00FA474A" w:rsidP="00A03FA3">
      <w:pPr>
        <w:pStyle w:val="BodyText"/>
      </w:pPr>
    </w:p>
    <w:p w14:paraId="54A4E1E8" w14:textId="513825B8" w:rsidR="00384B2E" w:rsidRPr="00854E0D" w:rsidRDefault="00384B2E" w:rsidP="00D77CAE">
      <w:pPr>
        <w:pStyle w:val="Heading2"/>
      </w:pPr>
      <w:r>
        <w:t>Export sales</w:t>
      </w:r>
      <w:r w:rsidR="00D77CAE">
        <w:t xml:space="preserve"> growth</w:t>
      </w:r>
    </w:p>
    <w:p w14:paraId="547B6981" w14:textId="788395B5" w:rsidR="00384B2E" w:rsidRDefault="00384B2E" w:rsidP="00384B2E">
      <w:pPr>
        <w:pStyle w:val="BodyText"/>
        <w:rPr>
          <w:lang w:val="en"/>
        </w:rPr>
      </w:pPr>
      <w:r w:rsidRPr="00BC65B4">
        <w:rPr>
          <w:lang w:val="en"/>
        </w:rPr>
        <w:t xml:space="preserve">Figure </w:t>
      </w:r>
      <w:r>
        <w:rPr>
          <w:lang w:val="en"/>
        </w:rPr>
        <w:t>5.3</w:t>
      </w:r>
      <w:r w:rsidRPr="00BC65B4">
        <w:rPr>
          <w:lang w:val="en"/>
        </w:rPr>
        <w:t xml:space="preserve"> reports the </w:t>
      </w:r>
      <w:r w:rsidR="004F71ED">
        <w:rPr>
          <w:lang w:val="en"/>
        </w:rPr>
        <w:t>ATT</w:t>
      </w:r>
      <w:r w:rsidR="005C4985">
        <w:rPr>
          <w:lang w:val="en"/>
        </w:rPr>
        <w:t xml:space="preserve"> for the two year, three year and</w:t>
      </w:r>
      <w:r w:rsidRPr="00BC65B4">
        <w:rPr>
          <w:lang w:val="en"/>
        </w:rPr>
        <w:t xml:space="preserve"> four year </w:t>
      </w:r>
      <w:r>
        <w:rPr>
          <w:lang w:val="en"/>
        </w:rPr>
        <w:t xml:space="preserve">growth in export sales by industry. </w:t>
      </w:r>
    </w:p>
    <w:p w14:paraId="693CA3A8" w14:textId="7639D2F3" w:rsidR="00E20D2C" w:rsidRDefault="00E20D2C" w:rsidP="00384B2E">
      <w:pPr>
        <w:pStyle w:val="BodyText"/>
        <w:rPr>
          <w:lang w:val="en"/>
        </w:rPr>
      </w:pPr>
      <w:r>
        <w:rPr>
          <w:lang w:val="en"/>
        </w:rPr>
        <w:t>The results for export sales growth are mostly not statistically significant due to small sample numbers associated with the export sales variable. This is because only a small proportion of Australian businesses are exporters</w:t>
      </w:r>
      <w:r w:rsidR="001D7310">
        <w:rPr>
          <w:lang w:val="en"/>
        </w:rPr>
        <w:t xml:space="preserve"> (roughly 65,000 businesses in any given year)</w:t>
      </w:r>
      <w:r>
        <w:rPr>
          <w:lang w:val="en"/>
        </w:rPr>
        <w:t xml:space="preserve">. </w:t>
      </w:r>
    </w:p>
    <w:p w14:paraId="453E42BE" w14:textId="56C48EFA" w:rsidR="00384B2E" w:rsidRDefault="00384B2E" w:rsidP="00384B2E">
      <w:pPr>
        <w:pStyle w:val="Caption"/>
      </w:pPr>
      <w:r>
        <w:lastRenderedPageBreak/>
        <w:t>Figure</w:t>
      </w:r>
      <w:r w:rsidRPr="000618FB">
        <w:t xml:space="preserve"> </w:t>
      </w:r>
      <w:r>
        <w:t>5</w:t>
      </w:r>
      <w:r w:rsidRPr="000618FB">
        <w:t>.</w:t>
      </w:r>
      <w:r>
        <w:t xml:space="preserve">3: Growth in export sales </w:t>
      </w:r>
      <w:r w:rsidRPr="005413EC">
        <w:t>($, 000),</w:t>
      </w:r>
      <w:r>
        <w:t xml:space="preserve"> average treatment effect, pooled across cohorts </w:t>
      </w:r>
    </w:p>
    <w:p w14:paraId="00933BEF" w14:textId="30322D73" w:rsidR="00384B2E" w:rsidRPr="00CB4BB4" w:rsidRDefault="00B410FC" w:rsidP="00384B2E">
      <w:pPr>
        <w:pStyle w:val="Placeholder"/>
      </w:pPr>
      <w:r>
        <w:rPr>
          <w:noProof/>
          <w:lang w:eastAsia="en-AU"/>
        </w:rPr>
        <w:drawing>
          <wp:inline distT="0" distB="0" distL="0" distR="0" wp14:anchorId="5653D0D6" wp14:editId="64186127">
            <wp:extent cx="4377690" cy="2626360"/>
            <wp:effectExtent l="0" t="0" r="3810" b="2540"/>
            <wp:docPr id="21" name="Chart 21" descr="Figure 5.3 reports the ATT for the two year, three year, four year and five year growth in export sales by industry, for EC participants on a bar chart. " title="Figure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6EE930" w14:textId="7DAAE957" w:rsidR="00384B2E" w:rsidRPr="00C62F3A" w:rsidRDefault="00384B2E" w:rsidP="00384B2E">
      <w:pPr>
        <w:pStyle w:val="Note"/>
      </w:pPr>
      <w:r>
        <w:t xml:space="preserve">Notes: </w:t>
      </w:r>
      <w:r w:rsidRPr="00E462D0">
        <w:t xml:space="preserve">Length of the bars depicts the premium growth in </w:t>
      </w:r>
      <w:r>
        <w:t>export sales</w:t>
      </w:r>
      <w:r w:rsidRPr="00E462D0">
        <w:t xml:space="preserve"> change relative to the counterfactual.</w:t>
      </w:r>
      <w:r w:rsidR="00953DCD">
        <w:t xml:space="preserve"> Missing bars signify results that are not statistically significant. </w:t>
      </w:r>
    </w:p>
    <w:p w14:paraId="58F4941A" w14:textId="57D7D483" w:rsidR="00384B2E" w:rsidRDefault="00384B2E" w:rsidP="00384B2E">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51FDAC73" w14:textId="77777777" w:rsidR="001D6818" w:rsidRPr="00133974" w:rsidRDefault="001D6818" w:rsidP="00F42C15">
      <w:pPr>
        <w:pStyle w:val="BodyText"/>
      </w:pPr>
    </w:p>
    <w:p w14:paraId="1C87D93C" w14:textId="66EC3F01" w:rsidR="00645868" w:rsidRDefault="00645868" w:rsidP="00645868">
      <w:pPr>
        <w:pStyle w:val="Heading2"/>
      </w:pPr>
      <w:r>
        <w:t xml:space="preserve">Increase in capital expenditure </w:t>
      </w:r>
    </w:p>
    <w:p w14:paraId="35F87A8F" w14:textId="15849D10" w:rsidR="00AA6CB7" w:rsidRDefault="00AA6CB7" w:rsidP="00AA6CB7">
      <w:pPr>
        <w:pStyle w:val="BodyText"/>
        <w:rPr>
          <w:lang w:val="en"/>
        </w:rPr>
      </w:pPr>
      <w:r w:rsidRPr="00BC65B4">
        <w:rPr>
          <w:lang w:val="en"/>
        </w:rPr>
        <w:t xml:space="preserve">Figure </w:t>
      </w:r>
      <w:r>
        <w:rPr>
          <w:lang w:val="en"/>
        </w:rPr>
        <w:t>5.4</w:t>
      </w:r>
      <w:r w:rsidRPr="00BC65B4">
        <w:rPr>
          <w:lang w:val="en"/>
        </w:rPr>
        <w:t xml:space="preserve"> reports the </w:t>
      </w:r>
      <w:r>
        <w:rPr>
          <w:lang w:val="en"/>
        </w:rPr>
        <w:t>ATT for the two year, three year and</w:t>
      </w:r>
      <w:r w:rsidRPr="00BC65B4">
        <w:rPr>
          <w:lang w:val="en"/>
        </w:rPr>
        <w:t xml:space="preserve"> four year </w:t>
      </w:r>
      <w:r>
        <w:rPr>
          <w:lang w:val="en"/>
        </w:rPr>
        <w:t xml:space="preserve">growth in capital expenditure by industry. </w:t>
      </w:r>
    </w:p>
    <w:p w14:paraId="42D932C3" w14:textId="0B8C4D6E" w:rsidR="00AA6CB7" w:rsidRDefault="00AA6CB7" w:rsidP="00AA6CB7">
      <w:pPr>
        <w:pStyle w:val="BodyText"/>
        <w:rPr>
          <w:lang w:val="en"/>
        </w:rPr>
      </w:pPr>
      <w:r>
        <w:rPr>
          <w:lang w:val="en"/>
        </w:rPr>
        <w:t xml:space="preserve">The </w:t>
      </w:r>
      <w:r w:rsidR="00671DA8">
        <w:rPr>
          <w:lang w:val="en"/>
        </w:rPr>
        <w:t>EC firms</w:t>
      </w:r>
      <w:r>
        <w:rPr>
          <w:lang w:val="en"/>
        </w:rPr>
        <w:t xml:space="preserve"> in Manufacturing experienced on average $</w:t>
      </w:r>
      <w:r w:rsidR="001245CA">
        <w:rPr>
          <w:lang w:val="en"/>
        </w:rPr>
        <w:t>16,1</w:t>
      </w:r>
      <w:r>
        <w:rPr>
          <w:lang w:val="en"/>
        </w:rPr>
        <w:t xml:space="preserve">00 growth in </w:t>
      </w:r>
      <w:r w:rsidR="001245CA">
        <w:rPr>
          <w:lang w:val="en"/>
        </w:rPr>
        <w:t>capital expenditure</w:t>
      </w:r>
      <w:r>
        <w:rPr>
          <w:lang w:val="en"/>
        </w:rPr>
        <w:t xml:space="preserve"> </w:t>
      </w:r>
      <w:r>
        <w:t xml:space="preserve">compared to non-participant firms in the same industry </w:t>
      </w:r>
      <w:r>
        <w:rPr>
          <w:lang w:val="en"/>
        </w:rPr>
        <w:t>within two years</w:t>
      </w:r>
      <w:r w:rsidR="001245CA">
        <w:rPr>
          <w:lang w:val="en"/>
        </w:rPr>
        <w:t>,</w:t>
      </w:r>
      <w:r>
        <w:rPr>
          <w:lang w:val="en"/>
        </w:rPr>
        <w:t xml:space="preserve"> $</w:t>
      </w:r>
      <w:r w:rsidR="001245CA">
        <w:rPr>
          <w:lang w:val="en"/>
        </w:rPr>
        <w:t>1</w:t>
      </w:r>
      <w:r w:rsidR="007363A6">
        <w:rPr>
          <w:lang w:val="en"/>
        </w:rPr>
        <w:t>7</w:t>
      </w:r>
      <w:r w:rsidR="001245CA">
        <w:rPr>
          <w:lang w:val="en"/>
        </w:rPr>
        <w:t>,</w:t>
      </w:r>
      <w:r w:rsidR="007363A6">
        <w:rPr>
          <w:lang w:val="en"/>
        </w:rPr>
        <w:t>6</w:t>
      </w:r>
      <w:r>
        <w:rPr>
          <w:lang w:val="en"/>
        </w:rPr>
        <w:t>00 growth within three years</w:t>
      </w:r>
      <w:r w:rsidR="001245CA">
        <w:rPr>
          <w:lang w:val="en"/>
        </w:rPr>
        <w:t xml:space="preserve"> and $16,500 within four years. </w:t>
      </w:r>
      <w:r>
        <w:rPr>
          <w:lang w:val="en"/>
        </w:rPr>
        <w:t xml:space="preserve"> </w:t>
      </w:r>
    </w:p>
    <w:p w14:paraId="44E4D462" w14:textId="6176F095" w:rsidR="007363A6" w:rsidRDefault="007363A6" w:rsidP="007363A6">
      <w:pPr>
        <w:pStyle w:val="BodyText"/>
        <w:rPr>
          <w:lang w:val="en"/>
        </w:rPr>
      </w:pPr>
      <w:r>
        <w:rPr>
          <w:lang w:val="en"/>
        </w:rPr>
        <w:t xml:space="preserve">The </w:t>
      </w:r>
      <w:r w:rsidR="00671DA8">
        <w:rPr>
          <w:lang w:val="en"/>
        </w:rPr>
        <w:t>EC firms</w:t>
      </w:r>
      <w:r>
        <w:rPr>
          <w:lang w:val="en"/>
        </w:rPr>
        <w:t xml:space="preserve"> in PST experienced on average $14,600 growth in capital expenditure </w:t>
      </w:r>
      <w:r>
        <w:t xml:space="preserve">compared to non-participant firms in the same industry </w:t>
      </w:r>
      <w:r>
        <w:rPr>
          <w:lang w:val="en"/>
        </w:rPr>
        <w:t>within two years</w:t>
      </w:r>
      <w:r w:rsidR="00494EE9">
        <w:rPr>
          <w:lang w:val="en"/>
        </w:rPr>
        <w:t xml:space="preserve"> and </w:t>
      </w:r>
      <w:r>
        <w:rPr>
          <w:lang w:val="en"/>
        </w:rPr>
        <w:t>$12,700 growth within three years</w:t>
      </w:r>
      <w:r w:rsidR="00494EE9">
        <w:rPr>
          <w:lang w:val="en"/>
        </w:rPr>
        <w:t>.</w:t>
      </w:r>
    </w:p>
    <w:p w14:paraId="2BD6C3EF" w14:textId="19DA0F7C" w:rsidR="00C6507A" w:rsidRDefault="00C6507A" w:rsidP="00C6507A">
      <w:pPr>
        <w:pStyle w:val="BodyText"/>
        <w:rPr>
          <w:lang w:val="en"/>
        </w:rPr>
      </w:pPr>
      <w:r>
        <w:rPr>
          <w:lang w:val="en"/>
        </w:rPr>
        <w:t xml:space="preserve">The </w:t>
      </w:r>
      <w:r w:rsidR="00671DA8">
        <w:rPr>
          <w:lang w:val="en"/>
        </w:rPr>
        <w:t>EC firms</w:t>
      </w:r>
      <w:r>
        <w:rPr>
          <w:lang w:val="en"/>
        </w:rPr>
        <w:t xml:space="preserve"> in Other Services experienced on average $15,600 growth in capital expenditure </w:t>
      </w:r>
      <w:r>
        <w:t xml:space="preserve">compared to non-participant firms in the same industry </w:t>
      </w:r>
      <w:r>
        <w:rPr>
          <w:lang w:val="en"/>
        </w:rPr>
        <w:t>within two years and $14,500 growth within three years.</w:t>
      </w:r>
    </w:p>
    <w:p w14:paraId="2A3AE95D" w14:textId="77777777" w:rsidR="00AA6CB7" w:rsidRPr="00AA6CB7" w:rsidRDefault="00AA6CB7" w:rsidP="00A03FA3">
      <w:pPr>
        <w:pStyle w:val="BodyText"/>
      </w:pPr>
    </w:p>
    <w:p w14:paraId="70006FD0" w14:textId="73A480A6" w:rsidR="00B410FC" w:rsidRDefault="00B410FC" w:rsidP="00B410FC">
      <w:pPr>
        <w:pStyle w:val="Caption"/>
      </w:pPr>
      <w:r>
        <w:lastRenderedPageBreak/>
        <w:t>Figure</w:t>
      </w:r>
      <w:r w:rsidRPr="000618FB">
        <w:t xml:space="preserve"> </w:t>
      </w:r>
      <w:r>
        <w:t>5</w:t>
      </w:r>
      <w:r w:rsidRPr="000618FB">
        <w:t>.</w:t>
      </w:r>
      <w:r>
        <w:t xml:space="preserve">4: Growth in capital expenditure </w:t>
      </w:r>
      <w:r w:rsidRPr="005413EC">
        <w:t>($, 000),</w:t>
      </w:r>
      <w:r>
        <w:t xml:space="preserve"> average treatment effect, pooled across cohorts </w:t>
      </w:r>
    </w:p>
    <w:p w14:paraId="5BCE7193" w14:textId="0727DD1E" w:rsidR="00B410FC" w:rsidRPr="00CB4BB4" w:rsidRDefault="00361394" w:rsidP="00B410FC">
      <w:pPr>
        <w:pStyle w:val="Placeholder"/>
      </w:pPr>
      <w:r>
        <w:rPr>
          <w:noProof/>
          <w:lang w:eastAsia="en-AU"/>
        </w:rPr>
        <w:drawing>
          <wp:inline distT="0" distB="0" distL="0" distR="0" wp14:anchorId="1F5A72D6" wp14:editId="4E40F6DB">
            <wp:extent cx="4377690" cy="2626360"/>
            <wp:effectExtent l="0" t="0" r="3810" b="2540"/>
            <wp:docPr id="23" name="Chart 23" descr="Figure 5.4 reports the ATT for the two year, three year, four year and five year growth in capital expenditure by industry, for EC participants on a bar chart. " title="Figure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9E80DB7" w14:textId="77157C43" w:rsidR="00B410FC" w:rsidRPr="00C62F3A" w:rsidRDefault="00B410FC" w:rsidP="00B410FC">
      <w:pPr>
        <w:pStyle w:val="Note"/>
      </w:pPr>
      <w:r>
        <w:t xml:space="preserve">Notes: </w:t>
      </w:r>
      <w:r w:rsidRPr="00E462D0">
        <w:t xml:space="preserve">Length of the bars depicts the premium growth in </w:t>
      </w:r>
      <w:r w:rsidR="00B6183D">
        <w:t>capital expenditure</w:t>
      </w:r>
      <w:r w:rsidRPr="00E462D0">
        <w:t xml:space="preserve"> change relative to the counterfactual.</w:t>
      </w:r>
      <w:r>
        <w:t xml:space="preserve"> Missing bars signify results that are not statistically significant. </w:t>
      </w:r>
    </w:p>
    <w:p w14:paraId="7662DBE0" w14:textId="77777777" w:rsidR="00B410FC" w:rsidRDefault="00B410FC" w:rsidP="00B410FC">
      <w:pPr>
        <w:pStyle w:val="Source"/>
      </w:pPr>
      <w:r>
        <w:t xml:space="preserve">Source: </w:t>
      </w:r>
      <w:r w:rsidRPr="008B43DD">
        <w:t xml:space="preserve">BLADE </w:t>
      </w:r>
      <w:r>
        <w:t>(2001–02 to 2014–15)</w:t>
      </w:r>
      <w:r w:rsidRPr="008B43DD">
        <w:t xml:space="preserve"> Author’s calculations</w:t>
      </w:r>
    </w:p>
    <w:p w14:paraId="0509AB09" w14:textId="77777777" w:rsidR="00397343" w:rsidRPr="00645868" w:rsidRDefault="00397343" w:rsidP="00A03FA3">
      <w:pPr>
        <w:pStyle w:val="BodyText"/>
      </w:pPr>
    </w:p>
    <w:p w14:paraId="0F5F43BE" w14:textId="0090A782" w:rsidR="000C0480" w:rsidRDefault="008C04CA" w:rsidP="00381F97">
      <w:pPr>
        <w:pStyle w:val="Heading1"/>
      </w:pPr>
      <w:r>
        <w:t xml:space="preserve">The impact of EC by cohort </w:t>
      </w:r>
    </w:p>
    <w:p w14:paraId="3F930A35" w14:textId="63EF937E" w:rsidR="00E600AC" w:rsidRPr="00E600AC" w:rsidRDefault="00E600AC" w:rsidP="00E600AC">
      <w:pPr>
        <w:pStyle w:val="BodyText"/>
      </w:pPr>
      <w:r>
        <w:t xml:space="preserve">The following analysis is </w:t>
      </w:r>
      <w:r w:rsidR="008F0E59">
        <w:t xml:space="preserve">done separately </w:t>
      </w:r>
      <w:r>
        <w:t xml:space="preserve">by </w:t>
      </w:r>
      <w:r w:rsidR="008F0E59">
        <w:t xml:space="preserve">each </w:t>
      </w:r>
      <w:r>
        <w:t>cohort.</w:t>
      </w:r>
      <w:r w:rsidR="00D267D1">
        <w:rPr>
          <w:rStyle w:val="FootnoteReference"/>
        </w:rPr>
        <w:footnoteReference w:id="21"/>
      </w:r>
      <w:r>
        <w:t xml:space="preserve"> </w:t>
      </w:r>
    </w:p>
    <w:p w14:paraId="04853826" w14:textId="77E26E5F" w:rsidR="008C04CA" w:rsidRDefault="002D40C9" w:rsidP="008C04CA">
      <w:pPr>
        <w:pStyle w:val="Heading2"/>
      </w:pPr>
      <w:r>
        <w:t>Turnover</w:t>
      </w:r>
    </w:p>
    <w:p w14:paraId="5D9AEE2C" w14:textId="31AA8EC7" w:rsidR="00257796" w:rsidRDefault="00257796" w:rsidP="00257796">
      <w:pPr>
        <w:pStyle w:val="BodyText"/>
      </w:pPr>
      <w:r>
        <w:t xml:space="preserve">Table </w:t>
      </w:r>
      <w:r w:rsidR="001643B8">
        <w:t>6.1</w:t>
      </w:r>
      <w:r>
        <w:t xml:space="preserve"> report</w:t>
      </w:r>
      <w:r w:rsidR="001643B8">
        <w:t>s</w:t>
      </w:r>
      <w:r>
        <w:t xml:space="preserve"> the ATT between </w:t>
      </w:r>
      <w:r w:rsidR="001643B8">
        <w:t xml:space="preserve">EC and </w:t>
      </w:r>
      <w:r w:rsidR="00D77CAE">
        <w:t>non-</w:t>
      </w:r>
      <w:r w:rsidR="001643B8">
        <w:t>EC</w:t>
      </w:r>
      <w:r>
        <w:t xml:space="preserve"> participants </w:t>
      </w:r>
      <w:r w:rsidR="001643B8">
        <w:t>for turnover growth within two, three, four and five years</w:t>
      </w:r>
      <w:r w:rsidR="005762FD">
        <w:t>,</w:t>
      </w:r>
      <w:r w:rsidR="008A14D8">
        <w:t xml:space="preserve"> by cohort</w:t>
      </w:r>
      <w:r w:rsidR="003C09B2">
        <w:t xml:space="preserve"> and</w:t>
      </w:r>
      <w:r w:rsidR="00544E01">
        <w:t xml:space="preserve"> industry</w:t>
      </w:r>
      <w:r w:rsidR="008A14D8">
        <w:t xml:space="preserve">. </w:t>
      </w:r>
    </w:p>
    <w:p w14:paraId="542B35B3" w14:textId="310BDA01" w:rsidR="00257796" w:rsidRDefault="00165533" w:rsidP="00257796">
      <w:pPr>
        <w:pStyle w:val="BodyText"/>
      </w:pPr>
      <w:r>
        <w:t xml:space="preserve">Manufacturing firms and Other Services firms appear </w:t>
      </w:r>
      <w:r w:rsidR="000B568B">
        <w:t>to benefit from the EC program</w:t>
      </w:r>
      <w:r>
        <w:t xml:space="preserve"> the most in terms of turnover growth, as do later cohorts of the program in general. </w:t>
      </w:r>
      <w:r w:rsidR="00F31B1C">
        <w:t>The relatively weak performance in the early cohort</w:t>
      </w:r>
      <w:r w:rsidR="000B568B">
        <w:t>s may reflect the AIPC program rather than the EC program</w:t>
      </w:r>
      <w:r w:rsidR="00F31B1C">
        <w:t>.</w:t>
      </w:r>
      <w:r w:rsidR="00E31763">
        <w:t xml:space="preserve"> The lack of statistically significant results in the early cohorts may also reflect the smaller sizes of these cohorts. </w:t>
      </w:r>
    </w:p>
    <w:p w14:paraId="07733DDB" w14:textId="77777777" w:rsidR="00447537" w:rsidRPr="00257796" w:rsidRDefault="00447537" w:rsidP="00257796">
      <w:pPr>
        <w:pStyle w:val="BodyText"/>
      </w:pPr>
    </w:p>
    <w:p w14:paraId="6BD0198F" w14:textId="16248127" w:rsidR="002D40C9" w:rsidRDefault="002D40C9" w:rsidP="002D40C9">
      <w:pPr>
        <w:pStyle w:val="Caption"/>
      </w:pPr>
      <w:r w:rsidRPr="000618FB">
        <w:lastRenderedPageBreak/>
        <w:t xml:space="preserve">Table </w:t>
      </w:r>
      <w:r>
        <w:t>6.1. Turnover ATT</w:t>
      </w:r>
      <w:r w:rsidR="00020128">
        <w:t xml:space="preserve"> (thousands of dollars)</w:t>
      </w:r>
      <w:r>
        <w:t>, by</w:t>
      </w:r>
      <w:r w:rsidR="000B568B">
        <w:t xml:space="preserve"> cohort</w:t>
      </w:r>
      <w:r w:rsidR="003C09B2">
        <w:t xml:space="preserve"> and</w:t>
      </w:r>
      <w:r w:rsidR="000B568B">
        <w:t xml:space="preserve"> industry</w:t>
      </w:r>
      <w:r>
        <w:t xml:space="preserve"> </w:t>
      </w:r>
    </w:p>
    <w:tbl>
      <w:tblPr>
        <w:tblStyle w:val="OCETable"/>
        <w:tblW w:w="4976" w:type="pct"/>
        <w:tblInd w:w="57" w:type="dxa"/>
        <w:tblLayout w:type="fixed"/>
        <w:tblLook w:val="04A0" w:firstRow="1" w:lastRow="0" w:firstColumn="1" w:lastColumn="0" w:noHBand="0" w:noVBand="1"/>
        <w:tblCaption w:val="Table 6.1. Turnover ATT (thousands of dollars), by cohort, industry and programme element "/>
      </w:tblPr>
      <w:tblGrid>
        <w:gridCol w:w="1536"/>
        <w:gridCol w:w="1333"/>
        <w:gridCol w:w="1332"/>
        <w:gridCol w:w="1330"/>
        <w:gridCol w:w="1330"/>
      </w:tblGrid>
      <w:tr w:rsidR="003C09B2" w14:paraId="0D10A2FC" w14:textId="77777777" w:rsidTr="003C09B2">
        <w:trPr>
          <w:cnfStyle w:val="100000000000" w:firstRow="1" w:lastRow="0" w:firstColumn="0" w:lastColumn="0" w:oddVBand="0" w:evenVBand="0" w:oddHBand="0" w:evenHBand="0" w:firstRowFirstColumn="0" w:firstRowLastColumn="0" w:lastRowFirstColumn="0" w:lastRowLastColumn="0"/>
          <w:trHeight w:val="411"/>
          <w:tblHeader/>
        </w:trPr>
        <w:tc>
          <w:tcPr>
            <w:tcW w:w="1536" w:type="dxa"/>
          </w:tcPr>
          <w:p w14:paraId="29716B2D" w14:textId="77777777" w:rsidR="003C09B2" w:rsidRDefault="003C09B2" w:rsidP="009C6471">
            <w:pPr>
              <w:pStyle w:val="Tableheader"/>
              <w:jc w:val="right"/>
              <w:rPr>
                <w:lang w:eastAsia="en-AU"/>
              </w:rPr>
            </w:pPr>
            <w:r>
              <w:rPr>
                <w:lang w:eastAsia="en-AU"/>
              </w:rPr>
              <w:t>Cohort</w:t>
            </w:r>
          </w:p>
        </w:tc>
        <w:tc>
          <w:tcPr>
            <w:tcW w:w="1333" w:type="dxa"/>
          </w:tcPr>
          <w:p w14:paraId="7F296A4C" w14:textId="77777777" w:rsidR="003C09B2" w:rsidRDefault="003C09B2" w:rsidP="009C6471">
            <w:pPr>
              <w:pStyle w:val="Tableheader"/>
              <w:jc w:val="right"/>
              <w:rPr>
                <w:lang w:eastAsia="en-AU"/>
              </w:rPr>
            </w:pPr>
            <w:r>
              <w:rPr>
                <w:lang w:eastAsia="en-AU"/>
              </w:rPr>
              <w:t xml:space="preserve">Years </w:t>
            </w:r>
          </w:p>
        </w:tc>
        <w:tc>
          <w:tcPr>
            <w:tcW w:w="1332" w:type="dxa"/>
          </w:tcPr>
          <w:p w14:paraId="72DFD45A" w14:textId="627AB675" w:rsidR="003C09B2" w:rsidRDefault="003C09B2" w:rsidP="009C6471">
            <w:pPr>
              <w:pStyle w:val="Tableheader"/>
              <w:jc w:val="right"/>
              <w:rPr>
                <w:lang w:eastAsia="en-AU"/>
              </w:rPr>
            </w:pPr>
            <w:r>
              <w:rPr>
                <w:lang w:eastAsia="en-AU"/>
              </w:rPr>
              <w:t>Manufacturing</w:t>
            </w:r>
          </w:p>
        </w:tc>
        <w:tc>
          <w:tcPr>
            <w:tcW w:w="1330" w:type="dxa"/>
          </w:tcPr>
          <w:p w14:paraId="7C69EC7A" w14:textId="405CAE19" w:rsidR="003C09B2" w:rsidRDefault="003C09B2" w:rsidP="009C6471">
            <w:pPr>
              <w:pStyle w:val="Tableheader"/>
              <w:tabs>
                <w:tab w:val="center" w:pos="730"/>
              </w:tabs>
              <w:jc w:val="right"/>
              <w:rPr>
                <w:lang w:eastAsia="en-AU"/>
              </w:rPr>
            </w:pPr>
            <w:r>
              <w:rPr>
                <w:lang w:eastAsia="en-AU"/>
              </w:rPr>
              <w:t>PST</w:t>
            </w:r>
            <w:r>
              <w:rPr>
                <w:lang w:eastAsia="en-AU"/>
              </w:rPr>
              <w:tab/>
            </w:r>
          </w:p>
        </w:tc>
        <w:tc>
          <w:tcPr>
            <w:tcW w:w="1330" w:type="dxa"/>
          </w:tcPr>
          <w:p w14:paraId="06A1ED13" w14:textId="50E42200" w:rsidR="003C09B2" w:rsidRDefault="003C09B2" w:rsidP="009C6471">
            <w:pPr>
              <w:pStyle w:val="Tableheader"/>
              <w:jc w:val="right"/>
              <w:rPr>
                <w:lang w:eastAsia="en-AU"/>
              </w:rPr>
            </w:pPr>
            <w:r>
              <w:rPr>
                <w:lang w:eastAsia="en-AU"/>
              </w:rPr>
              <w:t>Other Services</w:t>
            </w:r>
          </w:p>
        </w:tc>
      </w:tr>
      <w:tr w:rsidR="003C09B2" w14:paraId="4B1DE2FA"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279F126D" w14:textId="2315EDB9" w:rsidR="003C09B2" w:rsidRDefault="003C09B2" w:rsidP="00861732">
            <w:pPr>
              <w:pStyle w:val="Tabletext"/>
              <w:jc w:val="right"/>
              <w:rPr>
                <w:lang w:eastAsia="en-AU"/>
              </w:rPr>
            </w:pPr>
            <w:r w:rsidRPr="00984FC2">
              <w:t>2007</w:t>
            </w:r>
            <w:r>
              <w:t>–</w:t>
            </w:r>
            <w:r w:rsidRPr="00984FC2">
              <w:t>08</w:t>
            </w:r>
          </w:p>
        </w:tc>
        <w:tc>
          <w:tcPr>
            <w:tcW w:w="1333" w:type="dxa"/>
          </w:tcPr>
          <w:p w14:paraId="1C92B338" w14:textId="77777777" w:rsidR="003C09B2" w:rsidRDefault="003C09B2" w:rsidP="00861732">
            <w:pPr>
              <w:pStyle w:val="Tabletext"/>
              <w:jc w:val="right"/>
              <w:rPr>
                <w:lang w:eastAsia="en-AU"/>
              </w:rPr>
            </w:pPr>
            <w:r w:rsidRPr="007A2F7B">
              <w:t>2</w:t>
            </w:r>
          </w:p>
        </w:tc>
        <w:tc>
          <w:tcPr>
            <w:tcW w:w="1332" w:type="dxa"/>
          </w:tcPr>
          <w:p w14:paraId="61AB80E2" w14:textId="73B1D3DF" w:rsidR="003C09B2" w:rsidRDefault="003C09B2" w:rsidP="00861732">
            <w:pPr>
              <w:pStyle w:val="Tabletext"/>
              <w:jc w:val="right"/>
              <w:rPr>
                <w:lang w:eastAsia="en-AU"/>
              </w:rPr>
            </w:pPr>
          </w:p>
        </w:tc>
        <w:tc>
          <w:tcPr>
            <w:tcW w:w="1330" w:type="dxa"/>
          </w:tcPr>
          <w:p w14:paraId="3C93EF82" w14:textId="6A5C43C2" w:rsidR="003C09B2" w:rsidRDefault="003C09B2" w:rsidP="00861732">
            <w:pPr>
              <w:pStyle w:val="Tabletext"/>
              <w:jc w:val="right"/>
              <w:rPr>
                <w:lang w:eastAsia="en-AU"/>
              </w:rPr>
            </w:pPr>
          </w:p>
        </w:tc>
        <w:tc>
          <w:tcPr>
            <w:tcW w:w="1330" w:type="dxa"/>
          </w:tcPr>
          <w:p w14:paraId="5C47D75D" w14:textId="52D842D8" w:rsidR="003C09B2" w:rsidRDefault="003C09B2" w:rsidP="00861732">
            <w:pPr>
              <w:pStyle w:val="Tabletext"/>
              <w:jc w:val="right"/>
              <w:rPr>
                <w:lang w:eastAsia="en-AU"/>
              </w:rPr>
            </w:pPr>
            <w:r w:rsidRPr="00F73029">
              <w:t>-410.0</w:t>
            </w:r>
          </w:p>
        </w:tc>
      </w:tr>
      <w:tr w:rsidR="003C09B2" w14:paraId="71782415"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549962A4" w14:textId="610DF36F" w:rsidR="003C09B2" w:rsidRDefault="003C09B2" w:rsidP="00861732">
            <w:pPr>
              <w:pStyle w:val="Tabletext"/>
              <w:jc w:val="right"/>
              <w:rPr>
                <w:lang w:eastAsia="en-AU"/>
              </w:rPr>
            </w:pPr>
          </w:p>
        </w:tc>
        <w:tc>
          <w:tcPr>
            <w:tcW w:w="1333" w:type="dxa"/>
          </w:tcPr>
          <w:p w14:paraId="1B6A14E8" w14:textId="77777777" w:rsidR="003C09B2" w:rsidRDefault="003C09B2" w:rsidP="00861732">
            <w:pPr>
              <w:pStyle w:val="Tabletext"/>
              <w:jc w:val="right"/>
              <w:rPr>
                <w:lang w:eastAsia="en-AU"/>
              </w:rPr>
            </w:pPr>
            <w:r w:rsidRPr="007A2F7B">
              <w:t>3</w:t>
            </w:r>
          </w:p>
        </w:tc>
        <w:tc>
          <w:tcPr>
            <w:tcW w:w="1332" w:type="dxa"/>
          </w:tcPr>
          <w:p w14:paraId="4CE5D334" w14:textId="0DC924B3" w:rsidR="003C09B2" w:rsidRDefault="003C09B2" w:rsidP="00861732">
            <w:pPr>
              <w:pStyle w:val="Tabletext"/>
              <w:jc w:val="right"/>
              <w:rPr>
                <w:lang w:eastAsia="en-AU"/>
              </w:rPr>
            </w:pPr>
            <w:r w:rsidRPr="00EC58F2">
              <w:t>238.7</w:t>
            </w:r>
          </w:p>
        </w:tc>
        <w:tc>
          <w:tcPr>
            <w:tcW w:w="1330" w:type="dxa"/>
          </w:tcPr>
          <w:p w14:paraId="7ED7D878" w14:textId="5FF17259" w:rsidR="003C09B2" w:rsidRDefault="003C09B2" w:rsidP="00861732">
            <w:pPr>
              <w:pStyle w:val="Tabletext"/>
              <w:jc w:val="right"/>
              <w:rPr>
                <w:lang w:eastAsia="en-AU"/>
              </w:rPr>
            </w:pPr>
          </w:p>
        </w:tc>
        <w:tc>
          <w:tcPr>
            <w:tcW w:w="1330" w:type="dxa"/>
          </w:tcPr>
          <w:p w14:paraId="2862CDA6" w14:textId="7E4A6F6C" w:rsidR="003C09B2" w:rsidRDefault="003C09B2" w:rsidP="00861732">
            <w:pPr>
              <w:pStyle w:val="Tabletext"/>
              <w:jc w:val="right"/>
              <w:rPr>
                <w:lang w:eastAsia="en-AU"/>
              </w:rPr>
            </w:pPr>
            <w:r w:rsidRPr="00F73029">
              <w:t>-441.8</w:t>
            </w:r>
          </w:p>
        </w:tc>
      </w:tr>
      <w:tr w:rsidR="003C09B2" w14:paraId="6672DF67"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290D1E1C" w14:textId="23247A59" w:rsidR="003C09B2" w:rsidRDefault="003C09B2" w:rsidP="00861732">
            <w:pPr>
              <w:pStyle w:val="Tabletext"/>
              <w:jc w:val="right"/>
              <w:rPr>
                <w:lang w:eastAsia="en-AU"/>
              </w:rPr>
            </w:pPr>
          </w:p>
        </w:tc>
        <w:tc>
          <w:tcPr>
            <w:tcW w:w="1333" w:type="dxa"/>
          </w:tcPr>
          <w:p w14:paraId="7748E1F9" w14:textId="77777777" w:rsidR="003C09B2" w:rsidRDefault="003C09B2" w:rsidP="00861732">
            <w:pPr>
              <w:pStyle w:val="Tabletext"/>
              <w:jc w:val="right"/>
              <w:rPr>
                <w:lang w:eastAsia="en-AU"/>
              </w:rPr>
            </w:pPr>
            <w:r w:rsidRPr="007A2F7B">
              <w:t>4</w:t>
            </w:r>
          </w:p>
        </w:tc>
        <w:tc>
          <w:tcPr>
            <w:tcW w:w="1332" w:type="dxa"/>
          </w:tcPr>
          <w:p w14:paraId="492743A1" w14:textId="77777777" w:rsidR="003C09B2" w:rsidRDefault="003C09B2" w:rsidP="00861732">
            <w:pPr>
              <w:pStyle w:val="Tabletext"/>
              <w:jc w:val="right"/>
              <w:rPr>
                <w:lang w:eastAsia="en-AU"/>
              </w:rPr>
            </w:pPr>
          </w:p>
        </w:tc>
        <w:tc>
          <w:tcPr>
            <w:tcW w:w="1330" w:type="dxa"/>
          </w:tcPr>
          <w:p w14:paraId="5BAD0F2E" w14:textId="05FACBA3" w:rsidR="003C09B2" w:rsidRDefault="003C09B2" w:rsidP="00861732">
            <w:pPr>
              <w:pStyle w:val="Tabletext"/>
              <w:jc w:val="right"/>
              <w:rPr>
                <w:lang w:eastAsia="en-AU"/>
              </w:rPr>
            </w:pPr>
          </w:p>
        </w:tc>
        <w:tc>
          <w:tcPr>
            <w:tcW w:w="1330" w:type="dxa"/>
          </w:tcPr>
          <w:p w14:paraId="52CB907D" w14:textId="489121F5" w:rsidR="003C09B2" w:rsidRDefault="003C09B2" w:rsidP="00861732">
            <w:pPr>
              <w:pStyle w:val="Tabletext"/>
              <w:jc w:val="right"/>
              <w:rPr>
                <w:lang w:eastAsia="en-AU"/>
              </w:rPr>
            </w:pPr>
            <w:r w:rsidRPr="00F73029">
              <w:t>-518.4</w:t>
            </w:r>
          </w:p>
        </w:tc>
      </w:tr>
      <w:tr w:rsidR="003C09B2" w14:paraId="091DF7D9"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5FF16402" w14:textId="0BD2066F" w:rsidR="003C09B2" w:rsidRDefault="003C09B2" w:rsidP="00861732">
            <w:pPr>
              <w:pStyle w:val="Tabletext"/>
              <w:jc w:val="right"/>
              <w:rPr>
                <w:lang w:eastAsia="en-AU"/>
              </w:rPr>
            </w:pPr>
          </w:p>
        </w:tc>
        <w:tc>
          <w:tcPr>
            <w:tcW w:w="1333" w:type="dxa"/>
          </w:tcPr>
          <w:p w14:paraId="4A9688A7" w14:textId="77777777" w:rsidR="003C09B2" w:rsidRDefault="003C09B2" w:rsidP="00861732">
            <w:pPr>
              <w:pStyle w:val="Tabletext"/>
              <w:jc w:val="right"/>
              <w:rPr>
                <w:lang w:eastAsia="en-AU"/>
              </w:rPr>
            </w:pPr>
            <w:r w:rsidRPr="007A2F7B">
              <w:t>5</w:t>
            </w:r>
          </w:p>
        </w:tc>
        <w:tc>
          <w:tcPr>
            <w:tcW w:w="1332" w:type="dxa"/>
          </w:tcPr>
          <w:p w14:paraId="415C992B" w14:textId="77777777" w:rsidR="003C09B2" w:rsidRDefault="003C09B2" w:rsidP="00861732">
            <w:pPr>
              <w:pStyle w:val="Tabletext"/>
              <w:jc w:val="right"/>
              <w:rPr>
                <w:lang w:eastAsia="en-AU"/>
              </w:rPr>
            </w:pPr>
          </w:p>
        </w:tc>
        <w:tc>
          <w:tcPr>
            <w:tcW w:w="1330" w:type="dxa"/>
          </w:tcPr>
          <w:p w14:paraId="213CDF73" w14:textId="5FFC4B31" w:rsidR="003C09B2" w:rsidRDefault="003C09B2" w:rsidP="00861732">
            <w:pPr>
              <w:pStyle w:val="Tabletext"/>
              <w:jc w:val="right"/>
              <w:rPr>
                <w:lang w:eastAsia="en-AU"/>
              </w:rPr>
            </w:pPr>
          </w:p>
        </w:tc>
        <w:tc>
          <w:tcPr>
            <w:tcW w:w="1330" w:type="dxa"/>
          </w:tcPr>
          <w:p w14:paraId="54ACED71" w14:textId="0AD75FF9" w:rsidR="003C09B2" w:rsidRDefault="003C09B2" w:rsidP="00861732">
            <w:pPr>
              <w:pStyle w:val="Tabletext"/>
              <w:jc w:val="right"/>
              <w:rPr>
                <w:lang w:eastAsia="en-AU"/>
              </w:rPr>
            </w:pPr>
            <w:r w:rsidRPr="00F73029">
              <w:t>-949.4</w:t>
            </w:r>
          </w:p>
        </w:tc>
      </w:tr>
      <w:tr w:rsidR="003C09B2" w14:paraId="46CDF753"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5DB9F39B" w14:textId="4439C943" w:rsidR="003C09B2" w:rsidRDefault="003C09B2" w:rsidP="00861732">
            <w:pPr>
              <w:pStyle w:val="Tabletext"/>
              <w:jc w:val="right"/>
              <w:rPr>
                <w:lang w:eastAsia="en-AU"/>
              </w:rPr>
            </w:pPr>
            <w:r w:rsidRPr="00984FC2">
              <w:t>2008</w:t>
            </w:r>
            <w:r>
              <w:t>–</w:t>
            </w:r>
            <w:r w:rsidRPr="00984FC2">
              <w:t>09</w:t>
            </w:r>
          </w:p>
        </w:tc>
        <w:tc>
          <w:tcPr>
            <w:tcW w:w="1333" w:type="dxa"/>
          </w:tcPr>
          <w:p w14:paraId="41C36EDB" w14:textId="77777777" w:rsidR="003C09B2" w:rsidRDefault="003C09B2" w:rsidP="00861732">
            <w:pPr>
              <w:pStyle w:val="Tabletext"/>
              <w:jc w:val="right"/>
              <w:rPr>
                <w:lang w:eastAsia="en-AU"/>
              </w:rPr>
            </w:pPr>
            <w:r w:rsidRPr="007A2F7B">
              <w:t>2</w:t>
            </w:r>
          </w:p>
        </w:tc>
        <w:tc>
          <w:tcPr>
            <w:tcW w:w="1332" w:type="dxa"/>
          </w:tcPr>
          <w:p w14:paraId="3C32F4F4" w14:textId="03897CBF" w:rsidR="003C09B2" w:rsidRDefault="003C09B2" w:rsidP="00861732">
            <w:pPr>
              <w:pStyle w:val="Tabletext"/>
              <w:jc w:val="right"/>
              <w:rPr>
                <w:lang w:eastAsia="en-AU"/>
              </w:rPr>
            </w:pPr>
            <w:r w:rsidRPr="00EC58F2">
              <w:t>166.0</w:t>
            </w:r>
          </w:p>
        </w:tc>
        <w:tc>
          <w:tcPr>
            <w:tcW w:w="1330" w:type="dxa"/>
          </w:tcPr>
          <w:p w14:paraId="417B503B" w14:textId="77777777" w:rsidR="003C09B2" w:rsidRDefault="003C09B2" w:rsidP="00861732">
            <w:pPr>
              <w:pStyle w:val="Tabletext"/>
              <w:jc w:val="right"/>
              <w:rPr>
                <w:lang w:eastAsia="en-AU"/>
              </w:rPr>
            </w:pPr>
          </w:p>
        </w:tc>
        <w:tc>
          <w:tcPr>
            <w:tcW w:w="1330" w:type="dxa"/>
          </w:tcPr>
          <w:p w14:paraId="4F1A80D9" w14:textId="4C836215" w:rsidR="003C09B2" w:rsidRDefault="003C09B2" w:rsidP="00861732">
            <w:pPr>
              <w:pStyle w:val="Tabletext"/>
              <w:jc w:val="right"/>
              <w:rPr>
                <w:lang w:eastAsia="en-AU"/>
              </w:rPr>
            </w:pPr>
            <w:r w:rsidRPr="00F73029">
              <w:t>186.5</w:t>
            </w:r>
          </w:p>
        </w:tc>
      </w:tr>
      <w:tr w:rsidR="003C09B2" w14:paraId="70B7F711"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6695F39B" w14:textId="4BD8FA34" w:rsidR="003C09B2" w:rsidRDefault="003C09B2" w:rsidP="00861732">
            <w:pPr>
              <w:pStyle w:val="Tabletext"/>
              <w:jc w:val="right"/>
              <w:rPr>
                <w:lang w:eastAsia="en-AU"/>
              </w:rPr>
            </w:pPr>
          </w:p>
        </w:tc>
        <w:tc>
          <w:tcPr>
            <w:tcW w:w="1333" w:type="dxa"/>
          </w:tcPr>
          <w:p w14:paraId="21AF73F3" w14:textId="77777777" w:rsidR="003C09B2" w:rsidRDefault="003C09B2" w:rsidP="00861732">
            <w:pPr>
              <w:pStyle w:val="Tabletext"/>
              <w:jc w:val="right"/>
              <w:rPr>
                <w:lang w:eastAsia="en-AU"/>
              </w:rPr>
            </w:pPr>
            <w:r w:rsidRPr="007A2F7B">
              <w:t>3</w:t>
            </w:r>
          </w:p>
        </w:tc>
        <w:tc>
          <w:tcPr>
            <w:tcW w:w="1332" w:type="dxa"/>
          </w:tcPr>
          <w:p w14:paraId="13331586" w14:textId="10D336A4" w:rsidR="003C09B2" w:rsidRDefault="003C09B2" w:rsidP="00861732">
            <w:pPr>
              <w:pStyle w:val="Tabletext"/>
              <w:jc w:val="right"/>
              <w:rPr>
                <w:lang w:eastAsia="en-AU"/>
              </w:rPr>
            </w:pPr>
            <w:r w:rsidRPr="00EC58F2">
              <w:t>159.3</w:t>
            </w:r>
          </w:p>
        </w:tc>
        <w:tc>
          <w:tcPr>
            <w:tcW w:w="1330" w:type="dxa"/>
          </w:tcPr>
          <w:p w14:paraId="47E079DC" w14:textId="11E3D8FE" w:rsidR="003C09B2" w:rsidRDefault="003C09B2" w:rsidP="00861732">
            <w:pPr>
              <w:pStyle w:val="Tabletext"/>
              <w:jc w:val="right"/>
              <w:rPr>
                <w:lang w:eastAsia="en-AU"/>
              </w:rPr>
            </w:pPr>
            <w:r w:rsidRPr="00D113F7">
              <w:t>-220.7</w:t>
            </w:r>
          </w:p>
        </w:tc>
        <w:tc>
          <w:tcPr>
            <w:tcW w:w="1330" w:type="dxa"/>
          </w:tcPr>
          <w:p w14:paraId="36944215" w14:textId="6D085094" w:rsidR="003C09B2" w:rsidRDefault="003C09B2" w:rsidP="00861732">
            <w:pPr>
              <w:pStyle w:val="Tabletext"/>
              <w:jc w:val="right"/>
              <w:rPr>
                <w:lang w:eastAsia="en-AU"/>
              </w:rPr>
            </w:pPr>
            <w:r w:rsidRPr="00F73029">
              <w:t>353.3</w:t>
            </w:r>
          </w:p>
        </w:tc>
      </w:tr>
      <w:tr w:rsidR="003C09B2" w14:paraId="18E02EE8"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5C8E4667" w14:textId="743037A0" w:rsidR="003C09B2" w:rsidRDefault="003C09B2" w:rsidP="00861732">
            <w:pPr>
              <w:pStyle w:val="Tabletext"/>
              <w:jc w:val="right"/>
              <w:rPr>
                <w:lang w:eastAsia="en-AU"/>
              </w:rPr>
            </w:pPr>
          </w:p>
        </w:tc>
        <w:tc>
          <w:tcPr>
            <w:tcW w:w="1333" w:type="dxa"/>
          </w:tcPr>
          <w:p w14:paraId="592FC7BD" w14:textId="77777777" w:rsidR="003C09B2" w:rsidRDefault="003C09B2" w:rsidP="00861732">
            <w:pPr>
              <w:pStyle w:val="Tabletext"/>
              <w:jc w:val="right"/>
              <w:rPr>
                <w:lang w:eastAsia="en-AU"/>
              </w:rPr>
            </w:pPr>
            <w:r w:rsidRPr="007A2F7B">
              <w:t>4</w:t>
            </w:r>
          </w:p>
        </w:tc>
        <w:tc>
          <w:tcPr>
            <w:tcW w:w="1332" w:type="dxa"/>
          </w:tcPr>
          <w:p w14:paraId="5F5829A3" w14:textId="73082277" w:rsidR="003C09B2" w:rsidRDefault="003C09B2" w:rsidP="00861732">
            <w:pPr>
              <w:pStyle w:val="Tabletext"/>
              <w:jc w:val="right"/>
              <w:rPr>
                <w:lang w:eastAsia="en-AU"/>
              </w:rPr>
            </w:pPr>
            <w:r w:rsidRPr="00EC58F2">
              <w:t>280.2</w:t>
            </w:r>
          </w:p>
        </w:tc>
        <w:tc>
          <w:tcPr>
            <w:tcW w:w="1330" w:type="dxa"/>
          </w:tcPr>
          <w:p w14:paraId="0E7D8EC3" w14:textId="72EF7C91" w:rsidR="003C09B2" w:rsidRDefault="003C09B2" w:rsidP="00861732">
            <w:pPr>
              <w:pStyle w:val="Tabletext"/>
              <w:jc w:val="right"/>
              <w:rPr>
                <w:lang w:eastAsia="en-AU"/>
              </w:rPr>
            </w:pPr>
            <w:r w:rsidRPr="00D113F7">
              <w:t>-748.6</w:t>
            </w:r>
          </w:p>
        </w:tc>
        <w:tc>
          <w:tcPr>
            <w:tcW w:w="1330" w:type="dxa"/>
          </w:tcPr>
          <w:p w14:paraId="3980AFAC" w14:textId="7EC416E5" w:rsidR="003C09B2" w:rsidRDefault="003C09B2" w:rsidP="00861732">
            <w:pPr>
              <w:pStyle w:val="Tabletext"/>
              <w:jc w:val="right"/>
              <w:rPr>
                <w:lang w:eastAsia="en-AU"/>
              </w:rPr>
            </w:pPr>
            <w:r w:rsidRPr="00F73029">
              <w:t>528.5</w:t>
            </w:r>
          </w:p>
        </w:tc>
      </w:tr>
      <w:tr w:rsidR="003C09B2" w14:paraId="12023073"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6B744774" w14:textId="623BD9C3" w:rsidR="003C09B2" w:rsidRDefault="003C09B2" w:rsidP="00861732">
            <w:pPr>
              <w:pStyle w:val="Tabletext"/>
              <w:jc w:val="right"/>
              <w:rPr>
                <w:lang w:eastAsia="en-AU"/>
              </w:rPr>
            </w:pPr>
          </w:p>
        </w:tc>
        <w:tc>
          <w:tcPr>
            <w:tcW w:w="1333" w:type="dxa"/>
          </w:tcPr>
          <w:p w14:paraId="66E630CA" w14:textId="77777777" w:rsidR="003C09B2" w:rsidRDefault="003C09B2" w:rsidP="00861732">
            <w:pPr>
              <w:pStyle w:val="Tabletext"/>
              <w:jc w:val="right"/>
              <w:rPr>
                <w:lang w:eastAsia="en-AU"/>
              </w:rPr>
            </w:pPr>
            <w:r w:rsidRPr="007A2F7B">
              <w:t>5</w:t>
            </w:r>
          </w:p>
        </w:tc>
        <w:tc>
          <w:tcPr>
            <w:tcW w:w="1332" w:type="dxa"/>
          </w:tcPr>
          <w:p w14:paraId="6D5A05CE" w14:textId="43AF57A3" w:rsidR="003C09B2" w:rsidRDefault="003C09B2" w:rsidP="00861732">
            <w:pPr>
              <w:pStyle w:val="Tabletext"/>
              <w:jc w:val="right"/>
              <w:rPr>
                <w:lang w:eastAsia="en-AU"/>
              </w:rPr>
            </w:pPr>
            <w:r w:rsidRPr="00EC58F2">
              <w:t>401.3</w:t>
            </w:r>
          </w:p>
        </w:tc>
        <w:tc>
          <w:tcPr>
            <w:tcW w:w="1330" w:type="dxa"/>
          </w:tcPr>
          <w:p w14:paraId="09B0BECC" w14:textId="688AAEC0" w:rsidR="003C09B2" w:rsidRDefault="003C09B2" w:rsidP="00861732">
            <w:pPr>
              <w:pStyle w:val="Tabletext"/>
              <w:jc w:val="right"/>
              <w:rPr>
                <w:lang w:eastAsia="en-AU"/>
              </w:rPr>
            </w:pPr>
            <w:r w:rsidRPr="00D113F7">
              <w:t>-734.1</w:t>
            </w:r>
          </w:p>
        </w:tc>
        <w:tc>
          <w:tcPr>
            <w:tcW w:w="1330" w:type="dxa"/>
          </w:tcPr>
          <w:p w14:paraId="404429BE" w14:textId="38C1D937" w:rsidR="003C09B2" w:rsidRDefault="003C09B2" w:rsidP="00861732">
            <w:pPr>
              <w:pStyle w:val="Tabletext"/>
              <w:jc w:val="right"/>
              <w:rPr>
                <w:lang w:eastAsia="en-AU"/>
              </w:rPr>
            </w:pPr>
            <w:r w:rsidRPr="00F73029">
              <w:t>735.0</w:t>
            </w:r>
          </w:p>
        </w:tc>
      </w:tr>
      <w:tr w:rsidR="003C09B2" w14:paraId="2C2D83BD"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790957C2" w14:textId="6E08B0DB" w:rsidR="003C09B2" w:rsidRDefault="003C09B2" w:rsidP="00861732">
            <w:pPr>
              <w:pStyle w:val="Tabletext"/>
              <w:jc w:val="right"/>
              <w:rPr>
                <w:lang w:eastAsia="en-AU"/>
              </w:rPr>
            </w:pPr>
            <w:r w:rsidRPr="00984FC2">
              <w:t>2009</w:t>
            </w:r>
            <w:r>
              <w:t>–</w:t>
            </w:r>
            <w:r w:rsidRPr="00984FC2">
              <w:t>10</w:t>
            </w:r>
          </w:p>
        </w:tc>
        <w:tc>
          <w:tcPr>
            <w:tcW w:w="1333" w:type="dxa"/>
          </w:tcPr>
          <w:p w14:paraId="76789F37" w14:textId="77777777" w:rsidR="003C09B2" w:rsidRDefault="003C09B2" w:rsidP="00861732">
            <w:pPr>
              <w:pStyle w:val="Tabletext"/>
              <w:jc w:val="right"/>
              <w:rPr>
                <w:lang w:eastAsia="en-AU"/>
              </w:rPr>
            </w:pPr>
            <w:r w:rsidRPr="007A2F7B">
              <w:t>2</w:t>
            </w:r>
          </w:p>
        </w:tc>
        <w:tc>
          <w:tcPr>
            <w:tcW w:w="1332" w:type="dxa"/>
          </w:tcPr>
          <w:p w14:paraId="4A904B69" w14:textId="77777777" w:rsidR="003C09B2" w:rsidRDefault="003C09B2" w:rsidP="00861732">
            <w:pPr>
              <w:pStyle w:val="Tabletext"/>
              <w:jc w:val="right"/>
              <w:rPr>
                <w:lang w:eastAsia="en-AU"/>
              </w:rPr>
            </w:pPr>
          </w:p>
        </w:tc>
        <w:tc>
          <w:tcPr>
            <w:tcW w:w="1330" w:type="dxa"/>
          </w:tcPr>
          <w:p w14:paraId="3917C7D5" w14:textId="77777777" w:rsidR="003C09B2" w:rsidRDefault="003C09B2" w:rsidP="00861732">
            <w:pPr>
              <w:pStyle w:val="Tabletext"/>
              <w:jc w:val="right"/>
              <w:rPr>
                <w:lang w:eastAsia="en-AU"/>
              </w:rPr>
            </w:pPr>
          </w:p>
        </w:tc>
        <w:tc>
          <w:tcPr>
            <w:tcW w:w="1330" w:type="dxa"/>
          </w:tcPr>
          <w:p w14:paraId="7AE7DD9B" w14:textId="78299366" w:rsidR="003C09B2" w:rsidRDefault="003C09B2" w:rsidP="00861732">
            <w:pPr>
              <w:pStyle w:val="Tabletext"/>
              <w:jc w:val="right"/>
              <w:rPr>
                <w:lang w:eastAsia="en-AU"/>
              </w:rPr>
            </w:pPr>
          </w:p>
        </w:tc>
      </w:tr>
      <w:tr w:rsidR="003C09B2" w14:paraId="569B84A9"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6923AA05" w14:textId="426A0409" w:rsidR="003C09B2" w:rsidRDefault="003C09B2" w:rsidP="00861732">
            <w:pPr>
              <w:pStyle w:val="Tabletext"/>
              <w:jc w:val="right"/>
              <w:rPr>
                <w:lang w:eastAsia="en-AU"/>
              </w:rPr>
            </w:pPr>
          </w:p>
        </w:tc>
        <w:tc>
          <w:tcPr>
            <w:tcW w:w="1333" w:type="dxa"/>
          </w:tcPr>
          <w:p w14:paraId="183E8325" w14:textId="77777777" w:rsidR="003C09B2" w:rsidRDefault="003C09B2" w:rsidP="00861732">
            <w:pPr>
              <w:pStyle w:val="Tabletext"/>
              <w:jc w:val="right"/>
              <w:rPr>
                <w:lang w:eastAsia="en-AU"/>
              </w:rPr>
            </w:pPr>
            <w:r w:rsidRPr="007A2F7B">
              <w:t>3</w:t>
            </w:r>
          </w:p>
        </w:tc>
        <w:tc>
          <w:tcPr>
            <w:tcW w:w="1332" w:type="dxa"/>
          </w:tcPr>
          <w:p w14:paraId="15C1882A" w14:textId="77777777" w:rsidR="003C09B2" w:rsidRDefault="003C09B2" w:rsidP="00861732">
            <w:pPr>
              <w:pStyle w:val="Tabletext"/>
              <w:jc w:val="right"/>
              <w:rPr>
                <w:lang w:eastAsia="en-AU"/>
              </w:rPr>
            </w:pPr>
          </w:p>
        </w:tc>
        <w:tc>
          <w:tcPr>
            <w:tcW w:w="1330" w:type="dxa"/>
          </w:tcPr>
          <w:p w14:paraId="30391651" w14:textId="5EEE9E05" w:rsidR="003C09B2" w:rsidRDefault="003C09B2" w:rsidP="00861732">
            <w:pPr>
              <w:pStyle w:val="Tabletext"/>
              <w:jc w:val="right"/>
              <w:rPr>
                <w:lang w:eastAsia="en-AU"/>
              </w:rPr>
            </w:pPr>
          </w:p>
        </w:tc>
        <w:tc>
          <w:tcPr>
            <w:tcW w:w="1330" w:type="dxa"/>
          </w:tcPr>
          <w:p w14:paraId="12620D0E" w14:textId="3E4D9C17" w:rsidR="003C09B2" w:rsidRDefault="003C09B2" w:rsidP="00861732">
            <w:pPr>
              <w:pStyle w:val="Tabletext"/>
              <w:jc w:val="right"/>
              <w:rPr>
                <w:lang w:eastAsia="en-AU"/>
              </w:rPr>
            </w:pPr>
          </w:p>
        </w:tc>
      </w:tr>
      <w:tr w:rsidR="003C09B2" w14:paraId="1A3E7649"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273D388A" w14:textId="4BA9707F" w:rsidR="003C09B2" w:rsidRDefault="003C09B2" w:rsidP="00861732">
            <w:pPr>
              <w:pStyle w:val="Tabletext"/>
              <w:jc w:val="right"/>
              <w:rPr>
                <w:lang w:eastAsia="en-AU"/>
              </w:rPr>
            </w:pPr>
          </w:p>
        </w:tc>
        <w:tc>
          <w:tcPr>
            <w:tcW w:w="1333" w:type="dxa"/>
          </w:tcPr>
          <w:p w14:paraId="72AEC43F" w14:textId="77777777" w:rsidR="003C09B2" w:rsidRDefault="003C09B2" w:rsidP="00861732">
            <w:pPr>
              <w:pStyle w:val="Tabletext"/>
              <w:jc w:val="right"/>
              <w:rPr>
                <w:lang w:eastAsia="en-AU"/>
              </w:rPr>
            </w:pPr>
            <w:r w:rsidRPr="007A2F7B">
              <w:t>4</w:t>
            </w:r>
          </w:p>
        </w:tc>
        <w:tc>
          <w:tcPr>
            <w:tcW w:w="1332" w:type="dxa"/>
          </w:tcPr>
          <w:p w14:paraId="127F30D6" w14:textId="0D8416E6" w:rsidR="003C09B2" w:rsidRDefault="003C09B2" w:rsidP="00861732">
            <w:pPr>
              <w:pStyle w:val="Tabletext"/>
              <w:jc w:val="right"/>
              <w:rPr>
                <w:lang w:eastAsia="en-AU"/>
              </w:rPr>
            </w:pPr>
            <w:r w:rsidRPr="00EC58F2">
              <w:t>251.3</w:t>
            </w:r>
          </w:p>
        </w:tc>
        <w:tc>
          <w:tcPr>
            <w:tcW w:w="1330" w:type="dxa"/>
          </w:tcPr>
          <w:p w14:paraId="5C5F1174" w14:textId="1F6F3998" w:rsidR="003C09B2" w:rsidRDefault="003C09B2" w:rsidP="00861732">
            <w:pPr>
              <w:pStyle w:val="Tabletext"/>
              <w:jc w:val="right"/>
              <w:rPr>
                <w:lang w:eastAsia="en-AU"/>
              </w:rPr>
            </w:pPr>
          </w:p>
        </w:tc>
        <w:tc>
          <w:tcPr>
            <w:tcW w:w="1330" w:type="dxa"/>
          </w:tcPr>
          <w:p w14:paraId="59407E69" w14:textId="198CDA8F" w:rsidR="003C09B2" w:rsidRDefault="003C09B2" w:rsidP="00861732">
            <w:pPr>
              <w:pStyle w:val="Tabletext"/>
              <w:jc w:val="right"/>
              <w:rPr>
                <w:lang w:eastAsia="en-AU"/>
              </w:rPr>
            </w:pPr>
            <w:r w:rsidRPr="00F73029">
              <w:t>259.7</w:t>
            </w:r>
          </w:p>
        </w:tc>
      </w:tr>
      <w:tr w:rsidR="003C09B2" w14:paraId="3C603998"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694C96D3" w14:textId="4B626A17" w:rsidR="003C09B2" w:rsidRDefault="003C09B2" w:rsidP="00861732">
            <w:pPr>
              <w:pStyle w:val="Tabletext"/>
              <w:jc w:val="right"/>
              <w:rPr>
                <w:lang w:eastAsia="en-AU"/>
              </w:rPr>
            </w:pPr>
          </w:p>
        </w:tc>
        <w:tc>
          <w:tcPr>
            <w:tcW w:w="1333" w:type="dxa"/>
          </w:tcPr>
          <w:p w14:paraId="3A43015B" w14:textId="77777777" w:rsidR="003C09B2" w:rsidRDefault="003C09B2" w:rsidP="00861732">
            <w:pPr>
              <w:pStyle w:val="Tabletext"/>
              <w:jc w:val="right"/>
              <w:rPr>
                <w:lang w:eastAsia="en-AU"/>
              </w:rPr>
            </w:pPr>
            <w:r w:rsidRPr="007A2F7B">
              <w:t>5</w:t>
            </w:r>
          </w:p>
        </w:tc>
        <w:tc>
          <w:tcPr>
            <w:tcW w:w="1332" w:type="dxa"/>
          </w:tcPr>
          <w:p w14:paraId="584715F3" w14:textId="14518201" w:rsidR="003C09B2" w:rsidRDefault="003C09B2" w:rsidP="00861732">
            <w:pPr>
              <w:pStyle w:val="Tabletext"/>
              <w:jc w:val="right"/>
              <w:rPr>
                <w:lang w:eastAsia="en-AU"/>
              </w:rPr>
            </w:pPr>
            <w:r w:rsidRPr="00EC58F2">
              <w:t>253.0</w:t>
            </w:r>
          </w:p>
        </w:tc>
        <w:tc>
          <w:tcPr>
            <w:tcW w:w="1330" w:type="dxa"/>
          </w:tcPr>
          <w:p w14:paraId="42063A12" w14:textId="0BFF6E99" w:rsidR="003C09B2" w:rsidRDefault="003C09B2" w:rsidP="00861732">
            <w:pPr>
              <w:pStyle w:val="Tabletext"/>
              <w:jc w:val="right"/>
              <w:rPr>
                <w:lang w:eastAsia="en-AU"/>
              </w:rPr>
            </w:pPr>
            <w:r w:rsidRPr="00D113F7">
              <w:t>413.9</w:t>
            </w:r>
          </w:p>
        </w:tc>
        <w:tc>
          <w:tcPr>
            <w:tcW w:w="1330" w:type="dxa"/>
          </w:tcPr>
          <w:p w14:paraId="72DA50F2" w14:textId="4A8E2D08" w:rsidR="003C09B2" w:rsidRDefault="003C09B2" w:rsidP="00861732">
            <w:pPr>
              <w:pStyle w:val="Tabletext"/>
              <w:jc w:val="right"/>
              <w:rPr>
                <w:lang w:eastAsia="en-AU"/>
              </w:rPr>
            </w:pPr>
            <w:r w:rsidRPr="00F73029">
              <w:t>293.6</w:t>
            </w:r>
          </w:p>
        </w:tc>
      </w:tr>
      <w:tr w:rsidR="003C09B2" w14:paraId="3F4F5CD4"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528E426D" w14:textId="0D0316CB" w:rsidR="003C09B2" w:rsidRDefault="003C09B2" w:rsidP="00861732">
            <w:pPr>
              <w:pStyle w:val="Tabletext"/>
              <w:jc w:val="right"/>
              <w:rPr>
                <w:lang w:eastAsia="en-AU"/>
              </w:rPr>
            </w:pPr>
            <w:r w:rsidRPr="00984FC2">
              <w:t>2010</w:t>
            </w:r>
            <w:r>
              <w:t>–</w:t>
            </w:r>
            <w:r w:rsidRPr="00984FC2">
              <w:t>11</w:t>
            </w:r>
          </w:p>
        </w:tc>
        <w:tc>
          <w:tcPr>
            <w:tcW w:w="1333" w:type="dxa"/>
          </w:tcPr>
          <w:p w14:paraId="36973101" w14:textId="77777777" w:rsidR="003C09B2" w:rsidRDefault="003C09B2" w:rsidP="00861732">
            <w:pPr>
              <w:pStyle w:val="Tabletext"/>
              <w:jc w:val="right"/>
              <w:rPr>
                <w:lang w:eastAsia="en-AU"/>
              </w:rPr>
            </w:pPr>
            <w:r w:rsidRPr="007A2F7B">
              <w:t>2</w:t>
            </w:r>
          </w:p>
        </w:tc>
        <w:tc>
          <w:tcPr>
            <w:tcW w:w="1332" w:type="dxa"/>
          </w:tcPr>
          <w:p w14:paraId="68738CC4" w14:textId="15F52107" w:rsidR="003C09B2" w:rsidRDefault="003C09B2" w:rsidP="00861732">
            <w:pPr>
              <w:pStyle w:val="Tabletext"/>
              <w:jc w:val="right"/>
              <w:rPr>
                <w:lang w:eastAsia="en-AU"/>
              </w:rPr>
            </w:pPr>
          </w:p>
        </w:tc>
        <w:tc>
          <w:tcPr>
            <w:tcW w:w="1330" w:type="dxa"/>
          </w:tcPr>
          <w:p w14:paraId="06DE2B68" w14:textId="455BF30A" w:rsidR="003C09B2" w:rsidRDefault="003C09B2" w:rsidP="00861732">
            <w:pPr>
              <w:pStyle w:val="Tabletext"/>
              <w:jc w:val="right"/>
              <w:rPr>
                <w:lang w:eastAsia="en-AU"/>
              </w:rPr>
            </w:pPr>
          </w:p>
        </w:tc>
        <w:tc>
          <w:tcPr>
            <w:tcW w:w="1330" w:type="dxa"/>
          </w:tcPr>
          <w:p w14:paraId="28A0E3C9" w14:textId="352413A1" w:rsidR="003C09B2" w:rsidRDefault="003C09B2" w:rsidP="00861732">
            <w:pPr>
              <w:pStyle w:val="Tabletext"/>
              <w:jc w:val="right"/>
              <w:rPr>
                <w:lang w:eastAsia="en-AU"/>
              </w:rPr>
            </w:pPr>
            <w:r w:rsidRPr="00F73029">
              <w:t>177.9</w:t>
            </w:r>
          </w:p>
        </w:tc>
      </w:tr>
      <w:tr w:rsidR="003C09B2" w14:paraId="5DB1B258"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62A8FD71" w14:textId="02D881DB" w:rsidR="003C09B2" w:rsidRDefault="003C09B2" w:rsidP="00861732">
            <w:pPr>
              <w:pStyle w:val="Tabletext"/>
              <w:jc w:val="right"/>
              <w:rPr>
                <w:lang w:eastAsia="en-AU"/>
              </w:rPr>
            </w:pPr>
          </w:p>
        </w:tc>
        <w:tc>
          <w:tcPr>
            <w:tcW w:w="1333" w:type="dxa"/>
          </w:tcPr>
          <w:p w14:paraId="080FBC62" w14:textId="77777777" w:rsidR="003C09B2" w:rsidRDefault="003C09B2" w:rsidP="00861732">
            <w:pPr>
              <w:pStyle w:val="Tabletext"/>
              <w:jc w:val="right"/>
              <w:rPr>
                <w:lang w:eastAsia="en-AU"/>
              </w:rPr>
            </w:pPr>
            <w:r w:rsidRPr="007A2F7B">
              <w:t>3</w:t>
            </w:r>
          </w:p>
        </w:tc>
        <w:tc>
          <w:tcPr>
            <w:tcW w:w="1332" w:type="dxa"/>
          </w:tcPr>
          <w:p w14:paraId="3C1A7595" w14:textId="7CF2A5B4" w:rsidR="003C09B2" w:rsidRDefault="003C09B2" w:rsidP="00861732">
            <w:pPr>
              <w:pStyle w:val="Tabletext"/>
              <w:jc w:val="right"/>
              <w:rPr>
                <w:lang w:eastAsia="en-AU"/>
              </w:rPr>
            </w:pPr>
            <w:r w:rsidRPr="00EC58F2">
              <w:t>142.6</w:t>
            </w:r>
          </w:p>
        </w:tc>
        <w:tc>
          <w:tcPr>
            <w:tcW w:w="1330" w:type="dxa"/>
          </w:tcPr>
          <w:p w14:paraId="342D0D80" w14:textId="77777777" w:rsidR="003C09B2" w:rsidRDefault="003C09B2" w:rsidP="00861732">
            <w:pPr>
              <w:pStyle w:val="Tabletext"/>
              <w:jc w:val="right"/>
              <w:rPr>
                <w:lang w:eastAsia="en-AU"/>
              </w:rPr>
            </w:pPr>
          </w:p>
        </w:tc>
        <w:tc>
          <w:tcPr>
            <w:tcW w:w="1330" w:type="dxa"/>
          </w:tcPr>
          <w:p w14:paraId="20B1BD23" w14:textId="3D9B0181" w:rsidR="003C09B2" w:rsidRDefault="003C09B2" w:rsidP="00861732">
            <w:pPr>
              <w:pStyle w:val="Tabletext"/>
              <w:jc w:val="right"/>
              <w:rPr>
                <w:lang w:eastAsia="en-AU"/>
              </w:rPr>
            </w:pPr>
            <w:r w:rsidRPr="00F73029">
              <w:t>231.8</w:t>
            </w:r>
          </w:p>
        </w:tc>
      </w:tr>
      <w:tr w:rsidR="003C09B2" w14:paraId="23250281"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0513B084" w14:textId="0353023A" w:rsidR="003C09B2" w:rsidRDefault="003C09B2" w:rsidP="00861732">
            <w:pPr>
              <w:pStyle w:val="Tabletext"/>
              <w:jc w:val="right"/>
              <w:rPr>
                <w:lang w:eastAsia="en-AU"/>
              </w:rPr>
            </w:pPr>
          </w:p>
        </w:tc>
        <w:tc>
          <w:tcPr>
            <w:tcW w:w="1333" w:type="dxa"/>
          </w:tcPr>
          <w:p w14:paraId="5F67638F" w14:textId="77777777" w:rsidR="003C09B2" w:rsidRDefault="003C09B2" w:rsidP="00861732">
            <w:pPr>
              <w:pStyle w:val="Tabletext"/>
              <w:jc w:val="right"/>
              <w:rPr>
                <w:lang w:eastAsia="en-AU"/>
              </w:rPr>
            </w:pPr>
            <w:r w:rsidRPr="007A2F7B">
              <w:t>4</w:t>
            </w:r>
          </w:p>
        </w:tc>
        <w:tc>
          <w:tcPr>
            <w:tcW w:w="1332" w:type="dxa"/>
          </w:tcPr>
          <w:p w14:paraId="2A88ADB9" w14:textId="4B289E09" w:rsidR="003C09B2" w:rsidRDefault="003C09B2" w:rsidP="00861732">
            <w:pPr>
              <w:pStyle w:val="Tabletext"/>
              <w:jc w:val="right"/>
              <w:rPr>
                <w:lang w:eastAsia="en-AU"/>
              </w:rPr>
            </w:pPr>
            <w:r w:rsidRPr="00EC58F2">
              <w:t>206.6</w:t>
            </w:r>
          </w:p>
        </w:tc>
        <w:tc>
          <w:tcPr>
            <w:tcW w:w="1330" w:type="dxa"/>
          </w:tcPr>
          <w:p w14:paraId="5CC3EFC2" w14:textId="77777777" w:rsidR="003C09B2" w:rsidRDefault="003C09B2" w:rsidP="00861732">
            <w:pPr>
              <w:pStyle w:val="Tabletext"/>
              <w:jc w:val="right"/>
              <w:rPr>
                <w:lang w:eastAsia="en-AU"/>
              </w:rPr>
            </w:pPr>
          </w:p>
        </w:tc>
        <w:tc>
          <w:tcPr>
            <w:tcW w:w="1330" w:type="dxa"/>
          </w:tcPr>
          <w:p w14:paraId="00D915C6" w14:textId="6C5598D7" w:rsidR="003C09B2" w:rsidRDefault="003C09B2" w:rsidP="00861732">
            <w:pPr>
              <w:pStyle w:val="Tabletext"/>
              <w:jc w:val="right"/>
              <w:rPr>
                <w:lang w:eastAsia="en-AU"/>
              </w:rPr>
            </w:pPr>
            <w:r w:rsidRPr="00F73029">
              <w:t>314.5</w:t>
            </w:r>
          </w:p>
        </w:tc>
      </w:tr>
      <w:tr w:rsidR="003C09B2" w14:paraId="29E742AA"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5DDDE3D5" w14:textId="3D6E723C" w:rsidR="003C09B2" w:rsidRDefault="003C09B2" w:rsidP="00861732">
            <w:pPr>
              <w:pStyle w:val="Tabletext"/>
              <w:jc w:val="right"/>
              <w:rPr>
                <w:lang w:eastAsia="en-AU"/>
              </w:rPr>
            </w:pPr>
          </w:p>
        </w:tc>
        <w:tc>
          <w:tcPr>
            <w:tcW w:w="1333" w:type="dxa"/>
          </w:tcPr>
          <w:p w14:paraId="247A46F9" w14:textId="77777777" w:rsidR="003C09B2" w:rsidRDefault="003C09B2" w:rsidP="00861732">
            <w:pPr>
              <w:pStyle w:val="Tabletext"/>
              <w:jc w:val="right"/>
              <w:rPr>
                <w:lang w:eastAsia="en-AU"/>
              </w:rPr>
            </w:pPr>
            <w:r w:rsidRPr="007A2F7B">
              <w:t>5</w:t>
            </w:r>
          </w:p>
        </w:tc>
        <w:tc>
          <w:tcPr>
            <w:tcW w:w="1332" w:type="dxa"/>
          </w:tcPr>
          <w:p w14:paraId="0E84F817" w14:textId="5936D8F6" w:rsidR="003C09B2" w:rsidRDefault="003C09B2" w:rsidP="00861732">
            <w:pPr>
              <w:pStyle w:val="Tabletext"/>
              <w:jc w:val="right"/>
              <w:rPr>
                <w:lang w:eastAsia="en-AU"/>
              </w:rPr>
            </w:pPr>
            <w:r w:rsidRPr="00EC58F2">
              <w:t>125.3</w:t>
            </w:r>
          </w:p>
        </w:tc>
        <w:tc>
          <w:tcPr>
            <w:tcW w:w="1330" w:type="dxa"/>
          </w:tcPr>
          <w:p w14:paraId="7228F8F8" w14:textId="286F3F48" w:rsidR="003C09B2" w:rsidRDefault="003C09B2" w:rsidP="00861732">
            <w:pPr>
              <w:pStyle w:val="Tabletext"/>
              <w:jc w:val="right"/>
              <w:rPr>
                <w:lang w:eastAsia="en-AU"/>
              </w:rPr>
            </w:pPr>
            <w:r w:rsidRPr="00D113F7">
              <w:t>62.8</w:t>
            </w:r>
          </w:p>
        </w:tc>
        <w:tc>
          <w:tcPr>
            <w:tcW w:w="1330" w:type="dxa"/>
          </w:tcPr>
          <w:p w14:paraId="568E3DD7" w14:textId="0D28BDE3" w:rsidR="003C09B2" w:rsidRDefault="003C09B2" w:rsidP="00861732">
            <w:pPr>
              <w:pStyle w:val="Tabletext"/>
              <w:jc w:val="right"/>
              <w:rPr>
                <w:lang w:eastAsia="en-AU"/>
              </w:rPr>
            </w:pPr>
            <w:r w:rsidRPr="00F73029">
              <w:t>129.1</w:t>
            </w:r>
          </w:p>
        </w:tc>
      </w:tr>
      <w:tr w:rsidR="003C09B2" w14:paraId="7C5B11CE"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27F53A44" w14:textId="3BADCC9D" w:rsidR="003C09B2" w:rsidRDefault="003C09B2" w:rsidP="00861732">
            <w:pPr>
              <w:pStyle w:val="Tabletext"/>
              <w:jc w:val="right"/>
              <w:rPr>
                <w:lang w:eastAsia="en-AU"/>
              </w:rPr>
            </w:pPr>
            <w:r w:rsidRPr="00984FC2">
              <w:t>2011</w:t>
            </w:r>
            <w:r>
              <w:t>–</w:t>
            </w:r>
            <w:r w:rsidRPr="00984FC2">
              <w:t>12</w:t>
            </w:r>
          </w:p>
        </w:tc>
        <w:tc>
          <w:tcPr>
            <w:tcW w:w="1333" w:type="dxa"/>
          </w:tcPr>
          <w:p w14:paraId="05C919A0" w14:textId="77777777" w:rsidR="003C09B2" w:rsidRDefault="003C09B2" w:rsidP="00861732">
            <w:pPr>
              <w:pStyle w:val="Tabletext"/>
              <w:jc w:val="right"/>
              <w:rPr>
                <w:lang w:eastAsia="en-AU"/>
              </w:rPr>
            </w:pPr>
            <w:r w:rsidRPr="007A2F7B">
              <w:t>2</w:t>
            </w:r>
          </w:p>
        </w:tc>
        <w:tc>
          <w:tcPr>
            <w:tcW w:w="1332" w:type="dxa"/>
          </w:tcPr>
          <w:p w14:paraId="10C97347" w14:textId="6F097252" w:rsidR="003C09B2" w:rsidRDefault="003C09B2" w:rsidP="00861732">
            <w:pPr>
              <w:pStyle w:val="Tabletext"/>
              <w:jc w:val="right"/>
              <w:rPr>
                <w:lang w:eastAsia="en-AU"/>
              </w:rPr>
            </w:pPr>
            <w:r w:rsidRPr="00EC58F2">
              <w:t>201.5</w:t>
            </w:r>
          </w:p>
        </w:tc>
        <w:tc>
          <w:tcPr>
            <w:tcW w:w="1330" w:type="dxa"/>
          </w:tcPr>
          <w:p w14:paraId="205FB9CA" w14:textId="4EDB7BFB" w:rsidR="003C09B2" w:rsidRDefault="003C09B2" w:rsidP="00861732">
            <w:pPr>
              <w:pStyle w:val="Tabletext"/>
              <w:jc w:val="right"/>
              <w:rPr>
                <w:lang w:eastAsia="en-AU"/>
              </w:rPr>
            </w:pPr>
            <w:r w:rsidRPr="00D113F7">
              <w:t>155.4</w:t>
            </w:r>
          </w:p>
        </w:tc>
        <w:tc>
          <w:tcPr>
            <w:tcW w:w="1330" w:type="dxa"/>
          </w:tcPr>
          <w:p w14:paraId="7BB57BCB" w14:textId="5873B138" w:rsidR="003C09B2" w:rsidRDefault="003C09B2" w:rsidP="00861732">
            <w:pPr>
              <w:pStyle w:val="Tabletext"/>
              <w:jc w:val="right"/>
              <w:rPr>
                <w:lang w:eastAsia="en-AU"/>
              </w:rPr>
            </w:pPr>
            <w:r w:rsidRPr="00F73029">
              <w:t>153.1</w:t>
            </w:r>
          </w:p>
        </w:tc>
      </w:tr>
      <w:tr w:rsidR="003C09B2" w14:paraId="333F4FF1"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4CC6FDCD" w14:textId="2BCD607B" w:rsidR="003C09B2" w:rsidRDefault="003C09B2" w:rsidP="00861732">
            <w:pPr>
              <w:pStyle w:val="Tabletext"/>
              <w:jc w:val="right"/>
              <w:rPr>
                <w:lang w:eastAsia="en-AU"/>
              </w:rPr>
            </w:pPr>
          </w:p>
        </w:tc>
        <w:tc>
          <w:tcPr>
            <w:tcW w:w="1333" w:type="dxa"/>
          </w:tcPr>
          <w:p w14:paraId="090385F5" w14:textId="77777777" w:rsidR="003C09B2" w:rsidRDefault="003C09B2" w:rsidP="00861732">
            <w:pPr>
              <w:pStyle w:val="Tabletext"/>
              <w:jc w:val="right"/>
              <w:rPr>
                <w:lang w:eastAsia="en-AU"/>
              </w:rPr>
            </w:pPr>
            <w:r w:rsidRPr="007A2F7B">
              <w:t>3</w:t>
            </w:r>
          </w:p>
        </w:tc>
        <w:tc>
          <w:tcPr>
            <w:tcW w:w="1332" w:type="dxa"/>
          </w:tcPr>
          <w:p w14:paraId="37592B29" w14:textId="69628DE1" w:rsidR="003C09B2" w:rsidRDefault="003C09B2" w:rsidP="00861732">
            <w:pPr>
              <w:pStyle w:val="Tabletext"/>
              <w:jc w:val="right"/>
              <w:rPr>
                <w:lang w:eastAsia="en-AU"/>
              </w:rPr>
            </w:pPr>
            <w:r w:rsidRPr="00EC58F2">
              <w:t>255.7</w:t>
            </w:r>
          </w:p>
        </w:tc>
        <w:tc>
          <w:tcPr>
            <w:tcW w:w="1330" w:type="dxa"/>
          </w:tcPr>
          <w:p w14:paraId="2200A169" w14:textId="04E9D718" w:rsidR="003C09B2" w:rsidRDefault="003C09B2" w:rsidP="00861732">
            <w:pPr>
              <w:pStyle w:val="Tabletext"/>
              <w:jc w:val="right"/>
              <w:rPr>
                <w:lang w:eastAsia="en-AU"/>
              </w:rPr>
            </w:pPr>
            <w:r w:rsidRPr="00D113F7">
              <w:t>101.6</w:t>
            </w:r>
          </w:p>
        </w:tc>
        <w:tc>
          <w:tcPr>
            <w:tcW w:w="1330" w:type="dxa"/>
          </w:tcPr>
          <w:p w14:paraId="777088DC" w14:textId="19ED6BD8" w:rsidR="003C09B2" w:rsidRDefault="003C09B2" w:rsidP="00861732">
            <w:pPr>
              <w:pStyle w:val="Tabletext"/>
              <w:jc w:val="right"/>
              <w:rPr>
                <w:lang w:eastAsia="en-AU"/>
              </w:rPr>
            </w:pPr>
            <w:r w:rsidRPr="00F73029">
              <w:t>186.9</w:t>
            </w:r>
          </w:p>
        </w:tc>
      </w:tr>
      <w:tr w:rsidR="003C09B2" w14:paraId="08B7F3B1"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1EEA994F" w14:textId="6150B34F" w:rsidR="003C09B2" w:rsidRDefault="003C09B2" w:rsidP="00861732">
            <w:pPr>
              <w:pStyle w:val="Tabletext"/>
              <w:jc w:val="right"/>
              <w:rPr>
                <w:lang w:eastAsia="en-AU"/>
              </w:rPr>
            </w:pPr>
          </w:p>
        </w:tc>
        <w:tc>
          <w:tcPr>
            <w:tcW w:w="1333" w:type="dxa"/>
          </w:tcPr>
          <w:p w14:paraId="29082D7D" w14:textId="77777777" w:rsidR="003C09B2" w:rsidRDefault="003C09B2" w:rsidP="00861732">
            <w:pPr>
              <w:pStyle w:val="Tabletext"/>
              <w:jc w:val="right"/>
              <w:rPr>
                <w:lang w:eastAsia="en-AU"/>
              </w:rPr>
            </w:pPr>
            <w:r w:rsidRPr="007A2F7B">
              <w:t>4</w:t>
            </w:r>
          </w:p>
        </w:tc>
        <w:tc>
          <w:tcPr>
            <w:tcW w:w="1332" w:type="dxa"/>
          </w:tcPr>
          <w:p w14:paraId="76554152" w14:textId="444EF2D1" w:rsidR="003C09B2" w:rsidRDefault="003C09B2" w:rsidP="00861732">
            <w:pPr>
              <w:pStyle w:val="Tabletext"/>
              <w:jc w:val="right"/>
              <w:rPr>
                <w:lang w:eastAsia="en-AU"/>
              </w:rPr>
            </w:pPr>
            <w:r w:rsidRPr="00EC58F2">
              <w:t>314.6</w:t>
            </w:r>
          </w:p>
        </w:tc>
        <w:tc>
          <w:tcPr>
            <w:tcW w:w="1330" w:type="dxa"/>
          </w:tcPr>
          <w:p w14:paraId="0AA18CFE" w14:textId="354908C6" w:rsidR="003C09B2" w:rsidRDefault="003C09B2" w:rsidP="00861732">
            <w:pPr>
              <w:pStyle w:val="Tabletext"/>
              <w:jc w:val="right"/>
              <w:rPr>
                <w:lang w:eastAsia="en-AU"/>
              </w:rPr>
            </w:pPr>
            <w:r w:rsidRPr="00D113F7">
              <w:t>186.8</w:t>
            </w:r>
          </w:p>
        </w:tc>
        <w:tc>
          <w:tcPr>
            <w:tcW w:w="1330" w:type="dxa"/>
          </w:tcPr>
          <w:p w14:paraId="18156B09" w14:textId="23C6225B" w:rsidR="003C09B2" w:rsidRDefault="003C09B2" w:rsidP="00861732">
            <w:pPr>
              <w:pStyle w:val="Tabletext"/>
              <w:jc w:val="right"/>
              <w:rPr>
                <w:lang w:eastAsia="en-AU"/>
              </w:rPr>
            </w:pPr>
            <w:r w:rsidRPr="00F73029">
              <w:t>308.1</w:t>
            </w:r>
          </w:p>
        </w:tc>
      </w:tr>
      <w:tr w:rsidR="003C09B2" w14:paraId="745D8354" w14:textId="77777777" w:rsidTr="003C09B2">
        <w:trPr>
          <w:cnfStyle w:val="000000010000" w:firstRow="0" w:lastRow="0" w:firstColumn="0" w:lastColumn="0" w:oddVBand="0" w:evenVBand="0" w:oddHBand="0" w:evenHBand="1" w:firstRowFirstColumn="0" w:firstRowLastColumn="0" w:lastRowFirstColumn="0" w:lastRowLastColumn="0"/>
          <w:trHeight w:val="333"/>
        </w:trPr>
        <w:tc>
          <w:tcPr>
            <w:tcW w:w="1536" w:type="dxa"/>
          </w:tcPr>
          <w:p w14:paraId="140C825A" w14:textId="4D0B5C5A" w:rsidR="003C09B2" w:rsidRDefault="003C09B2" w:rsidP="00861732">
            <w:pPr>
              <w:pStyle w:val="Tabletext"/>
              <w:jc w:val="right"/>
              <w:rPr>
                <w:lang w:eastAsia="en-AU"/>
              </w:rPr>
            </w:pPr>
            <w:r w:rsidRPr="00984FC2">
              <w:t>2012</w:t>
            </w:r>
            <w:r>
              <w:t>–</w:t>
            </w:r>
            <w:r w:rsidRPr="00984FC2">
              <w:t>13</w:t>
            </w:r>
          </w:p>
        </w:tc>
        <w:tc>
          <w:tcPr>
            <w:tcW w:w="1333" w:type="dxa"/>
          </w:tcPr>
          <w:p w14:paraId="3EF18140" w14:textId="77777777" w:rsidR="003C09B2" w:rsidRDefault="003C09B2" w:rsidP="00861732">
            <w:pPr>
              <w:pStyle w:val="Tabletext"/>
              <w:jc w:val="right"/>
              <w:rPr>
                <w:lang w:eastAsia="en-AU"/>
              </w:rPr>
            </w:pPr>
            <w:r w:rsidRPr="007A2F7B">
              <w:t>2</w:t>
            </w:r>
          </w:p>
        </w:tc>
        <w:tc>
          <w:tcPr>
            <w:tcW w:w="1332" w:type="dxa"/>
          </w:tcPr>
          <w:p w14:paraId="3C4ECBBF" w14:textId="77777777" w:rsidR="003C09B2" w:rsidRDefault="003C09B2" w:rsidP="00861732">
            <w:pPr>
              <w:pStyle w:val="Tabletext"/>
              <w:jc w:val="right"/>
              <w:rPr>
                <w:lang w:eastAsia="en-AU"/>
              </w:rPr>
            </w:pPr>
          </w:p>
        </w:tc>
        <w:tc>
          <w:tcPr>
            <w:tcW w:w="1330" w:type="dxa"/>
          </w:tcPr>
          <w:p w14:paraId="1A26CE46" w14:textId="77777777" w:rsidR="003C09B2" w:rsidRDefault="003C09B2" w:rsidP="00861732">
            <w:pPr>
              <w:pStyle w:val="Tabletext"/>
              <w:jc w:val="right"/>
              <w:rPr>
                <w:lang w:eastAsia="en-AU"/>
              </w:rPr>
            </w:pPr>
          </w:p>
        </w:tc>
        <w:tc>
          <w:tcPr>
            <w:tcW w:w="1330" w:type="dxa"/>
          </w:tcPr>
          <w:p w14:paraId="457D561D" w14:textId="19DED566" w:rsidR="003C09B2" w:rsidRDefault="003C09B2" w:rsidP="00861732">
            <w:pPr>
              <w:pStyle w:val="Tabletext"/>
              <w:jc w:val="right"/>
              <w:rPr>
                <w:lang w:eastAsia="en-AU"/>
              </w:rPr>
            </w:pPr>
            <w:r w:rsidRPr="00F73029">
              <w:t>194.7</w:t>
            </w:r>
          </w:p>
        </w:tc>
      </w:tr>
      <w:tr w:rsidR="003C09B2" w14:paraId="3BCD2AB6" w14:textId="77777777" w:rsidTr="003C09B2">
        <w:trPr>
          <w:cnfStyle w:val="000000100000" w:firstRow="0" w:lastRow="0" w:firstColumn="0" w:lastColumn="0" w:oddVBand="0" w:evenVBand="0" w:oddHBand="1" w:evenHBand="0" w:firstRowFirstColumn="0" w:firstRowLastColumn="0" w:lastRowFirstColumn="0" w:lastRowLastColumn="0"/>
          <w:trHeight w:val="318"/>
        </w:trPr>
        <w:tc>
          <w:tcPr>
            <w:tcW w:w="1536" w:type="dxa"/>
          </w:tcPr>
          <w:p w14:paraId="428423D4" w14:textId="253ABCB7" w:rsidR="003C09B2" w:rsidRDefault="003C09B2" w:rsidP="00861732">
            <w:pPr>
              <w:pStyle w:val="Tabletext"/>
              <w:jc w:val="right"/>
              <w:rPr>
                <w:lang w:eastAsia="en-AU"/>
              </w:rPr>
            </w:pPr>
          </w:p>
        </w:tc>
        <w:tc>
          <w:tcPr>
            <w:tcW w:w="1333" w:type="dxa"/>
          </w:tcPr>
          <w:p w14:paraId="625F4EA9" w14:textId="77777777" w:rsidR="003C09B2" w:rsidRDefault="003C09B2" w:rsidP="00861732">
            <w:pPr>
              <w:pStyle w:val="Tabletext"/>
              <w:jc w:val="right"/>
              <w:rPr>
                <w:lang w:eastAsia="en-AU"/>
              </w:rPr>
            </w:pPr>
            <w:r w:rsidRPr="007A2F7B">
              <w:t>3</w:t>
            </w:r>
          </w:p>
        </w:tc>
        <w:tc>
          <w:tcPr>
            <w:tcW w:w="1332" w:type="dxa"/>
          </w:tcPr>
          <w:p w14:paraId="700EEF51" w14:textId="71A8E5E2" w:rsidR="003C09B2" w:rsidRDefault="003C09B2" w:rsidP="00861732">
            <w:pPr>
              <w:pStyle w:val="Tabletext"/>
              <w:jc w:val="right"/>
              <w:rPr>
                <w:lang w:eastAsia="en-AU"/>
              </w:rPr>
            </w:pPr>
            <w:r w:rsidRPr="00EC58F2">
              <w:t>238.7</w:t>
            </w:r>
          </w:p>
        </w:tc>
        <w:tc>
          <w:tcPr>
            <w:tcW w:w="1330" w:type="dxa"/>
          </w:tcPr>
          <w:p w14:paraId="0046A004" w14:textId="77777777" w:rsidR="003C09B2" w:rsidRDefault="003C09B2" w:rsidP="00861732">
            <w:pPr>
              <w:pStyle w:val="Tabletext"/>
              <w:jc w:val="right"/>
              <w:rPr>
                <w:lang w:eastAsia="en-AU"/>
              </w:rPr>
            </w:pPr>
          </w:p>
        </w:tc>
        <w:tc>
          <w:tcPr>
            <w:tcW w:w="1330" w:type="dxa"/>
          </w:tcPr>
          <w:p w14:paraId="257605E7" w14:textId="5BDB5CB5" w:rsidR="003C09B2" w:rsidRDefault="003C09B2" w:rsidP="00861732">
            <w:pPr>
              <w:pStyle w:val="Tabletext"/>
              <w:jc w:val="right"/>
              <w:rPr>
                <w:lang w:eastAsia="en-AU"/>
              </w:rPr>
            </w:pPr>
            <w:r w:rsidRPr="00F73029">
              <w:t>-410.0</w:t>
            </w:r>
          </w:p>
        </w:tc>
      </w:tr>
      <w:tr w:rsidR="003C09B2" w14:paraId="7D18C0E9" w14:textId="77777777" w:rsidTr="003C09B2">
        <w:trPr>
          <w:cnfStyle w:val="000000010000" w:firstRow="0" w:lastRow="0" w:firstColumn="0" w:lastColumn="0" w:oddVBand="0" w:evenVBand="0" w:oddHBand="0" w:evenHBand="1" w:firstRowFirstColumn="0" w:firstRowLastColumn="0" w:lastRowFirstColumn="0" w:lastRowLastColumn="0"/>
          <w:trHeight w:val="318"/>
        </w:trPr>
        <w:tc>
          <w:tcPr>
            <w:tcW w:w="1536" w:type="dxa"/>
          </w:tcPr>
          <w:p w14:paraId="48EC6002" w14:textId="1FAEA876" w:rsidR="003C09B2" w:rsidRDefault="003C09B2" w:rsidP="00861732">
            <w:pPr>
              <w:pStyle w:val="Tabletext"/>
              <w:jc w:val="right"/>
              <w:rPr>
                <w:lang w:eastAsia="en-AU"/>
              </w:rPr>
            </w:pPr>
            <w:r w:rsidRPr="00984FC2">
              <w:t>2013</w:t>
            </w:r>
            <w:r>
              <w:t>–</w:t>
            </w:r>
            <w:r w:rsidRPr="00984FC2">
              <w:t>14</w:t>
            </w:r>
          </w:p>
        </w:tc>
        <w:tc>
          <w:tcPr>
            <w:tcW w:w="1333" w:type="dxa"/>
          </w:tcPr>
          <w:p w14:paraId="2F2C090A" w14:textId="77777777" w:rsidR="003C09B2" w:rsidRDefault="003C09B2" w:rsidP="00861732">
            <w:pPr>
              <w:pStyle w:val="Tabletext"/>
              <w:jc w:val="right"/>
              <w:rPr>
                <w:lang w:eastAsia="en-AU"/>
              </w:rPr>
            </w:pPr>
            <w:r w:rsidRPr="007A2F7B">
              <w:t>2</w:t>
            </w:r>
          </w:p>
        </w:tc>
        <w:tc>
          <w:tcPr>
            <w:tcW w:w="1332" w:type="dxa"/>
          </w:tcPr>
          <w:p w14:paraId="5281681D" w14:textId="77777777" w:rsidR="003C09B2" w:rsidRDefault="003C09B2" w:rsidP="00861732">
            <w:pPr>
              <w:pStyle w:val="Tabletext"/>
              <w:jc w:val="right"/>
              <w:rPr>
                <w:lang w:eastAsia="en-AU"/>
              </w:rPr>
            </w:pPr>
          </w:p>
        </w:tc>
        <w:tc>
          <w:tcPr>
            <w:tcW w:w="1330" w:type="dxa"/>
          </w:tcPr>
          <w:p w14:paraId="6745C540" w14:textId="1EBD7EC5" w:rsidR="003C09B2" w:rsidRDefault="003C09B2" w:rsidP="00861732">
            <w:pPr>
              <w:pStyle w:val="Tabletext"/>
              <w:jc w:val="right"/>
              <w:rPr>
                <w:lang w:eastAsia="en-AU"/>
              </w:rPr>
            </w:pPr>
          </w:p>
        </w:tc>
        <w:tc>
          <w:tcPr>
            <w:tcW w:w="1330" w:type="dxa"/>
          </w:tcPr>
          <w:p w14:paraId="5F774180" w14:textId="4CF8E902" w:rsidR="003C09B2" w:rsidRDefault="003C09B2" w:rsidP="00861732">
            <w:pPr>
              <w:pStyle w:val="Tabletext"/>
              <w:jc w:val="right"/>
              <w:rPr>
                <w:lang w:eastAsia="en-AU"/>
              </w:rPr>
            </w:pPr>
            <w:r w:rsidRPr="00F73029">
              <w:t>-441.8</w:t>
            </w:r>
          </w:p>
        </w:tc>
      </w:tr>
    </w:tbl>
    <w:p w14:paraId="39AD9CB0" w14:textId="6322DA3A" w:rsidR="002D40C9" w:rsidRDefault="002D40C9" w:rsidP="002D40C9">
      <w:pPr>
        <w:pStyle w:val="Note"/>
        <w:rPr>
          <w:lang w:eastAsia="en-AU"/>
        </w:rPr>
      </w:pPr>
      <w:r>
        <w:rPr>
          <w:lang w:eastAsia="en-AU"/>
        </w:rPr>
        <w:t xml:space="preserve">Notes: All values shown in table are significant at 10 per cent. Blank cells are results that are not statistically significant. </w:t>
      </w:r>
      <w:r w:rsidR="00F96A9C">
        <w:rPr>
          <w:lang w:eastAsia="en-AU"/>
        </w:rPr>
        <w:t>N/a denotes sample size is too small to calculate a value.</w:t>
      </w:r>
    </w:p>
    <w:p w14:paraId="214278A9" w14:textId="13862940" w:rsidR="002D40C9" w:rsidRDefault="002D40C9" w:rsidP="0034756F">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72CBF37A" w14:textId="216286DE" w:rsidR="008C04CA" w:rsidRDefault="002D40C9" w:rsidP="008C04CA">
      <w:pPr>
        <w:pStyle w:val="Heading2"/>
      </w:pPr>
      <w:r>
        <w:t xml:space="preserve">Employment </w:t>
      </w:r>
    </w:p>
    <w:p w14:paraId="21587622" w14:textId="6631BB00" w:rsidR="00165533" w:rsidRDefault="00165533" w:rsidP="00165533">
      <w:pPr>
        <w:pStyle w:val="BodyText"/>
      </w:pPr>
      <w:r>
        <w:t xml:space="preserve">Table 6.2 reports the ATT between EC and </w:t>
      </w:r>
      <w:r w:rsidR="00D77CAE">
        <w:t>non-</w:t>
      </w:r>
      <w:r>
        <w:t>EC participants for employment (FTE) growth within two, three, four and five years, b</w:t>
      </w:r>
      <w:r w:rsidR="000B568B">
        <w:t>y cohort, industry and program</w:t>
      </w:r>
      <w:r>
        <w:t xml:space="preserve"> element. </w:t>
      </w:r>
    </w:p>
    <w:p w14:paraId="005702E8" w14:textId="544905BA" w:rsidR="00E31763" w:rsidRDefault="00671DA8" w:rsidP="00E31763">
      <w:pPr>
        <w:pStyle w:val="BodyText"/>
      </w:pPr>
      <w:r>
        <w:t>EC firms</w:t>
      </w:r>
      <w:r w:rsidR="00E31763">
        <w:t xml:space="preserve"> appear </w:t>
      </w:r>
      <w:r w:rsidR="000B568B">
        <w:t>to benefit from the EC program</w:t>
      </w:r>
      <w:r w:rsidR="00E31763">
        <w:t xml:space="preserve"> </w:t>
      </w:r>
      <w:r w:rsidR="00CD32A2">
        <w:t>in</w:t>
      </w:r>
      <w:r w:rsidR="00E31763">
        <w:t xml:space="preserve"> terms of employment growth, as do later cohorts of the program in general. The relatively weak performance in the early cohort</w:t>
      </w:r>
      <w:r w:rsidR="000B568B">
        <w:t>s may reflect the AIPC program</w:t>
      </w:r>
      <w:r w:rsidR="00E31763">
        <w:t xml:space="preserve"> rather than the</w:t>
      </w:r>
      <w:r w:rsidR="000B568B">
        <w:t xml:space="preserve"> EC program</w:t>
      </w:r>
      <w:r w:rsidR="00E31763">
        <w:t>.</w:t>
      </w:r>
      <w:r w:rsidR="00E31763" w:rsidRPr="00E31763">
        <w:t xml:space="preserve"> </w:t>
      </w:r>
      <w:r w:rsidR="00E31763">
        <w:t>The lack of statistically significant results in the early cohorts may also reflect the smaller sizes of these cohorts.</w:t>
      </w:r>
    </w:p>
    <w:p w14:paraId="78D2CE4B" w14:textId="77777777" w:rsidR="00165533" w:rsidRPr="00165533" w:rsidRDefault="00165533" w:rsidP="00165533">
      <w:pPr>
        <w:pStyle w:val="BodyText"/>
      </w:pPr>
    </w:p>
    <w:p w14:paraId="5BDCC2F8" w14:textId="2B4A2F2E" w:rsidR="002D40C9" w:rsidRDefault="002D40C9" w:rsidP="002D40C9">
      <w:pPr>
        <w:pStyle w:val="Caption"/>
      </w:pPr>
      <w:r w:rsidRPr="000618FB">
        <w:lastRenderedPageBreak/>
        <w:t xml:space="preserve">Table </w:t>
      </w:r>
      <w:r w:rsidR="00F26E17">
        <w:t>6</w:t>
      </w:r>
      <w:r>
        <w:t xml:space="preserve">.2. </w:t>
      </w:r>
      <w:r w:rsidR="002E589C">
        <w:t xml:space="preserve">Employment (number of FTE) </w:t>
      </w:r>
      <w:r>
        <w:t>ATT, b</w:t>
      </w:r>
      <w:r w:rsidR="0027518A">
        <w:t>y cohort and</w:t>
      </w:r>
      <w:r w:rsidR="000B568B">
        <w:t xml:space="preserve"> industry</w:t>
      </w:r>
      <w:r>
        <w:t xml:space="preserve"> </w:t>
      </w:r>
    </w:p>
    <w:tbl>
      <w:tblPr>
        <w:tblStyle w:val="OCETable"/>
        <w:tblW w:w="4932" w:type="pct"/>
        <w:tblInd w:w="57" w:type="dxa"/>
        <w:tblLayout w:type="fixed"/>
        <w:tblLook w:val="04A0" w:firstRow="1" w:lastRow="0" w:firstColumn="1" w:lastColumn="0" w:noHBand="0" w:noVBand="1"/>
        <w:tblCaption w:val="Table 6.2. Employment (number of FTE) ATT, by cohort, industry and programme element "/>
      </w:tblPr>
      <w:tblGrid>
        <w:gridCol w:w="1520"/>
        <w:gridCol w:w="1322"/>
        <w:gridCol w:w="1320"/>
        <w:gridCol w:w="1319"/>
        <w:gridCol w:w="1319"/>
      </w:tblGrid>
      <w:tr w:rsidR="00406684" w14:paraId="0CE0BD6E" w14:textId="77777777" w:rsidTr="00F42C15">
        <w:trPr>
          <w:cnfStyle w:val="100000000000" w:firstRow="1" w:lastRow="0" w:firstColumn="0" w:lastColumn="0" w:oddVBand="0" w:evenVBand="0" w:oddHBand="0" w:evenHBand="0" w:firstRowFirstColumn="0" w:firstRowLastColumn="0" w:lastRowFirstColumn="0" w:lastRowLastColumn="0"/>
          <w:trHeight w:val="395"/>
          <w:tblHeader/>
        </w:trPr>
        <w:tc>
          <w:tcPr>
            <w:tcW w:w="1520" w:type="dxa"/>
          </w:tcPr>
          <w:p w14:paraId="3F309982" w14:textId="77777777" w:rsidR="00406684" w:rsidRDefault="00406684" w:rsidP="009C6471">
            <w:pPr>
              <w:pStyle w:val="Tableheader"/>
              <w:jc w:val="right"/>
              <w:rPr>
                <w:lang w:eastAsia="en-AU"/>
              </w:rPr>
            </w:pPr>
            <w:r>
              <w:rPr>
                <w:lang w:eastAsia="en-AU"/>
              </w:rPr>
              <w:t>Cohort</w:t>
            </w:r>
          </w:p>
        </w:tc>
        <w:tc>
          <w:tcPr>
            <w:tcW w:w="1322" w:type="dxa"/>
          </w:tcPr>
          <w:p w14:paraId="467DDBE7" w14:textId="77777777" w:rsidR="00406684" w:rsidRDefault="00406684" w:rsidP="009C6471">
            <w:pPr>
              <w:pStyle w:val="Tableheader"/>
              <w:jc w:val="right"/>
              <w:rPr>
                <w:lang w:eastAsia="en-AU"/>
              </w:rPr>
            </w:pPr>
            <w:r>
              <w:rPr>
                <w:lang w:eastAsia="en-AU"/>
              </w:rPr>
              <w:t xml:space="preserve">Years </w:t>
            </w:r>
          </w:p>
        </w:tc>
        <w:tc>
          <w:tcPr>
            <w:tcW w:w="1320" w:type="dxa"/>
          </w:tcPr>
          <w:p w14:paraId="656A184A" w14:textId="353710E7" w:rsidR="00406684" w:rsidRDefault="00406684" w:rsidP="009C6471">
            <w:pPr>
              <w:pStyle w:val="Tableheader"/>
              <w:jc w:val="right"/>
              <w:rPr>
                <w:lang w:eastAsia="en-AU"/>
              </w:rPr>
            </w:pPr>
            <w:r>
              <w:rPr>
                <w:lang w:eastAsia="en-AU"/>
              </w:rPr>
              <w:t>Manufacturing</w:t>
            </w:r>
          </w:p>
        </w:tc>
        <w:tc>
          <w:tcPr>
            <w:tcW w:w="1319" w:type="dxa"/>
          </w:tcPr>
          <w:p w14:paraId="5E2BDF9C" w14:textId="0E5B14E4" w:rsidR="00406684" w:rsidRDefault="00406684" w:rsidP="00F42C15">
            <w:pPr>
              <w:pStyle w:val="Tableheader"/>
              <w:tabs>
                <w:tab w:val="center" w:pos="730"/>
              </w:tabs>
              <w:jc w:val="center"/>
              <w:rPr>
                <w:lang w:eastAsia="en-AU"/>
              </w:rPr>
            </w:pPr>
            <w:r>
              <w:rPr>
                <w:lang w:eastAsia="en-AU"/>
              </w:rPr>
              <w:t>PST</w:t>
            </w:r>
            <w:r>
              <w:rPr>
                <w:lang w:eastAsia="en-AU"/>
              </w:rPr>
              <w:tab/>
            </w:r>
          </w:p>
        </w:tc>
        <w:tc>
          <w:tcPr>
            <w:tcW w:w="1319" w:type="dxa"/>
          </w:tcPr>
          <w:p w14:paraId="542E3CD6" w14:textId="7DBDE4ED" w:rsidR="00406684" w:rsidRDefault="00406684" w:rsidP="009C6471">
            <w:pPr>
              <w:pStyle w:val="Tableheader"/>
              <w:jc w:val="right"/>
              <w:rPr>
                <w:lang w:eastAsia="en-AU"/>
              </w:rPr>
            </w:pPr>
            <w:r>
              <w:rPr>
                <w:lang w:eastAsia="en-AU"/>
              </w:rPr>
              <w:t>Other Services</w:t>
            </w:r>
          </w:p>
        </w:tc>
      </w:tr>
      <w:tr w:rsidR="00406684" w14:paraId="765B1A62"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30946769" w14:textId="21CF358E" w:rsidR="00406684" w:rsidRDefault="00406684" w:rsidP="004A464C">
            <w:pPr>
              <w:pStyle w:val="Tabletext"/>
              <w:jc w:val="right"/>
              <w:rPr>
                <w:lang w:eastAsia="en-AU"/>
              </w:rPr>
            </w:pPr>
            <w:r w:rsidRPr="00984FC2">
              <w:t>2007</w:t>
            </w:r>
            <w:r>
              <w:t>–</w:t>
            </w:r>
            <w:r w:rsidRPr="00984FC2">
              <w:t>08</w:t>
            </w:r>
          </w:p>
        </w:tc>
        <w:tc>
          <w:tcPr>
            <w:tcW w:w="1322" w:type="dxa"/>
          </w:tcPr>
          <w:p w14:paraId="485001A8" w14:textId="77777777" w:rsidR="00406684" w:rsidRDefault="00406684" w:rsidP="004A464C">
            <w:pPr>
              <w:pStyle w:val="Tabletext"/>
              <w:jc w:val="right"/>
              <w:rPr>
                <w:lang w:eastAsia="en-AU"/>
              </w:rPr>
            </w:pPr>
            <w:r w:rsidRPr="007A2F7B">
              <w:t>2</w:t>
            </w:r>
          </w:p>
        </w:tc>
        <w:tc>
          <w:tcPr>
            <w:tcW w:w="1320" w:type="dxa"/>
          </w:tcPr>
          <w:p w14:paraId="35DD17C0" w14:textId="77777777" w:rsidR="00406684" w:rsidRDefault="00406684" w:rsidP="004A464C">
            <w:pPr>
              <w:pStyle w:val="Tabletext"/>
              <w:jc w:val="right"/>
            </w:pPr>
          </w:p>
        </w:tc>
        <w:tc>
          <w:tcPr>
            <w:tcW w:w="1319" w:type="dxa"/>
          </w:tcPr>
          <w:p w14:paraId="533212C1" w14:textId="1C168257" w:rsidR="00406684" w:rsidRDefault="00406684" w:rsidP="004A464C">
            <w:pPr>
              <w:pStyle w:val="Tabletext"/>
              <w:jc w:val="right"/>
            </w:pPr>
          </w:p>
        </w:tc>
        <w:tc>
          <w:tcPr>
            <w:tcW w:w="1319" w:type="dxa"/>
          </w:tcPr>
          <w:p w14:paraId="6316A23E" w14:textId="6FC74AAB" w:rsidR="00406684" w:rsidRDefault="00406684" w:rsidP="004A464C">
            <w:pPr>
              <w:pStyle w:val="Tabletext"/>
              <w:jc w:val="right"/>
            </w:pPr>
          </w:p>
        </w:tc>
      </w:tr>
      <w:tr w:rsidR="00406684" w14:paraId="4B6F79E4"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20101717" w14:textId="5489A8DC" w:rsidR="00406684" w:rsidRDefault="00406684" w:rsidP="004A464C">
            <w:pPr>
              <w:pStyle w:val="Tabletext"/>
              <w:jc w:val="right"/>
              <w:rPr>
                <w:lang w:eastAsia="en-AU"/>
              </w:rPr>
            </w:pPr>
          </w:p>
        </w:tc>
        <w:tc>
          <w:tcPr>
            <w:tcW w:w="1322" w:type="dxa"/>
          </w:tcPr>
          <w:p w14:paraId="2452A001" w14:textId="77777777" w:rsidR="00406684" w:rsidRDefault="00406684" w:rsidP="004A464C">
            <w:pPr>
              <w:pStyle w:val="Tabletext"/>
              <w:jc w:val="right"/>
              <w:rPr>
                <w:lang w:eastAsia="en-AU"/>
              </w:rPr>
            </w:pPr>
            <w:r w:rsidRPr="007A2F7B">
              <w:t>3</w:t>
            </w:r>
          </w:p>
        </w:tc>
        <w:tc>
          <w:tcPr>
            <w:tcW w:w="1320" w:type="dxa"/>
          </w:tcPr>
          <w:p w14:paraId="3E1007A1" w14:textId="77777777" w:rsidR="00406684" w:rsidRDefault="00406684" w:rsidP="004A464C">
            <w:pPr>
              <w:pStyle w:val="Tabletext"/>
              <w:jc w:val="right"/>
            </w:pPr>
          </w:p>
        </w:tc>
        <w:tc>
          <w:tcPr>
            <w:tcW w:w="1319" w:type="dxa"/>
          </w:tcPr>
          <w:p w14:paraId="3C032918" w14:textId="7170FFA5" w:rsidR="00406684" w:rsidRDefault="00406684" w:rsidP="004A464C">
            <w:pPr>
              <w:pStyle w:val="Tabletext"/>
              <w:jc w:val="right"/>
            </w:pPr>
          </w:p>
        </w:tc>
        <w:tc>
          <w:tcPr>
            <w:tcW w:w="1319" w:type="dxa"/>
          </w:tcPr>
          <w:p w14:paraId="6CEFED4C" w14:textId="4D7B6780" w:rsidR="00406684" w:rsidRDefault="00406684" w:rsidP="004A464C">
            <w:pPr>
              <w:pStyle w:val="Tabletext"/>
              <w:jc w:val="right"/>
            </w:pPr>
          </w:p>
        </w:tc>
      </w:tr>
      <w:tr w:rsidR="00406684" w14:paraId="08207F92"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EA3EE48" w14:textId="2F36BD43" w:rsidR="00406684" w:rsidRDefault="00406684" w:rsidP="004A464C">
            <w:pPr>
              <w:pStyle w:val="Tabletext"/>
              <w:jc w:val="right"/>
              <w:rPr>
                <w:lang w:eastAsia="en-AU"/>
              </w:rPr>
            </w:pPr>
          </w:p>
        </w:tc>
        <w:tc>
          <w:tcPr>
            <w:tcW w:w="1322" w:type="dxa"/>
          </w:tcPr>
          <w:p w14:paraId="41F8FA73" w14:textId="77777777" w:rsidR="00406684" w:rsidRDefault="00406684" w:rsidP="004A464C">
            <w:pPr>
              <w:pStyle w:val="Tabletext"/>
              <w:jc w:val="right"/>
              <w:rPr>
                <w:lang w:eastAsia="en-AU"/>
              </w:rPr>
            </w:pPr>
            <w:r w:rsidRPr="007A2F7B">
              <w:t>4</w:t>
            </w:r>
          </w:p>
        </w:tc>
        <w:tc>
          <w:tcPr>
            <w:tcW w:w="1320" w:type="dxa"/>
          </w:tcPr>
          <w:p w14:paraId="1110151F" w14:textId="1281EFE9" w:rsidR="00406684" w:rsidRDefault="00406684" w:rsidP="004A464C">
            <w:pPr>
              <w:pStyle w:val="Tabletext"/>
              <w:jc w:val="right"/>
            </w:pPr>
          </w:p>
        </w:tc>
        <w:tc>
          <w:tcPr>
            <w:tcW w:w="1319" w:type="dxa"/>
          </w:tcPr>
          <w:p w14:paraId="7705F288" w14:textId="56320270" w:rsidR="00406684" w:rsidRDefault="00406684" w:rsidP="004A464C">
            <w:pPr>
              <w:pStyle w:val="Tabletext"/>
              <w:jc w:val="right"/>
            </w:pPr>
          </w:p>
        </w:tc>
        <w:tc>
          <w:tcPr>
            <w:tcW w:w="1319" w:type="dxa"/>
          </w:tcPr>
          <w:p w14:paraId="4EA0C132" w14:textId="72A2CDB8" w:rsidR="00406684" w:rsidRDefault="00406684" w:rsidP="004A464C">
            <w:pPr>
              <w:pStyle w:val="Tabletext"/>
              <w:jc w:val="right"/>
            </w:pPr>
          </w:p>
        </w:tc>
      </w:tr>
      <w:tr w:rsidR="00406684" w14:paraId="2C4AAD33"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61CAC6CC" w14:textId="7F92FC75" w:rsidR="00406684" w:rsidRDefault="00406684" w:rsidP="004A464C">
            <w:pPr>
              <w:pStyle w:val="Tabletext"/>
              <w:jc w:val="right"/>
              <w:rPr>
                <w:lang w:eastAsia="en-AU"/>
              </w:rPr>
            </w:pPr>
          </w:p>
        </w:tc>
        <w:tc>
          <w:tcPr>
            <w:tcW w:w="1322" w:type="dxa"/>
          </w:tcPr>
          <w:p w14:paraId="3B397A3E" w14:textId="77777777" w:rsidR="00406684" w:rsidRDefault="00406684" w:rsidP="004A464C">
            <w:pPr>
              <w:pStyle w:val="Tabletext"/>
              <w:jc w:val="right"/>
              <w:rPr>
                <w:lang w:eastAsia="en-AU"/>
              </w:rPr>
            </w:pPr>
            <w:r w:rsidRPr="007A2F7B">
              <w:t>5</w:t>
            </w:r>
          </w:p>
        </w:tc>
        <w:tc>
          <w:tcPr>
            <w:tcW w:w="1320" w:type="dxa"/>
          </w:tcPr>
          <w:p w14:paraId="311DDA8B" w14:textId="77777777" w:rsidR="00406684" w:rsidRDefault="00406684" w:rsidP="004A464C">
            <w:pPr>
              <w:pStyle w:val="Tabletext"/>
              <w:jc w:val="right"/>
            </w:pPr>
          </w:p>
        </w:tc>
        <w:tc>
          <w:tcPr>
            <w:tcW w:w="1319" w:type="dxa"/>
          </w:tcPr>
          <w:p w14:paraId="36021B1F" w14:textId="6A39AB3C" w:rsidR="00406684" w:rsidRDefault="00406684" w:rsidP="004A464C">
            <w:pPr>
              <w:pStyle w:val="Tabletext"/>
              <w:jc w:val="right"/>
            </w:pPr>
          </w:p>
        </w:tc>
        <w:tc>
          <w:tcPr>
            <w:tcW w:w="1319" w:type="dxa"/>
          </w:tcPr>
          <w:p w14:paraId="24B0C38D" w14:textId="4316B3C3" w:rsidR="00406684" w:rsidRDefault="00406684" w:rsidP="004A464C">
            <w:pPr>
              <w:pStyle w:val="Tabletext"/>
              <w:jc w:val="right"/>
            </w:pPr>
          </w:p>
        </w:tc>
      </w:tr>
      <w:tr w:rsidR="00406684" w14:paraId="7DAE8549"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47E3411D" w14:textId="154769DB" w:rsidR="00406684" w:rsidRDefault="00406684" w:rsidP="004A464C">
            <w:pPr>
              <w:pStyle w:val="Tabletext"/>
              <w:jc w:val="right"/>
              <w:rPr>
                <w:lang w:eastAsia="en-AU"/>
              </w:rPr>
            </w:pPr>
            <w:r w:rsidRPr="00984FC2">
              <w:t>2008</w:t>
            </w:r>
            <w:r>
              <w:t>–</w:t>
            </w:r>
            <w:r w:rsidRPr="00984FC2">
              <w:t>09</w:t>
            </w:r>
          </w:p>
        </w:tc>
        <w:tc>
          <w:tcPr>
            <w:tcW w:w="1322" w:type="dxa"/>
          </w:tcPr>
          <w:p w14:paraId="7445C93A" w14:textId="77777777" w:rsidR="00406684" w:rsidRDefault="00406684" w:rsidP="004A464C">
            <w:pPr>
              <w:pStyle w:val="Tabletext"/>
              <w:jc w:val="right"/>
              <w:rPr>
                <w:lang w:eastAsia="en-AU"/>
              </w:rPr>
            </w:pPr>
            <w:r w:rsidRPr="007A2F7B">
              <w:t>2</w:t>
            </w:r>
          </w:p>
        </w:tc>
        <w:tc>
          <w:tcPr>
            <w:tcW w:w="1320" w:type="dxa"/>
          </w:tcPr>
          <w:p w14:paraId="70D05436" w14:textId="66E91FDA" w:rsidR="00406684" w:rsidRDefault="00406684" w:rsidP="004A464C">
            <w:pPr>
              <w:pStyle w:val="Tabletext"/>
              <w:jc w:val="right"/>
            </w:pPr>
            <w:r w:rsidRPr="00151ABB">
              <w:t>0.8</w:t>
            </w:r>
          </w:p>
        </w:tc>
        <w:tc>
          <w:tcPr>
            <w:tcW w:w="1319" w:type="dxa"/>
          </w:tcPr>
          <w:p w14:paraId="203D3FF8" w14:textId="77777777" w:rsidR="00406684" w:rsidRDefault="00406684" w:rsidP="004A464C">
            <w:pPr>
              <w:pStyle w:val="Tabletext"/>
              <w:jc w:val="right"/>
            </w:pPr>
          </w:p>
        </w:tc>
        <w:tc>
          <w:tcPr>
            <w:tcW w:w="1319" w:type="dxa"/>
          </w:tcPr>
          <w:p w14:paraId="6BE9A6BD" w14:textId="20880A32" w:rsidR="00406684" w:rsidRDefault="00406684" w:rsidP="004A464C">
            <w:pPr>
              <w:pStyle w:val="Tabletext"/>
              <w:jc w:val="right"/>
            </w:pPr>
            <w:r w:rsidRPr="00485114">
              <w:t>0.8</w:t>
            </w:r>
          </w:p>
        </w:tc>
      </w:tr>
      <w:tr w:rsidR="00406684" w14:paraId="579BBC5B"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2B3C3FA0" w14:textId="659DB3DD" w:rsidR="00406684" w:rsidRDefault="00406684" w:rsidP="004A464C">
            <w:pPr>
              <w:pStyle w:val="Tabletext"/>
              <w:jc w:val="right"/>
              <w:rPr>
                <w:lang w:eastAsia="en-AU"/>
              </w:rPr>
            </w:pPr>
          </w:p>
        </w:tc>
        <w:tc>
          <w:tcPr>
            <w:tcW w:w="1322" w:type="dxa"/>
          </w:tcPr>
          <w:p w14:paraId="4161AB93" w14:textId="77777777" w:rsidR="00406684" w:rsidRDefault="00406684" w:rsidP="004A464C">
            <w:pPr>
              <w:pStyle w:val="Tabletext"/>
              <w:jc w:val="right"/>
              <w:rPr>
                <w:lang w:eastAsia="en-AU"/>
              </w:rPr>
            </w:pPr>
            <w:r w:rsidRPr="007A2F7B">
              <w:t>3</w:t>
            </w:r>
          </w:p>
        </w:tc>
        <w:tc>
          <w:tcPr>
            <w:tcW w:w="1320" w:type="dxa"/>
          </w:tcPr>
          <w:p w14:paraId="2B1BB06E" w14:textId="69684312" w:rsidR="00406684" w:rsidRDefault="00406684" w:rsidP="004A464C">
            <w:pPr>
              <w:pStyle w:val="Tabletext"/>
              <w:jc w:val="right"/>
            </w:pPr>
            <w:r w:rsidRPr="00151ABB">
              <w:t>0.8</w:t>
            </w:r>
          </w:p>
        </w:tc>
        <w:tc>
          <w:tcPr>
            <w:tcW w:w="1319" w:type="dxa"/>
          </w:tcPr>
          <w:p w14:paraId="64982F43" w14:textId="32C8A838" w:rsidR="00406684" w:rsidRDefault="00406684" w:rsidP="004A464C">
            <w:pPr>
              <w:pStyle w:val="Tabletext"/>
              <w:jc w:val="right"/>
            </w:pPr>
            <w:r w:rsidRPr="00D358AD">
              <w:t>-1.2</w:t>
            </w:r>
          </w:p>
        </w:tc>
        <w:tc>
          <w:tcPr>
            <w:tcW w:w="1319" w:type="dxa"/>
          </w:tcPr>
          <w:p w14:paraId="41077EE4" w14:textId="5FE1F91B" w:rsidR="00406684" w:rsidRDefault="00406684" w:rsidP="004A464C">
            <w:pPr>
              <w:pStyle w:val="Tabletext"/>
              <w:jc w:val="right"/>
            </w:pPr>
            <w:r w:rsidRPr="00485114">
              <w:t>1.4</w:t>
            </w:r>
          </w:p>
        </w:tc>
      </w:tr>
      <w:tr w:rsidR="00406684" w14:paraId="7D21435D"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C95CC7F" w14:textId="66B4F39C" w:rsidR="00406684" w:rsidRDefault="00406684" w:rsidP="004A464C">
            <w:pPr>
              <w:pStyle w:val="Tabletext"/>
              <w:jc w:val="right"/>
              <w:rPr>
                <w:lang w:eastAsia="en-AU"/>
              </w:rPr>
            </w:pPr>
          </w:p>
        </w:tc>
        <w:tc>
          <w:tcPr>
            <w:tcW w:w="1322" w:type="dxa"/>
          </w:tcPr>
          <w:p w14:paraId="69D2EB04" w14:textId="77777777" w:rsidR="00406684" w:rsidRDefault="00406684" w:rsidP="004A464C">
            <w:pPr>
              <w:pStyle w:val="Tabletext"/>
              <w:jc w:val="right"/>
              <w:rPr>
                <w:lang w:eastAsia="en-AU"/>
              </w:rPr>
            </w:pPr>
            <w:r w:rsidRPr="007A2F7B">
              <w:t>4</w:t>
            </w:r>
          </w:p>
        </w:tc>
        <w:tc>
          <w:tcPr>
            <w:tcW w:w="1320" w:type="dxa"/>
          </w:tcPr>
          <w:p w14:paraId="15EEE1D4" w14:textId="343D072D" w:rsidR="00406684" w:rsidRDefault="00406684" w:rsidP="004A464C">
            <w:pPr>
              <w:pStyle w:val="Tabletext"/>
              <w:jc w:val="right"/>
            </w:pPr>
            <w:r w:rsidRPr="00151ABB">
              <w:t>0.7</w:t>
            </w:r>
          </w:p>
        </w:tc>
        <w:tc>
          <w:tcPr>
            <w:tcW w:w="1319" w:type="dxa"/>
          </w:tcPr>
          <w:p w14:paraId="09106572" w14:textId="56EA2823" w:rsidR="00406684" w:rsidRDefault="00406684" w:rsidP="004A464C">
            <w:pPr>
              <w:pStyle w:val="Tabletext"/>
              <w:jc w:val="right"/>
            </w:pPr>
            <w:r w:rsidRPr="00D358AD">
              <w:t>-1.2</w:t>
            </w:r>
          </w:p>
        </w:tc>
        <w:tc>
          <w:tcPr>
            <w:tcW w:w="1319" w:type="dxa"/>
          </w:tcPr>
          <w:p w14:paraId="77290E94" w14:textId="2449218A" w:rsidR="00406684" w:rsidRDefault="00406684" w:rsidP="004A464C">
            <w:pPr>
              <w:pStyle w:val="Tabletext"/>
              <w:jc w:val="right"/>
            </w:pPr>
            <w:r w:rsidRPr="00485114">
              <w:t>1.9</w:t>
            </w:r>
          </w:p>
        </w:tc>
      </w:tr>
      <w:tr w:rsidR="00406684" w14:paraId="36A021CD"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002253E1" w14:textId="2DBF9423" w:rsidR="00406684" w:rsidRDefault="00406684" w:rsidP="004A464C">
            <w:pPr>
              <w:pStyle w:val="Tabletext"/>
              <w:jc w:val="right"/>
              <w:rPr>
                <w:lang w:eastAsia="en-AU"/>
              </w:rPr>
            </w:pPr>
          </w:p>
        </w:tc>
        <w:tc>
          <w:tcPr>
            <w:tcW w:w="1322" w:type="dxa"/>
          </w:tcPr>
          <w:p w14:paraId="3FF8936A" w14:textId="77777777" w:rsidR="00406684" w:rsidRDefault="00406684" w:rsidP="004A464C">
            <w:pPr>
              <w:pStyle w:val="Tabletext"/>
              <w:jc w:val="right"/>
              <w:rPr>
                <w:lang w:eastAsia="en-AU"/>
              </w:rPr>
            </w:pPr>
            <w:r w:rsidRPr="007A2F7B">
              <w:t>5</w:t>
            </w:r>
          </w:p>
        </w:tc>
        <w:tc>
          <w:tcPr>
            <w:tcW w:w="1320" w:type="dxa"/>
          </w:tcPr>
          <w:p w14:paraId="2261A1B2" w14:textId="2A233E2F" w:rsidR="00406684" w:rsidRDefault="00406684" w:rsidP="004A464C">
            <w:pPr>
              <w:pStyle w:val="Tabletext"/>
              <w:jc w:val="right"/>
            </w:pPr>
            <w:r w:rsidRPr="00151ABB">
              <w:t>1.5</w:t>
            </w:r>
          </w:p>
        </w:tc>
        <w:tc>
          <w:tcPr>
            <w:tcW w:w="1319" w:type="dxa"/>
          </w:tcPr>
          <w:p w14:paraId="0654AF84" w14:textId="77777777" w:rsidR="00406684" w:rsidRDefault="00406684" w:rsidP="004A464C">
            <w:pPr>
              <w:pStyle w:val="Tabletext"/>
              <w:jc w:val="right"/>
            </w:pPr>
          </w:p>
        </w:tc>
        <w:tc>
          <w:tcPr>
            <w:tcW w:w="1319" w:type="dxa"/>
          </w:tcPr>
          <w:p w14:paraId="566688EF" w14:textId="418A520E" w:rsidR="00406684" w:rsidRDefault="00406684" w:rsidP="004A464C">
            <w:pPr>
              <w:pStyle w:val="Tabletext"/>
              <w:jc w:val="right"/>
            </w:pPr>
            <w:r w:rsidRPr="00485114">
              <w:t>1.6</w:t>
            </w:r>
          </w:p>
        </w:tc>
      </w:tr>
      <w:tr w:rsidR="00406684" w14:paraId="45E0239B"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383D7B4E" w14:textId="3BB282FD" w:rsidR="00406684" w:rsidRDefault="00406684" w:rsidP="004A464C">
            <w:pPr>
              <w:pStyle w:val="Tabletext"/>
              <w:jc w:val="right"/>
              <w:rPr>
                <w:lang w:eastAsia="en-AU"/>
              </w:rPr>
            </w:pPr>
            <w:r w:rsidRPr="00984FC2">
              <w:t>2009</w:t>
            </w:r>
            <w:r>
              <w:t>–</w:t>
            </w:r>
            <w:r w:rsidRPr="00984FC2">
              <w:t>10</w:t>
            </w:r>
          </w:p>
        </w:tc>
        <w:tc>
          <w:tcPr>
            <w:tcW w:w="1322" w:type="dxa"/>
          </w:tcPr>
          <w:p w14:paraId="29B04444" w14:textId="77777777" w:rsidR="00406684" w:rsidRDefault="00406684" w:rsidP="004A464C">
            <w:pPr>
              <w:pStyle w:val="Tabletext"/>
              <w:jc w:val="right"/>
              <w:rPr>
                <w:lang w:eastAsia="en-AU"/>
              </w:rPr>
            </w:pPr>
            <w:r w:rsidRPr="007A2F7B">
              <w:t>2</w:t>
            </w:r>
          </w:p>
        </w:tc>
        <w:tc>
          <w:tcPr>
            <w:tcW w:w="1320" w:type="dxa"/>
          </w:tcPr>
          <w:p w14:paraId="75AFE205" w14:textId="77777777" w:rsidR="00406684" w:rsidRDefault="00406684" w:rsidP="004A464C">
            <w:pPr>
              <w:pStyle w:val="Tabletext"/>
              <w:jc w:val="right"/>
            </w:pPr>
          </w:p>
        </w:tc>
        <w:tc>
          <w:tcPr>
            <w:tcW w:w="1319" w:type="dxa"/>
          </w:tcPr>
          <w:p w14:paraId="59509A0C" w14:textId="77777777" w:rsidR="00406684" w:rsidRDefault="00406684" w:rsidP="004A464C">
            <w:pPr>
              <w:pStyle w:val="Tabletext"/>
              <w:jc w:val="right"/>
            </w:pPr>
          </w:p>
        </w:tc>
        <w:tc>
          <w:tcPr>
            <w:tcW w:w="1319" w:type="dxa"/>
          </w:tcPr>
          <w:p w14:paraId="24E0245F" w14:textId="1FEDAE13" w:rsidR="00406684" w:rsidRDefault="00406684" w:rsidP="004A464C">
            <w:pPr>
              <w:pStyle w:val="Tabletext"/>
              <w:jc w:val="right"/>
            </w:pPr>
          </w:p>
        </w:tc>
      </w:tr>
      <w:tr w:rsidR="00406684" w14:paraId="69D08FE8"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42C2DC02" w14:textId="1FF6352C" w:rsidR="00406684" w:rsidRDefault="00406684" w:rsidP="004A464C">
            <w:pPr>
              <w:pStyle w:val="Tabletext"/>
              <w:jc w:val="right"/>
              <w:rPr>
                <w:lang w:eastAsia="en-AU"/>
              </w:rPr>
            </w:pPr>
          </w:p>
        </w:tc>
        <w:tc>
          <w:tcPr>
            <w:tcW w:w="1322" w:type="dxa"/>
          </w:tcPr>
          <w:p w14:paraId="487F0561" w14:textId="77777777" w:rsidR="00406684" w:rsidRDefault="00406684" w:rsidP="004A464C">
            <w:pPr>
              <w:pStyle w:val="Tabletext"/>
              <w:jc w:val="right"/>
              <w:rPr>
                <w:lang w:eastAsia="en-AU"/>
              </w:rPr>
            </w:pPr>
            <w:r w:rsidRPr="007A2F7B">
              <w:t>3</w:t>
            </w:r>
          </w:p>
        </w:tc>
        <w:tc>
          <w:tcPr>
            <w:tcW w:w="1320" w:type="dxa"/>
          </w:tcPr>
          <w:p w14:paraId="711560F6" w14:textId="77777777" w:rsidR="00406684" w:rsidRDefault="00406684" w:rsidP="004A464C">
            <w:pPr>
              <w:pStyle w:val="Tabletext"/>
              <w:jc w:val="right"/>
            </w:pPr>
          </w:p>
        </w:tc>
        <w:tc>
          <w:tcPr>
            <w:tcW w:w="1319" w:type="dxa"/>
          </w:tcPr>
          <w:p w14:paraId="1496BD23" w14:textId="77777777" w:rsidR="00406684" w:rsidRDefault="00406684" w:rsidP="004A464C">
            <w:pPr>
              <w:pStyle w:val="Tabletext"/>
              <w:jc w:val="right"/>
            </w:pPr>
          </w:p>
        </w:tc>
        <w:tc>
          <w:tcPr>
            <w:tcW w:w="1319" w:type="dxa"/>
          </w:tcPr>
          <w:p w14:paraId="12628D39" w14:textId="21F38C09" w:rsidR="00406684" w:rsidRDefault="00406684" w:rsidP="004A464C">
            <w:pPr>
              <w:pStyle w:val="Tabletext"/>
              <w:jc w:val="right"/>
            </w:pPr>
          </w:p>
        </w:tc>
      </w:tr>
      <w:tr w:rsidR="00406684" w14:paraId="24A6AEF0"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12DAD13" w14:textId="1EFF3C91" w:rsidR="00406684" w:rsidRDefault="00406684" w:rsidP="004A464C">
            <w:pPr>
              <w:pStyle w:val="Tabletext"/>
              <w:jc w:val="right"/>
              <w:rPr>
                <w:lang w:eastAsia="en-AU"/>
              </w:rPr>
            </w:pPr>
          </w:p>
        </w:tc>
        <w:tc>
          <w:tcPr>
            <w:tcW w:w="1322" w:type="dxa"/>
          </w:tcPr>
          <w:p w14:paraId="505553B2" w14:textId="77777777" w:rsidR="00406684" w:rsidRDefault="00406684" w:rsidP="004A464C">
            <w:pPr>
              <w:pStyle w:val="Tabletext"/>
              <w:jc w:val="right"/>
              <w:rPr>
                <w:lang w:eastAsia="en-AU"/>
              </w:rPr>
            </w:pPr>
            <w:r w:rsidRPr="007A2F7B">
              <w:t>4</w:t>
            </w:r>
          </w:p>
        </w:tc>
        <w:tc>
          <w:tcPr>
            <w:tcW w:w="1320" w:type="dxa"/>
          </w:tcPr>
          <w:p w14:paraId="542F304D" w14:textId="0E5D9A9E" w:rsidR="00406684" w:rsidRDefault="00406684" w:rsidP="004A464C">
            <w:pPr>
              <w:pStyle w:val="Tabletext"/>
              <w:jc w:val="right"/>
            </w:pPr>
            <w:r w:rsidRPr="00151ABB">
              <w:t>0.7</w:t>
            </w:r>
          </w:p>
        </w:tc>
        <w:tc>
          <w:tcPr>
            <w:tcW w:w="1319" w:type="dxa"/>
          </w:tcPr>
          <w:p w14:paraId="524A97D1" w14:textId="77777777" w:rsidR="00406684" w:rsidRDefault="00406684" w:rsidP="004A464C">
            <w:pPr>
              <w:pStyle w:val="Tabletext"/>
              <w:jc w:val="right"/>
            </w:pPr>
          </w:p>
        </w:tc>
        <w:tc>
          <w:tcPr>
            <w:tcW w:w="1319" w:type="dxa"/>
          </w:tcPr>
          <w:p w14:paraId="6385F220" w14:textId="38016635" w:rsidR="00406684" w:rsidRDefault="00406684" w:rsidP="004A464C">
            <w:pPr>
              <w:pStyle w:val="Tabletext"/>
              <w:jc w:val="right"/>
            </w:pPr>
          </w:p>
        </w:tc>
      </w:tr>
      <w:tr w:rsidR="00406684" w14:paraId="0F998175"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2991E396" w14:textId="579029DF" w:rsidR="00406684" w:rsidRDefault="00406684" w:rsidP="004A464C">
            <w:pPr>
              <w:pStyle w:val="Tabletext"/>
              <w:jc w:val="right"/>
              <w:rPr>
                <w:lang w:eastAsia="en-AU"/>
              </w:rPr>
            </w:pPr>
          </w:p>
        </w:tc>
        <w:tc>
          <w:tcPr>
            <w:tcW w:w="1322" w:type="dxa"/>
          </w:tcPr>
          <w:p w14:paraId="5CD4C662" w14:textId="77777777" w:rsidR="00406684" w:rsidRDefault="00406684" w:rsidP="004A464C">
            <w:pPr>
              <w:pStyle w:val="Tabletext"/>
              <w:jc w:val="right"/>
              <w:rPr>
                <w:lang w:eastAsia="en-AU"/>
              </w:rPr>
            </w:pPr>
            <w:r w:rsidRPr="007A2F7B">
              <w:t>5</w:t>
            </w:r>
          </w:p>
        </w:tc>
        <w:tc>
          <w:tcPr>
            <w:tcW w:w="1320" w:type="dxa"/>
          </w:tcPr>
          <w:p w14:paraId="4249A6D4" w14:textId="02567BA4" w:rsidR="00406684" w:rsidRDefault="00406684" w:rsidP="004A464C">
            <w:pPr>
              <w:pStyle w:val="Tabletext"/>
              <w:jc w:val="right"/>
            </w:pPr>
            <w:r w:rsidRPr="00151ABB">
              <w:t>0.9</w:t>
            </w:r>
          </w:p>
        </w:tc>
        <w:tc>
          <w:tcPr>
            <w:tcW w:w="1319" w:type="dxa"/>
          </w:tcPr>
          <w:p w14:paraId="5F85FBBD" w14:textId="70129E9A" w:rsidR="00406684" w:rsidRDefault="00406684" w:rsidP="004A464C">
            <w:pPr>
              <w:pStyle w:val="Tabletext"/>
              <w:jc w:val="right"/>
            </w:pPr>
            <w:r w:rsidRPr="00D358AD">
              <w:t>1.3</w:t>
            </w:r>
          </w:p>
        </w:tc>
        <w:tc>
          <w:tcPr>
            <w:tcW w:w="1319" w:type="dxa"/>
          </w:tcPr>
          <w:p w14:paraId="459F695A" w14:textId="4AD1F441" w:rsidR="00406684" w:rsidRDefault="00406684" w:rsidP="004A464C">
            <w:pPr>
              <w:pStyle w:val="Tabletext"/>
              <w:jc w:val="right"/>
            </w:pPr>
            <w:r w:rsidRPr="00485114">
              <w:t>1.3</w:t>
            </w:r>
          </w:p>
        </w:tc>
      </w:tr>
      <w:tr w:rsidR="00406684" w14:paraId="74E01820"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F081E3A" w14:textId="7A5CA61D" w:rsidR="00406684" w:rsidRDefault="00406684" w:rsidP="004A464C">
            <w:pPr>
              <w:pStyle w:val="Tabletext"/>
              <w:jc w:val="right"/>
              <w:rPr>
                <w:lang w:eastAsia="en-AU"/>
              </w:rPr>
            </w:pPr>
            <w:r w:rsidRPr="00984FC2">
              <w:t>2010</w:t>
            </w:r>
            <w:r>
              <w:t>–</w:t>
            </w:r>
            <w:r w:rsidRPr="00984FC2">
              <w:t>11</w:t>
            </w:r>
          </w:p>
        </w:tc>
        <w:tc>
          <w:tcPr>
            <w:tcW w:w="1322" w:type="dxa"/>
          </w:tcPr>
          <w:p w14:paraId="457C5DCD" w14:textId="77777777" w:rsidR="00406684" w:rsidRDefault="00406684" w:rsidP="004A464C">
            <w:pPr>
              <w:pStyle w:val="Tabletext"/>
              <w:jc w:val="right"/>
              <w:rPr>
                <w:lang w:eastAsia="en-AU"/>
              </w:rPr>
            </w:pPr>
            <w:r w:rsidRPr="007A2F7B">
              <w:t>2</w:t>
            </w:r>
          </w:p>
        </w:tc>
        <w:tc>
          <w:tcPr>
            <w:tcW w:w="1320" w:type="dxa"/>
          </w:tcPr>
          <w:p w14:paraId="3698BEB2" w14:textId="77777777" w:rsidR="00406684" w:rsidRDefault="00406684" w:rsidP="004A464C">
            <w:pPr>
              <w:pStyle w:val="Tabletext"/>
              <w:jc w:val="right"/>
            </w:pPr>
          </w:p>
        </w:tc>
        <w:tc>
          <w:tcPr>
            <w:tcW w:w="1319" w:type="dxa"/>
          </w:tcPr>
          <w:p w14:paraId="3BC3B4D4" w14:textId="2519EF97" w:rsidR="00406684" w:rsidRDefault="00406684" w:rsidP="004A464C">
            <w:pPr>
              <w:pStyle w:val="Tabletext"/>
              <w:jc w:val="right"/>
            </w:pPr>
          </w:p>
        </w:tc>
        <w:tc>
          <w:tcPr>
            <w:tcW w:w="1319" w:type="dxa"/>
          </w:tcPr>
          <w:p w14:paraId="4C18F79D" w14:textId="33CA7E51" w:rsidR="00406684" w:rsidRDefault="00406684" w:rsidP="004A464C">
            <w:pPr>
              <w:pStyle w:val="Tabletext"/>
              <w:jc w:val="right"/>
            </w:pPr>
            <w:r w:rsidRPr="00485114">
              <w:t>0.2</w:t>
            </w:r>
          </w:p>
        </w:tc>
      </w:tr>
      <w:tr w:rsidR="00406684" w14:paraId="49CB0148"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540A7883" w14:textId="0BD63561" w:rsidR="00406684" w:rsidRDefault="00406684" w:rsidP="004A464C">
            <w:pPr>
              <w:pStyle w:val="Tabletext"/>
              <w:jc w:val="right"/>
              <w:rPr>
                <w:lang w:eastAsia="en-AU"/>
              </w:rPr>
            </w:pPr>
          </w:p>
        </w:tc>
        <w:tc>
          <w:tcPr>
            <w:tcW w:w="1322" w:type="dxa"/>
          </w:tcPr>
          <w:p w14:paraId="30BE2138" w14:textId="77777777" w:rsidR="00406684" w:rsidRDefault="00406684" w:rsidP="004A464C">
            <w:pPr>
              <w:pStyle w:val="Tabletext"/>
              <w:jc w:val="right"/>
              <w:rPr>
                <w:lang w:eastAsia="en-AU"/>
              </w:rPr>
            </w:pPr>
            <w:r w:rsidRPr="007A2F7B">
              <w:t>3</w:t>
            </w:r>
          </w:p>
        </w:tc>
        <w:tc>
          <w:tcPr>
            <w:tcW w:w="1320" w:type="dxa"/>
          </w:tcPr>
          <w:p w14:paraId="5718201F" w14:textId="77777777" w:rsidR="00406684" w:rsidRDefault="00406684" w:rsidP="004A464C">
            <w:pPr>
              <w:pStyle w:val="Tabletext"/>
              <w:jc w:val="right"/>
            </w:pPr>
          </w:p>
        </w:tc>
        <w:tc>
          <w:tcPr>
            <w:tcW w:w="1319" w:type="dxa"/>
          </w:tcPr>
          <w:p w14:paraId="1DAE3966" w14:textId="1A2329CA" w:rsidR="00406684" w:rsidRDefault="00406684" w:rsidP="004A464C">
            <w:pPr>
              <w:pStyle w:val="Tabletext"/>
              <w:jc w:val="right"/>
            </w:pPr>
            <w:r w:rsidRPr="00D358AD">
              <w:t>0.4</w:t>
            </w:r>
          </w:p>
        </w:tc>
        <w:tc>
          <w:tcPr>
            <w:tcW w:w="1319" w:type="dxa"/>
          </w:tcPr>
          <w:p w14:paraId="153C6A69" w14:textId="7845A38E" w:rsidR="00406684" w:rsidRDefault="00406684" w:rsidP="004A464C">
            <w:pPr>
              <w:pStyle w:val="Tabletext"/>
              <w:jc w:val="right"/>
            </w:pPr>
            <w:r w:rsidRPr="00485114">
              <w:t>0.7</w:t>
            </w:r>
          </w:p>
        </w:tc>
      </w:tr>
      <w:tr w:rsidR="00406684" w14:paraId="5D5F36B7"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BFCF768" w14:textId="3281B6C9" w:rsidR="00406684" w:rsidRDefault="00406684" w:rsidP="004A464C">
            <w:pPr>
              <w:pStyle w:val="Tabletext"/>
              <w:jc w:val="right"/>
              <w:rPr>
                <w:lang w:eastAsia="en-AU"/>
              </w:rPr>
            </w:pPr>
          </w:p>
        </w:tc>
        <w:tc>
          <w:tcPr>
            <w:tcW w:w="1322" w:type="dxa"/>
          </w:tcPr>
          <w:p w14:paraId="02AC18DE" w14:textId="77777777" w:rsidR="00406684" w:rsidRDefault="00406684" w:rsidP="004A464C">
            <w:pPr>
              <w:pStyle w:val="Tabletext"/>
              <w:jc w:val="right"/>
              <w:rPr>
                <w:lang w:eastAsia="en-AU"/>
              </w:rPr>
            </w:pPr>
            <w:r w:rsidRPr="007A2F7B">
              <w:t>4</w:t>
            </w:r>
          </w:p>
        </w:tc>
        <w:tc>
          <w:tcPr>
            <w:tcW w:w="1320" w:type="dxa"/>
          </w:tcPr>
          <w:p w14:paraId="5AEA5EA1" w14:textId="507A0974" w:rsidR="00406684" w:rsidRDefault="00406684" w:rsidP="004A464C">
            <w:pPr>
              <w:pStyle w:val="Tabletext"/>
              <w:jc w:val="right"/>
            </w:pPr>
            <w:r w:rsidRPr="00151ABB">
              <w:t>0.8</w:t>
            </w:r>
          </w:p>
        </w:tc>
        <w:tc>
          <w:tcPr>
            <w:tcW w:w="1319" w:type="dxa"/>
          </w:tcPr>
          <w:p w14:paraId="7FF42959" w14:textId="74C98B04" w:rsidR="00406684" w:rsidRDefault="00406684" w:rsidP="004A464C">
            <w:pPr>
              <w:pStyle w:val="Tabletext"/>
              <w:jc w:val="right"/>
            </w:pPr>
            <w:r w:rsidRPr="00D358AD">
              <w:t>0.7</w:t>
            </w:r>
          </w:p>
        </w:tc>
        <w:tc>
          <w:tcPr>
            <w:tcW w:w="1319" w:type="dxa"/>
          </w:tcPr>
          <w:p w14:paraId="2C308B5D" w14:textId="5522C8E4" w:rsidR="00406684" w:rsidRDefault="00406684" w:rsidP="004A464C">
            <w:pPr>
              <w:pStyle w:val="Tabletext"/>
              <w:jc w:val="right"/>
            </w:pPr>
            <w:r w:rsidRPr="00485114">
              <w:t>0.9</w:t>
            </w:r>
          </w:p>
        </w:tc>
      </w:tr>
      <w:tr w:rsidR="00406684" w14:paraId="156FE52E"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28C2F2B5" w14:textId="5BC2A437" w:rsidR="00406684" w:rsidRDefault="00406684" w:rsidP="004A464C">
            <w:pPr>
              <w:pStyle w:val="Tabletext"/>
              <w:jc w:val="right"/>
              <w:rPr>
                <w:lang w:eastAsia="en-AU"/>
              </w:rPr>
            </w:pPr>
          </w:p>
        </w:tc>
        <w:tc>
          <w:tcPr>
            <w:tcW w:w="1322" w:type="dxa"/>
          </w:tcPr>
          <w:p w14:paraId="59E5D6A1" w14:textId="77777777" w:rsidR="00406684" w:rsidRDefault="00406684" w:rsidP="004A464C">
            <w:pPr>
              <w:pStyle w:val="Tabletext"/>
              <w:jc w:val="right"/>
              <w:rPr>
                <w:lang w:eastAsia="en-AU"/>
              </w:rPr>
            </w:pPr>
            <w:r w:rsidRPr="007A2F7B">
              <w:t>5</w:t>
            </w:r>
          </w:p>
        </w:tc>
        <w:tc>
          <w:tcPr>
            <w:tcW w:w="1320" w:type="dxa"/>
          </w:tcPr>
          <w:p w14:paraId="652DE822" w14:textId="1128838D" w:rsidR="00406684" w:rsidRDefault="00406684" w:rsidP="004A464C">
            <w:pPr>
              <w:pStyle w:val="Tabletext"/>
              <w:jc w:val="right"/>
            </w:pPr>
            <w:r w:rsidRPr="00151ABB">
              <w:t>0.2</w:t>
            </w:r>
          </w:p>
        </w:tc>
        <w:tc>
          <w:tcPr>
            <w:tcW w:w="1319" w:type="dxa"/>
          </w:tcPr>
          <w:p w14:paraId="07E3BAF6" w14:textId="5A4B6747" w:rsidR="00406684" w:rsidRDefault="00406684" w:rsidP="004A464C">
            <w:pPr>
              <w:pStyle w:val="Tabletext"/>
              <w:jc w:val="right"/>
            </w:pPr>
            <w:r w:rsidRPr="00D358AD">
              <w:t>0.7</w:t>
            </w:r>
          </w:p>
        </w:tc>
        <w:tc>
          <w:tcPr>
            <w:tcW w:w="1319" w:type="dxa"/>
          </w:tcPr>
          <w:p w14:paraId="6D23E75E" w14:textId="7D525CE4" w:rsidR="00406684" w:rsidRDefault="00406684" w:rsidP="004A464C">
            <w:pPr>
              <w:pStyle w:val="Tabletext"/>
              <w:jc w:val="right"/>
            </w:pPr>
            <w:r w:rsidRPr="00485114">
              <w:t>0.3</w:t>
            </w:r>
          </w:p>
        </w:tc>
      </w:tr>
      <w:tr w:rsidR="00406684" w14:paraId="5B7A46E7"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00B7DC13" w14:textId="6DA8BC72" w:rsidR="00406684" w:rsidRDefault="00406684" w:rsidP="004A464C">
            <w:pPr>
              <w:pStyle w:val="Tabletext"/>
              <w:jc w:val="right"/>
              <w:rPr>
                <w:lang w:eastAsia="en-AU"/>
              </w:rPr>
            </w:pPr>
            <w:r w:rsidRPr="00984FC2">
              <w:t>2011</w:t>
            </w:r>
            <w:r>
              <w:t>–</w:t>
            </w:r>
            <w:r w:rsidRPr="00984FC2">
              <w:t>12</w:t>
            </w:r>
          </w:p>
        </w:tc>
        <w:tc>
          <w:tcPr>
            <w:tcW w:w="1322" w:type="dxa"/>
          </w:tcPr>
          <w:p w14:paraId="28826785" w14:textId="77777777" w:rsidR="00406684" w:rsidRDefault="00406684" w:rsidP="004A464C">
            <w:pPr>
              <w:pStyle w:val="Tabletext"/>
              <w:jc w:val="right"/>
              <w:rPr>
                <w:lang w:eastAsia="en-AU"/>
              </w:rPr>
            </w:pPr>
            <w:r w:rsidRPr="007A2F7B">
              <w:t>2</w:t>
            </w:r>
          </w:p>
        </w:tc>
        <w:tc>
          <w:tcPr>
            <w:tcW w:w="1320" w:type="dxa"/>
          </w:tcPr>
          <w:p w14:paraId="40A0A823" w14:textId="0DEDBA08" w:rsidR="00406684" w:rsidRDefault="00406684" w:rsidP="004A464C">
            <w:pPr>
              <w:pStyle w:val="Tabletext"/>
              <w:jc w:val="right"/>
            </w:pPr>
            <w:r w:rsidRPr="00151ABB">
              <w:t>0.8</w:t>
            </w:r>
          </w:p>
        </w:tc>
        <w:tc>
          <w:tcPr>
            <w:tcW w:w="1319" w:type="dxa"/>
          </w:tcPr>
          <w:p w14:paraId="51C2D11E" w14:textId="4501E443" w:rsidR="00406684" w:rsidRDefault="00406684" w:rsidP="004A464C">
            <w:pPr>
              <w:pStyle w:val="Tabletext"/>
              <w:jc w:val="right"/>
            </w:pPr>
            <w:r w:rsidRPr="00D358AD">
              <w:t>1.3</w:t>
            </w:r>
          </w:p>
        </w:tc>
        <w:tc>
          <w:tcPr>
            <w:tcW w:w="1319" w:type="dxa"/>
          </w:tcPr>
          <w:p w14:paraId="7C1C0F0C" w14:textId="749EC1EB" w:rsidR="00406684" w:rsidRDefault="00406684" w:rsidP="004A464C">
            <w:pPr>
              <w:pStyle w:val="Tabletext"/>
              <w:jc w:val="right"/>
            </w:pPr>
            <w:r w:rsidRPr="00485114">
              <w:t>0.7</w:t>
            </w:r>
          </w:p>
        </w:tc>
      </w:tr>
      <w:tr w:rsidR="00406684" w14:paraId="457FB91E"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7CFEFC62" w14:textId="3CDAD6F9" w:rsidR="00406684" w:rsidRDefault="00406684" w:rsidP="004A464C">
            <w:pPr>
              <w:pStyle w:val="Tabletext"/>
              <w:jc w:val="right"/>
              <w:rPr>
                <w:lang w:eastAsia="en-AU"/>
              </w:rPr>
            </w:pPr>
          </w:p>
        </w:tc>
        <w:tc>
          <w:tcPr>
            <w:tcW w:w="1322" w:type="dxa"/>
          </w:tcPr>
          <w:p w14:paraId="5D252E17" w14:textId="77777777" w:rsidR="00406684" w:rsidRDefault="00406684" w:rsidP="004A464C">
            <w:pPr>
              <w:pStyle w:val="Tabletext"/>
              <w:jc w:val="right"/>
              <w:rPr>
                <w:lang w:eastAsia="en-AU"/>
              </w:rPr>
            </w:pPr>
            <w:r w:rsidRPr="007A2F7B">
              <w:t>3</w:t>
            </w:r>
          </w:p>
        </w:tc>
        <w:tc>
          <w:tcPr>
            <w:tcW w:w="1320" w:type="dxa"/>
          </w:tcPr>
          <w:p w14:paraId="4593E5A0" w14:textId="31B25B3B" w:rsidR="00406684" w:rsidRDefault="00406684" w:rsidP="004A464C">
            <w:pPr>
              <w:pStyle w:val="Tabletext"/>
              <w:jc w:val="right"/>
            </w:pPr>
            <w:r w:rsidRPr="00151ABB">
              <w:t>0.7</w:t>
            </w:r>
          </w:p>
        </w:tc>
        <w:tc>
          <w:tcPr>
            <w:tcW w:w="1319" w:type="dxa"/>
          </w:tcPr>
          <w:p w14:paraId="1A95CF18" w14:textId="41828E96" w:rsidR="00406684" w:rsidRDefault="00406684" w:rsidP="004A464C">
            <w:pPr>
              <w:pStyle w:val="Tabletext"/>
              <w:jc w:val="right"/>
            </w:pPr>
          </w:p>
        </w:tc>
        <w:tc>
          <w:tcPr>
            <w:tcW w:w="1319" w:type="dxa"/>
          </w:tcPr>
          <w:p w14:paraId="49D68381" w14:textId="7734EDC6" w:rsidR="00406684" w:rsidRDefault="00406684" w:rsidP="004A464C">
            <w:pPr>
              <w:pStyle w:val="Tabletext"/>
              <w:jc w:val="right"/>
            </w:pPr>
            <w:r w:rsidRPr="00485114">
              <w:t>0.6</w:t>
            </w:r>
          </w:p>
        </w:tc>
      </w:tr>
      <w:tr w:rsidR="00406684" w14:paraId="18B29E1F"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4FED802D" w14:textId="02FDE74F" w:rsidR="00406684" w:rsidRDefault="00406684" w:rsidP="004A464C">
            <w:pPr>
              <w:pStyle w:val="Tabletext"/>
              <w:jc w:val="right"/>
              <w:rPr>
                <w:lang w:eastAsia="en-AU"/>
              </w:rPr>
            </w:pPr>
          </w:p>
        </w:tc>
        <w:tc>
          <w:tcPr>
            <w:tcW w:w="1322" w:type="dxa"/>
          </w:tcPr>
          <w:p w14:paraId="655B14BD" w14:textId="77777777" w:rsidR="00406684" w:rsidRDefault="00406684" w:rsidP="004A464C">
            <w:pPr>
              <w:pStyle w:val="Tabletext"/>
              <w:jc w:val="right"/>
              <w:rPr>
                <w:lang w:eastAsia="en-AU"/>
              </w:rPr>
            </w:pPr>
            <w:r w:rsidRPr="007A2F7B">
              <w:t>4</w:t>
            </w:r>
          </w:p>
        </w:tc>
        <w:tc>
          <w:tcPr>
            <w:tcW w:w="1320" w:type="dxa"/>
          </w:tcPr>
          <w:p w14:paraId="565EF397" w14:textId="17BA505A" w:rsidR="00406684" w:rsidRDefault="00406684" w:rsidP="004A464C">
            <w:pPr>
              <w:pStyle w:val="Tabletext"/>
              <w:jc w:val="right"/>
            </w:pPr>
            <w:r w:rsidRPr="00151ABB">
              <w:t>1.1</w:t>
            </w:r>
          </w:p>
        </w:tc>
        <w:tc>
          <w:tcPr>
            <w:tcW w:w="1319" w:type="dxa"/>
          </w:tcPr>
          <w:p w14:paraId="738A8AC8" w14:textId="3887E1B2" w:rsidR="00406684" w:rsidRDefault="00406684" w:rsidP="004A464C">
            <w:pPr>
              <w:pStyle w:val="Tabletext"/>
              <w:jc w:val="right"/>
            </w:pPr>
            <w:r w:rsidRPr="00D358AD">
              <w:t>0.7</w:t>
            </w:r>
          </w:p>
        </w:tc>
        <w:tc>
          <w:tcPr>
            <w:tcW w:w="1319" w:type="dxa"/>
          </w:tcPr>
          <w:p w14:paraId="4BE12E1B" w14:textId="67FEAB1D" w:rsidR="00406684" w:rsidRDefault="00406684" w:rsidP="004A464C">
            <w:pPr>
              <w:pStyle w:val="Tabletext"/>
              <w:jc w:val="right"/>
            </w:pPr>
            <w:r w:rsidRPr="00485114">
              <w:t>1.0</w:t>
            </w:r>
          </w:p>
        </w:tc>
      </w:tr>
      <w:tr w:rsidR="00406684" w14:paraId="4BB6406B" w14:textId="77777777" w:rsidTr="00F42C15">
        <w:trPr>
          <w:cnfStyle w:val="000000010000" w:firstRow="0" w:lastRow="0" w:firstColumn="0" w:lastColumn="0" w:oddVBand="0" w:evenVBand="0" w:oddHBand="0" w:evenHBand="1" w:firstRowFirstColumn="0" w:firstRowLastColumn="0" w:lastRowFirstColumn="0" w:lastRowLastColumn="0"/>
          <w:trHeight w:val="319"/>
        </w:trPr>
        <w:tc>
          <w:tcPr>
            <w:tcW w:w="1520" w:type="dxa"/>
          </w:tcPr>
          <w:p w14:paraId="1768DCB6" w14:textId="0B786156" w:rsidR="00406684" w:rsidRDefault="00406684" w:rsidP="004A464C">
            <w:pPr>
              <w:pStyle w:val="Tabletext"/>
              <w:jc w:val="right"/>
              <w:rPr>
                <w:lang w:eastAsia="en-AU"/>
              </w:rPr>
            </w:pPr>
            <w:r w:rsidRPr="00984FC2">
              <w:t>2012</w:t>
            </w:r>
            <w:r>
              <w:t>–</w:t>
            </w:r>
            <w:r w:rsidRPr="00984FC2">
              <w:t>13</w:t>
            </w:r>
          </w:p>
        </w:tc>
        <w:tc>
          <w:tcPr>
            <w:tcW w:w="1322" w:type="dxa"/>
          </w:tcPr>
          <w:p w14:paraId="2CE7F69A" w14:textId="77777777" w:rsidR="00406684" w:rsidRDefault="00406684" w:rsidP="004A464C">
            <w:pPr>
              <w:pStyle w:val="Tabletext"/>
              <w:jc w:val="right"/>
              <w:rPr>
                <w:lang w:eastAsia="en-AU"/>
              </w:rPr>
            </w:pPr>
            <w:r w:rsidRPr="007A2F7B">
              <w:t>2</w:t>
            </w:r>
          </w:p>
        </w:tc>
        <w:tc>
          <w:tcPr>
            <w:tcW w:w="1320" w:type="dxa"/>
          </w:tcPr>
          <w:p w14:paraId="5940EE66" w14:textId="7FC16B85" w:rsidR="00406684" w:rsidRDefault="00406684" w:rsidP="004A464C">
            <w:pPr>
              <w:pStyle w:val="Tabletext"/>
              <w:jc w:val="right"/>
            </w:pPr>
            <w:r w:rsidRPr="00151ABB">
              <w:t>0.3</w:t>
            </w:r>
          </w:p>
        </w:tc>
        <w:tc>
          <w:tcPr>
            <w:tcW w:w="1319" w:type="dxa"/>
          </w:tcPr>
          <w:p w14:paraId="36A5E08E" w14:textId="492A7A5B" w:rsidR="00406684" w:rsidRDefault="00406684" w:rsidP="004A464C">
            <w:pPr>
              <w:pStyle w:val="Tabletext"/>
              <w:jc w:val="right"/>
            </w:pPr>
            <w:r w:rsidRPr="00D358AD">
              <w:t>0.5</w:t>
            </w:r>
          </w:p>
        </w:tc>
        <w:tc>
          <w:tcPr>
            <w:tcW w:w="1319" w:type="dxa"/>
          </w:tcPr>
          <w:p w14:paraId="04625728" w14:textId="38096F10" w:rsidR="00406684" w:rsidRDefault="00406684" w:rsidP="004A464C">
            <w:pPr>
              <w:pStyle w:val="Tabletext"/>
              <w:jc w:val="right"/>
            </w:pPr>
            <w:r w:rsidRPr="00485114">
              <w:t>0.6</w:t>
            </w:r>
          </w:p>
        </w:tc>
      </w:tr>
      <w:tr w:rsidR="00406684" w14:paraId="5E32EEC8" w14:textId="77777777" w:rsidTr="00F42C15">
        <w:trPr>
          <w:cnfStyle w:val="000000100000" w:firstRow="0" w:lastRow="0" w:firstColumn="0" w:lastColumn="0" w:oddVBand="0" w:evenVBand="0" w:oddHBand="1" w:evenHBand="0" w:firstRowFirstColumn="0" w:firstRowLastColumn="0" w:lastRowFirstColumn="0" w:lastRowLastColumn="0"/>
          <w:trHeight w:val="305"/>
        </w:trPr>
        <w:tc>
          <w:tcPr>
            <w:tcW w:w="1520" w:type="dxa"/>
          </w:tcPr>
          <w:p w14:paraId="29D22D20" w14:textId="029074F6" w:rsidR="00406684" w:rsidRDefault="00406684" w:rsidP="004A464C">
            <w:pPr>
              <w:pStyle w:val="Tabletext"/>
              <w:jc w:val="right"/>
              <w:rPr>
                <w:lang w:eastAsia="en-AU"/>
              </w:rPr>
            </w:pPr>
          </w:p>
        </w:tc>
        <w:tc>
          <w:tcPr>
            <w:tcW w:w="1322" w:type="dxa"/>
          </w:tcPr>
          <w:p w14:paraId="7F19FFCF" w14:textId="77777777" w:rsidR="00406684" w:rsidRDefault="00406684" w:rsidP="004A464C">
            <w:pPr>
              <w:pStyle w:val="Tabletext"/>
              <w:jc w:val="right"/>
              <w:rPr>
                <w:lang w:eastAsia="en-AU"/>
              </w:rPr>
            </w:pPr>
            <w:r w:rsidRPr="007A2F7B">
              <w:t>3</w:t>
            </w:r>
          </w:p>
        </w:tc>
        <w:tc>
          <w:tcPr>
            <w:tcW w:w="1320" w:type="dxa"/>
          </w:tcPr>
          <w:p w14:paraId="40D7A557" w14:textId="096F17EE" w:rsidR="00406684" w:rsidRDefault="00406684" w:rsidP="004A464C">
            <w:pPr>
              <w:pStyle w:val="Tabletext"/>
              <w:jc w:val="right"/>
            </w:pPr>
          </w:p>
        </w:tc>
        <w:tc>
          <w:tcPr>
            <w:tcW w:w="1319" w:type="dxa"/>
          </w:tcPr>
          <w:p w14:paraId="039E137F" w14:textId="3E9F428A" w:rsidR="00406684" w:rsidRDefault="00406684" w:rsidP="004A464C">
            <w:pPr>
              <w:pStyle w:val="Tabletext"/>
              <w:jc w:val="right"/>
            </w:pPr>
          </w:p>
        </w:tc>
        <w:tc>
          <w:tcPr>
            <w:tcW w:w="1319" w:type="dxa"/>
          </w:tcPr>
          <w:p w14:paraId="636614A5" w14:textId="6F6545A6" w:rsidR="00406684" w:rsidRDefault="00406684" w:rsidP="004A464C">
            <w:pPr>
              <w:pStyle w:val="Tabletext"/>
              <w:jc w:val="right"/>
            </w:pPr>
          </w:p>
        </w:tc>
      </w:tr>
      <w:tr w:rsidR="00406684" w14:paraId="49A4EA30" w14:textId="77777777" w:rsidTr="00F42C15">
        <w:trPr>
          <w:cnfStyle w:val="000000010000" w:firstRow="0" w:lastRow="0" w:firstColumn="0" w:lastColumn="0" w:oddVBand="0" w:evenVBand="0" w:oddHBand="0" w:evenHBand="1" w:firstRowFirstColumn="0" w:firstRowLastColumn="0" w:lastRowFirstColumn="0" w:lastRowLastColumn="0"/>
          <w:trHeight w:val="305"/>
        </w:trPr>
        <w:tc>
          <w:tcPr>
            <w:tcW w:w="1520" w:type="dxa"/>
          </w:tcPr>
          <w:p w14:paraId="62FF5DA0" w14:textId="50825767" w:rsidR="00406684" w:rsidRDefault="00406684" w:rsidP="004A464C">
            <w:pPr>
              <w:pStyle w:val="Tabletext"/>
              <w:jc w:val="right"/>
              <w:rPr>
                <w:lang w:eastAsia="en-AU"/>
              </w:rPr>
            </w:pPr>
            <w:r w:rsidRPr="00984FC2">
              <w:t>2013</w:t>
            </w:r>
            <w:r>
              <w:t>–</w:t>
            </w:r>
            <w:r w:rsidRPr="00984FC2">
              <w:t>14</w:t>
            </w:r>
          </w:p>
        </w:tc>
        <w:tc>
          <w:tcPr>
            <w:tcW w:w="1322" w:type="dxa"/>
          </w:tcPr>
          <w:p w14:paraId="79B79D56" w14:textId="77777777" w:rsidR="00406684" w:rsidRDefault="00406684" w:rsidP="004A464C">
            <w:pPr>
              <w:pStyle w:val="Tabletext"/>
              <w:jc w:val="right"/>
              <w:rPr>
                <w:lang w:eastAsia="en-AU"/>
              </w:rPr>
            </w:pPr>
            <w:r w:rsidRPr="007A2F7B">
              <w:t>2</w:t>
            </w:r>
          </w:p>
        </w:tc>
        <w:tc>
          <w:tcPr>
            <w:tcW w:w="1320" w:type="dxa"/>
          </w:tcPr>
          <w:p w14:paraId="0C8A3757" w14:textId="751A48B8" w:rsidR="00406684" w:rsidRDefault="00406684" w:rsidP="004A464C">
            <w:pPr>
              <w:pStyle w:val="Tabletext"/>
              <w:jc w:val="right"/>
            </w:pPr>
          </w:p>
        </w:tc>
        <w:tc>
          <w:tcPr>
            <w:tcW w:w="1319" w:type="dxa"/>
          </w:tcPr>
          <w:p w14:paraId="312D7416" w14:textId="0265D314" w:rsidR="00406684" w:rsidRDefault="00406684" w:rsidP="004A464C">
            <w:pPr>
              <w:pStyle w:val="Tabletext"/>
              <w:jc w:val="right"/>
            </w:pPr>
          </w:p>
        </w:tc>
        <w:tc>
          <w:tcPr>
            <w:tcW w:w="1319" w:type="dxa"/>
          </w:tcPr>
          <w:p w14:paraId="0CA5A483" w14:textId="3DD4F8CA" w:rsidR="00406684" w:rsidRDefault="00406684" w:rsidP="004A464C">
            <w:pPr>
              <w:pStyle w:val="Tabletext"/>
              <w:jc w:val="right"/>
            </w:pPr>
          </w:p>
        </w:tc>
      </w:tr>
    </w:tbl>
    <w:p w14:paraId="56B920E8" w14:textId="6F77C538" w:rsidR="002D40C9" w:rsidRDefault="002D40C9" w:rsidP="002D40C9">
      <w:pPr>
        <w:pStyle w:val="Note"/>
        <w:rPr>
          <w:lang w:eastAsia="en-AU"/>
        </w:rPr>
      </w:pPr>
      <w:r>
        <w:rPr>
          <w:lang w:eastAsia="en-AU"/>
        </w:rPr>
        <w:t xml:space="preserve">Notes: All values shown in table are significant at 10 per cent. Blank cells are results that are not statistically significant. </w:t>
      </w:r>
      <w:r w:rsidR="00F96A9C">
        <w:rPr>
          <w:lang w:eastAsia="en-AU"/>
        </w:rPr>
        <w:t>N/a denotes sample size is too small to calculate a value.</w:t>
      </w:r>
    </w:p>
    <w:p w14:paraId="17304C96" w14:textId="296B67C2" w:rsidR="002D40C9" w:rsidRDefault="002D40C9" w:rsidP="002D40C9">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016B82E2" w14:textId="69CD12A7" w:rsidR="00F26E17" w:rsidRDefault="00F42BDB" w:rsidP="00293F4E">
      <w:pPr>
        <w:pStyle w:val="Heading2"/>
      </w:pPr>
      <w:r>
        <w:t xml:space="preserve">Export sales </w:t>
      </w:r>
    </w:p>
    <w:p w14:paraId="7C4938FF" w14:textId="257A3CCA" w:rsidR="00A72CCA" w:rsidRPr="00A72CCA" w:rsidRDefault="00496C99" w:rsidP="00A72CCA">
      <w:pPr>
        <w:pStyle w:val="BodyText"/>
      </w:pPr>
      <w:r w:rsidRPr="00FA2319">
        <w:t>The export sales variable is unable to be studied by coh</w:t>
      </w:r>
      <w:r w:rsidR="00457568" w:rsidRPr="00FA2319">
        <w:t>ort, due to small sample sizes.</w:t>
      </w:r>
      <w:r w:rsidRPr="00FA2319">
        <w:rPr>
          <w:rStyle w:val="FootnoteReference"/>
        </w:rPr>
        <w:footnoteReference w:id="22"/>
      </w:r>
    </w:p>
    <w:p w14:paraId="3E5CA23C" w14:textId="52A2FE9E" w:rsidR="008319D7" w:rsidRDefault="008319D7" w:rsidP="008319D7">
      <w:pPr>
        <w:pStyle w:val="Heading2"/>
      </w:pPr>
      <w:r>
        <w:t xml:space="preserve">Capital expenditure </w:t>
      </w:r>
    </w:p>
    <w:p w14:paraId="5490C817" w14:textId="3FC9445A" w:rsidR="00010156" w:rsidRDefault="00010156" w:rsidP="00010156">
      <w:pPr>
        <w:pStyle w:val="BodyText"/>
      </w:pPr>
      <w:r>
        <w:t>Table 6.3 reports the ATT between EC and non-EC participants for capital expenditure growth within two, three,</w:t>
      </w:r>
      <w:r w:rsidR="00647366">
        <w:t xml:space="preserve"> four and five years, by cohort and</w:t>
      </w:r>
      <w:r>
        <w:t xml:space="preserve"> industry. </w:t>
      </w:r>
    </w:p>
    <w:p w14:paraId="02B160BB" w14:textId="2C3592CB" w:rsidR="008319D7" w:rsidRPr="00F245EC" w:rsidRDefault="003E61AA" w:rsidP="00A03FA3">
      <w:pPr>
        <w:pStyle w:val="BodyText"/>
      </w:pPr>
      <w:r>
        <w:t xml:space="preserve">The </w:t>
      </w:r>
      <w:r w:rsidR="00DB7429">
        <w:t>EC firms</w:t>
      </w:r>
      <w:r>
        <w:t xml:space="preserve"> across all </w:t>
      </w:r>
      <w:r w:rsidR="00DB7429">
        <w:t>industries</w:t>
      </w:r>
      <w:r>
        <w:t xml:space="preserve"> appear to benefit from the EC program in terms of additional investment in capital, particularly in later cohorts.</w:t>
      </w:r>
    </w:p>
    <w:p w14:paraId="62A96373" w14:textId="42C0B81E" w:rsidR="008319D7" w:rsidRDefault="00010156" w:rsidP="008319D7">
      <w:pPr>
        <w:pStyle w:val="Caption"/>
      </w:pPr>
      <w:r w:rsidRPr="000618FB">
        <w:lastRenderedPageBreak/>
        <w:t xml:space="preserve">Table </w:t>
      </w:r>
      <w:r>
        <w:t xml:space="preserve">6.3. </w:t>
      </w:r>
      <w:r w:rsidR="0023569B">
        <w:t>Capital expenditure</w:t>
      </w:r>
      <w:r w:rsidR="0023569B" w:rsidRPr="0023569B">
        <w:t xml:space="preserve"> ATT (thousands of dollars), by cohort, industry and program element</w:t>
      </w:r>
    </w:p>
    <w:tbl>
      <w:tblPr>
        <w:tblStyle w:val="OCETable"/>
        <w:tblW w:w="4868" w:type="pct"/>
        <w:tblInd w:w="57" w:type="dxa"/>
        <w:tblLayout w:type="fixed"/>
        <w:tblLook w:val="04A0" w:firstRow="1" w:lastRow="0" w:firstColumn="1" w:lastColumn="0" w:noHBand="0" w:noVBand="1"/>
        <w:tblCaption w:val="Table 6.1. Turnover ATT (thousands of dollars), by cohort, industry and programme element "/>
      </w:tblPr>
      <w:tblGrid>
        <w:gridCol w:w="1500"/>
        <w:gridCol w:w="1305"/>
        <w:gridCol w:w="1303"/>
        <w:gridCol w:w="1302"/>
        <w:gridCol w:w="1302"/>
      </w:tblGrid>
      <w:tr w:rsidR="002C090D" w14:paraId="7FF5C9FA" w14:textId="77777777" w:rsidTr="00F42C15">
        <w:trPr>
          <w:cnfStyle w:val="100000000000" w:firstRow="1" w:lastRow="0" w:firstColumn="0" w:lastColumn="0" w:oddVBand="0" w:evenVBand="0" w:oddHBand="0" w:evenHBand="0" w:firstRowFirstColumn="0" w:firstRowLastColumn="0" w:lastRowFirstColumn="0" w:lastRowLastColumn="0"/>
          <w:trHeight w:val="403"/>
          <w:tblHeader/>
        </w:trPr>
        <w:tc>
          <w:tcPr>
            <w:tcW w:w="1500" w:type="dxa"/>
          </w:tcPr>
          <w:p w14:paraId="17591F34" w14:textId="77777777" w:rsidR="002C090D" w:rsidRDefault="002C090D" w:rsidP="00FF22B7">
            <w:pPr>
              <w:pStyle w:val="Tableheader"/>
              <w:jc w:val="right"/>
              <w:rPr>
                <w:lang w:eastAsia="en-AU"/>
              </w:rPr>
            </w:pPr>
            <w:r>
              <w:rPr>
                <w:lang w:eastAsia="en-AU"/>
              </w:rPr>
              <w:t>Cohort</w:t>
            </w:r>
          </w:p>
        </w:tc>
        <w:tc>
          <w:tcPr>
            <w:tcW w:w="1305" w:type="dxa"/>
          </w:tcPr>
          <w:p w14:paraId="510EBAFF" w14:textId="77777777" w:rsidR="002C090D" w:rsidRDefault="002C090D" w:rsidP="00FF22B7">
            <w:pPr>
              <w:pStyle w:val="Tableheader"/>
              <w:jc w:val="right"/>
              <w:rPr>
                <w:lang w:eastAsia="en-AU"/>
              </w:rPr>
            </w:pPr>
            <w:r>
              <w:rPr>
                <w:lang w:eastAsia="en-AU"/>
              </w:rPr>
              <w:t xml:space="preserve">Years </w:t>
            </w:r>
          </w:p>
        </w:tc>
        <w:tc>
          <w:tcPr>
            <w:tcW w:w="1303" w:type="dxa"/>
          </w:tcPr>
          <w:p w14:paraId="3D28AFD0" w14:textId="47E05655" w:rsidR="002C090D" w:rsidRDefault="002C090D" w:rsidP="00FF22B7">
            <w:pPr>
              <w:pStyle w:val="Tableheader"/>
              <w:jc w:val="right"/>
              <w:rPr>
                <w:lang w:eastAsia="en-AU"/>
              </w:rPr>
            </w:pPr>
            <w:r>
              <w:rPr>
                <w:lang w:eastAsia="en-AU"/>
              </w:rPr>
              <w:t>Manufacturing</w:t>
            </w:r>
          </w:p>
        </w:tc>
        <w:tc>
          <w:tcPr>
            <w:tcW w:w="1302" w:type="dxa"/>
          </w:tcPr>
          <w:p w14:paraId="22ABD134" w14:textId="23B3A68D" w:rsidR="002C090D" w:rsidRDefault="002C090D" w:rsidP="00FF22B7">
            <w:pPr>
              <w:pStyle w:val="Tableheader"/>
              <w:tabs>
                <w:tab w:val="center" w:pos="730"/>
              </w:tabs>
              <w:jc w:val="right"/>
              <w:rPr>
                <w:lang w:eastAsia="en-AU"/>
              </w:rPr>
            </w:pPr>
            <w:r>
              <w:rPr>
                <w:lang w:eastAsia="en-AU"/>
              </w:rPr>
              <w:t>PST</w:t>
            </w:r>
            <w:r>
              <w:rPr>
                <w:lang w:eastAsia="en-AU"/>
              </w:rPr>
              <w:tab/>
            </w:r>
          </w:p>
        </w:tc>
        <w:tc>
          <w:tcPr>
            <w:tcW w:w="1302" w:type="dxa"/>
          </w:tcPr>
          <w:p w14:paraId="34857C14" w14:textId="3A7AC87D" w:rsidR="002C090D" w:rsidRDefault="002C090D" w:rsidP="00FF22B7">
            <w:pPr>
              <w:pStyle w:val="Tableheader"/>
              <w:jc w:val="right"/>
              <w:rPr>
                <w:lang w:eastAsia="en-AU"/>
              </w:rPr>
            </w:pPr>
            <w:r>
              <w:rPr>
                <w:lang w:eastAsia="en-AU"/>
              </w:rPr>
              <w:t>Other Services</w:t>
            </w:r>
          </w:p>
        </w:tc>
      </w:tr>
      <w:tr w:rsidR="002C090D" w14:paraId="35387902"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03F2BB58" w14:textId="6EC12254" w:rsidR="002C090D" w:rsidRDefault="002C090D" w:rsidP="001C7A0E">
            <w:pPr>
              <w:pStyle w:val="Tabletext"/>
              <w:jc w:val="right"/>
              <w:rPr>
                <w:lang w:eastAsia="en-AU"/>
              </w:rPr>
            </w:pPr>
            <w:r w:rsidRPr="00984FC2">
              <w:t>2007</w:t>
            </w:r>
            <w:r>
              <w:t>–</w:t>
            </w:r>
            <w:r w:rsidRPr="00984FC2">
              <w:t>08</w:t>
            </w:r>
          </w:p>
        </w:tc>
        <w:tc>
          <w:tcPr>
            <w:tcW w:w="1305" w:type="dxa"/>
          </w:tcPr>
          <w:p w14:paraId="1209CEB4" w14:textId="77777777" w:rsidR="002C090D" w:rsidRDefault="002C090D" w:rsidP="001C7A0E">
            <w:pPr>
              <w:pStyle w:val="Tabletext"/>
              <w:jc w:val="right"/>
              <w:rPr>
                <w:lang w:eastAsia="en-AU"/>
              </w:rPr>
            </w:pPr>
            <w:r w:rsidRPr="007A2F7B">
              <w:t>2</w:t>
            </w:r>
          </w:p>
        </w:tc>
        <w:tc>
          <w:tcPr>
            <w:tcW w:w="1303" w:type="dxa"/>
          </w:tcPr>
          <w:p w14:paraId="733643D8" w14:textId="77777777" w:rsidR="002C090D" w:rsidRDefault="002C090D" w:rsidP="001C7A0E">
            <w:pPr>
              <w:pStyle w:val="Tabletext"/>
              <w:jc w:val="right"/>
              <w:rPr>
                <w:lang w:eastAsia="en-AU"/>
              </w:rPr>
            </w:pPr>
          </w:p>
        </w:tc>
        <w:tc>
          <w:tcPr>
            <w:tcW w:w="1302" w:type="dxa"/>
          </w:tcPr>
          <w:p w14:paraId="39DAEB78" w14:textId="77777777" w:rsidR="002C090D" w:rsidRDefault="002C090D" w:rsidP="001C7A0E">
            <w:pPr>
              <w:pStyle w:val="Tabletext"/>
              <w:jc w:val="right"/>
              <w:rPr>
                <w:lang w:eastAsia="en-AU"/>
              </w:rPr>
            </w:pPr>
          </w:p>
        </w:tc>
        <w:tc>
          <w:tcPr>
            <w:tcW w:w="1302" w:type="dxa"/>
          </w:tcPr>
          <w:p w14:paraId="697E816F" w14:textId="111F09A1" w:rsidR="002C090D" w:rsidRDefault="002C090D" w:rsidP="001C7A0E">
            <w:pPr>
              <w:pStyle w:val="Tabletext"/>
              <w:jc w:val="right"/>
              <w:rPr>
                <w:lang w:eastAsia="en-AU"/>
              </w:rPr>
            </w:pPr>
            <w:r w:rsidRPr="00DC37D0">
              <w:t>40.2</w:t>
            </w:r>
          </w:p>
        </w:tc>
      </w:tr>
      <w:tr w:rsidR="002C090D" w14:paraId="12541804"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52871AF7" w14:textId="01A77ACF" w:rsidR="002C090D" w:rsidRDefault="002C090D" w:rsidP="001C7A0E">
            <w:pPr>
              <w:pStyle w:val="Tabletext"/>
              <w:jc w:val="right"/>
              <w:rPr>
                <w:lang w:eastAsia="en-AU"/>
              </w:rPr>
            </w:pPr>
          </w:p>
        </w:tc>
        <w:tc>
          <w:tcPr>
            <w:tcW w:w="1305" w:type="dxa"/>
          </w:tcPr>
          <w:p w14:paraId="24225C62" w14:textId="77777777" w:rsidR="002C090D" w:rsidRDefault="002C090D" w:rsidP="001C7A0E">
            <w:pPr>
              <w:pStyle w:val="Tabletext"/>
              <w:jc w:val="right"/>
              <w:rPr>
                <w:lang w:eastAsia="en-AU"/>
              </w:rPr>
            </w:pPr>
            <w:r w:rsidRPr="007A2F7B">
              <w:t>3</w:t>
            </w:r>
          </w:p>
        </w:tc>
        <w:tc>
          <w:tcPr>
            <w:tcW w:w="1303" w:type="dxa"/>
          </w:tcPr>
          <w:p w14:paraId="6A7A8BCF" w14:textId="79A42DE3" w:rsidR="002C090D" w:rsidRDefault="002C090D" w:rsidP="001C7A0E">
            <w:pPr>
              <w:pStyle w:val="Tabletext"/>
              <w:jc w:val="right"/>
              <w:rPr>
                <w:lang w:eastAsia="en-AU"/>
              </w:rPr>
            </w:pPr>
          </w:p>
        </w:tc>
        <w:tc>
          <w:tcPr>
            <w:tcW w:w="1302" w:type="dxa"/>
          </w:tcPr>
          <w:p w14:paraId="470ADEFE" w14:textId="77777777" w:rsidR="002C090D" w:rsidRDefault="002C090D" w:rsidP="001C7A0E">
            <w:pPr>
              <w:pStyle w:val="Tabletext"/>
              <w:jc w:val="right"/>
              <w:rPr>
                <w:lang w:eastAsia="en-AU"/>
              </w:rPr>
            </w:pPr>
          </w:p>
        </w:tc>
        <w:tc>
          <w:tcPr>
            <w:tcW w:w="1302" w:type="dxa"/>
          </w:tcPr>
          <w:p w14:paraId="798F87A7" w14:textId="4998B012" w:rsidR="002C090D" w:rsidRDefault="002C090D" w:rsidP="001C7A0E">
            <w:pPr>
              <w:pStyle w:val="Tabletext"/>
              <w:jc w:val="right"/>
              <w:rPr>
                <w:lang w:eastAsia="en-AU"/>
              </w:rPr>
            </w:pPr>
          </w:p>
        </w:tc>
      </w:tr>
      <w:tr w:rsidR="002C090D" w14:paraId="7363BB49"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3F2A1F27" w14:textId="450AC79D" w:rsidR="002C090D" w:rsidRDefault="002C090D" w:rsidP="001C7A0E">
            <w:pPr>
              <w:pStyle w:val="Tabletext"/>
              <w:jc w:val="right"/>
              <w:rPr>
                <w:lang w:eastAsia="en-AU"/>
              </w:rPr>
            </w:pPr>
          </w:p>
        </w:tc>
        <w:tc>
          <w:tcPr>
            <w:tcW w:w="1305" w:type="dxa"/>
          </w:tcPr>
          <w:p w14:paraId="4DFA02DE" w14:textId="77777777" w:rsidR="002C090D" w:rsidRDefault="002C090D" w:rsidP="001C7A0E">
            <w:pPr>
              <w:pStyle w:val="Tabletext"/>
              <w:jc w:val="right"/>
              <w:rPr>
                <w:lang w:eastAsia="en-AU"/>
              </w:rPr>
            </w:pPr>
            <w:r w:rsidRPr="007A2F7B">
              <w:t>4</w:t>
            </w:r>
          </w:p>
        </w:tc>
        <w:tc>
          <w:tcPr>
            <w:tcW w:w="1303" w:type="dxa"/>
          </w:tcPr>
          <w:p w14:paraId="2058EB38" w14:textId="77777777" w:rsidR="002C090D" w:rsidRDefault="002C090D" w:rsidP="001C7A0E">
            <w:pPr>
              <w:pStyle w:val="Tabletext"/>
              <w:jc w:val="right"/>
              <w:rPr>
                <w:lang w:eastAsia="en-AU"/>
              </w:rPr>
            </w:pPr>
          </w:p>
        </w:tc>
        <w:tc>
          <w:tcPr>
            <w:tcW w:w="1302" w:type="dxa"/>
          </w:tcPr>
          <w:p w14:paraId="7674C698" w14:textId="77777777" w:rsidR="002C090D" w:rsidRDefault="002C090D" w:rsidP="001C7A0E">
            <w:pPr>
              <w:pStyle w:val="Tabletext"/>
              <w:jc w:val="right"/>
              <w:rPr>
                <w:lang w:eastAsia="en-AU"/>
              </w:rPr>
            </w:pPr>
          </w:p>
        </w:tc>
        <w:tc>
          <w:tcPr>
            <w:tcW w:w="1302" w:type="dxa"/>
          </w:tcPr>
          <w:p w14:paraId="34567217" w14:textId="3D56C686" w:rsidR="002C090D" w:rsidRDefault="002C090D" w:rsidP="001C7A0E">
            <w:pPr>
              <w:pStyle w:val="Tabletext"/>
              <w:jc w:val="right"/>
              <w:rPr>
                <w:lang w:eastAsia="en-AU"/>
              </w:rPr>
            </w:pPr>
          </w:p>
        </w:tc>
      </w:tr>
      <w:tr w:rsidR="002C090D" w14:paraId="7223A543"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5414E50A" w14:textId="0B0797CA" w:rsidR="002C090D" w:rsidRDefault="002C090D" w:rsidP="001C7A0E">
            <w:pPr>
              <w:pStyle w:val="Tabletext"/>
              <w:jc w:val="right"/>
              <w:rPr>
                <w:lang w:eastAsia="en-AU"/>
              </w:rPr>
            </w:pPr>
          </w:p>
        </w:tc>
        <w:tc>
          <w:tcPr>
            <w:tcW w:w="1305" w:type="dxa"/>
          </w:tcPr>
          <w:p w14:paraId="40A3A4D9" w14:textId="77777777" w:rsidR="002C090D" w:rsidRDefault="002C090D" w:rsidP="001C7A0E">
            <w:pPr>
              <w:pStyle w:val="Tabletext"/>
              <w:jc w:val="right"/>
              <w:rPr>
                <w:lang w:eastAsia="en-AU"/>
              </w:rPr>
            </w:pPr>
            <w:r w:rsidRPr="007A2F7B">
              <w:t>5</w:t>
            </w:r>
          </w:p>
        </w:tc>
        <w:tc>
          <w:tcPr>
            <w:tcW w:w="1303" w:type="dxa"/>
          </w:tcPr>
          <w:p w14:paraId="21903465" w14:textId="77777777" w:rsidR="002C090D" w:rsidRDefault="002C090D" w:rsidP="001C7A0E">
            <w:pPr>
              <w:pStyle w:val="Tabletext"/>
              <w:jc w:val="right"/>
              <w:rPr>
                <w:lang w:eastAsia="en-AU"/>
              </w:rPr>
            </w:pPr>
          </w:p>
        </w:tc>
        <w:tc>
          <w:tcPr>
            <w:tcW w:w="1302" w:type="dxa"/>
          </w:tcPr>
          <w:p w14:paraId="33572C5F" w14:textId="77777777" w:rsidR="002C090D" w:rsidRDefault="002C090D" w:rsidP="001C7A0E">
            <w:pPr>
              <w:pStyle w:val="Tabletext"/>
              <w:jc w:val="right"/>
              <w:rPr>
                <w:lang w:eastAsia="en-AU"/>
              </w:rPr>
            </w:pPr>
          </w:p>
        </w:tc>
        <w:tc>
          <w:tcPr>
            <w:tcW w:w="1302" w:type="dxa"/>
          </w:tcPr>
          <w:p w14:paraId="75B3146E" w14:textId="6B2BD141" w:rsidR="002C090D" w:rsidRDefault="002C090D" w:rsidP="001C7A0E">
            <w:pPr>
              <w:pStyle w:val="Tabletext"/>
              <w:jc w:val="right"/>
              <w:rPr>
                <w:lang w:eastAsia="en-AU"/>
              </w:rPr>
            </w:pPr>
          </w:p>
        </w:tc>
      </w:tr>
      <w:tr w:rsidR="002C090D" w14:paraId="60CE076F"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5C87EB5B" w14:textId="2483B10C" w:rsidR="002C090D" w:rsidRDefault="002C090D" w:rsidP="001C7A0E">
            <w:pPr>
              <w:pStyle w:val="Tabletext"/>
              <w:jc w:val="right"/>
              <w:rPr>
                <w:lang w:eastAsia="en-AU"/>
              </w:rPr>
            </w:pPr>
            <w:r w:rsidRPr="00984FC2">
              <w:t>2008</w:t>
            </w:r>
            <w:r>
              <w:t>–</w:t>
            </w:r>
            <w:r w:rsidRPr="00984FC2">
              <w:t>09</w:t>
            </w:r>
          </w:p>
        </w:tc>
        <w:tc>
          <w:tcPr>
            <w:tcW w:w="1305" w:type="dxa"/>
          </w:tcPr>
          <w:p w14:paraId="655CF12D" w14:textId="77777777" w:rsidR="002C090D" w:rsidRDefault="002C090D" w:rsidP="001C7A0E">
            <w:pPr>
              <w:pStyle w:val="Tabletext"/>
              <w:jc w:val="right"/>
              <w:rPr>
                <w:lang w:eastAsia="en-AU"/>
              </w:rPr>
            </w:pPr>
            <w:r w:rsidRPr="007A2F7B">
              <w:t>2</w:t>
            </w:r>
          </w:p>
        </w:tc>
        <w:tc>
          <w:tcPr>
            <w:tcW w:w="1303" w:type="dxa"/>
          </w:tcPr>
          <w:p w14:paraId="5ECD7B68" w14:textId="25C0A3A2" w:rsidR="002C090D" w:rsidRDefault="002C090D" w:rsidP="001C7A0E">
            <w:pPr>
              <w:pStyle w:val="Tabletext"/>
              <w:jc w:val="right"/>
              <w:rPr>
                <w:lang w:eastAsia="en-AU"/>
              </w:rPr>
            </w:pPr>
            <w:r w:rsidRPr="00AA4881">
              <w:t>13.6</w:t>
            </w:r>
          </w:p>
        </w:tc>
        <w:tc>
          <w:tcPr>
            <w:tcW w:w="1302" w:type="dxa"/>
          </w:tcPr>
          <w:p w14:paraId="17CC4C45" w14:textId="77777777" w:rsidR="002C090D" w:rsidRDefault="002C090D" w:rsidP="001C7A0E">
            <w:pPr>
              <w:pStyle w:val="Tabletext"/>
              <w:jc w:val="right"/>
              <w:rPr>
                <w:lang w:eastAsia="en-AU"/>
              </w:rPr>
            </w:pPr>
          </w:p>
        </w:tc>
        <w:tc>
          <w:tcPr>
            <w:tcW w:w="1302" w:type="dxa"/>
          </w:tcPr>
          <w:p w14:paraId="16128D93" w14:textId="3ABDF599" w:rsidR="002C090D" w:rsidRDefault="002C090D" w:rsidP="001C7A0E">
            <w:pPr>
              <w:pStyle w:val="Tabletext"/>
              <w:jc w:val="right"/>
              <w:rPr>
                <w:lang w:eastAsia="en-AU"/>
              </w:rPr>
            </w:pPr>
          </w:p>
        </w:tc>
      </w:tr>
      <w:tr w:rsidR="002C090D" w14:paraId="238E2D46"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5B000EA8" w14:textId="7F8C0C39" w:rsidR="002C090D" w:rsidRDefault="002C090D" w:rsidP="001C7A0E">
            <w:pPr>
              <w:pStyle w:val="Tabletext"/>
              <w:jc w:val="right"/>
              <w:rPr>
                <w:lang w:eastAsia="en-AU"/>
              </w:rPr>
            </w:pPr>
          </w:p>
        </w:tc>
        <w:tc>
          <w:tcPr>
            <w:tcW w:w="1305" w:type="dxa"/>
          </w:tcPr>
          <w:p w14:paraId="2C3F1B00" w14:textId="77777777" w:rsidR="002C090D" w:rsidRDefault="002C090D" w:rsidP="001C7A0E">
            <w:pPr>
              <w:pStyle w:val="Tabletext"/>
              <w:jc w:val="right"/>
              <w:rPr>
                <w:lang w:eastAsia="en-AU"/>
              </w:rPr>
            </w:pPr>
            <w:r w:rsidRPr="007A2F7B">
              <w:t>3</w:t>
            </w:r>
          </w:p>
        </w:tc>
        <w:tc>
          <w:tcPr>
            <w:tcW w:w="1303" w:type="dxa"/>
          </w:tcPr>
          <w:p w14:paraId="4C3383B2" w14:textId="6A523260" w:rsidR="002C090D" w:rsidRDefault="002C090D" w:rsidP="001C7A0E">
            <w:pPr>
              <w:pStyle w:val="Tabletext"/>
              <w:jc w:val="right"/>
              <w:rPr>
                <w:lang w:eastAsia="en-AU"/>
              </w:rPr>
            </w:pPr>
            <w:r w:rsidRPr="00AA4881">
              <w:t>19.6</w:t>
            </w:r>
          </w:p>
        </w:tc>
        <w:tc>
          <w:tcPr>
            <w:tcW w:w="1302" w:type="dxa"/>
          </w:tcPr>
          <w:p w14:paraId="72239187" w14:textId="5713E2BB" w:rsidR="002C090D" w:rsidRDefault="002C090D" w:rsidP="001C7A0E">
            <w:pPr>
              <w:pStyle w:val="Tabletext"/>
              <w:jc w:val="right"/>
              <w:rPr>
                <w:lang w:eastAsia="en-AU"/>
              </w:rPr>
            </w:pPr>
            <w:r w:rsidRPr="00473AA6">
              <w:t>22.4</w:t>
            </w:r>
          </w:p>
        </w:tc>
        <w:tc>
          <w:tcPr>
            <w:tcW w:w="1302" w:type="dxa"/>
          </w:tcPr>
          <w:p w14:paraId="744C05FA" w14:textId="7CE1DA99" w:rsidR="002C090D" w:rsidRDefault="002C090D" w:rsidP="001C7A0E">
            <w:pPr>
              <w:pStyle w:val="Tabletext"/>
              <w:jc w:val="right"/>
              <w:rPr>
                <w:lang w:eastAsia="en-AU"/>
              </w:rPr>
            </w:pPr>
          </w:p>
        </w:tc>
      </w:tr>
      <w:tr w:rsidR="002C090D" w14:paraId="2752B57B"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206BAE2C" w14:textId="05FE03BB" w:rsidR="002C090D" w:rsidRDefault="002C090D" w:rsidP="001C7A0E">
            <w:pPr>
              <w:pStyle w:val="Tabletext"/>
              <w:jc w:val="right"/>
              <w:rPr>
                <w:lang w:eastAsia="en-AU"/>
              </w:rPr>
            </w:pPr>
          </w:p>
        </w:tc>
        <w:tc>
          <w:tcPr>
            <w:tcW w:w="1305" w:type="dxa"/>
          </w:tcPr>
          <w:p w14:paraId="5E059C5C" w14:textId="77777777" w:rsidR="002C090D" w:rsidRDefault="002C090D" w:rsidP="001C7A0E">
            <w:pPr>
              <w:pStyle w:val="Tabletext"/>
              <w:jc w:val="right"/>
              <w:rPr>
                <w:lang w:eastAsia="en-AU"/>
              </w:rPr>
            </w:pPr>
            <w:r w:rsidRPr="007A2F7B">
              <w:t>4</w:t>
            </w:r>
          </w:p>
        </w:tc>
        <w:tc>
          <w:tcPr>
            <w:tcW w:w="1303" w:type="dxa"/>
          </w:tcPr>
          <w:p w14:paraId="4283CF45" w14:textId="6E637360" w:rsidR="002C090D" w:rsidRDefault="002C090D" w:rsidP="001C7A0E">
            <w:pPr>
              <w:pStyle w:val="Tabletext"/>
              <w:jc w:val="right"/>
              <w:rPr>
                <w:lang w:eastAsia="en-AU"/>
              </w:rPr>
            </w:pPr>
            <w:r w:rsidRPr="00AA4881">
              <w:t>16.7</w:t>
            </w:r>
          </w:p>
        </w:tc>
        <w:tc>
          <w:tcPr>
            <w:tcW w:w="1302" w:type="dxa"/>
          </w:tcPr>
          <w:p w14:paraId="5F377F80" w14:textId="273DAA5E" w:rsidR="002C090D" w:rsidRDefault="002C090D" w:rsidP="001C7A0E">
            <w:pPr>
              <w:pStyle w:val="Tabletext"/>
              <w:jc w:val="right"/>
              <w:rPr>
                <w:lang w:eastAsia="en-AU"/>
              </w:rPr>
            </w:pPr>
          </w:p>
        </w:tc>
        <w:tc>
          <w:tcPr>
            <w:tcW w:w="1302" w:type="dxa"/>
          </w:tcPr>
          <w:p w14:paraId="37F40438" w14:textId="1A9CA1F5" w:rsidR="002C090D" w:rsidRDefault="002C090D" w:rsidP="001C7A0E">
            <w:pPr>
              <w:pStyle w:val="Tabletext"/>
              <w:jc w:val="right"/>
              <w:rPr>
                <w:lang w:eastAsia="en-AU"/>
              </w:rPr>
            </w:pPr>
            <w:r w:rsidRPr="00DC37D0">
              <w:t>15.9</w:t>
            </w:r>
          </w:p>
        </w:tc>
      </w:tr>
      <w:tr w:rsidR="002C090D" w14:paraId="559DCC6F"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2B09010F" w14:textId="3E77F271" w:rsidR="002C090D" w:rsidRDefault="002C090D" w:rsidP="001C7A0E">
            <w:pPr>
              <w:pStyle w:val="Tabletext"/>
              <w:jc w:val="right"/>
              <w:rPr>
                <w:lang w:eastAsia="en-AU"/>
              </w:rPr>
            </w:pPr>
          </w:p>
        </w:tc>
        <w:tc>
          <w:tcPr>
            <w:tcW w:w="1305" w:type="dxa"/>
          </w:tcPr>
          <w:p w14:paraId="137A59F8" w14:textId="77777777" w:rsidR="002C090D" w:rsidRDefault="002C090D" w:rsidP="001C7A0E">
            <w:pPr>
              <w:pStyle w:val="Tabletext"/>
              <w:jc w:val="right"/>
              <w:rPr>
                <w:lang w:eastAsia="en-AU"/>
              </w:rPr>
            </w:pPr>
            <w:r w:rsidRPr="007A2F7B">
              <w:t>5</w:t>
            </w:r>
          </w:p>
        </w:tc>
        <w:tc>
          <w:tcPr>
            <w:tcW w:w="1303" w:type="dxa"/>
          </w:tcPr>
          <w:p w14:paraId="698DB44D" w14:textId="784E164B" w:rsidR="002C090D" w:rsidRDefault="002C090D" w:rsidP="001C7A0E">
            <w:pPr>
              <w:pStyle w:val="Tabletext"/>
              <w:jc w:val="right"/>
              <w:rPr>
                <w:lang w:eastAsia="en-AU"/>
              </w:rPr>
            </w:pPr>
            <w:r w:rsidRPr="00AA4881">
              <w:t>29.1</w:t>
            </w:r>
          </w:p>
        </w:tc>
        <w:tc>
          <w:tcPr>
            <w:tcW w:w="1302" w:type="dxa"/>
          </w:tcPr>
          <w:p w14:paraId="61A8A5A1" w14:textId="30EE0157" w:rsidR="002C090D" w:rsidRDefault="002C090D" w:rsidP="001C7A0E">
            <w:pPr>
              <w:pStyle w:val="Tabletext"/>
              <w:jc w:val="right"/>
              <w:rPr>
                <w:lang w:eastAsia="en-AU"/>
              </w:rPr>
            </w:pPr>
            <w:r w:rsidRPr="00473AA6">
              <w:t>24.6</w:t>
            </w:r>
          </w:p>
        </w:tc>
        <w:tc>
          <w:tcPr>
            <w:tcW w:w="1302" w:type="dxa"/>
          </w:tcPr>
          <w:p w14:paraId="42B5DAF5" w14:textId="54EA6029" w:rsidR="002C090D" w:rsidRDefault="002C090D" w:rsidP="001C7A0E">
            <w:pPr>
              <w:pStyle w:val="Tabletext"/>
              <w:jc w:val="right"/>
              <w:rPr>
                <w:lang w:eastAsia="en-AU"/>
              </w:rPr>
            </w:pPr>
          </w:p>
        </w:tc>
      </w:tr>
      <w:tr w:rsidR="002C090D" w14:paraId="1D4B5EE4"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21B89997" w14:textId="5AFA71BE" w:rsidR="002C090D" w:rsidRDefault="002C090D" w:rsidP="001C7A0E">
            <w:pPr>
              <w:pStyle w:val="Tabletext"/>
              <w:jc w:val="right"/>
              <w:rPr>
                <w:lang w:eastAsia="en-AU"/>
              </w:rPr>
            </w:pPr>
            <w:r w:rsidRPr="00984FC2">
              <w:t>2009</w:t>
            </w:r>
            <w:r>
              <w:t>–</w:t>
            </w:r>
            <w:r w:rsidRPr="00984FC2">
              <w:t>10</w:t>
            </w:r>
          </w:p>
        </w:tc>
        <w:tc>
          <w:tcPr>
            <w:tcW w:w="1305" w:type="dxa"/>
          </w:tcPr>
          <w:p w14:paraId="41E8F279" w14:textId="77777777" w:rsidR="002C090D" w:rsidRDefault="002C090D" w:rsidP="001C7A0E">
            <w:pPr>
              <w:pStyle w:val="Tabletext"/>
              <w:jc w:val="right"/>
              <w:rPr>
                <w:lang w:eastAsia="en-AU"/>
              </w:rPr>
            </w:pPr>
            <w:r w:rsidRPr="007A2F7B">
              <w:t>2</w:t>
            </w:r>
          </w:p>
        </w:tc>
        <w:tc>
          <w:tcPr>
            <w:tcW w:w="1303" w:type="dxa"/>
          </w:tcPr>
          <w:p w14:paraId="56F0F846" w14:textId="77777777" w:rsidR="002C090D" w:rsidRDefault="002C090D" w:rsidP="001C7A0E">
            <w:pPr>
              <w:pStyle w:val="Tabletext"/>
              <w:jc w:val="right"/>
              <w:rPr>
                <w:lang w:eastAsia="en-AU"/>
              </w:rPr>
            </w:pPr>
          </w:p>
        </w:tc>
        <w:tc>
          <w:tcPr>
            <w:tcW w:w="1302" w:type="dxa"/>
          </w:tcPr>
          <w:p w14:paraId="1B22A31D" w14:textId="77777777" w:rsidR="002C090D" w:rsidRDefault="002C090D" w:rsidP="001C7A0E">
            <w:pPr>
              <w:pStyle w:val="Tabletext"/>
              <w:jc w:val="right"/>
              <w:rPr>
                <w:lang w:eastAsia="en-AU"/>
              </w:rPr>
            </w:pPr>
          </w:p>
        </w:tc>
        <w:tc>
          <w:tcPr>
            <w:tcW w:w="1302" w:type="dxa"/>
          </w:tcPr>
          <w:p w14:paraId="76365442" w14:textId="70BB42B1" w:rsidR="002C090D" w:rsidRDefault="002C090D" w:rsidP="001C7A0E">
            <w:pPr>
              <w:pStyle w:val="Tabletext"/>
              <w:jc w:val="right"/>
              <w:rPr>
                <w:lang w:eastAsia="en-AU"/>
              </w:rPr>
            </w:pPr>
          </w:p>
        </w:tc>
      </w:tr>
      <w:tr w:rsidR="002C090D" w14:paraId="4C54DE4B"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6F840E7E" w14:textId="237F9671" w:rsidR="002C090D" w:rsidRDefault="002C090D" w:rsidP="001C7A0E">
            <w:pPr>
              <w:pStyle w:val="Tabletext"/>
              <w:jc w:val="right"/>
              <w:rPr>
                <w:lang w:eastAsia="en-AU"/>
              </w:rPr>
            </w:pPr>
          </w:p>
        </w:tc>
        <w:tc>
          <w:tcPr>
            <w:tcW w:w="1305" w:type="dxa"/>
          </w:tcPr>
          <w:p w14:paraId="382CE46C" w14:textId="77777777" w:rsidR="002C090D" w:rsidRDefault="002C090D" w:rsidP="001C7A0E">
            <w:pPr>
              <w:pStyle w:val="Tabletext"/>
              <w:jc w:val="right"/>
              <w:rPr>
                <w:lang w:eastAsia="en-AU"/>
              </w:rPr>
            </w:pPr>
            <w:r w:rsidRPr="007A2F7B">
              <w:t>3</w:t>
            </w:r>
          </w:p>
        </w:tc>
        <w:tc>
          <w:tcPr>
            <w:tcW w:w="1303" w:type="dxa"/>
          </w:tcPr>
          <w:p w14:paraId="1BF89C72" w14:textId="66BA3527" w:rsidR="002C090D" w:rsidRDefault="002C090D" w:rsidP="001C7A0E">
            <w:pPr>
              <w:pStyle w:val="Tabletext"/>
              <w:jc w:val="right"/>
              <w:rPr>
                <w:lang w:eastAsia="en-AU"/>
              </w:rPr>
            </w:pPr>
            <w:r w:rsidRPr="00AA4881">
              <w:t>15.0</w:t>
            </w:r>
          </w:p>
        </w:tc>
        <w:tc>
          <w:tcPr>
            <w:tcW w:w="1302" w:type="dxa"/>
          </w:tcPr>
          <w:p w14:paraId="45AD64E6" w14:textId="77777777" w:rsidR="002C090D" w:rsidRDefault="002C090D" w:rsidP="001C7A0E">
            <w:pPr>
              <w:pStyle w:val="Tabletext"/>
              <w:jc w:val="right"/>
              <w:rPr>
                <w:lang w:eastAsia="en-AU"/>
              </w:rPr>
            </w:pPr>
          </w:p>
        </w:tc>
        <w:tc>
          <w:tcPr>
            <w:tcW w:w="1302" w:type="dxa"/>
          </w:tcPr>
          <w:p w14:paraId="5338FD29" w14:textId="787E61EC" w:rsidR="002C090D" w:rsidRDefault="002C090D" w:rsidP="001C7A0E">
            <w:pPr>
              <w:pStyle w:val="Tabletext"/>
              <w:jc w:val="right"/>
              <w:rPr>
                <w:lang w:eastAsia="en-AU"/>
              </w:rPr>
            </w:pPr>
          </w:p>
        </w:tc>
      </w:tr>
      <w:tr w:rsidR="002C090D" w14:paraId="502537BA"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6EE0B943" w14:textId="687F58CB" w:rsidR="002C090D" w:rsidRDefault="002C090D" w:rsidP="001C7A0E">
            <w:pPr>
              <w:pStyle w:val="Tabletext"/>
              <w:jc w:val="right"/>
              <w:rPr>
                <w:lang w:eastAsia="en-AU"/>
              </w:rPr>
            </w:pPr>
          </w:p>
        </w:tc>
        <w:tc>
          <w:tcPr>
            <w:tcW w:w="1305" w:type="dxa"/>
          </w:tcPr>
          <w:p w14:paraId="3E302D43" w14:textId="77777777" w:rsidR="002C090D" w:rsidRDefault="002C090D" w:rsidP="001C7A0E">
            <w:pPr>
              <w:pStyle w:val="Tabletext"/>
              <w:jc w:val="right"/>
              <w:rPr>
                <w:lang w:eastAsia="en-AU"/>
              </w:rPr>
            </w:pPr>
            <w:r w:rsidRPr="007A2F7B">
              <w:t>4</w:t>
            </w:r>
          </w:p>
        </w:tc>
        <w:tc>
          <w:tcPr>
            <w:tcW w:w="1303" w:type="dxa"/>
          </w:tcPr>
          <w:p w14:paraId="4D3B028F" w14:textId="10960764" w:rsidR="002C090D" w:rsidRDefault="002C090D" w:rsidP="001C7A0E">
            <w:pPr>
              <w:pStyle w:val="Tabletext"/>
              <w:jc w:val="right"/>
              <w:rPr>
                <w:lang w:eastAsia="en-AU"/>
              </w:rPr>
            </w:pPr>
            <w:r w:rsidRPr="00AA4881">
              <w:t>12.0</w:t>
            </w:r>
          </w:p>
        </w:tc>
        <w:tc>
          <w:tcPr>
            <w:tcW w:w="1302" w:type="dxa"/>
          </w:tcPr>
          <w:p w14:paraId="40282659" w14:textId="77777777" w:rsidR="002C090D" w:rsidRDefault="002C090D" w:rsidP="001C7A0E">
            <w:pPr>
              <w:pStyle w:val="Tabletext"/>
              <w:jc w:val="right"/>
              <w:rPr>
                <w:lang w:eastAsia="en-AU"/>
              </w:rPr>
            </w:pPr>
          </w:p>
        </w:tc>
        <w:tc>
          <w:tcPr>
            <w:tcW w:w="1302" w:type="dxa"/>
          </w:tcPr>
          <w:p w14:paraId="32004A0A" w14:textId="3DF12E05" w:rsidR="002C090D" w:rsidRDefault="002C090D" w:rsidP="001C7A0E">
            <w:pPr>
              <w:pStyle w:val="Tabletext"/>
              <w:jc w:val="right"/>
              <w:rPr>
                <w:lang w:eastAsia="en-AU"/>
              </w:rPr>
            </w:pPr>
            <w:r w:rsidRPr="00DC37D0">
              <w:t>9.5</w:t>
            </w:r>
          </w:p>
        </w:tc>
      </w:tr>
      <w:tr w:rsidR="002C090D" w14:paraId="156DCCCE"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3ED7A918" w14:textId="2276ADAB" w:rsidR="002C090D" w:rsidRDefault="002C090D" w:rsidP="001C7A0E">
            <w:pPr>
              <w:pStyle w:val="Tabletext"/>
              <w:jc w:val="right"/>
              <w:rPr>
                <w:lang w:eastAsia="en-AU"/>
              </w:rPr>
            </w:pPr>
          </w:p>
        </w:tc>
        <w:tc>
          <w:tcPr>
            <w:tcW w:w="1305" w:type="dxa"/>
          </w:tcPr>
          <w:p w14:paraId="727EE558" w14:textId="77777777" w:rsidR="002C090D" w:rsidRDefault="002C090D" w:rsidP="001C7A0E">
            <w:pPr>
              <w:pStyle w:val="Tabletext"/>
              <w:jc w:val="right"/>
              <w:rPr>
                <w:lang w:eastAsia="en-AU"/>
              </w:rPr>
            </w:pPr>
            <w:r w:rsidRPr="007A2F7B">
              <w:t>5</w:t>
            </w:r>
          </w:p>
        </w:tc>
        <w:tc>
          <w:tcPr>
            <w:tcW w:w="1303" w:type="dxa"/>
          </w:tcPr>
          <w:p w14:paraId="41DD7B2F" w14:textId="66A64238" w:rsidR="002C090D" w:rsidRDefault="002C090D" w:rsidP="001C7A0E">
            <w:pPr>
              <w:pStyle w:val="Tabletext"/>
              <w:jc w:val="right"/>
              <w:rPr>
                <w:lang w:eastAsia="en-AU"/>
              </w:rPr>
            </w:pPr>
            <w:r w:rsidRPr="00AA4881">
              <w:t>11.3</w:t>
            </w:r>
          </w:p>
        </w:tc>
        <w:tc>
          <w:tcPr>
            <w:tcW w:w="1302" w:type="dxa"/>
          </w:tcPr>
          <w:p w14:paraId="6424731E" w14:textId="35B6458A" w:rsidR="002C090D" w:rsidRDefault="002C090D" w:rsidP="001C7A0E">
            <w:pPr>
              <w:pStyle w:val="Tabletext"/>
              <w:jc w:val="right"/>
              <w:rPr>
                <w:lang w:eastAsia="en-AU"/>
              </w:rPr>
            </w:pPr>
            <w:r w:rsidRPr="00473AA6">
              <w:t>14.3</w:t>
            </w:r>
          </w:p>
        </w:tc>
        <w:tc>
          <w:tcPr>
            <w:tcW w:w="1302" w:type="dxa"/>
          </w:tcPr>
          <w:p w14:paraId="5ED1105E" w14:textId="1E90576D" w:rsidR="002C090D" w:rsidRDefault="002C090D" w:rsidP="001C7A0E">
            <w:pPr>
              <w:pStyle w:val="Tabletext"/>
              <w:jc w:val="right"/>
              <w:rPr>
                <w:lang w:eastAsia="en-AU"/>
              </w:rPr>
            </w:pPr>
          </w:p>
        </w:tc>
      </w:tr>
      <w:tr w:rsidR="002C090D" w14:paraId="5523EC02"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3056A878" w14:textId="79DFECE7" w:rsidR="002C090D" w:rsidRDefault="002C090D" w:rsidP="001C7A0E">
            <w:pPr>
              <w:pStyle w:val="Tabletext"/>
              <w:jc w:val="right"/>
              <w:rPr>
                <w:lang w:eastAsia="en-AU"/>
              </w:rPr>
            </w:pPr>
            <w:r w:rsidRPr="00984FC2">
              <w:t>2010</w:t>
            </w:r>
            <w:r>
              <w:t>–</w:t>
            </w:r>
            <w:r w:rsidRPr="00984FC2">
              <w:t>11</w:t>
            </w:r>
          </w:p>
        </w:tc>
        <w:tc>
          <w:tcPr>
            <w:tcW w:w="1305" w:type="dxa"/>
          </w:tcPr>
          <w:p w14:paraId="0789CED3" w14:textId="77777777" w:rsidR="002C090D" w:rsidRDefault="002C090D" w:rsidP="001C7A0E">
            <w:pPr>
              <w:pStyle w:val="Tabletext"/>
              <w:jc w:val="right"/>
              <w:rPr>
                <w:lang w:eastAsia="en-AU"/>
              </w:rPr>
            </w:pPr>
            <w:r w:rsidRPr="007A2F7B">
              <w:t>2</w:t>
            </w:r>
          </w:p>
        </w:tc>
        <w:tc>
          <w:tcPr>
            <w:tcW w:w="1303" w:type="dxa"/>
          </w:tcPr>
          <w:p w14:paraId="6ABCB358" w14:textId="134755B5" w:rsidR="002C090D" w:rsidRDefault="002C090D" w:rsidP="001C7A0E">
            <w:pPr>
              <w:pStyle w:val="Tabletext"/>
              <w:jc w:val="right"/>
              <w:rPr>
                <w:lang w:eastAsia="en-AU"/>
              </w:rPr>
            </w:pPr>
            <w:r w:rsidRPr="00AA4881">
              <w:t>16.1</w:t>
            </w:r>
          </w:p>
        </w:tc>
        <w:tc>
          <w:tcPr>
            <w:tcW w:w="1302" w:type="dxa"/>
          </w:tcPr>
          <w:p w14:paraId="00D5B25E" w14:textId="2C969E4B" w:rsidR="002C090D" w:rsidRDefault="002C090D" w:rsidP="001C7A0E">
            <w:pPr>
              <w:pStyle w:val="Tabletext"/>
              <w:jc w:val="right"/>
              <w:rPr>
                <w:lang w:eastAsia="en-AU"/>
              </w:rPr>
            </w:pPr>
            <w:r w:rsidRPr="00473AA6">
              <w:t>8.3</w:t>
            </w:r>
          </w:p>
        </w:tc>
        <w:tc>
          <w:tcPr>
            <w:tcW w:w="1302" w:type="dxa"/>
          </w:tcPr>
          <w:p w14:paraId="2A1079F8" w14:textId="7D09BE8C" w:rsidR="002C090D" w:rsidRDefault="002C090D" w:rsidP="001C7A0E">
            <w:pPr>
              <w:pStyle w:val="Tabletext"/>
              <w:jc w:val="right"/>
              <w:rPr>
                <w:lang w:eastAsia="en-AU"/>
              </w:rPr>
            </w:pPr>
            <w:r w:rsidRPr="00DC37D0">
              <w:t>8.8</w:t>
            </w:r>
          </w:p>
        </w:tc>
      </w:tr>
      <w:tr w:rsidR="002C090D" w14:paraId="4CA9430B"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5E21E0CE" w14:textId="24376AD2" w:rsidR="002C090D" w:rsidRDefault="002C090D" w:rsidP="001C7A0E">
            <w:pPr>
              <w:pStyle w:val="Tabletext"/>
              <w:jc w:val="right"/>
              <w:rPr>
                <w:lang w:eastAsia="en-AU"/>
              </w:rPr>
            </w:pPr>
          </w:p>
        </w:tc>
        <w:tc>
          <w:tcPr>
            <w:tcW w:w="1305" w:type="dxa"/>
          </w:tcPr>
          <w:p w14:paraId="54BA1959" w14:textId="77777777" w:rsidR="002C090D" w:rsidRDefault="002C090D" w:rsidP="001C7A0E">
            <w:pPr>
              <w:pStyle w:val="Tabletext"/>
              <w:jc w:val="right"/>
              <w:rPr>
                <w:lang w:eastAsia="en-AU"/>
              </w:rPr>
            </w:pPr>
            <w:r w:rsidRPr="007A2F7B">
              <w:t>3</w:t>
            </w:r>
          </w:p>
        </w:tc>
        <w:tc>
          <w:tcPr>
            <w:tcW w:w="1303" w:type="dxa"/>
          </w:tcPr>
          <w:p w14:paraId="6AB65EB8" w14:textId="32AFC1CB" w:rsidR="002C090D" w:rsidRDefault="002C090D" w:rsidP="001C7A0E">
            <w:pPr>
              <w:pStyle w:val="Tabletext"/>
              <w:jc w:val="right"/>
              <w:rPr>
                <w:lang w:eastAsia="en-AU"/>
              </w:rPr>
            </w:pPr>
            <w:r w:rsidRPr="00AA4881">
              <w:t>23.3</w:t>
            </w:r>
          </w:p>
        </w:tc>
        <w:tc>
          <w:tcPr>
            <w:tcW w:w="1302" w:type="dxa"/>
          </w:tcPr>
          <w:p w14:paraId="0BF7B843" w14:textId="294370F3" w:rsidR="002C090D" w:rsidRDefault="002C090D" w:rsidP="001C7A0E">
            <w:pPr>
              <w:pStyle w:val="Tabletext"/>
              <w:jc w:val="right"/>
              <w:rPr>
                <w:lang w:eastAsia="en-AU"/>
              </w:rPr>
            </w:pPr>
            <w:r w:rsidRPr="00473AA6">
              <w:t>12.2</w:t>
            </w:r>
          </w:p>
        </w:tc>
        <w:tc>
          <w:tcPr>
            <w:tcW w:w="1302" w:type="dxa"/>
          </w:tcPr>
          <w:p w14:paraId="661B9ED5" w14:textId="3C2CF81E" w:rsidR="002C090D" w:rsidRDefault="002C090D" w:rsidP="001C7A0E">
            <w:pPr>
              <w:pStyle w:val="Tabletext"/>
              <w:jc w:val="right"/>
              <w:rPr>
                <w:lang w:eastAsia="en-AU"/>
              </w:rPr>
            </w:pPr>
            <w:r w:rsidRPr="00DC37D0">
              <w:t>11.3</w:t>
            </w:r>
          </w:p>
        </w:tc>
      </w:tr>
      <w:tr w:rsidR="002C090D" w14:paraId="56D1AE33"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147DEBE5" w14:textId="2E3180F5" w:rsidR="002C090D" w:rsidRDefault="002C090D" w:rsidP="001C7A0E">
            <w:pPr>
              <w:pStyle w:val="Tabletext"/>
              <w:jc w:val="right"/>
              <w:rPr>
                <w:lang w:eastAsia="en-AU"/>
              </w:rPr>
            </w:pPr>
          </w:p>
        </w:tc>
        <w:tc>
          <w:tcPr>
            <w:tcW w:w="1305" w:type="dxa"/>
          </w:tcPr>
          <w:p w14:paraId="3DCF5D13" w14:textId="77777777" w:rsidR="002C090D" w:rsidRDefault="002C090D" w:rsidP="001C7A0E">
            <w:pPr>
              <w:pStyle w:val="Tabletext"/>
              <w:jc w:val="right"/>
              <w:rPr>
                <w:lang w:eastAsia="en-AU"/>
              </w:rPr>
            </w:pPr>
            <w:r w:rsidRPr="007A2F7B">
              <w:t>4</w:t>
            </w:r>
          </w:p>
        </w:tc>
        <w:tc>
          <w:tcPr>
            <w:tcW w:w="1303" w:type="dxa"/>
          </w:tcPr>
          <w:p w14:paraId="459FA6C2" w14:textId="1BAA55B3" w:rsidR="002C090D" w:rsidRDefault="002C090D" w:rsidP="001C7A0E">
            <w:pPr>
              <w:pStyle w:val="Tabletext"/>
              <w:jc w:val="right"/>
              <w:rPr>
                <w:lang w:eastAsia="en-AU"/>
              </w:rPr>
            </w:pPr>
            <w:r w:rsidRPr="00AA4881">
              <w:t>20.6</w:t>
            </w:r>
          </w:p>
        </w:tc>
        <w:tc>
          <w:tcPr>
            <w:tcW w:w="1302" w:type="dxa"/>
          </w:tcPr>
          <w:p w14:paraId="135471D6" w14:textId="1B50DB9E" w:rsidR="002C090D" w:rsidRDefault="002C090D" w:rsidP="001C7A0E">
            <w:pPr>
              <w:pStyle w:val="Tabletext"/>
              <w:jc w:val="right"/>
              <w:rPr>
                <w:lang w:eastAsia="en-AU"/>
              </w:rPr>
            </w:pPr>
            <w:r w:rsidRPr="00473AA6">
              <w:t>11.3</w:t>
            </w:r>
          </w:p>
        </w:tc>
        <w:tc>
          <w:tcPr>
            <w:tcW w:w="1302" w:type="dxa"/>
          </w:tcPr>
          <w:p w14:paraId="72C3A65A" w14:textId="3681D768" w:rsidR="002C090D" w:rsidRDefault="002C090D" w:rsidP="001C7A0E">
            <w:pPr>
              <w:pStyle w:val="Tabletext"/>
              <w:jc w:val="right"/>
              <w:rPr>
                <w:lang w:eastAsia="en-AU"/>
              </w:rPr>
            </w:pPr>
            <w:r w:rsidRPr="00DC37D0">
              <w:t>11.9</w:t>
            </w:r>
          </w:p>
        </w:tc>
      </w:tr>
      <w:tr w:rsidR="002C090D" w14:paraId="0C163B27"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4514BCC2" w14:textId="66070619" w:rsidR="002C090D" w:rsidRDefault="002C090D" w:rsidP="001C7A0E">
            <w:pPr>
              <w:pStyle w:val="Tabletext"/>
              <w:jc w:val="right"/>
              <w:rPr>
                <w:lang w:eastAsia="en-AU"/>
              </w:rPr>
            </w:pPr>
          </w:p>
        </w:tc>
        <w:tc>
          <w:tcPr>
            <w:tcW w:w="1305" w:type="dxa"/>
          </w:tcPr>
          <w:p w14:paraId="479A3D56" w14:textId="77777777" w:rsidR="002C090D" w:rsidRDefault="002C090D" w:rsidP="001C7A0E">
            <w:pPr>
              <w:pStyle w:val="Tabletext"/>
              <w:jc w:val="right"/>
              <w:rPr>
                <w:lang w:eastAsia="en-AU"/>
              </w:rPr>
            </w:pPr>
            <w:r w:rsidRPr="007A2F7B">
              <w:t>5</w:t>
            </w:r>
          </w:p>
        </w:tc>
        <w:tc>
          <w:tcPr>
            <w:tcW w:w="1303" w:type="dxa"/>
          </w:tcPr>
          <w:p w14:paraId="5F5B4825" w14:textId="70A67C68" w:rsidR="002C090D" w:rsidRDefault="002C090D" w:rsidP="001C7A0E">
            <w:pPr>
              <w:pStyle w:val="Tabletext"/>
              <w:jc w:val="right"/>
              <w:rPr>
                <w:lang w:eastAsia="en-AU"/>
              </w:rPr>
            </w:pPr>
            <w:r w:rsidRPr="00AA4881">
              <w:t>18.3</w:t>
            </w:r>
          </w:p>
        </w:tc>
        <w:tc>
          <w:tcPr>
            <w:tcW w:w="1302" w:type="dxa"/>
          </w:tcPr>
          <w:p w14:paraId="289D548E" w14:textId="0805FEDD" w:rsidR="002C090D" w:rsidRDefault="002C090D" w:rsidP="001C7A0E">
            <w:pPr>
              <w:pStyle w:val="Tabletext"/>
              <w:jc w:val="right"/>
              <w:rPr>
                <w:lang w:eastAsia="en-AU"/>
              </w:rPr>
            </w:pPr>
            <w:r w:rsidRPr="00473AA6">
              <w:t>16.2</w:t>
            </w:r>
          </w:p>
        </w:tc>
        <w:tc>
          <w:tcPr>
            <w:tcW w:w="1302" w:type="dxa"/>
          </w:tcPr>
          <w:p w14:paraId="3A989EF0" w14:textId="3689F84A" w:rsidR="002C090D" w:rsidRDefault="002C090D" w:rsidP="001C7A0E">
            <w:pPr>
              <w:pStyle w:val="Tabletext"/>
              <w:jc w:val="right"/>
              <w:rPr>
                <w:lang w:eastAsia="en-AU"/>
              </w:rPr>
            </w:pPr>
            <w:r w:rsidRPr="00DC37D0">
              <w:t>11.1</w:t>
            </w:r>
          </w:p>
        </w:tc>
      </w:tr>
      <w:tr w:rsidR="002C090D" w14:paraId="2B696052"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4BE7F21A" w14:textId="083A1024" w:rsidR="002C090D" w:rsidRDefault="002C090D" w:rsidP="001C7A0E">
            <w:pPr>
              <w:pStyle w:val="Tabletext"/>
              <w:jc w:val="right"/>
              <w:rPr>
                <w:lang w:eastAsia="en-AU"/>
              </w:rPr>
            </w:pPr>
            <w:r w:rsidRPr="00984FC2">
              <w:t>2011</w:t>
            </w:r>
            <w:r>
              <w:t>–</w:t>
            </w:r>
            <w:r w:rsidRPr="00984FC2">
              <w:t>12</w:t>
            </w:r>
          </w:p>
        </w:tc>
        <w:tc>
          <w:tcPr>
            <w:tcW w:w="1305" w:type="dxa"/>
          </w:tcPr>
          <w:p w14:paraId="1C3FAC5C" w14:textId="77777777" w:rsidR="002C090D" w:rsidRDefault="002C090D" w:rsidP="001C7A0E">
            <w:pPr>
              <w:pStyle w:val="Tabletext"/>
              <w:jc w:val="right"/>
              <w:rPr>
                <w:lang w:eastAsia="en-AU"/>
              </w:rPr>
            </w:pPr>
            <w:r w:rsidRPr="007A2F7B">
              <w:t>2</w:t>
            </w:r>
          </w:p>
        </w:tc>
        <w:tc>
          <w:tcPr>
            <w:tcW w:w="1303" w:type="dxa"/>
          </w:tcPr>
          <w:p w14:paraId="678951B5" w14:textId="3DFF8D74" w:rsidR="002C090D" w:rsidRDefault="002C090D" w:rsidP="001C7A0E">
            <w:pPr>
              <w:pStyle w:val="Tabletext"/>
              <w:jc w:val="right"/>
              <w:rPr>
                <w:lang w:eastAsia="en-AU"/>
              </w:rPr>
            </w:pPr>
            <w:r w:rsidRPr="00AA4881">
              <w:t>20.1</w:t>
            </w:r>
          </w:p>
        </w:tc>
        <w:tc>
          <w:tcPr>
            <w:tcW w:w="1302" w:type="dxa"/>
          </w:tcPr>
          <w:p w14:paraId="02CC606E" w14:textId="690F1C2E" w:rsidR="002C090D" w:rsidRDefault="002C090D" w:rsidP="001C7A0E">
            <w:pPr>
              <w:pStyle w:val="Tabletext"/>
              <w:jc w:val="right"/>
              <w:rPr>
                <w:lang w:eastAsia="en-AU"/>
              </w:rPr>
            </w:pPr>
            <w:r w:rsidRPr="00473AA6">
              <w:t>14.4</w:t>
            </w:r>
          </w:p>
        </w:tc>
        <w:tc>
          <w:tcPr>
            <w:tcW w:w="1302" w:type="dxa"/>
          </w:tcPr>
          <w:p w14:paraId="7CD5A6B5" w14:textId="3233CC86" w:rsidR="002C090D" w:rsidRDefault="002C090D" w:rsidP="001C7A0E">
            <w:pPr>
              <w:pStyle w:val="Tabletext"/>
              <w:jc w:val="right"/>
              <w:rPr>
                <w:lang w:eastAsia="en-AU"/>
              </w:rPr>
            </w:pPr>
            <w:r w:rsidRPr="00DC37D0">
              <w:t>10.3</w:t>
            </w:r>
          </w:p>
        </w:tc>
      </w:tr>
      <w:tr w:rsidR="002C090D" w14:paraId="43D5BEAC"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04A0F94B" w14:textId="16BB8040" w:rsidR="002C090D" w:rsidRDefault="002C090D" w:rsidP="001C7A0E">
            <w:pPr>
              <w:pStyle w:val="Tabletext"/>
              <w:jc w:val="right"/>
              <w:rPr>
                <w:lang w:eastAsia="en-AU"/>
              </w:rPr>
            </w:pPr>
          </w:p>
        </w:tc>
        <w:tc>
          <w:tcPr>
            <w:tcW w:w="1305" w:type="dxa"/>
          </w:tcPr>
          <w:p w14:paraId="2E885B02" w14:textId="77777777" w:rsidR="002C090D" w:rsidRDefault="002C090D" w:rsidP="001C7A0E">
            <w:pPr>
              <w:pStyle w:val="Tabletext"/>
              <w:jc w:val="right"/>
              <w:rPr>
                <w:lang w:eastAsia="en-AU"/>
              </w:rPr>
            </w:pPr>
            <w:r w:rsidRPr="007A2F7B">
              <w:t>3</w:t>
            </w:r>
          </w:p>
        </w:tc>
        <w:tc>
          <w:tcPr>
            <w:tcW w:w="1303" w:type="dxa"/>
          </w:tcPr>
          <w:p w14:paraId="7AB7D9C2" w14:textId="0FE275BB" w:rsidR="002C090D" w:rsidRDefault="002C090D" w:rsidP="001C7A0E">
            <w:pPr>
              <w:pStyle w:val="Tabletext"/>
              <w:jc w:val="right"/>
              <w:rPr>
                <w:lang w:eastAsia="en-AU"/>
              </w:rPr>
            </w:pPr>
            <w:r w:rsidRPr="00AA4881">
              <w:t>13.1</w:t>
            </w:r>
          </w:p>
        </w:tc>
        <w:tc>
          <w:tcPr>
            <w:tcW w:w="1302" w:type="dxa"/>
          </w:tcPr>
          <w:p w14:paraId="36647C0B" w14:textId="03B8FDE3" w:rsidR="002C090D" w:rsidRDefault="002C090D" w:rsidP="001C7A0E">
            <w:pPr>
              <w:pStyle w:val="Tabletext"/>
              <w:jc w:val="right"/>
              <w:rPr>
                <w:lang w:eastAsia="en-AU"/>
              </w:rPr>
            </w:pPr>
            <w:r w:rsidRPr="00473AA6">
              <w:t>9.0</w:t>
            </w:r>
          </w:p>
        </w:tc>
        <w:tc>
          <w:tcPr>
            <w:tcW w:w="1302" w:type="dxa"/>
          </w:tcPr>
          <w:p w14:paraId="7C9A3AFC" w14:textId="61FF35B0" w:rsidR="002C090D" w:rsidRDefault="002C090D" w:rsidP="001C7A0E">
            <w:pPr>
              <w:pStyle w:val="Tabletext"/>
              <w:jc w:val="right"/>
              <w:rPr>
                <w:lang w:eastAsia="en-AU"/>
              </w:rPr>
            </w:pPr>
            <w:r w:rsidRPr="00DC37D0">
              <w:t>15.2</w:t>
            </w:r>
          </w:p>
        </w:tc>
      </w:tr>
      <w:tr w:rsidR="002C090D" w14:paraId="6DC6171B"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7A00A053" w14:textId="33C68593" w:rsidR="002C090D" w:rsidRDefault="002C090D" w:rsidP="001C7A0E">
            <w:pPr>
              <w:pStyle w:val="Tabletext"/>
              <w:jc w:val="right"/>
              <w:rPr>
                <w:lang w:eastAsia="en-AU"/>
              </w:rPr>
            </w:pPr>
          </w:p>
        </w:tc>
        <w:tc>
          <w:tcPr>
            <w:tcW w:w="1305" w:type="dxa"/>
          </w:tcPr>
          <w:p w14:paraId="05139A2D" w14:textId="77777777" w:rsidR="002C090D" w:rsidRDefault="002C090D" w:rsidP="001C7A0E">
            <w:pPr>
              <w:pStyle w:val="Tabletext"/>
              <w:jc w:val="right"/>
              <w:rPr>
                <w:lang w:eastAsia="en-AU"/>
              </w:rPr>
            </w:pPr>
            <w:r w:rsidRPr="007A2F7B">
              <w:t>4</w:t>
            </w:r>
          </w:p>
        </w:tc>
        <w:tc>
          <w:tcPr>
            <w:tcW w:w="1303" w:type="dxa"/>
          </w:tcPr>
          <w:p w14:paraId="2CB702BE" w14:textId="7DCB518F" w:rsidR="002C090D" w:rsidRDefault="002C090D" w:rsidP="001C7A0E">
            <w:pPr>
              <w:pStyle w:val="Tabletext"/>
              <w:jc w:val="right"/>
              <w:rPr>
                <w:lang w:eastAsia="en-AU"/>
              </w:rPr>
            </w:pPr>
            <w:r w:rsidRPr="00AA4881">
              <w:t>12.1</w:t>
            </w:r>
          </w:p>
        </w:tc>
        <w:tc>
          <w:tcPr>
            <w:tcW w:w="1302" w:type="dxa"/>
          </w:tcPr>
          <w:p w14:paraId="50289BBC" w14:textId="6AF09387" w:rsidR="002C090D" w:rsidRDefault="002C090D" w:rsidP="001C7A0E">
            <w:pPr>
              <w:pStyle w:val="Tabletext"/>
              <w:jc w:val="right"/>
              <w:rPr>
                <w:lang w:eastAsia="en-AU"/>
              </w:rPr>
            </w:pPr>
            <w:r w:rsidRPr="00473AA6">
              <w:t>9.9</w:t>
            </w:r>
          </w:p>
        </w:tc>
        <w:tc>
          <w:tcPr>
            <w:tcW w:w="1302" w:type="dxa"/>
          </w:tcPr>
          <w:p w14:paraId="1FB7EB2E" w14:textId="2193879E" w:rsidR="002C090D" w:rsidRDefault="002C090D" w:rsidP="001C7A0E">
            <w:pPr>
              <w:pStyle w:val="Tabletext"/>
              <w:jc w:val="right"/>
              <w:rPr>
                <w:lang w:eastAsia="en-AU"/>
              </w:rPr>
            </w:pPr>
            <w:r w:rsidRPr="00DC37D0">
              <w:t>15.0</w:t>
            </w:r>
          </w:p>
        </w:tc>
      </w:tr>
      <w:tr w:rsidR="002C090D" w14:paraId="315EC9A4" w14:textId="77777777" w:rsidTr="00F42C15">
        <w:trPr>
          <w:cnfStyle w:val="000000010000" w:firstRow="0" w:lastRow="0" w:firstColumn="0" w:lastColumn="0" w:oddVBand="0" w:evenVBand="0" w:oddHBand="0" w:evenHBand="1" w:firstRowFirstColumn="0" w:firstRowLastColumn="0" w:lastRowFirstColumn="0" w:lastRowLastColumn="0"/>
          <w:trHeight w:val="326"/>
        </w:trPr>
        <w:tc>
          <w:tcPr>
            <w:tcW w:w="1500" w:type="dxa"/>
          </w:tcPr>
          <w:p w14:paraId="63714704" w14:textId="05FBA271" w:rsidR="002C090D" w:rsidRDefault="002C090D" w:rsidP="001C7A0E">
            <w:pPr>
              <w:pStyle w:val="Tabletext"/>
              <w:jc w:val="right"/>
              <w:rPr>
                <w:lang w:eastAsia="en-AU"/>
              </w:rPr>
            </w:pPr>
            <w:r w:rsidRPr="00984FC2">
              <w:t>2012</w:t>
            </w:r>
            <w:r>
              <w:t>–</w:t>
            </w:r>
            <w:r w:rsidRPr="00984FC2">
              <w:t>13</w:t>
            </w:r>
          </w:p>
        </w:tc>
        <w:tc>
          <w:tcPr>
            <w:tcW w:w="1305" w:type="dxa"/>
          </w:tcPr>
          <w:p w14:paraId="0BBE46FD" w14:textId="77777777" w:rsidR="002C090D" w:rsidRDefault="002C090D" w:rsidP="001C7A0E">
            <w:pPr>
              <w:pStyle w:val="Tabletext"/>
              <w:jc w:val="right"/>
              <w:rPr>
                <w:lang w:eastAsia="en-AU"/>
              </w:rPr>
            </w:pPr>
            <w:r w:rsidRPr="007A2F7B">
              <w:t>2</w:t>
            </w:r>
          </w:p>
        </w:tc>
        <w:tc>
          <w:tcPr>
            <w:tcW w:w="1303" w:type="dxa"/>
          </w:tcPr>
          <w:p w14:paraId="6B0DD013" w14:textId="7C04D7DA" w:rsidR="002C090D" w:rsidRDefault="002C090D" w:rsidP="001C7A0E">
            <w:pPr>
              <w:pStyle w:val="Tabletext"/>
              <w:jc w:val="right"/>
              <w:rPr>
                <w:lang w:eastAsia="en-AU"/>
              </w:rPr>
            </w:pPr>
            <w:r w:rsidRPr="00AA4881">
              <w:t>19.5</w:t>
            </w:r>
          </w:p>
        </w:tc>
        <w:tc>
          <w:tcPr>
            <w:tcW w:w="1302" w:type="dxa"/>
          </w:tcPr>
          <w:p w14:paraId="3976EDBC" w14:textId="2A588660" w:rsidR="002C090D" w:rsidRDefault="002C090D" w:rsidP="001C7A0E">
            <w:pPr>
              <w:pStyle w:val="Tabletext"/>
              <w:jc w:val="right"/>
              <w:rPr>
                <w:lang w:eastAsia="en-AU"/>
              </w:rPr>
            </w:pPr>
            <w:r w:rsidRPr="00473AA6">
              <w:t>20.1</w:t>
            </w:r>
          </w:p>
        </w:tc>
        <w:tc>
          <w:tcPr>
            <w:tcW w:w="1302" w:type="dxa"/>
          </w:tcPr>
          <w:p w14:paraId="4A621F7D" w14:textId="3045EF57" w:rsidR="002C090D" w:rsidRDefault="002C090D" w:rsidP="001C7A0E">
            <w:pPr>
              <w:pStyle w:val="Tabletext"/>
              <w:jc w:val="right"/>
              <w:rPr>
                <w:lang w:eastAsia="en-AU"/>
              </w:rPr>
            </w:pPr>
            <w:r w:rsidRPr="00DC37D0">
              <w:t>21.5</w:t>
            </w:r>
          </w:p>
        </w:tc>
      </w:tr>
      <w:tr w:rsidR="002C090D" w14:paraId="04272B3A" w14:textId="77777777" w:rsidTr="00F42C15">
        <w:trPr>
          <w:cnfStyle w:val="000000100000" w:firstRow="0" w:lastRow="0" w:firstColumn="0" w:lastColumn="0" w:oddVBand="0" w:evenVBand="0" w:oddHBand="1" w:evenHBand="0" w:firstRowFirstColumn="0" w:firstRowLastColumn="0" w:lastRowFirstColumn="0" w:lastRowLastColumn="0"/>
          <w:trHeight w:val="311"/>
        </w:trPr>
        <w:tc>
          <w:tcPr>
            <w:tcW w:w="1500" w:type="dxa"/>
          </w:tcPr>
          <w:p w14:paraId="1C6A5A25" w14:textId="48CE6001" w:rsidR="002C090D" w:rsidRDefault="002C090D" w:rsidP="001C7A0E">
            <w:pPr>
              <w:pStyle w:val="Tabletext"/>
              <w:jc w:val="right"/>
              <w:rPr>
                <w:lang w:eastAsia="en-AU"/>
              </w:rPr>
            </w:pPr>
          </w:p>
        </w:tc>
        <w:tc>
          <w:tcPr>
            <w:tcW w:w="1305" w:type="dxa"/>
          </w:tcPr>
          <w:p w14:paraId="3710EE72" w14:textId="77777777" w:rsidR="002C090D" w:rsidRDefault="002C090D" w:rsidP="001C7A0E">
            <w:pPr>
              <w:pStyle w:val="Tabletext"/>
              <w:jc w:val="right"/>
              <w:rPr>
                <w:lang w:eastAsia="en-AU"/>
              </w:rPr>
            </w:pPr>
            <w:r w:rsidRPr="007A2F7B">
              <w:t>3</w:t>
            </w:r>
          </w:p>
        </w:tc>
        <w:tc>
          <w:tcPr>
            <w:tcW w:w="1303" w:type="dxa"/>
          </w:tcPr>
          <w:p w14:paraId="33408DFF" w14:textId="09C410AF" w:rsidR="002C090D" w:rsidRDefault="002C090D" w:rsidP="001C7A0E">
            <w:pPr>
              <w:pStyle w:val="Tabletext"/>
              <w:jc w:val="right"/>
              <w:rPr>
                <w:lang w:eastAsia="en-AU"/>
              </w:rPr>
            </w:pPr>
          </w:p>
        </w:tc>
        <w:tc>
          <w:tcPr>
            <w:tcW w:w="1302" w:type="dxa"/>
          </w:tcPr>
          <w:p w14:paraId="263BC861" w14:textId="77777777" w:rsidR="002C090D" w:rsidRDefault="002C090D" w:rsidP="001C7A0E">
            <w:pPr>
              <w:pStyle w:val="Tabletext"/>
              <w:jc w:val="right"/>
              <w:rPr>
                <w:lang w:eastAsia="en-AU"/>
              </w:rPr>
            </w:pPr>
          </w:p>
        </w:tc>
        <w:tc>
          <w:tcPr>
            <w:tcW w:w="1302" w:type="dxa"/>
          </w:tcPr>
          <w:p w14:paraId="60A3BA19" w14:textId="70996BED" w:rsidR="002C090D" w:rsidRDefault="002C090D" w:rsidP="001C7A0E">
            <w:pPr>
              <w:pStyle w:val="Tabletext"/>
              <w:jc w:val="right"/>
              <w:rPr>
                <w:lang w:eastAsia="en-AU"/>
              </w:rPr>
            </w:pPr>
            <w:r w:rsidRPr="00DC37D0">
              <w:t>40.2</w:t>
            </w:r>
          </w:p>
        </w:tc>
      </w:tr>
      <w:tr w:rsidR="002C090D" w14:paraId="0AE68A38" w14:textId="77777777" w:rsidTr="00F42C15">
        <w:trPr>
          <w:cnfStyle w:val="000000010000" w:firstRow="0" w:lastRow="0" w:firstColumn="0" w:lastColumn="0" w:oddVBand="0" w:evenVBand="0" w:oddHBand="0" w:evenHBand="1" w:firstRowFirstColumn="0" w:firstRowLastColumn="0" w:lastRowFirstColumn="0" w:lastRowLastColumn="0"/>
          <w:trHeight w:val="311"/>
        </w:trPr>
        <w:tc>
          <w:tcPr>
            <w:tcW w:w="1500" w:type="dxa"/>
          </w:tcPr>
          <w:p w14:paraId="6DB1F0E3" w14:textId="0282D7B2" w:rsidR="002C090D" w:rsidRDefault="002C090D" w:rsidP="001C7A0E">
            <w:pPr>
              <w:pStyle w:val="Tabletext"/>
              <w:jc w:val="right"/>
              <w:rPr>
                <w:lang w:eastAsia="en-AU"/>
              </w:rPr>
            </w:pPr>
            <w:r w:rsidRPr="00984FC2">
              <w:t>2013</w:t>
            </w:r>
            <w:r>
              <w:t>–</w:t>
            </w:r>
            <w:r w:rsidRPr="00984FC2">
              <w:t>14</w:t>
            </w:r>
          </w:p>
        </w:tc>
        <w:tc>
          <w:tcPr>
            <w:tcW w:w="1305" w:type="dxa"/>
          </w:tcPr>
          <w:p w14:paraId="5E7323BB" w14:textId="77777777" w:rsidR="002C090D" w:rsidRDefault="002C090D" w:rsidP="001C7A0E">
            <w:pPr>
              <w:pStyle w:val="Tabletext"/>
              <w:jc w:val="right"/>
              <w:rPr>
                <w:lang w:eastAsia="en-AU"/>
              </w:rPr>
            </w:pPr>
            <w:r w:rsidRPr="007A2F7B">
              <w:t>2</w:t>
            </w:r>
          </w:p>
        </w:tc>
        <w:tc>
          <w:tcPr>
            <w:tcW w:w="1303" w:type="dxa"/>
          </w:tcPr>
          <w:p w14:paraId="54998AB7" w14:textId="77777777" w:rsidR="002C090D" w:rsidRDefault="002C090D" w:rsidP="001C7A0E">
            <w:pPr>
              <w:pStyle w:val="Tabletext"/>
              <w:jc w:val="right"/>
              <w:rPr>
                <w:lang w:eastAsia="en-AU"/>
              </w:rPr>
            </w:pPr>
          </w:p>
        </w:tc>
        <w:tc>
          <w:tcPr>
            <w:tcW w:w="1302" w:type="dxa"/>
          </w:tcPr>
          <w:p w14:paraId="32C1611E" w14:textId="77777777" w:rsidR="002C090D" w:rsidRDefault="002C090D" w:rsidP="001C7A0E">
            <w:pPr>
              <w:pStyle w:val="Tabletext"/>
              <w:jc w:val="right"/>
              <w:rPr>
                <w:lang w:eastAsia="en-AU"/>
              </w:rPr>
            </w:pPr>
          </w:p>
        </w:tc>
        <w:tc>
          <w:tcPr>
            <w:tcW w:w="1302" w:type="dxa"/>
          </w:tcPr>
          <w:p w14:paraId="7F3AB960" w14:textId="4144ABE2" w:rsidR="002C090D" w:rsidRDefault="002C090D" w:rsidP="001C7A0E">
            <w:pPr>
              <w:pStyle w:val="Tabletext"/>
              <w:jc w:val="right"/>
              <w:rPr>
                <w:lang w:eastAsia="en-AU"/>
              </w:rPr>
            </w:pPr>
          </w:p>
        </w:tc>
      </w:tr>
    </w:tbl>
    <w:p w14:paraId="49514103" w14:textId="77777777" w:rsidR="008319D7" w:rsidRDefault="008319D7" w:rsidP="008319D7">
      <w:pPr>
        <w:pStyle w:val="Note"/>
        <w:rPr>
          <w:lang w:eastAsia="en-AU"/>
        </w:rPr>
      </w:pPr>
      <w:r>
        <w:rPr>
          <w:lang w:eastAsia="en-AU"/>
        </w:rPr>
        <w:t>Notes: All values shown in table are significant at 10 per cent. Blank cells are results that are not statistically significant. N/a denotes sample size is too small to calculate a value.</w:t>
      </w:r>
    </w:p>
    <w:p w14:paraId="4D37F28C" w14:textId="77777777" w:rsidR="008319D7" w:rsidRDefault="008319D7" w:rsidP="008319D7">
      <w:pPr>
        <w:pStyle w:val="Source"/>
      </w:pPr>
      <w:r>
        <w:t xml:space="preserve">Source: </w:t>
      </w:r>
      <w:r w:rsidRPr="008B43DD">
        <w:t xml:space="preserve">BLADE </w:t>
      </w:r>
      <w:r>
        <w:t>(2001–02 to 2014–15)</w:t>
      </w:r>
      <w:r w:rsidRPr="008B43DD">
        <w:t xml:space="preserve"> Author’s calculations</w:t>
      </w:r>
    </w:p>
    <w:p w14:paraId="21970E5C" w14:textId="1C153108" w:rsidR="00021E92" w:rsidRDefault="00021E92">
      <w:pPr>
        <w:spacing w:after="200" w:line="276" w:lineRule="auto"/>
        <w:ind w:left="0"/>
        <w:jc w:val="left"/>
        <w:rPr>
          <w:rFonts w:asciiTheme="minorHAnsi" w:hAnsiTheme="minorHAnsi"/>
        </w:rPr>
      </w:pPr>
      <w:r>
        <w:br w:type="page"/>
      </w:r>
    </w:p>
    <w:p w14:paraId="19BEE9A7" w14:textId="0029373E" w:rsidR="00DF491F" w:rsidRDefault="00DF491F" w:rsidP="00DF491F">
      <w:pPr>
        <w:pStyle w:val="Heading1"/>
      </w:pPr>
      <w:r>
        <w:lastRenderedPageBreak/>
        <w:t xml:space="preserve">The impact of EC on R&amp;D Tax Incentive participants </w:t>
      </w:r>
    </w:p>
    <w:p w14:paraId="7F4467DC" w14:textId="6AD8F37A" w:rsidR="00075346" w:rsidRDefault="00075346" w:rsidP="00EC152D">
      <w:pPr>
        <w:pStyle w:val="BodyText"/>
      </w:pPr>
      <w:r>
        <w:t>Understanding the extent of participation across multiple government programs is an important consideration for evaluation efforts. If the participation is not taken into account, impacts of an individual program will almost certainly be overstated.</w:t>
      </w:r>
      <w:r w:rsidR="00CD2371">
        <w:rPr>
          <w:rStyle w:val="FootnoteReference"/>
        </w:rPr>
        <w:footnoteReference w:id="23"/>
      </w:r>
    </w:p>
    <w:p w14:paraId="38C73D20" w14:textId="0007E810" w:rsidR="009678A0" w:rsidRPr="008A5046" w:rsidRDefault="009678A0" w:rsidP="00EC152D">
      <w:pPr>
        <w:pStyle w:val="BodyText"/>
        <w:rPr>
          <w:i/>
        </w:rPr>
      </w:pPr>
      <w:r>
        <w:t>There are close linkages between complementary DIIS programs, particular the EC and R&amp;D Tax Incentive</w:t>
      </w:r>
      <w:r>
        <w:rPr>
          <w:rStyle w:val="FootnoteReference"/>
        </w:rPr>
        <w:footnoteReference w:id="24"/>
      </w:r>
      <w:r w:rsidR="00AC1FD0">
        <w:t xml:space="preserve"> (RDTI)</w:t>
      </w:r>
      <w:r w:rsidR="000B568B">
        <w:t xml:space="preserve"> program</w:t>
      </w:r>
      <w:r>
        <w:t xml:space="preserve">s, therefore it is important to acknowledge the firms that participate in </w:t>
      </w:r>
      <w:r w:rsidRPr="00FA2319">
        <w:t>both of these programs by measuring the impact of</w:t>
      </w:r>
      <w:r w:rsidR="0074418F" w:rsidRPr="00FA2319">
        <w:t xml:space="preserve"> </w:t>
      </w:r>
      <w:r w:rsidR="000B1862" w:rsidRPr="00FA2319">
        <w:t xml:space="preserve">EC </w:t>
      </w:r>
      <w:r w:rsidRPr="00FA2319">
        <w:t xml:space="preserve">participation on </w:t>
      </w:r>
      <w:r w:rsidR="0074418F" w:rsidRPr="00FA2319">
        <w:t xml:space="preserve">the </w:t>
      </w:r>
      <w:r w:rsidR="000B1862" w:rsidRPr="00FA2319">
        <w:t xml:space="preserve">RDTI </w:t>
      </w:r>
      <w:r w:rsidR="0074418F" w:rsidRPr="00FA2319">
        <w:t>participant population</w:t>
      </w:r>
      <w:r w:rsidRPr="00FA2319">
        <w:t>.</w:t>
      </w:r>
      <w:r w:rsidR="008A5046" w:rsidRPr="00FA2319">
        <w:t xml:space="preserve"> </w:t>
      </w:r>
      <w:r w:rsidR="00BB399B" w:rsidRPr="00FA2319">
        <w:t xml:space="preserve">Out of all EC participants, 15.3 per cent registered for the </w:t>
      </w:r>
      <w:r w:rsidR="007E057A" w:rsidRPr="00FA2319">
        <w:t>RDTI</w:t>
      </w:r>
      <w:r w:rsidR="00BB399B" w:rsidRPr="00FA2319">
        <w:t xml:space="preserve"> or </w:t>
      </w:r>
      <w:r w:rsidR="00232436" w:rsidRPr="00FA2319">
        <w:t xml:space="preserve">the </w:t>
      </w:r>
      <w:r w:rsidR="007E057A" w:rsidRPr="00FA2319">
        <w:t>R</w:t>
      </w:r>
      <w:r w:rsidR="00232436" w:rsidRPr="00FA2319">
        <w:t>&amp;</w:t>
      </w:r>
      <w:r w:rsidR="007E057A" w:rsidRPr="00FA2319">
        <w:t>D</w:t>
      </w:r>
      <w:r w:rsidR="00232436" w:rsidRPr="00FA2319">
        <w:t xml:space="preserve"> </w:t>
      </w:r>
      <w:r w:rsidR="007E057A" w:rsidRPr="00FA2319">
        <w:t>T</w:t>
      </w:r>
      <w:r w:rsidR="00232436" w:rsidRPr="00FA2319">
        <w:t xml:space="preserve">ax </w:t>
      </w:r>
      <w:r w:rsidR="007E057A" w:rsidRPr="00FA2319">
        <w:t>C</w:t>
      </w:r>
      <w:r w:rsidR="00232436" w:rsidRPr="00FA2319">
        <w:t>oncession</w:t>
      </w:r>
      <w:r w:rsidR="00BB399B" w:rsidRPr="00FA2319">
        <w:t xml:space="preserve"> in at least one year between 2001-02 and 2014-15. </w:t>
      </w:r>
      <w:r w:rsidR="008A5046" w:rsidRPr="00FA2319">
        <w:t xml:space="preserve">Any difference within the </w:t>
      </w:r>
      <w:r w:rsidR="000B1862" w:rsidRPr="00FA2319">
        <w:t xml:space="preserve">RDTI </w:t>
      </w:r>
      <w:r w:rsidR="008A5046" w:rsidRPr="00FA2319">
        <w:t xml:space="preserve">participant group in the performance of </w:t>
      </w:r>
      <w:r w:rsidR="000B1862" w:rsidRPr="00FA2319">
        <w:t xml:space="preserve">EC </w:t>
      </w:r>
      <w:r w:rsidR="008A5046" w:rsidRPr="00FA2319">
        <w:t xml:space="preserve">participants against </w:t>
      </w:r>
      <w:r w:rsidR="00D77CAE" w:rsidRPr="00FA2319">
        <w:t>non-</w:t>
      </w:r>
      <w:r w:rsidR="000B1862" w:rsidRPr="00FA2319">
        <w:t xml:space="preserve">EC </w:t>
      </w:r>
      <w:r w:rsidR="008A5046" w:rsidRPr="00FA2319">
        <w:t>participants firms</w:t>
      </w:r>
      <w:r w:rsidR="008A5046" w:rsidRPr="00FA2319">
        <w:rPr>
          <w:i/>
        </w:rPr>
        <w:t xml:space="preserve"> </w:t>
      </w:r>
      <w:r w:rsidR="008A5046" w:rsidRPr="00FA2319">
        <w:t xml:space="preserve">can be attributed to the </w:t>
      </w:r>
      <w:r w:rsidR="000B1862" w:rsidRPr="00FA2319">
        <w:t>EC</w:t>
      </w:r>
      <w:r w:rsidR="000B1862">
        <w:t xml:space="preserve"> </w:t>
      </w:r>
      <w:r w:rsidR="008A5046">
        <w:t>progra</w:t>
      </w:r>
      <w:r w:rsidR="000B568B">
        <w:t>m</w:t>
      </w:r>
      <w:r w:rsidR="008A5046">
        <w:t>.</w:t>
      </w:r>
      <w:r w:rsidR="008A5046">
        <w:rPr>
          <w:rStyle w:val="FootnoteReference"/>
        </w:rPr>
        <w:footnoteReference w:id="25"/>
      </w:r>
    </w:p>
    <w:p w14:paraId="0F4A16BA" w14:textId="06DA725E" w:rsidR="004D5775" w:rsidRPr="00EB2F51" w:rsidRDefault="009678A0" w:rsidP="00EC152D">
      <w:pPr>
        <w:pStyle w:val="BodyText"/>
      </w:pPr>
      <w:r>
        <w:t xml:space="preserve">The following section discusses the </w:t>
      </w:r>
      <w:r w:rsidR="00A073DC">
        <w:t>difference in</w:t>
      </w:r>
      <w:r w:rsidR="001B6710">
        <w:t xml:space="preserve"> </w:t>
      </w:r>
      <w:r>
        <w:t xml:space="preserve">firm performance of </w:t>
      </w:r>
      <w:r w:rsidR="000B1862">
        <w:t xml:space="preserve">RDTI </w:t>
      </w:r>
      <w:r w:rsidR="00A073DC">
        <w:t>firm</w:t>
      </w:r>
      <w:r w:rsidR="000B568B">
        <w:t xml:space="preserve">s engaging in the </w:t>
      </w:r>
      <w:r w:rsidR="000B1862">
        <w:t xml:space="preserve">EC </w:t>
      </w:r>
      <w:r w:rsidR="000B568B">
        <w:t>program</w:t>
      </w:r>
      <w:r w:rsidR="00A073DC">
        <w:t xml:space="preserve"> versus </w:t>
      </w:r>
      <w:r w:rsidR="000B1862">
        <w:t xml:space="preserve">RDTI </w:t>
      </w:r>
      <w:r w:rsidR="00A073DC">
        <w:t>firm</w:t>
      </w:r>
      <w:r w:rsidR="001B31BC">
        <w:t>s</w:t>
      </w:r>
      <w:r w:rsidR="00A073DC">
        <w:t xml:space="preserve"> that do no</w:t>
      </w:r>
      <w:r w:rsidR="000B568B">
        <w:t xml:space="preserve">t engage with the </w:t>
      </w:r>
      <w:r w:rsidR="000B1862">
        <w:t xml:space="preserve">EC </w:t>
      </w:r>
      <w:r w:rsidR="000B568B">
        <w:t>program</w:t>
      </w:r>
      <w:r w:rsidR="00C75999">
        <w:t>.</w:t>
      </w:r>
      <w:r w:rsidR="00C75999">
        <w:rPr>
          <w:rStyle w:val="FootnoteReference"/>
        </w:rPr>
        <w:footnoteReference w:id="26"/>
      </w:r>
    </w:p>
    <w:p w14:paraId="46D878A5" w14:textId="3B30F3FD" w:rsidR="000A4344" w:rsidRDefault="00541C75" w:rsidP="00F84A28">
      <w:pPr>
        <w:pStyle w:val="Heading2"/>
        <w:numPr>
          <w:ilvl w:val="1"/>
          <w:numId w:val="9"/>
        </w:numPr>
      </w:pPr>
      <w:r>
        <w:t>Turnover growth</w:t>
      </w:r>
    </w:p>
    <w:p w14:paraId="7BA75428" w14:textId="7EC28F0F" w:rsidR="002A472B" w:rsidRDefault="00195B27" w:rsidP="002A472B">
      <w:pPr>
        <w:pStyle w:val="BodyText"/>
      </w:pPr>
      <w:r>
        <w:t>Figure 7.1</w:t>
      </w:r>
      <w:r w:rsidR="00D31147">
        <w:t xml:space="preserve"> report</w:t>
      </w:r>
      <w:r>
        <w:t>s</w:t>
      </w:r>
      <w:r w:rsidR="002A472B">
        <w:t xml:space="preserve"> the ATT </w:t>
      </w:r>
      <w:r w:rsidR="00D31147">
        <w:t xml:space="preserve">between </w:t>
      </w:r>
      <w:r w:rsidR="009D013F">
        <w:t xml:space="preserve">EC </w:t>
      </w:r>
      <w:r w:rsidR="00D31147">
        <w:t xml:space="preserve">and </w:t>
      </w:r>
      <w:r w:rsidR="00D77CAE">
        <w:t>non-</w:t>
      </w:r>
      <w:r w:rsidR="009D013F">
        <w:t xml:space="preserve">EC RDTI </w:t>
      </w:r>
      <w:r w:rsidR="00D31147">
        <w:t xml:space="preserve">participants </w:t>
      </w:r>
      <w:r w:rsidR="002A472B">
        <w:t>for the two year, three year and four year change growth in turnover</w:t>
      </w:r>
      <w:r w:rsidR="00D218E5">
        <w:t>, pooled across cohorts.</w:t>
      </w:r>
    </w:p>
    <w:p w14:paraId="59497C01" w14:textId="199C4D05" w:rsidR="002C0018" w:rsidRPr="00CA411A" w:rsidRDefault="00C87808" w:rsidP="002A472B">
      <w:pPr>
        <w:pStyle w:val="BodyText"/>
        <w:rPr>
          <w:color w:val="auto"/>
        </w:rPr>
      </w:pPr>
      <w:r>
        <w:rPr>
          <w:color w:val="auto"/>
        </w:rPr>
        <w:t>RDTI</w:t>
      </w:r>
      <w:r w:rsidR="00556D60" w:rsidRPr="00CA411A">
        <w:rPr>
          <w:color w:val="auto"/>
        </w:rPr>
        <w:t xml:space="preserve"> </w:t>
      </w:r>
      <w:r w:rsidR="002C0018" w:rsidRPr="00CA411A">
        <w:rPr>
          <w:color w:val="auto"/>
        </w:rPr>
        <w:t>participant</w:t>
      </w:r>
      <w:r>
        <w:rPr>
          <w:color w:val="auto"/>
        </w:rPr>
        <w:t xml:space="preserve"> firms</w:t>
      </w:r>
      <w:r w:rsidR="002C0018" w:rsidRPr="00CA411A">
        <w:rPr>
          <w:color w:val="auto"/>
        </w:rPr>
        <w:t xml:space="preserve"> that also participated in the </w:t>
      </w:r>
      <w:r>
        <w:rPr>
          <w:color w:val="auto"/>
        </w:rPr>
        <w:t>EC program</w:t>
      </w:r>
      <w:r w:rsidRPr="00CA411A">
        <w:rPr>
          <w:color w:val="auto"/>
        </w:rPr>
        <w:t xml:space="preserve"> </w:t>
      </w:r>
      <w:r w:rsidR="002C0018" w:rsidRPr="00CA411A">
        <w:rPr>
          <w:color w:val="auto"/>
        </w:rPr>
        <w:t>experienced on average</w:t>
      </w:r>
      <w:r>
        <w:rPr>
          <w:color w:val="auto"/>
        </w:rPr>
        <w:t xml:space="preserve"> higher turnover growth</w:t>
      </w:r>
      <w:r w:rsidR="00683D21">
        <w:rPr>
          <w:color w:val="auto"/>
        </w:rPr>
        <w:t xml:space="preserve"> </w:t>
      </w:r>
      <w:r>
        <w:rPr>
          <w:color w:val="auto"/>
        </w:rPr>
        <w:t>within three to</w:t>
      </w:r>
      <w:r w:rsidR="00683D21">
        <w:rPr>
          <w:color w:val="auto"/>
        </w:rPr>
        <w:t xml:space="preserve"> four years</w:t>
      </w:r>
      <w:r w:rsidR="002C0018" w:rsidRPr="00CA411A">
        <w:rPr>
          <w:color w:val="auto"/>
        </w:rPr>
        <w:t xml:space="preserve"> compared to </w:t>
      </w:r>
      <w:r>
        <w:rPr>
          <w:color w:val="auto"/>
        </w:rPr>
        <w:t>RDTI</w:t>
      </w:r>
      <w:r w:rsidR="002C0018" w:rsidRPr="00CA411A">
        <w:rPr>
          <w:color w:val="auto"/>
        </w:rPr>
        <w:t xml:space="preserve"> firms </w:t>
      </w:r>
      <w:r w:rsidR="0080233A" w:rsidRPr="00CA411A">
        <w:rPr>
          <w:color w:val="auto"/>
        </w:rPr>
        <w:t>that did not participate in</w:t>
      </w:r>
      <w:r w:rsidR="00CA411A" w:rsidRPr="00CA411A">
        <w:rPr>
          <w:color w:val="auto"/>
        </w:rPr>
        <w:t xml:space="preserve"> the</w:t>
      </w:r>
      <w:r w:rsidR="0080233A" w:rsidRPr="00CA411A">
        <w:rPr>
          <w:color w:val="auto"/>
        </w:rPr>
        <w:t xml:space="preserve"> </w:t>
      </w:r>
      <w:r>
        <w:rPr>
          <w:color w:val="auto"/>
        </w:rPr>
        <w:t>EC program.</w:t>
      </w:r>
      <w:r w:rsidRPr="00CA411A">
        <w:rPr>
          <w:color w:val="auto"/>
        </w:rPr>
        <w:t xml:space="preserve"> </w:t>
      </w:r>
      <w:r w:rsidR="00444984">
        <w:rPr>
          <w:color w:val="auto"/>
        </w:rPr>
        <w:t xml:space="preserve">The impact of the EC program on RDTI firms is </w:t>
      </w:r>
      <w:r w:rsidR="001D5523">
        <w:rPr>
          <w:color w:val="auto"/>
        </w:rPr>
        <w:t>positive</w:t>
      </w:r>
      <w:r w:rsidR="00444984">
        <w:rPr>
          <w:color w:val="auto"/>
        </w:rPr>
        <w:t xml:space="preserve">. </w:t>
      </w:r>
      <w:r w:rsidR="00CA411A">
        <w:rPr>
          <w:color w:val="auto"/>
        </w:rPr>
        <w:t xml:space="preserve">These results imply firms </w:t>
      </w:r>
      <w:r>
        <w:rPr>
          <w:color w:val="auto"/>
        </w:rPr>
        <w:t xml:space="preserve">that are already participating in the RDTI </w:t>
      </w:r>
      <w:r w:rsidR="000841AE">
        <w:rPr>
          <w:color w:val="auto"/>
        </w:rPr>
        <w:t>receive additional benefit by also participating</w:t>
      </w:r>
      <w:r w:rsidR="00CA411A">
        <w:rPr>
          <w:color w:val="auto"/>
        </w:rPr>
        <w:t xml:space="preserve"> in</w:t>
      </w:r>
      <w:r w:rsidR="000841AE">
        <w:rPr>
          <w:color w:val="auto"/>
        </w:rPr>
        <w:t xml:space="preserve"> </w:t>
      </w:r>
      <w:r>
        <w:rPr>
          <w:color w:val="auto"/>
        </w:rPr>
        <w:t>the EC program</w:t>
      </w:r>
      <w:r w:rsidR="000841AE">
        <w:rPr>
          <w:color w:val="auto"/>
        </w:rPr>
        <w:t xml:space="preserve">. </w:t>
      </w:r>
      <w:r w:rsidR="00CA411A">
        <w:rPr>
          <w:color w:val="auto"/>
        </w:rPr>
        <w:t xml:space="preserve"> </w:t>
      </w:r>
    </w:p>
    <w:p w14:paraId="02AE0DEF" w14:textId="24592F98" w:rsidR="007A4ABB" w:rsidRDefault="007A4ABB" w:rsidP="007A4ABB">
      <w:pPr>
        <w:pStyle w:val="Caption"/>
      </w:pPr>
      <w:r>
        <w:lastRenderedPageBreak/>
        <w:t>Figure</w:t>
      </w:r>
      <w:r w:rsidRPr="000618FB">
        <w:t xml:space="preserve"> </w:t>
      </w:r>
      <w:r>
        <w:t>7</w:t>
      </w:r>
      <w:r w:rsidRPr="000618FB">
        <w:t>.</w:t>
      </w:r>
      <w:r>
        <w:t>1: Growth in turnover</w:t>
      </w:r>
      <w:r w:rsidRPr="005413EC">
        <w:t xml:space="preserve"> ($, 000)</w:t>
      </w:r>
      <w:r>
        <w:t xml:space="preserve"> for RDTI firms</w:t>
      </w:r>
      <w:r w:rsidRPr="005413EC">
        <w:t>,</w:t>
      </w:r>
      <w:r>
        <w:t xml:space="preserve"> average treatment effect, pooled across cohorts</w:t>
      </w:r>
    </w:p>
    <w:p w14:paraId="6A5934FB" w14:textId="64783F52" w:rsidR="007A4ABB" w:rsidRDefault="007A4ABB" w:rsidP="007A4ABB">
      <w:pPr>
        <w:pStyle w:val="Placeholder"/>
      </w:pPr>
    </w:p>
    <w:p w14:paraId="2F6F075A" w14:textId="0FC38028" w:rsidR="00501CAE" w:rsidRPr="00CB4BB4" w:rsidRDefault="00501CAE" w:rsidP="007A4ABB">
      <w:pPr>
        <w:pStyle w:val="Placeholder"/>
      </w:pPr>
      <w:r>
        <w:rPr>
          <w:noProof/>
          <w:lang w:eastAsia="en-AU"/>
        </w:rPr>
        <w:drawing>
          <wp:inline distT="0" distB="0" distL="0" distR="0" wp14:anchorId="5A182D83" wp14:editId="2C10347B">
            <wp:extent cx="4377690" cy="2626360"/>
            <wp:effectExtent l="0" t="0" r="3810" b="2540"/>
            <wp:docPr id="33" name="Chart 33" descr="Figure 7.1 reports the ATT between RDTI and non-RDTI EC participants for the two year, three year and four year change growth in turnover, pooled across cohorts on a bar chart." title="Figure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527300" w14:textId="58A7F35E" w:rsidR="007A4ABB" w:rsidRPr="00C62F3A" w:rsidRDefault="007A4ABB" w:rsidP="007A4ABB">
      <w:pPr>
        <w:pStyle w:val="Note"/>
      </w:pPr>
      <w:r>
        <w:t xml:space="preserve">Notes: </w:t>
      </w:r>
      <w:r w:rsidRPr="00596C64">
        <w:t xml:space="preserve">Length of the bars depicts the premium </w:t>
      </w:r>
      <w:r>
        <w:t>growth in turnover</w:t>
      </w:r>
      <w:r w:rsidRPr="00596C64">
        <w:t xml:space="preserve"> change relative to the counterfactual.</w:t>
      </w:r>
      <w:r w:rsidR="00953DCD">
        <w:t xml:space="preserve"> Missing bars signify results that are not statistically significant.</w:t>
      </w:r>
    </w:p>
    <w:p w14:paraId="2512B479" w14:textId="5C87A982" w:rsidR="007A4ABB" w:rsidRDefault="007A4ABB" w:rsidP="007A4ABB">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18F367C5" w14:textId="57CE6D03" w:rsidR="00541C75" w:rsidRDefault="00541C75" w:rsidP="00A03FA3">
      <w:pPr>
        <w:pStyle w:val="Heading2"/>
        <w:numPr>
          <w:ilvl w:val="1"/>
          <w:numId w:val="9"/>
        </w:numPr>
      </w:pPr>
      <w:r>
        <w:t>Employment growth</w:t>
      </w:r>
    </w:p>
    <w:p w14:paraId="3EB9A390" w14:textId="27FE27E5" w:rsidR="003615D5" w:rsidRPr="005012D8" w:rsidRDefault="003615D5" w:rsidP="003615D5">
      <w:pPr>
        <w:pStyle w:val="BodyText"/>
      </w:pPr>
      <w:r>
        <w:t xml:space="preserve">Figure 7.2 reports the ATT between </w:t>
      </w:r>
      <w:r w:rsidR="00BF4CE4">
        <w:t xml:space="preserve">EC </w:t>
      </w:r>
      <w:r>
        <w:t>and non</w:t>
      </w:r>
      <w:r w:rsidR="00D77CAE">
        <w:t>-</w:t>
      </w:r>
      <w:r w:rsidR="00BF4CE4">
        <w:t>EC RDTI</w:t>
      </w:r>
      <w:r>
        <w:t xml:space="preserve"> participants for the two year, three year and four year change growth in </w:t>
      </w:r>
      <w:r w:rsidR="005012D8">
        <w:t>employment</w:t>
      </w:r>
      <w:r>
        <w:t>, pooled across cohorts</w:t>
      </w:r>
      <w:r w:rsidR="00C35051">
        <w:t>.</w:t>
      </w:r>
    </w:p>
    <w:p w14:paraId="13A27E0F" w14:textId="4A6CC311" w:rsidR="00CC0867" w:rsidRPr="00CA411A" w:rsidRDefault="00CC0867" w:rsidP="00CC0867">
      <w:pPr>
        <w:pStyle w:val="BodyText"/>
        <w:rPr>
          <w:color w:val="auto"/>
        </w:rPr>
      </w:pPr>
      <w:r>
        <w:rPr>
          <w:color w:val="auto"/>
        </w:rPr>
        <w:t>RDTI</w:t>
      </w:r>
      <w:r w:rsidRPr="00CA411A">
        <w:rPr>
          <w:color w:val="auto"/>
        </w:rPr>
        <w:t xml:space="preserve"> participant</w:t>
      </w:r>
      <w:r>
        <w:rPr>
          <w:color w:val="auto"/>
        </w:rPr>
        <w:t xml:space="preserve"> firms</w:t>
      </w:r>
      <w:r w:rsidRPr="00CA411A">
        <w:rPr>
          <w:color w:val="auto"/>
        </w:rPr>
        <w:t xml:space="preserve"> that also participated in the </w:t>
      </w:r>
      <w:r>
        <w:rPr>
          <w:color w:val="auto"/>
        </w:rPr>
        <w:t>EC program</w:t>
      </w:r>
      <w:r w:rsidRPr="00CA411A">
        <w:rPr>
          <w:color w:val="auto"/>
        </w:rPr>
        <w:t xml:space="preserve"> experienced on average</w:t>
      </w:r>
      <w:r>
        <w:rPr>
          <w:color w:val="auto"/>
        </w:rPr>
        <w:t xml:space="preserve"> higher employment growth within three to four years </w:t>
      </w:r>
      <w:r w:rsidRPr="00CA411A">
        <w:rPr>
          <w:color w:val="auto"/>
        </w:rPr>
        <w:t xml:space="preserve">compared to </w:t>
      </w:r>
      <w:r>
        <w:rPr>
          <w:color w:val="auto"/>
        </w:rPr>
        <w:t>RDTI</w:t>
      </w:r>
      <w:r w:rsidRPr="00CA411A">
        <w:rPr>
          <w:color w:val="auto"/>
        </w:rPr>
        <w:t xml:space="preserve"> firms that did not participate in the </w:t>
      </w:r>
      <w:r>
        <w:rPr>
          <w:color w:val="auto"/>
        </w:rPr>
        <w:t>EC program.</w:t>
      </w:r>
      <w:r w:rsidRPr="00CA411A">
        <w:rPr>
          <w:color w:val="auto"/>
        </w:rPr>
        <w:t xml:space="preserve"> </w:t>
      </w:r>
    </w:p>
    <w:p w14:paraId="28C67748" w14:textId="77777777" w:rsidR="00CC0867" w:rsidRPr="009456F1" w:rsidRDefault="00CC0867" w:rsidP="00953DCD">
      <w:pPr>
        <w:pStyle w:val="BodyText"/>
        <w:rPr>
          <w:lang w:val="en"/>
        </w:rPr>
      </w:pPr>
    </w:p>
    <w:p w14:paraId="018FE7BD" w14:textId="5C49FB63" w:rsidR="0060677A" w:rsidRDefault="0060677A" w:rsidP="0060677A">
      <w:pPr>
        <w:pStyle w:val="Caption"/>
      </w:pPr>
      <w:r>
        <w:lastRenderedPageBreak/>
        <w:t>Figure</w:t>
      </w:r>
      <w:r w:rsidRPr="000618FB">
        <w:t xml:space="preserve"> </w:t>
      </w:r>
      <w:r>
        <w:t>7</w:t>
      </w:r>
      <w:r w:rsidRPr="000618FB">
        <w:t>.</w:t>
      </w:r>
      <w:r>
        <w:t xml:space="preserve">2: Growth in employment (number of FTE), average treatment effect, pooled across cohorts </w:t>
      </w:r>
    </w:p>
    <w:p w14:paraId="08B9FBA1" w14:textId="3442D1F5" w:rsidR="0060677A" w:rsidRDefault="0060677A" w:rsidP="0060677A">
      <w:pPr>
        <w:pStyle w:val="Placeholder"/>
        <w:rPr>
          <w:noProof/>
          <w:lang w:eastAsia="en-AU"/>
        </w:rPr>
      </w:pPr>
      <w:r w:rsidRPr="00EF191D">
        <w:rPr>
          <w:noProof/>
          <w:lang w:eastAsia="en-AU"/>
        </w:rPr>
        <w:t xml:space="preserve"> </w:t>
      </w:r>
    </w:p>
    <w:p w14:paraId="3F66363F" w14:textId="7C52EA40" w:rsidR="00CD4DE5" w:rsidRPr="00CB4BB4" w:rsidRDefault="0020219E" w:rsidP="0060677A">
      <w:pPr>
        <w:pStyle w:val="Placeholder"/>
      </w:pPr>
      <w:r>
        <w:rPr>
          <w:noProof/>
          <w:lang w:eastAsia="en-AU"/>
        </w:rPr>
        <w:drawing>
          <wp:inline distT="0" distB="0" distL="0" distR="0" wp14:anchorId="13F181DA" wp14:editId="23E6F9EA">
            <wp:extent cx="4377690" cy="2626360"/>
            <wp:effectExtent l="0" t="0" r="3810" b="2540"/>
            <wp:docPr id="35" name="Chart 35" descr="Figure 7.2 reports the ATT between RDTI and non-RDTI EC participants for the two year, three year and four year change growth in employment, pooled across cohorts on a bar chart." title="Figure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F70B48" w14:textId="0C22D897" w:rsidR="0060677A" w:rsidRPr="00C62F3A" w:rsidRDefault="0060677A" w:rsidP="0060677A">
      <w:pPr>
        <w:pStyle w:val="Note"/>
      </w:pPr>
      <w:r>
        <w:t xml:space="preserve">Notes: </w:t>
      </w:r>
      <w:r w:rsidRPr="00596C64">
        <w:t>Length of the bars depicts the premium in employment change relative to the counterfactual.</w:t>
      </w:r>
      <w:r w:rsidR="00953DCD">
        <w:t xml:space="preserve"> Missing bars signify results that are not statistically significant.</w:t>
      </w:r>
    </w:p>
    <w:p w14:paraId="15E56131" w14:textId="39CDDD57" w:rsidR="002A472B" w:rsidRDefault="0060677A" w:rsidP="00727EAE">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70E0B4A3" w14:textId="39B3AF8D" w:rsidR="00541C75" w:rsidRDefault="00541C75" w:rsidP="00541C75">
      <w:pPr>
        <w:pStyle w:val="Heading2"/>
        <w:numPr>
          <w:ilvl w:val="1"/>
          <w:numId w:val="9"/>
        </w:numPr>
      </w:pPr>
      <w:r>
        <w:t>Export sales growth</w:t>
      </w:r>
    </w:p>
    <w:p w14:paraId="712E71BD" w14:textId="17FA3620" w:rsidR="008E7ED6" w:rsidRPr="005012D8" w:rsidRDefault="008E7ED6" w:rsidP="008E7ED6">
      <w:pPr>
        <w:pStyle w:val="BodyText"/>
      </w:pPr>
      <w:r>
        <w:t>Figure 7.3 reports the ATT between EC and non-EC RDTI participants for the two year, three year and four year change growth in export sales, pooled across cohorts.</w:t>
      </w:r>
    </w:p>
    <w:p w14:paraId="1DCE4CD5" w14:textId="57750384" w:rsidR="008E7ED6" w:rsidRPr="00CA411A" w:rsidRDefault="008E7ED6" w:rsidP="008E7ED6">
      <w:pPr>
        <w:pStyle w:val="BodyText"/>
        <w:rPr>
          <w:color w:val="auto"/>
        </w:rPr>
      </w:pPr>
      <w:r>
        <w:rPr>
          <w:color w:val="auto"/>
        </w:rPr>
        <w:t>RDTI</w:t>
      </w:r>
      <w:r w:rsidRPr="00CA411A">
        <w:rPr>
          <w:color w:val="auto"/>
        </w:rPr>
        <w:t xml:space="preserve"> participant</w:t>
      </w:r>
      <w:r>
        <w:rPr>
          <w:color w:val="auto"/>
        </w:rPr>
        <w:t xml:space="preserve"> firms</w:t>
      </w:r>
      <w:r w:rsidRPr="00CA411A">
        <w:rPr>
          <w:color w:val="auto"/>
        </w:rPr>
        <w:t xml:space="preserve"> that also participated in the </w:t>
      </w:r>
      <w:r>
        <w:rPr>
          <w:color w:val="auto"/>
        </w:rPr>
        <w:t>EC program</w:t>
      </w:r>
      <w:r w:rsidRPr="00CA411A">
        <w:rPr>
          <w:color w:val="auto"/>
        </w:rPr>
        <w:t xml:space="preserve"> experienced on average</w:t>
      </w:r>
      <w:r>
        <w:rPr>
          <w:color w:val="auto"/>
        </w:rPr>
        <w:t xml:space="preserve"> </w:t>
      </w:r>
      <w:r w:rsidR="00004CD7">
        <w:rPr>
          <w:color w:val="auto"/>
        </w:rPr>
        <w:t>lower</w:t>
      </w:r>
      <w:r>
        <w:rPr>
          <w:color w:val="auto"/>
        </w:rPr>
        <w:t xml:space="preserve"> </w:t>
      </w:r>
      <w:r w:rsidR="00004CD7">
        <w:rPr>
          <w:color w:val="auto"/>
        </w:rPr>
        <w:t xml:space="preserve">export sales </w:t>
      </w:r>
      <w:r>
        <w:rPr>
          <w:color w:val="auto"/>
        </w:rPr>
        <w:t xml:space="preserve">growth within three to four years </w:t>
      </w:r>
      <w:r w:rsidRPr="00CA411A">
        <w:rPr>
          <w:color w:val="auto"/>
        </w:rPr>
        <w:t xml:space="preserve">compared to </w:t>
      </w:r>
      <w:r>
        <w:rPr>
          <w:color w:val="auto"/>
        </w:rPr>
        <w:t>RDTI</w:t>
      </w:r>
      <w:r w:rsidRPr="00CA411A">
        <w:rPr>
          <w:color w:val="auto"/>
        </w:rPr>
        <w:t xml:space="preserve"> firms that did not participate in the </w:t>
      </w:r>
      <w:r>
        <w:rPr>
          <w:color w:val="auto"/>
        </w:rPr>
        <w:t>EC program.</w:t>
      </w:r>
    </w:p>
    <w:p w14:paraId="2538F5F7" w14:textId="77777777" w:rsidR="00541C75" w:rsidRPr="00F245EC" w:rsidRDefault="00541C75" w:rsidP="00A03FA3">
      <w:pPr>
        <w:pStyle w:val="BodyText"/>
      </w:pPr>
    </w:p>
    <w:p w14:paraId="6A8C5E1B" w14:textId="7E3874D3" w:rsidR="00EC54C9" w:rsidRDefault="00EC54C9" w:rsidP="00EC54C9">
      <w:pPr>
        <w:pStyle w:val="Caption"/>
      </w:pPr>
      <w:r>
        <w:lastRenderedPageBreak/>
        <w:t>Figure</w:t>
      </w:r>
      <w:r w:rsidRPr="000618FB">
        <w:t xml:space="preserve"> </w:t>
      </w:r>
      <w:r w:rsidR="00E71D63">
        <w:t>7</w:t>
      </w:r>
      <w:r w:rsidRPr="000618FB">
        <w:t>.</w:t>
      </w:r>
      <w:r>
        <w:t xml:space="preserve">3: Growth in export sales </w:t>
      </w:r>
      <w:r w:rsidRPr="005413EC">
        <w:t>($, 000)</w:t>
      </w:r>
      <w:r>
        <w:t xml:space="preserve"> for RDTI firms</w:t>
      </w:r>
      <w:r w:rsidRPr="005413EC">
        <w:t>,</w:t>
      </w:r>
      <w:r>
        <w:t xml:space="preserve"> average treatment effect, pooled across cohorts </w:t>
      </w:r>
    </w:p>
    <w:p w14:paraId="1AF06245" w14:textId="3D5E7166" w:rsidR="00F142D3" w:rsidRPr="00F142D3" w:rsidRDefault="00F142D3" w:rsidP="00A03FA3">
      <w:pPr>
        <w:pStyle w:val="Placeholder"/>
      </w:pPr>
      <w:r>
        <w:rPr>
          <w:noProof/>
          <w:lang w:eastAsia="en-AU"/>
        </w:rPr>
        <w:drawing>
          <wp:inline distT="0" distB="0" distL="0" distR="0" wp14:anchorId="6B3139A2" wp14:editId="7CA40175">
            <wp:extent cx="4377690" cy="2626360"/>
            <wp:effectExtent l="0" t="0" r="3810" b="2540"/>
            <wp:docPr id="38" name="Chart 38" descr="Figure 7.3 reports the ATT between RDTI and non-RDTI EC participants for the two year, three year and four year change growth in export sales, pooled across cohorts on a bar chart." title="Figure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60321D4" w14:textId="4CE0B1B8" w:rsidR="00EC54C9" w:rsidRPr="00CB4BB4" w:rsidRDefault="00EC54C9" w:rsidP="00EC54C9">
      <w:pPr>
        <w:pStyle w:val="Placeholder"/>
      </w:pPr>
    </w:p>
    <w:p w14:paraId="61358AB2" w14:textId="77777777" w:rsidR="00EC54C9" w:rsidRPr="00C62F3A" w:rsidRDefault="00EC54C9" w:rsidP="00EC54C9">
      <w:pPr>
        <w:pStyle w:val="Note"/>
      </w:pPr>
      <w:r>
        <w:t xml:space="preserve">Notes: </w:t>
      </w:r>
      <w:r w:rsidRPr="00E462D0">
        <w:t xml:space="preserve">Length of the bars depicts the premium growth in </w:t>
      </w:r>
      <w:r>
        <w:t>export sales</w:t>
      </w:r>
      <w:r w:rsidRPr="00E462D0">
        <w:t xml:space="preserve"> change relative to the counterfactual.</w:t>
      </w:r>
      <w:r>
        <w:t xml:space="preserve"> Missing bars signify results that are not statistically significant. </w:t>
      </w:r>
    </w:p>
    <w:p w14:paraId="5E16AFD8" w14:textId="77777777" w:rsidR="00EC54C9" w:rsidRDefault="00EC54C9" w:rsidP="00EC54C9">
      <w:pPr>
        <w:pStyle w:val="Source"/>
      </w:pPr>
      <w:r>
        <w:t xml:space="preserve">Source: </w:t>
      </w:r>
      <w:r w:rsidRPr="008B43DD">
        <w:t xml:space="preserve">BLADE </w:t>
      </w:r>
      <w:r>
        <w:t>(2001–02 to 2014–15)</w:t>
      </w:r>
      <w:r w:rsidRPr="008B43DD">
        <w:t xml:space="preserve"> Author’s calculations</w:t>
      </w:r>
    </w:p>
    <w:p w14:paraId="2DC495AC" w14:textId="7E650BB4" w:rsidR="006E5892" w:rsidRDefault="006E5892" w:rsidP="006E5892">
      <w:pPr>
        <w:pStyle w:val="Heading2"/>
        <w:numPr>
          <w:ilvl w:val="1"/>
          <w:numId w:val="9"/>
        </w:numPr>
      </w:pPr>
      <w:r>
        <w:t>Capital expenditure growth</w:t>
      </w:r>
    </w:p>
    <w:p w14:paraId="026C6505" w14:textId="17661D09" w:rsidR="00DB021B" w:rsidRPr="005012D8" w:rsidRDefault="00DB021B" w:rsidP="00DB021B">
      <w:pPr>
        <w:pStyle w:val="BodyText"/>
      </w:pPr>
      <w:r>
        <w:t>Figure 7.4 reports the ATT between EC and non-EC RDTI participants for the two year, three year and four year change growth in capital expenditure, pooled across cohorts.</w:t>
      </w:r>
    </w:p>
    <w:p w14:paraId="136C3275" w14:textId="110E8928" w:rsidR="00DB021B" w:rsidRPr="00CA411A" w:rsidRDefault="00DB021B" w:rsidP="00DB021B">
      <w:pPr>
        <w:pStyle w:val="BodyText"/>
        <w:rPr>
          <w:color w:val="auto"/>
        </w:rPr>
      </w:pPr>
      <w:r>
        <w:rPr>
          <w:color w:val="auto"/>
        </w:rPr>
        <w:t>RDTI</w:t>
      </w:r>
      <w:r w:rsidRPr="00CA411A">
        <w:rPr>
          <w:color w:val="auto"/>
        </w:rPr>
        <w:t xml:space="preserve"> participant</w:t>
      </w:r>
      <w:r>
        <w:rPr>
          <w:color w:val="auto"/>
        </w:rPr>
        <w:t xml:space="preserve"> firms</w:t>
      </w:r>
      <w:r w:rsidRPr="00CA411A">
        <w:rPr>
          <w:color w:val="auto"/>
        </w:rPr>
        <w:t xml:space="preserve"> that also participated in the </w:t>
      </w:r>
      <w:r>
        <w:rPr>
          <w:color w:val="auto"/>
        </w:rPr>
        <w:t>EC</w:t>
      </w:r>
      <w:r w:rsidR="001972CD">
        <w:rPr>
          <w:color w:val="auto"/>
        </w:rPr>
        <w:t xml:space="preserve"> </w:t>
      </w:r>
      <w:r>
        <w:rPr>
          <w:color w:val="auto"/>
        </w:rPr>
        <w:t>program</w:t>
      </w:r>
      <w:r w:rsidRPr="00CA411A">
        <w:rPr>
          <w:color w:val="auto"/>
        </w:rPr>
        <w:t xml:space="preserve"> experienced on average</w:t>
      </w:r>
      <w:r>
        <w:rPr>
          <w:color w:val="auto"/>
        </w:rPr>
        <w:t xml:space="preserve"> higher </w:t>
      </w:r>
      <w:r w:rsidR="002A6DD6">
        <w:rPr>
          <w:color w:val="auto"/>
        </w:rPr>
        <w:t>investment in capital</w:t>
      </w:r>
      <w:r>
        <w:rPr>
          <w:color w:val="auto"/>
        </w:rPr>
        <w:t xml:space="preserve"> within t</w:t>
      </w:r>
      <w:r w:rsidR="0027078D">
        <w:rPr>
          <w:color w:val="auto"/>
        </w:rPr>
        <w:t>wo</w:t>
      </w:r>
      <w:r>
        <w:rPr>
          <w:color w:val="auto"/>
        </w:rPr>
        <w:t xml:space="preserve"> to </w:t>
      </w:r>
      <w:r w:rsidR="0027078D">
        <w:rPr>
          <w:color w:val="auto"/>
        </w:rPr>
        <w:t>three</w:t>
      </w:r>
      <w:r>
        <w:rPr>
          <w:color w:val="auto"/>
        </w:rPr>
        <w:t xml:space="preserve"> years </w:t>
      </w:r>
      <w:r w:rsidRPr="00CA411A">
        <w:rPr>
          <w:color w:val="auto"/>
        </w:rPr>
        <w:t xml:space="preserve">compared to </w:t>
      </w:r>
      <w:r>
        <w:rPr>
          <w:color w:val="auto"/>
        </w:rPr>
        <w:t>RDTI</w:t>
      </w:r>
      <w:r w:rsidRPr="00CA411A">
        <w:rPr>
          <w:color w:val="auto"/>
        </w:rPr>
        <w:t xml:space="preserve"> firms that did not participate in the </w:t>
      </w:r>
      <w:r>
        <w:rPr>
          <w:color w:val="auto"/>
        </w:rPr>
        <w:t>EC program.</w:t>
      </w:r>
      <w:r w:rsidRPr="00CA411A">
        <w:rPr>
          <w:color w:val="auto"/>
        </w:rPr>
        <w:t xml:space="preserve"> </w:t>
      </w:r>
    </w:p>
    <w:p w14:paraId="176D259A" w14:textId="77777777" w:rsidR="006E5892" w:rsidRPr="00F245EC" w:rsidRDefault="006E5892" w:rsidP="00A03FA3">
      <w:pPr>
        <w:pStyle w:val="BodyText"/>
      </w:pPr>
    </w:p>
    <w:p w14:paraId="18F08044" w14:textId="0C3E08AA" w:rsidR="00E71D63" w:rsidRDefault="00E71D63" w:rsidP="00E71D63">
      <w:pPr>
        <w:pStyle w:val="Caption"/>
      </w:pPr>
      <w:r>
        <w:lastRenderedPageBreak/>
        <w:t>Figure</w:t>
      </w:r>
      <w:r w:rsidRPr="000618FB">
        <w:t xml:space="preserve"> </w:t>
      </w:r>
      <w:r>
        <w:t>7</w:t>
      </w:r>
      <w:r w:rsidRPr="000618FB">
        <w:t>.</w:t>
      </w:r>
      <w:r>
        <w:t xml:space="preserve">4: Growth in capital expenditure </w:t>
      </w:r>
      <w:r w:rsidRPr="005413EC">
        <w:t>($, 000)</w:t>
      </w:r>
      <w:r w:rsidR="00B75923">
        <w:t xml:space="preserve"> for RDTI firms</w:t>
      </w:r>
      <w:r w:rsidRPr="005413EC">
        <w:t>,</w:t>
      </w:r>
      <w:r>
        <w:t xml:space="preserve"> average treatment </w:t>
      </w:r>
      <w:r w:rsidR="00296410">
        <w:t xml:space="preserve">Kaplan-Meier survival estimates </w:t>
      </w:r>
      <w:r>
        <w:t xml:space="preserve">effect, pooled across cohorts </w:t>
      </w:r>
    </w:p>
    <w:p w14:paraId="5D756D9E" w14:textId="407DDC7F" w:rsidR="00E71D63" w:rsidRPr="00CB4BB4" w:rsidRDefault="0027078D" w:rsidP="00E71D63">
      <w:pPr>
        <w:pStyle w:val="Placeholder"/>
      </w:pPr>
      <w:r>
        <w:rPr>
          <w:noProof/>
          <w:lang w:eastAsia="en-AU"/>
        </w:rPr>
        <w:drawing>
          <wp:inline distT="0" distB="0" distL="0" distR="0" wp14:anchorId="3780CEBA" wp14:editId="191A426E">
            <wp:extent cx="4377690" cy="2626360"/>
            <wp:effectExtent l="0" t="0" r="3810" b="2540"/>
            <wp:docPr id="8" name="Chart 8" descr="Figure 7.4 reports the ATT between RDTI and non-RDTI EC participants for the two year, three year and four year change growth in capital expenditure, pooled across cohorts on a bar chart." title="Figure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CFB3A16" w14:textId="77777777" w:rsidR="00E71D63" w:rsidRPr="00C62F3A" w:rsidRDefault="00E71D63" w:rsidP="00E71D63">
      <w:pPr>
        <w:pStyle w:val="Note"/>
      </w:pPr>
      <w:r>
        <w:t xml:space="preserve">Notes: </w:t>
      </w:r>
      <w:r w:rsidRPr="00E462D0">
        <w:t xml:space="preserve">Length of the bars depicts the premium growth in </w:t>
      </w:r>
      <w:r>
        <w:t>capital expenditure</w:t>
      </w:r>
      <w:r w:rsidRPr="00E462D0">
        <w:t xml:space="preserve"> change relative to the counterfactual.</w:t>
      </w:r>
      <w:r>
        <w:t xml:space="preserve"> Missing bars signify results that are not statistically significant. </w:t>
      </w:r>
    </w:p>
    <w:p w14:paraId="4CF04937" w14:textId="77777777" w:rsidR="00E71D63" w:rsidRDefault="00E71D63" w:rsidP="00E71D63">
      <w:pPr>
        <w:pStyle w:val="Source"/>
      </w:pPr>
      <w:r>
        <w:t xml:space="preserve">Source: </w:t>
      </w:r>
      <w:r w:rsidRPr="008B43DD">
        <w:t xml:space="preserve">BLADE </w:t>
      </w:r>
      <w:r>
        <w:t>(2001–02 to 2014–15)</w:t>
      </w:r>
      <w:r w:rsidRPr="008B43DD">
        <w:t xml:space="preserve"> Author’s calculations</w:t>
      </w:r>
    </w:p>
    <w:p w14:paraId="07821BD8" w14:textId="77777777" w:rsidR="00873BFB" w:rsidRDefault="00873BFB" w:rsidP="00A03FA3">
      <w:pPr>
        <w:pStyle w:val="BodyText"/>
      </w:pPr>
    </w:p>
    <w:p w14:paraId="2572E0CC" w14:textId="77777777" w:rsidR="00873BFB" w:rsidRDefault="00873BFB" w:rsidP="00873BFB">
      <w:pPr>
        <w:pStyle w:val="Heading1"/>
        <w:numPr>
          <w:ilvl w:val="0"/>
          <w:numId w:val="9"/>
        </w:numPr>
      </w:pPr>
      <w:r>
        <w:t xml:space="preserve">The impact of the R&amp;D Tax Incentive on EC participants </w:t>
      </w:r>
    </w:p>
    <w:p w14:paraId="4326B5D8" w14:textId="77777777" w:rsidR="00873BFB" w:rsidRDefault="00873BFB" w:rsidP="00A03FA3">
      <w:pPr>
        <w:pStyle w:val="BodyText"/>
      </w:pPr>
      <w:r>
        <w:t xml:space="preserve">Section 7 discusses the impact of the EC program on R&amp;D Tax Incentive participants, and in this section the converse is explored: what is the impact of the R&amp;D Tax Incentive on firms already participating in the EC program? </w:t>
      </w:r>
    </w:p>
    <w:p w14:paraId="616BB174" w14:textId="40AE1B82" w:rsidR="00926C8B" w:rsidRDefault="00926C8B" w:rsidP="00A03FA3">
      <w:pPr>
        <w:pStyle w:val="BodyText"/>
      </w:pPr>
      <w:r>
        <w:t>It turns out the impact is minimal, as RDTI firms also participating in the EC program experience only an increase of 0.25 FTE after two years, compared to non-RDTI EC firms</w:t>
      </w:r>
      <w:r w:rsidR="003A3D05">
        <w:t xml:space="preserve">. All other results for this group are not statistically significance. </w:t>
      </w:r>
    </w:p>
    <w:p w14:paraId="13C9B2D9" w14:textId="57FC9F91" w:rsidR="00D52A49" w:rsidRDefault="00274F60" w:rsidP="00D52A49">
      <w:pPr>
        <w:pStyle w:val="Heading1"/>
      </w:pPr>
      <w:r>
        <w:t>Impact on survival</w:t>
      </w:r>
    </w:p>
    <w:p w14:paraId="6FD8F2AB" w14:textId="1BE3DF67" w:rsidR="00A57092" w:rsidRPr="00FA2319" w:rsidRDefault="00A57092" w:rsidP="00A57092">
      <w:pPr>
        <w:pStyle w:val="BodyText"/>
      </w:pPr>
      <w:r w:rsidRPr="00FA2319">
        <w:t xml:space="preserve">As well as exploring the impact of the EC on firm performance, </w:t>
      </w:r>
      <w:r w:rsidR="006445F2" w:rsidRPr="00FA2319">
        <w:t>it is con</w:t>
      </w:r>
      <w:r w:rsidR="00605859" w:rsidRPr="00FA2319">
        <w:t xml:space="preserve">sidered </w:t>
      </w:r>
      <w:r w:rsidR="006445F2" w:rsidRPr="00FA2319">
        <w:t>whether</w:t>
      </w:r>
      <w:r w:rsidRPr="00FA2319">
        <w:t xml:space="preserve"> participation had any effect on the survival rate of EC participants. The following section is based on the survival analysis of another OCE staff research paper</w:t>
      </w:r>
      <w:r w:rsidR="003F75E2" w:rsidRPr="00FA2319">
        <w:t>, however in this case the methodology is applied to departmental progra</w:t>
      </w:r>
      <w:r w:rsidR="000B568B" w:rsidRPr="00FA2319">
        <w:t>m</w:t>
      </w:r>
      <w:r w:rsidR="003F75E2" w:rsidRPr="00FA2319">
        <w:t xml:space="preserve"> participants rather than innovation and investment fund </w:t>
      </w:r>
      <w:r w:rsidR="00143334" w:rsidRPr="00FA2319">
        <w:t>recipients.</w:t>
      </w:r>
      <w:r w:rsidRPr="00FA2319">
        <w:rPr>
          <w:rStyle w:val="FootnoteReference"/>
        </w:rPr>
        <w:footnoteReference w:id="27"/>
      </w:r>
    </w:p>
    <w:p w14:paraId="73238C15" w14:textId="5BE55D0A" w:rsidR="00A57092" w:rsidRDefault="00A57092" w:rsidP="00A57092">
      <w:pPr>
        <w:pStyle w:val="BodyText"/>
      </w:pPr>
      <w:r w:rsidRPr="00FA2319">
        <w:t>BLADE observes firms from 2001</w:t>
      </w:r>
      <w:r w:rsidR="00FF1370" w:rsidRPr="00FA2319">
        <w:t>–</w:t>
      </w:r>
      <w:r w:rsidRPr="00FA2319">
        <w:t>02 to 2014</w:t>
      </w:r>
      <w:r w:rsidR="00FF1370" w:rsidRPr="00FA2319">
        <w:t>–</w:t>
      </w:r>
      <w:r w:rsidRPr="00FA2319">
        <w:t>15</w:t>
      </w:r>
      <w:r w:rsidR="00EC6B9B" w:rsidRPr="00FA2319">
        <w:t xml:space="preserve">, however </w:t>
      </w:r>
      <w:r w:rsidR="007613DF" w:rsidRPr="00FA2319">
        <w:t>firm survival time</w:t>
      </w:r>
      <w:r w:rsidR="00D00B52" w:rsidRPr="00FA2319">
        <w:t xml:space="preserve"> </w:t>
      </w:r>
      <w:r w:rsidR="002A74E8" w:rsidRPr="00FA2319">
        <w:t xml:space="preserve">is calculated </w:t>
      </w:r>
      <w:r w:rsidR="007613DF" w:rsidRPr="00FA2319">
        <w:t>to be the number of years a firm appears</w:t>
      </w:r>
      <w:r w:rsidR="007613DF">
        <w:t xml:space="preserve"> in the BLADE</w:t>
      </w:r>
      <w:r w:rsidR="00EC6B9B">
        <w:t xml:space="preserve"> from 2007-</w:t>
      </w:r>
      <w:r w:rsidR="00EC6B9B">
        <w:lastRenderedPageBreak/>
        <w:t>08</w:t>
      </w:r>
      <w:r w:rsidR="007613DF">
        <w:t xml:space="preserve">. </w:t>
      </w:r>
      <w:r w:rsidR="00EC6B9B">
        <w:t xml:space="preserve">This is to measure the relative survival rates between participants and non-participants from the first year the program came into existence. As the survival time is truncated, </w:t>
      </w:r>
      <w:r w:rsidR="002C0915">
        <w:t xml:space="preserve">true survival time is likely to be different. </w:t>
      </w:r>
      <w:r w:rsidR="003642FC">
        <w:t>A failure event occurs if a firm is not reported in the BLADE prior to 2014</w:t>
      </w:r>
      <w:r w:rsidR="00FF1370">
        <w:t>–</w:t>
      </w:r>
      <w:r w:rsidR="003642FC">
        <w:t xml:space="preserve">15. Observations are pooled across cohorts.  </w:t>
      </w:r>
    </w:p>
    <w:p w14:paraId="6A63ECFF" w14:textId="5BAFB8A5" w:rsidR="0076471D" w:rsidRDefault="0031393F" w:rsidP="00A57092">
      <w:pPr>
        <w:pStyle w:val="BodyText"/>
      </w:pPr>
      <w:r>
        <w:t xml:space="preserve">Hazard ratios </w:t>
      </w:r>
      <w:r w:rsidR="005C6BB6">
        <w:t xml:space="preserve">were estimated </w:t>
      </w:r>
      <w:r w:rsidR="00140D97">
        <w:t xml:space="preserve">using a Cox regression to assess </w:t>
      </w:r>
      <w:r w:rsidR="00D00B52">
        <w:t>EC</w:t>
      </w:r>
      <w:r w:rsidR="00140D97">
        <w:t xml:space="preserve"> firms differed in terms of their relative risk of failure when compared to counterfactual firms. Additional dummies were included for the secondary and tertia</w:t>
      </w:r>
      <w:r w:rsidR="00204F29">
        <w:t>ry</w:t>
      </w:r>
      <w:r w:rsidR="00140D97">
        <w:t xml:space="preserve"> sectors to control for differences in rates of survival across these broad industry sectors. </w:t>
      </w:r>
    </w:p>
    <w:p w14:paraId="6D758A69" w14:textId="4FD7C56D" w:rsidR="0076471D" w:rsidRDefault="0076471D" w:rsidP="00A57092">
      <w:pPr>
        <w:pStyle w:val="BodyText"/>
      </w:pPr>
      <w:r>
        <w:t xml:space="preserve">Hazard ratios and decrease in the rate of failure show that </w:t>
      </w:r>
      <w:r w:rsidR="00671DA8">
        <w:t>EC participants</w:t>
      </w:r>
      <w:r>
        <w:t xml:space="preserve"> were less likely to fail relative to </w:t>
      </w:r>
      <w:r w:rsidR="00D77CAE">
        <w:t>non-</w:t>
      </w:r>
      <w:r>
        <w:t xml:space="preserve">participant firms (Table </w:t>
      </w:r>
      <w:r w:rsidR="00697293">
        <w:t>9</w:t>
      </w:r>
      <w:r>
        <w:t xml:space="preserve">.1). While most other variables were statistically significant, they do not contribute </w:t>
      </w:r>
      <w:r w:rsidR="00173942">
        <w:t xml:space="preserve">substantially </w:t>
      </w:r>
      <w:r>
        <w:t xml:space="preserve">towards reducing the rate of failure. </w:t>
      </w:r>
    </w:p>
    <w:p w14:paraId="40984D9B" w14:textId="43955871" w:rsidR="00A154B4" w:rsidRDefault="00A154B4" w:rsidP="00A57092">
      <w:pPr>
        <w:pStyle w:val="BodyText"/>
      </w:pPr>
      <w:r>
        <w:t xml:space="preserve">Figure </w:t>
      </w:r>
      <w:r w:rsidR="00697293">
        <w:t>9</w:t>
      </w:r>
      <w:r>
        <w:t>.1 more intuitively illustrates t</w:t>
      </w:r>
      <w:r w:rsidR="00AB59B9">
        <w:t xml:space="preserve">his point. The </w:t>
      </w:r>
      <w:r w:rsidR="001625DC">
        <w:t xml:space="preserve">survival </w:t>
      </w:r>
      <w:r w:rsidR="00AC05EA">
        <w:t>curve</w:t>
      </w:r>
      <w:r w:rsidR="009954ED">
        <w:t>s</w:t>
      </w:r>
      <w:r w:rsidR="004E3147">
        <w:t xml:space="preserve"> show</w:t>
      </w:r>
      <w:r w:rsidR="00AC05EA">
        <w:t xml:space="preserve"> the probability of survival at each point in time </w:t>
      </w:r>
      <w:r w:rsidR="009954ED">
        <w:t xml:space="preserve">for </w:t>
      </w:r>
      <w:r w:rsidR="00D019F8">
        <w:t xml:space="preserve">EC </w:t>
      </w:r>
      <w:r w:rsidR="009954ED">
        <w:t>and counterfactual firms.</w:t>
      </w:r>
      <w:r w:rsidR="00935245" w:rsidRPr="00C72728">
        <w:rPr>
          <w:rStyle w:val="FootnoteReference"/>
        </w:rPr>
        <w:footnoteReference w:id="28"/>
      </w:r>
      <w:r w:rsidR="009954ED" w:rsidRPr="00C72728">
        <w:rPr>
          <w:rStyle w:val="FootnoteReference"/>
        </w:rPr>
        <w:t xml:space="preserve"> </w:t>
      </w:r>
      <w:r w:rsidR="009954ED">
        <w:t xml:space="preserve">The higher the </w:t>
      </w:r>
      <w:r w:rsidR="008E67DD">
        <w:t xml:space="preserve">survival </w:t>
      </w:r>
      <w:r w:rsidR="00132239">
        <w:t xml:space="preserve">curve, the higher the probabilities of survival over time. </w:t>
      </w:r>
      <w:r w:rsidR="008E67DD">
        <w:t>It is easy to see the survival curve for</w:t>
      </w:r>
      <w:r w:rsidR="00CB07B3">
        <w:t xml:space="preserve"> </w:t>
      </w:r>
      <w:r w:rsidR="00AE3121">
        <w:t>EC</w:t>
      </w:r>
      <w:r w:rsidR="008E67DD">
        <w:t xml:space="preserve"> firms is higher</w:t>
      </w:r>
      <w:r w:rsidR="00CB07B3">
        <w:t xml:space="preserve"> than the survival </w:t>
      </w:r>
      <w:r w:rsidR="004857C7">
        <w:t>c</w:t>
      </w:r>
      <w:r w:rsidR="00361E37">
        <w:t>urve for counterfactual firms.</w:t>
      </w:r>
    </w:p>
    <w:p w14:paraId="6D6488CA" w14:textId="536EC60F" w:rsidR="002C0915" w:rsidRDefault="002C0915" w:rsidP="002C0915">
      <w:pPr>
        <w:pStyle w:val="Caption"/>
      </w:pPr>
      <w:r w:rsidRPr="00FA2319">
        <w:t xml:space="preserve">Table </w:t>
      </w:r>
      <w:r w:rsidR="00697293" w:rsidRPr="00FA2319">
        <w:t>9</w:t>
      </w:r>
      <w:r w:rsidRPr="00FA2319">
        <w:t>.</w:t>
      </w:r>
      <w:r w:rsidR="00790BD9" w:rsidRPr="00FA2319">
        <w:rPr>
          <w:noProof/>
        </w:rPr>
        <w:fldChar w:fldCharType="begin"/>
      </w:r>
      <w:r w:rsidR="00790BD9" w:rsidRPr="00FA2319">
        <w:rPr>
          <w:noProof/>
        </w:rPr>
        <w:instrText xml:space="preserve"> SEQ Table \* ARABIC \s 1 </w:instrText>
      </w:r>
      <w:r w:rsidR="00790BD9" w:rsidRPr="00FA2319">
        <w:rPr>
          <w:noProof/>
        </w:rPr>
        <w:fldChar w:fldCharType="separate"/>
      </w:r>
      <w:r w:rsidR="003A4982">
        <w:rPr>
          <w:noProof/>
        </w:rPr>
        <w:t>1</w:t>
      </w:r>
      <w:r w:rsidR="00790BD9" w:rsidRPr="00FA2319">
        <w:rPr>
          <w:noProof/>
        </w:rPr>
        <w:fldChar w:fldCharType="end"/>
      </w:r>
      <w:r w:rsidRPr="00FA2319">
        <w:t>: Survival analysis, hazard ratios</w:t>
      </w:r>
      <w:r>
        <w:tab/>
      </w:r>
    </w:p>
    <w:tbl>
      <w:tblPr>
        <w:tblStyle w:val="OCETable"/>
        <w:tblW w:w="5000" w:type="pct"/>
        <w:tblLook w:val="04A0" w:firstRow="1" w:lastRow="0" w:firstColumn="1" w:lastColumn="0" w:noHBand="0" w:noVBand="1"/>
        <w:tblCaption w:val="Table 8.1: Survival analysis, hazard ratios "/>
        <w:tblDescription w:val="The coefficient on EC firms shows that EC firms have higher survival rates than other firms. "/>
      </w:tblPr>
      <w:tblGrid>
        <w:gridCol w:w="2918"/>
        <w:gridCol w:w="1693"/>
        <w:gridCol w:w="2283"/>
      </w:tblGrid>
      <w:tr w:rsidR="000312FE" w14:paraId="00227EFE" w14:textId="3F4DEE84" w:rsidTr="00EC0113">
        <w:trPr>
          <w:cnfStyle w:val="100000000000" w:firstRow="1" w:lastRow="0" w:firstColumn="0" w:lastColumn="0" w:oddVBand="0" w:evenVBand="0" w:oddHBand="0" w:evenHBand="0" w:firstRowFirstColumn="0" w:firstRowLastColumn="0" w:lastRowFirstColumn="0" w:lastRowLastColumn="0"/>
          <w:trHeight w:val="451"/>
          <w:tblHeader/>
        </w:trPr>
        <w:tc>
          <w:tcPr>
            <w:tcW w:w="2116" w:type="pct"/>
          </w:tcPr>
          <w:p w14:paraId="44E08C2B" w14:textId="41333AE6" w:rsidR="000312FE" w:rsidRDefault="000312FE" w:rsidP="003A6FBB">
            <w:pPr>
              <w:pStyle w:val="Tableheadertext"/>
              <w:rPr>
                <w:lang w:eastAsia="en-AU"/>
              </w:rPr>
            </w:pPr>
          </w:p>
        </w:tc>
        <w:tc>
          <w:tcPr>
            <w:tcW w:w="1228" w:type="pct"/>
          </w:tcPr>
          <w:p w14:paraId="756E1EEA" w14:textId="637F8D1B" w:rsidR="000312FE" w:rsidRDefault="000312FE" w:rsidP="003A6FBB">
            <w:pPr>
              <w:pStyle w:val="Tableheadertext"/>
              <w:jc w:val="right"/>
              <w:rPr>
                <w:lang w:eastAsia="en-AU"/>
              </w:rPr>
            </w:pPr>
            <w:r>
              <w:rPr>
                <w:lang w:eastAsia="en-AU"/>
              </w:rPr>
              <w:t xml:space="preserve">Hazard ratio </w:t>
            </w:r>
          </w:p>
        </w:tc>
        <w:tc>
          <w:tcPr>
            <w:tcW w:w="1656" w:type="pct"/>
          </w:tcPr>
          <w:p w14:paraId="1CA4FA49" w14:textId="65F915C7" w:rsidR="000312FE" w:rsidRDefault="000312FE" w:rsidP="003A6FBB">
            <w:pPr>
              <w:pStyle w:val="Tableheadertext"/>
              <w:jc w:val="right"/>
              <w:rPr>
                <w:lang w:eastAsia="en-AU"/>
              </w:rPr>
            </w:pPr>
            <w:r>
              <w:rPr>
                <w:lang w:eastAsia="en-AU"/>
              </w:rPr>
              <w:t>Decrease in rate of failure (per cent)ͣ</w:t>
            </w:r>
          </w:p>
        </w:tc>
      </w:tr>
      <w:tr w:rsidR="000312FE" w14:paraId="5EDD1854" w14:textId="7CDBAAE9" w:rsidTr="007E057A">
        <w:trPr>
          <w:cnfStyle w:val="000000100000" w:firstRow="0" w:lastRow="0" w:firstColumn="0" w:lastColumn="0" w:oddVBand="0" w:evenVBand="0" w:oddHBand="1" w:evenHBand="0" w:firstRowFirstColumn="0" w:firstRowLastColumn="0" w:lastRowFirstColumn="0" w:lastRowLastColumn="0"/>
          <w:trHeight w:val="315"/>
        </w:trPr>
        <w:tc>
          <w:tcPr>
            <w:tcW w:w="2116" w:type="pct"/>
          </w:tcPr>
          <w:p w14:paraId="466E79CA" w14:textId="3D65B25E" w:rsidR="000312FE" w:rsidRDefault="000312FE" w:rsidP="00281175">
            <w:pPr>
              <w:pStyle w:val="Tablebodytext"/>
              <w:rPr>
                <w:lang w:eastAsia="en-AU"/>
              </w:rPr>
            </w:pPr>
            <w:r>
              <w:rPr>
                <w:lang w:eastAsia="en-AU"/>
              </w:rPr>
              <w:t xml:space="preserve">EC </w:t>
            </w:r>
            <w:r w:rsidR="00281175">
              <w:rPr>
                <w:lang w:eastAsia="en-AU"/>
              </w:rPr>
              <w:t>firms</w:t>
            </w:r>
          </w:p>
        </w:tc>
        <w:tc>
          <w:tcPr>
            <w:tcW w:w="1228" w:type="pct"/>
          </w:tcPr>
          <w:p w14:paraId="174317F9" w14:textId="636CAC43" w:rsidR="000312FE" w:rsidRDefault="00D405A0" w:rsidP="003A6FBB">
            <w:pPr>
              <w:pStyle w:val="Tablebodytext"/>
              <w:jc w:val="right"/>
              <w:rPr>
                <w:lang w:eastAsia="en-AU"/>
              </w:rPr>
            </w:pPr>
            <w:r>
              <w:t>0.26</w:t>
            </w:r>
            <w:r w:rsidR="005776E1">
              <w:t>***</w:t>
            </w:r>
          </w:p>
        </w:tc>
        <w:tc>
          <w:tcPr>
            <w:tcW w:w="1656" w:type="pct"/>
          </w:tcPr>
          <w:p w14:paraId="03FB684E" w14:textId="5B196C2B" w:rsidR="000312FE" w:rsidRDefault="00086DB4" w:rsidP="003A6FBB">
            <w:pPr>
              <w:pStyle w:val="Tablebodytext"/>
              <w:jc w:val="right"/>
              <w:rPr>
                <w:lang w:eastAsia="en-AU"/>
              </w:rPr>
            </w:pPr>
            <w:r>
              <w:rPr>
                <w:lang w:eastAsia="en-AU"/>
              </w:rPr>
              <w:t>74</w:t>
            </w:r>
          </w:p>
        </w:tc>
      </w:tr>
      <w:tr w:rsidR="00281175" w14:paraId="362B0793" w14:textId="670CC338" w:rsidTr="003A6FBB">
        <w:trPr>
          <w:cnfStyle w:val="000000010000" w:firstRow="0" w:lastRow="0" w:firstColumn="0" w:lastColumn="0" w:oddVBand="0" w:evenVBand="0" w:oddHBand="0" w:evenHBand="1" w:firstRowFirstColumn="0" w:firstRowLastColumn="0" w:lastRowFirstColumn="0" w:lastRowLastColumn="0"/>
          <w:trHeight w:val="329"/>
        </w:trPr>
        <w:tc>
          <w:tcPr>
            <w:tcW w:w="2116" w:type="pct"/>
          </w:tcPr>
          <w:p w14:paraId="62FB3DDB" w14:textId="0D86BE0C" w:rsidR="00281175" w:rsidRDefault="00281175" w:rsidP="00281175">
            <w:pPr>
              <w:pStyle w:val="Tablebodytext"/>
              <w:rPr>
                <w:lang w:eastAsia="en-AU"/>
              </w:rPr>
            </w:pPr>
            <w:r>
              <w:rPr>
                <w:lang w:eastAsia="en-AU"/>
              </w:rPr>
              <w:t>Manufacturing</w:t>
            </w:r>
          </w:p>
        </w:tc>
        <w:tc>
          <w:tcPr>
            <w:tcW w:w="1228" w:type="pct"/>
          </w:tcPr>
          <w:p w14:paraId="5B80F79D" w14:textId="0535914E" w:rsidR="00281175" w:rsidRDefault="00E77F76" w:rsidP="00F42C15">
            <w:pPr>
              <w:pStyle w:val="Tablebodytext"/>
              <w:jc w:val="center"/>
              <w:rPr>
                <w:lang w:eastAsia="en-AU"/>
              </w:rPr>
            </w:pPr>
            <w:r>
              <w:t xml:space="preserve">              </w:t>
            </w:r>
            <w:r w:rsidR="00281175">
              <w:t>1.20</w:t>
            </w:r>
          </w:p>
        </w:tc>
        <w:tc>
          <w:tcPr>
            <w:tcW w:w="1656" w:type="pct"/>
          </w:tcPr>
          <w:p w14:paraId="7DA821F1" w14:textId="731400A0" w:rsidR="00281175" w:rsidRDefault="00281175" w:rsidP="00281175">
            <w:pPr>
              <w:pStyle w:val="Tablebodytext"/>
              <w:jc w:val="right"/>
              <w:rPr>
                <w:lang w:eastAsia="en-AU"/>
              </w:rPr>
            </w:pPr>
            <w:r>
              <w:rPr>
                <w:lang w:eastAsia="en-AU"/>
              </w:rPr>
              <w:t>–20</w:t>
            </w:r>
          </w:p>
        </w:tc>
      </w:tr>
      <w:tr w:rsidR="00281175" w14:paraId="645DBF01" w14:textId="13028C29" w:rsidTr="003A6FBB">
        <w:trPr>
          <w:cnfStyle w:val="000000100000" w:firstRow="0" w:lastRow="0" w:firstColumn="0" w:lastColumn="0" w:oddVBand="0" w:evenVBand="0" w:oddHBand="1" w:evenHBand="0" w:firstRowFirstColumn="0" w:firstRowLastColumn="0" w:lastRowFirstColumn="0" w:lastRowLastColumn="0"/>
          <w:trHeight w:val="329"/>
        </w:trPr>
        <w:tc>
          <w:tcPr>
            <w:tcW w:w="2116" w:type="pct"/>
          </w:tcPr>
          <w:p w14:paraId="2BCE50F8" w14:textId="6168E92B" w:rsidR="00281175" w:rsidRDefault="00281175" w:rsidP="00281175">
            <w:pPr>
              <w:pStyle w:val="Tablebodytext"/>
              <w:rPr>
                <w:lang w:eastAsia="en-AU"/>
              </w:rPr>
            </w:pPr>
            <w:r>
              <w:rPr>
                <w:lang w:eastAsia="en-AU"/>
              </w:rPr>
              <w:t>PST</w:t>
            </w:r>
          </w:p>
        </w:tc>
        <w:tc>
          <w:tcPr>
            <w:tcW w:w="1228" w:type="pct"/>
          </w:tcPr>
          <w:p w14:paraId="25050746" w14:textId="10C5F7F5" w:rsidR="00281175" w:rsidRDefault="00281175" w:rsidP="00281175">
            <w:pPr>
              <w:pStyle w:val="Tablebodytext"/>
              <w:jc w:val="right"/>
              <w:rPr>
                <w:lang w:eastAsia="en-AU"/>
              </w:rPr>
            </w:pPr>
            <w:r>
              <w:t>1.10***</w:t>
            </w:r>
          </w:p>
        </w:tc>
        <w:tc>
          <w:tcPr>
            <w:tcW w:w="1656" w:type="pct"/>
          </w:tcPr>
          <w:p w14:paraId="4CF4BF5A" w14:textId="15C6239C" w:rsidR="00281175" w:rsidRDefault="00281175" w:rsidP="00281175">
            <w:pPr>
              <w:pStyle w:val="Tablebodytext"/>
              <w:jc w:val="right"/>
              <w:rPr>
                <w:lang w:eastAsia="en-AU"/>
              </w:rPr>
            </w:pPr>
            <w:r>
              <w:rPr>
                <w:lang w:eastAsia="en-AU"/>
              </w:rPr>
              <w:t>–10</w:t>
            </w:r>
          </w:p>
        </w:tc>
      </w:tr>
      <w:tr w:rsidR="00281175" w14:paraId="78021038" w14:textId="5DD948E7" w:rsidTr="00605859">
        <w:trPr>
          <w:cnfStyle w:val="000000010000" w:firstRow="0" w:lastRow="0" w:firstColumn="0" w:lastColumn="0" w:oddVBand="0" w:evenVBand="0" w:oddHBand="0" w:evenHBand="1" w:firstRowFirstColumn="0" w:firstRowLastColumn="0" w:lastRowFirstColumn="0" w:lastRowLastColumn="0"/>
          <w:trHeight w:val="329"/>
        </w:trPr>
        <w:tc>
          <w:tcPr>
            <w:tcW w:w="2116" w:type="pct"/>
          </w:tcPr>
          <w:p w14:paraId="7B7564FF" w14:textId="6D50D496" w:rsidR="00281175" w:rsidRDefault="00281175" w:rsidP="00281175">
            <w:pPr>
              <w:pStyle w:val="Tablebodytext"/>
              <w:rPr>
                <w:lang w:eastAsia="en-AU"/>
              </w:rPr>
            </w:pPr>
            <w:r>
              <w:rPr>
                <w:lang w:eastAsia="en-AU"/>
              </w:rPr>
              <w:t>Other Services</w:t>
            </w:r>
          </w:p>
        </w:tc>
        <w:tc>
          <w:tcPr>
            <w:tcW w:w="1228" w:type="pct"/>
          </w:tcPr>
          <w:p w14:paraId="61B09075" w14:textId="50F8722E" w:rsidR="00281175" w:rsidRDefault="00281175" w:rsidP="00281175">
            <w:pPr>
              <w:pStyle w:val="Tablebodytext"/>
              <w:jc w:val="right"/>
              <w:rPr>
                <w:lang w:eastAsia="en-AU"/>
              </w:rPr>
            </w:pPr>
            <w:r>
              <w:t>1.28***</w:t>
            </w:r>
          </w:p>
        </w:tc>
        <w:tc>
          <w:tcPr>
            <w:tcW w:w="1656" w:type="pct"/>
          </w:tcPr>
          <w:p w14:paraId="4DA2C23A" w14:textId="664139EE" w:rsidR="00281175" w:rsidRDefault="00281175" w:rsidP="00281175">
            <w:pPr>
              <w:pStyle w:val="Tablebodytext"/>
              <w:jc w:val="right"/>
              <w:rPr>
                <w:lang w:eastAsia="en-AU"/>
              </w:rPr>
            </w:pPr>
            <w:r>
              <w:rPr>
                <w:lang w:eastAsia="en-AU"/>
              </w:rPr>
              <w:t>–28</w:t>
            </w:r>
          </w:p>
        </w:tc>
      </w:tr>
      <w:tr w:rsidR="00281175" w14:paraId="2AB99989" w14:textId="6D70EE70" w:rsidTr="003A6FBB">
        <w:trPr>
          <w:cnfStyle w:val="000000100000" w:firstRow="0" w:lastRow="0" w:firstColumn="0" w:lastColumn="0" w:oddVBand="0" w:evenVBand="0" w:oddHBand="1" w:evenHBand="0" w:firstRowFirstColumn="0" w:firstRowLastColumn="0" w:lastRowFirstColumn="0" w:lastRowLastColumn="0"/>
          <w:trHeight w:val="329"/>
        </w:trPr>
        <w:tc>
          <w:tcPr>
            <w:tcW w:w="2116" w:type="pct"/>
          </w:tcPr>
          <w:p w14:paraId="02353CCB" w14:textId="6F585CE3" w:rsidR="00281175" w:rsidRDefault="00281175" w:rsidP="00281175">
            <w:pPr>
              <w:pStyle w:val="Tablebodytext"/>
              <w:rPr>
                <w:lang w:eastAsia="en-AU"/>
              </w:rPr>
            </w:pPr>
            <w:r>
              <w:rPr>
                <w:lang w:eastAsia="en-AU"/>
              </w:rPr>
              <w:t>Average Turnover</w:t>
            </w:r>
          </w:p>
        </w:tc>
        <w:tc>
          <w:tcPr>
            <w:tcW w:w="1228" w:type="pct"/>
          </w:tcPr>
          <w:p w14:paraId="4F69E261" w14:textId="2BF07337" w:rsidR="00281175" w:rsidRDefault="00281175" w:rsidP="00281175">
            <w:pPr>
              <w:pStyle w:val="Tablebodytext"/>
              <w:jc w:val="right"/>
              <w:rPr>
                <w:lang w:eastAsia="en-AU"/>
              </w:rPr>
            </w:pPr>
            <w:r w:rsidRPr="00092D86">
              <w:t>1.00</w:t>
            </w:r>
            <w:r>
              <w:t>***</w:t>
            </w:r>
          </w:p>
        </w:tc>
        <w:tc>
          <w:tcPr>
            <w:tcW w:w="1656" w:type="pct"/>
          </w:tcPr>
          <w:p w14:paraId="2C1E8AA5" w14:textId="4280DD79" w:rsidR="00281175" w:rsidRDefault="00281175" w:rsidP="00281175">
            <w:pPr>
              <w:pStyle w:val="Tablebodytext"/>
              <w:jc w:val="right"/>
              <w:rPr>
                <w:lang w:eastAsia="en-AU"/>
              </w:rPr>
            </w:pPr>
          </w:p>
        </w:tc>
      </w:tr>
      <w:tr w:rsidR="00281175" w14:paraId="543804DE" w14:textId="284D9EC5" w:rsidTr="003A6FBB">
        <w:trPr>
          <w:cnfStyle w:val="000000010000" w:firstRow="0" w:lastRow="0" w:firstColumn="0" w:lastColumn="0" w:oddVBand="0" w:evenVBand="0" w:oddHBand="0" w:evenHBand="1" w:firstRowFirstColumn="0" w:firstRowLastColumn="0" w:lastRowFirstColumn="0" w:lastRowLastColumn="0"/>
          <w:trHeight w:val="329"/>
        </w:trPr>
        <w:tc>
          <w:tcPr>
            <w:tcW w:w="2116" w:type="pct"/>
          </w:tcPr>
          <w:p w14:paraId="2D43DC16" w14:textId="64BD3249" w:rsidR="00281175" w:rsidRDefault="00281175" w:rsidP="00281175">
            <w:pPr>
              <w:pStyle w:val="Tablebodytext"/>
              <w:rPr>
                <w:lang w:eastAsia="en-AU"/>
              </w:rPr>
            </w:pPr>
            <w:r>
              <w:rPr>
                <w:lang w:eastAsia="en-AU"/>
              </w:rPr>
              <w:t>Average FTE</w:t>
            </w:r>
          </w:p>
        </w:tc>
        <w:tc>
          <w:tcPr>
            <w:tcW w:w="1228" w:type="pct"/>
          </w:tcPr>
          <w:p w14:paraId="1F5EFE21" w14:textId="147E020E" w:rsidR="00281175" w:rsidRDefault="00281175" w:rsidP="00281175">
            <w:pPr>
              <w:pStyle w:val="Tablebodytext"/>
              <w:jc w:val="right"/>
              <w:rPr>
                <w:lang w:eastAsia="en-AU"/>
              </w:rPr>
            </w:pPr>
            <w:r>
              <w:rPr>
                <w:lang w:eastAsia="en-AU"/>
              </w:rPr>
              <w:t>0.98***</w:t>
            </w:r>
          </w:p>
        </w:tc>
        <w:tc>
          <w:tcPr>
            <w:tcW w:w="1656" w:type="pct"/>
          </w:tcPr>
          <w:p w14:paraId="1A47EC11" w14:textId="1D81F526" w:rsidR="00281175" w:rsidRDefault="00281175" w:rsidP="00281175">
            <w:pPr>
              <w:pStyle w:val="Tablebodytext"/>
              <w:jc w:val="right"/>
              <w:rPr>
                <w:lang w:eastAsia="en-AU"/>
              </w:rPr>
            </w:pPr>
          </w:p>
        </w:tc>
      </w:tr>
      <w:tr w:rsidR="00281175" w14:paraId="07F06D6E" w14:textId="286D5364" w:rsidTr="003A6FBB">
        <w:trPr>
          <w:cnfStyle w:val="000000100000" w:firstRow="0" w:lastRow="0" w:firstColumn="0" w:lastColumn="0" w:oddVBand="0" w:evenVBand="0" w:oddHBand="1" w:evenHBand="0" w:firstRowFirstColumn="0" w:firstRowLastColumn="0" w:lastRowFirstColumn="0" w:lastRowLastColumn="0"/>
          <w:trHeight w:val="329"/>
        </w:trPr>
        <w:tc>
          <w:tcPr>
            <w:tcW w:w="2116" w:type="pct"/>
          </w:tcPr>
          <w:p w14:paraId="041F9770" w14:textId="41219180" w:rsidR="00281175" w:rsidRDefault="00281175" w:rsidP="00281175">
            <w:pPr>
              <w:pStyle w:val="Tablebodytext"/>
              <w:rPr>
                <w:lang w:eastAsia="en-AU"/>
              </w:rPr>
            </w:pPr>
            <w:r>
              <w:rPr>
                <w:lang w:eastAsia="en-AU"/>
              </w:rPr>
              <w:t>n</w:t>
            </w:r>
          </w:p>
        </w:tc>
        <w:tc>
          <w:tcPr>
            <w:tcW w:w="1228" w:type="pct"/>
          </w:tcPr>
          <w:p w14:paraId="4B014E8C" w14:textId="3FD7C11A" w:rsidR="00281175" w:rsidRDefault="00281175" w:rsidP="00281175">
            <w:pPr>
              <w:pStyle w:val="Tablebodytext"/>
              <w:jc w:val="right"/>
              <w:rPr>
                <w:lang w:eastAsia="en-AU"/>
              </w:rPr>
            </w:pPr>
            <w:r>
              <w:rPr>
                <w:lang w:eastAsia="en-AU"/>
              </w:rPr>
              <w:t>1,294,903</w:t>
            </w:r>
          </w:p>
        </w:tc>
        <w:tc>
          <w:tcPr>
            <w:tcW w:w="1656" w:type="pct"/>
          </w:tcPr>
          <w:p w14:paraId="0C2F26CE" w14:textId="3EF50499" w:rsidR="00281175" w:rsidRDefault="00281175" w:rsidP="00281175">
            <w:pPr>
              <w:pStyle w:val="Tablebodytext"/>
              <w:jc w:val="right"/>
              <w:rPr>
                <w:lang w:eastAsia="en-AU"/>
              </w:rPr>
            </w:pPr>
          </w:p>
        </w:tc>
      </w:tr>
    </w:tbl>
    <w:p w14:paraId="54F56888" w14:textId="6018D355" w:rsidR="002C0915" w:rsidRDefault="002C0915" w:rsidP="002C0915">
      <w:pPr>
        <w:pStyle w:val="Note"/>
        <w:rPr>
          <w:lang w:eastAsia="en-AU"/>
        </w:rPr>
      </w:pPr>
      <w:r>
        <w:rPr>
          <w:lang w:eastAsia="en-AU"/>
        </w:rPr>
        <w:t>Notes:</w:t>
      </w:r>
      <w:r w:rsidR="0023491F">
        <w:rPr>
          <w:lang w:eastAsia="en-AU"/>
        </w:rPr>
        <w:t xml:space="preserve"> </w:t>
      </w:r>
      <w:r w:rsidR="00BA417B">
        <w:rPr>
          <w:lang w:eastAsia="en-AU"/>
        </w:rPr>
        <w:t>ͣ Decrease in the rate of failure is (1 – hazard ratio)</w:t>
      </w:r>
      <w:r w:rsidR="00BA417B" w:rsidRPr="00BA417B">
        <w:rPr>
          <w:lang w:eastAsia="en-AU"/>
        </w:rPr>
        <w:t xml:space="preserve"> </w:t>
      </w:r>
      <w:r w:rsidR="00096A3F">
        <w:rPr>
          <w:lang w:eastAsia="en-AU"/>
        </w:rPr>
        <w:t xml:space="preserve">***significant at 1 per cent </w:t>
      </w:r>
    </w:p>
    <w:p w14:paraId="65B81B38" w14:textId="4FEC2F3B" w:rsidR="002C0915" w:rsidRDefault="002C0915" w:rsidP="002C0915">
      <w:pPr>
        <w:pStyle w:val="Source"/>
      </w:pPr>
      <w:r>
        <w:rPr>
          <w:lang w:eastAsia="en-AU"/>
        </w:rPr>
        <w:t xml:space="preserve">Source: </w:t>
      </w:r>
      <w:r w:rsidR="000B36ED">
        <w:t>BLADE (2001</w:t>
      </w:r>
      <w:r w:rsidR="00FF1370">
        <w:t>–</w:t>
      </w:r>
      <w:r w:rsidR="000B36ED">
        <w:t>02 to 2014</w:t>
      </w:r>
      <w:r w:rsidR="00FF1370">
        <w:t>–</w:t>
      </w:r>
      <w:r w:rsidR="000B36ED">
        <w:t>15</w:t>
      </w:r>
      <w:r w:rsidR="000B36ED" w:rsidRPr="008B43DD">
        <w:t>) Author’s calculations</w:t>
      </w:r>
    </w:p>
    <w:p w14:paraId="0B0F0D3D" w14:textId="6235133C" w:rsidR="00091FD2" w:rsidRDefault="00091FD2" w:rsidP="00091FD2">
      <w:pPr>
        <w:pStyle w:val="Caption"/>
      </w:pPr>
      <w:r>
        <w:lastRenderedPageBreak/>
        <w:t>Figure</w:t>
      </w:r>
      <w:r w:rsidRPr="000618FB">
        <w:t xml:space="preserve"> </w:t>
      </w:r>
      <w:r w:rsidR="00697293">
        <w:t>9</w:t>
      </w:r>
      <w:r w:rsidRPr="000618FB">
        <w:t>.</w:t>
      </w:r>
      <w:r w:rsidR="00E046F8">
        <w:t>1</w:t>
      </w:r>
      <w:r w:rsidR="00611E7F">
        <w:t>:</w:t>
      </w:r>
      <w:r>
        <w:t xml:space="preserve"> Kaplan</w:t>
      </w:r>
      <w:r w:rsidR="00D77CAE">
        <w:t>-</w:t>
      </w:r>
      <w:r>
        <w:t xml:space="preserve">Meier survival estimates </w:t>
      </w:r>
    </w:p>
    <w:p w14:paraId="5B7BA17E" w14:textId="52BC8B38" w:rsidR="00091FD2" w:rsidRPr="00CB4BB4" w:rsidRDefault="004B40C3" w:rsidP="00091FD2">
      <w:pPr>
        <w:pStyle w:val="Placeholder"/>
      </w:pPr>
      <w:r>
        <w:rPr>
          <w:noProof/>
          <w:lang w:eastAsia="en-AU"/>
        </w:rPr>
        <w:drawing>
          <wp:inline distT="0" distB="0" distL="0" distR="0" wp14:anchorId="6269C33A" wp14:editId="77320FE8">
            <wp:extent cx="4377690" cy="2889885"/>
            <wp:effectExtent l="0" t="0" r="3810" b="5715"/>
            <wp:docPr id="2" name="Picture 2" descr="Ec participants have higher survival rates than counterfactual firms. " title="Figure 9.1 Kaplan-Meier survival estim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z_f_bytype-0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377690" cy="2889885"/>
                    </a:xfrm>
                    <a:prstGeom prst="rect">
                      <a:avLst/>
                    </a:prstGeom>
                  </pic:spPr>
                </pic:pic>
              </a:graphicData>
            </a:graphic>
          </wp:inline>
        </w:drawing>
      </w:r>
    </w:p>
    <w:p w14:paraId="30EF51CA" w14:textId="5B5AA6AB" w:rsidR="00091FD2" w:rsidRPr="00C62F3A" w:rsidRDefault="00091FD2" w:rsidP="00091FD2">
      <w:pPr>
        <w:pStyle w:val="Note"/>
      </w:pPr>
      <w:r>
        <w:t xml:space="preserve">Notes: </w:t>
      </w:r>
      <w:r w:rsidR="00F64E41">
        <w:t>The survival curves shows the probability of survival at each point in time</w:t>
      </w:r>
    </w:p>
    <w:p w14:paraId="345D3092" w14:textId="27703789" w:rsidR="00D52A49" w:rsidRPr="00A62794" w:rsidRDefault="00091FD2" w:rsidP="00A62794">
      <w:pPr>
        <w:pStyle w:val="Source"/>
      </w:pPr>
      <w:r>
        <w:t xml:space="preserve">Source: </w:t>
      </w:r>
      <w:r w:rsidRPr="008B43DD">
        <w:t xml:space="preserve">BLADE </w:t>
      </w:r>
      <w:r>
        <w:t>(2001</w:t>
      </w:r>
      <w:r w:rsidR="00FF1370">
        <w:t>–</w:t>
      </w:r>
      <w:r>
        <w:t>02 to 2014</w:t>
      </w:r>
      <w:r w:rsidR="00FF1370">
        <w:t>–</w:t>
      </w:r>
      <w:r>
        <w:t>15)</w:t>
      </w:r>
      <w:r w:rsidRPr="008B43DD">
        <w:t xml:space="preserve"> Author’s calculations</w:t>
      </w:r>
    </w:p>
    <w:p w14:paraId="4D3A137D" w14:textId="525B6F6C" w:rsidR="00835EB8" w:rsidRDefault="004D736E" w:rsidP="00B40904">
      <w:pPr>
        <w:pStyle w:val="Heading1"/>
      </w:pPr>
      <w:r>
        <w:t>Discussion</w:t>
      </w:r>
    </w:p>
    <w:p w14:paraId="741C7B2A" w14:textId="11C64E35" w:rsidR="00835EB8" w:rsidRDefault="00835EB8" w:rsidP="00835EB8">
      <w:pPr>
        <w:pStyle w:val="BodyText"/>
        <w:rPr>
          <w:lang w:val="en"/>
        </w:rPr>
      </w:pPr>
      <w:r w:rsidRPr="00835EB8">
        <w:rPr>
          <w:lang w:val="en"/>
        </w:rPr>
        <w:t xml:space="preserve">There is evidence that EC participants outperform </w:t>
      </w:r>
      <w:r w:rsidR="00D77CAE">
        <w:rPr>
          <w:lang w:val="en"/>
        </w:rPr>
        <w:t>non-</w:t>
      </w:r>
      <w:r w:rsidRPr="00835EB8">
        <w:rPr>
          <w:lang w:val="en"/>
        </w:rPr>
        <w:t>participant firms through higher firm performance</w:t>
      </w:r>
      <w:r w:rsidR="00AE21C2">
        <w:rPr>
          <w:lang w:val="en"/>
        </w:rPr>
        <w:t>. The impact is</w:t>
      </w:r>
      <w:r w:rsidRPr="00835EB8">
        <w:rPr>
          <w:lang w:val="en"/>
        </w:rPr>
        <w:t xml:space="preserve"> demonstrated by </w:t>
      </w:r>
      <w:r w:rsidR="008D16FC">
        <w:rPr>
          <w:lang w:val="en"/>
        </w:rPr>
        <w:t>growth</w:t>
      </w:r>
      <w:r w:rsidRPr="00835EB8">
        <w:rPr>
          <w:lang w:val="en"/>
        </w:rPr>
        <w:t xml:space="preserve"> in</w:t>
      </w:r>
      <w:r w:rsidR="00AE21C2">
        <w:rPr>
          <w:lang w:val="en"/>
        </w:rPr>
        <w:t xml:space="preserve"> the pace of</w:t>
      </w:r>
      <w:r w:rsidR="00811B74">
        <w:rPr>
          <w:lang w:val="en"/>
        </w:rPr>
        <w:t xml:space="preserve"> turnover, </w:t>
      </w:r>
      <w:r w:rsidRPr="00835EB8">
        <w:rPr>
          <w:lang w:val="en"/>
        </w:rPr>
        <w:t>employment</w:t>
      </w:r>
      <w:r>
        <w:rPr>
          <w:lang w:val="en"/>
        </w:rPr>
        <w:t xml:space="preserve"> (FTE)</w:t>
      </w:r>
      <w:r w:rsidR="00811B74">
        <w:rPr>
          <w:lang w:val="en"/>
        </w:rPr>
        <w:t xml:space="preserve">, </w:t>
      </w:r>
      <w:r w:rsidR="008E2D2E">
        <w:rPr>
          <w:lang w:val="en"/>
        </w:rPr>
        <w:t>capital expenditure</w:t>
      </w:r>
      <w:r w:rsidR="00AE21C2">
        <w:rPr>
          <w:lang w:val="en"/>
        </w:rPr>
        <w:t xml:space="preserve"> growth</w:t>
      </w:r>
      <w:r w:rsidR="00555585">
        <w:rPr>
          <w:lang w:val="en"/>
        </w:rPr>
        <w:t xml:space="preserve"> and higher survival rates</w:t>
      </w:r>
      <w:r w:rsidRPr="00835EB8">
        <w:rPr>
          <w:lang w:val="en"/>
        </w:rPr>
        <w:t xml:space="preserve">. </w:t>
      </w:r>
      <w:r w:rsidR="00811B74">
        <w:rPr>
          <w:lang w:val="en"/>
        </w:rPr>
        <w:t xml:space="preserve">Small firms are driving these results. </w:t>
      </w:r>
      <w:r w:rsidR="00F50694">
        <w:rPr>
          <w:lang w:val="en"/>
        </w:rPr>
        <w:t>Part of this differential may be attributed to</w:t>
      </w:r>
      <w:r w:rsidR="000B568B">
        <w:rPr>
          <w:lang w:val="en"/>
        </w:rPr>
        <w:t xml:space="preserve"> selection into the EC program</w:t>
      </w:r>
      <w:r w:rsidR="00E50AD0">
        <w:rPr>
          <w:lang w:val="en"/>
        </w:rPr>
        <w:t xml:space="preserve">, however care has been taken to minimise selection bias by including all factors influencing </w:t>
      </w:r>
      <w:r w:rsidR="00E50AD0" w:rsidRPr="00E50AD0">
        <w:rPr>
          <w:lang w:val="en"/>
        </w:rPr>
        <w:t>both a firm’s likelihood to be treated and its outcomes post treatment.</w:t>
      </w:r>
    </w:p>
    <w:p w14:paraId="08035FC2" w14:textId="124C3276" w:rsidR="00A352C2" w:rsidRPr="00811B74" w:rsidRDefault="00A352C2" w:rsidP="00A352C2">
      <w:pPr>
        <w:pStyle w:val="BodyText"/>
        <w:rPr>
          <w:lang w:val="en"/>
        </w:rPr>
      </w:pPr>
      <w:r>
        <w:rPr>
          <w:lang w:val="en"/>
        </w:rPr>
        <w:t xml:space="preserve">In general, </w:t>
      </w:r>
      <w:r w:rsidRPr="00811B74">
        <w:rPr>
          <w:lang w:val="en"/>
        </w:rPr>
        <w:t xml:space="preserve">Manufacturing firms and Other Services firms are contributing more to growth in turnover, employment and </w:t>
      </w:r>
      <w:r w:rsidR="00C017D5">
        <w:rPr>
          <w:lang w:val="en"/>
        </w:rPr>
        <w:t>capital expenditure</w:t>
      </w:r>
      <w:r w:rsidRPr="00811B74">
        <w:rPr>
          <w:lang w:val="en"/>
        </w:rPr>
        <w:t xml:space="preserve">, compared to PST firms.  </w:t>
      </w:r>
    </w:p>
    <w:p w14:paraId="047D485B" w14:textId="60C35047" w:rsidR="00A352C2" w:rsidRDefault="00A352C2" w:rsidP="00A352C2">
      <w:pPr>
        <w:pStyle w:val="BodyText"/>
        <w:rPr>
          <w:lang w:val="en"/>
        </w:rPr>
      </w:pPr>
      <w:r w:rsidRPr="00811B74">
        <w:rPr>
          <w:lang w:val="en"/>
        </w:rPr>
        <w:t>Firms participating in both the EC and the R&amp;</w:t>
      </w:r>
      <w:r w:rsidR="000B568B">
        <w:rPr>
          <w:lang w:val="en"/>
        </w:rPr>
        <w:t>D Tax Incentive (RDTI) program</w:t>
      </w:r>
      <w:r w:rsidRPr="00811B74">
        <w:rPr>
          <w:lang w:val="en"/>
        </w:rPr>
        <w:t>s outperform firms only p</w:t>
      </w:r>
      <w:r w:rsidR="000B568B">
        <w:rPr>
          <w:lang w:val="en"/>
        </w:rPr>
        <w:t>articipating in the EC program</w:t>
      </w:r>
      <w:r w:rsidRPr="00811B74">
        <w:rPr>
          <w:lang w:val="en"/>
        </w:rPr>
        <w:t xml:space="preserve"> in terms of turnover growth</w:t>
      </w:r>
      <w:r>
        <w:rPr>
          <w:lang w:val="en"/>
        </w:rPr>
        <w:t xml:space="preserve">, implying </w:t>
      </w:r>
      <w:r w:rsidRPr="00811B74">
        <w:rPr>
          <w:lang w:val="en"/>
        </w:rPr>
        <w:t>EC firms receive additional benefit by also participating in the RDTI</w:t>
      </w:r>
      <w:r w:rsidR="000B568B">
        <w:rPr>
          <w:lang w:val="en"/>
        </w:rPr>
        <w:t xml:space="preserve"> program</w:t>
      </w:r>
      <w:r w:rsidRPr="00811B74">
        <w:rPr>
          <w:lang w:val="en"/>
        </w:rPr>
        <w:t xml:space="preserve">.  </w:t>
      </w:r>
    </w:p>
    <w:p w14:paraId="554D8B59" w14:textId="760222B2" w:rsidR="00A352C2" w:rsidRDefault="00A352C2" w:rsidP="00A352C2">
      <w:pPr>
        <w:pStyle w:val="BodyText"/>
        <w:rPr>
          <w:lang w:val="en"/>
        </w:rPr>
      </w:pPr>
      <w:r>
        <w:rPr>
          <w:lang w:val="en"/>
        </w:rPr>
        <w:t xml:space="preserve">EC participants have a much higher chance of survival than non-participants. </w:t>
      </w:r>
    </w:p>
    <w:p w14:paraId="3586B582" w14:textId="4B6F69CE" w:rsidR="00D849E7" w:rsidRDefault="00D849E7" w:rsidP="00A352C2">
      <w:pPr>
        <w:pStyle w:val="BodyText"/>
        <w:rPr>
          <w:lang w:val="en"/>
        </w:rPr>
      </w:pPr>
      <w:r>
        <w:rPr>
          <w:lang w:val="en"/>
        </w:rPr>
        <w:t xml:space="preserve">In the future it would bring further insights if analysis is undertaken on the EC participants that </w:t>
      </w:r>
      <w:r w:rsidR="00133974">
        <w:rPr>
          <w:lang w:val="en"/>
        </w:rPr>
        <w:t>only received a Business R</w:t>
      </w:r>
      <w:r w:rsidR="00AB53B3">
        <w:rPr>
          <w:lang w:val="en"/>
        </w:rPr>
        <w:t xml:space="preserve">eview. The performance of this group of firms could be compared against the group of firms already addressed in this paper. </w:t>
      </w:r>
      <w:r>
        <w:rPr>
          <w:lang w:val="en"/>
        </w:rPr>
        <w:t xml:space="preserve"> </w:t>
      </w:r>
    </w:p>
    <w:p w14:paraId="58584020" w14:textId="77777777" w:rsidR="00A352C2" w:rsidRDefault="00A352C2" w:rsidP="004E3BCC">
      <w:pPr>
        <w:pStyle w:val="BodyText"/>
      </w:pPr>
    </w:p>
    <w:p w14:paraId="33608866" w14:textId="29833B54" w:rsidR="00727EAE" w:rsidRDefault="00727EAE">
      <w:pPr>
        <w:spacing w:after="200" w:line="276" w:lineRule="auto"/>
        <w:ind w:left="0"/>
        <w:jc w:val="left"/>
        <w:rPr>
          <w:rFonts w:asciiTheme="minorHAnsi" w:hAnsiTheme="minorHAnsi"/>
        </w:rPr>
      </w:pPr>
      <w:r>
        <w:br w:type="page"/>
      </w:r>
    </w:p>
    <w:p w14:paraId="17E28415" w14:textId="3792E363" w:rsidR="00105582" w:rsidRPr="00105582" w:rsidRDefault="00C44265" w:rsidP="00105582">
      <w:pPr>
        <w:pStyle w:val="Heading1"/>
      </w:pPr>
      <w:r>
        <w:lastRenderedPageBreak/>
        <w:t xml:space="preserve">References </w:t>
      </w:r>
    </w:p>
    <w:p w14:paraId="1FFDBD9B" w14:textId="00990C5E" w:rsidR="00B931B2" w:rsidRDefault="00B931B2" w:rsidP="00481259">
      <w:pPr>
        <w:ind w:left="0"/>
      </w:pPr>
      <w:r>
        <w:t xml:space="preserve">Bakhtiari, S (2017) </w:t>
      </w:r>
      <w:r w:rsidRPr="00E8467D">
        <w:rPr>
          <w:i/>
        </w:rPr>
        <w:t>Business Dynamics of Clean Energy Policy</w:t>
      </w:r>
      <w:r>
        <w:t>, Canberra, Department of Industry, Innovation and Science</w:t>
      </w:r>
    </w:p>
    <w:p w14:paraId="5789DBF3" w14:textId="62E8CC58" w:rsidR="00AB5984" w:rsidRDefault="00AB5984" w:rsidP="00481259">
      <w:pPr>
        <w:ind w:left="0"/>
      </w:pPr>
      <w:r>
        <w:t xml:space="preserve">Department for Business, Energy &amp; Industrial Strategy (2017) </w:t>
      </w:r>
      <w:r w:rsidRPr="00A63426">
        <w:rPr>
          <w:i/>
        </w:rPr>
        <w:t>The Impact of Public Support for Innovation on Firm Outcomes</w:t>
      </w:r>
      <w:r>
        <w:t>, BEIS Research Paper Number 3</w:t>
      </w:r>
    </w:p>
    <w:p w14:paraId="180CC505" w14:textId="625B4DA2" w:rsidR="00481259" w:rsidRDefault="007C2619" w:rsidP="00481259">
      <w:pPr>
        <w:ind w:left="0"/>
      </w:pPr>
      <w:r>
        <w:t>Hansell, D &amp; Rafi, B</w:t>
      </w:r>
      <w:r w:rsidR="00481259" w:rsidRPr="006C6E75">
        <w:t xml:space="preserve"> (2018) Firm</w:t>
      </w:r>
      <w:r w:rsidR="00FF1370">
        <w:t>-</w:t>
      </w:r>
      <w:r w:rsidR="00481259" w:rsidRPr="006C6E75">
        <w:t>level Analysis using the ABS’ Business Longitudinal Analysis Data Environment (BLADE), Australian Economic Review, 51(1), pp.132</w:t>
      </w:r>
      <w:r w:rsidR="00FF1370">
        <w:t>–</w:t>
      </w:r>
      <w:r w:rsidR="00481259" w:rsidRPr="006C6E75">
        <w:t>138</w:t>
      </w:r>
    </w:p>
    <w:p w14:paraId="0A7C331D" w14:textId="29802E9B" w:rsidR="00B931B2" w:rsidRDefault="00B931B2" w:rsidP="00481259">
      <w:pPr>
        <w:ind w:left="0"/>
      </w:pPr>
      <w:r>
        <w:t xml:space="preserve">Horne, M (2018) </w:t>
      </w:r>
      <w:r w:rsidRPr="00FD1E79">
        <w:rPr>
          <w:i/>
        </w:rPr>
        <w:t>Firms that receive multiple instances of assistance from DIIS programs</w:t>
      </w:r>
      <w:r>
        <w:t>, a forthcoming OCE staff paper</w:t>
      </w:r>
    </w:p>
    <w:p w14:paraId="04A42C98" w14:textId="63A3127B" w:rsidR="00481259" w:rsidRDefault="00481259" w:rsidP="00481259">
      <w:pPr>
        <w:ind w:left="0"/>
      </w:pPr>
      <w:r>
        <w:t xml:space="preserve">Office of the Chief Economist (2014) </w:t>
      </w:r>
      <w:r w:rsidRPr="00DD4AEC">
        <w:rPr>
          <w:i/>
        </w:rPr>
        <w:t>Australia Industry Report 2014</w:t>
      </w:r>
      <w:r>
        <w:t>, Canberra, Department of Industry, Innovation and Science, p.173</w:t>
      </w:r>
      <w:r w:rsidR="00FF1370">
        <w:t>–</w:t>
      </w:r>
      <w:r>
        <w:t>180</w:t>
      </w:r>
    </w:p>
    <w:p w14:paraId="2F6EED1E" w14:textId="088AB34A" w:rsidR="00E7026F" w:rsidRDefault="00E7026F" w:rsidP="00481259">
      <w:pPr>
        <w:ind w:left="0"/>
      </w:pPr>
      <w:r>
        <w:t xml:space="preserve">Office of the Chief Economist (2018) </w:t>
      </w:r>
      <w:r w:rsidRPr="00285FEB">
        <w:rPr>
          <w:i/>
        </w:rPr>
        <w:t>Program Insights Report</w:t>
      </w:r>
      <w:r>
        <w:rPr>
          <w:i/>
        </w:rPr>
        <w:t xml:space="preserve"> 2018</w:t>
      </w:r>
      <w:r>
        <w:t>, Canberra, Department of Industry, Innovation and Science, Chapter 3</w:t>
      </w:r>
    </w:p>
    <w:p w14:paraId="1C5EC579" w14:textId="4B485907" w:rsidR="00481259" w:rsidRDefault="00481259" w:rsidP="00481259">
      <w:pPr>
        <w:ind w:left="0"/>
      </w:pPr>
      <w:r>
        <w:t xml:space="preserve">Rafi, B (2017) </w:t>
      </w:r>
      <w:r w:rsidRPr="00A57092">
        <w:rPr>
          <w:i/>
        </w:rPr>
        <w:t>Participation in South Australian Innovation and Investment F</w:t>
      </w:r>
      <w:r>
        <w:rPr>
          <w:i/>
        </w:rPr>
        <w:t xml:space="preserve">unds: Impact on firm performance, </w:t>
      </w:r>
      <w:r>
        <w:t>Canberra, Department of Industry, Innovation and Science</w:t>
      </w:r>
    </w:p>
    <w:p w14:paraId="74D81A2E" w14:textId="28E88030" w:rsidR="00481259" w:rsidRDefault="00481259" w:rsidP="00481259">
      <w:pPr>
        <w:ind w:left="0"/>
      </w:pPr>
      <w:r>
        <w:t xml:space="preserve">Rosenbaum, PR &amp; Rubin RB (1985) The Central Role of the Propensity Score in Observational Studies for Causal Effects </w:t>
      </w:r>
      <w:r w:rsidRPr="007C566C">
        <w:rPr>
          <w:i/>
        </w:rPr>
        <w:t>Biometrika</w:t>
      </w:r>
      <w:r>
        <w:t>, 70(1), pp. 41</w:t>
      </w:r>
      <w:r w:rsidR="00FF1370">
        <w:t>–</w:t>
      </w:r>
      <w:r>
        <w:t>55</w:t>
      </w:r>
    </w:p>
    <w:p w14:paraId="7972FF32" w14:textId="77777777" w:rsidR="0013672E" w:rsidRPr="0072617A" w:rsidRDefault="0013672E" w:rsidP="00835EB8">
      <w:pPr>
        <w:pStyle w:val="BodyText"/>
      </w:pPr>
    </w:p>
    <w:p w14:paraId="14D1042A" w14:textId="52EBEF01" w:rsidR="00C73B2C" w:rsidRPr="00021E92" w:rsidRDefault="00143489" w:rsidP="00FF6284">
      <w:pPr>
        <w:pStyle w:val="Heading6"/>
        <w:rPr>
          <w:b w:val="0"/>
        </w:rPr>
      </w:pPr>
      <w:r w:rsidRPr="00021E92">
        <w:rPr>
          <w:b w:val="0"/>
        </w:rPr>
        <w:lastRenderedPageBreak/>
        <w:t xml:space="preserve">– Imputing employment figures </w:t>
      </w:r>
    </w:p>
    <w:p w14:paraId="4AAB1CA6" w14:textId="0170038E" w:rsidR="00FF6284" w:rsidRDefault="003A4982" w:rsidP="00C14FEC">
      <w:pPr>
        <w:pStyle w:val="BodyText"/>
        <w:spacing w:before="240"/>
        <w:rPr>
          <w:rFonts w:asciiTheme="majorHAnsi" w:eastAsiaTheme="majorEastAsia" w:hAnsiTheme="majorHAnsi" w:cstheme="majorBidi"/>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FTE</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α</m:t>
                      </m:r>
                    </m:e>
                    <m:sub>
                      <m:r>
                        <w:rPr>
                          <w:rFonts w:ascii="Cambria Math" w:hAnsi="Cambria Math"/>
                        </w:rPr>
                        <m:t>o</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m:rPr>
                      <m:sty m:val="p"/>
                    </m:rPr>
                    <w:rPr>
                      <w:rFonts w:ascii="Cambria Math" w:hAnsi="Cambria Math"/>
                    </w:rPr>
                    <m:t>log</m:t>
                  </m:r>
                </m:fName>
                <m:e>
                  <m:d>
                    <m:dPr>
                      <m:ctrlPr>
                        <w:rPr>
                          <w:rFonts w:ascii="Cambria Math" w:hAnsi="Cambria Math"/>
                          <w:i/>
                        </w:rPr>
                      </m:ctrlPr>
                    </m:dPr>
                    <m:e>
                      <m:r>
                        <w:rPr>
                          <w:rFonts w:ascii="Cambria Math" w:hAnsi="Cambria Math"/>
                        </w:rPr>
                        <m:t>wages</m:t>
                      </m:r>
                    </m:e>
                  </m:d>
                </m:e>
              </m:func>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δ</m:t>
                      </m:r>
                    </m:e>
                    <m:sub>
                      <m:r>
                        <w:rPr>
                          <w:rFonts w:ascii="Cambria Math" w:hAnsi="Cambria Math"/>
                        </w:rPr>
                        <m:t>t</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γ</m:t>
                      </m:r>
                    </m:e>
                    <m:sub>
                      <m:r>
                        <w:rPr>
                          <w:rFonts w:ascii="Cambria Math" w:hAnsi="Cambria Math"/>
                        </w:rPr>
                        <m:t>j</m:t>
                      </m:r>
                    </m:sub>
                  </m:sSub>
                </m:e>
              </m:nary>
            </m:e>
          </m:func>
          <m:r>
            <w:rPr>
              <w:rFonts w:ascii="Cambria Math" w:hAnsi="Cambria Math"/>
            </w:rPr>
            <m:t>+ ε</m:t>
          </m:r>
        </m:oMath>
      </m:oMathPara>
    </w:p>
    <w:p w14:paraId="41ED8541" w14:textId="7344B381" w:rsidR="00B37388" w:rsidRPr="008769CE" w:rsidRDefault="008769CE" w:rsidP="00FF6284">
      <w:pPr>
        <w:pStyle w:val="BodyText"/>
        <w:rPr>
          <w:rFonts w:asciiTheme="majorHAnsi" w:eastAsiaTheme="majorEastAsia" w:hAnsiTheme="majorHAnsi" w:cstheme="majorBidi"/>
        </w:rPr>
      </w:pPr>
      <w:r>
        <w:rPr>
          <w:rFonts w:asciiTheme="majorHAnsi" w:eastAsiaTheme="majorEastAsia" w:hAnsiTheme="majorHAnsi" w:cstheme="majorBidi"/>
        </w:rPr>
        <w:t xml:space="preserve">Where </w:t>
      </w:r>
      <m:oMath>
        <m:sSub>
          <m:sSubPr>
            <m:ctrlPr>
              <w:rPr>
                <w:rFonts w:ascii="Cambria Math" w:hAnsi="Cambria Math"/>
                <w:i/>
              </w:rPr>
            </m:ctrlPr>
          </m:sSubPr>
          <m:e>
            <m:r>
              <w:rPr>
                <w:rFonts w:ascii="Cambria Math" w:hAnsi="Cambria Math"/>
              </w:rPr>
              <m:t>δ</m:t>
            </m:r>
          </m:e>
          <m:sub>
            <m:r>
              <w:rPr>
                <w:rFonts w:ascii="Cambria Math" w:hAnsi="Cambria Math"/>
              </w:rPr>
              <m:t>t</m:t>
            </m:r>
          </m:sub>
        </m:sSub>
        <m:r>
          <w:rPr>
            <w:rFonts w:ascii="Cambria Math" w:eastAsiaTheme="majorEastAsia" w:hAnsi="Cambria Math" w:cstheme="majorBidi"/>
          </w:rPr>
          <m:t xml:space="preserve">  </m:t>
        </m:r>
      </m:oMath>
      <w:r>
        <w:rPr>
          <w:rFonts w:asciiTheme="majorHAnsi" w:eastAsiaTheme="majorEastAsia" w:hAnsiTheme="majorHAnsi" w:cstheme="majorBidi"/>
        </w:rPr>
        <w:t xml:space="preserve">denotes a year dummy variable for each financial year </w:t>
      </w:r>
      <m:oMath>
        <m:r>
          <w:rPr>
            <w:rFonts w:ascii="Cambria Math" w:hAnsi="Cambria Math"/>
          </w:rPr>
          <m:t>t</m:t>
        </m:r>
      </m:oMath>
      <w:r>
        <w:rPr>
          <w:rFonts w:asciiTheme="majorHAnsi" w:eastAsiaTheme="majorEastAsia" w:hAnsiTheme="majorHAnsi" w:cstheme="majorBidi"/>
        </w:rPr>
        <w:t xml:space="preserve"> </w:t>
      </w:r>
    </w:p>
    <w:p w14:paraId="593EC3A3" w14:textId="7C102CB1" w:rsidR="008769CE" w:rsidRDefault="008769CE" w:rsidP="008769CE">
      <w:pPr>
        <w:pStyle w:val="BodyText"/>
        <w:rPr>
          <w:rFonts w:asciiTheme="majorHAnsi" w:eastAsiaTheme="majorEastAsia" w:hAnsiTheme="majorHAnsi" w:cstheme="majorBidi"/>
        </w:rPr>
      </w:pPr>
      <w:r>
        <w:rPr>
          <w:rFonts w:asciiTheme="majorHAnsi" w:eastAsiaTheme="majorEastAsia" w:hAnsiTheme="majorHAnsi" w:cstheme="majorBidi"/>
        </w:rPr>
        <w:t xml:space="preserve">Where </w:t>
      </w:r>
      <m:oMath>
        <m:sSub>
          <m:sSubPr>
            <m:ctrlPr>
              <w:rPr>
                <w:rFonts w:ascii="Cambria Math" w:hAnsi="Cambria Math"/>
                <w:i/>
              </w:rPr>
            </m:ctrlPr>
          </m:sSubPr>
          <m:e>
            <m:r>
              <w:rPr>
                <w:rFonts w:ascii="Cambria Math" w:hAnsi="Cambria Math"/>
              </w:rPr>
              <m:t>γ</m:t>
            </m:r>
          </m:e>
          <m:sub>
            <m:r>
              <w:rPr>
                <w:rFonts w:ascii="Cambria Math" w:hAnsi="Cambria Math"/>
              </w:rPr>
              <m:t>j</m:t>
            </m:r>
          </m:sub>
        </m:sSub>
        <m:r>
          <w:rPr>
            <w:rFonts w:ascii="Cambria Math" w:eastAsiaTheme="majorEastAsia" w:hAnsi="Cambria Math" w:cstheme="majorBidi"/>
          </w:rPr>
          <m:t xml:space="preserve">  </m:t>
        </m:r>
      </m:oMath>
      <w:r>
        <w:rPr>
          <w:rFonts w:asciiTheme="majorHAnsi" w:eastAsiaTheme="majorEastAsia" w:hAnsiTheme="majorHAnsi" w:cstheme="majorBidi"/>
        </w:rPr>
        <w:t xml:space="preserve">denotes an industry dummy variable for each </w:t>
      </w:r>
      <w:r w:rsidR="00E02910">
        <w:rPr>
          <w:rFonts w:asciiTheme="majorHAnsi" w:eastAsiaTheme="majorEastAsia" w:hAnsiTheme="majorHAnsi" w:cstheme="majorBidi"/>
        </w:rPr>
        <w:t>industry</w:t>
      </w:r>
      <w:r>
        <w:rPr>
          <w:rFonts w:asciiTheme="majorHAnsi" w:eastAsiaTheme="majorEastAsia" w:hAnsiTheme="majorHAnsi" w:cstheme="majorBidi"/>
        </w:rPr>
        <w:t xml:space="preserve"> </w:t>
      </w:r>
      <m:oMath>
        <m:r>
          <w:rPr>
            <w:rFonts w:ascii="Cambria Math" w:eastAsiaTheme="majorEastAsia" w:hAnsi="Cambria Math" w:cstheme="majorBidi"/>
          </w:rPr>
          <m:t>j</m:t>
        </m:r>
      </m:oMath>
    </w:p>
    <w:p w14:paraId="3F6E0DB2" w14:textId="5664ED0F" w:rsidR="00A13A6D" w:rsidRDefault="00A13A6D" w:rsidP="008769CE">
      <w:pPr>
        <w:pStyle w:val="BodyText"/>
        <w:rPr>
          <w:rFonts w:asciiTheme="majorHAnsi" w:eastAsiaTheme="majorEastAsia" w:hAnsiTheme="majorHAnsi" w:cstheme="majorBidi"/>
        </w:rPr>
      </w:pPr>
      <w:r>
        <w:rPr>
          <w:rFonts w:asciiTheme="majorHAnsi" w:eastAsiaTheme="majorEastAsia" w:hAnsiTheme="majorHAnsi" w:cstheme="majorBidi"/>
        </w:rPr>
        <w:t>This regression displays a high R</w:t>
      </w:r>
      <w:r>
        <w:rPr>
          <w:rFonts w:asciiTheme="majorHAnsi" w:eastAsiaTheme="majorEastAsia" w:hAnsiTheme="majorHAnsi" w:cstheme="majorHAnsi"/>
        </w:rPr>
        <w:t>²</w:t>
      </w:r>
      <w:r>
        <w:rPr>
          <w:rFonts w:asciiTheme="majorHAnsi" w:eastAsiaTheme="majorEastAsia" w:hAnsiTheme="majorHAnsi" w:cstheme="majorBidi"/>
        </w:rPr>
        <w:t xml:space="preserve"> value</w:t>
      </w:r>
      <w:r w:rsidR="00BE12A5">
        <w:rPr>
          <w:rFonts w:asciiTheme="majorHAnsi" w:eastAsiaTheme="majorEastAsia" w:hAnsiTheme="majorHAnsi" w:cstheme="majorBidi"/>
        </w:rPr>
        <w:t xml:space="preserve"> </w:t>
      </w:r>
      <w:r w:rsidR="00311589">
        <w:rPr>
          <w:rFonts w:asciiTheme="majorHAnsi" w:eastAsiaTheme="majorEastAsia" w:hAnsiTheme="majorHAnsi" w:cstheme="majorBidi"/>
        </w:rPr>
        <w:t>of 0.95</w:t>
      </w:r>
      <w:r>
        <w:rPr>
          <w:rFonts w:asciiTheme="majorHAnsi" w:eastAsiaTheme="majorEastAsia" w:hAnsiTheme="majorHAnsi" w:cstheme="majorBidi"/>
        </w:rPr>
        <w:t>, which</w:t>
      </w:r>
      <w:r w:rsidR="004F7106">
        <w:rPr>
          <w:rFonts w:asciiTheme="majorHAnsi" w:eastAsiaTheme="majorEastAsia" w:hAnsiTheme="majorHAnsi" w:cstheme="majorBidi"/>
        </w:rPr>
        <w:t xml:space="preserve"> means that the imputation noise is negligible. U</w:t>
      </w:r>
      <w:r w:rsidR="005759E5">
        <w:rPr>
          <w:rFonts w:asciiTheme="majorHAnsi" w:eastAsiaTheme="majorEastAsia" w:hAnsiTheme="majorHAnsi" w:cstheme="majorBidi"/>
        </w:rPr>
        <w:t>s</w:t>
      </w:r>
      <w:r w:rsidR="007D6B0C">
        <w:rPr>
          <w:rFonts w:asciiTheme="majorHAnsi" w:eastAsiaTheme="majorEastAsia" w:hAnsiTheme="majorHAnsi" w:cstheme="majorBidi"/>
        </w:rPr>
        <w:t>ing this model and</w:t>
      </w:r>
      <w:r w:rsidR="005759E5">
        <w:rPr>
          <w:rFonts w:asciiTheme="majorHAnsi" w:eastAsiaTheme="majorEastAsia" w:hAnsiTheme="majorHAnsi" w:cstheme="majorBidi"/>
        </w:rPr>
        <w:t xml:space="preserve"> the </w:t>
      </w:r>
      <w:r w:rsidR="004F7106">
        <w:rPr>
          <w:rFonts w:asciiTheme="majorHAnsi" w:eastAsiaTheme="majorEastAsia" w:hAnsiTheme="majorHAnsi" w:cstheme="majorBidi"/>
        </w:rPr>
        <w:t xml:space="preserve">reported </w:t>
      </w:r>
      <w:r w:rsidR="005759E5">
        <w:rPr>
          <w:rFonts w:asciiTheme="majorHAnsi" w:eastAsiaTheme="majorEastAsia" w:hAnsiTheme="majorHAnsi" w:cstheme="majorBidi"/>
        </w:rPr>
        <w:t>wages and salaries variable</w:t>
      </w:r>
      <w:r w:rsidR="004F7106">
        <w:rPr>
          <w:rFonts w:asciiTheme="majorHAnsi" w:eastAsiaTheme="majorEastAsia" w:hAnsiTheme="majorHAnsi" w:cstheme="majorBidi"/>
        </w:rPr>
        <w:t>,</w:t>
      </w:r>
      <w:r w:rsidR="005759E5">
        <w:rPr>
          <w:rFonts w:asciiTheme="majorHAnsi" w:eastAsiaTheme="majorEastAsia" w:hAnsiTheme="majorHAnsi" w:cstheme="majorBidi"/>
        </w:rPr>
        <w:t xml:space="preserve"> FTE values</w:t>
      </w:r>
      <w:r w:rsidR="002A74E8">
        <w:rPr>
          <w:rFonts w:asciiTheme="majorHAnsi" w:eastAsiaTheme="majorEastAsia" w:hAnsiTheme="majorHAnsi" w:cstheme="majorBidi"/>
        </w:rPr>
        <w:t xml:space="preserve"> are computed</w:t>
      </w:r>
      <w:r w:rsidR="005759E5">
        <w:rPr>
          <w:rFonts w:asciiTheme="majorHAnsi" w:eastAsiaTheme="majorEastAsia" w:hAnsiTheme="majorHAnsi" w:cstheme="majorBidi"/>
        </w:rPr>
        <w:t xml:space="preserve"> where wages and salaries information is available but FTE values are missing. </w:t>
      </w:r>
    </w:p>
    <w:p w14:paraId="31AC03CA" w14:textId="129D5B86" w:rsidR="00825D5F" w:rsidRDefault="00825D5F">
      <w:pPr>
        <w:spacing w:after="200" w:line="276" w:lineRule="auto"/>
        <w:ind w:left="0"/>
        <w:jc w:val="left"/>
        <w:rPr>
          <w:rFonts w:asciiTheme="majorHAnsi" w:eastAsiaTheme="majorEastAsia" w:hAnsiTheme="majorHAnsi" w:cstheme="majorBidi"/>
        </w:rPr>
      </w:pPr>
      <w:r>
        <w:rPr>
          <w:rFonts w:asciiTheme="majorHAnsi" w:eastAsiaTheme="majorEastAsia" w:hAnsiTheme="majorHAnsi" w:cstheme="majorBidi"/>
        </w:rPr>
        <w:br w:type="page"/>
      </w:r>
    </w:p>
    <w:p w14:paraId="74E6562F" w14:textId="42B7EBD5" w:rsidR="008769CE" w:rsidRPr="00021E92" w:rsidRDefault="00CD6180" w:rsidP="00CD6180">
      <w:pPr>
        <w:pStyle w:val="Heading6"/>
        <w:rPr>
          <w:b w:val="0"/>
        </w:rPr>
      </w:pPr>
      <w:r w:rsidRPr="00021E92">
        <w:rPr>
          <w:b w:val="0"/>
        </w:rPr>
        <w:lastRenderedPageBreak/>
        <w:t xml:space="preserve">– Logit results </w:t>
      </w:r>
      <w:r w:rsidR="00BB12CB" w:rsidRPr="00021E92">
        <w:rPr>
          <w:b w:val="0"/>
        </w:rPr>
        <w:t xml:space="preserve">                                           </w:t>
      </w:r>
    </w:p>
    <w:p w14:paraId="4FA7E9DB" w14:textId="730BFBD8" w:rsidR="00BB12CB" w:rsidRPr="00FA2319" w:rsidRDefault="00BB12CB" w:rsidP="00BB12CB">
      <w:pPr>
        <w:pStyle w:val="Caption"/>
      </w:pPr>
      <w:r w:rsidRPr="00FA2319">
        <w:t>Figure B.1: Logit results for EC Manufacturing EC firms (pooled, all years)</w:t>
      </w:r>
    </w:p>
    <w:tbl>
      <w:tblPr>
        <w:tblStyle w:val="OCETable"/>
        <w:tblpPr w:leftFromText="180" w:rightFromText="180" w:vertAnchor="text" w:horzAnchor="margin" w:tblpY="408"/>
        <w:tblW w:w="4869" w:type="pct"/>
        <w:tblLayout w:type="fixed"/>
        <w:tblLook w:val="04A0" w:firstRow="1" w:lastRow="0" w:firstColumn="1" w:lastColumn="0" w:noHBand="0" w:noVBand="1"/>
        <w:tblCaption w:val="Table B.1: Logit results for EC Manufacturing grant firms (pooled, all years)"/>
        <w:tblDescription w:val="This table presents the coeffcients from the logit model. Most coefficiencts are statistically significant at the 5% level of significance."/>
      </w:tblPr>
      <w:tblGrid>
        <w:gridCol w:w="4005"/>
        <w:gridCol w:w="2708"/>
      </w:tblGrid>
      <w:tr w:rsidR="00BB12CB" w:rsidRPr="00FA2319" w14:paraId="407E3DAD" w14:textId="77777777" w:rsidTr="00BB12CB">
        <w:trPr>
          <w:cnfStyle w:val="100000000000" w:firstRow="1" w:lastRow="0" w:firstColumn="0" w:lastColumn="0" w:oddVBand="0" w:evenVBand="0" w:oddHBand="0" w:evenHBand="0" w:firstRowFirstColumn="0" w:firstRowLastColumn="0" w:lastRowFirstColumn="0" w:lastRowLastColumn="0"/>
          <w:trHeight w:val="212"/>
          <w:tblHeader/>
        </w:trPr>
        <w:tc>
          <w:tcPr>
            <w:tcW w:w="4005" w:type="dxa"/>
          </w:tcPr>
          <w:p w14:paraId="1C120E05" w14:textId="77777777" w:rsidR="00BB12CB" w:rsidRPr="00FA2319" w:rsidRDefault="00BB12CB" w:rsidP="00BB12CB">
            <w:pPr>
              <w:pStyle w:val="Tabletext"/>
              <w:rPr>
                <w:b/>
                <w:color w:val="FFFFFF" w:themeColor="background1"/>
                <w:lang w:eastAsia="en-AU"/>
              </w:rPr>
            </w:pPr>
            <w:r w:rsidRPr="00FA2319">
              <w:rPr>
                <w:b/>
                <w:color w:val="FFFFFF" w:themeColor="background1"/>
                <w:lang w:eastAsia="en-AU"/>
              </w:rPr>
              <w:t>Variable</w:t>
            </w:r>
          </w:p>
        </w:tc>
        <w:tc>
          <w:tcPr>
            <w:tcW w:w="2708" w:type="dxa"/>
          </w:tcPr>
          <w:p w14:paraId="7BB0962D" w14:textId="77777777" w:rsidR="00BB12CB" w:rsidRPr="00FA2319" w:rsidRDefault="00BB12CB" w:rsidP="00BB12CB">
            <w:pPr>
              <w:pStyle w:val="Tabletext"/>
              <w:rPr>
                <w:b/>
                <w:color w:val="FFFFFF" w:themeColor="background1"/>
                <w:lang w:eastAsia="en-AU"/>
              </w:rPr>
            </w:pPr>
            <w:r w:rsidRPr="00FA2319">
              <w:rPr>
                <w:b/>
                <w:color w:val="FFFFFF" w:themeColor="background1"/>
                <w:lang w:eastAsia="en-AU"/>
              </w:rPr>
              <w:t>Coefficient</w:t>
            </w:r>
          </w:p>
        </w:tc>
      </w:tr>
      <w:tr w:rsidR="00BB12CB" w:rsidRPr="00FA2319" w14:paraId="4A2F192D"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4610DD1B" w14:textId="77777777" w:rsidR="00BB12CB" w:rsidRPr="00FA2319" w:rsidRDefault="00BB12CB" w:rsidP="00BB12CB">
            <w:pPr>
              <w:pStyle w:val="Tabletext"/>
              <w:rPr>
                <w:lang w:eastAsia="en-AU"/>
              </w:rPr>
            </w:pPr>
            <w:r w:rsidRPr="00FA2319">
              <w:rPr>
                <w:lang w:eastAsia="en-AU"/>
              </w:rPr>
              <w:t xml:space="preserve">Turnover growth (t–1 to t) </w:t>
            </w:r>
          </w:p>
        </w:tc>
        <w:tc>
          <w:tcPr>
            <w:tcW w:w="2708" w:type="dxa"/>
          </w:tcPr>
          <w:p w14:paraId="0FFF24AF" w14:textId="77777777" w:rsidR="00BB12CB" w:rsidRPr="00FA2319" w:rsidRDefault="00BB12CB" w:rsidP="00BB12CB">
            <w:pPr>
              <w:pStyle w:val="Tabletext"/>
              <w:rPr>
                <w:lang w:eastAsia="en-AU"/>
              </w:rPr>
            </w:pPr>
            <w:r w:rsidRPr="00FA2319">
              <w:rPr>
                <w:lang w:eastAsia="en-AU"/>
              </w:rPr>
              <w:t>0.12***</w:t>
            </w:r>
          </w:p>
        </w:tc>
      </w:tr>
      <w:tr w:rsidR="00BB12CB" w:rsidRPr="00FA2319" w14:paraId="219E4A26" w14:textId="77777777" w:rsidTr="00BB12CB">
        <w:trPr>
          <w:cnfStyle w:val="000000010000" w:firstRow="0" w:lastRow="0" w:firstColumn="0" w:lastColumn="0" w:oddVBand="0" w:evenVBand="0" w:oddHBand="0" w:evenHBand="1" w:firstRowFirstColumn="0" w:firstRowLastColumn="0" w:lastRowFirstColumn="0" w:lastRowLastColumn="0"/>
          <w:trHeight w:val="263"/>
        </w:trPr>
        <w:tc>
          <w:tcPr>
            <w:tcW w:w="4005" w:type="dxa"/>
          </w:tcPr>
          <w:p w14:paraId="0BE5B7C1" w14:textId="77777777" w:rsidR="00BB12CB" w:rsidRPr="00FA2319" w:rsidRDefault="00BB12CB" w:rsidP="00BB12CB">
            <w:pPr>
              <w:pStyle w:val="Tabletext"/>
              <w:rPr>
                <w:lang w:eastAsia="en-AU"/>
              </w:rPr>
            </w:pPr>
            <w:r w:rsidRPr="00FA2319">
              <w:rPr>
                <w:lang w:eastAsia="en-AU"/>
              </w:rPr>
              <w:t xml:space="preserve">Employment growth (t–1 to t) </w:t>
            </w:r>
          </w:p>
        </w:tc>
        <w:tc>
          <w:tcPr>
            <w:tcW w:w="2708" w:type="dxa"/>
          </w:tcPr>
          <w:p w14:paraId="06C729E1" w14:textId="77777777" w:rsidR="00BB12CB" w:rsidRPr="00FA2319" w:rsidRDefault="00BB12CB" w:rsidP="00BB12CB">
            <w:pPr>
              <w:pStyle w:val="Tabletext"/>
              <w:rPr>
                <w:lang w:eastAsia="en-AU"/>
              </w:rPr>
            </w:pPr>
            <w:r w:rsidRPr="00FA2319">
              <w:rPr>
                <w:lang w:eastAsia="en-AU"/>
              </w:rPr>
              <w:t>0.10**</w:t>
            </w:r>
          </w:p>
        </w:tc>
      </w:tr>
      <w:tr w:rsidR="00BB12CB" w:rsidRPr="00FA2319" w14:paraId="531F6440"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508F4A21" w14:textId="77777777" w:rsidR="00BB12CB" w:rsidRPr="00FA2319" w:rsidRDefault="00BB12CB" w:rsidP="00BB12CB">
            <w:pPr>
              <w:pStyle w:val="Tabletext"/>
              <w:rPr>
                <w:lang w:eastAsia="en-AU"/>
              </w:rPr>
            </w:pPr>
            <w:r w:rsidRPr="00FA2319">
              <w:rPr>
                <w:lang w:eastAsia="en-AU"/>
              </w:rPr>
              <w:t>Employment (FTE in time t)</w:t>
            </w:r>
          </w:p>
        </w:tc>
        <w:tc>
          <w:tcPr>
            <w:tcW w:w="2708" w:type="dxa"/>
          </w:tcPr>
          <w:p w14:paraId="241BA1EA" w14:textId="77777777" w:rsidR="00BB12CB" w:rsidRPr="00FA2319" w:rsidRDefault="00BB12CB" w:rsidP="00BB12CB">
            <w:pPr>
              <w:pStyle w:val="Tabletext"/>
              <w:rPr>
                <w:lang w:eastAsia="en-AU"/>
              </w:rPr>
            </w:pPr>
            <w:r w:rsidRPr="00FA2319">
              <w:rPr>
                <w:lang w:eastAsia="en-AU"/>
              </w:rPr>
              <w:t>0.10***</w:t>
            </w:r>
          </w:p>
        </w:tc>
      </w:tr>
      <w:tr w:rsidR="00BB12CB" w:rsidRPr="00FA2319" w14:paraId="2477C12F"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7655C7B5" w14:textId="77777777" w:rsidR="00BB12CB" w:rsidRPr="00FA2319" w:rsidRDefault="00BB12CB" w:rsidP="00BB12CB">
            <w:pPr>
              <w:pStyle w:val="Tabletext"/>
              <w:rPr>
                <w:lang w:eastAsia="en-AU"/>
              </w:rPr>
            </w:pPr>
            <w:r w:rsidRPr="00FA2319">
              <w:rPr>
                <w:lang w:eastAsia="en-AU"/>
              </w:rPr>
              <w:t>Export status</w:t>
            </w:r>
          </w:p>
        </w:tc>
        <w:tc>
          <w:tcPr>
            <w:tcW w:w="2708" w:type="dxa"/>
          </w:tcPr>
          <w:p w14:paraId="53DB7080" w14:textId="77777777" w:rsidR="00BB12CB" w:rsidRPr="00FA2319" w:rsidRDefault="00BB12CB" w:rsidP="00BB12CB">
            <w:pPr>
              <w:pStyle w:val="Tabletext"/>
              <w:rPr>
                <w:lang w:eastAsia="en-AU"/>
              </w:rPr>
            </w:pPr>
            <w:r w:rsidRPr="00FA2319">
              <w:rPr>
                <w:lang w:eastAsia="en-AU"/>
              </w:rPr>
              <w:t>0.88***</w:t>
            </w:r>
          </w:p>
        </w:tc>
      </w:tr>
      <w:tr w:rsidR="00BB12CB" w:rsidRPr="00FA2319" w14:paraId="1D69C53A"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213AE405" w14:textId="77777777" w:rsidR="00BB12CB" w:rsidRPr="00FA2319" w:rsidRDefault="00BB12CB" w:rsidP="00BB12CB">
            <w:pPr>
              <w:pStyle w:val="Tabletext"/>
              <w:rPr>
                <w:lang w:eastAsia="en-AU"/>
              </w:rPr>
            </w:pPr>
            <w:r w:rsidRPr="00FA2319">
              <w:rPr>
                <w:lang w:eastAsia="en-AU"/>
              </w:rPr>
              <w:t xml:space="preserve">R&amp;D status </w:t>
            </w:r>
          </w:p>
        </w:tc>
        <w:tc>
          <w:tcPr>
            <w:tcW w:w="2708" w:type="dxa"/>
          </w:tcPr>
          <w:p w14:paraId="6B4A5347" w14:textId="77777777" w:rsidR="00BB12CB" w:rsidRPr="00FA2319" w:rsidRDefault="00BB12CB" w:rsidP="00BB12CB">
            <w:pPr>
              <w:pStyle w:val="Tabletext"/>
              <w:rPr>
                <w:lang w:eastAsia="en-AU"/>
              </w:rPr>
            </w:pPr>
            <w:r w:rsidRPr="00FA2319">
              <w:rPr>
                <w:lang w:eastAsia="en-AU"/>
              </w:rPr>
              <w:t>1.65***</w:t>
            </w:r>
          </w:p>
        </w:tc>
      </w:tr>
      <w:tr w:rsidR="00BB12CB" w:rsidRPr="00FA2319" w14:paraId="329B1EE6"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7DC0146A" w14:textId="77777777" w:rsidR="00BB12CB" w:rsidRPr="00FA2319" w:rsidRDefault="00BB12CB" w:rsidP="00BB12CB">
            <w:pPr>
              <w:pStyle w:val="Tabletext"/>
              <w:rPr>
                <w:lang w:eastAsia="en-AU"/>
              </w:rPr>
            </w:pPr>
            <w:r w:rsidRPr="00FA2319">
              <w:rPr>
                <w:lang w:eastAsia="en-AU"/>
              </w:rPr>
              <w:t>Subdivision 12</w:t>
            </w:r>
          </w:p>
        </w:tc>
        <w:tc>
          <w:tcPr>
            <w:tcW w:w="2708" w:type="dxa"/>
            <w:vAlign w:val="bottom"/>
          </w:tcPr>
          <w:p w14:paraId="4CDC1840" w14:textId="77777777" w:rsidR="00BB12CB" w:rsidRPr="00FA2319" w:rsidRDefault="00BB12CB" w:rsidP="00BB12CB">
            <w:pPr>
              <w:pStyle w:val="Tabletext"/>
              <w:rPr>
                <w:lang w:eastAsia="en-AU"/>
              </w:rPr>
            </w:pPr>
            <w:r w:rsidRPr="00FA2319">
              <w:rPr>
                <w:lang w:eastAsia="en-AU"/>
              </w:rPr>
              <w:t>-0.64***</w:t>
            </w:r>
          </w:p>
        </w:tc>
      </w:tr>
      <w:tr w:rsidR="00BB12CB" w:rsidRPr="00FA2319" w14:paraId="3CB96579"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03FD3A9F" w14:textId="77777777" w:rsidR="00BB12CB" w:rsidRPr="00FA2319" w:rsidRDefault="00BB12CB" w:rsidP="00BB12CB">
            <w:pPr>
              <w:pStyle w:val="Tabletext"/>
              <w:rPr>
                <w:lang w:eastAsia="en-AU"/>
              </w:rPr>
            </w:pPr>
            <w:r w:rsidRPr="00FA2319">
              <w:rPr>
                <w:lang w:eastAsia="en-AU"/>
              </w:rPr>
              <w:t>Subdivision 13</w:t>
            </w:r>
          </w:p>
        </w:tc>
        <w:tc>
          <w:tcPr>
            <w:tcW w:w="2708" w:type="dxa"/>
            <w:vAlign w:val="bottom"/>
          </w:tcPr>
          <w:p w14:paraId="24BE89CE" w14:textId="77777777" w:rsidR="00BB12CB" w:rsidRPr="00FA2319" w:rsidRDefault="00BB12CB" w:rsidP="00BB12CB">
            <w:pPr>
              <w:pStyle w:val="Tabletext"/>
              <w:rPr>
                <w:lang w:eastAsia="en-AU"/>
              </w:rPr>
            </w:pPr>
            <w:r w:rsidRPr="00FA2319">
              <w:rPr>
                <w:lang w:eastAsia="en-AU"/>
              </w:rPr>
              <w:t>-0.20**</w:t>
            </w:r>
          </w:p>
        </w:tc>
      </w:tr>
      <w:tr w:rsidR="00BB12CB" w:rsidRPr="00FA2319" w14:paraId="7849A67B"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2F76B14B" w14:textId="77777777" w:rsidR="00BB12CB" w:rsidRPr="00FA2319" w:rsidRDefault="00BB12CB" w:rsidP="00BB12CB">
            <w:pPr>
              <w:pStyle w:val="Tabletext"/>
              <w:rPr>
                <w:lang w:eastAsia="en-AU"/>
              </w:rPr>
            </w:pPr>
            <w:r w:rsidRPr="00FA2319">
              <w:rPr>
                <w:lang w:eastAsia="en-AU"/>
              </w:rPr>
              <w:t>Subdivision 14</w:t>
            </w:r>
          </w:p>
        </w:tc>
        <w:tc>
          <w:tcPr>
            <w:tcW w:w="2708" w:type="dxa"/>
            <w:vAlign w:val="bottom"/>
          </w:tcPr>
          <w:p w14:paraId="777C5805" w14:textId="77777777" w:rsidR="00BB12CB" w:rsidRPr="00FA2319" w:rsidRDefault="00BB12CB" w:rsidP="00BB12CB">
            <w:pPr>
              <w:pStyle w:val="Tabletext"/>
              <w:rPr>
                <w:lang w:eastAsia="en-AU"/>
              </w:rPr>
            </w:pPr>
            <w:r w:rsidRPr="00FA2319">
              <w:rPr>
                <w:lang w:eastAsia="en-AU"/>
              </w:rPr>
              <w:t>0.32***</w:t>
            </w:r>
          </w:p>
        </w:tc>
      </w:tr>
      <w:tr w:rsidR="00BB12CB" w:rsidRPr="00FA2319" w14:paraId="1A08B604"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3C84C7D3" w14:textId="77777777" w:rsidR="00BB12CB" w:rsidRPr="00FA2319" w:rsidRDefault="00BB12CB" w:rsidP="00BB12CB">
            <w:pPr>
              <w:pStyle w:val="Tabletext"/>
              <w:rPr>
                <w:lang w:eastAsia="en-AU"/>
              </w:rPr>
            </w:pPr>
            <w:r w:rsidRPr="00FA2319">
              <w:rPr>
                <w:lang w:eastAsia="en-AU"/>
              </w:rPr>
              <w:t>Subdivision 15</w:t>
            </w:r>
          </w:p>
        </w:tc>
        <w:tc>
          <w:tcPr>
            <w:tcW w:w="2708" w:type="dxa"/>
            <w:vAlign w:val="bottom"/>
          </w:tcPr>
          <w:p w14:paraId="4CF2CF54" w14:textId="77777777" w:rsidR="00BB12CB" w:rsidRPr="00FA2319" w:rsidRDefault="00BB12CB" w:rsidP="00BB12CB">
            <w:pPr>
              <w:pStyle w:val="Tabletext"/>
              <w:rPr>
                <w:lang w:eastAsia="en-AU"/>
              </w:rPr>
            </w:pPr>
            <w:r w:rsidRPr="00FA2319">
              <w:rPr>
                <w:lang w:eastAsia="en-AU"/>
              </w:rPr>
              <w:t>0.08</w:t>
            </w:r>
          </w:p>
        </w:tc>
      </w:tr>
      <w:tr w:rsidR="00BB12CB" w:rsidRPr="00FA2319" w14:paraId="353286DE"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5B3B6B87" w14:textId="77777777" w:rsidR="00BB12CB" w:rsidRPr="00FA2319" w:rsidRDefault="00BB12CB" w:rsidP="00BB12CB">
            <w:pPr>
              <w:pStyle w:val="Tabletext"/>
              <w:rPr>
                <w:lang w:eastAsia="en-AU"/>
              </w:rPr>
            </w:pPr>
            <w:r w:rsidRPr="00FA2319">
              <w:rPr>
                <w:lang w:eastAsia="en-AU"/>
              </w:rPr>
              <w:t>Subdivision 16</w:t>
            </w:r>
          </w:p>
        </w:tc>
        <w:tc>
          <w:tcPr>
            <w:tcW w:w="2708" w:type="dxa"/>
            <w:vAlign w:val="bottom"/>
          </w:tcPr>
          <w:p w14:paraId="1198FD1A" w14:textId="77777777" w:rsidR="00BB12CB" w:rsidRPr="00FA2319" w:rsidRDefault="00BB12CB" w:rsidP="00BB12CB">
            <w:pPr>
              <w:pStyle w:val="Tabletext"/>
              <w:rPr>
                <w:lang w:eastAsia="en-AU"/>
              </w:rPr>
            </w:pPr>
            <w:r w:rsidRPr="00FA2319">
              <w:rPr>
                <w:lang w:eastAsia="en-AU"/>
              </w:rPr>
              <w:t>0.11</w:t>
            </w:r>
          </w:p>
        </w:tc>
      </w:tr>
      <w:tr w:rsidR="00BB12CB" w:rsidRPr="00FA2319" w14:paraId="54DAD2AB"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6E6CC3DE" w14:textId="77777777" w:rsidR="00BB12CB" w:rsidRPr="00FA2319" w:rsidRDefault="00BB12CB" w:rsidP="00BB12CB">
            <w:pPr>
              <w:pStyle w:val="Tabletext"/>
              <w:rPr>
                <w:lang w:eastAsia="en-AU"/>
              </w:rPr>
            </w:pPr>
            <w:r w:rsidRPr="00FA2319">
              <w:rPr>
                <w:lang w:eastAsia="en-AU"/>
              </w:rPr>
              <w:t>Subdivision 17</w:t>
            </w:r>
          </w:p>
        </w:tc>
        <w:tc>
          <w:tcPr>
            <w:tcW w:w="2708" w:type="dxa"/>
            <w:vAlign w:val="bottom"/>
          </w:tcPr>
          <w:p w14:paraId="5DA317F4" w14:textId="77777777" w:rsidR="00BB12CB" w:rsidRPr="00FA2319" w:rsidRDefault="00BB12CB" w:rsidP="00BB12CB">
            <w:pPr>
              <w:pStyle w:val="Tabletext"/>
              <w:rPr>
                <w:lang w:eastAsia="en-AU"/>
              </w:rPr>
            </w:pPr>
            <w:r w:rsidRPr="00FA2319">
              <w:rPr>
                <w:lang w:eastAsia="en-AU"/>
              </w:rPr>
              <w:t>0.52**</w:t>
            </w:r>
          </w:p>
        </w:tc>
      </w:tr>
      <w:tr w:rsidR="00BB12CB" w:rsidRPr="00FA2319" w14:paraId="359352B1"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69D0BA98" w14:textId="77777777" w:rsidR="00BB12CB" w:rsidRPr="00FA2319" w:rsidRDefault="00BB12CB" w:rsidP="00BB12CB">
            <w:pPr>
              <w:pStyle w:val="Tabletext"/>
              <w:rPr>
                <w:lang w:eastAsia="en-AU"/>
              </w:rPr>
            </w:pPr>
            <w:r w:rsidRPr="00FA2319">
              <w:rPr>
                <w:lang w:eastAsia="en-AU"/>
              </w:rPr>
              <w:t>Subdivision 18</w:t>
            </w:r>
          </w:p>
        </w:tc>
        <w:tc>
          <w:tcPr>
            <w:tcW w:w="2708" w:type="dxa"/>
            <w:vAlign w:val="bottom"/>
          </w:tcPr>
          <w:p w14:paraId="07933635" w14:textId="77777777" w:rsidR="00BB12CB" w:rsidRPr="00FA2319" w:rsidRDefault="00BB12CB" w:rsidP="00BB12CB">
            <w:pPr>
              <w:pStyle w:val="Tabletext"/>
              <w:rPr>
                <w:lang w:eastAsia="en-AU"/>
              </w:rPr>
            </w:pPr>
            <w:r w:rsidRPr="00FA2319">
              <w:rPr>
                <w:lang w:eastAsia="en-AU"/>
              </w:rPr>
              <w:t>0.11</w:t>
            </w:r>
          </w:p>
        </w:tc>
      </w:tr>
      <w:tr w:rsidR="00BB12CB" w:rsidRPr="00FA2319" w14:paraId="70CF5C97"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6FD8160E" w14:textId="77777777" w:rsidR="00BB12CB" w:rsidRPr="00FA2319" w:rsidRDefault="00BB12CB" w:rsidP="00BB12CB">
            <w:pPr>
              <w:pStyle w:val="Tabletext"/>
              <w:rPr>
                <w:lang w:eastAsia="en-AU"/>
              </w:rPr>
            </w:pPr>
            <w:r w:rsidRPr="00FA2319">
              <w:rPr>
                <w:lang w:eastAsia="en-AU"/>
              </w:rPr>
              <w:t>Subdivision 19</w:t>
            </w:r>
          </w:p>
        </w:tc>
        <w:tc>
          <w:tcPr>
            <w:tcW w:w="2708" w:type="dxa"/>
            <w:vAlign w:val="bottom"/>
          </w:tcPr>
          <w:p w14:paraId="4FD31B69" w14:textId="77777777" w:rsidR="00BB12CB" w:rsidRPr="00FA2319" w:rsidRDefault="00BB12CB" w:rsidP="00BB12CB">
            <w:pPr>
              <w:pStyle w:val="Tabletext"/>
              <w:rPr>
                <w:lang w:eastAsia="en-AU"/>
              </w:rPr>
            </w:pPr>
            <w:r w:rsidRPr="00FA2319">
              <w:rPr>
                <w:lang w:eastAsia="en-AU"/>
              </w:rPr>
              <w:t>0.35***</w:t>
            </w:r>
          </w:p>
        </w:tc>
      </w:tr>
      <w:tr w:rsidR="00BB12CB" w:rsidRPr="00FA2319" w14:paraId="2B75BD8E"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5E1FF7B4" w14:textId="77777777" w:rsidR="00BB12CB" w:rsidRPr="00FA2319" w:rsidRDefault="00BB12CB" w:rsidP="00BB12CB">
            <w:pPr>
              <w:pStyle w:val="Tabletext"/>
              <w:rPr>
                <w:lang w:eastAsia="en-AU"/>
              </w:rPr>
            </w:pPr>
            <w:r w:rsidRPr="00FA2319">
              <w:rPr>
                <w:lang w:eastAsia="en-AU"/>
              </w:rPr>
              <w:t>Subdivision 20</w:t>
            </w:r>
          </w:p>
        </w:tc>
        <w:tc>
          <w:tcPr>
            <w:tcW w:w="2708" w:type="dxa"/>
            <w:vAlign w:val="bottom"/>
          </w:tcPr>
          <w:p w14:paraId="0B6E8F22" w14:textId="77777777" w:rsidR="00BB12CB" w:rsidRPr="00FA2319" w:rsidRDefault="00BB12CB" w:rsidP="00BB12CB">
            <w:pPr>
              <w:pStyle w:val="Tabletext"/>
              <w:rPr>
                <w:lang w:eastAsia="en-AU"/>
              </w:rPr>
            </w:pPr>
            <w:r w:rsidRPr="00FA2319">
              <w:rPr>
                <w:lang w:eastAsia="en-AU"/>
              </w:rPr>
              <w:t>0.04</w:t>
            </w:r>
          </w:p>
        </w:tc>
      </w:tr>
      <w:tr w:rsidR="00BB12CB" w:rsidRPr="00FA2319" w14:paraId="2D3A424C"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5EF5BEE2" w14:textId="77777777" w:rsidR="00BB12CB" w:rsidRPr="00FA2319" w:rsidRDefault="00BB12CB" w:rsidP="00BB12CB">
            <w:pPr>
              <w:pStyle w:val="Tabletext"/>
              <w:rPr>
                <w:lang w:eastAsia="en-AU"/>
              </w:rPr>
            </w:pPr>
            <w:r w:rsidRPr="00FA2319">
              <w:rPr>
                <w:lang w:eastAsia="en-AU"/>
              </w:rPr>
              <w:t>Subdivision 21</w:t>
            </w:r>
          </w:p>
        </w:tc>
        <w:tc>
          <w:tcPr>
            <w:tcW w:w="2708" w:type="dxa"/>
            <w:vAlign w:val="bottom"/>
          </w:tcPr>
          <w:p w14:paraId="14A8DD30" w14:textId="77777777" w:rsidR="00BB12CB" w:rsidRPr="00FA2319" w:rsidRDefault="00BB12CB" w:rsidP="00BB12CB">
            <w:pPr>
              <w:pStyle w:val="Tabletext"/>
              <w:rPr>
                <w:lang w:eastAsia="en-AU"/>
              </w:rPr>
            </w:pPr>
            <w:r w:rsidRPr="00FA2319">
              <w:rPr>
                <w:lang w:eastAsia="en-AU"/>
              </w:rPr>
              <w:t>0.44***</w:t>
            </w:r>
          </w:p>
        </w:tc>
      </w:tr>
      <w:tr w:rsidR="00BB12CB" w:rsidRPr="00FA2319" w14:paraId="7D222852"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2F0E1881" w14:textId="77777777" w:rsidR="00BB12CB" w:rsidRPr="00FA2319" w:rsidRDefault="00BB12CB" w:rsidP="00BB12CB">
            <w:pPr>
              <w:pStyle w:val="Tabletext"/>
              <w:rPr>
                <w:lang w:eastAsia="en-AU"/>
              </w:rPr>
            </w:pPr>
            <w:r w:rsidRPr="00FA2319">
              <w:rPr>
                <w:lang w:eastAsia="en-AU"/>
              </w:rPr>
              <w:t>Subdivision 22</w:t>
            </w:r>
          </w:p>
        </w:tc>
        <w:tc>
          <w:tcPr>
            <w:tcW w:w="2708" w:type="dxa"/>
            <w:vAlign w:val="bottom"/>
          </w:tcPr>
          <w:p w14:paraId="4ACEDDDC" w14:textId="77777777" w:rsidR="00BB12CB" w:rsidRPr="00FA2319" w:rsidRDefault="00BB12CB" w:rsidP="00BB12CB">
            <w:pPr>
              <w:pStyle w:val="Tabletext"/>
              <w:rPr>
                <w:lang w:eastAsia="en-AU"/>
              </w:rPr>
            </w:pPr>
            <w:r w:rsidRPr="00FA2319">
              <w:rPr>
                <w:lang w:eastAsia="en-AU"/>
              </w:rPr>
              <w:t>0.25***</w:t>
            </w:r>
          </w:p>
        </w:tc>
      </w:tr>
      <w:tr w:rsidR="00BB12CB" w:rsidRPr="00FA2319" w14:paraId="7470ADFA"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2271C51B" w14:textId="77777777" w:rsidR="00BB12CB" w:rsidRPr="00FA2319" w:rsidRDefault="00BB12CB" w:rsidP="00BB12CB">
            <w:pPr>
              <w:pStyle w:val="Tabletext"/>
              <w:rPr>
                <w:lang w:eastAsia="en-AU"/>
              </w:rPr>
            </w:pPr>
            <w:r w:rsidRPr="00FA2319">
              <w:rPr>
                <w:lang w:eastAsia="en-AU"/>
              </w:rPr>
              <w:t>Subdivision 23</w:t>
            </w:r>
          </w:p>
        </w:tc>
        <w:tc>
          <w:tcPr>
            <w:tcW w:w="2708" w:type="dxa"/>
            <w:vAlign w:val="bottom"/>
          </w:tcPr>
          <w:p w14:paraId="01A36545" w14:textId="77777777" w:rsidR="00BB12CB" w:rsidRPr="00FA2319" w:rsidRDefault="00BB12CB" w:rsidP="00BB12CB">
            <w:pPr>
              <w:pStyle w:val="Tabletext"/>
              <w:rPr>
                <w:lang w:eastAsia="en-AU"/>
              </w:rPr>
            </w:pPr>
            <w:r w:rsidRPr="00FA2319">
              <w:rPr>
                <w:lang w:eastAsia="en-AU"/>
              </w:rPr>
              <w:t>-0.11</w:t>
            </w:r>
          </w:p>
        </w:tc>
      </w:tr>
      <w:tr w:rsidR="00BB12CB" w:rsidRPr="00FA2319" w14:paraId="733F5491"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21CF4C94" w14:textId="77777777" w:rsidR="00BB12CB" w:rsidRPr="00FA2319" w:rsidRDefault="00BB12CB" w:rsidP="00BB12CB">
            <w:pPr>
              <w:pStyle w:val="Tabletext"/>
              <w:rPr>
                <w:lang w:eastAsia="en-AU"/>
              </w:rPr>
            </w:pPr>
            <w:r w:rsidRPr="00FA2319">
              <w:rPr>
                <w:lang w:eastAsia="en-AU"/>
              </w:rPr>
              <w:t>Subdivision 24</w:t>
            </w:r>
          </w:p>
        </w:tc>
        <w:tc>
          <w:tcPr>
            <w:tcW w:w="2708" w:type="dxa"/>
            <w:vAlign w:val="bottom"/>
          </w:tcPr>
          <w:p w14:paraId="28B9996B" w14:textId="77777777" w:rsidR="00BB12CB" w:rsidRPr="00FA2319" w:rsidRDefault="00BB12CB" w:rsidP="00BB12CB">
            <w:pPr>
              <w:pStyle w:val="Tabletext"/>
              <w:rPr>
                <w:lang w:eastAsia="en-AU"/>
              </w:rPr>
            </w:pPr>
            <w:r w:rsidRPr="00FA2319">
              <w:rPr>
                <w:lang w:eastAsia="en-AU"/>
              </w:rPr>
              <w:t>0.18***</w:t>
            </w:r>
          </w:p>
        </w:tc>
      </w:tr>
      <w:tr w:rsidR="00BB12CB" w:rsidRPr="00FA2319" w14:paraId="5426B2ED"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5F9C2F71" w14:textId="77777777" w:rsidR="00BB12CB" w:rsidRPr="00FA2319" w:rsidRDefault="00BB12CB" w:rsidP="00BB12CB">
            <w:pPr>
              <w:pStyle w:val="Tabletext"/>
              <w:rPr>
                <w:lang w:eastAsia="en-AU"/>
              </w:rPr>
            </w:pPr>
            <w:r w:rsidRPr="00FA2319">
              <w:rPr>
                <w:lang w:eastAsia="en-AU"/>
              </w:rPr>
              <w:t>Subdivision 25</w:t>
            </w:r>
          </w:p>
        </w:tc>
        <w:tc>
          <w:tcPr>
            <w:tcW w:w="2708" w:type="dxa"/>
            <w:vAlign w:val="bottom"/>
          </w:tcPr>
          <w:p w14:paraId="05D4EA21" w14:textId="77777777" w:rsidR="00BB12CB" w:rsidRPr="00FA2319" w:rsidRDefault="00BB12CB" w:rsidP="00BB12CB">
            <w:pPr>
              <w:pStyle w:val="Tabletext"/>
              <w:rPr>
                <w:lang w:eastAsia="en-AU"/>
              </w:rPr>
            </w:pPr>
            <w:r w:rsidRPr="00FA2319">
              <w:rPr>
                <w:lang w:eastAsia="en-AU"/>
              </w:rPr>
              <w:t>-0.14*</w:t>
            </w:r>
          </w:p>
        </w:tc>
      </w:tr>
      <w:tr w:rsidR="00BB12CB" w:rsidRPr="00FA2319" w14:paraId="41746819"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6BAB1E1D" w14:textId="77777777" w:rsidR="00BB12CB" w:rsidRPr="00FA2319" w:rsidRDefault="00BB12CB" w:rsidP="00BB12CB">
            <w:pPr>
              <w:pStyle w:val="Tabletext"/>
              <w:rPr>
                <w:lang w:eastAsia="en-AU"/>
              </w:rPr>
            </w:pPr>
            <w:r w:rsidRPr="00FA2319">
              <w:rPr>
                <w:lang w:eastAsia="en-AU"/>
              </w:rPr>
              <w:t>NSW</w:t>
            </w:r>
          </w:p>
        </w:tc>
        <w:tc>
          <w:tcPr>
            <w:tcW w:w="2708" w:type="dxa"/>
            <w:vAlign w:val="bottom"/>
          </w:tcPr>
          <w:p w14:paraId="1EAF2D95" w14:textId="77777777" w:rsidR="00BB12CB" w:rsidRPr="00FA2319" w:rsidRDefault="00BB12CB" w:rsidP="00BB12CB">
            <w:pPr>
              <w:pStyle w:val="Tabletext"/>
              <w:rPr>
                <w:lang w:eastAsia="en-AU"/>
              </w:rPr>
            </w:pPr>
            <w:r w:rsidRPr="00FA2319">
              <w:rPr>
                <w:lang w:eastAsia="en-AU"/>
              </w:rPr>
              <w:t>0.58**</w:t>
            </w:r>
          </w:p>
        </w:tc>
      </w:tr>
      <w:tr w:rsidR="00BB12CB" w:rsidRPr="00FA2319" w14:paraId="367C8AE8"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29CA5F0D" w14:textId="77777777" w:rsidR="00BB12CB" w:rsidRPr="00FA2319" w:rsidRDefault="00BB12CB" w:rsidP="00BB12CB">
            <w:pPr>
              <w:pStyle w:val="Tabletext"/>
              <w:rPr>
                <w:lang w:eastAsia="en-AU"/>
              </w:rPr>
            </w:pPr>
            <w:r w:rsidRPr="00FA2319">
              <w:rPr>
                <w:lang w:eastAsia="en-AU"/>
              </w:rPr>
              <w:t>VIC</w:t>
            </w:r>
          </w:p>
        </w:tc>
        <w:tc>
          <w:tcPr>
            <w:tcW w:w="2708" w:type="dxa"/>
            <w:vAlign w:val="bottom"/>
          </w:tcPr>
          <w:p w14:paraId="53AD32A3" w14:textId="77777777" w:rsidR="00BB12CB" w:rsidRPr="00FA2319" w:rsidRDefault="00BB12CB" w:rsidP="00BB12CB">
            <w:pPr>
              <w:pStyle w:val="Tabletext"/>
              <w:rPr>
                <w:lang w:eastAsia="en-AU"/>
              </w:rPr>
            </w:pPr>
            <w:r w:rsidRPr="00FA2319">
              <w:rPr>
                <w:lang w:eastAsia="en-AU"/>
              </w:rPr>
              <w:t>0.15</w:t>
            </w:r>
          </w:p>
        </w:tc>
      </w:tr>
      <w:tr w:rsidR="00BB12CB" w:rsidRPr="00FA2319" w14:paraId="675076D3"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62E9AB23" w14:textId="77777777" w:rsidR="00BB12CB" w:rsidRPr="00FA2319" w:rsidRDefault="00BB12CB" w:rsidP="00BB12CB">
            <w:pPr>
              <w:pStyle w:val="Tabletext"/>
              <w:rPr>
                <w:lang w:eastAsia="en-AU"/>
              </w:rPr>
            </w:pPr>
            <w:r w:rsidRPr="00FA2319">
              <w:rPr>
                <w:lang w:eastAsia="en-AU"/>
              </w:rPr>
              <w:t>QLD</w:t>
            </w:r>
          </w:p>
        </w:tc>
        <w:tc>
          <w:tcPr>
            <w:tcW w:w="2708" w:type="dxa"/>
            <w:vAlign w:val="bottom"/>
          </w:tcPr>
          <w:p w14:paraId="39575B25" w14:textId="77777777" w:rsidR="00BB12CB" w:rsidRPr="00FA2319" w:rsidRDefault="00BB12CB" w:rsidP="00BB12CB">
            <w:pPr>
              <w:pStyle w:val="Tabletext"/>
              <w:rPr>
                <w:lang w:eastAsia="en-AU"/>
              </w:rPr>
            </w:pPr>
            <w:r w:rsidRPr="00FA2319">
              <w:rPr>
                <w:lang w:eastAsia="en-AU"/>
              </w:rPr>
              <w:t>0.47*</w:t>
            </w:r>
          </w:p>
        </w:tc>
      </w:tr>
      <w:tr w:rsidR="00BB12CB" w:rsidRPr="00FA2319" w14:paraId="5D1267E6"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14EB7B6F" w14:textId="77777777" w:rsidR="00BB12CB" w:rsidRPr="00FA2319" w:rsidRDefault="00BB12CB" w:rsidP="00BB12CB">
            <w:pPr>
              <w:pStyle w:val="Tabletext"/>
              <w:rPr>
                <w:lang w:eastAsia="en-AU"/>
              </w:rPr>
            </w:pPr>
            <w:r w:rsidRPr="00FA2319">
              <w:rPr>
                <w:lang w:eastAsia="en-AU"/>
              </w:rPr>
              <w:t>SA</w:t>
            </w:r>
          </w:p>
        </w:tc>
        <w:tc>
          <w:tcPr>
            <w:tcW w:w="2708" w:type="dxa"/>
            <w:vAlign w:val="bottom"/>
          </w:tcPr>
          <w:p w14:paraId="28EB11B0" w14:textId="77777777" w:rsidR="00BB12CB" w:rsidRPr="00FA2319" w:rsidRDefault="00BB12CB" w:rsidP="00BB12CB">
            <w:pPr>
              <w:pStyle w:val="Tabletext"/>
              <w:rPr>
                <w:lang w:eastAsia="en-AU"/>
              </w:rPr>
            </w:pPr>
            <w:r w:rsidRPr="00FA2319">
              <w:rPr>
                <w:lang w:eastAsia="en-AU"/>
              </w:rPr>
              <w:t>1.36***</w:t>
            </w:r>
          </w:p>
        </w:tc>
      </w:tr>
      <w:tr w:rsidR="00BB12CB" w:rsidRPr="00FA2319" w14:paraId="43526887"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2628D007" w14:textId="77777777" w:rsidR="00BB12CB" w:rsidRPr="00FA2319" w:rsidRDefault="00BB12CB" w:rsidP="00BB12CB">
            <w:pPr>
              <w:pStyle w:val="Tabletext"/>
              <w:rPr>
                <w:lang w:eastAsia="en-AU"/>
              </w:rPr>
            </w:pPr>
            <w:r w:rsidRPr="00FA2319">
              <w:rPr>
                <w:lang w:eastAsia="en-AU"/>
              </w:rPr>
              <w:t>WA</w:t>
            </w:r>
          </w:p>
        </w:tc>
        <w:tc>
          <w:tcPr>
            <w:tcW w:w="2708" w:type="dxa"/>
            <w:vAlign w:val="bottom"/>
          </w:tcPr>
          <w:p w14:paraId="06C15E7C" w14:textId="77777777" w:rsidR="00BB12CB" w:rsidRPr="00FA2319" w:rsidRDefault="00BB12CB" w:rsidP="00BB12CB">
            <w:pPr>
              <w:pStyle w:val="Tabletext"/>
              <w:rPr>
                <w:lang w:eastAsia="en-AU"/>
              </w:rPr>
            </w:pPr>
            <w:r w:rsidRPr="00FA2319">
              <w:rPr>
                <w:lang w:eastAsia="en-AU"/>
              </w:rPr>
              <w:t>0.31</w:t>
            </w:r>
          </w:p>
        </w:tc>
      </w:tr>
      <w:tr w:rsidR="00BB12CB" w:rsidRPr="00FA2319" w14:paraId="65BB03FE" w14:textId="77777777" w:rsidTr="00BB12CB">
        <w:trPr>
          <w:cnfStyle w:val="000000100000" w:firstRow="0" w:lastRow="0" w:firstColumn="0" w:lastColumn="0" w:oddVBand="0" w:evenVBand="0" w:oddHBand="1" w:evenHBand="0" w:firstRowFirstColumn="0" w:firstRowLastColumn="0" w:lastRowFirstColumn="0" w:lastRowLastColumn="0"/>
          <w:trHeight w:val="220"/>
        </w:trPr>
        <w:tc>
          <w:tcPr>
            <w:tcW w:w="4005" w:type="dxa"/>
          </w:tcPr>
          <w:p w14:paraId="4B80E6B2" w14:textId="77777777" w:rsidR="00BB12CB" w:rsidRPr="00FA2319" w:rsidRDefault="00BB12CB" w:rsidP="00BB12CB">
            <w:pPr>
              <w:pStyle w:val="Tabletext"/>
              <w:rPr>
                <w:lang w:eastAsia="en-AU"/>
              </w:rPr>
            </w:pPr>
            <w:r w:rsidRPr="00FA2319">
              <w:rPr>
                <w:lang w:eastAsia="en-AU"/>
              </w:rPr>
              <w:t>TAS</w:t>
            </w:r>
          </w:p>
        </w:tc>
        <w:tc>
          <w:tcPr>
            <w:tcW w:w="2708" w:type="dxa"/>
            <w:vAlign w:val="bottom"/>
          </w:tcPr>
          <w:p w14:paraId="2B1F2AD5" w14:textId="77777777" w:rsidR="00BB12CB" w:rsidRPr="00FA2319" w:rsidRDefault="00BB12CB" w:rsidP="00BB12CB">
            <w:pPr>
              <w:pStyle w:val="Tabletext"/>
              <w:rPr>
                <w:lang w:eastAsia="en-AU"/>
              </w:rPr>
            </w:pPr>
            <w:r w:rsidRPr="00FA2319">
              <w:rPr>
                <w:lang w:eastAsia="en-AU"/>
              </w:rPr>
              <w:t>1.62***</w:t>
            </w:r>
          </w:p>
        </w:tc>
      </w:tr>
      <w:tr w:rsidR="00BB12CB" w:rsidRPr="00FA2319" w14:paraId="75CEA6F9"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52952693" w14:textId="77777777" w:rsidR="00BB12CB" w:rsidRPr="00FA2319" w:rsidRDefault="00BB12CB" w:rsidP="00BB12CB">
            <w:pPr>
              <w:pStyle w:val="Tabletext"/>
              <w:rPr>
                <w:lang w:eastAsia="en-AU"/>
              </w:rPr>
            </w:pPr>
            <w:r w:rsidRPr="00FA2319">
              <w:rPr>
                <w:lang w:eastAsia="en-AU"/>
              </w:rPr>
              <w:t>NT</w:t>
            </w:r>
          </w:p>
        </w:tc>
        <w:tc>
          <w:tcPr>
            <w:tcW w:w="2708" w:type="dxa"/>
            <w:vAlign w:val="bottom"/>
          </w:tcPr>
          <w:p w14:paraId="3EF5C68B" w14:textId="77777777" w:rsidR="00BB12CB" w:rsidRPr="00FA2319" w:rsidRDefault="00BB12CB" w:rsidP="00BB12CB">
            <w:pPr>
              <w:pStyle w:val="Tabletext"/>
              <w:rPr>
                <w:lang w:eastAsia="en-AU"/>
              </w:rPr>
            </w:pPr>
            <w:r w:rsidRPr="00FA2319">
              <w:rPr>
                <w:lang w:eastAsia="en-AU"/>
              </w:rPr>
              <w:t>-1.13**</w:t>
            </w:r>
          </w:p>
        </w:tc>
      </w:tr>
      <w:tr w:rsidR="00BB12CB" w:rsidRPr="00FA2319" w14:paraId="448FF613"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13E88E8E" w14:textId="77777777" w:rsidR="00BB12CB" w:rsidRPr="00FA2319" w:rsidRDefault="00BB12CB" w:rsidP="00BB12CB">
            <w:pPr>
              <w:pStyle w:val="Tabletext"/>
              <w:rPr>
                <w:lang w:eastAsia="en-AU"/>
              </w:rPr>
            </w:pPr>
            <w:r w:rsidRPr="00FA2319">
              <w:rPr>
                <w:lang w:eastAsia="en-AU"/>
              </w:rPr>
              <w:t>Proprietary Limited</w:t>
            </w:r>
          </w:p>
        </w:tc>
        <w:tc>
          <w:tcPr>
            <w:tcW w:w="2708" w:type="dxa"/>
          </w:tcPr>
          <w:p w14:paraId="5BB186DF" w14:textId="77777777" w:rsidR="00BB12CB" w:rsidRPr="00FA2319" w:rsidRDefault="00BB12CB" w:rsidP="00BB12CB">
            <w:pPr>
              <w:pStyle w:val="Tabletext"/>
              <w:rPr>
                <w:lang w:eastAsia="en-AU"/>
              </w:rPr>
            </w:pPr>
            <w:r w:rsidRPr="00FA2319">
              <w:rPr>
                <w:lang w:eastAsia="en-AU"/>
              </w:rPr>
              <w:t>0.04</w:t>
            </w:r>
          </w:p>
        </w:tc>
      </w:tr>
      <w:tr w:rsidR="00BB12CB" w:rsidRPr="00FA2319" w14:paraId="1236C294"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61E0014E" w14:textId="77777777" w:rsidR="00BB12CB" w:rsidRPr="00FA2319" w:rsidRDefault="00BB12CB" w:rsidP="00BB12CB">
            <w:pPr>
              <w:pStyle w:val="Tabletext"/>
              <w:rPr>
                <w:lang w:eastAsia="en-AU"/>
              </w:rPr>
            </w:pPr>
            <w:r w:rsidRPr="00FA2319">
              <w:rPr>
                <w:lang w:eastAsia="en-AU"/>
              </w:rPr>
              <w:t>Family Partnership</w:t>
            </w:r>
          </w:p>
        </w:tc>
        <w:tc>
          <w:tcPr>
            <w:tcW w:w="2708" w:type="dxa"/>
          </w:tcPr>
          <w:p w14:paraId="699EF556" w14:textId="77777777" w:rsidR="00BB12CB" w:rsidRPr="00FA2319" w:rsidRDefault="00BB12CB" w:rsidP="00BB12CB">
            <w:pPr>
              <w:pStyle w:val="Tabletext"/>
              <w:rPr>
                <w:lang w:eastAsia="en-AU"/>
              </w:rPr>
            </w:pPr>
            <w:r w:rsidRPr="00FA2319">
              <w:rPr>
                <w:lang w:eastAsia="en-AU"/>
              </w:rPr>
              <w:t>-3.08***</w:t>
            </w:r>
          </w:p>
        </w:tc>
      </w:tr>
      <w:tr w:rsidR="00BB12CB" w:rsidRPr="00FA2319" w14:paraId="62F1262D" w14:textId="77777777" w:rsidTr="00BB12CB">
        <w:trPr>
          <w:cnfStyle w:val="000000100000" w:firstRow="0" w:lastRow="0" w:firstColumn="0" w:lastColumn="0" w:oddVBand="0" w:evenVBand="0" w:oddHBand="1" w:evenHBand="0" w:firstRowFirstColumn="0" w:firstRowLastColumn="0" w:lastRowFirstColumn="0" w:lastRowLastColumn="0"/>
          <w:trHeight w:val="245"/>
        </w:trPr>
        <w:tc>
          <w:tcPr>
            <w:tcW w:w="4005" w:type="dxa"/>
          </w:tcPr>
          <w:p w14:paraId="59D3758A" w14:textId="77777777" w:rsidR="00BB12CB" w:rsidRPr="00FA2319" w:rsidRDefault="00BB12CB" w:rsidP="00BB12CB">
            <w:pPr>
              <w:pStyle w:val="Tabletext"/>
              <w:rPr>
                <w:lang w:eastAsia="en-AU"/>
              </w:rPr>
            </w:pPr>
            <w:r w:rsidRPr="00FA2319">
              <w:rPr>
                <w:lang w:eastAsia="en-AU"/>
              </w:rPr>
              <w:t>Other Partnership</w:t>
            </w:r>
          </w:p>
        </w:tc>
        <w:tc>
          <w:tcPr>
            <w:tcW w:w="2708" w:type="dxa"/>
          </w:tcPr>
          <w:p w14:paraId="20511DCE" w14:textId="77777777" w:rsidR="00BB12CB" w:rsidRPr="00FA2319" w:rsidRDefault="00BB12CB" w:rsidP="00BB12CB">
            <w:pPr>
              <w:pStyle w:val="Tabletext"/>
              <w:rPr>
                <w:lang w:eastAsia="en-AU"/>
              </w:rPr>
            </w:pPr>
            <w:r w:rsidRPr="00FA2319">
              <w:rPr>
                <w:lang w:eastAsia="en-AU"/>
              </w:rPr>
              <w:t>-1.54***</w:t>
            </w:r>
          </w:p>
        </w:tc>
      </w:tr>
      <w:tr w:rsidR="00BB12CB" w:rsidRPr="00FA2319" w14:paraId="4362B190"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58526AFB" w14:textId="77777777" w:rsidR="00BB12CB" w:rsidRPr="00FA2319" w:rsidRDefault="00BB12CB" w:rsidP="00BB12CB">
            <w:pPr>
              <w:pStyle w:val="Tabletext"/>
              <w:rPr>
                <w:lang w:eastAsia="en-AU"/>
              </w:rPr>
            </w:pPr>
            <w:r w:rsidRPr="00FA2319">
              <w:rPr>
                <w:lang w:eastAsia="en-AU"/>
              </w:rPr>
              <w:t xml:space="preserve">Trust </w:t>
            </w:r>
          </w:p>
        </w:tc>
        <w:tc>
          <w:tcPr>
            <w:tcW w:w="2708" w:type="dxa"/>
          </w:tcPr>
          <w:p w14:paraId="6CDF08D4" w14:textId="77777777" w:rsidR="00BB12CB" w:rsidRPr="00FA2319" w:rsidRDefault="00BB12CB" w:rsidP="00BB12CB">
            <w:pPr>
              <w:pStyle w:val="Tabletext"/>
              <w:rPr>
                <w:lang w:eastAsia="en-AU"/>
              </w:rPr>
            </w:pPr>
            <w:r w:rsidRPr="00FA2319">
              <w:rPr>
                <w:lang w:eastAsia="en-AU"/>
              </w:rPr>
              <w:t>-0.05</w:t>
            </w:r>
          </w:p>
        </w:tc>
      </w:tr>
      <w:tr w:rsidR="00BB12CB" w:rsidRPr="00FA2319" w14:paraId="5126F358"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3C42C797" w14:textId="77777777" w:rsidR="00BB12CB" w:rsidRPr="00FA2319" w:rsidRDefault="00BB12CB" w:rsidP="00BB12CB">
            <w:pPr>
              <w:pStyle w:val="Tabletext"/>
              <w:rPr>
                <w:lang w:eastAsia="en-AU"/>
              </w:rPr>
            </w:pPr>
            <w:r w:rsidRPr="00FA2319">
              <w:rPr>
                <w:lang w:eastAsia="en-AU"/>
              </w:rPr>
              <w:t>Cohort 9</w:t>
            </w:r>
          </w:p>
        </w:tc>
        <w:tc>
          <w:tcPr>
            <w:tcW w:w="2708" w:type="dxa"/>
          </w:tcPr>
          <w:p w14:paraId="68EFC35F" w14:textId="77777777" w:rsidR="00BB12CB" w:rsidRPr="00FA2319" w:rsidRDefault="00BB12CB" w:rsidP="00BB12CB">
            <w:pPr>
              <w:pStyle w:val="Tabletext"/>
              <w:rPr>
                <w:lang w:eastAsia="en-AU"/>
              </w:rPr>
            </w:pPr>
            <w:r w:rsidRPr="00FA2319">
              <w:rPr>
                <w:lang w:eastAsia="en-AU"/>
              </w:rPr>
              <w:t>1.41***</w:t>
            </w:r>
          </w:p>
        </w:tc>
      </w:tr>
      <w:tr w:rsidR="00BB12CB" w:rsidRPr="00FA2319" w14:paraId="36653E95" w14:textId="77777777" w:rsidTr="00BB12CB">
        <w:trPr>
          <w:cnfStyle w:val="000000010000" w:firstRow="0" w:lastRow="0" w:firstColumn="0" w:lastColumn="0" w:oddVBand="0" w:evenVBand="0" w:oddHBand="0" w:evenHBand="1" w:firstRowFirstColumn="0" w:firstRowLastColumn="0" w:lastRowFirstColumn="0" w:lastRowLastColumn="0"/>
          <w:trHeight w:val="220"/>
        </w:trPr>
        <w:tc>
          <w:tcPr>
            <w:tcW w:w="4005" w:type="dxa"/>
          </w:tcPr>
          <w:p w14:paraId="5E525D05" w14:textId="77777777" w:rsidR="00BB12CB" w:rsidRPr="00FA2319" w:rsidRDefault="00BB12CB" w:rsidP="00BB12CB">
            <w:pPr>
              <w:pStyle w:val="Tabletext"/>
              <w:rPr>
                <w:lang w:eastAsia="en-AU"/>
              </w:rPr>
            </w:pPr>
            <w:r w:rsidRPr="00FA2319">
              <w:rPr>
                <w:lang w:eastAsia="en-AU"/>
              </w:rPr>
              <w:t>Cohort 10</w:t>
            </w:r>
          </w:p>
        </w:tc>
        <w:tc>
          <w:tcPr>
            <w:tcW w:w="2708" w:type="dxa"/>
          </w:tcPr>
          <w:p w14:paraId="18C771CB" w14:textId="77777777" w:rsidR="00BB12CB" w:rsidRPr="00FA2319" w:rsidRDefault="00BB12CB" w:rsidP="00BB12CB">
            <w:pPr>
              <w:pStyle w:val="Tabletext"/>
              <w:rPr>
                <w:lang w:eastAsia="en-AU"/>
              </w:rPr>
            </w:pPr>
            <w:r w:rsidRPr="00FA2319">
              <w:rPr>
                <w:lang w:eastAsia="en-AU"/>
              </w:rPr>
              <w:t>1.73***</w:t>
            </w:r>
          </w:p>
        </w:tc>
      </w:tr>
      <w:tr w:rsidR="00BB12CB" w:rsidRPr="00FA2319" w14:paraId="37B76264"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651E98B1" w14:textId="77777777" w:rsidR="00BB12CB" w:rsidRPr="00FA2319" w:rsidRDefault="00BB12CB" w:rsidP="00BB12CB">
            <w:pPr>
              <w:pStyle w:val="Tabletext"/>
              <w:rPr>
                <w:lang w:eastAsia="en-AU"/>
              </w:rPr>
            </w:pPr>
            <w:r w:rsidRPr="00FA2319">
              <w:rPr>
                <w:lang w:eastAsia="en-AU"/>
              </w:rPr>
              <w:t>Cohort 11</w:t>
            </w:r>
          </w:p>
        </w:tc>
        <w:tc>
          <w:tcPr>
            <w:tcW w:w="2708" w:type="dxa"/>
          </w:tcPr>
          <w:p w14:paraId="61D4B1D7" w14:textId="77777777" w:rsidR="00BB12CB" w:rsidRPr="00FA2319" w:rsidRDefault="00BB12CB" w:rsidP="00BB12CB">
            <w:pPr>
              <w:pStyle w:val="Tabletext"/>
              <w:rPr>
                <w:lang w:eastAsia="en-AU"/>
              </w:rPr>
            </w:pPr>
            <w:r w:rsidRPr="00FA2319">
              <w:rPr>
                <w:lang w:eastAsia="en-AU"/>
              </w:rPr>
              <w:t>1.81***</w:t>
            </w:r>
          </w:p>
        </w:tc>
      </w:tr>
      <w:tr w:rsidR="00BB12CB" w:rsidRPr="00FA2319" w14:paraId="601B8FA7"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114675A4" w14:textId="77777777" w:rsidR="00BB12CB" w:rsidRPr="00FA2319" w:rsidRDefault="00BB12CB" w:rsidP="00BB12CB">
            <w:pPr>
              <w:pStyle w:val="Tabletext"/>
              <w:rPr>
                <w:lang w:eastAsia="en-AU"/>
              </w:rPr>
            </w:pPr>
            <w:r w:rsidRPr="00FA2319">
              <w:rPr>
                <w:lang w:eastAsia="en-AU"/>
              </w:rPr>
              <w:t>Cohort 12</w:t>
            </w:r>
          </w:p>
        </w:tc>
        <w:tc>
          <w:tcPr>
            <w:tcW w:w="2708" w:type="dxa"/>
          </w:tcPr>
          <w:p w14:paraId="571BC9DA" w14:textId="77777777" w:rsidR="00BB12CB" w:rsidRPr="00FA2319" w:rsidRDefault="00BB12CB" w:rsidP="00BB12CB">
            <w:pPr>
              <w:pStyle w:val="Tabletext"/>
              <w:rPr>
                <w:lang w:eastAsia="en-AU"/>
              </w:rPr>
            </w:pPr>
            <w:r w:rsidRPr="00FA2319">
              <w:rPr>
                <w:lang w:eastAsia="en-AU"/>
              </w:rPr>
              <w:t>1.89***</w:t>
            </w:r>
          </w:p>
        </w:tc>
      </w:tr>
      <w:tr w:rsidR="00BB12CB" w:rsidRPr="00FA2319" w14:paraId="635474FB"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1C62E33F" w14:textId="77777777" w:rsidR="00BB12CB" w:rsidRPr="00FA2319" w:rsidRDefault="00BB12CB" w:rsidP="00BB12CB">
            <w:pPr>
              <w:pStyle w:val="Tabletext"/>
              <w:rPr>
                <w:lang w:eastAsia="en-AU"/>
              </w:rPr>
            </w:pPr>
            <w:r w:rsidRPr="00FA2319">
              <w:rPr>
                <w:lang w:eastAsia="en-AU"/>
              </w:rPr>
              <w:t>Cohort 13</w:t>
            </w:r>
          </w:p>
        </w:tc>
        <w:tc>
          <w:tcPr>
            <w:tcW w:w="2708" w:type="dxa"/>
          </w:tcPr>
          <w:p w14:paraId="18B498BE" w14:textId="77777777" w:rsidR="00BB12CB" w:rsidRPr="00FA2319" w:rsidRDefault="00BB12CB" w:rsidP="00BB12CB">
            <w:pPr>
              <w:pStyle w:val="Tabletext"/>
              <w:rPr>
                <w:lang w:eastAsia="en-AU"/>
              </w:rPr>
            </w:pPr>
            <w:r w:rsidRPr="00FA2319">
              <w:rPr>
                <w:lang w:eastAsia="en-AU"/>
              </w:rPr>
              <w:t>1.58***</w:t>
            </w:r>
          </w:p>
        </w:tc>
      </w:tr>
      <w:tr w:rsidR="00BB12CB" w:rsidRPr="00FA2319" w14:paraId="606C1EB5" w14:textId="77777777" w:rsidTr="00BB12CB">
        <w:trPr>
          <w:cnfStyle w:val="000000010000" w:firstRow="0" w:lastRow="0" w:firstColumn="0" w:lastColumn="0" w:oddVBand="0" w:evenVBand="0" w:oddHBand="0" w:evenHBand="1" w:firstRowFirstColumn="0" w:firstRowLastColumn="0" w:lastRowFirstColumn="0" w:lastRowLastColumn="0"/>
          <w:trHeight w:val="220"/>
        </w:trPr>
        <w:tc>
          <w:tcPr>
            <w:tcW w:w="4005" w:type="dxa"/>
          </w:tcPr>
          <w:p w14:paraId="3A18B7B9" w14:textId="77777777" w:rsidR="00BB12CB" w:rsidRPr="00FA2319" w:rsidRDefault="00BB12CB" w:rsidP="00BB12CB">
            <w:pPr>
              <w:pStyle w:val="Tabletext"/>
              <w:rPr>
                <w:lang w:eastAsia="en-AU"/>
              </w:rPr>
            </w:pPr>
            <w:r w:rsidRPr="00FA2319">
              <w:rPr>
                <w:lang w:eastAsia="en-AU"/>
              </w:rPr>
              <w:t>Cohort 14</w:t>
            </w:r>
          </w:p>
        </w:tc>
        <w:tc>
          <w:tcPr>
            <w:tcW w:w="2708" w:type="dxa"/>
          </w:tcPr>
          <w:p w14:paraId="614CF551" w14:textId="77777777" w:rsidR="00BB12CB" w:rsidRPr="00FA2319" w:rsidRDefault="00BB12CB" w:rsidP="00BB12CB">
            <w:pPr>
              <w:pStyle w:val="Tabletext"/>
              <w:rPr>
                <w:lang w:eastAsia="en-AU"/>
              </w:rPr>
            </w:pPr>
            <w:r w:rsidRPr="00FA2319">
              <w:rPr>
                <w:lang w:eastAsia="en-AU"/>
              </w:rPr>
              <w:t>1.57***</w:t>
            </w:r>
          </w:p>
        </w:tc>
      </w:tr>
      <w:tr w:rsidR="00BB12CB" w:rsidRPr="00FA2319" w14:paraId="6D0DFAB9"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2EE2F061" w14:textId="77777777" w:rsidR="00BB12CB" w:rsidRPr="00FA2319" w:rsidRDefault="00BB12CB" w:rsidP="00BB12CB">
            <w:pPr>
              <w:pStyle w:val="Tabletext"/>
              <w:rPr>
                <w:lang w:eastAsia="en-AU"/>
              </w:rPr>
            </w:pPr>
            <w:r w:rsidRPr="00FA2319">
              <w:rPr>
                <w:lang w:eastAsia="en-AU"/>
              </w:rPr>
              <w:lastRenderedPageBreak/>
              <w:t>Cohort 15</w:t>
            </w:r>
          </w:p>
        </w:tc>
        <w:tc>
          <w:tcPr>
            <w:tcW w:w="2708" w:type="dxa"/>
          </w:tcPr>
          <w:p w14:paraId="532C7EEC" w14:textId="77777777" w:rsidR="00BB12CB" w:rsidRPr="00FA2319" w:rsidRDefault="00BB12CB" w:rsidP="00BB12CB">
            <w:pPr>
              <w:pStyle w:val="Tabletext"/>
              <w:rPr>
                <w:lang w:eastAsia="en-AU"/>
              </w:rPr>
            </w:pPr>
            <w:r w:rsidRPr="00FA2319">
              <w:rPr>
                <w:lang w:eastAsia="en-AU"/>
              </w:rPr>
              <w:t>0.55***</w:t>
            </w:r>
          </w:p>
        </w:tc>
      </w:tr>
      <w:tr w:rsidR="00BB12CB" w:rsidRPr="00FA2319" w14:paraId="4C631FC4" w14:textId="77777777" w:rsidTr="00BB12CB">
        <w:trPr>
          <w:cnfStyle w:val="000000010000" w:firstRow="0" w:lastRow="0" w:firstColumn="0" w:lastColumn="0" w:oddVBand="0" w:evenVBand="0" w:oddHBand="0" w:evenHBand="1" w:firstRowFirstColumn="0" w:firstRowLastColumn="0" w:lastRowFirstColumn="0" w:lastRowLastColumn="0"/>
          <w:trHeight w:val="212"/>
        </w:trPr>
        <w:tc>
          <w:tcPr>
            <w:tcW w:w="4005" w:type="dxa"/>
          </w:tcPr>
          <w:p w14:paraId="4C5886FD" w14:textId="77777777" w:rsidR="00BB12CB" w:rsidRPr="00FA2319" w:rsidRDefault="00BB12CB" w:rsidP="00BB12CB">
            <w:pPr>
              <w:pStyle w:val="Tabletext"/>
              <w:rPr>
                <w:lang w:eastAsia="en-AU"/>
              </w:rPr>
            </w:pPr>
            <w:r w:rsidRPr="00FA2319">
              <w:rPr>
                <w:lang w:eastAsia="en-AU"/>
              </w:rPr>
              <w:t>Constant</w:t>
            </w:r>
          </w:p>
        </w:tc>
        <w:tc>
          <w:tcPr>
            <w:tcW w:w="2708" w:type="dxa"/>
          </w:tcPr>
          <w:p w14:paraId="7B3F7471" w14:textId="77777777" w:rsidR="00BB12CB" w:rsidRPr="00FA2319" w:rsidRDefault="00BB12CB" w:rsidP="00BB12CB">
            <w:pPr>
              <w:pStyle w:val="Tabletext"/>
              <w:rPr>
                <w:lang w:eastAsia="en-AU"/>
              </w:rPr>
            </w:pPr>
            <w:r w:rsidRPr="00FA2319">
              <w:rPr>
                <w:lang w:eastAsia="en-AU"/>
              </w:rPr>
              <w:t>-5.88***</w:t>
            </w:r>
          </w:p>
        </w:tc>
      </w:tr>
      <w:tr w:rsidR="00BB12CB" w:rsidRPr="00FA2319" w14:paraId="290F8984" w14:textId="77777777" w:rsidTr="00BB12CB">
        <w:trPr>
          <w:cnfStyle w:val="000000100000" w:firstRow="0" w:lastRow="0" w:firstColumn="0" w:lastColumn="0" w:oddVBand="0" w:evenVBand="0" w:oddHBand="1" w:evenHBand="0" w:firstRowFirstColumn="0" w:firstRowLastColumn="0" w:lastRowFirstColumn="0" w:lastRowLastColumn="0"/>
          <w:trHeight w:val="212"/>
        </w:trPr>
        <w:tc>
          <w:tcPr>
            <w:tcW w:w="4005" w:type="dxa"/>
          </w:tcPr>
          <w:p w14:paraId="11C680D7" w14:textId="77777777" w:rsidR="00BB12CB" w:rsidRPr="00FA2319" w:rsidRDefault="00BB12CB" w:rsidP="00BB12CB">
            <w:pPr>
              <w:pStyle w:val="Tabletext"/>
              <w:rPr>
                <w:lang w:eastAsia="en-AU"/>
              </w:rPr>
            </w:pPr>
            <w:r w:rsidRPr="00FA2319">
              <w:rPr>
                <w:lang w:eastAsia="en-AU"/>
              </w:rPr>
              <w:t>n</w:t>
            </w:r>
          </w:p>
        </w:tc>
        <w:tc>
          <w:tcPr>
            <w:tcW w:w="2708" w:type="dxa"/>
          </w:tcPr>
          <w:p w14:paraId="07497B65" w14:textId="77777777" w:rsidR="00BB12CB" w:rsidRPr="00FA2319" w:rsidRDefault="00BB12CB" w:rsidP="00BB12CB">
            <w:pPr>
              <w:pStyle w:val="Tabletext"/>
              <w:rPr>
                <w:lang w:eastAsia="en-AU"/>
              </w:rPr>
            </w:pPr>
            <w:r w:rsidRPr="00FA2319">
              <w:rPr>
                <w:lang w:eastAsia="en-AU"/>
              </w:rPr>
              <w:t>199,499</w:t>
            </w:r>
          </w:p>
        </w:tc>
      </w:tr>
      <w:tr w:rsidR="00BB12CB" w:rsidRPr="00FA2319" w14:paraId="493F9933" w14:textId="77777777" w:rsidTr="00BB12CB">
        <w:trPr>
          <w:cnfStyle w:val="000000010000" w:firstRow="0" w:lastRow="0" w:firstColumn="0" w:lastColumn="0" w:oddVBand="0" w:evenVBand="0" w:oddHBand="0" w:evenHBand="1" w:firstRowFirstColumn="0" w:firstRowLastColumn="0" w:lastRowFirstColumn="0" w:lastRowLastColumn="0"/>
          <w:trHeight w:val="231"/>
        </w:trPr>
        <w:tc>
          <w:tcPr>
            <w:tcW w:w="4005" w:type="dxa"/>
          </w:tcPr>
          <w:p w14:paraId="541B4CCB" w14:textId="77777777" w:rsidR="00BB12CB" w:rsidRPr="00FA2319" w:rsidRDefault="00BB12CB" w:rsidP="00BB12CB">
            <w:pPr>
              <w:pStyle w:val="Tabletext"/>
              <w:rPr>
                <w:lang w:eastAsia="en-AU"/>
              </w:rPr>
            </w:pPr>
            <w:r w:rsidRPr="00FA2319">
              <w:rPr>
                <w:lang w:eastAsia="en-AU"/>
              </w:rPr>
              <w:t xml:space="preserve">LR </w:t>
            </w:r>
            <w:r w:rsidRPr="00FA2319">
              <w:rPr>
                <w:rFonts w:hint="eastAsia"/>
                <w:lang w:eastAsia="en-AU"/>
              </w:rPr>
              <w:t>χ</w:t>
            </w:r>
            <w:r w:rsidRPr="00FA2319">
              <w:rPr>
                <w:lang w:eastAsia="en-AU"/>
              </w:rPr>
              <w:t>²(30)</w:t>
            </w:r>
          </w:p>
        </w:tc>
        <w:tc>
          <w:tcPr>
            <w:tcW w:w="2708" w:type="dxa"/>
          </w:tcPr>
          <w:p w14:paraId="365DD84C" w14:textId="77777777" w:rsidR="00BB12CB" w:rsidRPr="00FA2319" w:rsidRDefault="00BB12CB" w:rsidP="00BB12CB">
            <w:pPr>
              <w:pStyle w:val="Tabletext"/>
              <w:rPr>
                <w:lang w:eastAsia="en-AU"/>
              </w:rPr>
            </w:pPr>
            <w:r w:rsidRPr="00FA2319">
              <w:rPr>
                <w:lang w:eastAsia="en-AU"/>
              </w:rPr>
              <w:t>5188.36</w:t>
            </w:r>
          </w:p>
        </w:tc>
      </w:tr>
      <w:tr w:rsidR="00BB12CB" w:rsidRPr="00FA2319" w14:paraId="20948268" w14:textId="77777777" w:rsidTr="00BB12CB">
        <w:trPr>
          <w:cnfStyle w:val="000000100000" w:firstRow="0" w:lastRow="0" w:firstColumn="0" w:lastColumn="0" w:oddVBand="0" w:evenVBand="0" w:oddHBand="1" w:evenHBand="0" w:firstRowFirstColumn="0" w:firstRowLastColumn="0" w:lastRowFirstColumn="0" w:lastRowLastColumn="0"/>
          <w:trHeight w:val="231"/>
        </w:trPr>
        <w:tc>
          <w:tcPr>
            <w:tcW w:w="4005" w:type="dxa"/>
          </w:tcPr>
          <w:p w14:paraId="27E51F35" w14:textId="77777777" w:rsidR="00BB12CB" w:rsidRPr="00FA2319" w:rsidRDefault="00BB12CB" w:rsidP="00BB12CB">
            <w:pPr>
              <w:pStyle w:val="Tabletext"/>
              <w:rPr>
                <w:lang w:eastAsia="en-AU"/>
              </w:rPr>
            </w:pPr>
            <w:r w:rsidRPr="00FA2319">
              <w:rPr>
                <w:lang w:eastAsia="en-AU"/>
              </w:rPr>
              <w:t xml:space="preserve">Prob &gt; </w:t>
            </w:r>
            <w:r w:rsidRPr="00FA2319">
              <w:rPr>
                <w:rFonts w:hint="eastAsia"/>
                <w:lang w:eastAsia="en-AU"/>
              </w:rPr>
              <w:t>χ</w:t>
            </w:r>
            <w:r w:rsidRPr="00FA2319">
              <w:rPr>
                <w:lang w:eastAsia="en-AU"/>
              </w:rPr>
              <w:t>²</w:t>
            </w:r>
          </w:p>
        </w:tc>
        <w:tc>
          <w:tcPr>
            <w:tcW w:w="2708" w:type="dxa"/>
          </w:tcPr>
          <w:p w14:paraId="1BEAFA64" w14:textId="77777777" w:rsidR="00BB12CB" w:rsidRPr="00FA2319" w:rsidRDefault="00BB12CB" w:rsidP="00BB12CB">
            <w:pPr>
              <w:pStyle w:val="Tabletext"/>
              <w:rPr>
                <w:lang w:eastAsia="en-AU"/>
              </w:rPr>
            </w:pPr>
            <w:r w:rsidRPr="00FA2319">
              <w:rPr>
                <w:lang w:eastAsia="en-AU"/>
              </w:rPr>
              <w:t>0.000</w:t>
            </w:r>
          </w:p>
        </w:tc>
      </w:tr>
    </w:tbl>
    <w:p w14:paraId="125C160A" w14:textId="77777777" w:rsidR="00BB12CB" w:rsidRPr="00FA2319" w:rsidRDefault="00BB12CB" w:rsidP="00E06A88">
      <w:pPr>
        <w:pStyle w:val="Note"/>
        <w:rPr>
          <w:lang w:eastAsia="en-AU"/>
        </w:rPr>
      </w:pPr>
    </w:p>
    <w:p w14:paraId="72B92BFA" w14:textId="71C642F0" w:rsidR="002312F5" w:rsidRPr="00FA2319" w:rsidRDefault="002312F5" w:rsidP="00E06A88">
      <w:pPr>
        <w:pStyle w:val="Note"/>
        <w:rPr>
          <w:lang w:eastAsia="en-AU"/>
        </w:rPr>
      </w:pPr>
      <w:r w:rsidRPr="00FA2319">
        <w:rPr>
          <w:lang w:eastAsia="en-AU"/>
        </w:rPr>
        <w:t xml:space="preserve">Notes: </w:t>
      </w:r>
      <w:r w:rsidR="00345674" w:rsidRPr="00FA2319">
        <w:rPr>
          <w:lang w:eastAsia="en-AU"/>
        </w:rPr>
        <w:t>***significant at 1 per cent **significant at 5 per cent *significant at 10 per cent</w:t>
      </w:r>
    </w:p>
    <w:p w14:paraId="46C51ECA" w14:textId="12F12702" w:rsidR="000C24EF" w:rsidRPr="00FA2319" w:rsidRDefault="00125718" w:rsidP="00E71CE7">
      <w:pPr>
        <w:pStyle w:val="Source"/>
      </w:pPr>
      <w:r w:rsidRPr="00FA2319">
        <w:t>Source: BLADE (2001</w:t>
      </w:r>
      <w:r w:rsidR="00FF1370" w:rsidRPr="00FA2319">
        <w:t>–</w:t>
      </w:r>
      <w:r w:rsidRPr="00FA2319">
        <w:t>02 to 2014</w:t>
      </w:r>
      <w:r w:rsidR="00FF1370" w:rsidRPr="00FA2319">
        <w:t>–</w:t>
      </w:r>
      <w:r w:rsidRPr="00FA2319">
        <w:t>15) Author’s calculations</w:t>
      </w:r>
    </w:p>
    <w:p w14:paraId="0F9CEED6" w14:textId="6C000F78" w:rsidR="00BB12CB" w:rsidRDefault="00BB12CB" w:rsidP="00BB12CB">
      <w:pPr>
        <w:pStyle w:val="BodyText"/>
        <w:rPr>
          <w:lang w:val="en"/>
        </w:rPr>
      </w:pPr>
    </w:p>
    <w:p w14:paraId="0C0D0EDE" w14:textId="77777777" w:rsidR="00BB12CB" w:rsidRPr="00BB12CB" w:rsidRDefault="00BB12CB" w:rsidP="00BB12CB">
      <w:pPr>
        <w:pStyle w:val="BodyText"/>
        <w:rPr>
          <w:lang w:val="en"/>
        </w:rPr>
      </w:pPr>
    </w:p>
    <w:p w14:paraId="5279EA96" w14:textId="5A451208" w:rsidR="00503765" w:rsidRPr="00021E92" w:rsidRDefault="008720F0" w:rsidP="00954FD6">
      <w:pPr>
        <w:pStyle w:val="Heading6"/>
        <w:rPr>
          <w:b w:val="0"/>
        </w:rPr>
      </w:pPr>
      <w:r w:rsidRPr="00021E92">
        <w:rPr>
          <w:b w:val="0"/>
        </w:rPr>
        <w:lastRenderedPageBreak/>
        <w:t xml:space="preserve">– </w:t>
      </w:r>
      <w:r w:rsidR="00F117DC" w:rsidRPr="00021E92">
        <w:rPr>
          <w:b w:val="0"/>
        </w:rPr>
        <w:t xml:space="preserve">Performance </w:t>
      </w:r>
      <w:r w:rsidR="00C652FA" w:rsidRPr="00021E92">
        <w:rPr>
          <w:b w:val="0"/>
        </w:rPr>
        <w:t xml:space="preserve">by firm size </w:t>
      </w:r>
      <w:r w:rsidR="00503765" w:rsidRPr="00021E92">
        <w:rPr>
          <w:b w:val="0"/>
        </w:rPr>
        <w:t xml:space="preserve"> </w:t>
      </w:r>
    </w:p>
    <w:p w14:paraId="521A378B" w14:textId="0BFB0A7C" w:rsidR="00115450" w:rsidRPr="00C60BCD" w:rsidRDefault="00115450" w:rsidP="00A03FA3">
      <w:pPr>
        <w:pStyle w:val="BodyText"/>
      </w:pPr>
      <w:r>
        <w:rPr>
          <w:lang w:val="en"/>
        </w:rPr>
        <w:t xml:space="preserve">Please note four year changes for micro firms were unable to be calculated for turnover, employment, export sales and capital expenditure growth due to insufficient sample </w:t>
      </w:r>
      <w:r w:rsidR="009F0639">
        <w:rPr>
          <w:lang w:val="en"/>
        </w:rPr>
        <w:t>n</w:t>
      </w:r>
      <w:r w:rsidR="0080341C">
        <w:rPr>
          <w:lang w:val="en"/>
        </w:rPr>
        <w:t>umbers</w:t>
      </w:r>
      <w:r>
        <w:rPr>
          <w:lang w:val="en"/>
        </w:rPr>
        <w:t>.</w:t>
      </w:r>
    </w:p>
    <w:p w14:paraId="6238A68D" w14:textId="7C32A393" w:rsidR="00C652FA" w:rsidRDefault="00C652FA" w:rsidP="00C652FA">
      <w:pPr>
        <w:pStyle w:val="Caption"/>
      </w:pPr>
      <w:r>
        <w:t>Figure</w:t>
      </w:r>
      <w:r w:rsidRPr="000618FB">
        <w:t xml:space="preserve"> </w:t>
      </w:r>
      <w:r w:rsidR="007B5C95">
        <w:t>C.1</w:t>
      </w:r>
      <w:r>
        <w:t>: Growth in turnover</w:t>
      </w:r>
      <w:r w:rsidRPr="005413EC">
        <w:t xml:space="preserve"> ($, 000),</w:t>
      </w:r>
      <w:r>
        <w:t xml:space="preserve"> average treatment effect, pooled across cohorts, by firm size </w:t>
      </w:r>
    </w:p>
    <w:p w14:paraId="325A5B58" w14:textId="13265F30" w:rsidR="00C652FA" w:rsidRPr="00FA474A" w:rsidRDefault="00C043B3" w:rsidP="00C652FA">
      <w:pPr>
        <w:pStyle w:val="Placeholder"/>
      </w:pPr>
      <w:r>
        <w:rPr>
          <w:noProof/>
          <w:lang w:eastAsia="en-AU"/>
        </w:rPr>
        <w:drawing>
          <wp:inline distT="0" distB="0" distL="0" distR="0" wp14:anchorId="421E8270" wp14:editId="46A0D4FF">
            <wp:extent cx="4377690" cy="2626360"/>
            <wp:effectExtent l="0" t="0" r="3810" b="2540"/>
            <wp:docPr id="28" name="Chart 28" descr="This chart shows Micro EC firms are driving growth in additionality in turnover growth, followed by medim firms. " title="Figure C.1: Growth in turnover ($, 000), average treatment effect, pooled across cohorts, by firm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F6F1CEE" w14:textId="77777777" w:rsidR="00C652FA" w:rsidRPr="00CB4BB4" w:rsidRDefault="00C652FA" w:rsidP="00C652FA">
      <w:pPr>
        <w:pStyle w:val="Placeholder"/>
      </w:pPr>
      <w:r w:rsidRPr="00EF191D">
        <w:rPr>
          <w:noProof/>
          <w:lang w:eastAsia="en-AU"/>
        </w:rPr>
        <w:t xml:space="preserve"> </w:t>
      </w:r>
    </w:p>
    <w:p w14:paraId="74B5A7C1" w14:textId="7CC8E9D8" w:rsidR="00C652FA" w:rsidRPr="00C62F3A" w:rsidRDefault="00C652FA" w:rsidP="00C652FA">
      <w:pPr>
        <w:pStyle w:val="Note"/>
      </w:pPr>
      <w:r>
        <w:t xml:space="preserve">Notes: </w:t>
      </w:r>
      <w:r w:rsidRPr="00596C64">
        <w:t xml:space="preserve">Length of the bars depicts the premium </w:t>
      </w:r>
      <w:r>
        <w:t>growth in turnover</w:t>
      </w:r>
      <w:r w:rsidRPr="00596C64">
        <w:t xml:space="preserve"> change relative to the counterfactual.</w:t>
      </w:r>
      <w:r>
        <w:t xml:space="preserve"> Missing bars signify results that are not statistically significant.</w:t>
      </w:r>
      <w:r w:rsidR="000C618E">
        <w:t xml:space="preserve"> Four year changes for micro firms were unable to be calculated due to insufficient sample numbers.</w:t>
      </w:r>
    </w:p>
    <w:p w14:paraId="77F19A62" w14:textId="77777777" w:rsidR="00C652FA" w:rsidRDefault="00C652FA" w:rsidP="00C652FA">
      <w:pPr>
        <w:pStyle w:val="Source"/>
      </w:pPr>
      <w:r>
        <w:t xml:space="preserve">Source: </w:t>
      </w:r>
      <w:r w:rsidRPr="008B43DD">
        <w:t xml:space="preserve">BLADE </w:t>
      </w:r>
      <w:r>
        <w:t>(2001–02 to 2014–15)</w:t>
      </w:r>
      <w:r w:rsidRPr="008B43DD">
        <w:t xml:space="preserve"> Author’s calculations</w:t>
      </w:r>
    </w:p>
    <w:p w14:paraId="2C458F19" w14:textId="05B3D994" w:rsidR="002C31C6" w:rsidRDefault="002C31C6" w:rsidP="002C31C6">
      <w:pPr>
        <w:pStyle w:val="Caption"/>
      </w:pPr>
      <w:r>
        <w:lastRenderedPageBreak/>
        <w:t>Figure</w:t>
      </w:r>
      <w:r w:rsidRPr="000618FB">
        <w:t xml:space="preserve"> </w:t>
      </w:r>
      <w:r w:rsidR="007B5C95">
        <w:t>C.2</w:t>
      </w:r>
      <w:r>
        <w:t xml:space="preserve">: Growth in employment (number of FTE), average treatment effect, pooled across cohorts, by firm size </w:t>
      </w:r>
    </w:p>
    <w:p w14:paraId="038F8E53" w14:textId="6A55166F" w:rsidR="002C31C6" w:rsidRPr="00CB4BB4" w:rsidRDefault="002C31C6" w:rsidP="002C31C6">
      <w:pPr>
        <w:pStyle w:val="Placeholder"/>
      </w:pPr>
      <w:r w:rsidRPr="00EF191D">
        <w:rPr>
          <w:noProof/>
          <w:lang w:eastAsia="en-AU"/>
        </w:rPr>
        <w:t xml:space="preserve"> </w:t>
      </w:r>
      <w:r w:rsidR="00C043B3">
        <w:rPr>
          <w:noProof/>
          <w:lang w:eastAsia="en-AU"/>
        </w:rPr>
        <w:drawing>
          <wp:inline distT="0" distB="0" distL="0" distR="0" wp14:anchorId="5D4A8840" wp14:editId="2A88E416">
            <wp:extent cx="4377690" cy="2626360"/>
            <wp:effectExtent l="0" t="0" r="3810" b="2540"/>
            <wp:docPr id="27" name="Chart 27" descr="This chart shows Micro EC firms are driving growth in additionality in employment growth, followed by medim firms. " title="Figure C.2: Growth in employment (number of FTE), average treatment effect, pooled across cohorts, by firm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553C146" w14:textId="595659CD" w:rsidR="002C31C6" w:rsidRPr="00C62F3A" w:rsidRDefault="002C31C6" w:rsidP="002C31C6">
      <w:pPr>
        <w:pStyle w:val="Note"/>
      </w:pPr>
      <w:r>
        <w:t xml:space="preserve">Notes: </w:t>
      </w:r>
      <w:r w:rsidRPr="00596C64">
        <w:t>Length of the bars depicts the premium in employment change relative to the counterfactual.</w:t>
      </w:r>
      <w:r>
        <w:t xml:space="preserve"> Missing bars signify results that are not statistically significant.</w:t>
      </w:r>
      <w:r w:rsidR="000C618E">
        <w:t xml:space="preserve"> Four year changes for micro firms were unable to be calculated due to insufficient sample numbers.</w:t>
      </w:r>
    </w:p>
    <w:p w14:paraId="51B04A8E" w14:textId="663E1882" w:rsidR="007B5C95" w:rsidRDefault="00D63922" w:rsidP="00D63922">
      <w:pPr>
        <w:pStyle w:val="Source"/>
      </w:pPr>
      <w:r w:rsidRPr="00FA2319">
        <w:t>Source: BLADE (2001–02 to 2014–15) Author’s calculations</w:t>
      </w:r>
    </w:p>
    <w:p w14:paraId="0100755C" w14:textId="4A4B67DE" w:rsidR="007B5C95" w:rsidRDefault="007B5C95" w:rsidP="007B5C95">
      <w:pPr>
        <w:pStyle w:val="Caption"/>
      </w:pPr>
      <w:r>
        <w:t>Figure</w:t>
      </w:r>
      <w:r w:rsidRPr="000618FB">
        <w:t xml:space="preserve"> </w:t>
      </w:r>
      <w:r w:rsidR="00C043B3">
        <w:t>C.</w:t>
      </w:r>
      <w:r>
        <w:t xml:space="preserve">3: Growth in export sales </w:t>
      </w:r>
      <w:r w:rsidRPr="005413EC">
        <w:t>($, 000),</w:t>
      </w:r>
      <w:r>
        <w:t xml:space="preserve"> average treatment effect, pooled across cohorts</w:t>
      </w:r>
      <w:r w:rsidR="00391E68">
        <w:t xml:space="preserve">, by firm size </w:t>
      </w:r>
    </w:p>
    <w:p w14:paraId="09A306D1" w14:textId="0E38002B" w:rsidR="007B5C95" w:rsidRPr="00CB4BB4" w:rsidRDefault="00C043B3" w:rsidP="007B5C95">
      <w:pPr>
        <w:pStyle w:val="Placeholder"/>
      </w:pPr>
      <w:r>
        <w:rPr>
          <w:noProof/>
          <w:lang w:eastAsia="en-AU"/>
        </w:rPr>
        <w:drawing>
          <wp:inline distT="0" distB="0" distL="0" distR="0" wp14:anchorId="156B36A2" wp14:editId="42243B1A">
            <wp:extent cx="4377690" cy="2626360"/>
            <wp:effectExtent l="0" t="0" r="3810" b="2540"/>
            <wp:docPr id="29" name="Chart 29" descr="This figure shows EC micro firms have positive additionality in export sales growth, while EC medium firms have negative growth. " title="Figure C.3: Growth in export sales ($, 000), average treatment effect, pooled across cohorts, by firm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E4942D6" w14:textId="60BFEB95" w:rsidR="007B5C95" w:rsidRPr="00C62F3A" w:rsidRDefault="007B5C95" w:rsidP="007B5C95">
      <w:pPr>
        <w:pStyle w:val="Note"/>
      </w:pPr>
      <w:r>
        <w:t xml:space="preserve">Notes: </w:t>
      </w:r>
      <w:r w:rsidRPr="00E462D0">
        <w:t xml:space="preserve">Length of the bars depicts the premium growth in </w:t>
      </w:r>
      <w:r>
        <w:t>export sales</w:t>
      </w:r>
      <w:r w:rsidRPr="00E462D0">
        <w:t xml:space="preserve"> change relative to the counterfactual.</w:t>
      </w:r>
      <w:r>
        <w:t xml:space="preserve"> Missing bars signify results that are not statistically significant. </w:t>
      </w:r>
      <w:r w:rsidR="000C618E">
        <w:t>Four year changes for micro firms were unable to be calculated due to insufficient sample numbers.</w:t>
      </w:r>
    </w:p>
    <w:p w14:paraId="6B95F8F3" w14:textId="77777777" w:rsidR="007B5C95" w:rsidRDefault="007B5C95" w:rsidP="007B5C95">
      <w:pPr>
        <w:pStyle w:val="Source"/>
      </w:pPr>
      <w:r>
        <w:t xml:space="preserve">Source: </w:t>
      </w:r>
      <w:r w:rsidRPr="008B43DD">
        <w:t xml:space="preserve">BLADE </w:t>
      </w:r>
      <w:r>
        <w:t>(2001–02 to 2014–15)</w:t>
      </w:r>
      <w:r w:rsidRPr="008B43DD">
        <w:t xml:space="preserve"> Author’s calculations</w:t>
      </w:r>
    </w:p>
    <w:p w14:paraId="35514D9D" w14:textId="77777777" w:rsidR="006B0283" w:rsidRDefault="006B0283" w:rsidP="006B0283">
      <w:pPr>
        <w:pStyle w:val="BodyText"/>
      </w:pPr>
    </w:p>
    <w:p w14:paraId="05E3E570" w14:textId="77777777" w:rsidR="00C017D5" w:rsidRPr="00AA6CB7" w:rsidRDefault="00C017D5" w:rsidP="006B0283">
      <w:pPr>
        <w:pStyle w:val="BodyText"/>
      </w:pPr>
    </w:p>
    <w:p w14:paraId="0B1B61BF" w14:textId="68739F6B" w:rsidR="006B0283" w:rsidRDefault="006B0283" w:rsidP="006B0283">
      <w:pPr>
        <w:pStyle w:val="Caption"/>
      </w:pPr>
      <w:r>
        <w:lastRenderedPageBreak/>
        <w:t>Figure</w:t>
      </w:r>
      <w:r w:rsidRPr="000618FB">
        <w:t xml:space="preserve"> </w:t>
      </w:r>
      <w:r>
        <w:t xml:space="preserve">C.4: Growth in capital expenditure </w:t>
      </w:r>
      <w:r w:rsidRPr="005413EC">
        <w:t>($, 000),</w:t>
      </w:r>
      <w:r>
        <w:t xml:space="preserve"> average treatmen</w:t>
      </w:r>
      <w:r w:rsidR="00391E68">
        <w:t xml:space="preserve">t effect, pooled across cohorts, by firm size </w:t>
      </w:r>
    </w:p>
    <w:p w14:paraId="34818A78" w14:textId="599AA233" w:rsidR="006B0283" w:rsidRPr="00CB4BB4" w:rsidRDefault="005907F1" w:rsidP="006B0283">
      <w:pPr>
        <w:pStyle w:val="Placeholder"/>
      </w:pPr>
      <w:r>
        <w:rPr>
          <w:noProof/>
          <w:lang w:eastAsia="en-AU"/>
        </w:rPr>
        <w:drawing>
          <wp:inline distT="0" distB="0" distL="0" distR="0" wp14:anchorId="1C4D651C" wp14:editId="7A1A0F83">
            <wp:extent cx="4377690" cy="2626360"/>
            <wp:effectExtent l="0" t="0" r="3810" b="2540"/>
            <wp:docPr id="31" name="Chart 31" descr="This table shows small firms are driving the additionality in capital expenditure growth by EC participants. " title="Growth in capital expenditure ($, 000), average treatment effect, pooled across cohorts, by firm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8A9EC44" w14:textId="49911BB8" w:rsidR="006B0283" w:rsidRPr="00C62F3A" w:rsidRDefault="006B0283" w:rsidP="006B0283">
      <w:pPr>
        <w:pStyle w:val="Note"/>
      </w:pPr>
      <w:r>
        <w:t xml:space="preserve">Notes: </w:t>
      </w:r>
      <w:r w:rsidRPr="00E462D0">
        <w:t xml:space="preserve">Length of the bars depicts the premium growth in </w:t>
      </w:r>
      <w:r>
        <w:t>capital expenditure</w:t>
      </w:r>
      <w:r w:rsidRPr="00E462D0">
        <w:t xml:space="preserve"> change relative to the counterfactual.</w:t>
      </w:r>
      <w:r>
        <w:t xml:space="preserve"> Missing bars signify results that are not statistically significant. </w:t>
      </w:r>
      <w:r w:rsidR="000C618E">
        <w:t>Four year changes for micro firms were unable to be calculated due to insufficient sample numbers.</w:t>
      </w:r>
    </w:p>
    <w:p w14:paraId="16CA2452" w14:textId="43AEEB4C" w:rsidR="006B0283" w:rsidRDefault="006B0283" w:rsidP="00F2793F">
      <w:pPr>
        <w:pStyle w:val="Source"/>
      </w:pPr>
      <w:r>
        <w:t xml:space="preserve">Source: </w:t>
      </w:r>
      <w:r w:rsidRPr="008B43DD">
        <w:t xml:space="preserve">BLADE </w:t>
      </w:r>
      <w:r>
        <w:t>(2001–02 to 2014–15)</w:t>
      </w:r>
      <w:r w:rsidRPr="008B43DD">
        <w:t xml:space="preserve"> Author’s calculations</w:t>
      </w:r>
    </w:p>
    <w:p w14:paraId="4423DE37" w14:textId="77777777" w:rsidR="00F2793F" w:rsidRDefault="00F2793F" w:rsidP="00F2793F">
      <w:pPr>
        <w:pStyle w:val="Caption"/>
      </w:pPr>
      <w:r w:rsidRPr="00FA2319">
        <w:lastRenderedPageBreak/>
        <w:t>Table C.1: Average treatment effects by firm size</w:t>
      </w:r>
      <w:r>
        <w:t xml:space="preserve"> </w:t>
      </w:r>
    </w:p>
    <w:tbl>
      <w:tblPr>
        <w:tblStyle w:val="OCETable"/>
        <w:tblW w:w="4001" w:type="pct"/>
        <w:tblInd w:w="57" w:type="dxa"/>
        <w:tblLayout w:type="fixed"/>
        <w:tblLook w:val="04A0" w:firstRow="1" w:lastRow="0" w:firstColumn="1" w:lastColumn="0" w:noHBand="0" w:noVBand="1"/>
        <w:tblCaption w:val="Table C.1: Average treatment effects by firm size "/>
        <w:tblDescription w:val="This tables shows a summary of average treatment effects for 2, 3 and 4 years into the future (pooled results) by firm size and outcome (turnover, fte, export sales or capital expenditure growth). "/>
      </w:tblPr>
      <w:tblGrid>
        <w:gridCol w:w="1554"/>
        <w:gridCol w:w="1321"/>
        <w:gridCol w:w="1321"/>
        <w:gridCol w:w="1321"/>
      </w:tblGrid>
      <w:tr w:rsidR="00F2793F" w14:paraId="783C1F1F" w14:textId="77777777" w:rsidTr="00021E92">
        <w:trPr>
          <w:cnfStyle w:val="100000000000" w:firstRow="1" w:lastRow="0" w:firstColumn="0" w:lastColumn="0" w:oddVBand="0" w:evenVBand="0" w:oddHBand="0" w:evenHBand="0" w:firstRowFirstColumn="0" w:firstRowLastColumn="0" w:lastRowFirstColumn="0" w:lastRowLastColumn="0"/>
          <w:tblHeader/>
        </w:trPr>
        <w:tc>
          <w:tcPr>
            <w:tcW w:w="1553" w:type="dxa"/>
          </w:tcPr>
          <w:p w14:paraId="2F10C8FC" w14:textId="77777777" w:rsidR="00F2793F" w:rsidRDefault="00F2793F" w:rsidP="0086753F">
            <w:pPr>
              <w:pStyle w:val="Tableheader"/>
              <w:rPr>
                <w:lang w:eastAsia="en-AU"/>
              </w:rPr>
            </w:pPr>
            <w:r>
              <w:rPr>
                <w:lang w:eastAsia="en-AU"/>
              </w:rPr>
              <w:t>Variable (growth)</w:t>
            </w:r>
          </w:p>
        </w:tc>
        <w:tc>
          <w:tcPr>
            <w:tcW w:w="1321" w:type="dxa"/>
            <w:vAlign w:val="center"/>
          </w:tcPr>
          <w:p w14:paraId="31FB3FB1" w14:textId="77777777" w:rsidR="00F2793F" w:rsidRDefault="00F2793F" w:rsidP="00021E92">
            <w:pPr>
              <w:pStyle w:val="Tableheader"/>
              <w:rPr>
                <w:lang w:eastAsia="en-AU"/>
              </w:rPr>
            </w:pPr>
            <w:r>
              <w:rPr>
                <w:lang w:eastAsia="en-AU"/>
              </w:rPr>
              <w:t>Firm size</w:t>
            </w:r>
          </w:p>
        </w:tc>
        <w:tc>
          <w:tcPr>
            <w:tcW w:w="1321" w:type="dxa"/>
            <w:vAlign w:val="center"/>
          </w:tcPr>
          <w:p w14:paraId="0EC74278" w14:textId="77777777" w:rsidR="00F2793F" w:rsidRDefault="00F2793F" w:rsidP="00021E92">
            <w:pPr>
              <w:pStyle w:val="Tableheader"/>
              <w:rPr>
                <w:lang w:eastAsia="en-AU"/>
              </w:rPr>
            </w:pPr>
            <w:r>
              <w:rPr>
                <w:lang w:eastAsia="en-AU"/>
              </w:rPr>
              <w:t>Years post treatment</w:t>
            </w:r>
          </w:p>
        </w:tc>
        <w:tc>
          <w:tcPr>
            <w:tcW w:w="1321" w:type="dxa"/>
            <w:vAlign w:val="center"/>
          </w:tcPr>
          <w:p w14:paraId="0D4DAEEB" w14:textId="77777777" w:rsidR="00F2793F" w:rsidRDefault="00F2793F" w:rsidP="00021E92">
            <w:pPr>
              <w:pStyle w:val="Tableheader"/>
              <w:rPr>
                <w:lang w:eastAsia="en-AU"/>
              </w:rPr>
            </w:pPr>
            <w:r>
              <w:rPr>
                <w:lang w:eastAsia="en-AU"/>
              </w:rPr>
              <w:t>ATT</w:t>
            </w:r>
          </w:p>
        </w:tc>
      </w:tr>
      <w:tr w:rsidR="00F2793F" w14:paraId="43C5C6FF"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3582D97B" w14:textId="77777777" w:rsidR="00F2793F" w:rsidRPr="00021E92" w:rsidRDefault="00F2793F" w:rsidP="00021E92">
            <w:pPr>
              <w:pStyle w:val="Tabletext"/>
            </w:pPr>
            <w:r w:rsidRPr="00021E92">
              <w:t>Turnover</w:t>
            </w:r>
          </w:p>
        </w:tc>
        <w:tc>
          <w:tcPr>
            <w:tcW w:w="1321" w:type="dxa"/>
            <w:vAlign w:val="bottom"/>
          </w:tcPr>
          <w:p w14:paraId="77DE08D7" w14:textId="77777777" w:rsidR="00F2793F" w:rsidRPr="00021E92" w:rsidRDefault="00F2793F" w:rsidP="00021E92">
            <w:pPr>
              <w:pStyle w:val="Tabletext"/>
            </w:pPr>
            <w:r w:rsidRPr="00021E92">
              <w:t>Medium</w:t>
            </w:r>
          </w:p>
        </w:tc>
        <w:tc>
          <w:tcPr>
            <w:tcW w:w="1321" w:type="dxa"/>
            <w:vAlign w:val="bottom"/>
          </w:tcPr>
          <w:p w14:paraId="1C06130C" w14:textId="77777777" w:rsidR="00F2793F" w:rsidRPr="00021E92" w:rsidRDefault="00F2793F" w:rsidP="00021E92">
            <w:pPr>
              <w:pStyle w:val="Tabletext"/>
            </w:pPr>
            <w:r w:rsidRPr="00021E92">
              <w:t>2Y</w:t>
            </w:r>
          </w:p>
        </w:tc>
        <w:tc>
          <w:tcPr>
            <w:tcW w:w="1321" w:type="dxa"/>
            <w:vAlign w:val="bottom"/>
          </w:tcPr>
          <w:p w14:paraId="30157F6A" w14:textId="77777777" w:rsidR="00F2793F" w:rsidRPr="00021E92" w:rsidRDefault="00F2793F" w:rsidP="00021E92">
            <w:pPr>
              <w:pStyle w:val="Tabletext"/>
            </w:pPr>
            <w:r w:rsidRPr="00021E92">
              <w:t>39.9</w:t>
            </w:r>
          </w:p>
        </w:tc>
      </w:tr>
      <w:tr w:rsidR="00F2793F" w14:paraId="693C3CCF"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156FF50A" w14:textId="77777777" w:rsidR="00F2793F" w:rsidRPr="00021E92" w:rsidRDefault="00F2793F" w:rsidP="00021E92">
            <w:pPr>
              <w:pStyle w:val="Tabletext"/>
            </w:pPr>
            <w:r w:rsidRPr="00021E92">
              <w:t>Turnover</w:t>
            </w:r>
          </w:p>
        </w:tc>
        <w:tc>
          <w:tcPr>
            <w:tcW w:w="1321" w:type="dxa"/>
            <w:vAlign w:val="bottom"/>
          </w:tcPr>
          <w:p w14:paraId="0318304B" w14:textId="77777777" w:rsidR="00F2793F" w:rsidRPr="00021E92" w:rsidRDefault="00F2793F" w:rsidP="00021E92">
            <w:pPr>
              <w:pStyle w:val="Tabletext"/>
            </w:pPr>
            <w:r w:rsidRPr="00021E92">
              <w:t>Medium</w:t>
            </w:r>
          </w:p>
        </w:tc>
        <w:tc>
          <w:tcPr>
            <w:tcW w:w="1321" w:type="dxa"/>
            <w:vAlign w:val="bottom"/>
          </w:tcPr>
          <w:p w14:paraId="52014E70" w14:textId="77777777" w:rsidR="00F2793F" w:rsidRPr="00021E92" w:rsidRDefault="00F2793F" w:rsidP="00021E92">
            <w:pPr>
              <w:pStyle w:val="Tabletext"/>
            </w:pPr>
            <w:r w:rsidRPr="00021E92">
              <w:t>3Y</w:t>
            </w:r>
          </w:p>
        </w:tc>
        <w:tc>
          <w:tcPr>
            <w:tcW w:w="1321" w:type="dxa"/>
            <w:vAlign w:val="bottom"/>
          </w:tcPr>
          <w:p w14:paraId="172B0A71" w14:textId="77777777" w:rsidR="00F2793F" w:rsidRPr="00021E92" w:rsidRDefault="00F2793F" w:rsidP="00021E92">
            <w:pPr>
              <w:pStyle w:val="Tabletext"/>
            </w:pPr>
            <w:r w:rsidRPr="00021E92">
              <w:t>134.1</w:t>
            </w:r>
          </w:p>
        </w:tc>
      </w:tr>
      <w:tr w:rsidR="00F2793F" w14:paraId="46179E9F"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46F5AE09" w14:textId="77777777" w:rsidR="00F2793F" w:rsidRPr="00021E92" w:rsidRDefault="00F2793F" w:rsidP="00021E92">
            <w:pPr>
              <w:pStyle w:val="Tabletext"/>
            </w:pPr>
            <w:r w:rsidRPr="00021E92">
              <w:t>Turnover</w:t>
            </w:r>
          </w:p>
        </w:tc>
        <w:tc>
          <w:tcPr>
            <w:tcW w:w="1321" w:type="dxa"/>
            <w:vAlign w:val="bottom"/>
          </w:tcPr>
          <w:p w14:paraId="5A226B21" w14:textId="77777777" w:rsidR="00F2793F" w:rsidRPr="00021E92" w:rsidRDefault="00F2793F" w:rsidP="00021E92">
            <w:pPr>
              <w:pStyle w:val="Tabletext"/>
            </w:pPr>
            <w:r w:rsidRPr="00021E92">
              <w:t>Medium</w:t>
            </w:r>
          </w:p>
        </w:tc>
        <w:tc>
          <w:tcPr>
            <w:tcW w:w="1321" w:type="dxa"/>
            <w:vAlign w:val="bottom"/>
          </w:tcPr>
          <w:p w14:paraId="7574C559" w14:textId="77777777" w:rsidR="00F2793F" w:rsidRPr="00021E92" w:rsidRDefault="00F2793F" w:rsidP="00021E92">
            <w:pPr>
              <w:pStyle w:val="Tabletext"/>
            </w:pPr>
            <w:r w:rsidRPr="00021E92">
              <w:t>4Y</w:t>
            </w:r>
          </w:p>
        </w:tc>
        <w:tc>
          <w:tcPr>
            <w:tcW w:w="1321" w:type="dxa"/>
            <w:vAlign w:val="bottom"/>
          </w:tcPr>
          <w:p w14:paraId="1BC3EAE9" w14:textId="77777777" w:rsidR="00F2793F" w:rsidRPr="00021E92" w:rsidRDefault="00F2793F" w:rsidP="00021E92">
            <w:pPr>
              <w:pStyle w:val="Tabletext"/>
            </w:pPr>
            <w:r w:rsidRPr="00021E92">
              <w:t>135.8</w:t>
            </w:r>
          </w:p>
        </w:tc>
      </w:tr>
      <w:tr w:rsidR="00F2793F" w14:paraId="26E6BB94"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132D1986" w14:textId="77777777" w:rsidR="00F2793F" w:rsidRPr="00021E92" w:rsidRDefault="00F2793F" w:rsidP="00021E92">
            <w:pPr>
              <w:pStyle w:val="Tabletext"/>
            </w:pPr>
            <w:r w:rsidRPr="00021E92">
              <w:t>Turnover</w:t>
            </w:r>
          </w:p>
        </w:tc>
        <w:tc>
          <w:tcPr>
            <w:tcW w:w="1321" w:type="dxa"/>
            <w:vAlign w:val="bottom"/>
          </w:tcPr>
          <w:p w14:paraId="4438E267" w14:textId="77777777" w:rsidR="00F2793F" w:rsidRPr="00021E92" w:rsidRDefault="00F2793F" w:rsidP="00021E92">
            <w:pPr>
              <w:pStyle w:val="Tabletext"/>
            </w:pPr>
            <w:r w:rsidRPr="00021E92">
              <w:t>Micro</w:t>
            </w:r>
          </w:p>
        </w:tc>
        <w:tc>
          <w:tcPr>
            <w:tcW w:w="1321" w:type="dxa"/>
            <w:vAlign w:val="bottom"/>
          </w:tcPr>
          <w:p w14:paraId="55525026" w14:textId="77777777" w:rsidR="00F2793F" w:rsidRPr="00021E92" w:rsidRDefault="00F2793F" w:rsidP="00021E92">
            <w:pPr>
              <w:pStyle w:val="Tabletext"/>
            </w:pPr>
            <w:r w:rsidRPr="00021E92">
              <w:t>2Y</w:t>
            </w:r>
          </w:p>
        </w:tc>
        <w:tc>
          <w:tcPr>
            <w:tcW w:w="1321" w:type="dxa"/>
            <w:vAlign w:val="bottom"/>
          </w:tcPr>
          <w:p w14:paraId="51D9ADA0" w14:textId="77777777" w:rsidR="00F2793F" w:rsidRPr="00021E92" w:rsidRDefault="00F2793F" w:rsidP="00021E92">
            <w:pPr>
              <w:pStyle w:val="Tabletext"/>
            </w:pPr>
            <w:r w:rsidRPr="00021E92">
              <w:t>153.0</w:t>
            </w:r>
          </w:p>
        </w:tc>
      </w:tr>
      <w:tr w:rsidR="00F2793F" w14:paraId="34B67094"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7CB6D82E" w14:textId="77777777" w:rsidR="00F2793F" w:rsidRPr="00021E92" w:rsidRDefault="00F2793F" w:rsidP="00021E92">
            <w:pPr>
              <w:pStyle w:val="Tabletext"/>
            </w:pPr>
            <w:r w:rsidRPr="00021E92">
              <w:t>Turnover</w:t>
            </w:r>
          </w:p>
        </w:tc>
        <w:tc>
          <w:tcPr>
            <w:tcW w:w="1321" w:type="dxa"/>
            <w:vAlign w:val="bottom"/>
          </w:tcPr>
          <w:p w14:paraId="0D905E7D" w14:textId="77777777" w:rsidR="00F2793F" w:rsidRPr="00021E92" w:rsidRDefault="00F2793F" w:rsidP="00021E92">
            <w:pPr>
              <w:pStyle w:val="Tabletext"/>
            </w:pPr>
            <w:r w:rsidRPr="00021E92">
              <w:t>Micro</w:t>
            </w:r>
          </w:p>
        </w:tc>
        <w:tc>
          <w:tcPr>
            <w:tcW w:w="1321" w:type="dxa"/>
            <w:vAlign w:val="bottom"/>
          </w:tcPr>
          <w:p w14:paraId="7685ABF6" w14:textId="77777777" w:rsidR="00F2793F" w:rsidRPr="00021E92" w:rsidRDefault="00F2793F" w:rsidP="00021E92">
            <w:pPr>
              <w:pStyle w:val="Tabletext"/>
            </w:pPr>
            <w:r w:rsidRPr="00021E92">
              <w:t>3Y</w:t>
            </w:r>
          </w:p>
        </w:tc>
        <w:tc>
          <w:tcPr>
            <w:tcW w:w="1321" w:type="dxa"/>
            <w:vAlign w:val="bottom"/>
          </w:tcPr>
          <w:p w14:paraId="0122F24F" w14:textId="77777777" w:rsidR="00F2793F" w:rsidRPr="00021E92" w:rsidRDefault="00F2793F" w:rsidP="00021E92">
            <w:pPr>
              <w:pStyle w:val="Tabletext"/>
            </w:pPr>
            <w:r w:rsidRPr="00021E92">
              <w:t>300.1</w:t>
            </w:r>
          </w:p>
        </w:tc>
      </w:tr>
      <w:tr w:rsidR="00F2793F" w14:paraId="69654F39"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5609BA3A" w14:textId="77777777" w:rsidR="00F2793F" w:rsidRPr="00021E92" w:rsidRDefault="00F2793F" w:rsidP="00021E92">
            <w:pPr>
              <w:pStyle w:val="Tabletext"/>
            </w:pPr>
            <w:r w:rsidRPr="00021E92">
              <w:t>Turnover</w:t>
            </w:r>
          </w:p>
        </w:tc>
        <w:tc>
          <w:tcPr>
            <w:tcW w:w="1321" w:type="dxa"/>
            <w:vAlign w:val="bottom"/>
          </w:tcPr>
          <w:p w14:paraId="4E3A2DF4" w14:textId="77777777" w:rsidR="00F2793F" w:rsidRPr="00021E92" w:rsidRDefault="00F2793F" w:rsidP="00021E92">
            <w:pPr>
              <w:pStyle w:val="Tabletext"/>
            </w:pPr>
            <w:r w:rsidRPr="00021E92">
              <w:t>Micro</w:t>
            </w:r>
          </w:p>
        </w:tc>
        <w:tc>
          <w:tcPr>
            <w:tcW w:w="1321" w:type="dxa"/>
            <w:vAlign w:val="bottom"/>
          </w:tcPr>
          <w:p w14:paraId="2901DAEF" w14:textId="77777777" w:rsidR="00F2793F" w:rsidRPr="00021E92" w:rsidRDefault="00F2793F" w:rsidP="00021E92">
            <w:pPr>
              <w:pStyle w:val="Tabletext"/>
            </w:pPr>
            <w:r w:rsidRPr="00021E92">
              <w:t>4Y</w:t>
            </w:r>
          </w:p>
        </w:tc>
        <w:tc>
          <w:tcPr>
            <w:tcW w:w="1321" w:type="dxa"/>
            <w:vAlign w:val="bottom"/>
          </w:tcPr>
          <w:p w14:paraId="4738CEE0" w14:textId="77777777" w:rsidR="00F2793F" w:rsidRPr="00021E92" w:rsidRDefault="00F2793F" w:rsidP="00021E92">
            <w:pPr>
              <w:pStyle w:val="Tabletext"/>
            </w:pPr>
            <w:r w:rsidRPr="00021E92">
              <w:t>n/a</w:t>
            </w:r>
          </w:p>
        </w:tc>
      </w:tr>
      <w:tr w:rsidR="00F2793F" w14:paraId="7912986D"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6E9D3477" w14:textId="77777777" w:rsidR="00F2793F" w:rsidRPr="00021E92" w:rsidRDefault="00F2793F" w:rsidP="00021E92">
            <w:pPr>
              <w:pStyle w:val="Tabletext"/>
            </w:pPr>
            <w:r w:rsidRPr="00021E92">
              <w:t>Turnover</w:t>
            </w:r>
          </w:p>
        </w:tc>
        <w:tc>
          <w:tcPr>
            <w:tcW w:w="1321" w:type="dxa"/>
            <w:vAlign w:val="bottom"/>
          </w:tcPr>
          <w:p w14:paraId="1FF2B59D" w14:textId="77777777" w:rsidR="00F2793F" w:rsidRPr="00021E92" w:rsidRDefault="00F2793F" w:rsidP="00021E92">
            <w:pPr>
              <w:pStyle w:val="Tabletext"/>
            </w:pPr>
            <w:r w:rsidRPr="00021E92">
              <w:t>Small</w:t>
            </w:r>
          </w:p>
        </w:tc>
        <w:tc>
          <w:tcPr>
            <w:tcW w:w="1321" w:type="dxa"/>
            <w:vAlign w:val="bottom"/>
          </w:tcPr>
          <w:p w14:paraId="3D2E0F98" w14:textId="77777777" w:rsidR="00F2793F" w:rsidRPr="00021E92" w:rsidRDefault="00F2793F" w:rsidP="00021E92">
            <w:pPr>
              <w:pStyle w:val="Tabletext"/>
            </w:pPr>
            <w:r w:rsidRPr="00021E92">
              <w:t>2Y</w:t>
            </w:r>
          </w:p>
        </w:tc>
        <w:tc>
          <w:tcPr>
            <w:tcW w:w="1321" w:type="dxa"/>
            <w:vAlign w:val="bottom"/>
          </w:tcPr>
          <w:p w14:paraId="2B18FF9B" w14:textId="77777777" w:rsidR="00F2793F" w:rsidRPr="00021E92" w:rsidRDefault="00F2793F" w:rsidP="00021E92">
            <w:pPr>
              <w:pStyle w:val="Tabletext"/>
            </w:pPr>
            <w:r w:rsidRPr="00021E92">
              <w:t>103.7</w:t>
            </w:r>
          </w:p>
        </w:tc>
      </w:tr>
      <w:tr w:rsidR="00F2793F" w14:paraId="60420349"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596E7380" w14:textId="77777777" w:rsidR="00F2793F" w:rsidRPr="00021E92" w:rsidRDefault="00F2793F" w:rsidP="00021E92">
            <w:pPr>
              <w:pStyle w:val="Tabletext"/>
            </w:pPr>
            <w:r w:rsidRPr="00021E92">
              <w:t>Turnover</w:t>
            </w:r>
          </w:p>
        </w:tc>
        <w:tc>
          <w:tcPr>
            <w:tcW w:w="1321" w:type="dxa"/>
            <w:vAlign w:val="bottom"/>
          </w:tcPr>
          <w:p w14:paraId="7D51D089" w14:textId="77777777" w:rsidR="00F2793F" w:rsidRPr="00021E92" w:rsidRDefault="00F2793F" w:rsidP="00021E92">
            <w:pPr>
              <w:pStyle w:val="Tabletext"/>
            </w:pPr>
            <w:r w:rsidRPr="00021E92">
              <w:t>Small</w:t>
            </w:r>
          </w:p>
        </w:tc>
        <w:tc>
          <w:tcPr>
            <w:tcW w:w="1321" w:type="dxa"/>
            <w:vAlign w:val="bottom"/>
          </w:tcPr>
          <w:p w14:paraId="46BA0C35" w14:textId="77777777" w:rsidR="00F2793F" w:rsidRPr="00021E92" w:rsidRDefault="00F2793F" w:rsidP="00021E92">
            <w:pPr>
              <w:pStyle w:val="Tabletext"/>
            </w:pPr>
            <w:r w:rsidRPr="00021E92">
              <w:t>3Y</w:t>
            </w:r>
          </w:p>
        </w:tc>
        <w:tc>
          <w:tcPr>
            <w:tcW w:w="1321" w:type="dxa"/>
            <w:vAlign w:val="bottom"/>
          </w:tcPr>
          <w:p w14:paraId="6A733195" w14:textId="77777777" w:rsidR="00F2793F" w:rsidRPr="00021E92" w:rsidRDefault="00F2793F" w:rsidP="00021E92">
            <w:pPr>
              <w:pStyle w:val="Tabletext"/>
            </w:pPr>
            <w:r w:rsidRPr="00021E92">
              <w:t>174.8</w:t>
            </w:r>
          </w:p>
        </w:tc>
      </w:tr>
      <w:tr w:rsidR="00F2793F" w14:paraId="5FA66F36"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5F84DF69" w14:textId="77777777" w:rsidR="00F2793F" w:rsidRPr="00021E92" w:rsidRDefault="00F2793F" w:rsidP="00021E92">
            <w:pPr>
              <w:pStyle w:val="Tabletext"/>
            </w:pPr>
            <w:r w:rsidRPr="00021E92">
              <w:t>Turnover</w:t>
            </w:r>
          </w:p>
        </w:tc>
        <w:tc>
          <w:tcPr>
            <w:tcW w:w="1321" w:type="dxa"/>
            <w:vAlign w:val="bottom"/>
          </w:tcPr>
          <w:p w14:paraId="077B9B76" w14:textId="77777777" w:rsidR="00F2793F" w:rsidRPr="00021E92" w:rsidRDefault="00F2793F" w:rsidP="00021E92">
            <w:pPr>
              <w:pStyle w:val="Tabletext"/>
            </w:pPr>
            <w:r w:rsidRPr="00021E92">
              <w:t>Small</w:t>
            </w:r>
          </w:p>
        </w:tc>
        <w:tc>
          <w:tcPr>
            <w:tcW w:w="1321" w:type="dxa"/>
            <w:vAlign w:val="bottom"/>
          </w:tcPr>
          <w:p w14:paraId="2C07A8F4" w14:textId="77777777" w:rsidR="00F2793F" w:rsidRPr="00021E92" w:rsidRDefault="00F2793F" w:rsidP="00021E92">
            <w:pPr>
              <w:pStyle w:val="Tabletext"/>
            </w:pPr>
            <w:r w:rsidRPr="00021E92">
              <w:t>4Y</w:t>
            </w:r>
          </w:p>
        </w:tc>
        <w:tc>
          <w:tcPr>
            <w:tcW w:w="1321" w:type="dxa"/>
            <w:vAlign w:val="bottom"/>
          </w:tcPr>
          <w:p w14:paraId="3CE95D20" w14:textId="77777777" w:rsidR="00F2793F" w:rsidRPr="00021E92" w:rsidRDefault="00F2793F" w:rsidP="00021E92">
            <w:pPr>
              <w:pStyle w:val="Tabletext"/>
            </w:pPr>
            <w:r w:rsidRPr="00021E92">
              <w:t>334.5</w:t>
            </w:r>
          </w:p>
        </w:tc>
      </w:tr>
      <w:tr w:rsidR="00F2793F" w14:paraId="43703A50"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0F055B9D" w14:textId="77777777" w:rsidR="00F2793F" w:rsidRPr="00021E92" w:rsidRDefault="00F2793F" w:rsidP="00021E92">
            <w:pPr>
              <w:pStyle w:val="Tabletext"/>
            </w:pPr>
            <w:r w:rsidRPr="00021E92">
              <w:t>FTE</w:t>
            </w:r>
          </w:p>
        </w:tc>
        <w:tc>
          <w:tcPr>
            <w:tcW w:w="1321" w:type="dxa"/>
            <w:vAlign w:val="bottom"/>
          </w:tcPr>
          <w:p w14:paraId="5B984636" w14:textId="77777777" w:rsidR="00F2793F" w:rsidRPr="00021E92" w:rsidRDefault="00F2793F" w:rsidP="00021E92">
            <w:pPr>
              <w:pStyle w:val="Tabletext"/>
            </w:pPr>
            <w:r w:rsidRPr="00021E92">
              <w:t>Medium</w:t>
            </w:r>
          </w:p>
        </w:tc>
        <w:tc>
          <w:tcPr>
            <w:tcW w:w="1321" w:type="dxa"/>
            <w:vAlign w:val="bottom"/>
          </w:tcPr>
          <w:p w14:paraId="7BCA7DF3" w14:textId="77777777" w:rsidR="00F2793F" w:rsidRPr="00021E92" w:rsidRDefault="00F2793F" w:rsidP="00021E92">
            <w:pPr>
              <w:pStyle w:val="Tabletext"/>
            </w:pPr>
            <w:r w:rsidRPr="00021E92">
              <w:t>2Y</w:t>
            </w:r>
          </w:p>
        </w:tc>
        <w:tc>
          <w:tcPr>
            <w:tcW w:w="1321" w:type="dxa"/>
            <w:vAlign w:val="bottom"/>
          </w:tcPr>
          <w:p w14:paraId="224EC88B" w14:textId="77777777" w:rsidR="00F2793F" w:rsidRPr="00021E92" w:rsidRDefault="00F2793F" w:rsidP="00021E92">
            <w:pPr>
              <w:pStyle w:val="Tabletext"/>
            </w:pPr>
            <w:r w:rsidRPr="00021E92">
              <w:t>0.2</w:t>
            </w:r>
          </w:p>
        </w:tc>
      </w:tr>
      <w:tr w:rsidR="00F2793F" w14:paraId="0AD14B9E"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4379E348" w14:textId="77777777" w:rsidR="00F2793F" w:rsidRPr="00021E92" w:rsidRDefault="00F2793F" w:rsidP="00021E92">
            <w:pPr>
              <w:pStyle w:val="Tabletext"/>
            </w:pPr>
            <w:r w:rsidRPr="00021E92">
              <w:t>FTE</w:t>
            </w:r>
          </w:p>
        </w:tc>
        <w:tc>
          <w:tcPr>
            <w:tcW w:w="1321" w:type="dxa"/>
            <w:vAlign w:val="bottom"/>
          </w:tcPr>
          <w:p w14:paraId="3611214A" w14:textId="77777777" w:rsidR="00F2793F" w:rsidRPr="00021E92" w:rsidRDefault="00F2793F" w:rsidP="00021E92">
            <w:pPr>
              <w:pStyle w:val="Tabletext"/>
            </w:pPr>
            <w:r w:rsidRPr="00021E92">
              <w:t>Medium</w:t>
            </w:r>
          </w:p>
        </w:tc>
        <w:tc>
          <w:tcPr>
            <w:tcW w:w="1321" w:type="dxa"/>
            <w:vAlign w:val="bottom"/>
          </w:tcPr>
          <w:p w14:paraId="4A36EF72" w14:textId="77777777" w:rsidR="00F2793F" w:rsidRPr="00021E92" w:rsidRDefault="00F2793F" w:rsidP="00021E92">
            <w:pPr>
              <w:pStyle w:val="Tabletext"/>
            </w:pPr>
            <w:r w:rsidRPr="00021E92">
              <w:t>3Y</w:t>
            </w:r>
          </w:p>
        </w:tc>
        <w:tc>
          <w:tcPr>
            <w:tcW w:w="1321" w:type="dxa"/>
            <w:vAlign w:val="bottom"/>
          </w:tcPr>
          <w:p w14:paraId="388CC0E8" w14:textId="77777777" w:rsidR="00F2793F" w:rsidRPr="00021E92" w:rsidRDefault="00F2793F" w:rsidP="00021E92">
            <w:pPr>
              <w:pStyle w:val="Tabletext"/>
            </w:pPr>
            <w:r w:rsidRPr="00021E92">
              <w:t>0.3</w:t>
            </w:r>
          </w:p>
        </w:tc>
      </w:tr>
      <w:tr w:rsidR="00F2793F" w14:paraId="1FB64DD1"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1A4E9CE1" w14:textId="77777777" w:rsidR="00F2793F" w:rsidRPr="00021E92" w:rsidRDefault="00F2793F" w:rsidP="00021E92">
            <w:pPr>
              <w:pStyle w:val="Tabletext"/>
            </w:pPr>
            <w:r w:rsidRPr="00021E92">
              <w:t>FTE</w:t>
            </w:r>
          </w:p>
        </w:tc>
        <w:tc>
          <w:tcPr>
            <w:tcW w:w="1321" w:type="dxa"/>
            <w:vAlign w:val="bottom"/>
          </w:tcPr>
          <w:p w14:paraId="54E52B38" w14:textId="77777777" w:rsidR="00F2793F" w:rsidRPr="00021E92" w:rsidRDefault="00F2793F" w:rsidP="00021E92">
            <w:pPr>
              <w:pStyle w:val="Tabletext"/>
            </w:pPr>
            <w:r w:rsidRPr="00021E92">
              <w:t>Medium</w:t>
            </w:r>
          </w:p>
        </w:tc>
        <w:tc>
          <w:tcPr>
            <w:tcW w:w="1321" w:type="dxa"/>
            <w:vAlign w:val="bottom"/>
          </w:tcPr>
          <w:p w14:paraId="76B7E81F" w14:textId="77777777" w:rsidR="00F2793F" w:rsidRPr="00021E92" w:rsidRDefault="00F2793F" w:rsidP="00021E92">
            <w:pPr>
              <w:pStyle w:val="Tabletext"/>
            </w:pPr>
            <w:r w:rsidRPr="00021E92">
              <w:t>4Y</w:t>
            </w:r>
          </w:p>
        </w:tc>
        <w:tc>
          <w:tcPr>
            <w:tcW w:w="1321" w:type="dxa"/>
            <w:vAlign w:val="bottom"/>
          </w:tcPr>
          <w:p w14:paraId="0850D2DE" w14:textId="77777777" w:rsidR="00F2793F" w:rsidRPr="00021E92" w:rsidRDefault="00F2793F" w:rsidP="00021E92">
            <w:pPr>
              <w:pStyle w:val="Tabletext"/>
            </w:pPr>
            <w:r w:rsidRPr="00021E92">
              <w:t>0.8</w:t>
            </w:r>
          </w:p>
        </w:tc>
      </w:tr>
      <w:tr w:rsidR="00F2793F" w14:paraId="41B77209"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2FD40320" w14:textId="77777777" w:rsidR="00F2793F" w:rsidRPr="00021E92" w:rsidRDefault="00F2793F" w:rsidP="00021E92">
            <w:pPr>
              <w:pStyle w:val="Tabletext"/>
            </w:pPr>
            <w:r w:rsidRPr="00021E92">
              <w:t>FTE</w:t>
            </w:r>
          </w:p>
        </w:tc>
        <w:tc>
          <w:tcPr>
            <w:tcW w:w="1321" w:type="dxa"/>
            <w:vAlign w:val="bottom"/>
          </w:tcPr>
          <w:p w14:paraId="73889EF1" w14:textId="77777777" w:rsidR="00F2793F" w:rsidRPr="00021E92" w:rsidRDefault="00F2793F" w:rsidP="00021E92">
            <w:pPr>
              <w:pStyle w:val="Tabletext"/>
            </w:pPr>
            <w:r w:rsidRPr="00021E92">
              <w:t>Micro</w:t>
            </w:r>
          </w:p>
        </w:tc>
        <w:tc>
          <w:tcPr>
            <w:tcW w:w="1321" w:type="dxa"/>
            <w:vAlign w:val="bottom"/>
          </w:tcPr>
          <w:p w14:paraId="5B4665DB" w14:textId="77777777" w:rsidR="00F2793F" w:rsidRPr="00021E92" w:rsidRDefault="00F2793F" w:rsidP="00021E92">
            <w:pPr>
              <w:pStyle w:val="Tabletext"/>
            </w:pPr>
            <w:r w:rsidRPr="00021E92">
              <w:t>2Y</w:t>
            </w:r>
          </w:p>
        </w:tc>
        <w:tc>
          <w:tcPr>
            <w:tcW w:w="1321" w:type="dxa"/>
            <w:vAlign w:val="bottom"/>
          </w:tcPr>
          <w:p w14:paraId="36BE6863" w14:textId="77777777" w:rsidR="00F2793F" w:rsidRPr="00021E92" w:rsidRDefault="00F2793F" w:rsidP="00021E92">
            <w:pPr>
              <w:pStyle w:val="Tabletext"/>
            </w:pPr>
            <w:r w:rsidRPr="00021E92">
              <w:t>0.6</w:t>
            </w:r>
          </w:p>
        </w:tc>
      </w:tr>
      <w:tr w:rsidR="00F2793F" w14:paraId="657306EB"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359E9578" w14:textId="77777777" w:rsidR="00F2793F" w:rsidRPr="00021E92" w:rsidRDefault="00F2793F" w:rsidP="00021E92">
            <w:pPr>
              <w:pStyle w:val="Tabletext"/>
            </w:pPr>
            <w:r w:rsidRPr="00021E92">
              <w:t>FTE</w:t>
            </w:r>
          </w:p>
        </w:tc>
        <w:tc>
          <w:tcPr>
            <w:tcW w:w="1321" w:type="dxa"/>
            <w:vAlign w:val="bottom"/>
          </w:tcPr>
          <w:p w14:paraId="1FD8DA0A" w14:textId="77777777" w:rsidR="00F2793F" w:rsidRPr="00021E92" w:rsidRDefault="00F2793F" w:rsidP="00021E92">
            <w:pPr>
              <w:pStyle w:val="Tabletext"/>
            </w:pPr>
            <w:r w:rsidRPr="00021E92">
              <w:t>Micro</w:t>
            </w:r>
          </w:p>
        </w:tc>
        <w:tc>
          <w:tcPr>
            <w:tcW w:w="1321" w:type="dxa"/>
            <w:vAlign w:val="bottom"/>
          </w:tcPr>
          <w:p w14:paraId="5D316302" w14:textId="77777777" w:rsidR="00F2793F" w:rsidRPr="00021E92" w:rsidRDefault="00F2793F" w:rsidP="00021E92">
            <w:pPr>
              <w:pStyle w:val="Tabletext"/>
            </w:pPr>
            <w:r w:rsidRPr="00021E92">
              <w:t>3Y</w:t>
            </w:r>
          </w:p>
        </w:tc>
        <w:tc>
          <w:tcPr>
            <w:tcW w:w="1321" w:type="dxa"/>
            <w:vAlign w:val="bottom"/>
          </w:tcPr>
          <w:p w14:paraId="4AB03877" w14:textId="77777777" w:rsidR="00F2793F" w:rsidRPr="00021E92" w:rsidRDefault="00F2793F" w:rsidP="00021E92">
            <w:pPr>
              <w:pStyle w:val="Tabletext"/>
            </w:pPr>
            <w:r w:rsidRPr="00021E92">
              <w:t>1.3</w:t>
            </w:r>
          </w:p>
        </w:tc>
      </w:tr>
      <w:tr w:rsidR="00F2793F" w14:paraId="117A32DC"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08DD4F79" w14:textId="77777777" w:rsidR="00F2793F" w:rsidRPr="00021E92" w:rsidRDefault="00F2793F" w:rsidP="00021E92">
            <w:pPr>
              <w:pStyle w:val="Tabletext"/>
            </w:pPr>
            <w:r w:rsidRPr="00021E92">
              <w:t>FTE</w:t>
            </w:r>
          </w:p>
        </w:tc>
        <w:tc>
          <w:tcPr>
            <w:tcW w:w="1321" w:type="dxa"/>
            <w:vAlign w:val="bottom"/>
          </w:tcPr>
          <w:p w14:paraId="2D3E903A" w14:textId="77777777" w:rsidR="00F2793F" w:rsidRPr="00021E92" w:rsidRDefault="00F2793F" w:rsidP="00021E92">
            <w:pPr>
              <w:pStyle w:val="Tabletext"/>
            </w:pPr>
            <w:r w:rsidRPr="00021E92">
              <w:t>Micro</w:t>
            </w:r>
          </w:p>
        </w:tc>
        <w:tc>
          <w:tcPr>
            <w:tcW w:w="1321" w:type="dxa"/>
            <w:vAlign w:val="bottom"/>
          </w:tcPr>
          <w:p w14:paraId="542FCE8C" w14:textId="77777777" w:rsidR="00F2793F" w:rsidRPr="00021E92" w:rsidRDefault="00F2793F" w:rsidP="00021E92">
            <w:pPr>
              <w:pStyle w:val="Tabletext"/>
            </w:pPr>
            <w:r w:rsidRPr="00021E92">
              <w:t>4Y</w:t>
            </w:r>
          </w:p>
        </w:tc>
        <w:tc>
          <w:tcPr>
            <w:tcW w:w="1321" w:type="dxa"/>
            <w:vAlign w:val="bottom"/>
          </w:tcPr>
          <w:p w14:paraId="4913A3A8" w14:textId="77777777" w:rsidR="00F2793F" w:rsidRPr="00021E92" w:rsidRDefault="00F2793F" w:rsidP="00021E92">
            <w:pPr>
              <w:pStyle w:val="Tabletext"/>
            </w:pPr>
            <w:r w:rsidRPr="00021E92">
              <w:t>0.0</w:t>
            </w:r>
          </w:p>
        </w:tc>
      </w:tr>
      <w:tr w:rsidR="00F2793F" w14:paraId="6AD0A0AB"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17FDD8B2" w14:textId="77777777" w:rsidR="00F2793F" w:rsidRPr="00021E92" w:rsidRDefault="00F2793F" w:rsidP="00021E92">
            <w:pPr>
              <w:pStyle w:val="Tabletext"/>
            </w:pPr>
            <w:r w:rsidRPr="00021E92">
              <w:t>FTE</w:t>
            </w:r>
          </w:p>
        </w:tc>
        <w:tc>
          <w:tcPr>
            <w:tcW w:w="1321" w:type="dxa"/>
            <w:vAlign w:val="bottom"/>
          </w:tcPr>
          <w:p w14:paraId="006EF60A" w14:textId="77777777" w:rsidR="00F2793F" w:rsidRPr="00021E92" w:rsidRDefault="00F2793F" w:rsidP="00021E92">
            <w:pPr>
              <w:pStyle w:val="Tabletext"/>
            </w:pPr>
            <w:r w:rsidRPr="00021E92">
              <w:t>Small</w:t>
            </w:r>
          </w:p>
        </w:tc>
        <w:tc>
          <w:tcPr>
            <w:tcW w:w="1321" w:type="dxa"/>
            <w:vAlign w:val="bottom"/>
          </w:tcPr>
          <w:p w14:paraId="3BE19B26" w14:textId="77777777" w:rsidR="00F2793F" w:rsidRPr="00021E92" w:rsidRDefault="00F2793F" w:rsidP="00021E92">
            <w:pPr>
              <w:pStyle w:val="Tabletext"/>
            </w:pPr>
            <w:r w:rsidRPr="00021E92">
              <w:t>2Y</w:t>
            </w:r>
          </w:p>
        </w:tc>
        <w:tc>
          <w:tcPr>
            <w:tcW w:w="1321" w:type="dxa"/>
            <w:vAlign w:val="bottom"/>
          </w:tcPr>
          <w:p w14:paraId="5909DF84" w14:textId="77777777" w:rsidR="00F2793F" w:rsidRPr="00021E92" w:rsidRDefault="00F2793F" w:rsidP="00021E92">
            <w:pPr>
              <w:pStyle w:val="Tabletext"/>
            </w:pPr>
            <w:r w:rsidRPr="00021E92">
              <w:t>0.4</w:t>
            </w:r>
          </w:p>
        </w:tc>
      </w:tr>
      <w:tr w:rsidR="00F2793F" w14:paraId="7BDD4906"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60B0B887" w14:textId="77777777" w:rsidR="00F2793F" w:rsidRPr="00021E92" w:rsidRDefault="00F2793F" w:rsidP="00021E92">
            <w:pPr>
              <w:pStyle w:val="Tabletext"/>
            </w:pPr>
            <w:r w:rsidRPr="00021E92">
              <w:t>FTE</w:t>
            </w:r>
          </w:p>
        </w:tc>
        <w:tc>
          <w:tcPr>
            <w:tcW w:w="1321" w:type="dxa"/>
            <w:vAlign w:val="bottom"/>
          </w:tcPr>
          <w:p w14:paraId="76A40F59" w14:textId="77777777" w:rsidR="00F2793F" w:rsidRPr="00021E92" w:rsidRDefault="00F2793F" w:rsidP="00021E92">
            <w:pPr>
              <w:pStyle w:val="Tabletext"/>
            </w:pPr>
            <w:r w:rsidRPr="00021E92">
              <w:t>Small</w:t>
            </w:r>
          </w:p>
        </w:tc>
        <w:tc>
          <w:tcPr>
            <w:tcW w:w="1321" w:type="dxa"/>
            <w:vAlign w:val="bottom"/>
          </w:tcPr>
          <w:p w14:paraId="0EEDB049" w14:textId="77777777" w:rsidR="00F2793F" w:rsidRPr="00021E92" w:rsidRDefault="00F2793F" w:rsidP="00021E92">
            <w:pPr>
              <w:pStyle w:val="Tabletext"/>
            </w:pPr>
            <w:r w:rsidRPr="00021E92">
              <w:t>3Y</w:t>
            </w:r>
          </w:p>
        </w:tc>
        <w:tc>
          <w:tcPr>
            <w:tcW w:w="1321" w:type="dxa"/>
            <w:vAlign w:val="bottom"/>
          </w:tcPr>
          <w:p w14:paraId="4F90AA2C" w14:textId="77777777" w:rsidR="00F2793F" w:rsidRPr="00021E92" w:rsidRDefault="00F2793F" w:rsidP="00021E92">
            <w:pPr>
              <w:pStyle w:val="Tabletext"/>
            </w:pPr>
            <w:r w:rsidRPr="00021E92">
              <w:t>0.8</w:t>
            </w:r>
          </w:p>
        </w:tc>
      </w:tr>
      <w:tr w:rsidR="00F2793F" w14:paraId="423C93F6"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734772B9" w14:textId="77777777" w:rsidR="00F2793F" w:rsidRPr="00021E92" w:rsidRDefault="00F2793F" w:rsidP="00021E92">
            <w:pPr>
              <w:pStyle w:val="Tabletext"/>
            </w:pPr>
            <w:r w:rsidRPr="00021E92">
              <w:t>FTE</w:t>
            </w:r>
          </w:p>
        </w:tc>
        <w:tc>
          <w:tcPr>
            <w:tcW w:w="1321" w:type="dxa"/>
            <w:vAlign w:val="bottom"/>
          </w:tcPr>
          <w:p w14:paraId="170913AD" w14:textId="77777777" w:rsidR="00F2793F" w:rsidRPr="00021E92" w:rsidRDefault="00F2793F" w:rsidP="00021E92">
            <w:pPr>
              <w:pStyle w:val="Tabletext"/>
            </w:pPr>
            <w:r w:rsidRPr="00021E92">
              <w:t>Small</w:t>
            </w:r>
          </w:p>
        </w:tc>
        <w:tc>
          <w:tcPr>
            <w:tcW w:w="1321" w:type="dxa"/>
            <w:vAlign w:val="bottom"/>
          </w:tcPr>
          <w:p w14:paraId="5244A00D" w14:textId="77777777" w:rsidR="00F2793F" w:rsidRPr="00021E92" w:rsidRDefault="00F2793F" w:rsidP="00021E92">
            <w:pPr>
              <w:pStyle w:val="Tabletext"/>
            </w:pPr>
            <w:r w:rsidRPr="00021E92">
              <w:t>4Y</w:t>
            </w:r>
          </w:p>
        </w:tc>
        <w:tc>
          <w:tcPr>
            <w:tcW w:w="1321" w:type="dxa"/>
            <w:vAlign w:val="bottom"/>
          </w:tcPr>
          <w:p w14:paraId="2DBCE226" w14:textId="77777777" w:rsidR="00F2793F" w:rsidRPr="00021E92" w:rsidRDefault="00F2793F" w:rsidP="00021E92">
            <w:pPr>
              <w:pStyle w:val="Tabletext"/>
            </w:pPr>
            <w:r w:rsidRPr="00021E92">
              <w:t>1.2</w:t>
            </w:r>
          </w:p>
        </w:tc>
      </w:tr>
      <w:tr w:rsidR="00F2793F" w14:paraId="7606CCD6"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29051B23" w14:textId="77777777" w:rsidR="00F2793F" w:rsidRPr="00021E92" w:rsidRDefault="00F2793F" w:rsidP="00021E92">
            <w:pPr>
              <w:pStyle w:val="Tabletext"/>
            </w:pPr>
            <w:r w:rsidRPr="00021E92">
              <w:t>Export sales</w:t>
            </w:r>
          </w:p>
        </w:tc>
        <w:tc>
          <w:tcPr>
            <w:tcW w:w="1321" w:type="dxa"/>
            <w:vAlign w:val="bottom"/>
          </w:tcPr>
          <w:p w14:paraId="43EECE3A" w14:textId="77777777" w:rsidR="00F2793F" w:rsidRPr="00021E92" w:rsidRDefault="00F2793F" w:rsidP="00021E92">
            <w:pPr>
              <w:pStyle w:val="Tabletext"/>
            </w:pPr>
            <w:r w:rsidRPr="00021E92">
              <w:t>Medium</w:t>
            </w:r>
          </w:p>
        </w:tc>
        <w:tc>
          <w:tcPr>
            <w:tcW w:w="1321" w:type="dxa"/>
            <w:vAlign w:val="bottom"/>
          </w:tcPr>
          <w:p w14:paraId="3B6A6FF8" w14:textId="77777777" w:rsidR="00F2793F" w:rsidRPr="00021E92" w:rsidRDefault="00F2793F" w:rsidP="00021E92">
            <w:pPr>
              <w:pStyle w:val="Tabletext"/>
            </w:pPr>
            <w:r w:rsidRPr="00021E92">
              <w:t>2Y</w:t>
            </w:r>
          </w:p>
        </w:tc>
        <w:tc>
          <w:tcPr>
            <w:tcW w:w="1321" w:type="dxa"/>
            <w:vAlign w:val="bottom"/>
          </w:tcPr>
          <w:p w14:paraId="7D566252" w14:textId="77777777" w:rsidR="00F2793F" w:rsidRPr="00021E92" w:rsidRDefault="00F2793F" w:rsidP="00021E92">
            <w:pPr>
              <w:pStyle w:val="Tabletext"/>
            </w:pPr>
          </w:p>
        </w:tc>
      </w:tr>
      <w:tr w:rsidR="00F2793F" w14:paraId="413535E5"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7DED210E" w14:textId="77777777" w:rsidR="00F2793F" w:rsidRPr="00021E92" w:rsidRDefault="00F2793F" w:rsidP="00021E92">
            <w:pPr>
              <w:pStyle w:val="Tabletext"/>
            </w:pPr>
            <w:r w:rsidRPr="00021E92">
              <w:t>Export sales</w:t>
            </w:r>
          </w:p>
        </w:tc>
        <w:tc>
          <w:tcPr>
            <w:tcW w:w="1321" w:type="dxa"/>
            <w:vAlign w:val="bottom"/>
          </w:tcPr>
          <w:p w14:paraId="0D1A04E9" w14:textId="77777777" w:rsidR="00F2793F" w:rsidRPr="00021E92" w:rsidRDefault="00F2793F" w:rsidP="00021E92">
            <w:pPr>
              <w:pStyle w:val="Tabletext"/>
            </w:pPr>
            <w:r w:rsidRPr="00021E92">
              <w:t>Medium</w:t>
            </w:r>
          </w:p>
        </w:tc>
        <w:tc>
          <w:tcPr>
            <w:tcW w:w="1321" w:type="dxa"/>
            <w:vAlign w:val="bottom"/>
          </w:tcPr>
          <w:p w14:paraId="3A3B04A2" w14:textId="77777777" w:rsidR="00F2793F" w:rsidRPr="00021E92" w:rsidRDefault="00F2793F" w:rsidP="00021E92">
            <w:pPr>
              <w:pStyle w:val="Tabletext"/>
            </w:pPr>
            <w:r w:rsidRPr="00021E92">
              <w:t>3Y</w:t>
            </w:r>
          </w:p>
        </w:tc>
        <w:tc>
          <w:tcPr>
            <w:tcW w:w="1321" w:type="dxa"/>
            <w:vAlign w:val="bottom"/>
          </w:tcPr>
          <w:p w14:paraId="052D9837" w14:textId="77777777" w:rsidR="00F2793F" w:rsidRPr="00021E92" w:rsidRDefault="00F2793F" w:rsidP="00021E92">
            <w:pPr>
              <w:pStyle w:val="Tabletext"/>
            </w:pPr>
          </w:p>
        </w:tc>
      </w:tr>
      <w:tr w:rsidR="00F2793F" w14:paraId="1ADAB068"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316169B5" w14:textId="77777777" w:rsidR="00F2793F" w:rsidRPr="00021E92" w:rsidRDefault="00F2793F" w:rsidP="00021E92">
            <w:pPr>
              <w:pStyle w:val="Tabletext"/>
            </w:pPr>
            <w:r w:rsidRPr="00021E92">
              <w:t>Export sales</w:t>
            </w:r>
          </w:p>
        </w:tc>
        <w:tc>
          <w:tcPr>
            <w:tcW w:w="1321" w:type="dxa"/>
            <w:vAlign w:val="bottom"/>
          </w:tcPr>
          <w:p w14:paraId="01212497" w14:textId="77777777" w:rsidR="00F2793F" w:rsidRPr="00021E92" w:rsidRDefault="00F2793F" w:rsidP="00021E92">
            <w:pPr>
              <w:pStyle w:val="Tabletext"/>
            </w:pPr>
            <w:r w:rsidRPr="00021E92">
              <w:t>Medium</w:t>
            </w:r>
          </w:p>
        </w:tc>
        <w:tc>
          <w:tcPr>
            <w:tcW w:w="1321" w:type="dxa"/>
            <w:vAlign w:val="bottom"/>
          </w:tcPr>
          <w:p w14:paraId="6F85748B" w14:textId="77777777" w:rsidR="00F2793F" w:rsidRPr="00021E92" w:rsidRDefault="00F2793F" w:rsidP="00021E92">
            <w:pPr>
              <w:pStyle w:val="Tabletext"/>
            </w:pPr>
            <w:r w:rsidRPr="00021E92">
              <w:t>4Y</w:t>
            </w:r>
          </w:p>
        </w:tc>
        <w:tc>
          <w:tcPr>
            <w:tcW w:w="1321" w:type="dxa"/>
            <w:vAlign w:val="bottom"/>
          </w:tcPr>
          <w:p w14:paraId="6DD4E178" w14:textId="77777777" w:rsidR="00F2793F" w:rsidRPr="00021E92" w:rsidRDefault="00F2793F" w:rsidP="00021E92">
            <w:pPr>
              <w:pStyle w:val="Tabletext"/>
            </w:pPr>
          </w:p>
        </w:tc>
      </w:tr>
      <w:tr w:rsidR="00F2793F" w14:paraId="1A1A6BB7"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52AE4A57" w14:textId="77777777" w:rsidR="00F2793F" w:rsidRPr="00021E92" w:rsidRDefault="00F2793F" w:rsidP="00021E92">
            <w:pPr>
              <w:pStyle w:val="Tabletext"/>
            </w:pPr>
            <w:r w:rsidRPr="00021E92">
              <w:t>Export sales</w:t>
            </w:r>
          </w:p>
        </w:tc>
        <w:tc>
          <w:tcPr>
            <w:tcW w:w="1321" w:type="dxa"/>
            <w:vAlign w:val="bottom"/>
          </w:tcPr>
          <w:p w14:paraId="0366CD2B" w14:textId="77777777" w:rsidR="00F2793F" w:rsidRPr="00021E92" w:rsidRDefault="00F2793F" w:rsidP="00021E92">
            <w:pPr>
              <w:pStyle w:val="Tabletext"/>
            </w:pPr>
            <w:r w:rsidRPr="00021E92">
              <w:t>Micro</w:t>
            </w:r>
          </w:p>
        </w:tc>
        <w:tc>
          <w:tcPr>
            <w:tcW w:w="1321" w:type="dxa"/>
            <w:vAlign w:val="bottom"/>
          </w:tcPr>
          <w:p w14:paraId="19D98AC5" w14:textId="77777777" w:rsidR="00F2793F" w:rsidRPr="00021E92" w:rsidRDefault="00F2793F" w:rsidP="00021E92">
            <w:pPr>
              <w:pStyle w:val="Tabletext"/>
            </w:pPr>
            <w:r w:rsidRPr="00021E92">
              <w:t>2Y</w:t>
            </w:r>
          </w:p>
        </w:tc>
        <w:tc>
          <w:tcPr>
            <w:tcW w:w="1321" w:type="dxa"/>
            <w:vAlign w:val="bottom"/>
          </w:tcPr>
          <w:p w14:paraId="49AD581F" w14:textId="77777777" w:rsidR="00F2793F" w:rsidRPr="00021E92" w:rsidRDefault="00F2793F" w:rsidP="00021E92">
            <w:pPr>
              <w:pStyle w:val="Tabletext"/>
            </w:pPr>
          </w:p>
        </w:tc>
      </w:tr>
      <w:tr w:rsidR="00F2793F" w14:paraId="0BBA0EBF"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02A305C7" w14:textId="77777777" w:rsidR="00F2793F" w:rsidRPr="00021E92" w:rsidRDefault="00F2793F" w:rsidP="00021E92">
            <w:pPr>
              <w:pStyle w:val="Tabletext"/>
            </w:pPr>
            <w:r w:rsidRPr="00021E92">
              <w:t>Export sales</w:t>
            </w:r>
          </w:p>
        </w:tc>
        <w:tc>
          <w:tcPr>
            <w:tcW w:w="1321" w:type="dxa"/>
            <w:vAlign w:val="bottom"/>
          </w:tcPr>
          <w:p w14:paraId="432162E8" w14:textId="77777777" w:rsidR="00F2793F" w:rsidRPr="00021E92" w:rsidRDefault="00F2793F" w:rsidP="00021E92">
            <w:pPr>
              <w:pStyle w:val="Tabletext"/>
            </w:pPr>
            <w:r w:rsidRPr="00021E92">
              <w:t>Micro</w:t>
            </w:r>
          </w:p>
        </w:tc>
        <w:tc>
          <w:tcPr>
            <w:tcW w:w="1321" w:type="dxa"/>
            <w:vAlign w:val="bottom"/>
          </w:tcPr>
          <w:p w14:paraId="72DC4049" w14:textId="77777777" w:rsidR="00F2793F" w:rsidRPr="00021E92" w:rsidRDefault="00F2793F" w:rsidP="00021E92">
            <w:pPr>
              <w:pStyle w:val="Tabletext"/>
            </w:pPr>
            <w:r w:rsidRPr="00021E92">
              <w:t>3Y</w:t>
            </w:r>
          </w:p>
        </w:tc>
        <w:tc>
          <w:tcPr>
            <w:tcW w:w="1321" w:type="dxa"/>
            <w:vAlign w:val="bottom"/>
          </w:tcPr>
          <w:p w14:paraId="069B37D8" w14:textId="77777777" w:rsidR="00F2793F" w:rsidRPr="00021E92" w:rsidRDefault="00F2793F" w:rsidP="00021E92">
            <w:pPr>
              <w:pStyle w:val="Tabletext"/>
            </w:pPr>
            <w:r w:rsidRPr="00021E92">
              <w:t>1.0</w:t>
            </w:r>
          </w:p>
        </w:tc>
      </w:tr>
      <w:tr w:rsidR="00F2793F" w14:paraId="507458B0"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7BD46E7B" w14:textId="77777777" w:rsidR="00F2793F" w:rsidRPr="00021E92" w:rsidRDefault="00F2793F" w:rsidP="00021E92">
            <w:pPr>
              <w:pStyle w:val="Tabletext"/>
            </w:pPr>
            <w:r w:rsidRPr="00021E92">
              <w:t>Export sales</w:t>
            </w:r>
          </w:p>
        </w:tc>
        <w:tc>
          <w:tcPr>
            <w:tcW w:w="1321" w:type="dxa"/>
            <w:vAlign w:val="bottom"/>
          </w:tcPr>
          <w:p w14:paraId="1F9F4E43" w14:textId="77777777" w:rsidR="00F2793F" w:rsidRPr="00021E92" w:rsidRDefault="00F2793F" w:rsidP="00021E92">
            <w:pPr>
              <w:pStyle w:val="Tabletext"/>
            </w:pPr>
            <w:r w:rsidRPr="00021E92">
              <w:t>Micro</w:t>
            </w:r>
          </w:p>
        </w:tc>
        <w:tc>
          <w:tcPr>
            <w:tcW w:w="1321" w:type="dxa"/>
            <w:vAlign w:val="bottom"/>
          </w:tcPr>
          <w:p w14:paraId="3D8A1145" w14:textId="77777777" w:rsidR="00F2793F" w:rsidRPr="00021E92" w:rsidRDefault="00F2793F" w:rsidP="00021E92">
            <w:pPr>
              <w:pStyle w:val="Tabletext"/>
            </w:pPr>
            <w:r w:rsidRPr="00021E92">
              <w:t>4Y</w:t>
            </w:r>
          </w:p>
        </w:tc>
        <w:tc>
          <w:tcPr>
            <w:tcW w:w="1321" w:type="dxa"/>
            <w:vAlign w:val="bottom"/>
          </w:tcPr>
          <w:p w14:paraId="74C54EFE" w14:textId="77777777" w:rsidR="00F2793F" w:rsidRPr="00021E92" w:rsidRDefault="00F2793F" w:rsidP="00021E92">
            <w:pPr>
              <w:pStyle w:val="Tabletext"/>
            </w:pPr>
          </w:p>
        </w:tc>
      </w:tr>
      <w:tr w:rsidR="00F2793F" w14:paraId="726D2C88"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1A7B3FDE" w14:textId="77777777" w:rsidR="00F2793F" w:rsidRPr="00021E92" w:rsidRDefault="00F2793F" w:rsidP="00021E92">
            <w:pPr>
              <w:pStyle w:val="Tabletext"/>
            </w:pPr>
            <w:r w:rsidRPr="00021E92">
              <w:t>Export sales</w:t>
            </w:r>
          </w:p>
        </w:tc>
        <w:tc>
          <w:tcPr>
            <w:tcW w:w="1321" w:type="dxa"/>
            <w:vAlign w:val="bottom"/>
          </w:tcPr>
          <w:p w14:paraId="054DD8A8" w14:textId="77777777" w:rsidR="00F2793F" w:rsidRPr="00021E92" w:rsidRDefault="00F2793F" w:rsidP="00021E92">
            <w:pPr>
              <w:pStyle w:val="Tabletext"/>
            </w:pPr>
            <w:r w:rsidRPr="00021E92">
              <w:t>Small</w:t>
            </w:r>
          </w:p>
        </w:tc>
        <w:tc>
          <w:tcPr>
            <w:tcW w:w="1321" w:type="dxa"/>
            <w:vAlign w:val="bottom"/>
          </w:tcPr>
          <w:p w14:paraId="167D5091" w14:textId="77777777" w:rsidR="00F2793F" w:rsidRPr="00021E92" w:rsidRDefault="00F2793F" w:rsidP="00021E92">
            <w:pPr>
              <w:pStyle w:val="Tabletext"/>
            </w:pPr>
            <w:r w:rsidRPr="00021E92">
              <w:t>2Y</w:t>
            </w:r>
          </w:p>
        </w:tc>
        <w:tc>
          <w:tcPr>
            <w:tcW w:w="1321" w:type="dxa"/>
            <w:vAlign w:val="bottom"/>
          </w:tcPr>
          <w:p w14:paraId="6088929B" w14:textId="77777777" w:rsidR="00F2793F" w:rsidRPr="00021E92" w:rsidRDefault="00F2793F" w:rsidP="00021E92">
            <w:pPr>
              <w:pStyle w:val="Tabletext"/>
            </w:pPr>
          </w:p>
        </w:tc>
      </w:tr>
      <w:tr w:rsidR="00F2793F" w14:paraId="65A394B3"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615250A5" w14:textId="77777777" w:rsidR="00F2793F" w:rsidRPr="00021E92" w:rsidRDefault="00F2793F" w:rsidP="00021E92">
            <w:pPr>
              <w:pStyle w:val="Tabletext"/>
            </w:pPr>
            <w:r w:rsidRPr="00021E92">
              <w:t>Export sales</w:t>
            </w:r>
          </w:p>
        </w:tc>
        <w:tc>
          <w:tcPr>
            <w:tcW w:w="1321" w:type="dxa"/>
            <w:vAlign w:val="bottom"/>
          </w:tcPr>
          <w:p w14:paraId="2DECB1DE" w14:textId="77777777" w:rsidR="00F2793F" w:rsidRPr="00021E92" w:rsidRDefault="00F2793F" w:rsidP="00021E92">
            <w:pPr>
              <w:pStyle w:val="Tabletext"/>
            </w:pPr>
            <w:r w:rsidRPr="00021E92">
              <w:t>Small</w:t>
            </w:r>
          </w:p>
        </w:tc>
        <w:tc>
          <w:tcPr>
            <w:tcW w:w="1321" w:type="dxa"/>
            <w:vAlign w:val="bottom"/>
          </w:tcPr>
          <w:p w14:paraId="6C706903" w14:textId="77777777" w:rsidR="00F2793F" w:rsidRPr="00021E92" w:rsidRDefault="00F2793F" w:rsidP="00021E92">
            <w:pPr>
              <w:pStyle w:val="Tabletext"/>
            </w:pPr>
            <w:r w:rsidRPr="00021E92">
              <w:t>3Y</w:t>
            </w:r>
          </w:p>
        </w:tc>
        <w:tc>
          <w:tcPr>
            <w:tcW w:w="1321" w:type="dxa"/>
            <w:vAlign w:val="bottom"/>
          </w:tcPr>
          <w:p w14:paraId="2F79905A" w14:textId="77777777" w:rsidR="00F2793F" w:rsidRPr="00021E92" w:rsidRDefault="00F2793F" w:rsidP="00021E92">
            <w:pPr>
              <w:pStyle w:val="Tabletext"/>
            </w:pPr>
          </w:p>
        </w:tc>
      </w:tr>
      <w:tr w:rsidR="00F2793F" w14:paraId="4F358A1A"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4F8C8638" w14:textId="77777777" w:rsidR="00F2793F" w:rsidRPr="00021E92" w:rsidRDefault="00F2793F" w:rsidP="00021E92">
            <w:pPr>
              <w:pStyle w:val="Tabletext"/>
            </w:pPr>
            <w:r w:rsidRPr="00021E92">
              <w:t>Export sales</w:t>
            </w:r>
          </w:p>
        </w:tc>
        <w:tc>
          <w:tcPr>
            <w:tcW w:w="1321" w:type="dxa"/>
            <w:vAlign w:val="bottom"/>
          </w:tcPr>
          <w:p w14:paraId="5D060176" w14:textId="77777777" w:rsidR="00F2793F" w:rsidRPr="00021E92" w:rsidRDefault="00F2793F" w:rsidP="00021E92">
            <w:pPr>
              <w:pStyle w:val="Tabletext"/>
            </w:pPr>
            <w:r w:rsidRPr="00021E92">
              <w:t>Small</w:t>
            </w:r>
          </w:p>
        </w:tc>
        <w:tc>
          <w:tcPr>
            <w:tcW w:w="1321" w:type="dxa"/>
            <w:vAlign w:val="bottom"/>
          </w:tcPr>
          <w:p w14:paraId="4A72F404" w14:textId="77777777" w:rsidR="00F2793F" w:rsidRPr="00021E92" w:rsidRDefault="00F2793F" w:rsidP="00021E92">
            <w:pPr>
              <w:pStyle w:val="Tabletext"/>
            </w:pPr>
            <w:r w:rsidRPr="00021E92">
              <w:t>4Y</w:t>
            </w:r>
          </w:p>
        </w:tc>
        <w:tc>
          <w:tcPr>
            <w:tcW w:w="1321" w:type="dxa"/>
            <w:vAlign w:val="bottom"/>
          </w:tcPr>
          <w:p w14:paraId="370829BA" w14:textId="77777777" w:rsidR="00F2793F" w:rsidRPr="00021E92" w:rsidRDefault="00F2793F" w:rsidP="00021E92">
            <w:pPr>
              <w:pStyle w:val="Tabletext"/>
            </w:pPr>
            <w:r w:rsidRPr="00021E92">
              <w:t>-1.4</w:t>
            </w:r>
          </w:p>
        </w:tc>
      </w:tr>
      <w:tr w:rsidR="00F2793F" w14:paraId="4271E491"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53FFF6DD" w14:textId="77777777" w:rsidR="00F2793F" w:rsidRPr="00021E92" w:rsidRDefault="00F2793F" w:rsidP="00021E92">
            <w:pPr>
              <w:pStyle w:val="Tabletext"/>
            </w:pPr>
            <w:r w:rsidRPr="00021E92">
              <w:t xml:space="preserve">Capital expenditure </w:t>
            </w:r>
          </w:p>
        </w:tc>
        <w:tc>
          <w:tcPr>
            <w:tcW w:w="1321" w:type="dxa"/>
            <w:vAlign w:val="bottom"/>
          </w:tcPr>
          <w:p w14:paraId="1DAE59F3" w14:textId="77777777" w:rsidR="00F2793F" w:rsidRPr="00021E92" w:rsidRDefault="00F2793F" w:rsidP="00021E92">
            <w:pPr>
              <w:pStyle w:val="Tabletext"/>
            </w:pPr>
            <w:r w:rsidRPr="00021E92">
              <w:t>Medium</w:t>
            </w:r>
          </w:p>
        </w:tc>
        <w:tc>
          <w:tcPr>
            <w:tcW w:w="1321" w:type="dxa"/>
            <w:vAlign w:val="bottom"/>
          </w:tcPr>
          <w:p w14:paraId="44BD74B4" w14:textId="77777777" w:rsidR="00F2793F" w:rsidRPr="00021E92" w:rsidRDefault="00F2793F" w:rsidP="00021E92">
            <w:pPr>
              <w:pStyle w:val="Tabletext"/>
            </w:pPr>
            <w:r w:rsidRPr="00021E92">
              <w:t>2Y</w:t>
            </w:r>
          </w:p>
        </w:tc>
        <w:tc>
          <w:tcPr>
            <w:tcW w:w="1321" w:type="dxa"/>
            <w:vAlign w:val="bottom"/>
          </w:tcPr>
          <w:p w14:paraId="3332E46C" w14:textId="77777777" w:rsidR="00F2793F" w:rsidRPr="00021E92" w:rsidRDefault="00F2793F" w:rsidP="00021E92">
            <w:pPr>
              <w:pStyle w:val="Tabletext"/>
            </w:pPr>
            <w:r w:rsidRPr="00021E92">
              <w:t>10.5</w:t>
            </w:r>
          </w:p>
        </w:tc>
      </w:tr>
      <w:tr w:rsidR="00F2793F" w14:paraId="5CFBB650" w14:textId="77777777" w:rsidTr="0086753F">
        <w:trPr>
          <w:cnfStyle w:val="000000100000" w:firstRow="0" w:lastRow="0" w:firstColumn="0" w:lastColumn="0" w:oddVBand="0" w:evenVBand="0" w:oddHBand="1" w:evenHBand="0" w:firstRowFirstColumn="0" w:firstRowLastColumn="0" w:lastRowFirstColumn="0" w:lastRowLastColumn="0"/>
        </w:trPr>
        <w:tc>
          <w:tcPr>
            <w:tcW w:w="1553" w:type="dxa"/>
            <w:vAlign w:val="bottom"/>
          </w:tcPr>
          <w:p w14:paraId="265A66A5" w14:textId="77777777" w:rsidR="00F2793F" w:rsidRPr="00021E92" w:rsidRDefault="00F2793F" w:rsidP="00021E92">
            <w:pPr>
              <w:pStyle w:val="Tabletext"/>
            </w:pPr>
            <w:r w:rsidRPr="00021E92">
              <w:t xml:space="preserve">Capital expenditure </w:t>
            </w:r>
          </w:p>
        </w:tc>
        <w:tc>
          <w:tcPr>
            <w:tcW w:w="1321" w:type="dxa"/>
            <w:vAlign w:val="bottom"/>
          </w:tcPr>
          <w:p w14:paraId="752084DB" w14:textId="77777777" w:rsidR="00F2793F" w:rsidRPr="00021E92" w:rsidRDefault="00F2793F" w:rsidP="00021E92">
            <w:pPr>
              <w:pStyle w:val="Tabletext"/>
            </w:pPr>
            <w:r w:rsidRPr="00021E92">
              <w:t>Medium</w:t>
            </w:r>
          </w:p>
        </w:tc>
        <w:tc>
          <w:tcPr>
            <w:tcW w:w="1321" w:type="dxa"/>
            <w:vAlign w:val="bottom"/>
          </w:tcPr>
          <w:p w14:paraId="7B95B93F" w14:textId="77777777" w:rsidR="00F2793F" w:rsidRPr="00021E92" w:rsidRDefault="00F2793F" w:rsidP="00021E92">
            <w:pPr>
              <w:pStyle w:val="Tabletext"/>
            </w:pPr>
            <w:r w:rsidRPr="00021E92">
              <w:t>3Y</w:t>
            </w:r>
          </w:p>
        </w:tc>
        <w:tc>
          <w:tcPr>
            <w:tcW w:w="1321" w:type="dxa"/>
            <w:vAlign w:val="bottom"/>
          </w:tcPr>
          <w:p w14:paraId="39F0911C" w14:textId="77777777" w:rsidR="00F2793F" w:rsidRPr="00021E92" w:rsidRDefault="00F2793F" w:rsidP="00021E92">
            <w:pPr>
              <w:pStyle w:val="Tabletext"/>
            </w:pPr>
            <w:r w:rsidRPr="00021E92">
              <w:t>9.4</w:t>
            </w:r>
          </w:p>
        </w:tc>
      </w:tr>
      <w:tr w:rsidR="00F2793F" w14:paraId="22ED083A" w14:textId="77777777" w:rsidTr="0086753F">
        <w:trPr>
          <w:cnfStyle w:val="000000010000" w:firstRow="0" w:lastRow="0" w:firstColumn="0" w:lastColumn="0" w:oddVBand="0" w:evenVBand="0" w:oddHBand="0" w:evenHBand="1" w:firstRowFirstColumn="0" w:firstRowLastColumn="0" w:lastRowFirstColumn="0" w:lastRowLastColumn="0"/>
        </w:trPr>
        <w:tc>
          <w:tcPr>
            <w:tcW w:w="1553" w:type="dxa"/>
            <w:vAlign w:val="bottom"/>
          </w:tcPr>
          <w:p w14:paraId="3F8DFE6B" w14:textId="77777777" w:rsidR="00F2793F" w:rsidRPr="00021E92" w:rsidRDefault="00F2793F" w:rsidP="00021E92">
            <w:pPr>
              <w:pStyle w:val="Tabletext"/>
            </w:pPr>
            <w:r w:rsidRPr="00021E92">
              <w:t xml:space="preserve">Capital expenditure </w:t>
            </w:r>
          </w:p>
        </w:tc>
        <w:tc>
          <w:tcPr>
            <w:tcW w:w="1321" w:type="dxa"/>
            <w:vAlign w:val="bottom"/>
          </w:tcPr>
          <w:p w14:paraId="4566232A" w14:textId="77777777" w:rsidR="00F2793F" w:rsidRPr="00021E92" w:rsidRDefault="00F2793F" w:rsidP="00021E92">
            <w:pPr>
              <w:pStyle w:val="Tabletext"/>
            </w:pPr>
            <w:r w:rsidRPr="00021E92">
              <w:t>Medium</w:t>
            </w:r>
          </w:p>
        </w:tc>
        <w:tc>
          <w:tcPr>
            <w:tcW w:w="1321" w:type="dxa"/>
            <w:vAlign w:val="bottom"/>
          </w:tcPr>
          <w:p w14:paraId="7A5FE95B" w14:textId="77777777" w:rsidR="00F2793F" w:rsidRPr="00021E92" w:rsidRDefault="00F2793F" w:rsidP="00021E92">
            <w:pPr>
              <w:pStyle w:val="Tabletext"/>
            </w:pPr>
            <w:r w:rsidRPr="00021E92">
              <w:t>4Y</w:t>
            </w:r>
          </w:p>
        </w:tc>
        <w:tc>
          <w:tcPr>
            <w:tcW w:w="1321" w:type="dxa"/>
            <w:vAlign w:val="bottom"/>
          </w:tcPr>
          <w:p w14:paraId="4C8845DD" w14:textId="77777777" w:rsidR="00F2793F" w:rsidRPr="00021E92" w:rsidRDefault="00F2793F" w:rsidP="00021E92">
            <w:pPr>
              <w:pStyle w:val="Tabletext"/>
            </w:pPr>
            <w:r w:rsidRPr="00021E92">
              <w:t>5.1</w:t>
            </w:r>
          </w:p>
        </w:tc>
      </w:tr>
    </w:tbl>
    <w:p w14:paraId="7A6163D8" w14:textId="77777777" w:rsidR="00F2793F" w:rsidRDefault="00F2793F" w:rsidP="00F2793F">
      <w:pPr>
        <w:pStyle w:val="Note"/>
        <w:rPr>
          <w:lang w:eastAsia="en-AU"/>
        </w:rPr>
      </w:pPr>
      <w:r>
        <w:rPr>
          <w:lang w:eastAsia="en-AU"/>
        </w:rPr>
        <w:t xml:space="preserve">Notes: </w:t>
      </w:r>
      <w:r w:rsidRPr="008402D5">
        <w:rPr>
          <w:lang w:eastAsia="en-AU"/>
        </w:rPr>
        <w:t xml:space="preserve">Missing </w:t>
      </w:r>
      <w:r>
        <w:rPr>
          <w:lang w:eastAsia="en-AU"/>
        </w:rPr>
        <w:t>values</w:t>
      </w:r>
      <w:r w:rsidRPr="008402D5">
        <w:rPr>
          <w:lang w:eastAsia="en-AU"/>
        </w:rPr>
        <w:t xml:space="preserve"> signify results that are not statistically significant. Four year changes for micro firms were unable to be calculated due to insufficient sample numbers.</w:t>
      </w:r>
    </w:p>
    <w:p w14:paraId="11BBA6DF" w14:textId="324FFF65" w:rsidR="00F2793F" w:rsidRDefault="00F2793F" w:rsidP="00F2793F">
      <w:pPr>
        <w:pStyle w:val="Note"/>
        <w:rPr>
          <w:lang w:eastAsia="en-AU"/>
        </w:rPr>
      </w:pPr>
      <w:r>
        <w:rPr>
          <w:lang w:eastAsia="en-AU"/>
        </w:rPr>
        <w:t>Source: BLADE (200</w:t>
      </w:r>
      <w:r w:rsidRPr="00F2793F">
        <w:rPr>
          <w:lang w:eastAsia="en-AU"/>
        </w:rPr>
        <w:t>1–02 to 2014–15) Author’s calculations</w:t>
      </w:r>
      <w:r>
        <w:rPr>
          <w:lang w:eastAsia="en-AU"/>
        </w:rPr>
        <w:t>)</w:t>
      </w:r>
    </w:p>
    <w:p w14:paraId="2970376F" w14:textId="77777777" w:rsidR="00924A00" w:rsidRPr="00F2793F" w:rsidRDefault="00924A00" w:rsidP="00F42C15">
      <w:pPr>
        <w:pStyle w:val="BodyText"/>
        <w:rPr>
          <w:lang w:val="en"/>
        </w:rPr>
      </w:pPr>
    </w:p>
    <w:p w14:paraId="18E066AA" w14:textId="3349A001" w:rsidR="00383029" w:rsidRDefault="00383029" w:rsidP="00383029">
      <w:pPr>
        <w:pStyle w:val="Heading1"/>
        <w:numPr>
          <w:ilvl w:val="0"/>
          <w:numId w:val="0"/>
        </w:numPr>
        <w:rPr>
          <w:lang w:val="en" w:eastAsia="en-AU"/>
        </w:rPr>
      </w:pPr>
      <w:r>
        <w:rPr>
          <w:lang w:val="en" w:eastAsia="en-AU"/>
        </w:rPr>
        <w:lastRenderedPageBreak/>
        <w:t xml:space="preserve">ABS Disclaimer </w:t>
      </w:r>
    </w:p>
    <w:p w14:paraId="73CF3FF4" w14:textId="77777777" w:rsidR="00383029" w:rsidRPr="004E08DC" w:rsidRDefault="00383029" w:rsidP="00383029">
      <w:pPr>
        <w:pStyle w:val="BodyText"/>
        <w:rPr>
          <w:lang w:val="en" w:eastAsia="en-AU"/>
        </w:rPr>
      </w:pPr>
      <w:r>
        <w:t xml:space="preserve">The results of this study is based, in part, on ABR data supplied by the Registrar to the ABS under </w:t>
      </w:r>
      <w:r>
        <w:rPr>
          <w:i/>
          <w:iCs/>
        </w:rPr>
        <w:t xml:space="preserve">A New Tax System (Australian Business Number) Act 1999 </w:t>
      </w:r>
      <w:r>
        <w:t xml:space="preserve">and tax data supplied by the ATO to the ABS under the </w:t>
      </w:r>
      <w:r>
        <w:rPr>
          <w:i/>
          <w:iCs/>
        </w:rPr>
        <w:t>Taxation Administration Act 1953</w:t>
      </w:r>
      <w:r>
        <w:t xml:space="preserve">. These require that such data is only used for the purpose of carrying out functions of the ABS. No individual information collected under the </w:t>
      </w:r>
      <w:r>
        <w:rPr>
          <w:i/>
          <w:iCs/>
        </w:rPr>
        <w:t xml:space="preserve">Census and Statistics Act 1905 </w:t>
      </w:r>
      <w:r>
        <w:t>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w:t>
      </w:r>
    </w:p>
    <w:sectPr w:rsidR="00383029" w:rsidRPr="004E08DC" w:rsidSect="0063036B">
      <w:footerReference w:type="default" r:id="rId43"/>
      <w:footerReference w:type="first" r:id="rId44"/>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AC6D2" w14:textId="77777777" w:rsidR="00255B55" w:rsidRDefault="00255B55" w:rsidP="00F244EA">
      <w:pPr>
        <w:spacing w:after="0" w:line="240" w:lineRule="auto"/>
      </w:pPr>
      <w:r>
        <w:separator/>
      </w:r>
    </w:p>
  </w:endnote>
  <w:endnote w:type="continuationSeparator" w:id="0">
    <w:p w14:paraId="59DC51B0" w14:textId="77777777" w:rsidR="00255B55" w:rsidRDefault="00255B55" w:rsidP="00F244EA">
      <w:pPr>
        <w:spacing w:after="0" w:line="240" w:lineRule="auto"/>
      </w:pPr>
      <w:r>
        <w:continuationSeparator/>
      </w:r>
    </w:p>
  </w:endnote>
  <w:endnote w:type="continuationNotice" w:id="1">
    <w:p w14:paraId="707508C8" w14:textId="77777777" w:rsidR="00255B55" w:rsidRDefault="00255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8881" w14:textId="77777777" w:rsidR="00D033C9" w:rsidRDefault="00D03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A80EF" w14:textId="77777777" w:rsidR="00D033C9" w:rsidRDefault="00D03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C224" w14:textId="77777777" w:rsidR="00D033C9" w:rsidRDefault="00D033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9166" w14:textId="77777777" w:rsidR="00255B55" w:rsidRPr="001C2E57" w:rsidRDefault="00255B55" w:rsidP="00772638">
    <w:pPr>
      <w:pStyle w:val="Footer"/>
      <w:tabs>
        <w:tab w:val="clear" w:pos="9680"/>
      </w:tabs>
      <w:jc w:val="left"/>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3A4982">
      <w:rPr>
        <w:noProof/>
      </w:rPr>
      <w:instrText xml:space="preserve">Business performance </w:instrText>
    </w:r>
    <w:r w:rsidR="003A4982">
      <w:rPr>
        <w:noProof/>
      </w:rPr>
      <w:br/>
      <w:instrText>of Enterprise Connect participants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3A4982">
      <w:rPr>
        <w:noProof/>
      </w:rPr>
      <w:instrText xml:space="preserve">Business performance </w:instrText>
    </w:r>
    <w:r w:rsidR="003A4982">
      <w:rPr>
        <w:noProof/>
      </w:rPr>
      <w:br/>
      <w:instrText>of Enterprise Connect participants</w:instrText>
    </w:r>
    <w:r>
      <w:rPr>
        <w:noProof/>
      </w:rPr>
      <w:fldChar w:fldCharType="end"/>
    </w:r>
    <w:r w:rsidRPr="001C2E57">
      <w:instrText xml:space="preserve"> </w:instrText>
    </w:r>
    <w:r w:rsidRPr="001C2E57">
      <w:fldChar w:fldCharType="separate"/>
    </w:r>
    <w:r w:rsidR="003A4982">
      <w:rPr>
        <w:noProof/>
      </w:rPr>
      <w:t xml:space="preserve">Business performance </w:t>
    </w:r>
    <w:r w:rsidR="003A4982">
      <w:rPr>
        <w:noProof/>
      </w:rPr>
      <w:br/>
      <w:t>of Enterprise Connect participants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3A4982">
      <w:rPr>
        <w:noProof/>
      </w:rPr>
      <w:t>26</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D44F" w14:textId="77777777" w:rsidR="00255B55" w:rsidRPr="001C2E57" w:rsidRDefault="00255B55"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3A4982">
      <w:rPr>
        <w:noProof/>
      </w:rPr>
      <w:instrText xml:space="preserve">Business performance </w:instrText>
    </w:r>
    <w:r w:rsidR="003A4982">
      <w:rPr>
        <w:noProof/>
      </w:rPr>
      <w:br/>
      <w:instrText>of Enterprise Connect participants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3A4982">
      <w:rPr>
        <w:noProof/>
      </w:rPr>
      <w:instrText xml:space="preserve">Business performance </w:instrText>
    </w:r>
    <w:r w:rsidR="003A4982">
      <w:rPr>
        <w:noProof/>
      </w:rPr>
      <w:br/>
      <w:instrText>of Enterprise Connect participants</w:instrText>
    </w:r>
    <w:r>
      <w:rPr>
        <w:noProof/>
      </w:rPr>
      <w:fldChar w:fldCharType="end"/>
    </w:r>
    <w:r w:rsidRPr="001C2E57">
      <w:instrText xml:space="preserve"> </w:instrText>
    </w:r>
    <w:r w:rsidRPr="001C2E57">
      <w:fldChar w:fldCharType="separate"/>
    </w:r>
    <w:r w:rsidR="003A4982">
      <w:rPr>
        <w:noProof/>
      </w:rPr>
      <w:t xml:space="preserve">Business performance </w:t>
    </w:r>
    <w:r w:rsidR="003A4982">
      <w:rPr>
        <w:noProof/>
      </w:rPr>
      <w:br/>
      <w:t>of Enterprise Connect participants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B8ECF" w14:textId="77777777" w:rsidR="00255B55" w:rsidRDefault="00255B55" w:rsidP="00057CE0">
      <w:pPr>
        <w:spacing w:after="0" w:line="240" w:lineRule="auto"/>
        <w:ind w:left="0"/>
      </w:pPr>
      <w:r>
        <w:separator/>
      </w:r>
    </w:p>
  </w:footnote>
  <w:footnote w:type="continuationSeparator" w:id="0">
    <w:p w14:paraId="54AB1CF7" w14:textId="77777777" w:rsidR="00255B55" w:rsidRDefault="00255B55" w:rsidP="00F244EA">
      <w:pPr>
        <w:spacing w:after="0" w:line="240" w:lineRule="auto"/>
      </w:pPr>
      <w:r>
        <w:continuationSeparator/>
      </w:r>
    </w:p>
  </w:footnote>
  <w:footnote w:type="continuationNotice" w:id="1">
    <w:p w14:paraId="16970641" w14:textId="77777777" w:rsidR="00255B55" w:rsidRDefault="00255B55">
      <w:pPr>
        <w:spacing w:after="0" w:line="240" w:lineRule="auto"/>
      </w:pPr>
    </w:p>
  </w:footnote>
  <w:footnote w:id="2">
    <w:p w14:paraId="75788898" w14:textId="07AEEBD6" w:rsidR="00255B55" w:rsidRDefault="00255B55" w:rsidP="00057CE0">
      <w:pPr>
        <w:pStyle w:val="FootnoteText"/>
        <w:ind w:left="108"/>
        <w:jc w:val="left"/>
      </w:pPr>
      <w:r>
        <w:rPr>
          <w:rStyle w:val="FootnoteReference"/>
        </w:rPr>
        <w:footnoteRef/>
      </w:r>
      <w:r>
        <w:t xml:space="preserve"> Services industries used in this paper follow</w:t>
      </w:r>
      <w:r w:rsidRPr="0013087D">
        <w:t xml:space="preserve"> </w:t>
      </w:r>
      <w:r>
        <w:t xml:space="preserve">the standard ABS definition of service industries, however PST is excluded as the PST industry is analysed separately. See ABS catalogue 1301.0 for an overview of service industries </w:t>
      </w:r>
      <w:r w:rsidRPr="00A94A13">
        <w:t>http://www.abs.gov.au/ausstats/abs@.nsf/Lookup/1301.0Main+Features1772012</w:t>
      </w:r>
    </w:p>
  </w:footnote>
  <w:footnote w:id="3">
    <w:p w14:paraId="4873FAF6" w14:textId="6A0AE0B2" w:rsidR="00255B55" w:rsidRDefault="00255B55" w:rsidP="00057CE0">
      <w:pPr>
        <w:pStyle w:val="FootnoteText"/>
        <w:ind w:left="108"/>
      </w:pPr>
      <w:r>
        <w:rPr>
          <w:rStyle w:val="FootnoteReference"/>
        </w:rPr>
        <w:footnoteRef/>
      </w:r>
      <w:r>
        <w:t xml:space="preserve"> Office of the Chief Economist (2014) </w:t>
      </w:r>
      <w:r w:rsidRPr="00DD4AEC">
        <w:rPr>
          <w:i/>
        </w:rPr>
        <w:t>Australia Industry Report 2014</w:t>
      </w:r>
      <w:r>
        <w:t>, Canberra, Department of Industry, Innovation and Science, p.173–180</w:t>
      </w:r>
    </w:p>
  </w:footnote>
  <w:footnote w:id="4">
    <w:p w14:paraId="66E9D591" w14:textId="77777777" w:rsidR="00255B55" w:rsidRDefault="00255B55" w:rsidP="00057CE0">
      <w:pPr>
        <w:pStyle w:val="FootnoteText"/>
        <w:ind w:left="108"/>
      </w:pPr>
      <w:r>
        <w:rPr>
          <w:rStyle w:val="FootnoteReference"/>
        </w:rPr>
        <w:footnoteRef/>
      </w:r>
      <w:r>
        <w:t xml:space="preserve"> The remainder are CIP grants </w:t>
      </w:r>
    </w:p>
    <w:p w14:paraId="30FCB7CA" w14:textId="6E8603B3" w:rsidR="00255B55" w:rsidRDefault="00255B55" w:rsidP="00AE5960">
      <w:pPr>
        <w:pStyle w:val="FootnoteText"/>
        <w:ind w:left="0" w:firstLine="0"/>
      </w:pPr>
      <w:r>
        <w:rPr>
          <w:rStyle w:val="FootnoteReference"/>
        </w:rPr>
        <w:t>4</w:t>
      </w:r>
      <w:r>
        <w:t xml:space="preserve"> </w:t>
      </w:r>
      <w:r w:rsidRPr="00AE5960">
        <w:t xml:space="preserve">Data on </w:t>
      </w:r>
      <w:r>
        <w:t>Business R</w:t>
      </w:r>
      <w:r w:rsidRPr="00AE5960">
        <w:t>eview only program participants are dropped from the analysis at this time due to concerns over data quality for this group.</w:t>
      </w:r>
    </w:p>
  </w:footnote>
  <w:footnote w:id="5">
    <w:p w14:paraId="547E2635" w14:textId="6C9D63A9" w:rsidR="00255B55" w:rsidRDefault="00255B55" w:rsidP="00057CE0">
      <w:pPr>
        <w:pStyle w:val="FootnoteText"/>
        <w:ind w:left="108"/>
      </w:pPr>
      <w:r>
        <w:rPr>
          <w:rStyle w:val="FootnoteReference"/>
        </w:rPr>
        <w:footnoteRef/>
      </w:r>
      <w:r>
        <w:t xml:space="preserve"> The ABS units model permits a many to many relationship of ABS unit identifiers and ABNs. </w:t>
      </w:r>
    </w:p>
  </w:footnote>
  <w:footnote w:id="6">
    <w:p w14:paraId="4CF7BDA0" w14:textId="61C55931" w:rsidR="00255B55" w:rsidRDefault="00255B55" w:rsidP="00057CE0">
      <w:pPr>
        <w:pStyle w:val="FootnoteText"/>
        <w:ind w:left="108"/>
      </w:pPr>
      <w:r>
        <w:rPr>
          <w:rStyle w:val="FootnoteReference"/>
        </w:rPr>
        <w:footnoteRef/>
      </w:r>
      <w:r>
        <w:t xml:space="preserve"> Employing firms more accurately represent the ‘average’ firm, as a large share of non-employing businesses often include arrangements such as residential and commercial property strata bodies and corporate and trust structures whose main purpose is legal or financial in nature. </w:t>
      </w:r>
    </w:p>
  </w:footnote>
  <w:footnote w:id="7">
    <w:p w14:paraId="008E5D5C" w14:textId="77777777" w:rsidR="00255B55" w:rsidRDefault="00255B55" w:rsidP="00383F48">
      <w:pPr>
        <w:pStyle w:val="FootnoteText"/>
        <w:ind w:left="108"/>
      </w:pPr>
      <w:r>
        <w:rPr>
          <w:rStyle w:val="FootnoteReference"/>
        </w:rPr>
        <w:footnoteRef/>
      </w:r>
      <w:r>
        <w:t xml:space="preserve"> Characteristics used for matching are discussed later in Section 4.4 </w:t>
      </w:r>
    </w:p>
  </w:footnote>
  <w:footnote w:id="8">
    <w:p w14:paraId="11B6B81A" w14:textId="77777777" w:rsidR="00255B55" w:rsidRDefault="00255B55" w:rsidP="00057CE0">
      <w:pPr>
        <w:pStyle w:val="FootnoteText"/>
        <w:ind w:left="108"/>
      </w:pPr>
      <w:r>
        <w:rPr>
          <w:rStyle w:val="FootnoteReference"/>
        </w:rPr>
        <w:footnoteRef/>
      </w:r>
      <w:r>
        <w:t xml:space="preserve"> Rosenbaum, PR &amp; Rubin RB (1985) The Central Role of the Propensity Score in Observational Studies for Causal Effects </w:t>
      </w:r>
      <w:r w:rsidRPr="007C566C">
        <w:rPr>
          <w:i/>
        </w:rPr>
        <w:t>Biometrika</w:t>
      </w:r>
      <w:r>
        <w:t xml:space="preserve">, 70(1), pp. 41-55 </w:t>
      </w:r>
    </w:p>
  </w:footnote>
  <w:footnote w:id="9">
    <w:p w14:paraId="62B2BA49" w14:textId="77777777" w:rsidR="00255B55" w:rsidRDefault="00255B55" w:rsidP="00057CE0">
      <w:pPr>
        <w:pStyle w:val="FootnoteText"/>
        <w:ind w:left="108"/>
      </w:pPr>
      <w:r>
        <w:rPr>
          <w:rStyle w:val="FootnoteReference"/>
        </w:rPr>
        <w:footnoteRef/>
      </w:r>
      <w:r>
        <w:t xml:space="preserve"> Difference in difference estimates are typically considered to be average treatment effects on the treated, rather than average treatment effects. This is because DID estimates are generally thought of as applying to a particular group that was treated, rather than to a population that could have been treated. </w:t>
      </w:r>
    </w:p>
  </w:footnote>
  <w:footnote w:id="10">
    <w:p w14:paraId="6305B464" w14:textId="102E858E" w:rsidR="00255B55" w:rsidRDefault="00255B55" w:rsidP="00057CE0">
      <w:pPr>
        <w:pStyle w:val="FootnoteText"/>
        <w:ind w:left="108"/>
      </w:pPr>
      <w:r>
        <w:rPr>
          <w:rStyle w:val="FootnoteReference"/>
        </w:rPr>
        <w:footnoteRef/>
      </w:r>
      <w:r>
        <w:t xml:space="preserve"> A particular firm must either participate or not participate, it cannot do both</w:t>
      </w:r>
    </w:p>
  </w:footnote>
  <w:footnote w:id="11">
    <w:p w14:paraId="6AB6F980" w14:textId="32ED3EA8" w:rsidR="00255B55" w:rsidRDefault="00255B55" w:rsidP="00057CE0">
      <w:pPr>
        <w:pStyle w:val="FootnoteText"/>
        <w:ind w:left="108"/>
      </w:pPr>
      <w:r>
        <w:rPr>
          <w:rStyle w:val="FootnoteReference"/>
        </w:rPr>
        <w:footnoteRef/>
      </w:r>
      <w:r>
        <w:t xml:space="preserve"> Selection bias cannot be completely removed, rather it is minimised </w:t>
      </w:r>
    </w:p>
  </w:footnote>
  <w:footnote w:id="12">
    <w:p w14:paraId="43E878C5" w14:textId="77777777" w:rsidR="00255B55" w:rsidRDefault="00255B55" w:rsidP="00057CE0">
      <w:pPr>
        <w:pStyle w:val="FootnoteText"/>
        <w:ind w:left="108"/>
      </w:pPr>
      <w:r>
        <w:rPr>
          <w:rStyle w:val="FootnoteReference"/>
        </w:rPr>
        <w:footnoteRef/>
      </w:r>
      <w:r>
        <w:t xml:space="preserve"> Rafi, B (2017) </w:t>
      </w:r>
      <w:r w:rsidRPr="00A57092">
        <w:rPr>
          <w:i/>
        </w:rPr>
        <w:t>Participation in South Australian Innovation and Investment F</w:t>
      </w:r>
      <w:r>
        <w:rPr>
          <w:i/>
        </w:rPr>
        <w:t xml:space="preserve">unds: Impact on firm performance, </w:t>
      </w:r>
      <w:r>
        <w:t>Canberra, Department of Industry, Innovation and Science</w:t>
      </w:r>
    </w:p>
  </w:footnote>
  <w:footnote w:id="13">
    <w:p w14:paraId="486DF203" w14:textId="77777777" w:rsidR="00255B55" w:rsidRDefault="00255B55" w:rsidP="00057CE0">
      <w:pPr>
        <w:pStyle w:val="FootnoteText"/>
        <w:ind w:left="108"/>
      </w:pPr>
      <w:r>
        <w:rPr>
          <w:rStyle w:val="FootnoteReference"/>
        </w:rPr>
        <w:footnoteRef/>
      </w:r>
      <w:r>
        <w:t xml:space="preserve"> Office of the Chief Economist (2018) </w:t>
      </w:r>
      <w:r w:rsidRPr="00285FEB">
        <w:rPr>
          <w:i/>
        </w:rPr>
        <w:t>Program Insights Report</w:t>
      </w:r>
      <w:r>
        <w:rPr>
          <w:i/>
        </w:rPr>
        <w:t xml:space="preserve"> 2018</w:t>
      </w:r>
      <w:r>
        <w:t xml:space="preserve">, Canberra, Department of Industry, Innovation and Science, Chapter 3 </w:t>
      </w:r>
    </w:p>
  </w:footnote>
  <w:footnote w:id="14">
    <w:p w14:paraId="3CEA2BC4" w14:textId="77777777" w:rsidR="00255B55" w:rsidRDefault="00255B55" w:rsidP="00057CE0">
      <w:pPr>
        <w:pStyle w:val="FootnoteText"/>
        <w:ind w:left="108"/>
      </w:pPr>
      <w:r>
        <w:rPr>
          <w:rStyle w:val="FootnoteReference"/>
        </w:rPr>
        <w:footnoteRef/>
      </w:r>
      <w:r>
        <w:t xml:space="preserve"> Bakhtiari, S (2017) Business Dynamics of Clean Energy Policy, Canberra, Department of Industry, Innovation and Science </w:t>
      </w:r>
    </w:p>
  </w:footnote>
  <w:footnote w:id="15">
    <w:p w14:paraId="7E9DCD66" w14:textId="27FE5DCA" w:rsidR="00255B55" w:rsidRDefault="00255B55" w:rsidP="00057CE0">
      <w:pPr>
        <w:pStyle w:val="FootnoteText"/>
        <w:ind w:left="108"/>
      </w:pPr>
      <w:r>
        <w:rPr>
          <w:rStyle w:val="FootnoteReference"/>
        </w:rPr>
        <w:footnoteRef/>
      </w:r>
      <w:r>
        <w:t xml:space="preserve"> Department for Business, Energy &amp; Industrial Strategy (2017) The Impact of Public Support for Innovation on Firm Outcomes, BEIS Research Paper Number 3</w:t>
      </w:r>
    </w:p>
  </w:footnote>
  <w:footnote w:id="16">
    <w:p w14:paraId="693C9660" w14:textId="29E7F7BA" w:rsidR="00255B55" w:rsidRDefault="00255B55" w:rsidP="00057CE0">
      <w:pPr>
        <w:pStyle w:val="FootnoteText"/>
        <w:ind w:left="108"/>
      </w:pPr>
      <w:r>
        <w:rPr>
          <w:rStyle w:val="FootnoteReference"/>
        </w:rPr>
        <w:footnoteRef/>
      </w:r>
      <w:r>
        <w:t xml:space="preserve"> </w:t>
      </w:r>
      <w:r w:rsidRPr="006C6E75">
        <w:t>Hansell, D &amp; Rafi, B. (2018) Firm-level Analysis using the ABS’ Business Longitudinal Analysis Data Environment (BLADE), Australian Economic Review, 51(1), pp.132-138</w:t>
      </w:r>
    </w:p>
  </w:footnote>
  <w:footnote w:id="17">
    <w:p w14:paraId="0F5B5851" w14:textId="659D29B8" w:rsidR="00255B55" w:rsidRDefault="00255B55" w:rsidP="00057CE0">
      <w:pPr>
        <w:pStyle w:val="FootnoteText"/>
        <w:ind w:left="108"/>
      </w:pPr>
      <w:r>
        <w:rPr>
          <w:rStyle w:val="FootnoteReference"/>
        </w:rPr>
        <w:footnoteRef/>
      </w:r>
      <w:r>
        <w:t xml:space="preserve"> One or two very large firms entering the treatment or control group could dominate the averages, leading to unreliable estimates of ATTs for a given treatment and outcome  </w:t>
      </w:r>
    </w:p>
  </w:footnote>
  <w:footnote w:id="18">
    <w:p w14:paraId="271E6814" w14:textId="77777777" w:rsidR="00255B55" w:rsidRDefault="00255B55" w:rsidP="00057CE0">
      <w:pPr>
        <w:pStyle w:val="FootnoteText"/>
        <w:ind w:left="108"/>
      </w:pPr>
      <w:r>
        <w:rPr>
          <w:rStyle w:val="FootnoteReference"/>
        </w:rPr>
        <w:footnoteRef/>
      </w:r>
      <w:r>
        <w:t xml:space="preserve"> Complex firms are also discussed in section 3.1 </w:t>
      </w:r>
    </w:p>
  </w:footnote>
  <w:footnote w:id="19">
    <w:p w14:paraId="6EE41739" w14:textId="77777777" w:rsidR="00255B55" w:rsidRDefault="00255B55" w:rsidP="00057CE0">
      <w:pPr>
        <w:pStyle w:val="FootnoteText"/>
        <w:ind w:left="108"/>
      </w:pPr>
      <w:r>
        <w:rPr>
          <w:rStyle w:val="FootnoteReference"/>
        </w:rPr>
        <w:footnoteRef/>
      </w:r>
      <w:r>
        <w:t xml:space="preserve"> Exporter status in this paper is defined as export sales above $2000 in a given year </w:t>
      </w:r>
    </w:p>
  </w:footnote>
  <w:footnote w:id="20">
    <w:p w14:paraId="126E8DE7" w14:textId="3D10380A" w:rsidR="00255B55" w:rsidRDefault="00255B55" w:rsidP="00057CE0">
      <w:pPr>
        <w:pStyle w:val="FootnoteText"/>
        <w:ind w:left="108"/>
      </w:pPr>
    </w:p>
  </w:footnote>
  <w:footnote w:id="21">
    <w:p w14:paraId="56187701" w14:textId="696E08A4" w:rsidR="00255B55" w:rsidRDefault="00255B55" w:rsidP="00057CE0">
      <w:pPr>
        <w:pStyle w:val="FootnoteText"/>
        <w:ind w:left="108"/>
      </w:pPr>
      <w:r>
        <w:rPr>
          <w:rStyle w:val="FootnoteReference"/>
        </w:rPr>
        <w:footnoteRef/>
      </w:r>
      <w:r>
        <w:t xml:space="preserve"> A cohort is defined as the flow of new participants in a given financial year. </w:t>
      </w:r>
    </w:p>
  </w:footnote>
  <w:footnote w:id="22">
    <w:p w14:paraId="4E79E069" w14:textId="77777777" w:rsidR="00255B55" w:rsidRDefault="00255B55"/>
  </w:footnote>
  <w:footnote w:id="23">
    <w:p w14:paraId="20018170" w14:textId="4042634B" w:rsidR="00255B55" w:rsidRPr="000C44EE" w:rsidRDefault="00255B55" w:rsidP="00057CE0">
      <w:pPr>
        <w:pStyle w:val="FootnoteText"/>
        <w:ind w:left="108"/>
      </w:pPr>
      <w:r>
        <w:rPr>
          <w:rStyle w:val="FootnoteReference"/>
        </w:rPr>
        <w:footnoteRef/>
      </w:r>
      <w:r>
        <w:t xml:space="preserve"> Horne, M (2018) </w:t>
      </w:r>
      <w:r w:rsidRPr="00FD1E79">
        <w:rPr>
          <w:i/>
        </w:rPr>
        <w:t>Firms that receive multiple instances of assistance from DIIS programs</w:t>
      </w:r>
      <w:r>
        <w:t xml:space="preserve">, a forthcoming OCE staff paper </w:t>
      </w:r>
    </w:p>
  </w:footnote>
  <w:footnote w:id="24">
    <w:p w14:paraId="7EBD2FC6" w14:textId="7703A605" w:rsidR="00255B55" w:rsidRDefault="00255B55" w:rsidP="00057CE0">
      <w:pPr>
        <w:pStyle w:val="FootnoteText"/>
        <w:ind w:left="108"/>
      </w:pPr>
      <w:r>
        <w:rPr>
          <w:rStyle w:val="FootnoteReference"/>
        </w:rPr>
        <w:footnoteRef/>
      </w:r>
      <w:r>
        <w:t xml:space="preserve"> The RDTI program encourages industry investment in R&amp;D and is a broad-based program that is accessible to all industry sectors. The RDTI program commenced in 2011-12 and was preceded by the R&amp;D Tax Concession (RDTC)</w:t>
      </w:r>
    </w:p>
  </w:footnote>
  <w:footnote w:id="25">
    <w:p w14:paraId="0E1E7DB2" w14:textId="426B4FD1" w:rsidR="00255B55" w:rsidRDefault="00255B55" w:rsidP="00057CE0">
      <w:pPr>
        <w:pStyle w:val="FootnoteText"/>
        <w:ind w:left="108"/>
      </w:pPr>
      <w:r>
        <w:rPr>
          <w:rStyle w:val="FootnoteReference"/>
        </w:rPr>
        <w:footnoteRef/>
      </w:r>
      <w:r>
        <w:t xml:space="preserve"> Provided relevant observables are used in the matching process as used earlier in the paper (Table 4.1) </w:t>
      </w:r>
    </w:p>
  </w:footnote>
  <w:footnote w:id="26">
    <w:p w14:paraId="2AD0A2D6" w14:textId="1333962D" w:rsidR="00255B55" w:rsidRPr="00E12360" w:rsidRDefault="00255B55" w:rsidP="00057CE0">
      <w:pPr>
        <w:pStyle w:val="FootnoteText"/>
        <w:ind w:left="108"/>
      </w:pPr>
      <w:r>
        <w:rPr>
          <w:rStyle w:val="FootnoteReference"/>
        </w:rPr>
        <w:footnoteRef/>
      </w:r>
      <w:r>
        <w:t xml:space="preserve"> Engagement in the RDTI is defined as accessing the RDTI program (or preceding RDTC program) at least once between 2001–02 and 2014–15</w:t>
      </w:r>
    </w:p>
  </w:footnote>
  <w:footnote w:id="27">
    <w:p w14:paraId="3F9B16F0" w14:textId="362FE4EA" w:rsidR="00255B55" w:rsidRPr="00034D2F" w:rsidRDefault="00255B55" w:rsidP="00057CE0">
      <w:pPr>
        <w:pStyle w:val="FootnoteText"/>
        <w:ind w:left="108"/>
      </w:pPr>
      <w:r>
        <w:rPr>
          <w:rStyle w:val="FootnoteReference"/>
        </w:rPr>
        <w:footnoteRef/>
      </w:r>
      <w:r>
        <w:t xml:space="preserve"> Rafi, B (2017) </w:t>
      </w:r>
      <w:r w:rsidRPr="00A57092">
        <w:rPr>
          <w:i/>
        </w:rPr>
        <w:t>Participation in South Australian Innovation and Investment F</w:t>
      </w:r>
      <w:r>
        <w:rPr>
          <w:i/>
        </w:rPr>
        <w:t xml:space="preserve">unds: Impact on firm performance, </w:t>
      </w:r>
      <w:r>
        <w:t xml:space="preserve">Canberra, Department of Industry, Innovation and Science </w:t>
      </w:r>
    </w:p>
  </w:footnote>
  <w:footnote w:id="28">
    <w:p w14:paraId="4B833E95" w14:textId="77777777" w:rsidR="00255B55" w:rsidRDefault="00255B55" w:rsidP="00057CE0">
      <w:pPr>
        <w:pStyle w:val="FootnoteText"/>
        <w:ind w:left="108"/>
      </w:pPr>
      <w:r>
        <w:rPr>
          <w:rStyle w:val="FootnoteReference"/>
        </w:rPr>
        <w:footnoteRef/>
      </w:r>
      <w:r>
        <w:t xml:space="preserve"> At time 0, the probability of survival is 100 per cent, and declines over time.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A31A" w14:textId="77777777" w:rsidR="00D033C9" w:rsidRDefault="00D03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BCB3" w14:textId="77777777" w:rsidR="00D033C9" w:rsidRDefault="00D03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7585" w14:textId="77777777" w:rsidR="00D033C9" w:rsidRDefault="00D03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B021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F2DA6"/>
    <w:multiLevelType w:val="hybridMultilevel"/>
    <w:tmpl w:val="CF8A6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3798"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7A3A93"/>
    <w:multiLevelType w:val="multilevel"/>
    <w:tmpl w:val="7D22E52C"/>
    <w:numStyleLink w:val="OCEBulletedList"/>
  </w:abstractNum>
  <w:abstractNum w:abstractNumId="4"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933F4"/>
    <w:multiLevelType w:val="multilevel"/>
    <w:tmpl w:val="7D22E52C"/>
    <w:numStyleLink w:val="OCEBulletedList"/>
  </w:abstractNum>
  <w:abstractNum w:abstractNumId="6" w15:restartNumberingAfterBreak="0">
    <w:nsid w:val="159A6EC1"/>
    <w:multiLevelType w:val="multilevel"/>
    <w:tmpl w:val="3BFA39A6"/>
    <w:numStyleLink w:val="OCENumberedList"/>
  </w:abstractNum>
  <w:abstractNum w:abstractNumId="7"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8"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10"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11" w15:restartNumberingAfterBreak="0">
    <w:nsid w:val="28F50295"/>
    <w:multiLevelType w:val="hybridMultilevel"/>
    <w:tmpl w:val="7B920EC2"/>
    <w:lvl w:ilvl="0" w:tplc="5EDA41E6">
      <w:start w:val="200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073E8"/>
    <w:multiLevelType w:val="hybridMultilevel"/>
    <w:tmpl w:val="62E68F7A"/>
    <w:lvl w:ilvl="0" w:tplc="E4A2B634">
      <w:numFmt w:val="bullet"/>
      <w:lvlText w:val="-"/>
      <w:lvlJc w:val="left"/>
      <w:pPr>
        <w:ind w:left="2580" w:hanging="360"/>
      </w:pPr>
      <w:rPr>
        <w:rFonts w:ascii="Arial" w:eastAsiaTheme="minorHAnsi" w:hAnsi="Arial" w:cs="Arial" w:hint="default"/>
      </w:rPr>
    </w:lvl>
    <w:lvl w:ilvl="1" w:tplc="0C090003" w:tentative="1">
      <w:start w:val="1"/>
      <w:numFmt w:val="bullet"/>
      <w:lvlText w:val="o"/>
      <w:lvlJc w:val="left"/>
      <w:pPr>
        <w:ind w:left="3300" w:hanging="360"/>
      </w:pPr>
      <w:rPr>
        <w:rFonts w:ascii="Courier New" w:hAnsi="Courier New" w:cs="Courier New"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ourier New"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ourier New" w:hint="default"/>
      </w:rPr>
    </w:lvl>
    <w:lvl w:ilvl="8" w:tplc="0C090005" w:tentative="1">
      <w:start w:val="1"/>
      <w:numFmt w:val="bullet"/>
      <w:lvlText w:val=""/>
      <w:lvlJc w:val="left"/>
      <w:pPr>
        <w:ind w:left="8340" w:hanging="360"/>
      </w:pPr>
      <w:rPr>
        <w:rFonts w:ascii="Wingdings" w:hAnsi="Wingdings" w:hint="default"/>
      </w:rPr>
    </w:lvl>
  </w:abstractNum>
  <w:abstractNum w:abstractNumId="13" w15:restartNumberingAfterBreak="0">
    <w:nsid w:val="343D5378"/>
    <w:multiLevelType w:val="multilevel"/>
    <w:tmpl w:val="7D22E52C"/>
    <w:numStyleLink w:val="OCEBulletedList"/>
  </w:abstractNum>
  <w:abstractNum w:abstractNumId="14"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5" w15:restartNumberingAfterBreak="0">
    <w:nsid w:val="413C507C"/>
    <w:multiLevelType w:val="multilevel"/>
    <w:tmpl w:val="7D22E52C"/>
    <w:numStyleLink w:val="OCEBulletedList"/>
  </w:abstractNum>
  <w:abstractNum w:abstractNumId="16" w15:restartNumberingAfterBreak="0">
    <w:nsid w:val="427C52AC"/>
    <w:multiLevelType w:val="hybridMultilevel"/>
    <w:tmpl w:val="B33EFA24"/>
    <w:lvl w:ilvl="0" w:tplc="421473CC">
      <w:start w:val="1"/>
      <w:numFmt w:val="bullet"/>
      <w:pStyle w:val="Keypointsbullet"/>
      <w:lvlText w:val=""/>
      <w:lvlJc w:val="left"/>
      <w:pPr>
        <w:ind w:left="644" w:hanging="360"/>
      </w:pPr>
      <w:rPr>
        <w:rFonts w:ascii="Wingdings" w:hAnsi="Wingdings" w:hint="default"/>
        <w:color w:val="005CAF"/>
      </w:rPr>
    </w:lvl>
    <w:lvl w:ilvl="1" w:tplc="0C090003">
      <w:start w:val="1"/>
      <w:numFmt w:val="bullet"/>
      <w:lvlText w:val="o"/>
      <w:lvlJc w:val="left"/>
      <w:pPr>
        <w:ind w:left="3884" w:hanging="360"/>
      </w:pPr>
      <w:rPr>
        <w:rFonts w:ascii="Courier New" w:hAnsi="Courier New" w:cs="Courier New" w:hint="default"/>
      </w:rPr>
    </w:lvl>
    <w:lvl w:ilvl="2" w:tplc="0C090005" w:tentative="1">
      <w:start w:val="1"/>
      <w:numFmt w:val="bullet"/>
      <w:lvlText w:val=""/>
      <w:lvlJc w:val="left"/>
      <w:pPr>
        <w:ind w:left="4604" w:hanging="360"/>
      </w:pPr>
      <w:rPr>
        <w:rFonts w:ascii="Wingdings" w:hAnsi="Wingdings" w:hint="default"/>
      </w:rPr>
    </w:lvl>
    <w:lvl w:ilvl="3" w:tplc="0C090001" w:tentative="1">
      <w:start w:val="1"/>
      <w:numFmt w:val="bullet"/>
      <w:lvlText w:val=""/>
      <w:lvlJc w:val="left"/>
      <w:pPr>
        <w:ind w:left="5324" w:hanging="360"/>
      </w:pPr>
      <w:rPr>
        <w:rFonts w:ascii="Symbol" w:hAnsi="Symbol" w:hint="default"/>
      </w:rPr>
    </w:lvl>
    <w:lvl w:ilvl="4" w:tplc="0C090003" w:tentative="1">
      <w:start w:val="1"/>
      <w:numFmt w:val="bullet"/>
      <w:lvlText w:val="o"/>
      <w:lvlJc w:val="left"/>
      <w:pPr>
        <w:ind w:left="6044" w:hanging="360"/>
      </w:pPr>
      <w:rPr>
        <w:rFonts w:ascii="Courier New" w:hAnsi="Courier New" w:cs="Courier New" w:hint="default"/>
      </w:rPr>
    </w:lvl>
    <w:lvl w:ilvl="5" w:tplc="0C090005" w:tentative="1">
      <w:start w:val="1"/>
      <w:numFmt w:val="bullet"/>
      <w:lvlText w:val=""/>
      <w:lvlJc w:val="left"/>
      <w:pPr>
        <w:ind w:left="6764" w:hanging="360"/>
      </w:pPr>
      <w:rPr>
        <w:rFonts w:ascii="Wingdings" w:hAnsi="Wingdings" w:hint="default"/>
      </w:rPr>
    </w:lvl>
    <w:lvl w:ilvl="6" w:tplc="0C090001" w:tentative="1">
      <w:start w:val="1"/>
      <w:numFmt w:val="bullet"/>
      <w:lvlText w:val=""/>
      <w:lvlJc w:val="left"/>
      <w:pPr>
        <w:ind w:left="7484" w:hanging="360"/>
      </w:pPr>
      <w:rPr>
        <w:rFonts w:ascii="Symbol" w:hAnsi="Symbol" w:hint="default"/>
      </w:rPr>
    </w:lvl>
    <w:lvl w:ilvl="7" w:tplc="0C090003" w:tentative="1">
      <w:start w:val="1"/>
      <w:numFmt w:val="bullet"/>
      <w:lvlText w:val="o"/>
      <w:lvlJc w:val="left"/>
      <w:pPr>
        <w:ind w:left="8204" w:hanging="360"/>
      </w:pPr>
      <w:rPr>
        <w:rFonts w:ascii="Courier New" w:hAnsi="Courier New" w:cs="Courier New" w:hint="default"/>
      </w:rPr>
    </w:lvl>
    <w:lvl w:ilvl="8" w:tplc="0C090005" w:tentative="1">
      <w:start w:val="1"/>
      <w:numFmt w:val="bullet"/>
      <w:lvlText w:val=""/>
      <w:lvlJc w:val="left"/>
      <w:pPr>
        <w:ind w:left="8924" w:hanging="360"/>
      </w:pPr>
      <w:rPr>
        <w:rFonts w:ascii="Wingdings" w:hAnsi="Wingdings" w:hint="default"/>
      </w:rPr>
    </w:lvl>
  </w:abstractNum>
  <w:abstractNum w:abstractNumId="17" w15:restartNumberingAfterBreak="0">
    <w:nsid w:val="4B94390E"/>
    <w:multiLevelType w:val="multilevel"/>
    <w:tmpl w:val="7D22E52C"/>
    <w:styleLink w:val="OCEBulletedList"/>
    <w:lvl w:ilvl="0">
      <w:start w:val="1"/>
      <w:numFmt w:val="bullet"/>
      <w:lvlText w:val=""/>
      <w:lvlJc w:val="left"/>
      <w:pPr>
        <w:ind w:left="340" w:hanging="340"/>
      </w:pPr>
      <w:rPr>
        <w:rFonts w:ascii="Wingdings" w:hAnsi="Wingdings" w:hint="default"/>
        <w:color w:val="005CAF"/>
      </w:rPr>
    </w:lvl>
    <w:lvl w:ilvl="1">
      <w:start w:val="1"/>
      <w:numFmt w:val="bullet"/>
      <w:lvlText w:val=""/>
      <w:lvlJc w:val="left"/>
      <w:pPr>
        <w:ind w:left="1050" w:hanging="340"/>
      </w:pPr>
      <w:rPr>
        <w:rFonts w:ascii="Wingdings" w:hAnsi="Wingdings" w:hint="default"/>
        <w:b w:val="0"/>
        <w:i w:val="0"/>
        <w:color w:val="005CAF"/>
        <w:w w:val="100"/>
        <w:position w:val="0"/>
        <w:sz w:val="20"/>
        <w:vertAlign w:val="baseline"/>
      </w:rPr>
    </w:lvl>
    <w:lvl w:ilvl="2">
      <w:start w:val="1"/>
      <w:numFmt w:val="bullet"/>
      <w:lvlText w:val="-"/>
      <w:lvlJc w:val="left"/>
      <w:pPr>
        <w:ind w:left="964" w:hanging="255"/>
      </w:pPr>
      <w:rPr>
        <w:rFonts w:ascii="Courier New" w:hAnsi="Courier New" w:hint="default"/>
        <w:color w:val="005CAF"/>
      </w:rPr>
    </w:lvl>
    <w:lvl w:ilvl="3">
      <w:start w:val="1"/>
      <w:numFmt w:val="none"/>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813CDC"/>
    <w:multiLevelType w:val="multilevel"/>
    <w:tmpl w:val="D5BAF582"/>
    <w:numStyleLink w:val="OCEHeadings"/>
  </w:abstractNum>
  <w:abstractNum w:abstractNumId="19" w15:restartNumberingAfterBreak="0">
    <w:nsid w:val="69925004"/>
    <w:multiLevelType w:val="multilevel"/>
    <w:tmpl w:val="7D22E52C"/>
    <w:numStyleLink w:val="OCEBulletedList"/>
  </w:abstractNum>
  <w:abstractNum w:abstractNumId="20" w15:restartNumberingAfterBreak="0">
    <w:nsid w:val="755C274A"/>
    <w:multiLevelType w:val="multilevel"/>
    <w:tmpl w:val="7D22E52C"/>
    <w:numStyleLink w:val="OCEBulletedList"/>
  </w:abstractNum>
  <w:abstractNum w:abstractNumId="21" w15:restartNumberingAfterBreak="0">
    <w:nsid w:val="768D4473"/>
    <w:multiLevelType w:val="multilevel"/>
    <w:tmpl w:val="7D22E52C"/>
    <w:numStyleLink w:val="OCEBulletedList"/>
  </w:abstractNum>
  <w:abstractNum w:abstractNumId="22" w15:restartNumberingAfterBreak="0">
    <w:nsid w:val="7AAF61C4"/>
    <w:multiLevelType w:val="multilevel"/>
    <w:tmpl w:val="7D22E52C"/>
    <w:numStyleLink w:val="OCEBulletedList"/>
  </w:abstractNum>
  <w:abstractNum w:abstractNumId="23" w15:restartNumberingAfterBreak="0">
    <w:nsid w:val="7E4E5D88"/>
    <w:multiLevelType w:val="hybridMultilevel"/>
    <w:tmpl w:val="54F4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2"/>
  </w:num>
  <w:num w:numId="4">
    <w:abstractNumId w:val="17"/>
  </w:num>
  <w:num w:numId="5">
    <w:abstractNumId w:val="9"/>
  </w:num>
  <w:num w:numId="6">
    <w:abstractNumId w:val="8"/>
  </w:num>
  <w:num w:numId="7">
    <w:abstractNumId w:val="16"/>
  </w:num>
  <w:num w:numId="8">
    <w:abstractNumId w:val="7"/>
  </w:num>
  <w:num w:numId="9">
    <w:abstractNumId w:val="18"/>
  </w:num>
  <w:num w:numId="10">
    <w:abstractNumId w:val="18"/>
  </w:num>
  <w:num w:numId="11">
    <w:abstractNumId w:val="20"/>
  </w:num>
  <w:num w:numId="12">
    <w:abstractNumId w:val="6"/>
  </w:num>
  <w:num w:numId="13">
    <w:abstractNumId w:val="17"/>
  </w:num>
  <w:num w:numId="14">
    <w:abstractNumId w:val="16"/>
  </w:num>
  <w:num w:numId="15">
    <w:abstractNumId w:val="16"/>
  </w:num>
  <w:num w:numId="16">
    <w:abstractNumId w:val="6"/>
  </w:num>
  <w:num w:numId="17">
    <w:abstractNumId w:val="7"/>
  </w:num>
  <w:num w:numId="18">
    <w:abstractNumId w:val="18"/>
  </w:num>
  <w:num w:numId="19">
    <w:abstractNumId w:val="18"/>
  </w:num>
  <w:num w:numId="20">
    <w:abstractNumId w:val="18"/>
    <w:lvlOverride w:ilvl="5">
      <w:lvl w:ilvl="5">
        <w:start w:val="1"/>
        <w:numFmt w:val="upperLetter"/>
        <w:pStyle w:val="Heading6"/>
        <w:lvlText w:val="Appendix %6"/>
        <w:lvlJc w:val="left"/>
        <w:pPr>
          <w:ind w:left="3798" w:hanging="2381"/>
        </w:pPr>
        <w:rPr>
          <w:b w:val="0"/>
          <w:bCs w:val="0"/>
          <w:i w:val="0"/>
          <w:iCs w:val="0"/>
          <w:caps w:val="0"/>
          <w:smallCaps w:val="0"/>
          <w:strike w:val="0"/>
          <w:dstrike w:val="0"/>
          <w:outline w:val="0"/>
          <w:shadow w:val="0"/>
          <w:emboss w:val="0"/>
          <w:imprint w:val="0"/>
          <w:noProof w:val="0"/>
          <w:vanish w:val="0"/>
          <w:color w:val="005CA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0"/>
  </w:num>
  <w:num w:numId="22">
    <w:abstractNumId w:val="4"/>
  </w:num>
  <w:num w:numId="23">
    <w:abstractNumId w:val="19"/>
  </w:num>
  <w:num w:numId="24">
    <w:abstractNumId w:val="3"/>
  </w:num>
  <w:num w:numId="25">
    <w:abstractNumId w:val="17"/>
  </w:num>
  <w:num w:numId="26">
    <w:abstractNumId w:val="17"/>
  </w:num>
  <w:num w:numId="27">
    <w:abstractNumId w:val="15"/>
  </w:num>
  <w:num w:numId="28">
    <w:abstractNumId w:val="13"/>
  </w:num>
  <w:num w:numId="29">
    <w:abstractNumId w:val="21"/>
  </w:num>
  <w:num w:numId="30">
    <w:abstractNumId w:val="22"/>
  </w:num>
  <w:num w:numId="31">
    <w:abstractNumId w:val="5"/>
  </w:num>
  <w:num w:numId="32">
    <w:abstractNumId w:val="16"/>
  </w:num>
  <w:num w:numId="33">
    <w:abstractNumId w:val="16"/>
  </w:num>
  <w:num w:numId="34">
    <w:abstractNumId w:val="17"/>
  </w:num>
  <w:num w:numId="35">
    <w:abstractNumId w:val="17"/>
  </w:num>
  <w:num w:numId="36">
    <w:abstractNumId w:val="11"/>
  </w:num>
  <w:num w:numId="37">
    <w:abstractNumId w:val="17"/>
  </w:num>
  <w:num w:numId="38">
    <w:abstractNumId w:val="1"/>
  </w:num>
  <w:num w:numId="39">
    <w:abstractNumId w:val="12"/>
  </w:num>
  <w:num w:numId="40">
    <w:abstractNumId w:val="23"/>
  </w:num>
  <w:num w:numId="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86"/>
    <w:rsid w:val="0000010D"/>
    <w:rsid w:val="0000038D"/>
    <w:rsid w:val="00000A47"/>
    <w:rsid w:val="000014DD"/>
    <w:rsid w:val="00001A84"/>
    <w:rsid w:val="00001EA1"/>
    <w:rsid w:val="0000269E"/>
    <w:rsid w:val="00002F55"/>
    <w:rsid w:val="00003058"/>
    <w:rsid w:val="000036F1"/>
    <w:rsid w:val="00003B81"/>
    <w:rsid w:val="00004365"/>
    <w:rsid w:val="00004A4B"/>
    <w:rsid w:val="00004BF6"/>
    <w:rsid w:val="00004CD7"/>
    <w:rsid w:val="00004DC3"/>
    <w:rsid w:val="00005A42"/>
    <w:rsid w:val="00005FB9"/>
    <w:rsid w:val="00006712"/>
    <w:rsid w:val="00006BF4"/>
    <w:rsid w:val="000072DC"/>
    <w:rsid w:val="000074F5"/>
    <w:rsid w:val="00007C58"/>
    <w:rsid w:val="00007EBB"/>
    <w:rsid w:val="00007EE5"/>
    <w:rsid w:val="00010156"/>
    <w:rsid w:val="00010194"/>
    <w:rsid w:val="00010903"/>
    <w:rsid w:val="0001161C"/>
    <w:rsid w:val="00011A63"/>
    <w:rsid w:val="00011BE7"/>
    <w:rsid w:val="00011E4D"/>
    <w:rsid w:val="000122D8"/>
    <w:rsid w:val="00012862"/>
    <w:rsid w:val="00012875"/>
    <w:rsid w:val="000135DC"/>
    <w:rsid w:val="00013F4A"/>
    <w:rsid w:val="00013F80"/>
    <w:rsid w:val="00014F64"/>
    <w:rsid w:val="000164DD"/>
    <w:rsid w:val="00017BB5"/>
    <w:rsid w:val="00017CB9"/>
    <w:rsid w:val="00020128"/>
    <w:rsid w:val="000205E3"/>
    <w:rsid w:val="0002072D"/>
    <w:rsid w:val="00021104"/>
    <w:rsid w:val="00021E92"/>
    <w:rsid w:val="00022442"/>
    <w:rsid w:val="000238B9"/>
    <w:rsid w:val="000240F1"/>
    <w:rsid w:val="00024553"/>
    <w:rsid w:val="00024717"/>
    <w:rsid w:val="000250D2"/>
    <w:rsid w:val="000257D2"/>
    <w:rsid w:val="0002648C"/>
    <w:rsid w:val="00027917"/>
    <w:rsid w:val="00030E65"/>
    <w:rsid w:val="000312FE"/>
    <w:rsid w:val="00031883"/>
    <w:rsid w:val="00032BED"/>
    <w:rsid w:val="00034D2F"/>
    <w:rsid w:val="00035325"/>
    <w:rsid w:val="000366B4"/>
    <w:rsid w:val="00037689"/>
    <w:rsid w:val="00037B42"/>
    <w:rsid w:val="00037F7E"/>
    <w:rsid w:val="00040AE6"/>
    <w:rsid w:val="0004195C"/>
    <w:rsid w:val="00041B07"/>
    <w:rsid w:val="00041FE3"/>
    <w:rsid w:val="00043051"/>
    <w:rsid w:val="000437C9"/>
    <w:rsid w:val="0004468C"/>
    <w:rsid w:val="00044E61"/>
    <w:rsid w:val="00045CC0"/>
    <w:rsid w:val="000463C0"/>
    <w:rsid w:val="0004688A"/>
    <w:rsid w:val="00046C6B"/>
    <w:rsid w:val="00047373"/>
    <w:rsid w:val="00050233"/>
    <w:rsid w:val="00051E4C"/>
    <w:rsid w:val="000521E5"/>
    <w:rsid w:val="00052897"/>
    <w:rsid w:val="00053566"/>
    <w:rsid w:val="00056D8A"/>
    <w:rsid w:val="0005753A"/>
    <w:rsid w:val="00057CE0"/>
    <w:rsid w:val="00057E64"/>
    <w:rsid w:val="00060184"/>
    <w:rsid w:val="00060761"/>
    <w:rsid w:val="00060CE1"/>
    <w:rsid w:val="000614AF"/>
    <w:rsid w:val="000618FB"/>
    <w:rsid w:val="000641E0"/>
    <w:rsid w:val="0006492D"/>
    <w:rsid w:val="00064980"/>
    <w:rsid w:val="0006745A"/>
    <w:rsid w:val="0006748A"/>
    <w:rsid w:val="00067812"/>
    <w:rsid w:val="0007044C"/>
    <w:rsid w:val="00070749"/>
    <w:rsid w:val="0007125F"/>
    <w:rsid w:val="0007137D"/>
    <w:rsid w:val="000728D2"/>
    <w:rsid w:val="00073D46"/>
    <w:rsid w:val="000742A6"/>
    <w:rsid w:val="00075207"/>
    <w:rsid w:val="00075346"/>
    <w:rsid w:val="00076E42"/>
    <w:rsid w:val="00082BF4"/>
    <w:rsid w:val="0008399B"/>
    <w:rsid w:val="000841AE"/>
    <w:rsid w:val="000847FB"/>
    <w:rsid w:val="00084862"/>
    <w:rsid w:val="00084EA9"/>
    <w:rsid w:val="00085AF0"/>
    <w:rsid w:val="00086DB4"/>
    <w:rsid w:val="00087425"/>
    <w:rsid w:val="00090174"/>
    <w:rsid w:val="000904D3"/>
    <w:rsid w:val="000905AE"/>
    <w:rsid w:val="00091FD2"/>
    <w:rsid w:val="000920D2"/>
    <w:rsid w:val="000926D2"/>
    <w:rsid w:val="00093804"/>
    <w:rsid w:val="0009400D"/>
    <w:rsid w:val="00096A3F"/>
    <w:rsid w:val="00097F76"/>
    <w:rsid w:val="000A011E"/>
    <w:rsid w:val="000A29BA"/>
    <w:rsid w:val="000A3D7F"/>
    <w:rsid w:val="000A4344"/>
    <w:rsid w:val="000A44A5"/>
    <w:rsid w:val="000A4703"/>
    <w:rsid w:val="000A4A30"/>
    <w:rsid w:val="000A4E45"/>
    <w:rsid w:val="000A5452"/>
    <w:rsid w:val="000A59BA"/>
    <w:rsid w:val="000A5CFF"/>
    <w:rsid w:val="000A5DDA"/>
    <w:rsid w:val="000A6370"/>
    <w:rsid w:val="000A63C0"/>
    <w:rsid w:val="000A6F5B"/>
    <w:rsid w:val="000A77ED"/>
    <w:rsid w:val="000B0F02"/>
    <w:rsid w:val="000B0F4E"/>
    <w:rsid w:val="000B17CD"/>
    <w:rsid w:val="000B1862"/>
    <w:rsid w:val="000B1CAE"/>
    <w:rsid w:val="000B279E"/>
    <w:rsid w:val="000B2C1B"/>
    <w:rsid w:val="000B2DFC"/>
    <w:rsid w:val="000B36ED"/>
    <w:rsid w:val="000B4F17"/>
    <w:rsid w:val="000B568B"/>
    <w:rsid w:val="000B5BC7"/>
    <w:rsid w:val="000B7810"/>
    <w:rsid w:val="000B7F7A"/>
    <w:rsid w:val="000C03CF"/>
    <w:rsid w:val="000C0480"/>
    <w:rsid w:val="000C0DD7"/>
    <w:rsid w:val="000C19CB"/>
    <w:rsid w:val="000C24EF"/>
    <w:rsid w:val="000C3030"/>
    <w:rsid w:val="000C44EE"/>
    <w:rsid w:val="000C5C3C"/>
    <w:rsid w:val="000C618E"/>
    <w:rsid w:val="000C653F"/>
    <w:rsid w:val="000C6AD6"/>
    <w:rsid w:val="000C6EAF"/>
    <w:rsid w:val="000C7004"/>
    <w:rsid w:val="000D04C8"/>
    <w:rsid w:val="000D1A7E"/>
    <w:rsid w:val="000D33DA"/>
    <w:rsid w:val="000D435B"/>
    <w:rsid w:val="000D4C66"/>
    <w:rsid w:val="000D50C5"/>
    <w:rsid w:val="000D5123"/>
    <w:rsid w:val="000D5661"/>
    <w:rsid w:val="000D6A09"/>
    <w:rsid w:val="000D6A79"/>
    <w:rsid w:val="000D6E1D"/>
    <w:rsid w:val="000D732C"/>
    <w:rsid w:val="000D73D8"/>
    <w:rsid w:val="000E037F"/>
    <w:rsid w:val="000E0653"/>
    <w:rsid w:val="000E11F3"/>
    <w:rsid w:val="000E1706"/>
    <w:rsid w:val="000E1C49"/>
    <w:rsid w:val="000E254B"/>
    <w:rsid w:val="000E300E"/>
    <w:rsid w:val="000E415F"/>
    <w:rsid w:val="000E5F5B"/>
    <w:rsid w:val="000E641E"/>
    <w:rsid w:val="000E6AA0"/>
    <w:rsid w:val="000E7413"/>
    <w:rsid w:val="000E7784"/>
    <w:rsid w:val="000F0162"/>
    <w:rsid w:val="000F0460"/>
    <w:rsid w:val="000F0E5C"/>
    <w:rsid w:val="000F15E7"/>
    <w:rsid w:val="000F189F"/>
    <w:rsid w:val="000F1D44"/>
    <w:rsid w:val="000F1F98"/>
    <w:rsid w:val="000F2F1D"/>
    <w:rsid w:val="000F3396"/>
    <w:rsid w:val="000F355E"/>
    <w:rsid w:val="000F3C28"/>
    <w:rsid w:val="000F45A1"/>
    <w:rsid w:val="000F4626"/>
    <w:rsid w:val="000F5673"/>
    <w:rsid w:val="000F59E0"/>
    <w:rsid w:val="000F65A9"/>
    <w:rsid w:val="000F705F"/>
    <w:rsid w:val="000F793F"/>
    <w:rsid w:val="0010039D"/>
    <w:rsid w:val="00100B74"/>
    <w:rsid w:val="00101A29"/>
    <w:rsid w:val="00101AE0"/>
    <w:rsid w:val="00103CF2"/>
    <w:rsid w:val="0010418C"/>
    <w:rsid w:val="00104278"/>
    <w:rsid w:val="00105582"/>
    <w:rsid w:val="00106B2F"/>
    <w:rsid w:val="00106FA3"/>
    <w:rsid w:val="00107159"/>
    <w:rsid w:val="00107499"/>
    <w:rsid w:val="00107A3F"/>
    <w:rsid w:val="0011179B"/>
    <w:rsid w:val="00111F18"/>
    <w:rsid w:val="00112208"/>
    <w:rsid w:val="00112AA7"/>
    <w:rsid w:val="00113247"/>
    <w:rsid w:val="00113363"/>
    <w:rsid w:val="001134C3"/>
    <w:rsid w:val="00114AA7"/>
    <w:rsid w:val="00114BB1"/>
    <w:rsid w:val="00114D42"/>
    <w:rsid w:val="00115450"/>
    <w:rsid w:val="001156A1"/>
    <w:rsid w:val="0011570B"/>
    <w:rsid w:val="001161D7"/>
    <w:rsid w:val="0011640A"/>
    <w:rsid w:val="00116DF0"/>
    <w:rsid w:val="00116E58"/>
    <w:rsid w:val="0011764D"/>
    <w:rsid w:val="0012045F"/>
    <w:rsid w:val="00120D0B"/>
    <w:rsid w:val="00120E94"/>
    <w:rsid w:val="00121962"/>
    <w:rsid w:val="00123AA2"/>
    <w:rsid w:val="001243D4"/>
    <w:rsid w:val="001245CA"/>
    <w:rsid w:val="001246EC"/>
    <w:rsid w:val="00124734"/>
    <w:rsid w:val="001249C6"/>
    <w:rsid w:val="00124B7D"/>
    <w:rsid w:val="001254BE"/>
    <w:rsid w:val="00125718"/>
    <w:rsid w:val="00125971"/>
    <w:rsid w:val="0013066A"/>
    <w:rsid w:val="0013087D"/>
    <w:rsid w:val="00131A26"/>
    <w:rsid w:val="00132239"/>
    <w:rsid w:val="0013250E"/>
    <w:rsid w:val="001332B3"/>
    <w:rsid w:val="00133974"/>
    <w:rsid w:val="00133B3E"/>
    <w:rsid w:val="00134966"/>
    <w:rsid w:val="001349F5"/>
    <w:rsid w:val="00134B28"/>
    <w:rsid w:val="00135E19"/>
    <w:rsid w:val="00136221"/>
    <w:rsid w:val="0013672E"/>
    <w:rsid w:val="00137A19"/>
    <w:rsid w:val="001408B0"/>
    <w:rsid w:val="00140D97"/>
    <w:rsid w:val="00142BFC"/>
    <w:rsid w:val="00143334"/>
    <w:rsid w:val="00143489"/>
    <w:rsid w:val="00144069"/>
    <w:rsid w:val="00144BFF"/>
    <w:rsid w:val="00144EF0"/>
    <w:rsid w:val="0014590B"/>
    <w:rsid w:val="00146B36"/>
    <w:rsid w:val="00147B36"/>
    <w:rsid w:val="0015000D"/>
    <w:rsid w:val="00151042"/>
    <w:rsid w:val="001517A1"/>
    <w:rsid w:val="00151CF6"/>
    <w:rsid w:val="00151D48"/>
    <w:rsid w:val="00152032"/>
    <w:rsid w:val="001524C2"/>
    <w:rsid w:val="001524DC"/>
    <w:rsid w:val="001533F6"/>
    <w:rsid w:val="00153A66"/>
    <w:rsid w:val="00153E07"/>
    <w:rsid w:val="00154E5B"/>
    <w:rsid w:val="0015591B"/>
    <w:rsid w:val="00156379"/>
    <w:rsid w:val="0015637C"/>
    <w:rsid w:val="0015644D"/>
    <w:rsid w:val="001567E0"/>
    <w:rsid w:val="00156B5B"/>
    <w:rsid w:val="00160AFF"/>
    <w:rsid w:val="00160BCC"/>
    <w:rsid w:val="00160D7A"/>
    <w:rsid w:val="001625DC"/>
    <w:rsid w:val="00163D6E"/>
    <w:rsid w:val="001643B8"/>
    <w:rsid w:val="00165533"/>
    <w:rsid w:val="001658D2"/>
    <w:rsid w:val="00165BF6"/>
    <w:rsid w:val="00166576"/>
    <w:rsid w:val="00166874"/>
    <w:rsid w:val="00166996"/>
    <w:rsid w:val="0016731C"/>
    <w:rsid w:val="00170019"/>
    <w:rsid w:val="0017083F"/>
    <w:rsid w:val="00172538"/>
    <w:rsid w:val="0017293E"/>
    <w:rsid w:val="001732B4"/>
    <w:rsid w:val="00173942"/>
    <w:rsid w:val="00173EB6"/>
    <w:rsid w:val="00174624"/>
    <w:rsid w:val="0017468E"/>
    <w:rsid w:val="001763EF"/>
    <w:rsid w:val="00180922"/>
    <w:rsid w:val="00180E4F"/>
    <w:rsid w:val="001811E5"/>
    <w:rsid w:val="00181856"/>
    <w:rsid w:val="001822C1"/>
    <w:rsid w:val="0018266B"/>
    <w:rsid w:val="00182B15"/>
    <w:rsid w:val="00182B68"/>
    <w:rsid w:val="0018484E"/>
    <w:rsid w:val="00184C60"/>
    <w:rsid w:val="001862AC"/>
    <w:rsid w:val="00186D3D"/>
    <w:rsid w:val="001900EE"/>
    <w:rsid w:val="00190113"/>
    <w:rsid w:val="00191592"/>
    <w:rsid w:val="0019168F"/>
    <w:rsid w:val="00191E82"/>
    <w:rsid w:val="00192DEF"/>
    <w:rsid w:val="00192FCB"/>
    <w:rsid w:val="00193660"/>
    <w:rsid w:val="00193D84"/>
    <w:rsid w:val="00194A11"/>
    <w:rsid w:val="00194C2C"/>
    <w:rsid w:val="00195714"/>
    <w:rsid w:val="00195B27"/>
    <w:rsid w:val="00195C83"/>
    <w:rsid w:val="00197269"/>
    <w:rsid w:val="00197270"/>
    <w:rsid w:val="001972CD"/>
    <w:rsid w:val="001A05EB"/>
    <w:rsid w:val="001A12A8"/>
    <w:rsid w:val="001A1568"/>
    <w:rsid w:val="001A1A86"/>
    <w:rsid w:val="001A322A"/>
    <w:rsid w:val="001A3451"/>
    <w:rsid w:val="001A440F"/>
    <w:rsid w:val="001A48B2"/>
    <w:rsid w:val="001A4E10"/>
    <w:rsid w:val="001A56D9"/>
    <w:rsid w:val="001A5D5B"/>
    <w:rsid w:val="001A6352"/>
    <w:rsid w:val="001B032F"/>
    <w:rsid w:val="001B0582"/>
    <w:rsid w:val="001B0B9A"/>
    <w:rsid w:val="001B1951"/>
    <w:rsid w:val="001B31BC"/>
    <w:rsid w:val="001B345E"/>
    <w:rsid w:val="001B3F96"/>
    <w:rsid w:val="001B4405"/>
    <w:rsid w:val="001B532E"/>
    <w:rsid w:val="001B54B9"/>
    <w:rsid w:val="001B6316"/>
    <w:rsid w:val="001B6458"/>
    <w:rsid w:val="001B6554"/>
    <w:rsid w:val="001B6710"/>
    <w:rsid w:val="001B6BE4"/>
    <w:rsid w:val="001B785A"/>
    <w:rsid w:val="001C1BE9"/>
    <w:rsid w:val="001C3337"/>
    <w:rsid w:val="001C4733"/>
    <w:rsid w:val="001C4B6A"/>
    <w:rsid w:val="001C4FFC"/>
    <w:rsid w:val="001C5291"/>
    <w:rsid w:val="001C5E10"/>
    <w:rsid w:val="001C616F"/>
    <w:rsid w:val="001C7A0E"/>
    <w:rsid w:val="001D036D"/>
    <w:rsid w:val="001D0585"/>
    <w:rsid w:val="001D07A5"/>
    <w:rsid w:val="001D0DA5"/>
    <w:rsid w:val="001D1B60"/>
    <w:rsid w:val="001D1CB2"/>
    <w:rsid w:val="001D204F"/>
    <w:rsid w:val="001D2C2A"/>
    <w:rsid w:val="001D2E2D"/>
    <w:rsid w:val="001D4374"/>
    <w:rsid w:val="001D5523"/>
    <w:rsid w:val="001D5550"/>
    <w:rsid w:val="001D5EA9"/>
    <w:rsid w:val="001D6818"/>
    <w:rsid w:val="001D7310"/>
    <w:rsid w:val="001D75E9"/>
    <w:rsid w:val="001D7C3C"/>
    <w:rsid w:val="001E2136"/>
    <w:rsid w:val="001E21C9"/>
    <w:rsid w:val="001E2944"/>
    <w:rsid w:val="001E2E8F"/>
    <w:rsid w:val="001E3A37"/>
    <w:rsid w:val="001E3CC1"/>
    <w:rsid w:val="001E4942"/>
    <w:rsid w:val="001E499A"/>
    <w:rsid w:val="001E49ED"/>
    <w:rsid w:val="001E4A58"/>
    <w:rsid w:val="001E4D7C"/>
    <w:rsid w:val="001F0C1F"/>
    <w:rsid w:val="001F17BF"/>
    <w:rsid w:val="001F1E5D"/>
    <w:rsid w:val="001F339E"/>
    <w:rsid w:val="001F3F18"/>
    <w:rsid w:val="001F4958"/>
    <w:rsid w:val="001F49E5"/>
    <w:rsid w:val="001F50B5"/>
    <w:rsid w:val="001F551B"/>
    <w:rsid w:val="001F57C7"/>
    <w:rsid w:val="001F5BC1"/>
    <w:rsid w:val="001F5F85"/>
    <w:rsid w:val="001F61C6"/>
    <w:rsid w:val="001F6300"/>
    <w:rsid w:val="001F66B4"/>
    <w:rsid w:val="001F6FAB"/>
    <w:rsid w:val="001F7477"/>
    <w:rsid w:val="001F74CA"/>
    <w:rsid w:val="001F7621"/>
    <w:rsid w:val="002003D0"/>
    <w:rsid w:val="00200C8C"/>
    <w:rsid w:val="0020219E"/>
    <w:rsid w:val="0020283C"/>
    <w:rsid w:val="002029E0"/>
    <w:rsid w:val="00202E3B"/>
    <w:rsid w:val="00202EDA"/>
    <w:rsid w:val="00204077"/>
    <w:rsid w:val="00204164"/>
    <w:rsid w:val="00204705"/>
    <w:rsid w:val="00204AFF"/>
    <w:rsid w:val="00204F29"/>
    <w:rsid w:val="00205091"/>
    <w:rsid w:val="002068C1"/>
    <w:rsid w:val="002076C8"/>
    <w:rsid w:val="00207D37"/>
    <w:rsid w:val="00210A04"/>
    <w:rsid w:val="00210C07"/>
    <w:rsid w:val="002125EC"/>
    <w:rsid w:val="00214241"/>
    <w:rsid w:val="00214BCA"/>
    <w:rsid w:val="00215213"/>
    <w:rsid w:val="002163D4"/>
    <w:rsid w:val="0021719A"/>
    <w:rsid w:val="00217343"/>
    <w:rsid w:val="00217799"/>
    <w:rsid w:val="00217AB0"/>
    <w:rsid w:val="0022143B"/>
    <w:rsid w:val="00221E98"/>
    <w:rsid w:val="00223310"/>
    <w:rsid w:val="0022378D"/>
    <w:rsid w:val="002237AE"/>
    <w:rsid w:val="00224E2A"/>
    <w:rsid w:val="00225842"/>
    <w:rsid w:val="00226CA6"/>
    <w:rsid w:val="002308E0"/>
    <w:rsid w:val="00230A18"/>
    <w:rsid w:val="002312F5"/>
    <w:rsid w:val="00232309"/>
    <w:rsid w:val="00232436"/>
    <w:rsid w:val="00232AE3"/>
    <w:rsid w:val="00233B93"/>
    <w:rsid w:val="0023491F"/>
    <w:rsid w:val="00234CEA"/>
    <w:rsid w:val="0023569B"/>
    <w:rsid w:val="002365EA"/>
    <w:rsid w:val="0023664C"/>
    <w:rsid w:val="002378C1"/>
    <w:rsid w:val="00237D0F"/>
    <w:rsid w:val="002400CF"/>
    <w:rsid w:val="0024271E"/>
    <w:rsid w:val="00242D10"/>
    <w:rsid w:val="00243355"/>
    <w:rsid w:val="00246F21"/>
    <w:rsid w:val="00247B26"/>
    <w:rsid w:val="00247DAC"/>
    <w:rsid w:val="00251254"/>
    <w:rsid w:val="00251783"/>
    <w:rsid w:val="00252757"/>
    <w:rsid w:val="00252C28"/>
    <w:rsid w:val="002537EB"/>
    <w:rsid w:val="00253A64"/>
    <w:rsid w:val="002556F8"/>
    <w:rsid w:val="00255773"/>
    <w:rsid w:val="00255B55"/>
    <w:rsid w:val="00256A54"/>
    <w:rsid w:val="00256BD3"/>
    <w:rsid w:val="0025734D"/>
    <w:rsid w:val="00257796"/>
    <w:rsid w:val="00257BA1"/>
    <w:rsid w:val="00257F16"/>
    <w:rsid w:val="002602DA"/>
    <w:rsid w:val="00260FAC"/>
    <w:rsid w:val="00262DDE"/>
    <w:rsid w:val="0026303F"/>
    <w:rsid w:val="002630DD"/>
    <w:rsid w:val="00265438"/>
    <w:rsid w:val="0026576F"/>
    <w:rsid w:val="0026658D"/>
    <w:rsid w:val="00266F4F"/>
    <w:rsid w:val="00267357"/>
    <w:rsid w:val="002673A5"/>
    <w:rsid w:val="00267507"/>
    <w:rsid w:val="00267DD1"/>
    <w:rsid w:val="00270079"/>
    <w:rsid w:val="0027078D"/>
    <w:rsid w:val="00271469"/>
    <w:rsid w:val="00271BA6"/>
    <w:rsid w:val="0027261B"/>
    <w:rsid w:val="00272952"/>
    <w:rsid w:val="00272E29"/>
    <w:rsid w:val="00274276"/>
    <w:rsid w:val="00274F60"/>
    <w:rsid w:val="0027518A"/>
    <w:rsid w:val="002757A5"/>
    <w:rsid w:val="00277921"/>
    <w:rsid w:val="00280EB9"/>
    <w:rsid w:val="002810C8"/>
    <w:rsid w:val="00281175"/>
    <w:rsid w:val="00281578"/>
    <w:rsid w:val="002830F6"/>
    <w:rsid w:val="00283D5E"/>
    <w:rsid w:val="002840CE"/>
    <w:rsid w:val="00285198"/>
    <w:rsid w:val="002852F1"/>
    <w:rsid w:val="00285A2F"/>
    <w:rsid w:val="002866DE"/>
    <w:rsid w:val="00286ABC"/>
    <w:rsid w:val="002905B0"/>
    <w:rsid w:val="00290BA0"/>
    <w:rsid w:val="002916AA"/>
    <w:rsid w:val="0029234D"/>
    <w:rsid w:val="002927A1"/>
    <w:rsid w:val="00292AE8"/>
    <w:rsid w:val="002933D5"/>
    <w:rsid w:val="00293F4E"/>
    <w:rsid w:val="00294011"/>
    <w:rsid w:val="00295803"/>
    <w:rsid w:val="00296410"/>
    <w:rsid w:val="002975C1"/>
    <w:rsid w:val="002A07F2"/>
    <w:rsid w:val="002A31C2"/>
    <w:rsid w:val="002A33E7"/>
    <w:rsid w:val="002A343B"/>
    <w:rsid w:val="002A3B50"/>
    <w:rsid w:val="002A459C"/>
    <w:rsid w:val="002A4676"/>
    <w:rsid w:val="002A472B"/>
    <w:rsid w:val="002A54D6"/>
    <w:rsid w:val="002A5B07"/>
    <w:rsid w:val="002A5D91"/>
    <w:rsid w:val="002A62DD"/>
    <w:rsid w:val="002A6979"/>
    <w:rsid w:val="002A6DD6"/>
    <w:rsid w:val="002A74E8"/>
    <w:rsid w:val="002A7F2D"/>
    <w:rsid w:val="002B095D"/>
    <w:rsid w:val="002B1144"/>
    <w:rsid w:val="002B1DD2"/>
    <w:rsid w:val="002B2A8E"/>
    <w:rsid w:val="002B2FBE"/>
    <w:rsid w:val="002B3220"/>
    <w:rsid w:val="002B5105"/>
    <w:rsid w:val="002B531F"/>
    <w:rsid w:val="002B5C0B"/>
    <w:rsid w:val="002B60A0"/>
    <w:rsid w:val="002B61C0"/>
    <w:rsid w:val="002B779D"/>
    <w:rsid w:val="002C0018"/>
    <w:rsid w:val="002C0686"/>
    <w:rsid w:val="002C090D"/>
    <w:rsid w:val="002C0915"/>
    <w:rsid w:val="002C1206"/>
    <w:rsid w:val="002C141F"/>
    <w:rsid w:val="002C1500"/>
    <w:rsid w:val="002C2B14"/>
    <w:rsid w:val="002C31C6"/>
    <w:rsid w:val="002C46C9"/>
    <w:rsid w:val="002C6315"/>
    <w:rsid w:val="002C66D9"/>
    <w:rsid w:val="002C720D"/>
    <w:rsid w:val="002C7A47"/>
    <w:rsid w:val="002C7B38"/>
    <w:rsid w:val="002D0127"/>
    <w:rsid w:val="002D1958"/>
    <w:rsid w:val="002D2BAC"/>
    <w:rsid w:val="002D2C31"/>
    <w:rsid w:val="002D322E"/>
    <w:rsid w:val="002D3C86"/>
    <w:rsid w:val="002D40C9"/>
    <w:rsid w:val="002D4188"/>
    <w:rsid w:val="002D4DC6"/>
    <w:rsid w:val="002D5102"/>
    <w:rsid w:val="002D5672"/>
    <w:rsid w:val="002D56BA"/>
    <w:rsid w:val="002D5849"/>
    <w:rsid w:val="002D5C65"/>
    <w:rsid w:val="002D5D51"/>
    <w:rsid w:val="002E0EF1"/>
    <w:rsid w:val="002E2330"/>
    <w:rsid w:val="002E2E4F"/>
    <w:rsid w:val="002E3270"/>
    <w:rsid w:val="002E36AB"/>
    <w:rsid w:val="002E3B10"/>
    <w:rsid w:val="002E43BD"/>
    <w:rsid w:val="002E589C"/>
    <w:rsid w:val="002E78F9"/>
    <w:rsid w:val="002F01C2"/>
    <w:rsid w:val="002F05A8"/>
    <w:rsid w:val="002F0EBA"/>
    <w:rsid w:val="002F0EEF"/>
    <w:rsid w:val="002F137A"/>
    <w:rsid w:val="002F15E6"/>
    <w:rsid w:val="002F2208"/>
    <w:rsid w:val="002F2C7A"/>
    <w:rsid w:val="002F315F"/>
    <w:rsid w:val="002F46AF"/>
    <w:rsid w:val="002F487F"/>
    <w:rsid w:val="002F5125"/>
    <w:rsid w:val="002F56EE"/>
    <w:rsid w:val="002F6715"/>
    <w:rsid w:val="00300738"/>
    <w:rsid w:val="00300AF5"/>
    <w:rsid w:val="00301D88"/>
    <w:rsid w:val="00302495"/>
    <w:rsid w:val="003025BE"/>
    <w:rsid w:val="0030350C"/>
    <w:rsid w:val="0030442F"/>
    <w:rsid w:val="0030457C"/>
    <w:rsid w:val="00304605"/>
    <w:rsid w:val="00304644"/>
    <w:rsid w:val="00305B31"/>
    <w:rsid w:val="00305FA6"/>
    <w:rsid w:val="003060F0"/>
    <w:rsid w:val="003063C9"/>
    <w:rsid w:val="00306AC3"/>
    <w:rsid w:val="003076BF"/>
    <w:rsid w:val="0030789B"/>
    <w:rsid w:val="00307AD6"/>
    <w:rsid w:val="0031021C"/>
    <w:rsid w:val="0031080B"/>
    <w:rsid w:val="00310CE0"/>
    <w:rsid w:val="00310F47"/>
    <w:rsid w:val="00311589"/>
    <w:rsid w:val="00311A07"/>
    <w:rsid w:val="00311B17"/>
    <w:rsid w:val="00311B71"/>
    <w:rsid w:val="00313716"/>
    <w:rsid w:val="0031393F"/>
    <w:rsid w:val="003147DD"/>
    <w:rsid w:val="00314E0E"/>
    <w:rsid w:val="00315AE5"/>
    <w:rsid w:val="00315B65"/>
    <w:rsid w:val="00315C5C"/>
    <w:rsid w:val="00316261"/>
    <w:rsid w:val="00316E92"/>
    <w:rsid w:val="003172BD"/>
    <w:rsid w:val="00322656"/>
    <w:rsid w:val="00322EFE"/>
    <w:rsid w:val="00323598"/>
    <w:rsid w:val="00323F9B"/>
    <w:rsid w:val="00324610"/>
    <w:rsid w:val="00326400"/>
    <w:rsid w:val="003270EC"/>
    <w:rsid w:val="00330E72"/>
    <w:rsid w:val="00331856"/>
    <w:rsid w:val="003322B1"/>
    <w:rsid w:val="00332650"/>
    <w:rsid w:val="00332672"/>
    <w:rsid w:val="00333AEE"/>
    <w:rsid w:val="00336550"/>
    <w:rsid w:val="00336DBE"/>
    <w:rsid w:val="00337926"/>
    <w:rsid w:val="0034044B"/>
    <w:rsid w:val="00340B3C"/>
    <w:rsid w:val="00340E62"/>
    <w:rsid w:val="00341D71"/>
    <w:rsid w:val="003438AA"/>
    <w:rsid w:val="00343EE9"/>
    <w:rsid w:val="00345516"/>
    <w:rsid w:val="00345674"/>
    <w:rsid w:val="003460CD"/>
    <w:rsid w:val="003462E7"/>
    <w:rsid w:val="00346D8C"/>
    <w:rsid w:val="0034756F"/>
    <w:rsid w:val="00347A7F"/>
    <w:rsid w:val="00350773"/>
    <w:rsid w:val="00350C19"/>
    <w:rsid w:val="00351CEB"/>
    <w:rsid w:val="00352136"/>
    <w:rsid w:val="00352356"/>
    <w:rsid w:val="00354C88"/>
    <w:rsid w:val="00354E7E"/>
    <w:rsid w:val="00354EA2"/>
    <w:rsid w:val="00355EA0"/>
    <w:rsid w:val="00356785"/>
    <w:rsid w:val="00357856"/>
    <w:rsid w:val="003578A6"/>
    <w:rsid w:val="00361100"/>
    <w:rsid w:val="00361394"/>
    <w:rsid w:val="003615D5"/>
    <w:rsid w:val="00361E37"/>
    <w:rsid w:val="003641D9"/>
    <w:rsid w:val="003642FC"/>
    <w:rsid w:val="00364BAD"/>
    <w:rsid w:val="00364E68"/>
    <w:rsid w:val="00365563"/>
    <w:rsid w:val="00365B49"/>
    <w:rsid w:val="00365FD6"/>
    <w:rsid w:val="003660CE"/>
    <w:rsid w:val="00367665"/>
    <w:rsid w:val="00370C77"/>
    <w:rsid w:val="00370CD0"/>
    <w:rsid w:val="003712D9"/>
    <w:rsid w:val="00371A19"/>
    <w:rsid w:val="00371E15"/>
    <w:rsid w:val="00371F36"/>
    <w:rsid w:val="00372E50"/>
    <w:rsid w:val="003732CF"/>
    <w:rsid w:val="0037334F"/>
    <w:rsid w:val="003756E7"/>
    <w:rsid w:val="00375F77"/>
    <w:rsid w:val="0037652E"/>
    <w:rsid w:val="0037708E"/>
    <w:rsid w:val="003778C6"/>
    <w:rsid w:val="00380D59"/>
    <w:rsid w:val="00381F97"/>
    <w:rsid w:val="00382BE7"/>
    <w:rsid w:val="00382E3B"/>
    <w:rsid w:val="00383029"/>
    <w:rsid w:val="00383F48"/>
    <w:rsid w:val="00384B2E"/>
    <w:rsid w:val="00385BB6"/>
    <w:rsid w:val="00387293"/>
    <w:rsid w:val="003877FA"/>
    <w:rsid w:val="00387F73"/>
    <w:rsid w:val="00390D3A"/>
    <w:rsid w:val="00391E68"/>
    <w:rsid w:val="0039281B"/>
    <w:rsid w:val="00392C7B"/>
    <w:rsid w:val="00393299"/>
    <w:rsid w:val="003936A3"/>
    <w:rsid w:val="00394C45"/>
    <w:rsid w:val="00395081"/>
    <w:rsid w:val="003960C5"/>
    <w:rsid w:val="003967EE"/>
    <w:rsid w:val="00396E87"/>
    <w:rsid w:val="00397343"/>
    <w:rsid w:val="003A14F2"/>
    <w:rsid w:val="003A253A"/>
    <w:rsid w:val="003A33D9"/>
    <w:rsid w:val="003A3C25"/>
    <w:rsid w:val="003A3D05"/>
    <w:rsid w:val="003A4982"/>
    <w:rsid w:val="003A4E94"/>
    <w:rsid w:val="003A4F29"/>
    <w:rsid w:val="003A564E"/>
    <w:rsid w:val="003A5A04"/>
    <w:rsid w:val="003A5A88"/>
    <w:rsid w:val="003A6D12"/>
    <w:rsid w:val="003A6FBB"/>
    <w:rsid w:val="003A702A"/>
    <w:rsid w:val="003A7A16"/>
    <w:rsid w:val="003B01A6"/>
    <w:rsid w:val="003B0EC5"/>
    <w:rsid w:val="003B12F3"/>
    <w:rsid w:val="003B141B"/>
    <w:rsid w:val="003B3684"/>
    <w:rsid w:val="003B51AB"/>
    <w:rsid w:val="003B5BE5"/>
    <w:rsid w:val="003B5E70"/>
    <w:rsid w:val="003B739F"/>
    <w:rsid w:val="003B7574"/>
    <w:rsid w:val="003B7ABC"/>
    <w:rsid w:val="003B7C70"/>
    <w:rsid w:val="003C09B2"/>
    <w:rsid w:val="003C0FAA"/>
    <w:rsid w:val="003C1837"/>
    <w:rsid w:val="003C1F77"/>
    <w:rsid w:val="003C2456"/>
    <w:rsid w:val="003C5819"/>
    <w:rsid w:val="003C587D"/>
    <w:rsid w:val="003C748C"/>
    <w:rsid w:val="003C7BA8"/>
    <w:rsid w:val="003C7DC0"/>
    <w:rsid w:val="003D0E4F"/>
    <w:rsid w:val="003D1010"/>
    <w:rsid w:val="003D11AA"/>
    <w:rsid w:val="003D1A30"/>
    <w:rsid w:val="003D1CCE"/>
    <w:rsid w:val="003D350E"/>
    <w:rsid w:val="003D3B5E"/>
    <w:rsid w:val="003D4A9B"/>
    <w:rsid w:val="003D7074"/>
    <w:rsid w:val="003D7C3B"/>
    <w:rsid w:val="003E075B"/>
    <w:rsid w:val="003E0B54"/>
    <w:rsid w:val="003E1A25"/>
    <w:rsid w:val="003E1A53"/>
    <w:rsid w:val="003E246C"/>
    <w:rsid w:val="003E32D9"/>
    <w:rsid w:val="003E38B9"/>
    <w:rsid w:val="003E4B5D"/>
    <w:rsid w:val="003E50C4"/>
    <w:rsid w:val="003E5B5C"/>
    <w:rsid w:val="003E61AA"/>
    <w:rsid w:val="003E62BF"/>
    <w:rsid w:val="003E762E"/>
    <w:rsid w:val="003E7EBA"/>
    <w:rsid w:val="003F0E6C"/>
    <w:rsid w:val="003F1A12"/>
    <w:rsid w:val="003F2BC3"/>
    <w:rsid w:val="003F4A68"/>
    <w:rsid w:val="003F6002"/>
    <w:rsid w:val="003F73A2"/>
    <w:rsid w:val="003F75E2"/>
    <w:rsid w:val="003F7E51"/>
    <w:rsid w:val="00400665"/>
    <w:rsid w:val="00400ADC"/>
    <w:rsid w:val="00402B71"/>
    <w:rsid w:val="0040392A"/>
    <w:rsid w:val="004043C5"/>
    <w:rsid w:val="00404F5F"/>
    <w:rsid w:val="004061C5"/>
    <w:rsid w:val="00406684"/>
    <w:rsid w:val="00406BC9"/>
    <w:rsid w:val="00407BFB"/>
    <w:rsid w:val="00407E38"/>
    <w:rsid w:val="00410B42"/>
    <w:rsid w:val="00410C31"/>
    <w:rsid w:val="00410C82"/>
    <w:rsid w:val="00411858"/>
    <w:rsid w:val="00411E68"/>
    <w:rsid w:val="00412329"/>
    <w:rsid w:val="0041256E"/>
    <w:rsid w:val="00414F6F"/>
    <w:rsid w:val="00416473"/>
    <w:rsid w:val="00417050"/>
    <w:rsid w:val="00417CAD"/>
    <w:rsid w:val="0042069B"/>
    <w:rsid w:val="00421592"/>
    <w:rsid w:val="00421EA1"/>
    <w:rsid w:val="00422585"/>
    <w:rsid w:val="00422887"/>
    <w:rsid w:val="00422E9E"/>
    <w:rsid w:val="00423D13"/>
    <w:rsid w:val="004251BA"/>
    <w:rsid w:val="004253A5"/>
    <w:rsid w:val="00426883"/>
    <w:rsid w:val="004268B4"/>
    <w:rsid w:val="00426C03"/>
    <w:rsid w:val="00430E39"/>
    <w:rsid w:val="004312B8"/>
    <w:rsid w:val="00431C6A"/>
    <w:rsid w:val="00431D37"/>
    <w:rsid w:val="004326D3"/>
    <w:rsid w:val="00432ABB"/>
    <w:rsid w:val="00432CCF"/>
    <w:rsid w:val="00434C78"/>
    <w:rsid w:val="00434D0C"/>
    <w:rsid w:val="00435662"/>
    <w:rsid w:val="00435795"/>
    <w:rsid w:val="00435FDB"/>
    <w:rsid w:val="00436925"/>
    <w:rsid w:val="00436C51"/>
    <w:rsid w:val="004433B1"/>
    <w:rsid w:val="0044360D"/>
    <w:rsid w:val="00443DEA"/>
    <w:rsid w:val="00444648"/>
    <w:rsid w:val="00444984"/>
    <w:rsid w:val="004451B6"/>
    <w:rsid w:val="004459B3"/>
    <w:rsid w:val="00445A9F"/>
    <w:rsid w:val="00445DE2"/>
    <w:rsid w:val="00445E22"/>
    <w:rsid w:val="00446C1F"/>
    <w:rsid w:val="00447193"/>
    <w:rsid w:val="00447537"/>
    <w:rsid w:val="00447972"/>
    <w:rsid w:val="00447B15"/>
    <w:rsid w:val="00450301"/>
    <w:rsid w:val="00450847"/>
    <w:rsid w:val="00450B1D"/>
    <w:rsid w:val="004520DB"/>
    <w:rsid w:val="00453DB8"/>
    <w:rsid w:val="004560CC"/>
    <w:rsid w:val="004561DA"/>
    <w:rsid w:val="0045635D"/>
    <w:rsid w:val="00456440"/>
    <w:rsid w:val="00457568"/>
    <w:rsid w:val="00457AF1"/>
    <w:rsid w:val="00457D05"/>
    <w:rsid w:val="00460AB3"/>
    <w:rsid w:val="004619DB"/>
    <w:rsid w:val="00461C4E"/>
    <w:rsid w:val="0046393C"/>
    <w:rsid w:val="0046406C"/>
    <w:rsid w:val="00464C8C"/>
    <w:rsid w:val="00464F71"/>
    <w:rsid w:val="00466ADB"/>
    <w:rsid w:val="00470D3D"/>
    <w:rsid w:val="0047180F"/>
    <w:rsid w:val="004729D9"/>
    <w:rsid w:val="004746F3"/>
    <w:rsid w:val="00474C4B"/>
    <w:rsid w:val="00474F19"/>
    <w:rsid w:val="0047563C"/>
    <w:rsid w:val="00476054"/>
    <w:rsid w:val="00476B1A"/>
    <w:rsid w:val="004772FD"/>
    <w:rsid w:val="004779DD"/>
    <w:rsid w:val="00477C01"/>
    <w:rsid w:val="00477D76"/>
    <w:rsid w:val="0048023B"/>
    <w:rsid w:val="00480CAF"/>
    <w:rsid w:val="00480E10"/>
    <w:rsid w:val="00481259"/>
    <w:rsid w:val="004812C0"/>
    <w:rsid w:val="00481560"/>
    <w:rsid w:val="00482A3F"/>
    <w:rsid w:val="00483169"/>
    <w:rsid w:val="004834BC"/>
    <w:rsid w:val="004835CE"/>
    <w:rsid w:val="00483ECC"/>
    <w:rsid w:val="00483F96"/>
    <w:rsid w:val="004851AB"/>
    <w:rsid w:val="00485289"/>
    <w:rsid w:val="004857C7"/>
    <w:rsid w:val="0049041D"/>
    <w:rsid w:val="00492362"/>
    <w:rsid w:val="004932F8"/>
    <w:rsid w:val="00493446"/>
    <w:rsid w:val="004939EA"/>
    <w:rsid w:val="00493CD4"/>
    <w:rsid w:val="00493F39"/>
    <w:rsid w:val="004942C4"/>
    <w:rsid w:val="00494EE9"/>
    <w:rsid w:val="0049560C"/>
    <w:rsid w:val="00495C1B"/>
    <w:rsid w:val="00495D38"/>
    <w:rsid w:val="00495E49"/>
    <w:rsid w:val="00496236"/>
    <w:rsid w:val="004964F8"/>
    <w:rsid w:val="00496875"/>
    <w:rsid w:val="00496C99"/>
    <w:rsid w:val="00496DA4"/>
    <w:rsid w:val="004A0147"/>
    <w:rsid w:val="004A10AC"/>
    <w:rsid w:val="004A34CF"/>
    <w:rsid w:val="004A3DF2"/>
    <w:rsid w:val="004A43C9"/>
    <w:rsid w:val="004A464C"/>
    <w:rsid w:val="004A46E3"/>
    <w:rsid w:val="004A4D43"/>
    <w:rsid w:val="004A4EEF"/>
    <w:rsid w:val="004A5598"/>
    <w:rsid w:val="004A6042"/>
    <w:rsid w:val="004A6138"/>
    <w:rsid w:val="004A69FF"/>
    <w:rsid w:val="004A752B"/>
    <w:rsid w:val="004A756B"/>
    <w:rsid w:val="004A7847"/>
    <w:rsid w:val="004B0E4F"/>
    <w:rsid w:val="004B1014"/>
    <w:rsid w:val="004B1209"/>
    <w:rsid w:val="004B2105"/>
    <w:rsid w:val="004B2335"/>
    <w:rsid w:val="004B2C98"/>
    <w:rsid w:val="004B2FEA"/>
    <w:rsid w:val="004B3424"/>
    <w:rsid w:val="004B3B3F"/>
    <w:rsid w:val="004B3DA9"/>
    <w:rsid w:val="004B40C3"/>
    <w:rsid w:val="004B424E"/>
    <w:rsid w:val="004B4E62"/>
    <w:rsid w:val="004B53E7"/>
    <w:rsid w:val="004B6C6C"/>
    <w:rsid w:val="004B6C7A"/>
    <w:rsid w:val="004B6F05"/>
    <w:rsid w:val="004B70E3"/>
    <w:rsid w:val="004B7AEA"/>
    <w:rsid w:val="004C0DF3"/>
    <w:rsid w:val="004C0EA2"/>
    <w:rsid w:val="004C1602"/>
    <w:rsid w:val="004C212E"/>
    <w:rsid w:val="004C277A"/>
    <w:rsid w:val="004C279F"/>
    <w:rsid w:val="004C2892"/>
    <w:rsid w:val="004C3A58"/>
    <w:rsid w:val="004C3C99"/>
    <w:rsid w:val="004C3E60"/>
    <w:rsid w:val="004C413F"/>
    <w:rsid w:val="004C4C4A"/>
    <w:rsid w:val="004C541B"/>
    <w:rsid w:val="004C5954"/>
    <w:rsid w:val="004C7203"/>
    <w:rsid w:val="004C742D"/>
    <w:rsid w:val="004D0665"/>
    <w:rsid w:val="004D0AD8"/>
    <w:rsid w:val="004D2D85"/>
    <w:rsid w:val="004D3F2F"/>
    <w:rsid w:val="004D4403"/>
    <w:rsid w:val="004D472B"/>
    <w:rsid w:val="004D5062"/>
    <w:rsid w:val="004D55CC"/>
    <w:rsid w:val="004D5775"/>
    <w:rsid w:val="004D5B4F"/>
    <w:rsid w:val="004D5E12"/>
    <w:rsid w:val="004D6441"/>
    <w:rsid w:val="004D6FAC"/>
    <w:rsid w:val="004D736E"/>
    <w:rsid w:val="004E00A5"/>
    <w:rsid w:val="004E08DC"/>
    <w:rsid w:val="004E0B4D"/>
    <w:rsid w:val="004E1984"/>
    <w:rsid w:val="004E1CA5"/>
    <w:rsid w:val="004E231D"/>
    <w:rsid w:val="004E2E6A"/>
    <w:rsid w:val="004E3147"/>
    <w:rsid w:val="004E3368"/>
    <w:rsid w:val="004E33DE"/>
    <w:rsid w:val="004E3BCC"/>
    <w:rsid w:val="004E3D67"/>
    <w:rsid w:val="004E4950"/>
    <w:rsid w:val="004E5FDE"/>
    <w:rsid w:val="004E744E"/>
    <w:rsid w:val="004F0311"/>
    <w:rsid w:val="004F0959"/>
    <w:rsid w:val="004F0CC7"/>
    <w:rsid w:val="004F1223"/>
    <w:rsid w:val="004F1D09"/>
    <w:rsid w:val="004F3AB0"/>
    <w:rsid w:val="004F5622"/>
    <w:rsid w:val="004F5BC8"/>
    <w:rsid w:val="004F63CD"/>
    <w:rsid w:val="004F6CD5"/>
    <w:rsid w:val="004F7106"/>
    <w:rsid w:val="004F71ED"/>
    <w:rsid w:val="004F7D5E"/>
    <w:rsid w:val="005012D8"/>
    <w:rsid w:val="00501CAE"/>
    <w:rsid w:val="00502804"/>
    <w:rsid w:val="0050330A"/>
    <w:rsid w:val="00503765"/>
    <w:rsid w:val="00503C02"/>
    <w:rsid w:val="00504705"/>
    <w:rsid w:val="00505701"/>
    <w:rsid w:val="0051017B"/>
    <w:rsid w:val="0051079B"/>
    <w:rsid w:val="0051099B"/>
    <w:rsid w:val="00511756"/>
    <w:rsid w:val="00511A9C"/>
    <w:rsid w:val="00511FF0"/>
    <w:rsid w:val="005126DB"/>
    <w:rsid w:val="00512F54"/>
    <w:rsid w:val="0051370F"/>
    <w:rsid w:val="00513F90"/>
    <w:rsid w:val="00514111"/>
    <w:rsid w:val="005141A1"/>
    <w:rsid w:val="00514745"/>
    <w:rsid w:val="00516571"/>
    <w:rsid w:val="00516A09"/>
    <w:rsid w:val="00516D57"/>
    <w:rsid w:val="00516F1E"/>
    <w:rsid w:val="00517847"/>
    <w:rsid w:val="00521151"/>
    <w:rsid w:val="00521360"/>
    <w:rsid w:val="00521DB2"/>
    <w:rsid w:val="00522523"/>
    <w:rsid w:val="00522EBD"/>
    <w:rsid w:val="0052328D"/>
    <w:rsid w:val="00523B54"/>
    <w:rsid w:val="00524C0E"/>
    <w:rsid w:val="00525523"/>
    <w:rsid w:val="00525587"/>
    <w:rsid w:val="00525956"/>
    <w:rsid w:val="00525B2D"/>
    <w:rsid w:val="00525CAD"/>
    <w:rsid w:val="00526D5B"/>
    <w:rsid w:val="00527CD7"/>
    <w:rsid w:val="005307BB"/>
    <w:rsid w:val="00530869"/>
    <w:rsid w:val="005316D6"/>
    <w:rsid w:val="00532498"/>
    <w:rsid w:val="0053581D"/>
    <w:rsid w:val="00537901"/>
    <w:rsid w:val="00537BBF"/>
    <w:rsid w:val="005413EC"/>
    <w:rsid w:val="00541C75"/>
    <w:rsid w:val="00542179"/>
    <w:rsid w:val="00542CB2"/>
    <w:rsid w:val="005447D3"/>
    <w:rsid w:val="00544E01"/>
    <w:rsid w:val="005453E2"/>
    <w:rsid w:val="005469D2"/>
    <w:rsid w:val="00547B08"/>
    <w:rsid w:val="00550C82"/>
    <w:rsid w:val="00550E64"/>
    <w:rsid w:val="0055220A"/>
    <w:rsid w:val="00552990"/>
    <w:rsid w:val="00554284"/>
    <w:rsid w:val="005545E9"/>
    <w:rsid w:val="00555585"/>
    <w:rsid w:val="00556CF7"/>
    <w:rsid w:val="00556D60"/>
    <w:rsid w:val="005577F2"/>
    <w:rsid w:val="00557E77"/>
    <w:rsid w:val="00557F9E"/>
    <w:rsid w:val="0056001D"/>
    <w:rsid w:val="00560297"/>
    <w:rsid w:val="00560A8E"/>
    <w:rsid w:val="00560B12"/>
    <w:rsid w:val="00562489"/>
    <w:rsid w:val="00563EE5"/>
    <w:rsid w:val="0056549C"/>
    <w:rsid w:val="00566AF8"/>
    <w:rsid w:val="00570C8E"/>
    <w:rsid w:val="00570CAF"/>
    <w:rsid w:val="0057161A"/>
    <w:rsid w:val="0057169D"/>
    <w:rsid w:val="00571A56"/>
    <w:rsid w:val="0057207A"/>
    <w:rsid w:val="005723EE"/>
    <w:rsid w:val="00573F05"/>
    <w:rsid w:val="00574AB5"/>
    <w:rsid w:val="00575338"/>
    <w:rsid w:val="005759E5"/>
    <w:rsid w:val="005762FD"/>
    <w:rsid w:val="00576504"/>
    <w:rsid w:val="0057664D"/>
    <w:rsid w:val="00576B53"/>
    <w:rsid w:val="005776E1"/>
    <w:rsid w:val="00580C1F"/>
    <w:rsid w:val="00581428"/>
    <w:rsid w:val="00584542"/>
    <w:rsid w:val="00584719"/>
    <w:rsid w:val="00584DB6"/>
    <w:rsid w:val="00585BB3"/>
    <w:rsid w:val="00585C96"/>
    <w:rsid w:val="0058627A"/>
    <w:rsid w:val="005862E9"/>
    <w:rsid w:val="00587701"/>
    <w:rsid w:val="00587F14"/>
    <w:rsid w:val="00590234"/>
    <w:rsid w:val="005907F1"/>
    <w:rsid w:val="005920EC"/>
    <w:rsid w:val="005923FF"/>
    <w:rsid w:val="00592808"/>
    <w:rsid w:val="00596C64"/>
    <w:rsid w:val="005971FA"/>
    <w:rsid w:val="0059737B"/>
    <w:rsid w:val="00597843"/>
    <w:rsid w:val="005A09DF"/>
    <w:rsid w:val="005A2144"/>
    <w:rsid w:val="005A2FFE"/>
    <w:rsid w:val="005A36F0"/>
    <w:rsid w:val="005A39A1"/>
    <w:rsid w:val="005A409E"/>
    <w:rsid w:val="005A65AA"/>
    <w:rsid w:val="005A699D"/>
    <w:rsid w:val="005A7364"/>
    <w:rsid w:val="005A762A"/>
    <w:rsid w:val="005B0775"/>
    <w:rsid w:val="005B18FD"/>
    <w:rsid w:val="005B290B"/>
    <w:rsid w:val="005B2C05"/>
    <w:rsid w:val="005B432D"/>
    <w:rsid w:val="005B525D"/>
    <w:rsid w:val="005C06B5"/>
    <w:rsid w:val="005C1EEB"/>
    <w:rsid w:val="005C28DB"/>
    <w:rsid w:val="005C32B2"/>
    <w:rsid w:val="005C3FBF"/>
    <w:rsid w:val="005C4185"/>
    <w:rsid w:val="005C4985"/>
    <w:rsid w:val="005C5B6D"/>
    <w:rsid w:val="005C5D37"/>
    <w:rsid w:val="005C5EB9"/>
    <w:rsid w:val="005C6BB6"/>
    <w:rsid w:val="005C6FB9"/>
    <w:rsid w:val="005C781A"/>
    <w:rsid w:val="005D0256"/>
    <w:rsid w:val="005D0BB0"/>
    <w:rsid w:val="005D0DE5"/>
    <w:rsid w:val="005D3502"/>
    <w:rsid w:val="005D3D91"/>
    <w:rsid w:val="005D4028"/>
    <w:rsid w:val="005D7981"/>
    <w:rsid w:val="005E0AAD"/>
    <w:rsid w:val="005E0B46"/>
    <w:rsid w:val="005E0BE2"/>
    <w:rsid w:val="005E121F"/>
    <w:rsid w:val="005E19D8"/>
    <w:rsid w:val="005E2983"/>
    <w:rsid w:val="005E2FC0"/>
    <w:rsid w:val="005E4B5B"/>
    <w:rsid w:val="005E4F85"/>
    <w:rsid w:val="005E548B"/>
    <w:rsid w:val="005E5AE3"/>
    <w:rsid w:val="005E5FD0"/>
    <w:rsid w:val="005E64C5"/>
    <w:rsid w:val="005E6AC0"/>
    <w:rsid w:val="005E7981"/>
    <w:rsid w:val="005F025C"/>
    <w:rsid w:val="005F0623"/>
    <w:rsid w:val="005F1B66"/>
    <w:rsid w:val="005F4627"/>
    <w:rsid w:val="005F5226"/>
    <w:rsid w:val="005F74B5"/>
    <w:rsid w:val="005F7F35"/>
    <w:rsid w:val="0060089A"/>
    <w:rsid w:val="006015B1"/>
    <w:rsid w:val="00601726"/>
    <w:rsid w:val="00601E51"/>
    <w:rsid w:val="00602E75"/>
    <w:rsid w:val="00602F39"/>
    <w:rsid w:val="0060386C"/>
    <w:rsid w:val="00603F30"/>
    <w:rsid w:val="00604231"/>
    <w:rsid w:val="00604241"/>
    <w:rsid w:val="006043C0"/>
    <w:rsid w:val="00604750"/>
    <w:rsid w:val="00605069"/>
    <w:rsid w:val="00605859"/>
    <w:rsid w:val="0060610F"/>
    <w:rsid w:val="006064B4"/>
    <w:rsid w:val="0060677A"/>
    <w:rsid w:val="00610BE3"/>
    <w:rsid w:val="00611312"/>
    <w:rsid w:val="0061140B"/>
    <w:rsid w:val="0061148E"/>
    <w:rsid w:val="00611E7F"/>
    <w:rsid w:val="0061227A"/>
    <w:rsid w:val="00612469"/>
    <w:rsid w:val="00612829"/>
    <w:rsid w:val="006128D9"/>
    <w:rsid w:val="00612ED3"/>
    <w:rsid w:val="00613FAC"/>
    <w:rsid w:val="00615372"/>
    <w:rsid w:val="006169F9"/>
    <w:rsid w:val="00616A03"/>
    <w:rsid w:val="00620255"/>
    <w:rsid w:val="0062058C"/>
    <w:rsid w:val="006207EB"/>
    <w:rsid w:val="00620945"/>
    <w:rsid w:val="00621622"/>
    <w:rsid w:val="00621722"/>
    <w:rsid w:val="00621FC0"/>
    <w:rsid w:val="006229CC"/>
    <w:rsid w:val="00622CDB"/>
    <w:rsid w:val="006230AA"/>
    <w:rsid w:val="00623179"/>
    <w:rsid w:val="006235DB"/>
    <w:rsid w:val="006248A6"/>
    <w:rsid w:val="0062706B"/>
    <w:rsid w:val="0063036B"/>
    <w:rsid w:val="006308C8"/>
    <w:rsid w:val="006309AF"/>
    <w:rsid w:val="00630D92"/>
    <w:rsid w:val="00631FD6"/>
    <w:rsid w:val="006321E5"/>
    <w:rsid w:val="00632C94"/>
    <w:rsid w:val="0063417A"/>
    <w:rsid w:val="006346A5"/>
    <w:rsid w:val="00634ADF"/>
    <w:rsid w:val="00634E6E"/>
    <w:rsid w:val="00635275"/>
    <w:rsid w:val="00635987"/>
    <w:rsid w:val="006360F4"/>
    <w:rsid w:val="0063612F"/>
    <w:rsid w:val="00636B51"/>
    <w:rsid w:val="006370AD"/>
    <w:rsid w:val="006370E6"/>
    <w:rsid w:val="006374F5"/>
    <w:rsid w:val="00637EA0"/>
    <w:rsid w:val="00640760"/>
    <w:rsid w:val="00640788"/>
    <w:rsid w:val="00640B00"/>
    <w:rsid w:val="006411DA"/>
    <w:rsid w:val="00641BBD"/>
    <w:rsid w:val="00643693"/>
    <w:rsid w:val="00643816"/>
    <w:rsid w:val="006445F2"/>
    <w:rsid w:val="006446EF"/>
    <w:rsid w:val="00645868"/>
    <w:rsid w:val="00646537"/>
    <w:rsid w:val="00646834"/>
    <w:rsid w:val="00647366"/>
    <w:rsid w:val="006505E6"/>
    <w:rsid w:val="0065093E"/>
    <w:rsid w:val="0065213F"/>
    <w:rsid w:val="00652811"/>
    <w:rsid w:val="00655E78"/>
    <w:rsid w:val="006561C4"/>
    <w:rsid w:val="0065646C"/>
    <w:rsid w:val="0065696F"/>
    <w:rsid w:val="00657D11"/>
    <w:rsid w:val="0066046D"/>
    <w:rsid w:val="0066108A"/>
    <w:rsid w:val="00661250"/>
    <w:rsid w:val="0066129C"/>
    <w:rsid w:val="00662380"/>
    <w:rsid w:val="00664253"/>
    <w:rsid w:val="00664283"/>
    <w:rsid w:val="00665729"/>
    <w:rsid w:val="00665A04"/>
    <w:rsid w:val="00665AD3"/>
    <w:rsid w:val="00665B3D"/>
    <w:rsid w:val="0066612B"/>
    <w:rsid w:val="00666413"/>
    <w:rsid w:val="006701C4"/>
    <w:rsid w:val="00670810"/>
    <w:rsid w:val="00671B11"/>
    <w:rsid w:val="00671DA8"/>
    <w:rsid w:val="00672152"/>
    <w:rsid w:val="006721A2"/>
    <w:rsid w:val="00672B7C"/>
    <w:rsid w:val="006740E1"/>
    <w:rsid w:val="00674875"/>
    <w:rsid w:val="006772CD"/>
    <w:rsid w:val="006815FD"/>
    <w:rsid w:val="006821F5"/>
    <w:rsid w:val="006825C1"/>
    <w:rsid w:val="006829FF"/>
    <w:rsid w:val="00682AEE"/>
    <w:rsid w:val="00683A5B"/>
    <w:rsid w:val="00683D21"/>
    <w:rsid w:val="00683F00"/>
    <w:rsid w:val="0068409A"/>
    <w:rsid w:val="00684893"/>
    <w:rsid w:val="00685115"/>
    <w:rsid w:val="00685549"/>
    <w:rsid w:val="00685F6E"/>
    <w:rsid w:val="00685F93"/>
    <w:rsid w:val="00687630"/>
    <w:rsid w:val="00687BFD"/>
    <w:rsid w:val="00690BFC"/>
    <w:rsid w:val="006915ED"/>
    <w:rsid w:val="00692166"/>
    <w:rsid w:val="0069308A"/>
    <w:rsid w:val="006953B6"/>
    <w:rsid w:val="0069560A"/>
    <w:rsid w:val="006967DB"/>
    <w:rsid w:val="00697293"/>
    <w:rsid w:val="006A12D8"/>
    <w:rsid w:val="006A1785"/>
    <w:rsid w:val="006A1AA0"/>
    <w:rsid w:val="006A35BE"/>
    <w:rsid w:val="006A3983"/>
    <w:rsid w:val="006A46B3"/>
    <w:rsid w:val="006A553E"/>
    <w:rsid w:val="006A571E"/>
    <w:rsid w:val="006A6873"/>
    <w:rsid w:val="006A6AC9"/>
    <w:rsid w:val="006A764B"/>
    <w:rsid w:val="006B0283"/>
    <w:rsid w:val="006B114D"/>
    <w:rsid w:val="006B268A"/>
    <w:rsid w:val="006B389E"/>
    <w:rsid w:val="006B39B5"/>
    <w:rsid w:val="006B3F51"/>
    <w:rsid w:val="006B4386"/>
    <w:rsid w:val="006B6147"/>
    <w:rsid w:val="006B6228"/>
    <w:rsid w:val="006B6D01"/>
    <w:rsid w:val="006B6DE4"/>
    <w:rsid w:val="006B753A"/>
    <w:rsid w:val="006B75EA"/>
    <w:rsid w:val="006C0A8C"/>
    <w:rsid w:val="006C1D2C"/>
    <w:rsid w:val="006C1D62"/>
    <w:rsid w:val="006C295D"/>
    <w:rsid w:val="006C2FC7"/>
    <w:rsid w:val="006C306F"/>
    <w:rsid w:val="006C3D9A"/>
    <w:rsid w:val="006C466F"/>
    <w:rsid w:val="006C5E1A"/>
    <w:rsid w:val="006C604E"/>
    <w:rsid w:val="006C6E75"/>
    <w:rsid w:val="006D0287"/>
    <w:rsid w:val="006D1EEB"/>
    <w:rsid w:val="006D2489"/>
    <w:rsid w:val="006D30F1"/>
    <w:rsid w:val="006D3274"/>
    <w:rsid w:val="006D3993"/>
    <w:rsid w:val="006D4E3A"/>
    <w:rsid w:val="006D6370"/>
    <w:rsid w:val="006D6C5F"/>
    <w:rsid w:val="006D6FAC"/>
    <w:rsid w:val="006D7511"/>
    <w:rsid w:val="006D7B80"/>
    <w:rsid w:val="006D7FA7"/>
    <w:rsid w:val="006E0563"/>
    <w:rsid w:val="006E0916"/>
    <w:rsid w:val="006E1824"/>
    <w:rsid w:val="006E1CBF"/>
    <w:rsid w:val="006E4627"/>
    <w:rsid w:val="006E585E"/>
    <w:rsid w:val="006E5892"/>
    <w:rsid w:val="006E68DE"/>
    <w:rsid w:val="006E7C77"/>
    <w:rsid w:val="006F1380"/>
    <w:rsid w:val="006F14A3"/>
    <w:rsid w:val="006F1F8D"/>
    <w:rsid w:val="006F2794"/>
    <w:rsid w:val="006F398D"/>
    <w:rsid w:val="006F49FF"/>
    <w:rsid w:val="006F57A4"/>
    <w:rsid w:val="006F676B"/>
    <w:rsid w:val="006F6A67"/>
    <w:rsid w:val="006F7E9B"/>
    <w:rsid w:val="00700219"/>
    <w:rsid w:val="00702265"/>
    <w:rsid w:val="007023E5"/>
    <w:rsid w:val="00702E68"/>
    <w:rsid w:val="00703105"/>
    <w:rsid w:val="00707900"/>
    <w:rsid w:val="00710D29"/>
    <w:rsid w:val="00712027"/>
    <w:rsid w:val="00712467"/>
    <w:rsid w:val="0071253E"/>
    <w:rsid w:val="00712F84"/>
    <w:rsid w:val="007147CD"/>
    <w:rsid w:val="00714C8E"/>
    <w:rsid w:val="00715B07"/>
    <w:rsid w:val="00716F40"/>
    <w:rsid w:val="00717457"/>
    <w:rsid w:val="0071797B"/>
    <w:rsid w:val="007204F0"/>
    <w:rsid w:val="00720B8E"/>
    <w:rsid w:val="0072297F"/>
    <w:rsid w:val="00722986"/>
    <w:rsid w:val="0072328B"/>
    <w:rsid w:val="00723AE7"/>
    <w:rsid w:val="00725840"/>
    <w:rsid w:val="00725E54"/>
    <w:rsid w:val="0072617A"/>
    <w:rsid w:val="00726947"/>
    <w:rsid w:val="00726F53"/>
    <w:rsid w:val="00727D3D"/>
    <w:rsid w:val="00727EAE"/>
    <w:rsid w:val="007305F6"/>
    <w:rsid w:val="007305F9"/>
    <w:rsid w:val="00730ADA"/>
    <w:rsid w:val="0073156A"/>
    <w:rsid w:val="007315F6"/>
    <w:rsid w:val="00731E8B"/>
    <w:rsid w:val="00732BB5"/>
    <w:rsid w:val="0073305F"/>
    <w:rsid w:val="0073384B"/>
    <w:rsid w:val="00733C7E"/>
    <w:rsid w:val="0073412F"/>
    <w:rsid w:val="00734681"/>
    <w:rsid w:val="007347CC"/>
    <w:rsid w:val="007363A6"/>
    <w:rsid w:val="00740860"/>
    <w:rsid w:val="00740B66"/>
    <w:rsid w:val="007416AF"/>
    <w:rsid w:val="007418A8"/>
    <w:rsid w:val="00742479"/>
    <w:rsid w:val="00742C60"/>
    <w:rsid w:val="0074418F"/>
    <w:rsid w:val="007446BB"/>
    <w:rsid w:val="00745270"/>
    <w:rsid w:val="007461D4"/>
    <w:rsid w:val="00746272"/>
    <w:rsid w:val="00746291"/>
    <w:rsid w:val="007462EB"/>
    <w:rsid w:val="00746AC2"/>
    <w:rsid w:val="00746DCC"/>
    <w:rsid w:val="00747066"/>
    <w:rsid w:val="00750171"/>
    <w:rsid w:val="00751128"/>
    <w:rsid w:val="00751D18"/>
    <w:rsid w:val="00752049"/>
    <w:rsid w:val="007522D2"/>
    <w:rsid w:val="007529B4"/>
    <w:rsid w:val="007539E3"/>
    <w:rsid w:val="00754819"/>
    <w:rsid w:val="00755679"/>
    <w:rsid w:val="00755DE5"/>
    <w:rsid w:val="007600DF"/>
    <w:rsid w:val="007602FD"/>
    <w:rsid w:val="00760583"/>
    <w:rsid w:val="00760D15"/>
    <w:rsid w:val="0076117E"/>
    <w:rsid w:val="007613DF"/>
    <w:rsid w:val="00761F87"/>
    <w:rsid w:val="007636DA"/>
    <w:rsid w:val="00763856"/>
    <w:rsid w:val="007638E4"/>
    <w:rsid w:val="0076471D"/>
    <w:rsid w:val="00765582"/>
    <w:rsid w:val="0076577B"/>
    <w:rsid w:val="00765BAA"/>
    <w:rsid w:val="00766538"/>
    <w:rsid w:val="00766E58"/>
    <w:rsid w:val="00767248"/>
    <w:rsid w:val="00767E50"/>
    <w:rsid w:val="00767F5B"/>
    <w:rsid w:val="00767F62"/>
    <w:rsid w:val="00770E2A"/>
    <w:rsid w:val="007719E5"/>
    <w:rsid w:val="00772638"/>
    <w:rsid w:val="0077271F"/>
    <w:rsid w:val="00773267"/>
    <w:rsid w:val="00773923"/>
    <w:rsid w:val="00775855"/>
    <w:rsid w:val="007765E4"/>
    <w:rsid w:val="007770C8"/>
    <w:rsid w:val="0078072B"/>
    <w:rsid w:val="007808B8"/>
    <w:rsid w:val="007808C7"/>
    <w:rsid w:val="00780E6A"/>
    <w:rsid w:val="007812AE"/>
    <w:rsid w:val="00781D97"/>
    <w:rsid w:val="00782606"/>
    <w:rsid w:val="00782A1C"/>
    <w:rsid w:val="00782E55"/>
    <w:rsid w:val="00783C95"/>
    <w:rsid w:val="007840DF"/>
    <w:rsid w:val="00787EB4"/>
    <w:rsid w:val="0079046B"/>
    <w:rsid w:val="00790BD9"/>
    <w:rsid w:val="00790EC6"/>
    <w:rsid w:val="00791236"/>
    <w:rsid w:val="00791AFC"/>
    <w:rsid w:val="00791D20"/>
    <w:rsid w:val="00792861"/>
    <w:rsid w:val="00792D85"/>
    <w:rsid w:val="00792FC8"/>
    <w:rsid w:val="007933E7"/>
    <w:rsid w:val="00793D21"/>
    <w:rsid w:val="00795AEB"/>
    <w:rsid w:val="00795CA9"/>
    <w:rsid w:val="00796467"/>
    <w:rsid w:val="0079721C"/>
    <w:rsid w:val="00797646"/>
    <w:rsid w:val="007A13B0"/>
    <w:rsid w:val="007A1C4B"/>
    <w:rsid w:val="007A27A5"/>
    <w:rsid w:val="007A30D7"/>
    <w:rsid w:val="007A4ABB"/>
    <w:rsid w:val="007A59E6"/>
    <w:rsid w:val="007A6224"/>
    <w:rsid w:val="007A6BA0"/>
    <w:rsid w:val="007A6E2D"/>
    <w:rsid w:val="007A7202"/>
    <w:rsid w:val="007A7699"/>
    <w:rsid w:val="007A7D5A"/>
    <w:rsid w:val="007B08E2"/>
    <w:rsid w:val="007B13CD"/>
    <w:rsid w:val="007B1AF7"/>
    <w:rsid w:val="007B1D86"/>
    <w:rsid w:val="007B315F"/>
    <w:rsid w:val="007B3AAC"/>
    <w:rsid w:val="007B51A6"/>
    <w:rsid w:val="007B5466"/>
    <w:rsid w:val="007B5C95"/>
    <w:rsid w:val="007B5D35"/>
    <w:rsid w:val="007B6668"/>
    <w:rsid w:val="007B7476"/>
    <w:rsid w:val="007B7723"/>
    <w:rsid w:val="007C0FC7"/>
    <w:rsid w:val="007C2619"/>
    <w:rsid w:val="007C52B3"/>
    <w:rsid w:val="007C566C"/>
    <w:rsid w:val="007C5E4D"/>
    <w:rsid w:val="007C6C10"/>
    <w:rsid w:val="007C6F2D"/>
    <w:rsid w:val="007C76A2"/>
    <w:rsid w:val="007D030F"/>
    <w:rsid w:val="007D0A6A"/>
    <w:rsid w:val="007D1C3C"/>
    <w:rsid w:val="007D1EC2"/>
    <w:rsid w:val="007D2E02"/>
    <w:rsid w:val="007D34B3"/>
    <w:rsid w:val="007D3AFE"/>
    <w:rsid w:val="007D40B1"/>
    <w:rsid w:val="007D537A"/>
    <w:rsid w:val="007D5E09"/>
    <w:rsid w:val="007D66CD"/>
    <w:rsid w:val="007D6B0C"/>
    <w:rsid w:val="007D6C73"/>
    <w:rsid w:val="007D7031"/>
    <w:rsid w:val="007D71D6"/>
    <w:rsid w:val="007D7A97"/>
    <w:rsid w:val="007D7C0B"/>
    <w:rsid w:val="007D7D86"/>
    <w:rsid w:val="007E057A"/>
    <w:rsid w:val="007E0E2A"/>
    <w:rsid w:val="007E11D3"/>
    <w:rsid w:val="007E214D"/>
    <w:rsid w:val="007E42AC"/>
    <w:rsid w:val="007E4B00"/>
    <w:rsid w:val="007E5813"/>
    <w:rsid w:val="007E5A34"/>
    <w:rsid w:val="007E6036"/>
    <w:rsid w:val="007E61C9"/>
    <w:rsid w:val="007F13C4"/>
    <w:rsid w:val="007F194E"/>
    <w:rsid w:val="007F1D50"/>
    <w:rsid w:val="007F69B1"/>
    <w:rsid w:val="007F75D3"/>
    <w:rsid w:val="008006BA"/>
    <w:rsid w:val="0080121E"/>
    <w:rsid w:val="00801CA3"/>
    <w:rsid w:val="0080233A"/>
    <w:rsid w:val="00802621"/>
    <w:rsid w:val="0080341C"/>
    <w:rsid w:val="008035CD"/>
    <w:rsid w:val="008057E6"/>
    <w:rsid w:val="00810353"/>
    <w:rsid w:val="00810AF6"/>
    <w:rsid w:val="00810F3D"/>
    <w:rsid w:val="00811315"/>
    <w:rsid w:val="00811B74"/>
    <w:rsid w:val="008120B6"/>
    <w:rsid w:val="00813D10"/>
    <w:rsid w:val="008174F6"/>
    <w:rsid w:val="00817699"/>
    <w:rsid w:val="00817A6A"/>
    <w:rsid w:val="008202F5"/>
    <w:rsid w:val="00820AEE"/>
    <w:rsid w:val="00820F49"/>
    <w:rsid w:val="00821C5C"/>
    <w:rsid w:val="00821F86"/>
    <w:rsid w:val="008233B0"/>
    <w:rsid w:val="0082355B"/>
    <w:rsid w:val="0082384F"/>
    <w:rsid w:val="00823A26"/>
    <w:rsid w:val="00823F43"/>
    <w:rsid w:val="008240FF"/>
    <w:rsid w:val="0082449D"/>
    <w:rsid w:val="00825D5F"/>
    <w:rsid w:val="008267F5"/>
    <w:rsid w:val="00826DA2"/>
    <w:rsid w:val="00827DF6"/>
    <w:rsid w:val="00831066"/>
    <w:rsid w:val="00831482"/>
    <w:rsid w:val="00831567"/>
    <w:rsid w:val="008319D7"/>
    <w:rsid w:val="00832CAA"/>
    <w:rsid w:val="008338C6"/>
    <w:rsid w:val="00833A12"/>
    <w:rsid w:val="00834C8B"/>
    <w:rsid w:val="00834F6D"/>
    <w:rsid w:val="00835819"/>
    <w:rsid w:val="00835EB8"/>
    <w:rsid w:val="008366B4"/>
    <w:rsid w:val="0083672B"/>
    <w:rsid w:val="00836BF4"/>
    <w:rsid w:val="008402D5"/>
    <w:rsid w:val="008409C7"/>
    <w:rsid w:val="00842252"/>
    <w:rsid w:val="00842D50"/>
    <w:rsid w:val="00842F51"/>
    <w:rsid w:val="0084376A"/>
    <w:rsid w:val="00843A90"/>
    <w:rsid w:val="008456BB"/>
    <w:rsid w:val="008457F4"/>
    <w:rsid w:val="00847122"/>
    <w:rsid w:val="00847BE8"/>
    <w:rsid w:val="008503A4"/>
    <w:rsid w:val="008503C4"/>
    <w:rsid w:val="00850C5D"/>
    <w:rsid w:val="00851080"/>
    <w:rsid w:val="008515B0"/>
    <w:rsid w:val="00854950"/>
    <w:rsid w:val="00854BFC"/>
    <w:rsid w:val="00854E0D"/>
    <w:rsid w:val="00855182"/>
    <w:rsid w:val="00856152"/>
    <w:rsid w:val="00856E86"/>
    <w:rsid w:val="00861732"/>
    <w:rsid w:val="00861B19"/>
    <w:rsid w:val="008620BF"/>
    <w:rsid w:val="0086292F"/>
    <w:rsid w:val="00862961"/>
    <w:rsid w:val="00863C14"/>
    <w:rsid w:val="0086450B"/>
    <w:rsid w:val="008652CB"/>
    <w:rsid w:val="00865E29"/>
    <w:rsid w:val="0086611B"/>
    <w:rsid w:val="0086683D"/>
    <w:rsid w:val="0086753F"/>
    <w:rsid w:val="0086799E"/>
    <w:rsid w:val="008711EE"/>
    <w:rsid w:val="008712C1"/>
    <w:rsid w:val="008720F0"/>
    <w:rsid w:val="008722ED"/>
    <w:rsid w:val="0087267D"/>
    <w:rsid w:val="008729B5"/>
    <w:rsid w:val="008735F6"/>
    <w:rsid w:val="00873BFB"/>
    <w:rsid w:val="0087466C"/>
    <w:rsid w:val="008763E9"/>
    <w:rsid w:val="008769CE"/>
    <w:rsid w:val="00876BAA"/>
    <w:rsid w:val="00876F8B"/>
    <w:rsid w:val="008804E3"/>
    <w:rsid w:val="00881C1C"/>
    <w:rsid w:val="00882640"/>
    <w:rsid w:val="0088317C"/>
    <w:rsid w:val="008841F9"/>
    <w:rsid w:val="0088442F"/>
    <w:rsid w:val="00884C42"/>
    <w:rsid w:val="00884DB8"/>
    <w:rsid w:val="00886D95"/>
    <w:rsid w:val="008870F7"/>
    <w:rsid w:val="00887612"/>
    <w:rsid w:val="008900E2"/>
    <w:rsid w:val="00890F2D"/>
    <w:rsid w:val="00891051"/>
    <w:rsid w:val="00892F0A"/>
    <w:rsid w:val="0089414E"/>
    <w:rsid w:val="0089465B"/>
    <w:rsid w:val="00894D91"/>
    <w:rsid w:val="00895006"/>
    <w:rsid w:val="00895030"/>
    <w:rsid w:val="0089653E"/>
    <w:rsid w:val="008A0D0C"/>
    <w:rsid w:val="008A14D8"/>
    <w:rsid w:val="008A1F4D"/>
    <w:rsid w:val="008A25C6"/>
    <w:rsid w:val="008A3194"/>
    <w:rsid w:val="008A32F6"/>
    <w:rsid w:val="008A3324"/>
    <w:rsid w:val="008A36DF"/>
    <w:rsid w:val="008A3D49"/>
    <w:rsid w:val="008A5046"/>
    <w:rsid w:val="008A58A4"/>
    <w:rsid w:val="008A7B5C"/>
    <w:rsid w:val="008A7C87"/>
    <w:rsid w:val="008A7DE8"/>
    <w:rsid w:val="008B04FD"/>
    <w:rsid w:val="008B13D7"/>
    <w:rsid w:val="008B2932"/>
    <w:rsid w:val="008B3134"/>
    <w:rsid w:val="008B4287"/>
    <w:rsid w:val="008B43DD"/>
    <w:rsid w:val="008B4A9B"/>
    <w:rsid w:val="008B4FA8"/>
    <w:rsid w:val="008B5259"/>
    <w:rsid w:val="008B5EA3"/>
    <w:rsid w:val="008B65DF"/>
    <w:rsid w:val="008B719B"/>
    <w:rsid w:val="008B7FBE"/>
    <w:rsid w:val="008C04CA"/>
    <w:rsid w:val="008C257A"/>
    <w:rsid w:val="008C2685"/>
    <w:rsid w:val="008C3E24"/>
    <w:rsid w:val="008C3E56"/>
    <w:rsid w:val="008C6145"/>
    <w:rsid w:val="008C7439"/>
    <w:rsid w:val="008C7E6B"/>
    <w:rsid w:val="008D038D"/>
    <w:rsid w:val="008D0685"/>
    <w:rsid w:val="008D0AF1"/>
    <w:rsid w:val="008D116F"/>
    <w:rsid w:val="008D126D"/>
    <w:rsid w:val="008D16FC"/>
    <w:rsid w:val="008D1F5D"/>
    <w:rsid w:val="008D23D3"/>
    <w:rsid w:val="008D247C"/>
    <w:rsid w:val="008D27E8"/>
    <w:rsid w:val="008D2E53"/>
    <w:rsid w:val="008D4E56"/>
    <w:rsid w:val="008D54B7"/>
    <w:rsid w:val="008D54CE"/>
    <w:rsid w:val="008D5B59"/>
    <w:rsid w:val="008D638B"/>
    <w:rsid w:val="008D6EFE"/>
    <w:rsid w:val="008D7A81"/>
    <w:rsid w:val="008E2D2E"/>
    <w:rsid w:val="008E419D"/>
    <w:rsid w:val="008E4D04"/>
    <w:rsid w:val="008E531F"/>
    <w:rsid w:val="008E5B0A"/>
    <w:rsid w:val="008E67DD"/>
    <w:rsid w:val="008E72B1"/>
    <w:rsid w:val="008E7ED6"/>
    <w:rsid w:val="008F03FE"/>
    <w:rsid w:val="008F0E59"/>
    <w:rsid w:val="008F1EC9"/>
    <w:rsid w:val="008F28CD"/>
    <w:rsid w:val="008F2973"/>
    <w:rsid w:val="008F3372"/>
    <w:rsid w:val="008F4093"/>
    <w:rsid w:val="008F4B8A"/>
    <w:rsid w:val="008F5101"/>
    <w:rsid w:val="008F55F3"/>
    <w:rsid w:val="008F560C"/>
    <w:rsid w:val="008F5AC4"/>
    <w:rsid w:val="008F74A0"/>
    <w:rsid w:val="00900F0A"/>
    <w:rsid w:val="00901242"/>
    <w:rsid w:val="009013AA"/>
    <w:rsid w:val="00901D7B"/>
    <w:rsid w:val="0090240E"/>
    <w:rsid w:val="0090244F"/>
    <w:rsid w:val="00902793"/>
    <w:rsid w:val="00902C0E"/>
    <w:rsid w:val="00903E9B"/>
    <w:rsid w:val="0090472F"/>
    <w:rsid w:val="00904C77"/>
    <w:rsid w:val="009053DF"/>
    <w:rsid w:val="00906BA4"/>
    <w:rsid w:val="009072A4"/>
    <w:rsid w:val="00910200"/>
    <w:rsid w:val="009116CA"/>
    <w:rsid w:val="009131BA"/>
    <w:rsid w:val="009134B4"/>
    <w:rsid w:val="009136B7"/>
    <w:rsid w:val="00913CAA"/>
    <w:rsid w:val="00914C33"/>
    <w:rsid w:val="00914C57"/>
    <w:rsid w:val="00914D6D"/>
    <w:rsid w:val="00914E89"/>
    <w:rsid w:val="00914E9F"/>
    <w:rsid w:val="009155E0"/>
    <w:rsid w:val="00915C44"/>
    <w:rsid w:val="00917C8D"/>
    <w:rsid w:val="00917F97"/>
    <w:rsid w:val="00921176"/>
    <w:rsid w:val="00921365"/>
    <w:rsid w:val="00921942"/>
    <w:rsid w:val="00922305"/>
    <w:rsid w:val="009247A5"/>
    <w:rsid w:val="00924A00"/>
    <w:rsid w:val="0092504F"/>
    <w:rsid w:val="00925125"/>
    <w:rsid w:val="0092622A"/>
    <w:rsid w:val="00926C8B"/>
    <w:rsid w:val="009301C2"/>
    <w:rsid w:val="00930DE1"/>
    <w:rsid w:val="00931D61"/>
    <w:rsid w:val="00932AED"/>
    <w:rsid w:val="0093309C"/>
    <w:rsid w:val="00933379"/>
    <w:rsid w:val="00934C68"/>
    <w:rsid w:val="00935115"/>
    <w:rsid w:val="00935245"/>
    <w:rsid w:val="00935433"/>
    <w:rsid w:val="00935AA4"/>
    <w:rsid w:val="00936249"/>
    <w:rsid w:val="009366BF"/>
    <w:rsid w:val="00936E14"/>
    <w:rsid w:val="0094002D"/>
    <w:rsid w:val="00940A3B"/>
    <w:rsid w:val="00940E93"/>
    <w:rsid w:val="009410B8"/>
    <w:rsid w:val="00941BCE"/>
    <w:rsid w:val="00941E36"/>
    <w:rsid w:val="00944C03"/>
    <w:rsid w:val="009456F1"/>
    <w:rsid w:val="00947AD1"/>
    <w:rsid w:val="0095013A"/>
    <w:rsid w:val="0095035F"/>
    <w:rsid w:val="00951561"/>
    <w:rsid w:val="009537D6"/>
    <w:rsid w:val="00953DCD"/>
    <w:rsid w:val="00953E74"/>
    <w:rsid w:val="00954794"/>
    <w:rsid w:val="009547E5"/>
    <w:rsid w:val="00954FD6"/>
    <w:rsid w:val="00956397"/>
    <w:rsid w:val="00957514"/>
    <w:rsid w:val="00960446"/>
    <w:rsid w:val="00960F04"/>
    <w:rsid w:val="00961378"/>
    <w:rsid w:val="00962605"/>
    <w:rsid w:val="009635EF"/>
    <w:rsid w:val="00963EC3"/>
    <w:rsid w:val="009665B3"/>
    <w:rsid w:val="009678A0"/>
    <w:rsid w:val="00967C23"/>
    <w:rsid w:val="009706E0"/>
    <w:rsid w:val="00970AB5"/>
    <w:rsid w:val="00971BFB"/>
    <w:rsid w:val="009734CB"/>
    <w:rsid w:val="00973BBB"/>
    <w:rsid w:val="00973C7C"/>
    <w:rsid w:val="0097408C"/>
    <w:rsid w:val="0097566D"/>
    <w:rsid w:val="0097586A"/>
    <w:rsid w:val="009759D3"/>
    <w:rsid w:val="00980EF0"/>
    <w:rsid w:val="00981C2D"/>
    <w:rsid w:val="00982455"/>
    <w:rsid w:val="009828CA"/>
    <w:rsid w:val="00982D67"/>
    <w:rsid w:val="00982E7D"/>
    <w:rsid w:val="009831C0"/>
    <w:rsid w:val="009832F0"/>
    <w:rsid w:val="0098330E"/>
    <w:rsid w:val="00983A7C"/>
    <w:rsid w:val="00983E43"/>
    <w:rsid w:val="009843D8"/>
    <w:rsid w:val="00985843"/>
    <w:rsid w:val="009861EC"/>
    <w:rsid w:val="00987B7E"/>
    <w:rsid w:val="0099012D"/>
    <w:rsid w:val="00991627"/>
    <w:rsid w:val="009917FB"/>
    <w:rsid w:val="009918E0"/>
    <w:rsid w:val="00992172"/>
    <w:rsid w:val="009947CE"/>
    <w:rsid w:val="00994FD9"/>
    <w:rsid w:val="009954ED"/>
    <w:rsid w:val="00995CD5"/>
    <w:rsid w:val="00997006"/>
    <w:rsid w:val="009A037B"/>
    <w:rsid w:val="009A0C71"/>
    <w:rsid w:val="009A158C"/>
    <w:rsid w:val="009A1ADE"/>
    <w:rsid w:val="009A2748"/>
    <w:rsid w:val="009A3B62"/>
    <w:rsid w:val="009A4207"/>
    <w:rsid w:val="009A455B"/>
    <w:rsid w:val="009A7A11"/>
    <w:rsid w:val="009B2F06"/>
    <w:rsid w:val="009B3448"/>
    <w:rsid w:val="009B3B44"/>
    <w:rsid w:val="009B42CE"/>
    <w:rsid w:val="009B4863"/>
    <w:rsid w:val="009B49D3"/>
    <w:rsid w:val="009B4DFB"/>
    <w:rsid w:val="009B52DB"/>
    <w:rsid w:val="009B5729"/>
    <w:rsid w:val="009B5C1C"/>
    <w:rsid w:val="009B6845"/>
    <w:rsid w:val="009B6FA4"/>
    <w:rsid w:val="009C0284"/>
    <w:rsid w:val="009C0E51"/>
    <w:rsid w:val="009C1093"/>
    <w:rsid w:val="009C1499"/>
    <w:rsid w:val="009C187E"/>
    <w:rsid w:val="009C23AD"/>
    <w:rsid w:val="009C25FD"/>
    <w:rsid w:val="009C3B91"/>
    <w:rsid w:val="009C6471"/>
    <w:rsid w:val="009C6F48"/>
    <w:rsid w:val="009D013F"/>
    <w:rsid w:val="009D016A"/>
    <w:rsid w:val="009D1323"/>
    <w:rsid w:val="009D2673"/>
    <w:rsid w:val="009D37B9"/>
    <w:rsid w:val="009D52BD"/>
    <w:rsid w:val="009D6B76"/>
    <w:rsid w:val="009D6D28"/>
    <w:rsid w:val="009D6E17"/>
    <w:rsid w:val="009E01B6"/>
    <w:rsid w:val="009E073B"/>
    <w:rsid w:val="009E0CC2"/>
    <w:rsid w:val="009E1046"/>
    <w:rsid w:val="009E16E5"/>
    <w:rsid w:val="009E2328"/>
    <w:rsid w:val="009E29F9"/>
    <w:rsid w:val="009E3604"/>
    <w:rsid w:val="009E3E73"/>
    <w:rsid w:val="009E410B"/>
    <w:rsid w:val="009E42B5"/>
    <w:rsid w:val="009E57BC"/>
    <w:rsid w:val="009E5DBE"/>
    <w:rsid w:val="009F02A0"/>
    <w:rsid w:val="009F0639"/>
    <w:rsid w:val="009F0DCD"/>
    <w:rsid w:val="009F115A"/>
    <w:rsid w:val="009F1A33"/>
    <w:rsid w:val="009F1A3F"/>
    <w:rsid w:val="009F1CFF"/>
    <w:rsid w:val="009F238D"/>
    <w:rsid w:val="009F2590"/>
    <w:rsid w:val="009F27E7"/>
    <w:rsid w:val="009F5B9A"/>
    <w:rsid w:val="009F5D3B"/>
    <w:rsid w:val="009F5FB3"/>
    <w:rsid w:val="009F6EFD"/>
    <w:rsid w:val="009F718E"/>
    <w:rsid w:val="009F71DC"/>
    <w:rsid w:val="009F78F1"/>
    <w:rsid w:val="009F7B3B"/>
    <w:rsid w:val="00A001C7"/>
    <w:rsid w:val="00A00723"/>
    <w:rsid w:val="00A01741"/>
    <w:rsid w:val="00A01A15"/>
    <w:rsid w:val="00A020BD"/>
    <w:rsid w:val="00A026C1"/>
    <w:rsid w:val="00A03095"/>
    <w:rsid w:val="00A03212"/>
    <w:rsid w:val="00A03C28"/>
    <w:rsid w:val="00A03FA3"/>
    <w:rsid w:val="00A05049"/>
    <w:rsid w:val="00A05086"/>
    <w:rsid w:val="00A05ADD"/>
    <w:rsid w:val="00A0712A"/>
    <w:rsid w:val="00A073DC"/>
    <w:rsid w:val="00A07DAD"/>
    <w:rsid w:val="00A07DD4"/>
    <w:rsid w:val="00A07FE5"/>
    <w:rsid w:val="00A124C7"/>
    <w:rsid w:val="00A127CF"/>
    <w:rsid w:val="00A13119"/>
    <w:rsid w:val="00A13A6D"/>
    <w:rsid w:val="00A1417B"/>
    <w:rsid w:val="00A148B9"/>
    <w:rsid w:val="00A1510E"/>
    <w:rsid w:val="00A15233"/>
    <w:rsid w:val="00A154B4"/>
    <w:rsid w:val="00A15A6F"/>
    <w:rsid w:val="00A17C7B"/>
    <w:rsid w:val="00A21F51"/>
    <w:rsid w:val="00A22220"/>
    <w:rsid w:val="00A22938"/>
    <w:rsid w:val="00A24372"/>
    <w:rsid w:val="00A25395"/>
    <w:rsid w:val="00A26C89"/>
    <w:rsid w:val="00A27833"/>
    <w:rsid w:val="00A30089"/>
    <w:rsid w:val="00A315DE"/>
    <w:rsid w:val="00A32007"/>
    <w:rsid w:val="00A3269B"/>
    <w:rsid w:val="00A32C6A"/>
    <w:rsid w:val="00A32E71"/>
    <w:rsid w:val="00A33A2D"/>
    <w:rsid w:val="00A33C76"/>
    <w:rsid w:val="00A33F07"/>
    <w:rsid w:val="00A352C2"/>
    <w:rsid w:val="00A35309"/>
    <w:rsid w:val="00A3749F"/>
    <w:rsid w:val="00A374F9"/>
    <w:rsid w:val="00A40069"/>
    <w:rsid w:val="00A40F47"/>
    <w:rsid w:val="00A410F7"/>
    <w:rsid w:val="00A4153D"/>
    <w:rsid w:val="00A426CF"/>
    <w:rsid w:val="00A43125"/>
    <w:rsid w:val="00A43EC9"/>
    <w:rsid w:val="00A4403F"/>
    <w:rsid w:val="00A44D58"/>
    <w:rsid w:val="00A44D9E"/>
    <w:rsid w:val="00A459FE"/>
    <w:rsid w:val="00A45C08"/>
    <w:rsid w:val="00A45C3D"/>
    <w:rsid w:val="00A46192"/>
    <w:rsid w:val="00A469CB"/>
    <w:rsid w:val="00A471AF"/>
    <w:rsid w:val="00A503BF"/>
    <w:rsid w:val="00A527F7"/>
    <w:rsid w:val="00A52938"/>
    <w:rsid w:val="00A52AFD"/>
    <w:rsid w:val="00A53003"/>
    <w:rsid w:val="00A54077"/>
    <w:rsid w:val="00A5494D"/>
    <w:rsid w:val="00A55F5D"/>
    <w:rsid w:val="00A567E4"/>
    <w:rsid w:val="00A56D66"/>
    <w:rsid w:val="00A57092"/>
    <w:rsid w:val="00A5713A"/>
    <w:rsid w:val="00A5742D"/>
    <w:rsid w:val="00A574D8"/>
    <w:rsid w:val="00A57CF5"/>
    <w:rsid w:val="00A57E51"/>
    <w:rsid w:val="00A61083"/>
    <w:rsid w:val="00A61736"/>
    <w:rsid w:val="00A62794"/>
    <w:rsid w:val="00A63426"/>
    <w:rsid w:val="00A63D69"/>
    <w:rsid w:val="00A646CC"/>
    <w:rsid w:val="00A65155"/>
    <w:rsid w:val="00A65D39"/>
    <w:rsid w:val="00A664CA"/>
    <w:rsid w:val="00A66866"/>
    <w:rsid w:val="00A66907"/>
    <w:rsid w:val="00A6776F"/>
    <w:rsid w:val="00A67E97"/>
    <w:rsid w:val="00A7049C"/>
    <w:rsid w:val="00A70A4F"/>
    <w:rsid w:val="00A70B88"/>
    <w:rsid w:val="00A70ECE"/>
    <w:rsid w:val="00A7123A"/>
    <w:rsid w:val="00A71416"/>
    <w:rsid w:val="00A71905"/>
    <w:rsid w:val="00A71A91"/>
    <w:rsid w:val="00A728B5"/>
    <w:rsid w:val="00A72CCA"/>
    <w:rsid w:val="00A75DC2"/>
    <w:rsid w:val="00A75F02"/>
    <w:rsid w:val="00A82B96"/>
    <w:rsid w:val="00A84879"/>
    <w:rsid w:val="00A84A93"/>
    <w:rsid w:val="00A84C49"/>
    <w:rsid w:val="00A84D04"/>
    <w:rsid w:val="00A84E58"/>
    <w:rsid w:val="00A852B5"/>
    <w:rsid w:val="00A8646E"/>
    <w:rsid w:val="00A86C73"/>
    <w:rsid w:val="00A87C5A"/>
    <w:rsid w:val="00A90D4B"/>
    <w:rsid w:val="00A9133A"/>
    <w:rsid w:val="00A9235D"/>
    <w:rsid w:val="00A9357C"/>
    <w:rsid w:val="00A94A13"/>
    <w:rsid w:val="00A94D22"/>
    <w:rsid w:val="00A950CC"/>
    <w:rsid w:val="00A955B9"/>
    <w:rsid w:val="00A95F9C"/>
    <w:rsid w:val="00AA05A6"/>
    <w:rsid w:val="00AA11EA"/>
    <w:rsid w:val="00AA1894"/>
    <w:rsid w:val="00AA18C3"/>
    <w:rsid w:val="00AA55D1"/>
    <w:rsid w:val="00AA59E9"/>
    <w:rsid w:val="00AA6CB7"/>
    <w:rsid w:val="00AA71B0"/>
    <w:rsid w:val="00AA7485"/>
    <w:rsid w:val="00AA785F"/>
    <w:rsid w:val="00AA78C9"/>
    <w:rsid w:val="00AB0D54"/>
    <w:rsid w:val="00AB142B"/>
    <w:rsid w:val="00AB28A1"/>
    <w:rsid w:val="00AB28E0"/>
    <w:rsid w:val="00AB2E78"/>
    <w:rsid w:val="00AB3F23"/>
    <w:rsid w:val="00AB42DE"/>
    <w:rsid w:val="00AB46B7"/>
    <w:rsid w:val="00AB4844"/>
    <w:rsid w:val="00AB4C03"/>
    <w:rsid w:val="00AB4D42"/>
    <w:rsid w:val="00AB53B3"/>
    <w:rsid w:val="00AB5984"/>
    <w:rsid w:val="00AB59B9"/>
    <w:rsid w:val="00AB749F"/>
    <w:rsid w:val="00AB7AD2"/>
    <w:rsid w:val="00AC00A5"/>
    <w:rsid w:val="00AC0236"/>
    <w:rsid w:val="00AC05EA"/>
    <w:rsid w:val="00AC0A27"/>
    <w:rsid w:val="00AC0EE4"/>
    <w:rsid w:val="00AC1E54"/>
    <w:rsid w:val="00AC1FD0"/>
    <w:rsid w:val="00AC56BB"/>
    <w:rsid w:val="00AC57DA"/>
    <w:rsid w:val="00AC6515"/>
    <w:rsid w:val="00AC6AF1"/>
    <w:rsid w:val="00AC7972"/>
    <w:rsid w:val="00AC7CEC"/>
    <w:rsid w:val="00AD0224"/>
    <w:rsid w:val="00AD1EEA"/>
    <w:rsid w:val="00AD31DD"/>
    <w:rsid w:val="00AD454F"/>
    <w:rsid w:val="00AD5E5B"/>
    <w:rsid w:val="00AD6E41"/>
    <w:rsid w:val="00AE21C2"/>
    <w:rsid w:val="00AE3121"/>
    <w:rsid w:val="00AE3349"/>
    <w:rsid w:val="00AE38A8"/>
    <w:rsid w:val="00AE3BF1"/>
    <w:rsid w:val="00AE3DF6"/>
    <w:rsid w:val="00AE46E9"/>
    <w:rsid w:val="00AE4DEA"/>
    <w:rsid w:val="00AE5960"/>
    <w:rsid w:val="00AE648A"/>
    <w:rsid w:val="00AE7AFD"/>
    <w:rsid w:val="00AE7FEC"/>
    <w:rsid w:val="00AF0526"/>
    <w:rsid w:val="00AF07B4"/>
    <w:rsid w:val="00AF0927"/>
    <w:rsid w:val="00AF102C"/>
    <w:rsid w:val="00AF1D6E"/>
    <w:rsid w:val="00AF2AF8"/>
    <w:rsid w:val="00AF2E8E"/>
    <w:rsid w:val="00AF2F00"/>
    <w:rsid w:val="00AF4283"/>
    <w:rsid w:val="00AF763F"/>
    <w:rsid w:val="00AF771B"/>
    <w:rsid w:val="00AF7E02"/>
    <w:rsid w:val="00B02E54"/>
    <w:rsid w:val="00B02F19"/>
    <w:rsid w:val="00B0306F"/>
    <w:rsid w:val="00B03E74"/>
    <w:rsid w:val="00B0602D"/>
    <w:rsid w:val="00B10CDA"/>
    <w:rsid w:val="00B11B1C"/>
    <w:rsid w:val="00B11FE7"/>
    <w:rsid w:val="00B12000"/>
    <w:rsid w:val="00B12497"/>
    <w:rsid w:val="00B1249C"/>
    <w:rsid w:val="00B124FA"/>
    <w:rsid w:val="00B13189"/>
    <w:rsid w:val="00B15477"/>
    <w:rsid w:val="00B15928"/>
    <w:rsid w:val="00B15AD9"/>
    <w:rsid w:val="00B16326"/>
    <w:rsid w:val="00B16DDE"/>
    <w:rsid w:val="00B16F86"/>
    <w:rsid w:val="00B1725D"/>
    <w:rsid w:val="00B20756"/>
    <w:rsid w:val="00B212BC"/>
    <w:rsid w:val="00B22E9C"/>
    <w:rsid w:val="00B22EDC"/>
    <w:rsid w:val="00B23627"/>
    <w:rsid w:val="00B2365E"/>
    <w:rsid w:val="00B23AD5"/>
    <w:rsid w:val="00B23C54"/>
    <w:rsid w:val="00B23ED8"/>
    <w:rsid w:val="00B257D3"/>
    <w:rsid w:val="00B25EEC"/>
    <w:rsid w:val="00B27343"/>
    <w:rsid w:val="00B27CBF"/>
    <w:rsid w:val="00B31544"/>
    <w:rsid w:val="00B31763"/>
    <w:rsid w:val="00B3291A"/>
    <w:rsid w:val="00B32EAB"/>
    <w:rsid w:val="00B33472"/>
    <w:rsid w:val="00B3373A"/>
    <w:rsid w:val="00B343CA"/>
    <w:rsid w:val="00B34413"/>
    <w:rsid w:val="00B349B2"/>
    <w:rsid w:val="00B37040"/>
    <w:rsid w:val="00B37388"/>
    <w:rsid w:val="00B40904"/>
    <w:rsid w:val="00B410FC"/>
    <w:rsid w:val="00B42D88"/>
    <w:rsid w:val="00B4363D"/>
    <w:rsid w:val="00B438A3"/>
    <w:rsid w:val="00B44F7B"/>
    <w:rsid w:val="00B44FD1"/>
    <w:rsid w:val="00B454C2"/>
    <w:rsid w:val="00B46355"/>
    <w:rsid w:val="00B467FC"/>
    <w:rsid w:val="00B476D5"/>
    <w:rsid w:val="00B477D6"/>
    <w:rsid w:val="00B477F5"/>
    <w:rsid w:val="00B47F09"/>
    <w:rsid w:val="00B504D7"/>
    <w:rsid w:val="00B50D9B"/>
    <w:rsid w:val="00B5180E"/>
    <w:rsid w:val="00B51CF2"/>
    <w:rsid w:val="00B52F66"/>
    <w:rsid w:val="00B534BC"/>
    <w:rsid w:val="00B53B69"/>
    <w:rsid w:val="00B5407A"/>
    <w:rsid w:val="00B540D3"/>
    <w:rsid w:val="00B55C3B"/>
    <w:rsid w:val="00B55FB1"/>
    <w:rsid w:val="00B56BB3"/>
    <w:rsid w:val="00B56BF6"/>
    <w:rsid w:val="00B5752F"/>
    <w:rsid w:val="00B57932"/>
    <w:rsid w:val="00B6022F"/>
    <w:rsid w:val="00B60741"/>
    <w:rsid w:val="00B609EB"/>
    <w:rsid w:val="00B6183D"/>
    <w:rsid w:val="00B62B27"/>
    <w:rsid w:val="00B634A6"/>
    <w:rsid w:val="00B63907"/>
    <w:rsid w:val="00B64EA0"/>
    <w:rsid w:val="00B65162"/>
    <w:rsid w:val="00B6610A"/>
    <w:rsid w:val="00B66350"/>
    <w:rsid w:val="00B67312"/>
    <w:rsid w:val="00B67813"/>
    <w:rsid w:val="00B70AD7"/>
    <w:rsid w:val="00B71F59"/>
    <w:rsid w:val="00B72E9A"/>
    <w:rsid w:val="00B7316D"/>
    <w:rsid w:val="00B73200"/>
    <w:rsid w:val="00B744F8"/>
    <w:rsid w:val="00B7470F"/>
    <w:rsid w:val="00B75023"/>
    <w:rsid w:val="00B7583E"/>
    <w:rsid w:val="00B75923"/>
    <w:rsid w:val="00B76076"/>
    <w:rsid w:val="00B762FC"/>
    <w:rsid w:val="00B766F7"/>
    <w:rsid w:val="00B76848"/>
    <w:rsid w:val="00B76E6A"/>
    <w:rsid w:val="00B77876"/>
    <w:rsid w:val="00B80788"/>
    <w:rsid w:val="00B80B54"/>
    <w:rsid w:val="00B80EE1"/>
    <w:rsid w:val="00B812AA"/>
    <w:rsid w:val="00B82E04"/>
    <w:rsid w:val="00B832E7"/>
    <w:rsid w:val="00B83A32"/>
    <w:rsid w:val="00B84180"/>
    <w:rsid w:val="00B857CA"/>
    <w:rsid w:val="00B86074"/>
    <w:rsid w:val="00B86DF2"/>
    <w:rsid w:val="00B86E60"/>
    <w:rsid w:val="00B87877"/>
    <w:rsid w:val="00B9127E"/>
    <w:rsid w:val="00B91642"/>
    <w:rsid w:val="00B924F0"/>
    <w:rsid w:val="00B92AB7"/>
    <w:rsid w:val="00B931B2"/>
    <w:rsid w:val="00B940DA"/>
    <w:rsid w:val="00B9434B"/>
    <w:rsid w:val="00B964EF"/>
    <w:rsid w:val="00B96F46"/>
    <w:rsid w:val="00BA05AA"/>
    <w:rsid w:val="00BA0711"/>
    <w:rsid w:val="00BA0EEA"/>
    <w:rsid w:val="00BA26D9"/>
    <w:rsid w:val="00BA31B0"/>
    <w:rsid w:val="00BA417B"/>
    <w:rsid w:val="00BA478A"/>
    <w:rsid w:val="00BA51FA"/>
    <w:rsid w:val="00BA71CB"/>
    <w:rsid w:val="00BB07DE"/>
    <w:rsid w:val="00BB087B"/>
    <w:rsid w:val="00BB0B4D"/>
    <w:rsid w:val="00BB12CB"/>
    <w:rsid w:val="00BB22E3"/>
    <w:rsid w:val="00BB26F9"/>
    <w:rsid w:val="00BB394D"/>
    <w:rsid w:val="00BB399B"/>
    <w:rsid w:val="00BB4CFF"/>
    <w:rsid w:val="00BB5933"/>
    <w:rsid w:val="00BB5F4E"/>
    <w:rsid w:val="00BC05D4"/>
    <w:rsid w:val="00BC0C4B"/>
    <w:rsid w:val="00BC1C3B"/>
    <w:rsid w:val="00BC1EBA"/>
    <w:rsid w:val="00BC2BC5"/>
    <w:rsid w:val="00BC3577"/>
    <w:rsid w:val="00BC380E"/>
    <w:rsid w:val="00BC3993"/>
    <w:rsid w:val="00BC40B8"/>
    <w:rsid w:val="00BC412E"/>
    <w:rsid w:val="00BC4D1A"/>
    <w:rsid w:val="00BC5F63"/>
    <w:rsid w:val="00BD09CD"/>
    <w:rsid w:val="00BD11DF"/>
    <w:rsid w:val="00BD1765"/>
    <w:rsid w:val="00BD2B63"/>
    <w:rsid w:val="00BD2E93"/>
    <w:rsid w:val="00BD4725"/>
    <w:rsid w:val="00BD49C2"/>
    <w:rsid w:val="00BD4F31"/>
    <w:rsid w:val="00BD6B9A"/>
    <w:rsid w:val="00BD740E"/>
    <w:rsid w:val="00BD771A"/>
    <w:rsid w:val="00BD7D60"/>
    <w:rsid w:val="00BE0A42"/>
    <w:rsid w:val="00BE12A5"/>
    <w:rsid w:val="00BE580A"/>
    <w:rsid w:val="00BE5D02"/>
    <w:rsid w:val="00BE6EDA"/>
    <w:rsid w:val="00BF13A5"/>
    <w:rsid w:val="00BF198B"/>
    <w:rsid w:val="00BF2F76"/>
    <w:rsid w:val="00BF2FB6"/>
    <w:rsid w:val="00BF32AB"/>
    <w:rsid w:val="00BF3712"/>
    <w:rsid w:val="00BF3889"/>
    <w:rsid w:val="00BF4156"/>
    <w:rsid w:val="00BF4CE4"/>
    <w:rsid w:val="00BF57B1"/>
    <w:rsid w:val="00BF5A62"/>
    <w:rsid w:val="00BF66AA"/>
    <w:rsid w:val="00BF7420"/>
    <w:rsid w:val="00BF7946"/>
    <w:rsid w:val="00C003CB"/>
    <w:rsid w:val="00C00493"/>
    <w:rsid w:val="00C005AE"/>
    <w:rsid w:val="00C0070E"/>
    <w:rsid w:val="00C00969"/>
    <w:rsid w:val="00C00E2A"/>
    <w:rsid w:val="00C00F24"/>
    <w:rsid w:val="00C01635"/>
    <w:rsid w:val="00C017D5"/>
    <w:rsid w:val="00C020AE"/>
    <w:rsid w:val="00C031EE"/>
    <w:rsid w:val="00C03456"/>
    <w:rsid w:val="00C0437C"/>
    <w:rsid w:val="00C043B3"/>
    <w:rsid w:val="00C05DA9"/>
    <w:rsid w:val="00C06115"/>
    <w:rsid w:val="00C0615D"/>
    <w:rsid w:val="00C0725F"/>
    <w:rsid w:val="00C10F9F"/>
    <w:rsid w:val="00C11821"/>
    <w:rsid w:val="00C12DCC"/>
    <w:rsid w:val="00C13153"/>
    <w:rsid w:val="00C13813"/>
    <w:rsid w:val="00C147D5"/>
    <w:rsid w:val="00C14FEC"/>
    <w:rsid w:val="00C159B7"/>
    <w:rsid w:val="00C16EC7"/>
    <w:rsid w:val="00C1745D"/>
    <w:rsid w:val="00C21AAD"/>
    <w:rsid w:val="00C2262E"/>
    <w:rsid w:val="00C2308A"/>
    <w:rsid w:val="00C238A8"/>
    <w:rsid w:val="00C247B4"/>
    <w:rsid w:val="00C24EF5"/>
    <w:rsid w:val="00C2611A"/>
    <w:rsid w:val="00C262F9"/>
    <w:rsid w:val="00C27D51"/>
    <w:rsid w:val="00C3014C"/>
    <w:rsid w:val="00C3095F"/>
    <w:rsid w:val="00C31BF0"/>
    <w:rsid w:val="00C31D81"/>
    <w:rsid w:val="00C324B8"/>
    <w:rsid w:val="00C32574"/>
    <w:rsid w:val="00C325FC"/>
    <w:rsid w:val="00C32F62"/>
    <w:rsid w:val="00C34162"/>
    <w:rsid w:val="00C347B5"/>
    <w:rsid w:val="00C35051"/>
    <w:rsid w:val="00C36E29"/>
    <w:rsid w:val="00C36EE4"/>
    <w:rsid w:val="00C41A2D"/>
    <w:rsid w:val="00C41AB0"/>
    <w:rsid w:val="00C42FD4"/>
    <w:rsid w:val="00C4417F"/>
    <w:rsid w:val="00C44265"/>
    <w:rsid w:val="00C4445F"/>
    <w:rsid w:val="00C44A93"/>
    <w:rsid w:val="00C4649A"/>
    <w:rsid w:val="00C46615"/>
    <w:rsid w:val="00C469D0"/>
    <w:rsid w:val="00C46F93"/>
    <w:rsid w:val="00C50571"/>
    <w:rsid w:val="00C50E00"/>
    <w:rsid w:val="00C51D12"/>
    <w:rsid w:val="00C524F5"/>
    <w:rsid w:val="00C527E6"/>
    <w:rsid w:val="00C52B56"/>
    <w:rsid w:val="00C53D6A"/>
    <w:rsid w:val="00C54736"/>
    <w:rsid w:val="00C55C83"/>
    <w:rsid w:val="00C56823"/>
    <w:rsid w:val="00C56E88"/>
    <w:rsid w:val="00C57069"/>
    <w:rsid w:val="00C5799E"/>
    <w:rsid w:val="00C60A82"/>
    <w:rsid w:val="00C60BCD"/>
    <w:rsid w:val="00C620E7"/>
    <w:rsid w:val="00C626D4"/>
    <w:rsid w:val="00C62CF3"/>
    <w:rsid w:val="00C6361C"/>
    <w:rsid w:val="00C63C2A"/>
    <w:rsid w:val="00C648E0"/>
    <w:rsid w:val="00C64A98"/>
    <w:rsid w:val="00C6507A"/>
    <w:rsid w:val="00C652FA"/>
    <w:rsid w:val="00C65540"/>
    <w:rsid w:val="00C65595"/>
    <w:rsid w:val="00C65898"/>
    <w:rsid w:val="00C65B6A"/>
    <w:rsid w:val="00C700DE"/>
    <w:rsid w:val="00C7119E"/>
    <w:rsid w:val="00C71B93"/>
    <w:rsid w:val="00C71E44"/>
    <w:rsid w:val="00C726CD"/>
    <w:rsid w:val="00C72728"/>
    <w:rsid w:val="00C73580"/>
    <w:rsid w:val="00C73B2C"/>
    <w:rsid w:val="00C74091"/>
    <w:rsid w:val="00C75999"/>
    <w:rsid w:val="00C77747"/>
    <w:rsid w:val="00C800C8"/>
    <w:rsid w:val="00C80391"/>
    <w:rsid w:val="00C8039D"/>
    <w:rsid w:val="00C80B10"/>
    <w:rsid w:val="00C80D28"/>
    <w:rsid w:val="00C821B8"/>
    <w:rsid w:val="00C8260D"/>
    <w:rsid w:val="00C82DD6"/>
    <w:rsid w:val="00C8321B"/>
    <w:rsid w:val="00C840B4"/>
    <w:rsid w:val="00C84D77"/>
    <w:rsid w:val="00C8621D"/>
    <w:rsid w:val="00C87546"/>
    <w:rsid w:val="00C87808"/>
    <w:rsid w:val="00C903C0"/>
    <w:rsid w:val="00C905F7"/>
    <w:rsid w:val="00C91291"/>
    <w:rsid w:val="00C9186F"/>
    <w:rsid w:val="00C9215D"/>
    <w:rsid w:val="00C92C1B"/>
    <w:rsid w:val="00C9326C"/>
    <w:rsid w:val="00C973E7"/>
    <w:rsid w:val="00CA001F"/>
    <w:rsid w:val="00CA0D18"/>
    <w:rsid w:val="00CA0D5D"/>
    <w:rsid w:val="00CA1216"/>
    <w:rsid w:val="00CA2ABF"/>
    <w:rsid w:val="00CA411A"/>
    <w:rsid w:val="00CA5E2A"/>
    <w:rsid w:val="00CA671D"/>
    <w:rsid w:val="00CA71A0"/>
    <w:rsid w:val="00CA74F6"/>
    <w:rsid w:val="00CB06CD"/>
    <w:rsid w:val="00CB07B3"/>
    <w:rsid w:val="00CB0CDA"/>
    <w:rsid w:val="00CB159F"/>
    <w:rsid w:val="00CB16BC"/>
    <w:rsid w:val="00CB267B"/>
    <w:rsid w:val="00CB40B8"/>
    <w:rsid w:val="00CB40C2"/>
    <w:rsid w:val="00CB448F"/>
    <w:rsid w:val="00CB5F6F"/>
    <w:rsid w:val="00CB6BD4"/>
    <w:rsid w:val="00CB759E"/>
    <w:rsid w:val="00CC0867"/>
    <w:rsid w:val="00CC0EFD"/>
    <w:rsid w:val="00CC2C17"/>
    <w:rsid w:val="00CC2CAB"/>
    <w:rsid w:val="00CC38E3"/>
    <w:rsid w:val="00CC4332"/>
    <w:rsid w:val="00CC44CF"/>
    <w:rsid w:val="00CC6865"/>
    <w:rsid w:val="00CC6987"/>
    <w:rsid w:val="00CC702A"/>
    <w:rsid w:val="00CD00E3"/>
    <w:rsid w:val="00CD0114"/>
    <w:rsid w:val="00CD122A"/>
    <w:rsid w:val="00CD1C50"/>
    <w:rsid w:val="00CD2371"/>
    <w:rsid w:val="00CD29F5"/>
    <w:rsid w:val="00CD2A51"/>
    <w:rsid w:val="00CD32A2"/>
    <w:rsid w:val="00CD3477"/>
    <w:rsid w:val="00CD4DE5"/>
    <w:rsid w:val="00CD54D0"/>
    <w:rsid w:val="00CD595F"/>
    <w:rsid w:val="00CD6097"/>
    <w:rsid w:val="00CD6180"/>
    <w:rsid w:val="00CD7616"/>
    <w:rsid w:val="00CE02C5"/>
    <w:rsid w:val="00CE09EB"/>
    <w:rsid w:val="00CE0EBE"/>
    <w:rsid w:val="00CE1AD9"/>
    <w:rsid w:val="00CE2C82"/>
    <w:rsid w:val="00CE2EF8"/>
    <w:rsid w:val="00CE3187"/>
    <w:rsid w:val="00CE3861"/>
    <w:rsid w:val="00CE44FC"/>
    <w:rsid w:val="00CE4850"/>
    <w:rsid w:val="00CE51A0"/>
    <w:rsid w:val="00CF0D8C"/>
    <w:rsid w:val="00CF0FB2"/>
    <w:rsid w:val="00CF0FF9"/>
    <w:rsid w:val="00CF1933"/>
    <w:rsid w:val="00CF1B03"/>
    <w:rsid w:val="00CF1F8D"/>
    <w:rsid w:val="00CF2F93"/>
    <w:rsid w:val="00CF30D8"/>
    <w:rsid w:val="00CF344E"/>
    <w:rsid w:val="00CF357C"/>
    <w:rsid w:val="00CF4D53"/>
    <w:rsid w:val="00CF52CC"/>
    <w:rsid w:val="00CF572F"/>
    <w:rsid w:val="00CF58E1"/>
    <w:rsid w:val="00CF687B"/>
    <w:rsid w:val="00CF6976"/>
    <w:rsid w:val="00CF7ACD"/>
    <w:rsid w:val="00D006FC"/>
    <w:rsid w:val="00D00B52"/>
    <w:rsid w:val="00D010F6"/>
    <w:rsid w:val="00D01803"/>
    <w:rsid w:val="00D019F8"/>
    <w:rsid w:val="00D01FAB"/>
    <w:rsid w:val="00D03244"/>
    <w:rsid w:val="00D033C9"/>
    <w:rsid w:val="00D078C6"/>
    <w:rsid w:val="00D10224"/>
    <w:rsid w:val="00D10CEE"/>
    <w:rsid w:val="00D12B36"/>
    <w:rsid w:val="00D135F5"/>
    <w:rsid w:val="00D1366F"/>
    <w:rsid w:val="00D14054"/>
    <w:rsid w:val="00D15725"/>
    <w:rsid w:val="00D1580C"/>
    <w:rsid w:val="00D15F7F"/>
    <w:rsid w:val="00D1663A"/>
    <w:rsid w:val="00D16DBB"/>
    <w:rsid w:val="00D178AD"/>
    <w:rsid w:val="00D179B0"/>
    <w:rsid w:val="00D17B7E"/>
    <w:rsid w:val="00D17DDA"/>
    <w:rsid w:val="00D20221"/>
    <w:rsid w:val="00D218E5"/>
    <w:rsid w:val="00D2228A"/>
    <w:rsid w:val="00D2517D"/>
    <w:rsid w:val="00D267D1"/>
    <w:rsid w:val="00D30438"/>
    <w:rsid w:val="00D31073"/>
    <w:rsid w:val="00D31147"/>
    <w:rsid w:val="00D33C97"/>
    <w:rsid w:val="00D33D3B"/>
    <w:rsid w:val="00D35B24"/>
    <w:rsid w:val="00D35D6F"/>
    <w:rsid w:val="00D35D94"/>
    <w:rsid w:val="00D367B5"/>
    <w:rsid w:val="00D37203"/>
    <w:rsid w:val="00D37E46"/>
    <w:rsid w:val="00D405A0"/>
    <w:rsid w:val="00D40993"/>
    <w:rsid w:val="00D40B3D"/>
    <w:rsid w:val="00D4168D"/>
    <w:rsid w:val="00D42709"/>
    <w:rsid w:val="00D42DC2"/>
    <w:rsid w:val="00D43464"/>
    <w:rsid w:val="00D43764"/>
    <w:rsid w:val="00D437D7"/>
    <w:rsid w:val="00D43AE9"/>
    <w:rsid w:val="00D45BAF"/>
    <w:rsid w:val="00D45F2A"/>
    <w:rsid w:val="00D4689F"/>
    <w:rsid w:val="00D47698"/>
    <w:rsid w:val="00D50174"/>
    <w:rsid w:val="00D50AB7"/>
    <w:rsid w:val="00D50E02"/>
    <w:rsid w:val="00D5121F"/>
    <w:rsid w:val="00D519D2"/>
    <w:rsid w:val="00D51D05"/>
    <w:rsid w:val="00D52A49"/>
    <w:rsid w:val="00D52D0D"/>
    <w:rsid w:val="00D530B4"/>
    <w:rsid w:val="00D53B4E"/>
    <w:rsid w:val="00D53B84"/>
    <w:rsid w:val="00D53FF8"/>
    <w:rsid w:val="00D55563"/>
    <w:rsid w:val="00D5586E"/>
    <w:rsid w:val="00D56EFB"/>
    <w:rsid w:val="00D57045"/>
    <w:rsid w:val="00D60C73"/>
    <w:rsid w:val="00D611B6"/>
    <w:rsid w:val="00D620AE"/>
    <w:rsid w:val="00D62202"/>
    <w:rsid w:val="00D62A02"/>
    <w:rsid w:val="00D63069"/>
    <w:rsid w:val="00D63127"/>
    <w:rsid w:val="00D63922"/>
    <w:rsid w:val="00D63CAC"/>
    <w:rsid w:val="00D63E3A"/>
    <w:rsid w:val="00D643F9"/>
    <w:rsid w:val="00D644ED"/>
    <w:rsid w:val="00D65BF1"/>
    <w:rsid w:val="00D65E2A"/>
    <w:rsid w:val="00D660A0"/>
    <w:rsid w:val="00D66B6D"/>
    <w:rsid w:val="00D67873"/>
    <w:rsid w:val="00D70AF6"/>
    <w:rsid w:val="00D70B10"/>
    <w:rsid w:val="00D70D2B"/>
    <w:rsid w:val="00D71A31"/>
    <w:rsid w:val="00D71BBF"/>
    <w:rsid w:val="00D72036"/>
    <w:rsid w:val="00D72DAF"/>
    <w:rsid w:val="00D72FC1"/>
    <w:rsid w:val="00D74737"/>
    <w:rsid w:val="00D755C0"/>
    <w:rsid w:val="00D773F8"/>
    <w:rsid w:val="00D77CAE"/>
    <w:rsid w:val="00D77D5B"/>
    <w:rsid w:val="00D808C0"/>
    <w:rsid w:val="00D83966"/>
    <w:rsid w:val="00D83C33"/>
    <w:rsid w:val="00D83FDA"/>
    <w:rsid w:val="00D84868"/>
    <w:rsid w:val="00D849E7"/>
    <w:rsid w:val="00D84AAE"/>
    <w:rsid w:val="00D85192"/>
    <w:rsid w:val="00D8534F"/>
    <w:rsid w:val="00D85C49"/>
    <w:rsid w:val="00D85F56"/>
    <w:rsid w:val="00D86837"/>
    <w:rsid w:val="00D869EB"/>
    <w:rsid w:val="00D90B41"/>
    <w:rsid w:val="00D92401"/>
    <w:rsid w:val="00D924A8"/>
    <w:rsid w:val="00D9288D"/>
    <w:rsid w:val="00D935C2"/>
    <w:rsid w:val="00D93C31"/>
    <w:rsid w:val="00D96258"/>
    <w:rsid w:val="00D9649E"/>
    <w:rsid w:val="00D96FCF"/>
    <w:rsid w:val="00DA001F"/>
    <w:rsid w:val="00DA046E"/>
    <w:rsid w:val="00DA04D0"/>
    <w:rsid w:val="00DA06BE"/>
    <w:rsid w:val="00DA2931"/>
    <w:rsid w:val="00DA2C8C"/>
    <w:rsid w:val="00DA31B6"/>
    <w:rsid w:val="00DA52AA"/>
    <w:rsid w:val="00DA54B6"/>
    <w:rsid w:val="00DA7831"/>
    <w:rsid w:val="00DA7B7F"/>
    <w:rsid w:val="00DB01DC"/>
    <w:rsid w:val="00DB021B"/>
    <w:rsid w:val="00DB23F2"/>
    <w:rsid w:val="00DB2638"/>
    <w:rsid w:val="00DB2B8E"/>
    <w:rsid w:val="00DB4ADF"/>
    <w:rsid w:val="00DB54C8"/>
    <w:rsid w:val="00DB630F"/>
    <w:rsid w:val="00DB66D0"/>
    <w:rsid w:val="00DB6D06"/>
    <w:rsid w:val="00DB6EA5"/>
    <w:rsid w:val="00DB7429"/>
    <w:rsid w:val="00DB76B2"/>
    <w:rsid w:val="00DC04B0"/>
    <w:rsid w:val="00DC0E9F"/>
    <w:rsid w:val="00DC10F5"/>
    <w:rsid w:val="00DC15AF"/>
    <w:rsid w:val="00DC2BAA"/>
    <w:rsid w:val="00DC3754"/>
    <w:rsid w:val="00DC3A51"/>
    <w:rsid w:val="00DC4800"/>
    <w:rsid w:val="00DC4AEC"/>
    <w:rsid w:val="00DC5653"/>
    <w:rsid w:val="00DC5867"/>
    <w:rsid w:val="00DC5EFA"/>
    <w:rsid w:val="00DC637E"/>
    <w:rsid w:val="00DC65B2"/>
    <w:rsid w:val="00DC6B87"/>
    <w:rsid w:val="00DC7603"/>
    <w:rsid w:val="00DC7AC1"/>
    <w:rsid w:val="00DD2030"/>
    <w:rsid w:val="00DD209A"/>
    <w:rsid w:val="00DD2175"/>
    <w:rsid w:val="00DD2751"/>
    <w:rsid w:val="00DD2763"/>
    <w:rsid w:val="00DD3137"/>
    <w:rsid w:val="00DD3DF2"/>
    <w:rsid w:val="00DD43BB"/>
    <w:rsid w:val="00DD4AAB"/>
    <w:rsid w:val="00DD4AEC"/>
    <w:rsid w:val="00DD50F8"/>
    <w:rsid w:val="00DD5E13"/>
    <w:rsid w:val="00DD5FDC"/>
    <w:rsid w:val="00DD6308"/>
    <w:rsid w:val="00DD7899"/>
    <w:rsid w:val="00DE04E7"/>
    <w:rsid w:val="00DE0980"/>
    <w:rsid w:val="00DE1337"/>
    <w:rsid w:val="00DE4077"/>
    <w:rsid w:val="00DE40EE"/>
    <w:rsid w:val="00DE4703"/>
    <w:rsid w:val="00DE74BF"/>
    <w:rsid w:val="00DE7755"/>
    <w:rsid w:val="00DF055C"/>
    <w:rsid w:val="00DF0FAB"/>
    <w:rsid w:val="00DF1A89"/>
    <w:rsid w:val="00DF1DBD"/>
    <w:rsid w:val="00DF1E1D"/>
    <w:rsid w:val="00DF1E20"/>
    <w:rsid w:val="00DF212C"/>
    <w:rsid w:val="00DF3456"/>
    <w:rsid w:val="00DF491F"/>
    <w:rsid w:val="00DF4ED5"/>
    <w:rsid w:val="00DF53F2"/>
    <w:rsid w:val="00DF54D3"/>
    <w:rsid w:val="00DF6146"/>
    <w:rsid w:val="00DF64BA"/>
    <w:rsid w:val="00DF7BBA"/>
    <w:rsid w:val="00DF7E88"/>
    <w:rsid w:val="00E00ABA"/>
    <w:rsid w:val="00E00DFA"/>
    <w:rsid w:val="00E01F40"/>
    <w:rsid w:val="00E024F2"/>
    <w:rsid w:val="00E02910"/>
    <w:rsid w:val="00E0365C"/>
    <w:rsid w:val="00E03969"/>
    <w:rsid w:val="00E046F8"/>
    <w:rsid w:val="00E04F25"/>
    <w:rsid w:val="00E05449"/>
    <w:rsid w:val="00E06A88"/>
    <w:rsid w:val="00E06C2C"/>
    <w:rsid w:val="00E07E27"/>
    <w:rsid w:val="00E10614"/>
    <w:rsid w:val="00E10C21"/>
    <w:rsid w:val="00E11294"/>
    <w:rsid w:val="00E122F2"/>
    <w:rsid w:val="00E12B1D"/>
    <w:rsid w:val="00E14D76"/>
    <w:rsid w:val="00E1608F"/>
    <w:rsid w:val="00E172C9"/>
    <w:rsid w:val="00E1794F"/>
    <w:rsid w:val="00E179DB"/>
    <w:rsid w:val="00E20255"/>
    <w:rsid w:val="00E2097B"/>
    <w:rsid w:val="00E20CF4"/>
    <w:rsid w:val="00E20D2C"/>
    <w:rsid w:val="00E21747"/>
    <w:rsid w:val="00E21E5B"/>
    <w:rsid w:val="00E228F2"/>
    <w:rsid w:val="00E22F72"/>
    <w:rsid w:val="00E2436E"/>
    <w:rsid w:val="00E255C4"/>
    <w:rsid w:val="00E260AD"/>
    <w:rsid w:val="00E26E73"/>
    <w:rsid w:val="00E27448"/>
    <w:rsid w:val="00E2785A"/>
    <w:rsid w:val="00E278C0"/>
    <w:rsid w:val="00E27B15"/>
    <w:rsid w:val="00E30066"/>
    <w:rsid w:val="00E304D0"/>
    <w:rsid w:val="00E31268"/>
    <w:rsid w:val="00E31763"/>
    <w:rsid w:val="00E32D2C"/>
    <w:rsid w:val="00E3314E"/>
    <w:rsid w:val="00E33D52"/>
    <w:rsid w:val="00E3422E"/>
    <w:rsid w:val="00E34375"/>
    <w:rsid w:val="00E347CC"/>
    <w:rsid w:val="00E353F7"/>
    <w:rsid w:val="00E35ECE"/>
    <w:rsid w:val="00E36934"/>
    <w:rsid w:val="00E379FD"/>
    <w:rsid w:val="00E37C47"/>
    <w:rsid w:val="00E37D62"/>
    <w:rsid w:val="00E40338"/>
    <w:rsid w:val="00E4080F"/>
    <w:rsid w:val="00E40AF2"/>
    <w:rsid w:val="00E417E0"/>
    <w:rsid w:val="00E42758"/>
    <w:rsid w:val="00E429B4"/>
    <w:rsid w:val="00E439E0"/>
    <w:rsid w:val="00E44C5E"/>
    <w:rsid w:val="00E44DFC"/>
    <w:rsid w:val="00E45C78"/>
    <w:rsid w:val="00E46010"/>
    <w:rsid w:val="00E462D0"/>
    <w:rsid w:val="00E4676F"/>
    <w:rsid w:val="00E475E7"/>
    <w:rsid w:val="00E477BF"/>
    <w:rsid w:val="00E47C77"/>
    <w:rsid w:val="00E501EA"/>
    <w:rsid w:val="00E50310"/>
    <w:rsid w:val="00E5043A"/>
    <w:rsid w:val="00E509BA"/>
    <w:rsid w:val="00E50AD0"/>
    <w:rsid w:val="00E50B93"/>
    <w:rsid w:val="00E5139E"/>
    <w:rsid w:val="00E52457"/>
    <w:rsid w:val="00E52C9F"/>
    <w:rsid w:val="00E530CD"/>
    <w:rsid w:val="00E5482E"/>
    <w:rsid w:val="00E54F36"/>
    <w:rsid w:val="00E55316"/>
    <w:rsid w:val="00E55A49"/>
    <w:rsid w:val="00E57835"/>
    <w:rsid w:val="00E600AC"/>
    <w:rsid w:val="00E609D5"/>
    <w:rsid w:val="00E60AF7"/>
    <w:rsid w:val="00E614C0"/>
    <w:rsid w:val="00E63763"/>
    <w:rsid w:val="00E6385A"/>
    <w:rsid w:val="00E64624"/>
    <w:rsid w:val="00E6569E"/>
    <w:rsid w:val="00E65D33"/>
    <w:rsid w:val="00E66B86"/>
    <w:rsid w:val="00E66DFD"/>
    <w:rsid w:val="00E67812"/>
    <w:rsid w:val="00E67C78"/>
    <w:rsid w:val="00E7026F"/>
    <w:rsid w:val="00E702BF"/>
    <w:rsid w:val="00E7036F"/>
    <w:rsid w:val="00E70C2D"/>
    <w:rsid w:val="00E70C38"/>
    <w:rsid w:val="00E70E83"/>
    <w:rsid w:val="00E71CE7"/>
    <w:rsid w:val="00E71D63"/>
    <w:rsid w:val="00E744FA"/>
    <w:rsid w:val="00E74513"/>
    <w:rsid w:val="00E75641"/>
    <w:rsid w:val="00E75D18"/>
    <w:rsid w:val="00E76A23"/>
    <w:rsid w:val="00E775D9"/>
    <w:rsid w:val="00E776DF"/>
    <w:rsid w:val="00E77B01"/>
    <w:rsid w:val="00E77F76"/>
    <w:rsid w:val="00E77FE9"/>
    <w:rsid w:val="00E805FA"/>
    <w:rsid w:val="00E80C06"/>
    <w:rsid w:val="00E80C44"/>
    <w:rsid w:val="00E80CBC"/>
    <w:rsid w:val="00E8157A"/>
    <w:rsid w:val="00E81C89"/>
    <w:rsid w:val="00E827BF"/>
    <w:rsid w:val="00E82937"/>
    <w:rsid w:val="00E82990"/>
    <w:rsid w:val="00E83053"/>
    <w:rsid w:val="00E830C8"/>
    <w:rsid w:val="00E83367"/>
    <w:rsid w:val="00E83525"/>
    <w:rsid w:val="00E83FCB"/>
    <w:rsid w:val="00E845F8"/>
    <w:rsid w:val="00E8467D"/>
    <w:rsid w:val="00E84DDF"/>
    <w:rsid w:val="00E84DF0"/>
    <w:rsid w:val="00E84F87"/>
    <w:rsid w:val="00E855A0"/>
    <w:rsid w:val="00E85A86"/>
    <w:rsid w:val="00E9173C"/>
    <w:rsid w:val="00E929D6"/>
    <w:rsid w:val="00E92FAB"/>
    <w:rsid w:val="00E933B5"/>
    <w:rsid w:val="00E948A8"/>
    <w:rsid w:val="00E948D8"/>
    <w:rsid w:val="00E950C8"/>
    <w:rsid w:val="00E9567E"/>
    <w:rsid w:val="00E97230"/>
    <w:rsid w:val="00EA0B0C"/>
    <w:rsid w:val="00EA1E91"/>
    <w:rsid w:val="00EA25D2"/>
    <w:rsid w:val="00EA3492"/>
    <w:rsid w:val="00EA34B8"/>
    <w:rsid w:val="00EA3BBA"/>
    <w:rsid w:val="00EA4A80"/>
    <w:rsid w:val="00EA4C44"/>
    <w:rsid w:val="00EA5878"/>
    <w:rsid w:val="00EB04C3"/>
    <w:rsid w:val="00EB138D"/>
    <w:rsid w:val="00EB1D16"/>
    <w:rsid w:val="00EB2F51"/>
    <w:rsid w:val="00EB37DD"/>
    <w:rsid w:val="00EB38F2"/>
    <w:rsid w:val="00EB3944"/>
    <w:rsid w:val="00EB3BB3"/>
    <w:rsid w:val="00EB424B"/>
    <w:rsid w:val="00EB46B1"/>
    <w:rsid w:val="00EB68CB"/>
    <w:rsid w:val="00EB720F"/>
    <w:rsid w:val="00EB723F"/>
    <w:rsid w:val="00EB736A"/>
    <w:rsid w:val="00EC0098"/>
    <w:rsid w:val="00EC0113"/>
    <w:rsid w:val="00EC0548"/>
    <w:rsid w:val="00EC068A"/>
    <w:rsid w:val="00EC0CD3"/>
    <w:rsid w:val="00EC152D"/>
    <w:rsid w:val="00EC208A"/>
    <w:rsid w:val="00EC23BC"/>
    <w:rsid w:val="00EC33EC"/>
    <w:rsid w:val="00EC3441"/>
    <w:rsid w:val="00EC4077"/>
    <w:rsid w:val="00EC4B59"/>
    <w:rsid w:val="00EC4F09"/>
    <w:rsid w:val="00EC54C9"/>
    <w:rsid w:val="00EC6B9B"/>
    <w:rsid w:val="00EC700F"/>
    <w:rsid w:val="00EC7747"/>
    <w:rsid w:val="00ED0406"/>
    <w:rsid w:val="00ED1389"/>
    <w:rsid w:val="00ED1665"/>
    <w:rsid w:val="00ED2C98"/>
    <w:rsid w:val="00ED32EF"/>
    <w:rsid w:val="00ED4716"/>
    <w:rsid w:val="00ED5805"/>
    <w:rsid w:val="00ED6DD1"/>
    <w:rsid w:val="00EE0A8B"/>
    <w:rsid w:val="00EE1BBF"/>
    <w:rsid w:val="00EE2D1C"/>
    <w:rsid w:val="00EE312C"/>
    <w:rsid w:val="00EE35CE"/>
    <w:rsid w:val="00EE5358"/>
    <w:rsid w:val="00EE63A2"/>
    <w:rsid w:val="00EE701A"/>
    <w:rsid w:val="00EF054B"/>
    <w:rsid w:val="00EF087D"/>
    <w:rsid w:val="00EF0AB2"/>
    <w:rsid w:val="00EF191D"/>
    <w:rsid w:val="00EF37CC"/>
    <w:rsid w:val="00EF39A1"/>
    <w:rsid w:val="00EF5CE2"/>
    <w:rsid w:val="00EF69AB"/>
    <w:rsid w:val="00F00A31"/>
    <w:rsid w:val="00F027A0"/>
    <w:rsid w:val="00F02827"/>
    <w:rsid w:val="00F03998"/>
    <w:rsid w:val="00F04158"/>
    <w:rsid w:val="00F04CC2"/>
    <w:rsid w:val="00F053F3"/>
    <w:rsid w:val="00F05725"/>
    <w:rsid w:val="00F057A8"/>
    <w:rsid w:val="00F05D9E"/>
    <w:rsid w:val="00F06A42"/>
    <w:rsid w:val="00F06A53"/>
    <w:rsid w:val="00F07260"/>
    <w:rsid w:val="00F10CCA"/>
    <w:rsid w:val="00F11367"/>
    <w:rsid w:val="00F1169C"/>
    <w:rsid w:val="00F117DC"/>
    <w:rsid w:val="00F1195C"/>
    <w:rsid w:val="00F11D4D"/>
    <w:rsid w:val="00F12AAF"/>
    <w:rsid w:val="00F12E9A"/>
    <w:rsid w:val="00F132F5"/>
    <w:rsid w:val="00F13993"/>
    <w:rsid w:val="00F142D3"/>
    <w:rsid w:val="00F146F6"/>
    <w:rsid w:val="00F147D3"/>
    <w:rsid w:val="00F149FA"/>
    <w:rsid w:val="00F1576E"/>
    <w:rsid w:val="00F1595F"/>
    <w:rsid w:val="00F161BA"/>
    <w:rsid w:val="00F17117"/>
    <w:rsid w:val="00F1782E"/>
    <w:rsid w:val="00F20A86"/>
    <w:rsid w:val="00F20F51"/>
    <w:rsid w:val="00F21245"/>
    <w:rsid w:val="00F215E6"/>
    <w:rsid w:val="00F224C1"/>
    <w:rsid w:val="00F228DB"/>
    <w:rsid w:val="00F22F76"/>
    <w:rsid w:val="00F244B7"/>
    <w:rsid w:val="00F244EA"/>
    <w:rsid w:val="00F245EC"/>
    <w:rsid w:val="00F24AED"/>
    <w:rsid w:val="00F24BB8"/>
    <w:rsid w:val="00F25BA6"/>
    <w:rsid w:val="00F26232"/>
    <w:rsid w:val="00F26351"/>
    <w:rsid w:val="00F26821"/>
    <w:rsid w:val="00F26E17"/>
    <w:rsid w:val="00F27390"/>
    <w:rsid w:val="00F2793F"/>
    <w:rsid w:val="00F317E0"/>
    <w:rsid w:val="00F31B1C"/>
    <w:rsid w:val="00F31E42"/>
    <w:rsid w:val="00F32A6C"/>
    <w:rsid w:val="00F334D2"/>
    <w:rsid w:val="00F34137"/>
    <w:rsid w:val="00F34898"/>
    <w:rsid w:val="00F35F5F"/>
    <w:rsid w:val="00F37625"/>
    <w:rsid w:val="00F37B92"/>
    <w:rsid w:val="00F40021"/>
    <w:rsid w:val="00F40CE5"/>
    <w:rsid w:val="00F42528"/>
    <w:rsid w:val="00F42BDB"/>
    <w:rsid w:val="00F42C15"/>
    <w:rsid w:val="00F439B9"/>
    <w:rsid w:val="00F44E18"/>
    <w:rsid w:val="00F45969"/>
    <w:rsid w:val="00F4776B"/>
    <w:rsid w:val="00F479C7"/>
    <w:rsid w:val="00F50694"/>
    <w:rsid w:val="00F5092B"/>
    <w:rsid w:val="00F51021"/>
    <w:rsid w:val="00F539BD"/>
    <w:rsid w:val="00F558B0"/>
    <w:rsid w:val="00F567F6"/>
    <w:rsid w:val="00F56A1E"/>
    <w:rsid w:val="00F56E93"/>
    <w:rsid w:val="00F6100C"/>
    <w:rsid w:val="00F61ECB"/>
    <w:rsid w:val="00F626F2"/>
    <w:rsid w:val="00F62F9E"/>
    <w:rsid w:val="00F634A7"/>
    <w:rsid w:val="00F64E41"/>
    <w:rsid w:val="00F65C6E"/>
    <w:rsid w:val="00F66973"/>
    <w:rsid w:val="00F67D7A"/>
    <w:rsid w:val="00F72042"/>
    <w:rsid w:val="00F73CF2"/>
    <w:rsid w:val="00F74A48"/>
    <w:rsid w:val="00F74D94"/>
    <w:rsid w:val="00F7585D"/>
    <w:rsid w:val="00F7595F"/>
    <w:rsid w:val="00F7694B"/>
    <w:rsid w:val="00F820AA"/>
    <w:rsid w:val="00F83176"/>
    <w:rsid w:val="00F84A28"/>
    <w:rsid w:val="00F850B4"/>
    <w:rsid w:val="00F86E26"/>
    <w:rsid w:val="00F87674"/>
    <w:rsid w:val="00F8791A"/>
    <w:rsid w:val="00F87BD3"/>
    <w:rsid w:val="00F87CD4"/>
    <w:rsid w:val="00F90035"/>
    <w:rsid w:val="00F9033E"/>
    <w:rsid w:val="00F919EC"/>
    <w:rsid w:val="00F91C23"/>
    <w:rsid w:val="00F922A5"/>
    <w:rsid w:val="00F9311E"/>
    <w:rsid w:val="00F93FC9"/>
    <w:rsid w:val="00F94061"/>
    <w:rsid w:val="00F946CA"/>
    <w:rsid w:val="00F9486F"/>
    <w:rsid w:val="00F95CFD"/>
    <w:rsid w:val="00F9603B"/>
    <w:rsid w:val="00F96A9C"/>
    <w:rsid w:val="00F96DFE"/>
    <w:rsid w:val="00F97A3E"/>
    <w:rsid w:val="00FA0523"/>
    <w:rsid w:val="00FA1095"/>
    <w:rsid w:val="00FA21EC"/>
    <w:rsid w:val="00FA2314"/>
    <w:rsid w:val="00FA2319"/>
    <w:rsid w:val="00FA26BB"/>
    <w:rsid w:val="00FA397D"/>
    <w:rsid w:val="00FA474A"/>
    <w:rsid w:val="00FA61F3"/>
    <w:rsid w:val="00FA6203"/>
    <w:rsid w:val="00FA69BA"/>
    <w:rsid w:val="00FA7D4C"/>
    <w:rsid w:val="00FB1482"/>
    <w:rsid w:val="00FB14AD"/>
    <w:rsid w:val="00FB28D2"/>
    <w:rsid w:val="00FB2996"/>
    <w:rsid w:val="00FB2AE1"/>
    <w:rsid w:val="00FB33CB"/>
    <w:rsid w:val="00FB3DCF"/>
    <w:rsid w:val="00FB3FD8"/>
    <w:rsid w:val="00FB4E0E"/>
    <w:rsid w:val="00FB61FB"/>
    <w:rsid w:val="00FC05A6"/>
    <w:rsid w:val="00FC1569"/>
    <w:rsid w:val="00FC2C91"/>
    <w:rsid w:val="00FC33ED"/>
    <w:rsid w:val="00FC3EF8"/>
    <w:rsid w:val="00FC45CB"/>
    <w:rsid w:val="00FC4D5C"/>
    <w:rsid w:val="00FC4DE5"/>
    <w:rsid w:val="00FC5197"/>
    <w:rsid w:val="00FC5C63"/>
    <w:rsid w:val="00FD0635"/>
    <w:rsid w:val="00FD0B43"/>
    <w:rsid w:val="00FD13F9"/>
    <w:rsid w:val="00FD1E79"/>
    <w:rsid w:val="00FD26AE"/>
    <w:rsid w:val="00FD32CA"/>
    <w:rsid w:val="00FD3EBC"/>
    <w:rsid w:val="00FD4C61"/>
    <w:rsid w:val="00FD5F40"/>
    <w:rsid w:val="00FD6146"/>
    <w:rsid w:val="00FD6274"/>
    <w:rsid w:val="00FD62ED"/>
    <w:rsid w:val="00FD6660"/>
    <w:rsid w:val="00FD6F22"/>
    <w:rsid w:val="00FE046E"/>
    <w:rsid w:val="00FE08FC"/>
    <w:rsid w:val="00FE0ACD"/>
    <w:rsid w:val="00FE0C78"/>
    <w:rsid w:val="00FE2186"/>
    <w:rsid w:val="00FE2B72"/>
    <w:rsid w:val="00FE2F89"/>
    <w:rsid w:val="00FE465D"/>
    <w:rsid w:val="00FE4A3C"/>
    <w:rsid w:val="00FE61DF"/>
    <w:rsid w:val="00FF1370"/>
    <w:rsid w:val="00FF22B7"/>
    <w:rsid w:val="00FF3F08"/>
    <w:rsid w:val="00FF50B2"/>
    <w:rsid w:val="00FF5948"/>
    <w:rsid w:val="00FF6284"/>
    <w:rsid w:val="00FF66AC"/>
    <w:rsid w:val="00FF68C5"/>
    <w:rsid w:val="00FF7594"/>
    <w:rsid w:val="00FF774F"/>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DAA8"/>
  <w15:docId w15:val="{C24E3A06-4C1A-423F-B028-7EAB7059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20"/>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20"/>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20"/>
      </w:numPr>
      <w:spacing w:before="300" w:line="280" w:lineRule="atLeast"/>
      <w:ind w:left="2381"/>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20"/>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spacing w:after="120"/>
      <w:ind w:left="340" w:hanging="34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ind w:left="709"/>
    </w:pPr>
  </w:style>
  <w:style w:type="paragraph" w:styleId="ListBullet4">
    <w:name w:val="List Bullet 4"/>
    <w:basedOn w:val="ListBullet3"/>
    <w:rsid w:val="00E12B1D"/>
    <w:pPr>
      <w:ind w:left="1134" w:firstLine="0"/>
    </w:pPr>
  </w:style>
  <w:style w:type="paragraph" w:styleId="ListBullet3">
    <w:name w:val="List Bullet 3"/>
    <w:basedOn w:val="ListBullet2"/>
    <w:uiPriority w:val="4"/>
    <w:qFormat/>
    <w:rsid w:val="00E2785A"/>
    <w:pPr>
      <w:ind w:left="964" w:hanging="255"/>
    </w:pPr>
  </w:style>
  <w:style w:type="paragraph" w:styleId="ListNumber">
    <w:name w:val="List Number"/>
    <w:basedOn w:val="Normal"/>
    <w:uiPriority w:val="4"/>
    <w:qFormat/>
    <w:rsid w:val="004C7203"/>
    <w:pPr>
      <w:numPr>
        <w:numId w:val="16"/>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7"/>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6"/>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character" w:styleId="CommentReference">
    <w:name w:val="annotation reference"/>
    <w:basedOn w:val="DefaultParagraphFont"/>
    <w:semiHidden/>
    <w:unhideWhenUsed/>
    <w:rsid w:val="00281578"/>
    <w:rPr>
      <w:sz w:val="16"/>
      <w:szCs w:val="16"/>
    </w:rPr>
  </w:style>
  <w:style w:type="paragraph" w:styleId="CommentText">
    <w:name w:val="annotation text"/>
    <w:basedOn w:val="Normal"/>
    <w:link w:val="CommentTextChar"/>
    <w:semiHidden/>
    <w:unhideWhenUsed/>
    <w:rsid w:val="00281578"/>
    <w:pPr>
      <w:spacing w:line="240" w:lineRule="auto"/>
    </w:pPr>
    <w:rPr>
      <w:szCs w:val="20"/>
    </w:rPr>
  </w:style>
  <w:style w:type="character" w:customStyle="1" w:styleId="CommentTextChar">
    <w:name w:val="Comment Text Char"/>
    <w:basedOn w:val="DefaultParagraphFont"/>
    <w:link w:val="CommentText"/>
    <w:semiHidden/>
    <w:rsid w:val="00281578"/>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281578"/>
    <w:rPr>
      <w:b/>
      <w:bCs/>
    </w:rPr>
  </w:style>
  <w:style w:type="character" w:customStyle="1" w:styleId="CommentSubjectChar">
    <w:name w:val="Comment Subject Char"/>
    <w:basedOn w:val="CommentTextChar"/>
    <w:link w:val="CommentSubject"/>
    <w:semiHidden/>
    <w:rsid w:val="00281578"/>
    <w:rPr>
      <w:rFonts w:ascii="Arial" w:hAnsi="Arial"/>
      <w:b/>
      <w:bCs/>
      <w:color w:val="373737"/>
      <w:sz w:val="20"/>
      <w:szCs w:val="20"/>
    </w:rPr>
  </w:style>
  <w:style w:type="paragraph" w:styleId="Revision">
    <w:name w:val="Revision"/>
    <w:hidden/>
    <w:uiPriority w:val="99"/>
    <w:semiHidden/>
    <w:rsid w:val="00B63907"/>
    <w:pPr>
      <w:spacing w:after="0" w:line="240" w:lineRule="auto"/>
    </w:pPr>
    <w:rPr>
      <w:rFonts w:ascii="Arial" w:hAnsi="Arial"/>
      <w:color w:val="373737"/>
      <w:sz w:val="20"/>
    </w:rPr>
  </w:style>
  <w:style w:type="paragraph" w:customStyle="1" w:styleId="Heading11">
    <w:name w:val="Heading 11"/>
    <w:basedOn w:val="Normal"/>
    <w:next w:val="BodyText"/>
    <w:qFormat/>
    <w:rsid w:val="00525956"/>
    <w:pPr>
      <w:keepNext/>
      <w:tabs>
        <w:tab w:val="num" w:pos="360"/>
      </w:tabs>
      <w:spacing w:before="300" w:line="280" w:lineRule="atLeast"/>
      <w:ind w:left="0"/>
      <w:jc w:val="left"/>
      <w:outlineLvl w:val="0"/>
    </w:pPr>
    <w:rPr>
      <w:rFonts w:eastAsia="Times New Roman" w:cs="Arial"/>
      <w:b/>
      <w:bCs/>
      <w:color w:val="005CAF"/>
      <w:kern w:val="32"/>
      <w:sz w:val="32"/>
      <w:szCs w:val="32"/>
    </w:rPr>
  </w:style>
  <w:style w:type="paragraph" w:customStyle="1" w:styleId="Heading31">
    <w:name w:val="Heading 31"/>
    <w:basedOn w:val="BodyText"/>
    <w:next w:val="BodyText"/>
    <w:qFormat/>
    <w:rsid w:val="00525956"/>
    <w:pPr>
      <w:keepNext/>
      <w:spacing w:before="300" w:line="280" w:lineRule="atLeast"/>
      <w:jc w:val="left"/>
      <w:outlineLvl w:val="2"/>
    </w:pPr>
    <w:rPr>
      <w:rFonts w:ascii="Arial" w:eastAsia="Times New Roman" w:hAnsi="Arial" w:cs="Arial"/>
      <w:bCs/>
      <w:color w:val="005CAF"/>
      <w:sz w:val="22"/>
    </w:rPr>
  </w:style>
  <w:style w:type="paragraph" w:customStyle="1" w:styleId="Heading61">
    <w:name w:val="Heading 61"/>
    <w:basedOn w:val="Normal"/>
    <w:next w:val="BodyText"/>
    <w:uiPriority w:val="1"/>
    <w:qFormat/>
    <w:rsid w:val="00525956"/>
    <w:pPr>
      <w:keepNext/>
      <w:pageBreakBefore/>
      <w:tabs>
        <w:tab w:val="num" w:pos="360"/>
      </w:tabs>
      <w:spacing w:before="300" w:line="280" w:lineRule="atLeast"/>
      <w:ind w:left="0"/>
      <w:jc w:val="left"/>
      <w:outlineLvl w:val="5"/>
    </w:pPr>
    <w:rPr>
      <w:rFonts w:eastAsia="Times New Roman" w:cs="Times New Roman"/>
      <w:b/>
      <w:iCs/>
      <w:color w:val="005CAF"/>
      <w:sz w:val="32"/>
    </w:rPr>
  </w:style>
  <w:style w:type="paragraph" w:customStyle="1" w:styleId="Heading71">
    <w:name w:val="Heading 71"/>
    <w:basedOn w:val="Normal"/>
    <w:next w:val="BodyText"/>
    <w:uiPriority w:val="1"/>
    <w:qFormat/>
    <w:rsid w:val="00525956"/>
    <w:pPr>
      <w:keepNext/>
      <w:keepLines/>
      <w:tabs>
        <w:tab w:val="num" w:pos="360"/>
      </w:tabs>
      <w:spacing w:before="300" w:line="280" w:lineRule="atLeast"/>
      <w:ind w:left="0"/>
      <w:jc w:val="left"/>
      <w:outlineLvl w:val="6"/>
    </w:pPr>
    <w:rPr>
      <w:rFonts w:eastAsia="Times New Roman" w:cs="Times New Roman"/>
      <w:b/>
      <w:iCs/>
      <w:color w:val="56B4DF"/>
      <w:sz w:val="22"/>
    </w:rPr>
  </w:style>
  <w:style w:type="paragraph" w:customStyle="1" w:styleId="Heading81">
    <w:name w:val="Heading 81"/>
    <w:basedOn w:val="Normal"/>
    <w:next w:val="BodyText"/>
    <w:uiPriority w:val="1"/>
    <w:qFormat/>
    <w:rsid w:val="00525956"/>
    <w:pPr>
      <w:keepNext/>
      <w:keepLines/>
      <w:tabs>
        <w:tab w:val="num" w:pos="360"/>
      </w:tabs>
      <w:spacing w:before="300"/>
      <w:ind w:left="0"/>
      <w:jc w:val="left"/>
      <w:outlineLvl w:val="7"/>
    </w:pPr>
    <w:rPr>
      <w:rFonts w:eastAsia="Times New Roman" w:cs="Times New Roman"/>
      <w:color w:val="005CA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828">
      <w:bodyDiv w:val="1"/>
      <w:marLeft w:val="0"/>
      <w:marRight w:val="0"/>
      <w:marTop w:val="0"/>
      <w:marBottom w:val="0"/>
      <w:divBdr>
        <w:top w:val="none" w:sz="0" w:space="0" w:color="auto"/>
        <w:left w:val="none" w:sz="0" w:space="0" w:color="auto"/>
        <w:bottom w:val="none" w:sz="0" w:space="0" w:color="auto"/>
        <w:right w:val="none" w:sz="0" w:space="0" w:color="auto"/>
      </w:divBdr>
    </w:div>
    <w:div w:id="130707656">
      <w:bodyDiv w:val="1"/>
      <w:marLeft w:val="0"/>
      <w:marRight w:val="0"/>
      <w:marTop w:val="0"/>
      <w:marBottom w:val="0"/>
      <w:divBdr>
        <w:top w:val="none" w:sz="0" w:space="0" w:color="auto"/>
        <w:left w:val="none" w:sz="0" w:space="0" w:color="auto"/>
        <w:bottom w:val="none" w:sz="0" w:space="0" w:color="auto"/>
        <w:right w:val="none" w:sz="0" w:space="0" w:color="auto"/>
      </w:divBdr>
    </w:div>
    <w:div w:id="158738423">
      <w:bodyDiv w:val="1"/>
      <w:marLeft w:val="0"/>
      <w:marRight w:val="0"/>
      <w:marTop w:val="0"/>
      <w:marBottom w:val="0"/>
      <w:divBdr>
        <w:top w:val="none" w:sz="0" w:space="0" w:color="auto"/>
        <w:left w:val="none" w:sz="0" w:space="0" w:color="auto"/>
        <w:bottom w:val="none" w:sz="0" w:space="0" w:color="auto"/>
        <w:right w:val="none" w:sz="0" w:space="0" w:color="auto"/>
      </w:divBdr>
    </w:div>
    <w:div w:id="183830403">
      <w:bodyDiv w:val="1"/>
      <w:marLeft w:val="0"/>
      <w:marRight w:val="0"/>
      <w:marTop w:val="0"/>
      <w:marBottom w:val="0"/>
      <w:divBdr>
        <w:top w:val="none" w:sz="0" w:space="0" w:color="auto"/>
        <w:left w:val="none" w:sz="0" w:space="0" w:color="auto"/>
        <w:bottom w:val="none" w:sz="0" w:space="0" w:color="auto"/>
        <w:right w:val="none" w:sz="0" w:space="0" w:color="auto"/>
      </w:divBdr>
    </w:div>
    <w:div w:id="238641586">
      <w:bodyDiv w:val="1"/>
      <w:marLeft w:val="0"/>
      <w:marRight w:val="0"/>
      <w:marTop w:val="0"/>
      <w:marBottom w:val="0"/>
      <w:divBdr>
        <w:top w:val="none" w:sz="0" w:space="0" w:color="auto"/>
        <w:left w:val="none" w:sz="0" w:space="0" w:color="auto"/>
        <w:bottom w:val="none" w:sz="0" w:space="0" w:color="auto"/>
        <w:right w:val="none" w:sz="0" w:space="0" w:color="auto"/>
      </w:divBdr>
    </w:div>
    <w:div w:id="271672647">
      <w:bodyDiv w:val="1"/>
      <w:marLeft w:val="0"/>
      <w:marRight w:val="0"/>
      <w:marTop w:val="0"/>
      <w:marBottom w:val="0"/>
      <w:divBdr>
        <w:top w:val="none" w:sz="0" w:space="0" w:color="auto"/>
        <w:left w:val="none" w:sz="0" w:space="0" w:color="auto"/>
        <w:bottom w:val="none" w:sz="0" w:space="0" w:color="auto"/>
        <w:right w:val="none" w:sz="0" w:space="0" w:color="auto"/>
      </w:divBdr>
    </w:div>
    <w:div w:id="289821974">
      <w:bodyDiv w:val="1"/>
      <w:marLeft w:val="0"/>
      <w:marRight w:val="0"/>
      <w:marTop w:val="0"/>
      <w:marBottom w:val="0"/>
      <w:divBdr>
        <w:top w:val="none" w:sz="0" w:space="0" w:color="auto"/>
        <w:left w:val="none" w:sz="0" w:space="0" w:color="auto"/>
        <w:bottom w:val="none" w:sz="0" w:space="0" w:color="auto"/>
        <w:right w:val="none" w:sz="0" w:space="0" w:color="auto"/>
      </w:divBdr>
    </w:div>
    <w:div w:id="297614658">
      <w:bodyDiv w:val="1"/>
      <w:marLeft w:val="0"/>
      <w:marRight w:val="0"/>
      <w:marTop w:val="0"/>
      <w:marBottom w:val="0"/>
      <w:divBdr>
        <w:top w:val="none" w:sz="0" w:space="0" w:color="auto"/>
        <w:left w:val="none" w:sz="0" w:space="0" w:color="auto"/>
        <w:bottom w:val="none" w:sz="0" w:space="0" w:color="auto"/>
        <w:right w:val="none" w:sz="0" w:space="0" w:color="auto"/>
      </w:divBdr>
    </w:div>
    <w:div w:id="404300082">
      <w:bodyDiv w:val="1"/>
      <w:marLeft w:val="0"/>
      <w:marRight w:val="0"/>
      <w:marTop w:val="0"/>
      <w:marBottom w:val="0"/>
      <w:divBdr>
        <w:top w:val="none" w:sz="0" w:space="0" w:color="auto"/>
        <w:left w:val="none" w:sz="0" w:space="0" w:color="auto"/>
        <w:bottom w:val="none" w:sz="0" w:space="0" w:color="auto"/>
        <w:right w:val="none" w:sz="0" w:space="0" w:color="auto"/>
      </w:divBdr>
    </w:div>
    <w:div w:id="460155731">
      <w:bodyDiv w:val="1"/>
      <w:marLeft w:val="0"/>
      <w:marRight w:val="0"/>
      <w:marTop w:val="0"/>
      <w:marBottom w:val="0"/>
      <w:divBdr>
        <w:top w:val="none" w:sz="0" w:space="0" w:color="auto"/>
        <w:left w:val="none" w:sz="0" w:space="0" w:color="auto"/>
        <w:bottom w:val="none" w:sz="0" w:space="0" w:color="auto"/>
        <w:right w:val="none" w:sz="0" w:space="0" w:color="auto"/>
      </w:divBdr>
    </w:div>
    <w:div w:id="559442705">
      <w:bodyDiv w:val="1"/>
      <w:marLeft w:val="0"/>
      <w:marRight w:val="0"/>
      <w:marTop w:val="0"/>
      <w:marBottom w:val="0"/>
      <w:divBdr>
        <w:top w:val="none" w:sz="0" w:space="0" w:color="auto"/>
        <w:left w:val="none" w:sz="0" w:space="0" w:color="auto"/>
        <w:bottom w:val="none" w:sz="0" w:space="0" w:color="auto"/>
        <w:right w:val="none" w:sz="0" w:space="0" w:color="auto"/>
      </w:divBdr>
    </w:div>
    <w:div w:id="610169148">
      <w:bodyDiv w:val="1"/>
      <w:marLeft w:val="0"/>
      <w:marRight w:val="0"/>
      <w:marTop w:val="0"/>
      <w:marBottom w:val="0"/>
      <w:divBdr>
        <w:top w:val="none" w:sz="0" w:space="0" w:color="auto"/>
        <w:left w:val="none" w:sz="0" w:space="0" w:color="auto"/>
        <w:bottom w:val="none" w:sz="0" w:space="0" w:color="auto"/>
        <w:right w:val="none" w:sz="0" w:space="0" w:color="auto"/>
      </w:divBdr>
    </w:div>
    <w:div w:id="623538967">
      <w:bodyDiv w:val="1"/>
      <w:marLeft w:val="0"/>
      <w:marRight w:val="0"/>
      <w:marTop w:val="0"/>
      <w:marBottom w:val="0"/>
      <w:divBdr>
        <w:top w:val="none" w:sz="0" w:space="0" w:color="auto"/>
        <w:left w:val="none" w:sz="0" w:space="0" w:color="auto"/>
        <w:bottom w:val="none" w:sz="0" w:space="0" w:color="auto"/>
        <w:right w:val="none" w:sz="0" w:space="0" w:color="auto"/>
      </w:divBdr>
    </w:div>
    <w:div w:id="636834704">
      <w:bodyDiv w:val="1"/>
      <w:marLeft w:val="0"/>
      <w:marRight w:val="0"/>
      <w:marTop w:val="0"/>
      <w:marBottom w:val="0"/>
      <w:divBdr>
        <w:top w:val="none" w:sz="0" w:space="0" w:color="auto"/>
        <w:left w:val="none" w:sz="0" w:space="0" w:color="auto"/>
        <w:bottom w:val="none" w:sz="0" w:space="0" w:color="auto"/>
        <w:right w:val="none" w:sz="0" w:space="0" w:color="auto"/>
      </w:divBdr>
    </w:div>
    <w:div w:id="638267311">
      <w:bodyDiv w:val="1"/>
      <w:marLeft w:val="0"/>
      <w:marRight w:val="0"/>
      <w:marTop w:val="0"/>
      <w:marBottom w:val="0"/>
      <w:divBdr>
        <w:top w:val="none" w:sz="0" w:space="0" w:color="auto"/>
        <w:left w:val="none" w:sz="0" w:space="0" w:color="auto"/>
        <w:bottom w:val="none" w:sz="0" w:space="0" w:color="auto"/>
        <w:right w:val="none" w:sz="0" w:space="0" w:color="auto"/>
      </w:divBdr>
    </w:div>
    <w:div w:id="654381572">
      <w:bodyDiv w:val="1"/>
      <w:marLeft w:val="0"/>
      <w:marRight w:val="0"/>
      <w:marTop w:val="0"/>
      <w:marBottom w:val="0"/>
      <w:divBdr>
        <w:top w:val="none" w:sz="0" w:space="0" w:color="auto"/>
        <w:left w:val="none" w:sz="0" w:space="0" w:color="auto"/>
        <w:bottom w:val="none" w:sz="0" w:space="0" w:color="auto"/>
        <w:right w:val="none" w:sz="0" w:space="0" w:color="auto"/>
      </w:divBdr>
    </w:div>
    <w:div w:id="705377595">
      <w:bodyDiv w:val="1"/>
      <w:marLeft w:val="0"/>
      <w:marRight w:val="0"/>
      <w:marTop w:val="0"/>
      <w:marBottom w:val="0"/>
      <w:divBdr>
        <w:top w:val="none" w:sz="0" w:space="0" w:color="auto"/>
        <w:left w:val="none" w:sz="0" w:space="0" w:color="auto"/>
        <w:bottom w:val="none" w:sz="0" w:space="0" w:color="auto"/>
        <w:right w:val="none" w:sz="0" w:space="0" w:color="auto"/>
      </w:divBdr>
    </w:div>
    <w:div w:id="768114046">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785924539">
      <w:bodyDiv w:val="1"/>
      <w:marLeft w:val="0"/>
      <w:marRight w:val="0"/>
      <w:marTop w:val="0"/>
      <w:marBottom w:val="0"/>
      <w:divBdr>
        <w:top w:val="none" w:sz="0" w:space="0" w:color="auto"/>
        <w:left w:val="none" w:sz="0" w:space="0" w:color="auto"/>
        <w:bottom w:val="none" w:sz="0" w:space="0" w:color="auto"/>
        <w:right w:val="none" w:sz="0" w:space="0" w:color="auto"/>
      </w:divBdr>
    </w:div>
    <w:div w:id="807940298">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818885194">
      <w:bodyDiv w:val="1"/>
      <w:marLeft w:val="0"/>
      <w:marRight w:val="0"/>
      <w:marTop w:val="0"/>
      <w:marBottom w:val="0"/>
      <w:divBdr>
        <w:top w:val="none" w:sz="0" w:space="0" w:color="auto"/>
        <w:left w:val="none" w:sz="0" w:space="0" w:color="auto"/>
        <w:bottom w:val="none" w:sz="0" w:space="0" w:color="auto"/>
        <w:right w:val="none" w:sz="0" w:space="0" w:color="auto"/>
      </w:divBdr>
    </w:div>
    <w:div w:id="900867900">
      <w:bodyDiv w:val="1"/>
      <w:marLeft w:val="0"/>
      <w:marRight w:val="0"/>
      <w:marTop w:val="0"/>
      <w:marBottom w:val="0"/>
      <w:divBdr>
        <w:top w:val="none" w:sz="0" w:space="0" w:color="auto"/>
        <w:left w:val="none" w:sz="0" w:space="0" w:color="auto"/>
        <w:bottom w:val="none" w:sz="0" w:space="0" w:color="auto"/>
        <w:right w:val="none" w:sz="0" w:space="0" w:color="auto"/>
      </w:divBdr>
    </w:div>
    <w:div w:id="902566343">
      <w:bodyDiv w:val="1"/>
      <w:marLeft w:val="0"/>
      <w:marRight w:val="0"/>
      <w:marTop w:val="0"/>
      <w:marBottom w:val="0"/>
      <w:divBdr>
        <w:top w:val="none" w:sz="0" w:space="0" w:color="auto"/>
        <w:left w:val="none" w:sz="0" w:space="0" w:color="auto"/>
        <w:bottom w:val="none" w:sz="0" w:space="0" w:color="auto"/>
        <w:right w:val="none" w:sz="0" w:space="0" w:color="auto"/>
      </w:divBdr>
    </w:div>
    <w:div w:id="1073548278">
      <w:bodyDiv w:val="1"/>
      <w:marLeft w:val="0"/>
      <w:marRight w:val="0"/>
      <w:marTop w:val="0"/>
      <w:marBottom w:val="0"/>
      <w:divBdr>
        <w:top w:val="none" w:sz="0" w:space="0" w:color="auto"/>
        <w:left w:val="none" w:sz="0" w:space="0" w:color="auto"/>
        <w:bottom w:val="none" w:sz="0" w:space="0" w:color="auto"/>
        <w:right w:val="none" w:sz="0" w:space="0" w:color="auto"/>
      </w:divBdr>
    </w:div>
    <w:div w:id="1113553029">
      <w:bodyDiv w:val="1"/>
      <w:marLeft w:val="0"/>
      <w:marRight w:val="0"/>
      <w:marTop w:val="0"/>
      <w:marBottom w:val="0"/>
      <w:divBdr>
        <w:top w:val="none" w:sz="0" w:space="0" w:color="auto"/>
        <w:left w:val="none" w:sz="0" w:space="0" w:color="auto"/>
        <w:bottom w:val="none" w:sz="0" w:space="0" w:color="auto"/>
        <w:right w:val="none" w:sz="0" w:space="0" w:color="auto"/>
      </w:divBdr>
    </w:div>
    <w:div w:id="1233084960">
      <w:bodyDiv w:val="1"/>
      <w:marLeft w:val="0"/>
      <w:marRight w:val="0"/>
      <w:marTop w:val="0"/>
      <w:marBottom w:val="0"/>
      <w:divBdr>
        <w:top w:val="none" w:sz="0" w:space="0" w:color="auto"/>
        <w:left w:val="none" w:sz="0" w:space="0" w:color="auto"/>
        <w:bottom w:val="none" w:sz="0" w:space="0" w:color="auto"/>
        <w:right w:val="none" w:sz="0" w:space="0" w:color="auto"/>
      </w:divBdr>
    </w:div>
    <w:div w:id="1233999760">
      <w:bodyDiv w:val="1"/>
      <w:marLeft w:val="0"/>
      <w:marRight w:val="0"/>
      <w:marTop w:val="0"/>
      <w:marBottom w:val="0"/>
      <w:divBdr>
        <w:top w:val="none" w:sz="0" w:space="0" w:color="auto"/>
        <w:left w:val="none" w:sz="0" w:space="0" w:color="auto"/>
        <w:bottom w:val="none" w:sz="0" w:space="0" w:color="auto"/>
        <w:right w:val="none" w:sz="0" w:space="0" w:color="auto"/>
      </w:divBdr>
    </w:div>
    <w:div w:id="1385566902">
      <w:bodyDiv w:val="1"/>
      <w:marLeft w:val="0"/>
      <w:marRight w:val="0"/>
      <w:marTop w:val="0"/>
      <w:marBottom w:val="0"/>
      <w:divBdr>
        <w:top w:val="none" w:sz="0" w:space="0" w:color="auto"/>
        <w:left w:val="none" w:sz="0" w:space="0" w:color="auto"/>
        <w:bottom w:val="none" w:sz="0" w:space="0" w:color="auto"/>
        <w:right w:val="none" w:sz="0" w:space="0" w:color="auto"/>
      </w:divBdr>
    </w:div>
    <w:div w:id="1435982567">
      <w:bodyDiv w:val="1"/>
      <w:marLeft w:val="0"/>
      <w:marRight w:val="0"/>
      <w:marTop w:val="0"/>
      <w:marBottom w:val="0"/>
      <w:divBdr>
        <w:top w:val="none" w:sz="0" w:space="0" w:color="auto"/>
        <w:left w:val="none" w:sz="0" w:space="0" w:color="auto"/>
        <w:bottom w:val="none" w:sz="0" w:space="0" w:color="auto"/>
        <w:right w:val="none" w:sz="0" w:space="0" w:color="auto"/>
      </w:divBdr>
    </w:div>
    <w:div w:id="1440757868">
      <w:bodyDiv w:val="1"/>
      <w:marLeft w:val="0"/>
      <w:marRight w:val="0"/>
      <w:marTop w:val="0"/>
      <w:marBottom w:val="0"/>
      <w:divBdr>
        <w:top w:val="none" w:sz="0" w:space="0" w:color="auto"/>
        <w:left w:val="none" w:sz="0" w:space="0" w:color="auto"/>
        <w:bottom w:val="none" w:sz="0" w:space="0" w:color="auto"/>
        <w:right w:val="none" w:sz="0" w:space="0" w:color="auto"/>
      </w:divBdr>
    </w:div>
    <w:div w:id="1460417024">
      <w:bodyDiv w:val="1"/>
      <w:marLeft w:val="0"/>
      <w:marRight w:val="0"/>
      <w:marTop w:val="0"/>
      <w:marBottom w:val="0"/>
      <w:divBdr>
        <w:top w:val="none" w:sz="0" w:space="0" w:color="auto"/>
        <w:left w:val="none" w:sz="0" w:space="0" w:color="auto"/>
        <w:bottom w:val="none" w:sz="0" w:space="0" w:color="auto"/>
        <w:right w:val="none" w:sz="0" w:space="0" w:color="auto"/>
      </w:divBdr>
    </w:div>
    <w:div w:id="1480003581">
      <w:bodyDiv w:val="1"/>
      <w:marLeft w:val="0"/>
      <w:marRight w:val="0"/>
      <w:marTop w:val="0"/>
      <w:marBottom w:val="0"/>
      <w:divBdr>
        <w:top w:val="none" w:sz="0" w:space="0" w:color="auto"/>
        <w:left w:val="none" w:sz="0" w:space="0" w:color="auto"/>
        <w:bottom w:val="none" w:sz="0" w:space="0" w:color="auto"/>
        <w:right w:val="none" w:sz="0" w:space="0" w:color="auto"/>
      </w:divBdr>
    </w:div>
    <w:div w:id="1531526974">
      <w:bodyDiv w:val="1"/>
      <w:marLeft w:val="0"/>
      <w:marRight w:val="0"/>
      <w:marTop w:val="0"/>
      <w:marBottom w:val="0"/>
      <w:divBdr>
        <w:top w:val="none" w:sz="0" w:space="0" w:color="auto"/>
        <w:left w:val="none" w:sz="0" w:space="0" w:color="auto"/>
        <w:bottom w:val="none" w:sz="0" w:space="0" w:color="auto"/>
        <w:right w:val="none" w:sz="0" w:space="0" w:color="auto"/>
      </w:divBdr>
    </w:div>
    <w:div w:id="1591964765">
      <w:bodyDiv w:val="1"/>
      <w:marLeft w:val="0"/>
      <w:marRight w:val="0"/>
      <w:marTop w:val="0"/>
      <w:marBottom w:val="0"/>
      <w:divBdr>
        <w:top w:val="none" w:sz="0" w:space="0" w:color="auto"/>
        <w:left w:val="none" w:sz="0" w:space="0" w:color="auto"/>
        <w:bottom w:val="none" w:sz="0" w:space="0" w:color="auto"/>
        <w:right w:val="none" w:sz="0" w:space="0" w:color="auto"/>
      </w:divBdr>
    </w:div>
    <w:div w:id="1681391876">
      <w:bodyDiv w:val="1"/>
      <w:marLeft w:val="0"/>
      <w:marRight w:val="0"/>
      <w:marTop w:val="0"/>
      <w:marBottom w:val="0"/>
      <w:divBdr>
        <w:top w:val="none" w:sz="0" w:space="0" w:color="auto"/>
        <w:left w:val="none" w:sz="0" w:space="0" w:color="auto"/>
        <w:bottom w:val="none" w:sz="0" w:space="0" w:color="auto"/>
        <w:right w:val="none" w:sz="0" w:space="0" w:color="auto"/>
      </w:divBdr>
    </w:div>
    <w:div w:id="1773625092">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 w:id="2010017132">
      <w:bodyDiv w:val="1"/>
      <w:marLeft w:val="0"/>
      <w:marRight w:val="0"/>
      <w:marTop w:val="0"/>
      <w:marBottom w:val="0"/>
      <w:divBdr>
        <w:top w:val="none" w:sz="0" w:space="0" w:color="auto"/>
        <w:left w:val="none" w:sz="0" w:space="0" w:color="auto"/>
        <w:bottom w:val="none" w:sz="0" w:space="0" w:color="auto"/>
        <w:right w:val="none" w:sz="0" w:space="0" w:color="auto"/>
      </w:divBdr>
    </w:div>
    <w:div w:id="2068650450">
      <w:bodyDiv w:val="1"/>
      <w:marLeft w:val="0"/>
      <w:marRight w:val="0"/>
      <w:marTop w:val="0"/>
      <w:marBottom w:val="0"/>
      <w:divBdr>
        <w:top w:val="none" w:sz="0" w:space="0" w:color="auto"/>
        <w:left w:val="none" w:sz="0" w:space="0" w:color="auto"/>
        <w:bottom w:val="none" w:sz="0" w:space="0" w:color="auto"/>
        <w:right w:val="none" w:sz="0" w:space="0" w:color="auto"/>
      </w:divBdr>
    </w:div>
    <w:div w:id="2118403804">
      <w:bodyDiv w:val="1"/>
      <w:marLeft w:val="0"/>
      <w:marRight w:val="0"/>
      <w:marTop w:val="0"/>
      <w:marBottom w:val="0"/>
      <w:divBdr>
        <w:top w:val="none" w:sz="0" w:space="0" w:color="auto"/>
        <w:left w:val="none" w:sz="0" w:space="0" w:color="auto"/>
        <w:bottom w:val="none" w:sz="0" w:space="0" w:color="auto"/>
        <w:right w:val="none" w:sz="0" w:space="0" w:color="auto"/>
      </w:divBdr>
    </w:div>
    <w:div w:id="21413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40949.9BC99910" TargetMode="External"/><Relationship Id="rId18" Type="http://schemas.openxmlformats.org/officeDocument/2006/relationships/hyperlink" Target="http://www.industry.gov.au/OCE" TargetMode="External"/><Relationship Id="rId26" Type="http://schemas.openxmlformats.org/officeDocument/2006/relationships/diagramLayout" Target="diagrams/layout1.xml"/><Relationship Id="rId39"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chart" Target="charts/chart5.xml"/><Relationship Id="rId42" Type="http://schemas.openxmlformats.org/officeDocument/2006/relationships/chart" Target="charts/chart1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iefeconomist@industry.gov.au" TargetMode="External"/><Relationship Id="rId25" Type="http://schemas.openxmlformats.org/officeDocument/2006/relationships/diagramData" Target="diagrams/data1.xml"/><Relationship Id="rId33" Type="http://schemas.openxmlformats.org/officeDocument/2006/relationships/chart" Target="charts/chart4.xml"/><Relationship Id="rId38" Type="http://schemas.openxmlformats.org/officeDocument/2006/relationships/image" Target="media/image5.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microsoft.com/office/2007/relationships/diagramDrawing" Target="diagrams/drawing1.xm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0.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chart" Target="charts/chart7.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chart" Target="charts/chart2.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diagramQuickStyle" Target="diagrams/quickStyle1.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reston\AppData\Local\Microsoft\Windows\Temporary%20Internet%20Files\Content.MSO\C659AC4A.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rod.protected.ind\User\User06\ABruno\My%20Documents\IFA\NEW%20EC\Results\pooled%20results%20v2.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oleObject" Target="file:///\\prod.protected.ind\User\User06\ABruno\My%20Documents\IFA\NEW%20EC\Results\pooled%20results%20v2.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prod.protected.ind\User\User06\ABruno\My%20Documents\IFA\NEW%20EC\Results\pooled%20results%20v2.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Results!$S$1</c:f>
              <c:strCache>
                <c:ptCount val="1"/>
                <c:pt idx="0">
                  <c:v>Manufacturing</c:v>
                </c:pt>
              </c:strCache>
            </c:strRef>
          </c:tx>
          <c:spPr>
            <a:solidFill>
              <a:srgbClr val="005CAF"/>
            </a:solidFill>
            <a:ln>
              <a:noFill/>
            </a:ln>
            <a:effectLst/>
          </c:spPr>
          <c:invertIfNegative val="0"/>
          <c:cat>
            <c:strRef>
              <c:f>Results!$R$5:$R$7</c:f>
              <c:strCache>
                <c:ptCount val="3"/>
                <c:pt idx="0">
                  <c:v>2 year </c:v>
                </c:pt>
                <c:pt idx="1">
                  <c:v>3 year</c:v>
                </c:pt>
                <c:pt idx="2">
                  <c:v>4 year </c:v>
                </c:pt>
              </c:strCache>
            </c:strRef>
          </c:cat>
          <c:val>
            <c:numRef>
              <c:f>Results!$S$5:$S$7</c:f>
              <c:numCache>
                <c:formatCode>General</c:formatCode>
                <c:ptCount val="3"/>
                <c:pt idx="0">
                  <c:v>93.889686968625739</c:v>
                </c:pt>
                <c:pt idx="1">
                  <c:v>178.27283940411456</c:v>
                </c:pt>
                <c:pt idx="2">
                  <c:v>273.09166000337183</c:v>
                </c:pt>
              </c:numCache>
            </c:numRef>
          </c:val>
        </c:ser>
        <c:ser>
          <c:idx val="1"/>
          <c:order val="1"/>
          <c:tx>
            <c:strRef>
              <c:f>Results!$T$1</c:f>
              <c:strCache>
                <c:ptCount val="1"/>
                <c:pt idx="0">
                  <c:v>PST </c:v>
                </c:pt>
              </c:strCache>
            </c:strRef>
          </c:tx>
          <c:spPr>
            <a:solidFill>
              <a:srgbClr val="56B4DF"/>
            </a:solidFill>
            <a:ln>
              <a:noFill/>
            </a:ln>
            <a:effectLst/>
          </c:spPr>
          <c:invertIfNegative val="0"/>
          <c:cat>
            <c:strRef>
              <c:f>Results!$R$5:$R$7</c:f>
              <c:strCache>
                <c:ptCount val="3"/>
                <c:pt idx="0">
                  <c:v>2 year </c:v>
                </c:pt>
                <c:pt idx="1">
                  <c:v>3 year</c:v>
                </c:pt>
                <c:pt idx="2">
                  <c:v>4 year </c:v>
                </c:pt>
              </c:strCache>
            </c:strRef>
          </c:cat>
          <c:val>
            <c:numRef>
              <c:f>Results!$T$5:$T$7</c:f>
              <c:numCache>
                <c:formatCode>General</c:formatCode>
                <c:ptCount val="3"/>
                <c:pt idx="0">
                  <c:v>80.531068641037436</c:v>
                </c:pt>
                <c:pt idx="1">
                  <c:v>133.76069189555358</c:v>
                </c:pt>
                <c:pt idx="2">
                  <c:v>173.88015050999104</c:v>
                </c:pt>
              </c:numCache>
            </c:numRef>
          </c:val>
        </c:ser>
        <c:ser>
          <c:idx val="2"/>
          <c:order val="2"/>
          <c:tx>
            <c:strRef>
              <c:f>Results!$U$1</c:f>
              <c:strCache>
                <c:ptCount val="1"/>
                <c:pt idx="0">
                  <c:v>Other Services </c:v>
                </c:pt>
              </c:strCache>
            </c:strRef>
          </c:tx>
          <c:spPr>
            <a:solidFill>
              <a:srgbClr val="9ED9DF"/>
            </a:solidFill>
            <a:ln>
              <a:noFill/>
            </a:ln>
            <a:effectLst/>
          </c:spPr>
          <c:invertIfNegative val="0"/>
          <c:cat>
            <c:strRef>
              <c:f>Results!$R$5:$R$7</c:f>
              <c:strCache>
                <c:ptCount val="3"/>
                <c:pt idx="0">
                  <c:v>2 year </c:v>
                </c:pt>
                <c:pt idx="1">
                  <c:v>3 year</c:v>
                </c:pt>
                <c:pt idx="2">
                  <c:v>4 year </c:v>
                </c:pt>
              </c:strCache>
            </c:strRef>
          </c:cat>
          <c:val>
            <c:numRef>
              <c:f>Results!$U$5:$U$7</c:f>
              <c:numCache>
                <c:formatCode>General</c:formatCode>
                <c:ptCount val="3"/>
                <c:pt idx="0">
                  <c:v>140.60629631483744</c:v>
                </c:pt>
                <c:pt idx="1">
                  <c:v>268.61004938149949</c:v>
                </c:pt>
                <c:pt idx="2">
                  <c:v>191.85852281366152</c:v>
                </c:pt>
              </c:numCache>
            </c:numRef>
          </c:val>
        </c:ser>
        <c:dLbls>
          <c:showLegendKey val="0"/>
          <c:showVal val="0"/>
          <c:showCatName val="0"/>
          <c:showSerName val="0"/>
          <c:showPercent val="0"/>
          <c:showBubbleSize val="0"/>
        </c:dLbls>
        <c:gapWidth val="219"/>
        <c:axId val="401614272"/>
        <c:axId val="401615056"/>
      </c:barChart>
      <c:catAx>
        <c:axId val="40161427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solidFill>
                  <a:srgbClr val="595A5B"/>
                </a:solidFill>
              </a:defRPr>
            </a:pPr>
            <a:endParaRPr lang="en-US"/>
          </a:p>
        </c:txPr>
        <c:crossAx val="401615056"/>
        <c:crosses val="autoZero"/>
        <c:auto val="1"/>
        <c:lblAlgn val="ctr"/>
        <c:lblOffset val="100"/>
        <c:noMultiLvlLbl val="0"/>
      </c:catAx>
      <c:valAx>
        <c:axId val="401615056"/>
        <c:scaling>
          <c:orientation val="minMax"/>
        </c:scaling>
        <c:delete val="0"/>
        <c:axPos val="l"/>
        <c:title>
          <c:tx>
            <c:rich>
              <a:bodyPr rot="-5400000" vert="horz"/>
              <a:lstStyle/>
              <a:p>
                <a:pPr algn="ctr" rtl="0">
                  <a:defRPr sz="900" b="0" i="0" u="none" strike="noStrike" kern="1200" baseline="0">
                    <a:solidFill>
                      <a:srgbClr val="595A5B"/>
                    </a:solidFill>
                    <a:latin typeface="Arial" panose="020B0604020202020204" pitchFamily="34" charset="0"/>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Turnover ($ ,000)</a:t>
                </a:r>
              </a:p>
            </c:rich>
          </c:tx>
          <c:layout/>
          <c:overlay val="0"/>
          <c:spPr>
            <a:noFill/>
            <a:ln>
              <a:noFill/>
            </a:ln>
            <a:effectLst/>
          </c:sp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pPr>
            <a:endParaRPr lang="en-US"/>
          </a:p>
        </c:txPr>
        <c:crossAx val="401614272"/>
        <c:crosses val="autoZero"/>
        <c:crossBetween val="between"/>
      </c:valAx>
      <c:spPr>
        <a:noFill/>
        <a:ln w="25400">
          <a:noFill/>
        </a:ln>
      </c:spPr>
    </c:plotArea>
    <c:legend>
      <c:legendPos val="b"/>
      <c:layout/>
      <c:overlay val="0"/>
      <c:spPr>
        <a:noFill/>
        <a:ln>
          <a:noFill/>
        </a:ln>
        <a:effectLst/>
      </c:spPr>
      <c:txPr>
        <a:bodyPr rot="0" vert="horz"/>
        <a:lstStyle/>
        <a:p>
          <a:pPr>
            <a:defRPr sz="900" b="0" u="none">
              <a:solidFill>
                <a:srgbClr val="595A5B"/>
              </a:solidFill>
              <a:latin typeface="Arial"/>
              <a:ea typeface="Arial"/>
              <a:cs typeface="Arial"/>
            </a:defRPr>
          </a:pPr>
          <a:endParaRPr lang="en-US"/>
        </a:p>
      </c:txPr>
    </c:legend>
    <c:plotVisOnly val="1"/>
    <c:dispBlanksAs val="gap"/>
    <c:showDLblsOverMax val="0"/>
  </c:chart>
  <c:spPr>
    <a:solidFill>
      <a:schemeClr val="bg1"/>
    </a:solidFill>
    <a:ln w="25400">
      <a:noFill/>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5265082726279"/>
          <c:y val="6.286266924564797E-2"/>
          <c:w val="0.85613554180401075"/>
          <c:h val="0.73438332901810877"/>
        </c:manualLayout>
      </c:layout>
      <c:barChart>
        <c:barDir val="col"/>
        <c:grouping val="clustered"/>
        <c:varyColors val="0"/>
        <c:ser>
          <c:idx val="0"/>
          <c:order val="0"/>
          <c:tx>
            <c:strRef>
              <c:f>'charts by firm size'!$B$9</c:f>
              <c:strCache>
                <c:ptCount val="1"/>
                <c:pt idx="0">
                  <c:v>Micro </c:v>
                </c:pt>
              </c:strCache>
            </c:strRef>
          </c:tx>
          <c:spPr>
            <a:solidFill>
              <a:srgbClr val="005CAF"/>
            </a:solidFill>
            <a:ln>
              <a:noFill/>
            </a:ln>
            <a:effectLst/>
          </c:spPr>
          <c:invertIfNegative val="0"/>
          <c:cat>
            <c:strRef>
              <c:f>'charts by firm size'!$A$13:$A$15</c:f>
              <c:strCache>
                <c:ptCount val="3"/>
                <c:pt idx="0">
                  <c:v>2 year</c:v>
                </c:pt>
                <c:pt idx="1">
                  <c:v>3 year</c:v>
                </c:pt>
                <c:pt idx="2">
                  <c:v>4 year </c:v>
                </c:pt>
              </c:strCache>
            </c:strRef>
          </c:cat>
          <c:val>
            <c:numRef>
              <c:f>'charts by firm size'!$B$13:$B$15</c:f>
              <c:numCache>
                <c:formatCode>General</c:formatCode>
                <c:ptCount val="3"/>
                <c:pt idx="0">
                  <c:v>0.61185598996230139</c:v>
                </c:pt>
                <c:pt idx="1">
                  <c:v>1.2539625039641193</c:v>
                </c:pt>
                <c:pt idx="2">
                  <c:v>0</c:v>
                </c:pt>
              </c:numCache>
            </c:numRef>
          </c:val>
        </c:ser>
        <c:ser>
          <c:idx val="1"/>
          <c:order val="1"/>
          <c:tx>
            <c:strRef>
              <c:f>'charts by firm size'!$C$9</c:f>
              <c:strCache>
                <c:ptCount val="1"/>
                <c:pt idx="0">
                  <c:v>Small </c:v>
                </c:pt>
              </c:strCache>
            </c:strRef>
          </c:tx>
          <c:spPr>
            <a:solidFill>
              <a:srgbClr val="56B4DF"/>
            </a:solidFill>
            <a:ln>
              <a:noFill/>
            </a:ln>
            <a:effectLst/>
          </c:spPr>
          <c:invertIfNegative val="0"/>
          <c:cat>
            <c:strRef>
              <c:f>'charts by firm size'!$A$13:$A$15</c:f>
              <c:strCache>
                <c:ptCount val="3"/>
                <c:pt idx="0">
                  <c:v>2 year</c:v>
                </c:pt>
                <c:pt idx="1">
                  <c:v>3 year</c:v>
                </c:pt>
                <c:pt idx="2">
                  <c:v>4 year </c:v>
                </c:pt>
              </c:strCache>
            </c:strRef>
          </c:cat>
          <c:val>
            <c:numRef>
              <c:f>'charts by firm size'!$C$13:$C$15</c:f>
              <c:numCache>
                <c:formatCode>General</c:formatCode>
                <c:ptCount val="3"/>
                <c:pt idx="0">
                  <c:v>0.41331495502304094</c:v>
                </c:pt>
                <c:pt idx="1">
                  <c:v>0.83023819395703735</c:v>
                </c:pt>
                <c:pt idx="2">
                  <c:v>1.2458763114345197</c:v>
                </c:pt>
              </c:numCache>
            </c:numRef>
          </c:val>
        </c:ser>
        <c:ser>
          <c:idx val="2"/>
          <c:order val="2"/>
          <c:tx>
            <c:strRef>
              <c:f>'charts by firm size'!$D$9</c:f>
              <c:strCache>
                <c:ptCount val="1"/>
                <c:pt idx="0">
                  <c:v>Medium </c:v>
                </c:pt>
              </c:strCache>
            </c:strRef>
          </c:tx>
          <c:spPr>
            <a:solidFill>
              <a:srgbClr val="9ED9DF"/>
            </a:solidFill>
            <a:ln>
              <a:noFill/>
            </a:ln>
            <a:effectLst/>
          </c:spPr>
          <c:invertIfNegative val="0"/>
          <c:cat>
            <c:strRef>
              <c:f>'charts by firm size'!$A$13:$A$15</c:f>
              <c:strCache>
                <c:ptCount val="3"/>
                <c:pt idx="0">
                  <c:v>2 year</c:v>
                </c:pt>
                <c:pt idx="1">
                  <c:v>3 year</c:v>
                </c:pt>
                <c:pt idx="2">
                  <c:v>4 year </c:v>
                </c:pt>
              </c:strCache>
            </c:strRef>
          </c:cat>
          <c:val>
            <c:numRef>
              <c:f>'charts by firm size'!$D$13:$D$15</c:f>
              <c:numCache>
                <c:formatCode>General</c:formatCode>
                <c:ptCount val="3"/>
                <c:pt idx="0">
                  <c:v>0.22285131820934961</c:v>
                </c:pt>
                <c:pt idx="1">
                  <c:v>0.2985805117038941</c:v>
                </c:pt>
                <c:pt idx="2">
                  <c:v>0.78699710894027686</c:v>
                </c:pt>
              </c:numCache>
            </c:numRef>
          </c:val>
        </c:ser>
        <c:dLbls>
          <c:showLegendKey val="0"/>
          <c:showVal val="0"/>
          <c:showCatName val="0"/>
          <c:showSerName val="0"/>
          <c:showPercent val="0"/>
          <c:showBubbleSize val="0"/>
        </c:dLbls>
        <c:gapWidth val="219"/>
        <c:axId val="403520696"/>
        <c:axId val="403521480"/>
      </c:barChart>
      <c:catAx>
        <c:axId val="40352069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1480"/>
        <c:crosses val="autoZero"/>
        <c:auto val="1"/>
        <c:lblAlgn val="ctr"/>
        <c:lblOffset val="100"/>
        <c:noMultiLvlLbl val="0"/>
      </c:catAx>
      <c:valAx>
        <c:axId val="403521480"/>
        <c:scaling>
          <c:orientation val="minMax"/>
          <c:max val="2"/>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Number of FTE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0696"/>
        <c:crosses val="autoZero"/>
        <c:crossBetween val="between"/>
        <c:maj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by firm size'!$B$17</c:f>
              <c:strCache>
                <c:ptCount val="1"/>
                <c:pt idx="0">
                  <c:v>Micro </c:v>
                </c:pt>
              </c:strCache>
            </c:strRef>
          </c:tx>
          <c:spPr>
            <a:solidFill>
              <a:srgbClr val="005CAF"/>
            </a:solidFill>
            <a:ln>
              <a:noFill/>
            </a:ln>
            <a:effectLst/>
          </c:spPr>
          <c:invertIfNegative val="0"/>
          <c:cat>
            <c:strRef>
              <c:f>'charts by firm size'!$A$21:$A$23</c:f>
              <c:strCache>
                <c:ptCount val="3"/>
                <c:pt idx="0">
                  <c:v>2 year</c:v>
                </c:pt>
                <c:pt idx="1">
                  <c:v>3 year</c:v>
                </c:pt>
                <c:pt idx="2">
                  <c:v>4 year </c:v>
                </c:pt>
              </c:strCache>
            </c:strRef>
          </c:cat>
          <c:val>
            <c:numRef>
              <c:f>'charts by firm size'!$B$21:$B$23</c:f>
              <c:numCache>
                <c:formatCode>General</c:formatCode>
                <c:ptCount val="3"/>
                <c:pt idx="0">
                  <c:v>0</c:v>
                </c:pt>
                <c:pt idx="1">
                  <c:v>1.0412870571984183</c:v>
                </c:pt>
                <c:pt idx="2">
                  <c:v>0</c:v>
                </c:pt>
              </c:numCache>
            </c:numRef>
          </c:val>
        </c:ser>
        <c:ser>
          <c:idx val="1"/>
          <c:order val="1"/>
          <c:tx>
            <c:strRef>
              <c:f>'charts by firm size'!$C$17</c:f>
              <c:strCache>
                <c:ptCount val="1"/>
                <c:pt idx="0">
                  <c:v>Small </c:v>
                </c:pt>
              </c:strCache>
            </c:strRef>
          </c:tx>
          <c:spPr>
            <a:solidFill>
              <a:srgbClr val="56B4DF"/>
            </a:solidFill>
            <a:ln>
              <a:noFill/>
            </a:ln>
            <a:effectLst/>
          </c:spPr>
          <c:invertIfNegative val="0"/>
          <c:cat>
            <c:strRef>
              <c:f>'charts by firm size'!$A$21:$A$23</c:f>
              <c:strCache>
                <c:ptCount val="3"/>
                <c:pt idx="0">
                  <c:v>2 year</c:v>
                </c:pt>
                <c:pt idx="1">
                  <c:v>3 year</c:v>
                </c:pt>
                <c:pt idx="2">
                  <c:v>4 year </c:v>
                </c:pt>
              </c:strCache>
            </c:strRef>
          </c:cat>
          <c:val>
            <c:numRef>
              <c:f>'charts by firm size'!$C$21:$C$23</c:f>
              <c:numCache>
                <c:formatCode>General</c:formatCode>
                <c:ptCount val="3"/>
                <c:pt idx="0">
                  <c:v>0</c:v>
                </c:pt>
                <c:pt idx="1">
                  <c:v>0</c:v>
                </c:pt>
                <c:pt idx="2">
                  <c:v>-1.3567731384744282</c:v>
                </c:pt>
              </c:numCache>
            </c:numRef>
          </c:val>
        </c:ser>
        <c:ser>
          <c:idx val="2"/>
          <c:order val="2"/>
          <c:tx>
            <c:strRef>
              <c:f>'charts by firm size'!$D$17</c:f>
              <c:strCache>
                <c:ptCount val="1"/>
                <c:pt idx="0">
                  <c:v>Medium </c:v>
                </c:pt>
              </c:strCache>
            </c:strRef>
          </c:tx>
          <c:spPr>
            <a:solidFill>
              <a:srgbClr val="9ED9DF"/>
            </a:solidFill>
            <a:ln>
              <a:noFill/>
            </a:ln>
            <a:effectLst/>
          </c:spPr>
          <c:invertIfNegative val="0"/>
          <c:cat>
            <c:strRef>
              <c:f>'charts by firm size'!$A$21:$A$23</c:f>
              <c:strCache>
                <c:ptCount val="3"/>
                <c:pt idx="0">
                  <c:v>2 year</c:v>
                </c:pt>
                <c:pt idx="1">
                  <c:v>3 year</c:v>
                </c:pt>
                <c:pt idx="2">
                  <c:v>4 year </c:v>
                </c:pt>
              </c:strCache>
            </c:strRef>
          </c:cat>
          <c:val>
            <c:numRef>
              <c:f>'charts by firm size'!$D$21:$D$23</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axId val="403525008"/>
        <c:axId val="403521088"/>
      </c:barChart>
      <c:catAx>
        <c:axId val="40352500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1088"/>
        <c:crosses val="autoZero"/>
        <c:auto val="1"/>
        <c:lblAlgn val="ctr"/>
        <c:lblOffset val="100"/>
        <c:noMultiLvlLbl val="0"/>
      </c:catAx>
      <c:valAx>
        <c:axId val="403521088"/>
        <c:scaling>
          <c:orientation val="minMax"/>
          <c:max val="2"/>
          <c:min val="-2"/>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Export sales ($ ,000)</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5008"/>
        <c:crosses val="autoZero"/>
        <c:crossBetween val="between"/>
        <c:maj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07693098414917"/>
          <c:y val="5.8027079303675046E-2"/>
          <c:w val="0.84161555523575216"/>
          <c:h val="0.68435857993572857"/>
        </c:manualLayout>
      </c:layout>
      <c:barChart>
        <c:barDir val="col"/>
        <c:grouping val="clustered"/>
        <c:varyColors val="0"/>
        <c:ser>
          <c:idx val="0"/>
          <c:order val="0"/>
          <c:tx>
            <c:strRef>
              <c:f>'charts by firm size'!$B$25</c:f>
              <c:strCache>
                <c:ptCount val="1"/>
                <c:pt idx="0">
                  <c:v>Micro </c:v>
                </c:pt>
              </c:strCache>
            </c:strRef>
          </c:tx>
          <c:spPr>
            <a:solidFill>
              <a:srgbClr val="005CAF"/>
            </a:solidFill>
            <a:ln>
              <a:noFill/>
            </a:ln>
            <a:effectLst/>
          </c:spPr>
          <c:invertIfNegative val="0"/>
          <c:cat>
            <c:strRef>
              <c:f>'charts by firm size'!$A$29:$A$31</c:f>
              <c:strCache>
                <c:ptCount val="3"/>
                <c:pt idx="0">
                  <c:v>2 year</c:v>
                </c:pt>
                <c:pt idx="1">
                  <c:v>3 year</c:v>
                </c:pt>
                <c:pt idx="2">
                  <c:v>4 year </c:v>
                </c:pt>
              </c:strCache>
            </c:strRef>
          </c:cat>
          <c:val>
            <c:numRef>
              <c:f>'charts by firm size'!$B$29:$B$31</c:f>
              <c:numCache>
                <c:formatCode>General</c:formatCode>
                <c:ptCount val="3"/>
                <c:pt idx="0">
                  <c:v>12.466501268710635</c:v>
                </c:pt>
                <c:pt idx="1">
                  <c:v>16.215154515932884</c:v>
                </c:pt>
                <c:pt idx="2">
                  <c:v>0</c:v>
                </c:pt>
              </c:numCache>
            </c:numRef>
          </c:val>
        </c:ser>
        <c:ser>
          <c:idx val="1"/>
          <c:order val="1"/>
          <c:tx>
            <c:strRef>
              <c:f>'charts by firm size'!$C$25</c:f>
              <c:strCache>
                <c:ptCount val="1"/>
                <c:pt idx="0">
                  <c:v>Small </c:v>
                </c:pt>
              </c:strCache>
            </c:strRef>
          </c:tx>
          <c:spPr>
            <a:solidFill>
              <a:srgbClr val="56B4DF"/>
            </a:solidFill>
            <a:ln>
              <a:noFill/>
            </a:ln>
            <a:effectLst/>
          </c:spPr>
          <c:invertIfNegative val="0"/>
          <c:cat>
            <c:strRef>
              <c:f>'charts by firm size'!$A$29:$A$31</c:f>
              <c:strCache>
                <c:ptCount val="3"/>
                <c:pt idx="0">
                  <c:v>2 year</c:v>
                </c:pt>
                <c:pt idx="1">
                  <c:v>3 year</c:v>
                </c:pt>
                <c:pt idx="2">
                  <c:v>4 year </c:v>
                </c:pt>
              </c:strCache>
            </c:strRef>
          </c:cat>
          <c:val>
            <c:numRef>
              <c:f>'charts by firm size'!$C$29:$C$31</c:f>
              <c:numCache>
                <c:formatCode>General</c:formatCode>
                <c:ptCount val="3"/>
                <c:pt idx="0">
                  <c:v>10.783839636646166</c:v>
                </c:pt>
                <c:pt idx="1">
                  <c:v>11.936629920277049</c:v>
                </c:pt>
                <c:pt idx="2">
                  <c:v>10.741370371350941</c:v>
                </c:pt>
              </c:numCache>
            </c:numRef>
          </c:val>
        </c:ser>
        <c:ser>
          <c:idx val="2"/>
          <c:order val="2"/>
          <c:tx>
            <c:strRef>
              <c:f>'charts by firm size'!$D$25</c:f>
              <c:strCache>
                <c:ptCount val="1"/>
                <c:pt idx="0">
                  <c:v>Medium </c:v>
                </c:pt>
              </c:strCache>
            </c:strRef>
          </c:tx>
          <c:spPr>
            <a:solidFill>
              <a:srgbClr val="9ED9DF"/>
            </a:solidFill>
            <a:ln>
              <a:noFill/>
            </a:ln>
            <a:effectLst/>
          </c:spPr>
          <c:invertIfNegative val="0"/>
          <c:cat>
            <c:strRef>
              <c:f>'charts by firm size'!$A$29:$A$31</c:f>
              <c:strCache>
                <c:ptCount val="3"/>
                <c:pt idx="0">
                  <c:v>2 year</c:v>
                </c:pt>
                <c:pt idx="1">
                  <c:v>3 year</c:v>
                </c:pt>
                <c:pt idx="2">
                  <c:v>4 year </c:v>
                </c:pt>
              </c:strCache>
            </c:strRef>
          </c:cat>
          <c:val>
            <c:numRef>
              <c:f>'charts by firm size'!$D$29:$D$31</c:f>
              <c:numCache>
                <c:formatCode>General</c:formatCode>
                <c:ptCount val="3"/>
                <c:pt idx="0">
                  <c:v>10.486748278341421</c:v>
                </c:pt>
                <c:pt idx="1">
                  <c:v>9.4488724953965608</c:v>
                </c:pt>
                <c:pt idx="2">
                  <c:v>5.0778441942803276</c:v>
                </c:pt>
              </c:numCache>
            </c:numRef>
          </c:val>
        </c:ser>
        <c:dLbls>
          <c:showLegendKey val="0"/>
          <c:showVal val="0"/>
          <c:showCatName val="0"/>
          <c:showSerName val="0"/>
          <c:showPercent val="0"/>
          <c:showBubbleSize val="0"/>
        </c:dLbls>
        <c:gapWidth val="219"/>
        <c:axId val="403523048"/>
        <c:axId val="403522264"/>
      </c:barChart>
      <c:catAx>
        <c:axId val="40352304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2264"/>
        <c:crosses val="autoZero"/>
        <c:auto val="1"/>
        <c:lblAlgn val="ctr"/>
        <c:lblOffset val="100"/>
        <c:noMultiLvlLbl val="0"/>
      </c:catAx>
      <c:valAx>
        <c:axId val="403522264"/>
        <c:scaling>
          <c:orientation val="minMax"/>
          <c:max val="2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Capital expenditure</a:t>
                </a:r>
                <a:r>
                  <a:rPr lang="en-AU" baseline="0"/>
                  <a:t> ($ ,000s)</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3048"/>
        <c:crosses val="autoZero"/>
        <c:crossBetween val="between"/>
        <c:majorUnit val="5"/>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Results!$S$9</c:f>
              <c:strCache>
                <c:ptCount val="1"/>
                <c:pt idx="0">
                  <c:v>Manufacturing</c:v>
                </c:pt>
              </c:strCache>
            </c:strRef>
          </c:tx>
          <c:spPr>
            <a:solidFill>
              <a:srgbClr val="005CAF"/>
            </a:solidFill>
            <a:ln>
              <a:noFill/>
            </a:ln>
            <a:effectLst/>
          </c:spPr>
          <c:invertIfNegative val="0"/>
          <c:cat>
            <c:strRef>
              <c:f>Results!$R$13:$R$15</c:f>
              <c:strCache>
                <c:ptCount val="3"/>
                <c:pt idx="0">
                  <c:v>2 year </c:v>
                </c:pt>
                <c:pt idx="1">
                  <c:v>3 year</c:v>
                </c:pt>
                <c:pt idx="2">
                  <c:v>4 year </c:v>
                </c:pt>
              </c:strCache>
            </c:strRef>
          </c:cat>
          <c:val>
            <c:numRef>
              <c:f>Results!$S$13:$S$15</c:f>
              <c:numCache>
                <c:formatCode>General</c:formatCode>
                <c:ptCount val="3"/>
                <c:pt idx="0">
                  <c:v>0.35208014956728373</c:v>
                </c:pt>
                <c:pt idx="1">
                  <c:v>0.64127884205354169</c:v>
                </c:pt>
                <c:pt idx="2">
                  <c:v>1.0442548774426816</c:v>
                </c:pt>
              </c:numCache>
            </c:numRef>
          </c:val>
        </c:ser>
        <c:ser>
          <c:idx val="1"/>
          <c:order val="1"/>
          <c:tx>
            <c:strRef>
              <c:f>Results!$T$9</c:f>
              <c:strCache>
                <c:ptCount val="1"/>
                <c:pt idx="0">
                  <c:v>PST </c:v>
                </c:pt>
              </c:strCache>
            </c:strRef>
          </c:tx>
          <c:spPr>
            <a:solidFill>
              <a:srgbClr val="56B4DF"/>
            </a:solidFill>
            <a:ln>
              <a:noFill/>
            </a:ln>
            <a:effectLst/>
          </c:spPr>
          <c:invertIfNegative val="0"/>
          <c:cat>
            <c:strRef>
              <c:f>Results!$R$13:$R$15</c:f>
              <c:strCache>
                <c:ptCount val="3"/>
                <c:pt idx="0">
                  <c:v>2 year </c:v>
                </c:pt>
                <c:pt idx="1">
                  <c:v>3 year</c:v>
                </c:pt>
                <c:pt idx="2">
                  <c:v>4 year </c:v>
                </c:pt>
              </c:strCache>
            </c:strRef>
          </c:cat>
          <c:val>
            <c:numRef>
              <c:f>Results!$T$13:$T$15</c:f>
              <c:numCache>
                <c:formatCode>General</c:formatCode>
                <c:ptCount val="3"/>
                <c:pt idx="0">
                  <c:v>0.37521811120712656</c:v>
                </c:pt>
                <c:pt idx="1">
                  <c:v>0.87167918343884332</c:v>
                </c:pt>
                <c:pt idx="2">
                  <c:v>1.2758237110950932</c:v>
                </c:pt>
              </c:numCache>
            </c:numRef>
          </c:val>
        </c:ser>
        <c:ser>
          <c:idx val="2"/>
          <c:order val="2"/>
          <c:tx>
            <c:strRef>
              <c:f>Results!$U$9</c:f>
              <c:strCache>
                <c:ptCount val="1"/>
                <c:pt idx="0">
                  <c:v>Other Services </c:v>
                </c:pt>
              </c:strCache>
            </c:strRef>
          </c:tx>
          <c:spPr>
            <a:solidFill>
              <a:srgbClr val="9ED9DF"/>
            </a:solidFill>
            <a:ln>
              <a:noFill/>
            </a:ln>
            <a:effectLst/>
          </c:spPr>
          <c:invertIfNegative val="0"/>
          <c:cat>
            <c:strRef>
              <c:f>Results!$R$13:$R$15</c:f>
              <c:strCache>
                <c:ptCount val="3"/>
                <c:pt idx="0">
                  <c:v>2 year </c:v>
                </c:pt>
                <c:pt idx="1">
                  <c:v>3 year</c:v>
                </c:pt>
                <c:pt idx="2">
                  <c:v>4 year </c:v>
                </c:pt>
              </c:strCache>
            </c:strRef>
          </c:cat>
          <c:val>
            <c:numRef>
              <c:f>Results!$U$13:$U$15</c:f>
              <c:numCache>
                <c:formatCode>General</c:formatCode>
                <c:ptCount val="3"/>
                <c:pt idx="0">
                  <c:v>0.48563963844365365</c:v>
                </c:pt>
                <c:pt idx="1">
                  <c:v>0.86944841126367589</c:v>
                </c:pt>
                <c:pt idx="2">
                  <c:v>1.1567131247597544</c:v>
                </c:pt>
              </c:numCache>
            </c:numRef>
          </c:val>
        </c:ser>
        <c:dLbls>
          <c:showLegendKey val="0"/>
          <c:showVal val="0"/>
          <c:showCatName val="0"/>
          <c:showSerName val="0"/>
          <c:showPercent val="0"/>
          <c:showBubbleSize val="0"/>
        </c:dLbls>
        <c:gapWidth val="219"/>
        <c:axId val="403432088"/>
        <c:axId val="403429344"/>
      </c:barChart>
      <c:catAx>
        <c:axId val="40343208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9344"/>
        <c:crosses val="autoZero"/>
        <c:auto val="1"/>
        <c:lblAlgn val="ctr"/>
        <c:lblOffset val="100"/>
        <c:noMultiLvlLbl val="0"/>
      </c:catAx>
      <c:valAx>
        <c:axId val="403429344"/>
        <c:scaling>
          <c:orientation val="minMax"/>
          <c:max val="2"/>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Number of FTE</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2088"/>
        <c:crosses val="autoZero"/>
        <c:crossBetween val="between"/>
        <c:maj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Results!$S$17</c:f>
              <c:strCache>
                <c:ptCount val="1"/>
                <c:pt idx="0">
                  <c:v>Manufacturing</c:v>
                </c:pt>
              </c:strCache>
            </c:strRef>
          </c:tx>
          <c:spPr>
            <a:solidFill>
              <a:srgbClr val="005CAF"/>
            </a:solidFill>
            <a:ln>
              <a:noFill/>
            </a:ln>
            <a:effectLst/>
          </c:spPr>
          <c:invertIfNegative val="0"/>
          <c:cat>
            <c:strRef>
              <c:f>Results!$R$21:$R$23</c:f>
              <c:strCache>
                <c:ptCount val="3"/>
                <c:pt idx="0">
                  <c:v>2 year </c:v>
                </c:pt>
                <c:pt idx="1">
                  <c:v>3 year</c:v>
                </c:pt>
                <c:pt idx="2">
                  <c:v>4 year </c:v>
                </c:pt>
              </c:strCache>
            </c:strRef>
          </c:cat>
          <c:val>
            <c:numRef>
              <c:f>Results!$S$21:$S$23</c:f>
              <c:numCache>
                <c:formatCode>General</c:formatCode>
                <c:ptCount val="3"/>
                <c:pt idx="0">
                  <c:v>0</c:v>
                </c:pt>
                <c:pt idx="1">
                  <c:v>0</c:v>
                </c:pt>
                <c:pt idx="2">
                  <c:v>0</c:v>
                </c:pt>
              </c:numCache>
            </c:numRef>
          </c:val>
        </c:ser>
        <c:ser>
          <c:idx val="1"/>
          <c:order val="1"/>
          <c:tx>
            <c:strRef>
              <c:f>Results!$T$17</c:f>
              <c:strCache>
                <c:ptCount val="1"/>
                <c:pt idx="0">
                  <c:v>PST </c:v>
                </c:pt>
              </c:strCache>
            </c:strRef>
          </c:tx>
          <c:spPr>
            <a:solidFill>
              <a:srgbClr val="56B4DF"/>
            </a:solidFill>
            <a:ln>
              <a:noFill/>
            </a:ln>
            <a:effectLst/>
          </c:spPr>
          <c:invertIfNegative val="0"/>
          <c:cat>
            <c:strRef>
              <c:f>Results!$R$21:$R$23</c:f>
              <c:strCache>
                <c:ptCount val="3"/>
                <c:pt idx="0">
                  <c:v>2 year </c:v>
                </c:pt>
                <c:pt idx="1">
                  <c:v>3 year</c:v>
                </c:pt>
                <c:pt idx="2">
                  <c:v>4 year </c:v>
                </c:pt>
              </c:strCache>
            </c:strRef>
          </c:cat>
          <c:val>
            <c:numRef>
              <c:f>Results!$T$21:$T$23</c:f>
              <c:numCache>
                <c:formatCode>General</c:formatCode>
                <c:ptCount val="3"/>
                <c:pt idx="0">
                  <c:v>0</c:v>
                </c:pt>
                <c:pt idx="1">
                  <c:v>0</c:v>
                </c:pt>
                <c:pt idx="2">
                  <c:v>-2.1986505293139396</c:v>
                </c:pt>
              </c:numCache>
            </c:numRef>
          </c:val>
        </c:ser>
        <c:ser>
          <c:idx val="2"/>
          <c:order val="2"/>
          <c:tx>
            <c:strRef>
              <c:f>Results!$U$17</c:f>
              <c:strCache>
                <c:ptCount val="1"/>
                <c:pt idx="0">
                  <c:v>Other Services </c:v>
                </c:pt>
              </c:strCache>
            </c:strRef>
          </c:tx>
          <c:spPr>
            <a:solidFill>
              <a:srgbClr val="9ED9DF"/>
            </a:solidFill>
            <a:ln>
              <a:noFill/>
            </a:ln>
            <a:effectLst/>
          </c:spPr>
          <c:invertIfNegative val="0"/>
          <c:cat>
            <c:strRef>
              <c:f>Results!$R$21:$R$23</c:f>
              <c:strCache>
                <c:ptCount val="3"/>
                <c:pt idx="0">
                  <c:v>2 year </c:v>
                </c:pt>
                <c:pt idx="1">
                  <c:v>3 year</c:v>
                </c:pt>
                <c:pt idx="2">
                  <c:v>4 year </c:v>
                </c:pt>
              </c:strCache>
            </c:strRef>
          </c:cat>
          <c:val>
            <c:numRef>
              <c:f>Results!$U$21:$U$23</c:f>
              <c:numCache>
                <c:formatCode>General</c:formatCode>
                <c:ptCount val="3"/>
                <c:pt idx="0">
                  <c:v>0</c:v>
                </c:pt>
                <c:pt idx="1">
                  <c:v>0</c:v>
                </c:pt>
                <c:pt idx="2">
                  <c:v>-2.4040689821631118</c:v>
                </c:pt>
              </c:numCache>
            </c:numRef>
          </c:val>
        </c:ser>
        <c:dLbls>
          <c:showLegendKey val="0"/>
          <c:showVal val="0"/>
          <c:showCatName val="0"/>
          <c:showSerName val="0"/>
          <c:showPercent val="0"/>
          <c:showBubbleSize val="0"/>
        </c:dLbls>
        <c:gapWidth val="219"/>
        <c:axId val="403428168"/>
        <c:axId val="403427384"/>
      </c:barChart>
      <c:catAx>
        <c:axId val="40342816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7384"/>
        <c:crosses val="autoZero"/>
        <c:auto val="1"/>
        <c:lblAlgn val="ctr"/>
        <c:lblOffset val="100"/>
        <c:noMultiLvlLbl val="0"/>
      </c:catAx>
      <c:valAx>
        <c:axId val="40342738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Export sales ($ ,000)</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8168"/>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Results!$S$25</c:f>
              <c:strCache>
                <c:ptCount val="1"/>
                <c:pt idx="0">
                  <c:v>Manufacturing</c:v>
                </c:pt>
              </c:strCache>
            </c:strRef>
          </c:tx>
          <c:spPr>
            <a:solidFill>
              <a:srgbClr val="005CAF"/>
            </a:solidFill>
            <a:ln>
              <a:noFill/>
            </a:ln>
            <a:effectLst/>
          </c:spPr>
          <c:invertIfNegative val="0"/>
          <c:cat>
            <c:strRef>
              <c:f>Results!$R$29:$R$31</c:f>
              <c:strCache>
                <c:ptCount val="3"/>
                <c:pt idx="0">
                  <c:v>2 year </c:v>
                </c:pt>
                <c:pt idx="1">
                  <c:v>3 year</c:v>
                </c:pt>
                <c:pt idx="2">
                  <c:v>4 year </c:v>
                </c:pt>
              </c:strCache>
            </c:strRef>
          </c:cat>
          <c:val>
            <c:numRef>
              <c:f>Results!$S$29:$S$31</c:f>
              <c:numCache>
                <c:formatCode>General</c:formatCode>
                <c:ptCount val="3"/>
                <c:pt idx="0">
                  <c:v>16.130376428714328</c:v>
                </c:pt>
                <c:pt idx="1">
                  <c:v>17.626082721739703</c:v>
                </c:pt>
                <c:pt idx="2">
                  <c:v>16.509312161304305</c:v>
                </c:pt>
              </c:numCache>
            </c:numRef>
          </c:val>
        </c:ser>
        <c:ser>
          <c:idx val="1"/>
          <c:order val="1"/>
          <c:tx>
            <c:strRef>
              <c:f>Results!$T$25</c:f>
              <c:strCache>
                <c:ptCount val="1"/>
                <c:pt idx="0">
                  <c:v>PST </c:v>
                </c:pt>
              </c:strCache>
            </c:strRef>
          </c:tx>
          <c:spPr>
            <a:solidFill>
              <a:srgbClr val="56B4DF"/>
            </a:solidFill>
            <a:ln>
              <a:noFill/>
            </a:ln>
            <a:effectLst/>
          </c:spPr>
          <c:invertIfNegative val="0"/>
          <c:cat>
            <c:strRef>
              <c:f>Results!$R$29:$R$31</c:f>
              <c:strCache>
                <c:ptCount val="3"/>
                <c:pt idx="0">
                  <c:v>2 year </c:v>
                </c:pt>
                <c:pt idx="1">
                  <c:v>3 year</c:v>
                </c:pt>
                <c:pt idx="2">
                  <c:v>4 year </c:v>
                </c:pt>
              </c:strCache>
            </c:strRef>
          </c:cat>
          <c:val>
            <c:numRef>
              <c:f>Results!$T$29:$T$31</c:f>
              <c:numCache>
                <c:formatCode>General</c:formatCode>
                <c:ptCount val="3"/>
                <c:pt idx="0">
                  <c:v>14.606567237567203</c:v>
                </c:pt>
                <c:pt idx="1">
                  <c:v>12.675077739633876</c:v>
                </c:pt>
                <c:pt idx="2">
                  <c:v>0</c:v>
                </c:pt>
              </c:numCache>
            </c:numRef>
          </c:val>
        </c:ser>
        <c:ser>
          <c:idx val="2"/>
          <c:order val="2"/>
          <c:tx>
            <c:strRef>
              <c:f>Results!$U$25</c:f>
              <c:strCache>
                <c:ptCount val="1"/>
                <c:pt idx="0">
                  <c:v>Other Services </c:v>
                </c:pt>
              </c:strCache>
            </c:strRef>
          </c:tx>
          <c:spPr>
            <a:solidFill>
              <a:srgbClr val="9ED9DF"/>
            </a:solidFill>
            <a:ln>
              <a:noFill/>
            </a:ln>
            <a:effectLst/>
          </c:spPr>
          <c:invertIfNegative val="0"/>
          <c:cat>
            <c:strRef>
              <c:f>Results!$R$29:$R$31</c:f>
              <c:strCache>
                <c:ptCount val="3"/>
                <c:pt idx="0">
                  <c:v>2 year </c:v>
                </c:pt>
                <c:pt idx="1">
                  <c:v>3 year</c:v>
                </c:pt>
                <c:pt idx="2">
                  <c:v>4 year </c:v>
                </c:pt>
              </c:strCache>
            </c:strRef>
          </c:cat>
          <c:val>
            <c:numRef>
              <c:f>Results!$U$29:$U$31</c:f>
              <c:numCache>
                <c:formatCode>General</c:formatCode>
                <c:ptCount val="3"/>
                <c:pt idx="0">
                  <c:v>15.638406475065814</c:v>
                </c:pt>
                <c:pt idx="1">
                  <c:v>14.509774219148776</c:v>
                </c:pt>
                <c:pt idx="2">
                  <c:v>0</c:v>
                </c:pt>
              </c:numCache>
            </c:numRef>
          </c:val>
        </c:ser>
        <c:dLbls>
          <c:showLegendKey val="0"/>
          <c:showVal val="0"/>
          <c:showCatName val="0"/>
          <c:showSerName val="0"/>
          <c:showPercent val="0"/>
          <c:showBubbleSize val="0"/>
        </c:dLbls>
        <c:gapWidth val="219"/>
        <c:axId val="403434440"/>
        <c:axId val="403428560"/>
      </c:barChart>
      <c:catAx>
        <c:axId val="40343444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8560"/>
        <c:crosses val="autoZero"/>
        <c:auto val="1"/>
        <c:lblAlgn val="ctr"/>
        <c:lblOffset val="100"/>
        <c:noMultiLvlLbl val="0"/>
      </c:catAx>
      <c:valAx>
        <c:axId val="403428560"/>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Capital expenditure</a:t>
                </a:r>
                <a:r>
                  <a:rPr lang="en-AU" baseline="0"/>
                  <a:t> ($ ,000)</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4440"/>
        <c:crosses val="autoZero"/>
        <c:crossBetween val="between"/>
        <c:majorUnit val="5"/>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5CAF"/>
            </a:solidFill>
            <a:ln>
              <a:noFill/>
            </a:ln>
            <a:effectLst/>
          </c:spPr>
          <c:invertIfNegative val="0"/>
          <c:cat>
            <c:strRef>
              <c:f>'R&amp;D'!$G$5:$G$7</c:f>
              <c:strCache>
                <c:ptCount val="3"/>
                <c:pt idx="0">
                  <c:v>2 year </c:v>
                </c:pt>
                <c:pt idx="1">
                  <c:v>3 year</c:v>
                </c:pt>
                <c:pt idx="2">
                  <c:v>4 year </c:v>
                </c:pt>
              </c:strCache>
            </c:strRef>
          </c:cat>
          <c:val>
            <c:numRef>
              <c:f>'R&amp;D'!$H$5:$H$7</c:f>
              <c:numCache>
                <c:formatCode>General</c:formatCode>
                <c:ptCount val="3"/>
                <c:pt idx="0">
                  <c:v>0</c:v>
                </c:pt>
                <c:pt idx="1">
                  <c:v>149.47225910205734</c:v>
                </c:pt>
                <c:pt idx="2">
                  <c:v>176.93820290389144</c:v>
                </c:pt>
              </c:numCache>
            </c:numRef>
          </c:val>
        </c:ser>
        <c:dLbls>
          <c:showLegendKey val="0"/>
          <c:showVal val="0"/>
          <c:showCatName val="0"/>
          <c:showSerName val="0"/>
          <c:showPercent val="0"/>
          <c:showBubbleSize val="0"/>
        </c:dLbls>
        <c:gapWidth val="219"/>
        <c:axId val="403430520"/>
        <c:axId val="403432872"/>
      </c:barChart>
      <c:catAx>
        <c:axId val="40343052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2872"/>
        <c:crosses val="autoZero"/>
        <c:auto val="1"/>
        <c:lblAlgn val="ctr"/>
        <c:lblOffset val="100"/>
        <c:noMultiLvlLbl val="0"/>
      </c:catAx>
      <c:valAx>
        <c:axId val="40343287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Turnover ($ ,000)</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0520"/>
        <c:crosses val="autoZero"/>
        <c:crossBetween val="between"/>
        <c:majorUnit val="200"/>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5CAF"/>
            </a:solidFill>
            <a:ln>
              <a:noFill/>
            </a:ln>
            <a:effectLst/>
          </c:spPr>
          <c:invertIfNegative val="0"/>
          <c:cat>
            <c:strRef>
              <c:f>'R&amp;D'!$G$11:$G$13</c:f>
              <c:strCache>
                <c:ptCount val="3"/>
                <c:pt idx="0">
                  <c:v>2 year </c:v>
                </c:pt>
                <c:pt idx="1">
                  <c:v>3 year</c:v>
                </c:pt>
                <c:pt idx="2">
                  <c:v>4 year </c:v>
                </c:pt>
              </c:strCache>
            </c:strRef>
          </c:cat>
          <c:val>
            <c:numRef>
              <c:f>'R&amp;D'!$H$11:$H$13</c:f>
              <c:numCache>
                <c:formatCode>General</c:formatCode>
                <c:ptCount val="3"/>
                <c:pt idx="0">
                  <c:v>0</c:v>
                </c:pt>
                <c:pt idx="1">
                  <c:v>0.37014416677580481</c:v>
                </c:pt>
                <c:pt idx="2">
                  <c:v>1.072393245419877</c:v>
                </c:pt>
              </c:numCache>
            </c:numRef>
          </c:val>
        </c:ser>
        <c:dLbls>
          <c:showLegendKey val="0"/>
          <c:showVal val="0"/>
          <c:showCatName val="0"/>
          <c:showSerName val="0"/>
          <c:showPercent val="0"/>
          <c:showBubbleSize val="0"/>
        </c:dLbls>
        <c:gapWidth val="219"/>
        <c:overlap val="-27"/>
        <c:axId val="403427776"/>
        <c:axId val="403433264"/>
      </c:barChart>
      <c:catAx>
        <c:axId val="40342777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3264"/>
        <c:crosses val="autoZero"/>
        <c:auto val="1"/>
        <c:lblAlgn val="ctr"/>
        <c:lblOffset val="100"/>
        <c:noMultiLvlLbl val="0"/>
      </c:catAx>
      <c:valAx>
        <c:axId val="40343326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Number of FTE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7776"/>
        <c:crosses val="autoZero"/>
        <c:crossBetween val="between"/>
        <c:majorUnit val="0.5"/>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23320975217526E-2"/>
          <c:y val="5.3191489361702128E-2"/>
          <c:w val="0.90356809184752684"/>
          <c:h val="0.79049749463135288"/>
        </c:manualLayout>
      </c:layout>
      <c:barChart>
        <c:barDir val="col"/>
        <c:grouping val="clustered"/>
        <c:varyColors val="0"/>
        <c:ser>
          <c:idx val="0"/>
          <c:order val="0"/>
          <c:spPr>
            <a:solidFill>
              <a:srgbClr val="005CAF"/>
            </a:solidFill>
            <a:ln>
              <a:noFill/>
            </a:ln>
            <a:effectLst/>
          </c:spPr>
          <c:invertIfNegative val="0"/>
          <c:cat>
            <c:strRef>
              <c:f>'R&amp;D'!$G$17:$G$19</c:f>
              <c:strCache>
                <c:ptCount val="3"/>
                <c:pt idx="0">
                  <c:v>2 year </c:v>
                </c:pt>
                <c:pt idx="1">
                  <c:v>3 year</c:v>
                </c:pt>
                <c:pt idx="2">
                  <c:v>4 year </c:v>
                </c:pt>
              </c:strCache>
            </c:strRef>
          </c:cat>
          <c:val>
            <c:numRef>
              <c:f>'R&amp;D'!$H$17:$H$19</c:f>
              <c:numCache>
                <c:formatCode>General</c:formatCode>
                <c:ptCount val="3"/>
                <c:pt idx="0">
                  <c:v>0</c:v>
                </c:pt>
                <c:pt idx="1">
                  <c:v>-1.4771605473071068</c:v>
                </c:pt>
                <c:pt idx="2">
                  <c:v>-2.6201929430671052</c:v>
                </c:pt>
              </c:numCache>
            </c:numRef>
          </c:val>
        </c:ser>
        <c:dLbls>
          <c:showLegendKey val="0"/>
          <c:showVal val="0"/>
          <c:showCatName val="0"/>
          <c:showSerName val="0"/>
          <c:showPercent val="0"/>
          <c:showBubbleSize val="0"/>
        </c:dLbls>
        <c:gapWidth val="219"/>
        <c:axId val="403434048"/>
        <c:axId val="403428952"/>
      </c:barChart>
      <c:catAx>
        <c:axId val="403434048"/>
        <c:scaling>
          <c:orientation val="minMax"/>
        </c:scaling>
        <c:delete val="0"/>
        <c:axPos val="b"/>
        <c:numFmt formatCode="General" sourceLinked="1"/>
        <c:majorTickMark val="out"/>
        <c:minorTickMark val="none"/>
        <c:tickLblPos val="low"/>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28952"/>
        <c:crosses val="autoZero"/>
        <c:auto val="1"/>
        <c:lblAlgn val="ctr"/>
        <c:lblOffset val="100"/>
        <c:noMultiLvlLbl val="0"/>
      </c:catAx>
      <c:valAx>
        <c:axId val="40342895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Export sales ($ ,000)</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434048"/>
        <c:crosses val="autoZero"/>
        <c:crossBetween val="between"/>
        <c:majorUnit val="1"/>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47263739552139"/>
          <c:y val="6.286266924564797E-2"/>
          <c:w val="0.84161555523575216"/>
          <c:h val="0.84052224371373307"/>
        </c:manualLayout>
      </c:layout>
      <c:barChart>
        <c:barDir val="col"/>
        <c:grouping val="clustered"/>
        <c:varyColors val="0"/>
        <c:ser>
          <c:idx val="0"/>
          <c:order val="0"/>
          <c:spPr>
            <a:solidFill>
              <a:srgbClr val="005CAF"/>
            </a:solidFill>
            <a:ln>
              <a:noFill/>
            </a:ln>
            <a:effectLst/>
          </c:spPr>
          <c:invertIfNegative val="0"/>
          <c:cat>
            <c:strRef>
              <c:f>'R&amp;D'!$G$23:$G$25</c:f>
              <c:strCache>
                <c:ptCount val="3"/>
                <c:pt idx="0">
                  <c:v>2 year </c:v>
                </c:pt>
                <c:pt idx="1">
                  <c:v>3 year </c:v>
                </c:pt>
                <c:pt idx="2">
                  <c:v>4 year </c:v>
                </c:pt>
              </c:strCache>
            </c:strRef>
          </c:cat>
          <c:val>
            <c:numRef>
              <c:f>'R&amp;D'!$H$23:$H$25</c:f>
              <c:numCache>
                <c:formatCode>General</c:formatCode>
                <c:ptCount val="3"/>
                <c:pt idx="0">
                  <c:v>6.0302458276199076</c:v>
                </c:pt>
                <c:pt idx="1">
                  <c:v>5.6957026735247664</c:v>
                </c:pt>
                <c:pt idx="2">
                  <c:v>0</c:v>
                </c:pt>
              </c:numCache>
            </c:numRef>
          </c:val>
        </c:ser>
        <c:dLbls>
          <c:showLegendKey val="0"/>
          <c:showVal val="0"/>
          <c:showCatName val="0"/>
          <c:showSerName val="0"/>
          <c:showPercent val="0"/>
          <c:showBubbleSize val="0"/>
        </c:dLbls>
        <c:gapWidth val="219"/>
        <c:overlap val="-27"/>
        <c:axId val="403523832"/>
        <c:axId val="403523440"/>
      </c:barChart>
      <c:catAx>
        <c:axId val="40352383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3440"/>
        <c:crosses val="autoZero"/>
        <c:auto val="1"/>
        <c:lblAlgn val="ctr"/>
        <c:lblOffset val="100"/>
        <c:noMultiLvlLbl val="0"/>
      </c:catAx>
      <c:valAx>
        <c:axId val="403523440"/>
        <c:scaling>
          <c:orientation val="minMax"/>
          <c:max val="1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Capital expenditure ($ ,000)</a:t>
                </a:r>
              </a:p>
            </c:rich>
          </c:tx>
          <c:layout/>
          <c:overlay val="0"/>
          <c:spPr>
            <a:noFill/>
            <a:ln>
              <a:noFill/>
            </a:ln>
            <a:effectLst/>
          </c:sp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3832"/>
        <c:crosses val="autoZero"/>
        <c:crossBetween val="between"/>
        <c:majorUnit val="2"/>
      </c:valAx>
      <c:spPr>
        <a:noFill/>
        <a:ln w="25400">
          <a:noFill/>
        </a:ln>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99262396377998"/>
          <c:y val="9.6711798839458407E-2"/>
          <c:w val="0.82709556866749356"/>
          <c:h val="0.68435857993572857"/>
        </c:manualLayout>
      </c:layout>
      <c:barChart>
        <c:barDir val="col"/>
        <c:grouping val="clustered"/>
        <c:varyColors val="0"/>
        <c:ser>
          <c:idx val="0"/>
          <c:order val="0"/>
          <c:tx>
            <c:strRef>
              <c:f>'charts by firm size'!$B$1</c:f>
              <c:strCache>
                <c:ptCount val="1"/>
                <c:pt idx="0">
                  <c:v>Micro </c:v>
                </c:pt>
              </c:strCache>
            </c:strRef>
          </c:tx>
          <c:spPr>
            <a:solidFill>
              <a:srgbClr val="005CAF"/>
            </a:solidFill>
            <a:ln>
              <a:noFill/>
            </a:ln>
            <a:effectLst/>
          </c:spPr>
          <c:invertIfNegative val="0"/>
          <c:cat>
            <c:strRef>
              <c:f>'charts by firm size'!$A$5:$A$7</c:f>
              <c:strCache>
                <c:ptCount val="3"/>
                <c:pt idx="0">
                  <c:v>2 year</c:v>
                </c:pt>
                <c:pt idx="1">
                  <c:v>3 year</c:v>
                </c:pt>
                <c:pt idx="2">
                  <c:v>4 year </c:v>
                </c:pt>
              </c:strCache>
            </c:strRef>
          </c:cat>
          <c:val>
            <c:numRef>
              <c:f>'charts by firm size'!$B$5:$B$7</c:f>
              <c:numCache>
                <c:formatCode>General</c:formatCode>
                <c:ptCount val="3"/>
                <c:pt idx="0">
                  <c:v>152.95978555936364</c:v>
                </c:pt>
                <c:pt idx="1">
                  <c:v>300.09299024817778</c:v>
                </c:pt>
                <c:pt idx="2">
                  <c:v>0</c:v>
                </c:pt>
              </c:numCache>
            </c:numRef>
          </c:val>
        </c:ser>
        <c:ser>
          <c:idx val="1"/>
          <c:order val="1"/>
          <c:tx>
            <c:strRef>
              <c:f>'charts by firm size'!$C$1</c:f>
              <c:strCache>
                <c:ptCount val="1"/>
                <c:pt idx="0">
                  <c:v>Small </c:v>
                </c:pt>
              </c:strCache>
            </c:strRef>
          </c:tx>
          <c:spPr>
            <a:solidFill>
              <a:srgbClr val="56B4DF"/>
            </a:solidFill>
            <a:ln>
              <a:noFill/>
            </a:ln>
            <a:effectLst/>
          </c:spPr>
          <c:invertIfNegative val="0"/>
          <c:cat>
            <c:strRef>
              <c:f>'charts by firm size'!$A$5:$A$7</c:f>
              <c:strCache>
                <c:ptCount val="3"/>
                <c:pt idx="0">
                  <c:v>2 year</c:v>
                </c:pt>
                <c:pt idx="1">
                  <c:v>3 year</c:v>
                </c:pt>
                <c:pt idx="2">
                  <c:v>4 year </c:v>
                </c:pt>
              </c:strCache>
            </c:strRef>
          </c:cat>
          <c:val>
            <c:numRef>
              <c:f>'charts by firm size'!$C$5:$C$7</c:f>
              <c:numCache>
                <c:formatCode>General</c:formatCode>
                <c:ptCount val="3"/>
                <c:pt idx="0">
                  <c:v>103.69846954769633</c:v>
                </c:pt>
                <c:pt idx="1">
                  <c:v>174.84081045087535</c:v>
                </c:pt>
                <c:pt idx="2">
                  <c:v>334.45387609862729</c:v>
                </c:pt>
              </c:numCache>
            </c:numRef>
          </c:val>
        </c:ser>
        <c:ser>
          <c:idx val="2"/>
          <c:order val="2"/>
          <c:tx>
            <c:strRef>
              <c:f>'charts by firm size'!$D$1</c:f>
              <c:strCache>
                <c:ptCount val="1"/>
                <c:pt idx="0">
                  <c:v>Medium </c:v>
                </c:pt>
              </c:strCache>
            </c:strRef>
          </c:tx>
          <c:spPr>
            <a:solidFill>
              <a:srgbClr val="9ED9DF"/>
            </a:solidFill>
            <a:ln>
              <a:noFill/>
            </a:ln>
            <a:effectLst/>
          </c:spPr>
          <c:invertIfNegative val="0"/>
          <c:cat>
            <c:strRef>
              <c:f>'charts by firm size'!$A$5:$A$7</c:f>
              <c:strCache>
                <c:ptCount val="3"/>
                <c:pt idx="0">
                  <c:v>2 year</c:v>
                </c:pt>
                <c:pt idx="1">
                  <c:v>3 year</c:v>
                </c:pt>
                <c:pt idx="2">
                  <c:v>4 year </c:v>
                </c:pt>
              </c:strCache>
            </c:strRef>
          </c:cat>
          <c:val>
            <c:numRef>
              <c:f>'charts by firm size'!$D$5:$D$7</c:f>
              <c:numCache>
                <c:formatCode>General</c:formatCode>
                <c:ptCount val="3"/>
                <c:pt idx="0">
                  <c:v>39.881911636970507</c:v>
                </c:pt>
                <c:pt idx="1">
                  <c:v>134.05114309824631</c:v>
                </c:pt>
                <c:pt idx="2">
                  <c:v>135.78970776025403</c:v>
                </c:pt>
              </c:numCache>
            </c:numRef>
          </c:val>
        </c:ser>
        <c:dLbls>
          <c:showLegendKey val="0"/>
          <c:showVal val="0"/>
          <c:showCatName val="0"/>
          <c:showSerName val="0"/>
          <c:showPercent val="0"/>
          <c:showBubbleSize val="0"/>
        </c:dLbls>
        <c:gapWidth val="219"/>
        <c:axId val="403520304"/>
        <c:axId val="403519912"/>
      </c:barChart>
      <c:catAx>
        <c:axId val="40352030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19912"/>
        <c:crosses val="autoZero"/>
        <c:auto val="1"/>
        <c:lblAlgn val="ctr"/>
        <c:lblOffset val="100"/>
        <c:noMultiLvlLbl val="0"/>
      </c:catAx>
      <c:valAx>
        <c:axId val="403519912"/>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Turnover ($ ,000)</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03520304"/>
        <c:crosses val="autoZero"/>
        <c:crossBetween val="between"/>
        <c:majorUnit val="100"/>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71048B-DE25-4783-B6A4-4626DDC3BEA3}"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AU"/>
        </a:p>
      </dgm:t>
    </dgm:pt>
    <dgm:pt modelId="{61ACF164-09B3-479D-A803-008D7F913900}">
      <dgm:prSet phldrT="[Text]" custT="1"/>
      <dgm:spPr/>
      <dgm:t>
        <a:bodyPr/>
        <a:lstStyle/>
        <a:p>
          <a:r>
            <a:rPr lang="en-AU" sz="1050"/>
            <a:t>time t-1</a:t>
          </a:r>
        </a:p>
      </dgm:t>
      <dgm:extLst>
        <a:ext uri="{E40237B7-FDA0-4F09-8148-C483321AD2D9}">
          <dgm14:cNvPr xmlns:dgm14="http://schemas.microsoft.com/office/drawing/2010/diagram" id="0" name="" descr="time t-1&#10;" title="igure 4.1: Two year treatment effect calculation"/>
        </a:ext>
      </dgm:extLst>
    </dgm:pt>
    <dgm:pt modelId="{C46766EA-DF21-4D97-92BD-2AD4CB33EBC3}" type="parTrans" cxnId="{267D0E5B-588B-4A87-9BD8-16CF6AADDAAC}">
      <dgm:prSet/>
      <dgm:spPr/>
      <dgm:t>
        <a:bodyPr/>
        <a:lstStyle/>
        <a:p>
          <a:endParaRPr lang="en-AU"/>
        </a:p>
      </dgm:t>
    </dgm:pt>
    <dgm:pt modelId="{7301472E-F9BC-464C-AD04-B3C2A254F499}" type="sibTrans" cxnId="{267D0E5B-588B-4A87-9BD8-16CF6AADDAAC}">
      <dgm:prSet/>
      <dgm:spPr/>
      <dgm:t>
        <a:bodyPr/>
        <a:lstStyle/>
        <a:p>
          <a:endParaRPr lang="en-AU"/>
        </a:p>
      </dgm:t>
    </dgm:pt>
    <dgm:pt modelId="{68F1A2DF-964B-4F21-A7D5-D46A48DD2C6E}">
      <dgm:prSet phldrT="[Text]" custT="1"/>
      <dgm:spPr>
        <a:solidFill>
          <a:schemeClr val="accent2"/>
        </a:solidFill>
      </dgm:spPr>
      <dgm:t>
        <a:bodyPr/>
        <a:lstStyle/>
        <a:p>
          <a:r>
            <a:rPr lang="en-AU" sz="1000"/>
            <a:t>Program treatment </a:t>
          </a:r>
        </a:p>
        <a:p>
          <a:r>
            <a:rPr lang="en-AU" sz="1000"/>
            <a:t>time t </a:t>
          </a:r>
        </a:p>
      </dgm:t>
      <dgm:extLst>
        <a:ext uri="{E40237B7-FDA0-4F09-8148-C483321AD2D9}">
          <dgm14:cNvPr xmlns:dgm14="http://schemas.microsoft.com/office/drawing/2010/diagram" id="0" name="" descr="time t &#10;" title="igure 4.1: Two year treatment effect calculation"/>
        </a:ext>
      </dgm:extLst>
    </dgm:pt>
    <dgm:pt modelId="{B8931177-B32B-4F7C-8658-FCCD21050A1D}" type="parTrans" cxnId="{90DA125F-D12D-4B3D-AB4C-DB762ED44756}">
      <dgm:prSet/>
      <dgm:spPr/>
      <dgm:t>
        <a:bodyPr/>
        <a:lstStyle/>
        <a:p>
          <a:endParaRPr lang="en-AU"/>
        </a:p>
      </dgm:t>
    </dgm:pt>
    <dgm:pt modelId="{B65BFA7C-35FD-4013-A4B5-A5488C0DAB4E}" type="sibTrans" cxnId="{90DA125F-D12D-4B3D-AB4C-DB762ED44756}">
      <dgm:prSet/>
      <dgm:spPr/>
      <dgm:t>
        <a:bodyPr/>
        <a:lstStyle/>
        <a:p>
          <a:endParaRPr lang="en-AU"/>
        </a:p>
      </dgm:t>
    </dgm:pt>
    <dgm:pt modelId="{C4097D56-3965-4C74-9088-7CAC8410011D}">
      <dgm:prSet phldrT="[Text]" custT="1"/>
      <dgm:spPr>
        <a:solidFill>
          <a:schemeClr val="accent5"/>
        </a:solidFill>
      </dgm:spPr>
      <dgm:t>
        <a:bodyPr/>
        <a:lstStyle/>
        <a:p>
          <a:r>
            <a:rPr lang="en-AU" sz="1000">
              <a:solidFill>
                <a:schemeClr val="bg1"/>
              </a:solidFill>
            </a:rPr>
            <a:t>time t+1</a:t>
          </a:r>
        </a:p>
      </dgm:t>
      <dgm:extLst>
        <a:ext uri="{E40237B7-FDA0-4F09-8148-C483321AD2D9}">
          <dgm14:cNvPr xmlns:dgm14="http://schemas.microsoft.com/office/drawing/2010/diagram" id="0" name="" descr="time t+1&#10;" title="igure 4.1: Two year treatment effect calculation"/>
        </a:ext>
      </dgm:extLst>
    </dgm:pt>
    <dgm:pt modelId="{3F1CAD1D-EC01-408D-AB40-33B1AE99268B}" type="parTrans" cxnId="{7430799C-C540-47F9-9FAC-DEACE8A4DF8F}">
      <dgm:prSet/>
      <dgm:spPr/>
      <dgm:t>
        <a:bodyPr/>
        <a:lstStyle/>
        <a:p>
          <a:endParaRPr lang="en-AU"/>
        </a:p>
      </dgm:t>
    </dgm:pt>
    <dgm:pt modelId="{E5DE7EE2-727C-4FB1-9AC8-775605885DF2}" type="sibTrans" cxnId="{7430799C-C540-47F9-9FAC-DEACE8A4DF8F}">
      <dgm:prSet/>
      <dgm:spPr/>
      <dgm:t>
        <a:bodyPr/>
        <a:lstStyle/>
        <a:p>
          <a:endParaRPr lang="en-AU"/>
        </a:p>
      </dgm:t>
    </dgm:pt>
    <dgm:pt modelId="{C2953DDD-9583-4D69-B3A0-8165758F15C4}" type="pres">
      <dgm:prSet presAssocID="{6671048B-DE25-4783-B6A4-4626DDC3BEA3}" presName="Name0" presStyleCnt="0">
        <dgm:presLayoutVars>
          <dgm:dir/>
          <dgm:animLvl val="lvl"/>
          <dgm:resizeHandles val="exact"/>
        </dgm:presLayoutVars>
      </dgm:prSet>
      <dgm:spPr/>
      <dgm:t>
        <a:bodyPr/>
        <a:lstStyle/>
        <a:p>
          <a:endParaRPr lang="en-AU"/>
        </a:p>
      </dgm:t>
    </dgm:pt>
    <dgm:pt modelId="{C2B2B3BE-3092-43F3-8A90-8585025373F1}" type="pres">
      <dgm:prSet presAssocID="{61ACF164-09B3-479D-A803-008D7F913900}" presName="parTxOnly" presStyleLbl="node1" presStyleIdx="0" presStyleCnt="3" custLinFactNeighborX="10178" custLinFactNeighborY="-3817">
        <dgm:presLayoutVars>
          <dgm:chMax val="0"/>
          <dgm:chPref val="0"/>
          <dgm:bulletEnabled val="1"/>
        </dgm:presLayoutVars>
      </dgm:prSet>
      <dgm:spPr/>
      <dgm:t>
        <a:bodyPr/>
        <a:lstStyle/>
        <a:p>
          <a:endParaRPr lang="en-AU"/>
        </a:p>
      </dgm:t>
    </dgm:pt>
    <dgm:pt modelId="{3AC13A67-7257-433E-8EC8-E3CD7AFE7A92}" type="pres">
      <dgm:prSet presAssocID="{7301472E-F9BC-464C-AD04-B3C2A254F499}" presName="parTxOnlySpace" presStyleCnt="0"/>
      <dgm:spPr/>
    </dgm:pt>
    <dgm:pt modelId="{FA151672-DECB-48BE-AED2-F95B90CEBBA0}" type="pres">
      <dgm:prSet presAssocID="{68F1A2DF-964B-4F21-A7D5-D46A48DD2C6E}" presName="parTxOnly" presStyleLbl="node1" presStyleIdx="1" presStyleCnt="3">
        <dgm:presLayoutVars>
          <dgm:chMax val="0"/>
          <dgm:chPref val="0"/>
          <dgm:bulletEnabled val="1"/>
        </dgm:presLayoutVars>
      </dgm:prSet>
      <dgm:spPr/>
      <dgm:t>
        <a:bodyPr/>
        <a:lstStyle/>
        <a:p>
          <a:endParaRPr lang="en-AU"/>
        </a:p>
      </dgm:t>
    </dgm:pt>
    <dgm:pt modelId="{3A3DFF9D-FBBF-49A1-9F6C-35BB557783A3}" type="pres">
      <dgm:prSet presAssocID="{B65BFA7C-35FD-4013-A4B5-A5488C0DAB4E}" presName="parTxOnlySpace" presStyleCnt="0"/>
      <dgm:spPr/>
    </dgm:pt>
    <dgm:pt modelId="{764D00E8-6CBA-4BED-AC59-C36E1A343B82}" type="pres">
      <dgm:prSet presAssocID="{C4097D56-3965-4C74-9088-7CAC8410011D}" presName="parTxOnly" presStyleLbl="node1" presStyleIdx="2" presStyleCnt="3">
        <dgm:presLayoutVars>
          <dgm:chMax val="0"/>
          <dgm:chPref val="0"/>
          <dgm:bulletEnabled val="1"/>
        </dgm:presLayoutVars>
      </dgm:prSet>
      <dgm:spPr/>
      <dgm:t>
        <a:bodyPr/>
        <a:lstStyle/>
        <a:p>
          <a:endParaRPr lang="en-AU"/>
        </a:p>
      </dgm:t>
    </dgm:pt>
  </dgm:ptLst>
  <dgm:cxnLst>
    <dgm:cxn modelId="{2C7B29B0-E1AC-438B-96D1-AE644FB19D62}" type="presOf" srcId="{68F1A2DF-964B-4F21-A7D5-D46A48DD2C6E}" destId="{FA151672-DECB-48BE-AED2-F95B90CEBBA0}" srcOrd="0" destOrd="0" presId="urn:microsoft.com/office/officeart/2005/8/layout/chevron1"/>
    <dgm:cxn modelId="{267D0E5B-588B-4A87-9BD8-16CF6AADDAAC}" srcId="{6671048B-DE25-4783-B6A4-4626DDC3BEA3}" destId="{61ACF164-09B3-479D-A803-008D7F913900}" srcOrd="0" destOrd="0" parTransId="{C46766EA-DF21-4D97-92BD-2AD4CB33EBC3}" sibTransId="{7301472E-F9BC-464C-AD04-B3C2A254F499}"/>
    <dgm:cxn modelId="{B3CA8F79-D982-45C3-802C-A9ABB6AD0DFA}" type="presOf" srcId="{C4097D56-3965-4C74-9088-7CAC8410011D}" destId="{764D00E8-6CBA-4BED-AC59-C36E1A343B82}" srcOrd="0" destOrd="0" presId="urn:microsoft.com/office/officeart/2005/8/layout/chevron1"/>
    <dgm:cxn modelId="{475D92F8-21C5-4670-BF14-485779FEC897}" type="presOf" srcId="{6671048B-DE25-4783-B6A4-4626DDC3BEA3}" destId="{C2953DDD-9583-4D69-B3A0-8165758F15C4}" srcOrd="0" destOrd="0" presId="urn:microsoft.com/office/officeart/2005/8/layout/chevron1"/>
    <dgm:cxn modelId="{90DA125F-D12D-4B3D-AB4C-DB762ED44756}" srcId="{6671048B-DE25-4783-B6A4-4626DDC3BEA3}" destId="{68F1A2DF-964B-4F21-A7D5-D46A48DD2C6E}" srcOrd="1" destOrd="0" parTransId="{B8931177-B32B-4F7C-8658-FCCD21050A1D}" sibTransId="{B65BFA7C-35FD-4013-A4B5-A5488C0DAB4E}"/>
    <dgm:cxn modelId="{7430799C-C540-47F9-9FAC-DEACE8A4DF8F}" srcId="{6671048B-DE25-4783-B6A4-4626DDC3BEA3}" destId="{C4097D56-3965-4C74-9088-7CAC8410011D}" srcOrd="2" destOrd="0" parTransId="{3F1CAD1D-EC01-408D-AB40-33B1AE99268B}" sibTransId="{E5DE7EE2-727C-4FB1-9AC8-775605885DF2}"/>
    <dgm:cxn modelId="{2CDB7103-E49A-4192-A71F-20356ADD179E}" type="presOf" srcId="{61ACF164-09B3-479D-A803-008D7F913900}" destId="{C2B2B3BE-3092-43F3-8A90-8585025373F1}" srcOrd="0" destOrd="0" presId="urn:microsoft.com/office/officeart/2005/8/layout/chevron1"/>
    <dgm:cxn modelId="{C8F50E4B-24EE-4256-B9D8-A441E5997CEA}" type="presParOf" srcId="{C2953DDD-9583-4D69-B3A0-8165758F15C4}" destId="{C2B2B3BE-3092-43F3-8A90-8585025373F1}" srcOrd="0" destOrd="0" presId="urn:microsoft.com/office/officeart/2005/8/layout/chevron1"/>
    <dgm:cxn modelId="{E68D7990-1B02-4208-8790-D6E43D6EE44A}" type="presParOf" srcId="{C2953DDD-9583-4D69-B3A0-8165758F15C4}" destId="{3AC13A67-7257-433E-8EC8-E3CD7AFE7A92}" srcOrd="1" destOrd="0" presId="urn:microsoft.com/office/officeart/2005/8/layout/chevron1"/>
    <dgm:cxn modelId="{796B2431-51A1-46DC-92D3-B454B5958556}" type="presParOf" srcId="{C2953DDD-9583-4D69-B3A0-8165758F15C4}" destId="{FA151672-DECB-48BE-AED2-F95B90CEBBA0}" srcOrd="2" destOrd="0" presId="urn:microsoft.com/office/officeart/2005/8/layout/chevron1"/>
    <dgm:cxn modelId="{DB6A00E5-B39B-4693-9D7A-A17C1C57BDBA}" type="presParOf" srcId="{C2953DDD-9583-4D69-B3A0-8165758F15C4}" destId="{3A3DFF9D-FBBF-49A1-9F6C-35BB557783A3}" srcOrd="3" destOrd="0" presId="urn:microsoft.com/office/officeart/2005/8/layout/chevron1"/>
    <dgm:cxn modelId="{B12FDEC1-0B5D-4EF8-BF8A-41E8E9703EE5}" type="presParOf" srcId="{C2953DDD-9583-4D69-B3A0-8165758F15C4}" destId="{764D00E8-6CBA-4BED-AC59-C36E1A343B82}" srcOrd="4"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B2B3BE-3092-43F3-8A90-8585025373F1}">
      <dsp:nvSpPr>
        <dsp:cNvPr id="0" name=""/>
        <dsp:cNvSpPr/>
      </dsp:nvSpPr>
      <dsp:spPr>
        <a:xfrm>
          <a:off x="16901" y="21621"/>
          <a:ext cx="1536706" cy="61468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en-AU" sz="1050" kern="1200"/>
            <a:t>time t-1</a:t>
          </a:r>
        </a:p>
      </dsp:txBody>
      <dsp:txXfrm>
        <a:off x="324242" y="21621"/>
        <a:ext cx="922024" cy="614682"/>
      </dsp:txXfrm>
    </dsp:sp>
    <dsp:sp modelId="{FA151672-DECB-48BE-AED2-F95B90CEBBA0}">
      <dsp:nvSpPr>
        <dsp:cNvPr id="0" name=""/>
        <dsp:cNvSpPr/>
      </dsp:nvSpPr>
      <dsp:spPr>
        <a:xfrm>
          <a:off x="1384296" y="45083"/>
          <a:ext cx="1536706" cy="614682"/>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t>Program treatment </a:t>
          </a:r>
        </a:p>
        <a:p>
          <a:pPr lvl="0" algn="ctr" defTabSz="444500">
            <a:lnSpc>
              <a:spcPct val="90000"/>
            </a:lnSpc>
            <a:spcBef>
              <a:spcPct val="0"/>
            </a:spcBef>
            <a:spcAft>
              <a:spcPct val="35000"/>
            </a:spcAft>
          </a:pPr>
          <a:r>
            <a:rPr lang="en-AU" sz="1000" kern="1200"/>
            <a:t>time t </a:t>
          </a:r>
        </a:p>
      </dsp:txBody>
      <dsp:txXfrm>
        <a:off x="1691637" y="45083"/>
        <a:ext cx="922024" cy="614682"/>
      </dsp:txXfrm>
    </dsp:sp>
    <dsp:sp modelId="{764D00E8-6CBA-4BED-AC59-C36E1A343B82}">
      <dsp:nvSpPr>
        <dsp:cNvPr id="0" name=""/>
        <dsp:cNvSpPr/>
      </dsp:nvSpPr>
      <dsp:spPr>
        <a:xfrm>
          <a:off x="2767332" y="45083"/>
          <a:ext cx="1536706" cy="614682"/>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chemeClr val="bg1"/>
              </a:solidFill>
            </a:rPr>
            <a:t>time t+1</a:t>
          </a:r>
        </a:p>
      </dsp:txBody>
      <dsp:txXfrm>
        <a:off x="3074673" y="45083"/>
        <a:ext cx="922024" cy="6146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95A25B3C894121A7EBD4D55E6F5718"/>
        <w:category>
          <w:name w:val="General"/>
          <w:gallery w:val="placeholder"/>
        </w:category>
        <w:types>
          <w:type w:val="bbPlcHdr"/>
        </w:types>
        <w:behaviors>
          <w:behavior w:val="content"/>
        </w:behaviors>
        <w:guid w:val="{9A829129-7F01-473E-BC21-1CC00F7203BB}"/>
      </w:docPartPr>
      <w:docPartBody>
        <w:p w:rsidR="001C2C2E" w:rsidRDefault="002219EC" w:rsidP="002219EC">
          <w:pPr>
            <w:pStyle w:val="3395A25B3C894121A7EBD4D55E6F5718"/>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C"/>
    <w:rsid w:val="0000442E"/>
    <w:rsid w:val="00011102"/>
    <w:rsid w:val="00021964"/>
    <w:rsid w:val="000414F6"/>
    <w:rsid w:val="00052B69"/>
    <w:rsid w:val="0007494A"/>
    <w:rsid w:val="000A4FDF"/>
    <w:rsid w:val="000C5CB6"/>
    <w:rsid w:val="000E3B1C"/>
    <w:rsid w:val="00153657"/>
    <w:rsid w:val="001671E4"/>
    <w:rsid w:val="001774CA"/>
    <w:rsid w:val="001C2C2E"/>
    <w:rsid w:val="001C6C32"/>
    <w:rsid w:val="002219EC"/>
    <w:rsid w:val="00264C1F"/>
    <w:rsid w:val="002B72A3"/>
    <w:rsid w:val="00332442"/>
    <w:rsid w:val="0035546E"/>
    <w:rsid w:val="00356335"/>
    <w:rsid w:val="003F3F42"/>
    <w:rsid w:val="00427107"/>
    <w:rsid w:val="00432FA1"/>
    <w:rsid w:val="00461EB8"/>
    <w:rsid w:val="004935A7"/>
    <w:rsid w:val="00507539"/>
    <w:rsid w:val="0051072C"/>
    <w:rsid w:val="00535B92"/>
    <w:rsid w:val="00546DFE"/>
    <w:rsid w:val="00565685"/>
    <w:rsid w:val="00566E4E"/>
    <w:rsid w:val="005679BD"/>
    <w:rsid w:val="0058749D"/>
    <w:rsid w:val="005A32B0"/>
    <w:rsid w:val="005B20EA"/>
    <w:rsid w:val="005F4CF6"/>
    <w:rsid w:val="006079EA"/>
    <w:rsid w:val="00636B3A"/>
    <w:rsid w:val="00682B38"/>
    <w:rsid w:val="00683A58"/>
    <w:rsid w:val="006E13FB"/>
    <w:rsid w:val="00735316"/>
    <w:rsid w:val="00762AC0"/>
    <w:rsid w:val="00765F58"/>
    <w:rsid w:val="00775F60"/>
    <w:rsid w:val="007C1CD2"/>
    <w:rsid w:val="007C5668"/>
    <w:rsid w:val="007D2EC9"/>
    <w:rsid w:val="00804045"/>
    <w:rsid w:val="0080799C"/>
    <w:rsid w:val="008A160E"/>
    <w:rsid w:val="0092515D"/>
    <w:rsid w:val="0094590C"/>
    <w:rsid w:val="00967556"/>
    <w:rsid w:val="00977010"/>
    <w:rsid w:val="009A0CBE"/>
    <w:rsid w:val="009A5BC8"/>
    <w:rsid w:val="00A45F79"/>
    <w:rsid w:val="00A94E34"/>
    <w:rsid w:val="00B96A7C"/>
    <w:rsid w:val="00C21E19"/>
    <w:rsid w:val="00C453D1"/>
    <w:rsid w:val="00C8753B"/>
    <w:rsid w:val="00D12E3C"/>
    <w:rsid w:val="00D158BD"/>
    <w:rsid w:val="00D336A0"/>
    <w:rsid w:val="00D60ABE"/>
    <w:rsid w:val="00D8762F"/>
    <w:rsid w:val="00D91954"/>
    <w:rsid w:val="00DC390C"/>
    <w:rsid w:val="00F3734C"/>
    <w:rsid w:val="00F51634"/>
    <w:rsid w:val="00F5388B"/>
    <w:rsid w:val="00F651DC"/>
    <w:rsid w:val="00FC67D5"/>
    <w:rsid w:val="00FF0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9BD"/>
    <w:rPr>
      <w:color w:val="808080"/>
    </w:rPr>
  </w:style>
  <w:style w:type="paragraph" w:customStyle="1" w:styleId="3395A25B3C894121A7EBD4D55E6F5718">
    <w:name w:val="3395A25B3C894121A7EBD4D55E6F5718"/>
    <w:rsid w:val="002219EC"/>
  </w:style>
  <w:style w:type="paragraph" w:customStyle="1" w:styleId="B14F275B998F4936A16DCADF8FD362E8">
    <w:name w:val="B14F275B998F4936A16DCADF8FD362E8"/>
    <w:rsid w:val="00567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B959FA987C6647ABF74E4344CFEB2E" ma:contentTypeVersion="21" ma:contentTypeDescription="Create a new document." ma:contentTypeScope="" ma:versionID="94699d0fbacde7988dfc076f2d9b99df">
  <xsd:schema xmlns:xsd="http://www.w3.org/2001/XMLSchema" xmlns:xs="http://www.w3.org/2001/XMLSchema" xmlns:p="http://schemas.microsoft.com/office/2006/metadata/properties" xmlns:ns1="http://schemas.microsoft.com/sharepoint/v3" xmlns:ns2="e47d1c65-9f6c-49e5-a774-2c92ccb46d02" targetNamespace="http://schemas.microsoft.com/office/2006/metadata/properties" ma:root="true" ma:fieldsID="6e04b418a018b6e9d6375e4a93e352b6" ns1:_="" ns2:_="">
    <xsd:import namespace="http://schemas.microsoft.com/sharepoint/v3"/>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4d5459321c94c199965690b1dbec7d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4d5459321c94c199965690b1dbec7d5" ma:index="24" nillable="true" ma:taxonomy="true" ma:internalName="d4d5459321c94c199965690b1dbec7d5" ma:taxonomyFieldName="DocHub_DataType" ma:displayName="Data Type" ma:default="" ma:fieldId="{d4d54593-21c9-4c19-9965-690b1dbec7d5}" ma:sspId="fb0313f7-9433-48c0-866e-9e0bbee59a50" ma:termSetId="fadcd944-d718-481d-b66d-24f4ef13af86"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e47d1c65-9f6c-49e5-a774-2c92ccb46d02">
      <Terms xmlns="http://schemas.microsoft.com/office/infopath/2007/PartnerControls"/>
    </n99e4c9942c6404eb103464a00e6097b>
    <adb9bed2e36e4a93af574aeb444da63e xmlns="e47d1c65-9f6c-49e5-a774-2c92ccb46d02">
      <Terms xmlns="http://schemas.microsoft.com/office/infopath/2007/PartnerControls">
        <TermInfo xmlns="http://schemas.microsoft.com/office/infopath/2007/PartnerControls">
          <TermName xmlns="http://schemas.microsoft.com/office/infopath/2007/PartnerControls">DIPA</TermName>
          <TermId xmlns="http://schemas.microsoft.com/office/infopath/2007/PartnerControls">4bd12cab-7bdc-4cbc-a79e-ce14364acada</TermId>
        </TermInfo>
        <TermInfo xmlns="http://schemas.microsoft.com/office/infopath/2007/PartnerControls">
          <TermName xmlns="http://schemas.microsoft.com/office/infopath/2007/PartnerControls">BLADE</TermName>
          <TermId xmlns="http://schemas.microsoft.com/office/infopath/2007/PartnerControls">cdd3fb11-98fb-4f14-b93b-6cd6a8863386</TermId>
        </TermInfo>
        <TermInfo xmlns="http://schemas.microsoft.com/office/infopath/2007/PartnerControls">
          <TermName xmlns="http://schemas.microsoft.com/office/infopath/2007/PartnerControls">Impact</TermName>
          <TermId xmlns="http://schemas.microsoft.com/office/infopath/2007/PartnerControls">8ac64bdb-414d-4861-b15a-18173b29685c</TermId>
        </TermInfo>
      </Terms>
    </adb9bed2e36e4a93af574aeb444da63e>
    <pe2555c81638466f9eb614edb9ecde52 xmlns="e47d1c65-9f6c-49e5-a774-2c92ccb46d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TaxCatchAll xmlns="e47d1c65-9f6c-49e5-a774-2c92ccb46d02">
      <Value>82</Value>
      <Value>539</Value>
      <Value>1031</Value>
      <Value>196</Value>
      <Value>4</Value>
      <Value>17</Value>
    </TaxCatchAll>
    <aa25a1a23adf4c92a153145de6afe324 xmlns="e47d1c65-9f6c-49e5-a774-2c92ccb46d02">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g7bcb40ba23249a78edca7d43a67c1c9 xmlns="e47d1c65-9f6c-49e5-a774-2c92ccb46d02">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e47d1c65-9f6c-49e5-a774-2c92ccb46d02">EUCW2WRC2PUD-263124784-48</_dlc_DocId>
    <_dlc_DocIdUrl xmlns="e47d1c65-9f6c-49e5-a774-2c92ccb46d02">
      <Url>https://dochub/div/economicanalyticalservices/businessfunctions/dataanalyticalservices/impactevaluationresearch/_layouts/15/DocIdRedir.aspx?ID=EUCW2WRC2PUD-263124784-48</Url>
      <Description>EUCW2WRC2PUD-263124784-48</Description>
    </_dlc_DocIdUrl>
    <d4d5459321c94c199965690b1dbec7d5 xmlns="e47d1c65-9f6c-49e5-a774-2c92ccb46d02">
      <Terms xmlns="http://schemas.microsoft.com/office/infopath/2007/PartnerControls"/>
    </d4d5459321c94c199965690b1dbec7d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5FFD-0911-4E0E-B86D-D80EB3F35395}">
  <ds:schemaRefs>
    <ds:schemaRef ds:uri="http://schemas.microsoft.com/sharepoint/events"/>
  </ds:schemaRefs>
</ds:datastoreItem>
</file>

<file path=customXml/itemProps2.xml><?xml version="1.0" encoding="utf-8"?>
<ds:datastoreItem xmlns:ds="http://schemas.openxmlformats.org/officeDocument/2006/customXml" ds:itemID="{A56AA00F-F93F-4D09-B35E-73CB4A9EC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4.xml><?xml version="1.0" encoding="utf-8"?>
<ds:datastoreItem xmlns:ds="http://schemas.openxmlformats.org/officeDocument/2006/customXml" ds:itemID="{7C82E28D-6947-480F-BBF1-3DFDF858D2EF}">
  <ds:schemaRefs>
    <ds:schemaRef ds:uri="http://purl.org/dc/terms/"/>
    <ds:schemaRef ds:uri="http://schemas.microsoft.com/office/infopath/2007/PartnerControls"/>
    <ds:schemaRef ds:uri="http://purl.org/dc/dcmitype/"/>
    <ds:schemaRef ds:uri="e47d1c65-9f6c-49e5-a774-2c92ccb46d02"/>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9E436E3-BECD-4C7C-8D45-EA480B8B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C659AC4A.htm</Template>
  <TotalTime>3</TotalTime>
  <Pages>38</Pages>
  <Words>7086</Words>
  <Characters>40392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47384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Bruno, Angelina</dc:creator>
  <cp:lastModifiedBy>Ruth, Jodie</cp:lastModifiedBy>
  <cp:revision>5</cp:revision>
  <cp:lastPrinted>2020-05-11T07:09:00Z</cp:lastPrinted>
  <dcterms:created xsi:type="dcterms:W3CDTF">2020-05-10T23:36:00Z</dcterms:created>
  <dcterms:modified xsi:type="dcterms:W3CDTF">2020-05-11T07:11:00Z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0x01010008B959FA987C6647ABF74E4344CFEB2E</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e82921f7-e7b8-4b7c-80bb-7dad2dc4e01d</vt:lpwstr>
  </property>
  <property fmtid="{D5CDD505-2E9C-101B-9397-08002B2CF9AE}" pid="8" name="DocHub_Year">
    <vt:lpwstr/>
  </property>
  <property fmtid="{D5CDD505-2E9C-101B-9397-08002B2CF9AE}" pid="9" name="DocHub_DocumentType">
    <vt:lpwstr>4;#Template|9b48ba34-650a-488d-9fe8-e5181e10b797</vt:lpwstr>
  </property>
  <property fmtid="{D5CDD505-2E9C-101B-9397-08002B2CF9AE}" pid="10" name="DocHub_SecurityClassification">
    <vt:lpwstr>17;#For Official Use Only|11f6fb0b-52ce-4109-8f7f-521b2a62f692</vt:lpwstr>
  </property>
  <property fmtid="{D5CDD505-2E9C-101B-9397-08002B2CF9AE}" pid="11" name="DocHub_Keywords">
    <vt:lpwstr>1031;#DIPA|4bd12cab-7bdc-4cbc-a79e-ce14364acada;#196;#BLADE|cdd3fb11-98fb-4f14-b93b-6cd6a8863386;#539;#Impact|8ac64bdb-414d-4861-b15a-18173b29685c</vt:lpwstr>
  </property>
  <property fmtid="{D5CDD505-2E9C-101B-9397-08002B2CF9AE}" pid="12" name="DocHub_WorkActivity">
    <vt:lpwstr>82;#Research|7b4c149d-8b70-4bf0-8e72-df534d298464</vt:lpwstr>
  </property>
  <property fmtid="{D5CDD505-2E9C-101B-9397-08002B2CF9AE}" pid="13" name="DocHub_DataType">
    <vt:lpwstr/>
  </property>
</Properties>
</file>