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209622428"/>
        <w:docPartObj>
          <w:docPartGallery w:val="Cover Pages"/>
          <w:docPartUnique/>
        </w:docPartObj>
      </w:sdtPr>
      <w:sdtEndPr/>
      <w:sdtContent>
        <w:tbl>
          <w:tblPr>
            <w:tblW w:w="0" w:type="auto"/>
            <w:tblLook w:val="04A0" w:firstRow="1" w:lastRow="0" w:firstColumn="1" w:lastColumn="0" w:noHBand="0" w:noVBand="1"/>
          </w:tblPr>
          <w:tblGrid>
            <w:gridCol w:w="9026"/>
          </w:tblGrid>
          <w:tr w:rsidR="00886682" w14:paraId="2DAE91E1" w14:textId="77777777" w:rsidTr="00A04EC9">
            <w:trPr>
              <w:cantSplit/>
              <w:trHeight w:val="1418"/>
            </w:trPr>
            <w:tc>
              <w:tcPr>
                <w:tcW w:w="9242" w:type="dxa"/>
              </w:tcPr>
              <w:p w14:paraId="08BF4B0B" w14:textId="46BB9FEA" w:rsidR="00886682" w:rsidRDefault="00886682" w:rsidP="00A04EC9">
                <w:pPr>
                  <w:pStyle w:val="CoverNormal"/>
                </w:pPr>
                <w:r>
                  <w:rPr>
                    <w:noProof/>
                    <w:lang w:eastAsia="en-AU"/>
                  </w:rPr>
                  <w:drawing>
                    <wp:inline distT="0" distB="0" distL="0" distR="0" wp14:anchorId="66C1D4D1" wp14:editId="57F8B36D">
                      <wp:extent cx="3836582" cy="604080"/>
                      <wp:effectExtent l="0" t="0" r="0" b="5715"/>
                      <wp:docPr id="14" name="Picture 14"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6582" cy="604080"/>
                              </a:xfrm>
                              <a:prstGeom prst="rect">
                                <a:avLst/>
                              </a:prstGeom>
                            </pic:spPr>
                          </pic:pic>
                        </a:graphicData>
                      </a:graphic>
                    </wp:inline>
                  </w:drawing>
                </w:r>
              </w:p>
            </w:tc>
          </w:tr>
          <w:tr w:rsidR="00886682" w14:paraId="518E3280" w14:textId="77777777" w:rsidTr="00A04EC9">
            <w:trPr>
              <w:cantSplit/>
              <w:trHeight w:hRule="exact" w:val="1417"/>
            </w:trPr>
            <w:tc>
              <w:tcPr>
                <w:tcW w:w="9242" w:type="dxa"/>
                <w:vAlign w:val="bottom"/>
              </w:tcPr>
              <w:p w14:paraId="1D1F3703" w14:textId="0D080E69" w:rsidR="00886682" w:rsidRDefault="00886682" w:rsidP="00B454E1">
                <w:pPr>
                  <w:pStyle w:val="ResearchPaper"/>
                </w:pPr>
                <w:r>
                  <w:t xml:space="preserve">Research </w:t>
                </w:r>
                <w:r w:rsidRPr="00C566B9">
                  <w:t xml:space="preserve">Paper </w:t>
                </w:r>
                <w:r w:rsidR="00A949D8">
                  <w:t>2</w:t>
                </w:r>
                <w:bookmarkStart w:id="0" w:name="_GoBack"/>
                <w:bookmarkEnd w:id="0"/>
                <w:r w:rsidR="006D34A0">
                  <w:t>/2019</w:t>
                </w:r>
              </w:p>
            </w:tc>
          </w:tr>
          <w:tr w:rsidR="00886682" w:rsidRPr="00CF654B" w14:paraId="078D7004" w14:textId="77777777" w:rsidTr="00A04EC9">
            <w:trPr>
              <w:cantSplit/>
            </w:trPr>
            <w:sdt>
              <w:sdtPr>
                <w:rPr>
                  <w:rStyle w:val="TitleHeadingChar"/>
                  <w:b/>
                </w:rPr>
                <w:alias w:val="Research Paper Title"/>
                <w:tag w:val="Research Paper Title"/>
                <w:id w:val="803742244"/>
                <w:placeholder>
                  <w:docPart w:val="7D24714D2B184DE793424EFCFBD16B84"/>
                </w:placeholder>
              </w:sdtPr>
              <w:sdtEndPr>
                <w:rPr>
                  <w:rStyle w:val="DefaultParagraphFont"/>
                </w:rPr>
              </w:sdtEndPr>
              <w:sdtContent>
                <w:sdt>
                  <w:sdtPr>
                    <w:rPr>
                      <w:rStyle w:val="TitleHeadingChar"/>
                      <w:b/>
                    </w:rPr>
                    <w:alias w:val="Research Paper Title"/>
                    <w:tag w:val="Research Paper Title"/>
                    <w:id w:val="539179249"/>
                    <w:placeholder>
                      <w:docPart w:val="BDD973120FE04BE9AA4A6E31F00A5E78"/>
                    </w:placeholder>
                  </w:sdtPr>
                  <w:sdtEndPr>
                    <w:rPr>
                      <w:rStyle w:val="DefaultParagraphFont"/>
                    </w:rPr>
                  </w:sdtEndPr>
                  <w:sdtContent>
                    <w:tc>
                      <w:tcPr>
                        <w:tcW w:w="9242" w:type="dxa"/>
                      </w:tcPr>
                      <w:p w14:paraId="57342C1E" w14:textId="2514A132" w:rsidR="00886682" w:rsidRPr="00E018A4" w:rsidRDefault="00162D94" w:rsidP="00162D94">
                        <w:pPr>
                          <w:pStyle w:val="TitleHeading"/>
                          <w:rPr>
                            <w:b/>
                          </w:rPr>
                        </w:pPr>
                        <w:r>
                          <w:rPr>
                            <w:rStyle w:val="TitleHeadingChar"/>
                          </w:rPr>
                          <w:t xml:space="preserve">An analysis of the National Measurement Institute’s client base </w:t>
                        </w:r>
                      </w:p>
                    </w:tc>
                  </w:sdtContent>
                </w:sdt>
              </w:sdtContent>
            </w:sdt>
          </w:tr>
          <w:tr w:rsidR="00886682" w14:paraId="517D2E78" w14:textId="77777777" w:rsidTr="00A04EC9">
            <w:trPr>
              <w:cantSplit/>
            </w:trPr>
            <w:tc>
              <w:tcPr>
                <w:tcW w:w="9242" w:type="dxa"/>
                <w:vAlign w:val="center"/>
              </w:tcPr>
              <w:p w14:paraId="580EF942" w14:textId="1CC121BD" w:rsidR="00886682" w:rsidRDefault="00162D94" w:rsidP="00A04EC9">
                <w:pPr>
                  <w:pStyle w:val="Author"/>
                </w:pPr>
                <w:r>
                  <w:t>Angelina Bruno</w:t>
                </w:r>
              </w:p>
            </w:tc>
          </w:tr>
          <w:tr w:rsidR="00886682" w14:paraId="42A0C250" w14:textId="77777777" w:rsidTr="00A04EC9">
            <w:trPr>
              <w:cantSplit/>
            </w:trPr>
            <w:tc>
              <w:tcPr>
                <w:tcW w:w="9242" w:type="dxa"/>
                <w:vAlign w:val="center"/>
              </w:tcPr>
              <w:p w14:paraId="4A6C9519" w14:textId="4979D421" w:rsidR="00886682" w:rsidRDefault="00886682" w:rsidP="00A04EC9">
                <w:pPr>
                  <w:pStyle w:val="MonthYear"/>
                </w:pPr>
                <w:r>
                  <w:fldChar w:fldCharType="begin"/>
                </w:r>
                <w:r>
                  <w:instrText xml:space="preserve"> DATE  \@ "MMMM yyyy"  \* MERGEFORMAT </w:instrText>
                </w:r>
                <w:r>
                  <w:fldChar w:fldCharType="separate"/>
                </w:r>
                <w:r w:rsidR="00A949D8">
                  <w:rPr>
                    <w:noProof/>
                  </w:rPr>
                  <w:t>June 2019</w:t>
                </w:r>
                <w:r>
                  <w:fldChar w:fldCharType="end"/>
                </w:r>
              </w:p>
            </w:tc>
          </w:tr>
          <w:tr w:rsidR="00886682" w14:paraId="612C16EC" w14:textId="77777777" w:rsidTr="00A04EC9">
            <w:trPr>
              <w:cantSplit/>
              <w:trHeight w:val="765"/>
            </w:trPr>
            <w:tc>
              <w:tcPr>
                <w:tcW w:w="9242" w:type="dxa"/>
              </w:tcPr>
              <w:p w14:paraId="2C4B55EC" w14:textId="77777777" w:rsidR="00886682" w:rsidRDefault="00886682" w:rsidP="00A04EC9">
                <w:pPr>
                  <w:pStyle w:val="AbstractHeader"/>
                </w:pPr>
                <w:r w:rsidRPr="002054C2">
                  <w:t>Abstract</w:t>
                </w:r>
              </w:p>
            </w:tc>
          </w:tr>
          <w:tr w:rsidR="00886682" w14:paraId="6A3845B2" w14:textId="77777777" w:rsidTr="00A04EC9">
            <w:trPr>
              <w:cantSplit/>
              <w:trHeight w:val="1125"/>
            </w:trPr>
            <w:tc>
              <w:tcPr>
                <w:tcW w:w="9242" w:type="dxa"/>
              </w:tcPr>
              <w:p w14:paraId="737853EB" w14:textId="766F905A" w:rsidR="00886682" w:rsidRPr="00C63547" w:rsidRDefault="00162D94" w:rsidP="00BA6366">
                <w:pPr>
                  <w:pStyle w:val="AbstractText"/>
                </w:pPr>
                <w:r>
                  <w:t xml:space="preserve">This paper explores characteristics of </w:t>
                </w:r>
                <w:r w:rsidR="004D5539">
                  <w:t>National Measurement Institute</w:t>
                </w:r>
                <w:r w:rsidR="00C759DA">
                  <w:t xml:space="preserve"> (</w:t>
                </w:r>
                <w:r>
                  <w:t>NMI</w:t>
                </w:r>
                <w:r w:rsidR="00C759DA">
                  <w:t>)</w:t>
                </w:r>
                <w:r>
                  <w:t xml:space="preserve"> clients by linking client databases to Departmental and external data sources using reported ABNs as the matching variable. Analysis of this linked data reveal</w:t>
                </w:r>
                <w:r w:rsidR="00BA6366">
                  <w:t>s</w:t>
                </w:r>
                <w:r>
                  <w:t xml:space="preserve"> who NMI clients are, their interactions with DIIS</w:t>
                </w:r>
                <w:r w:rsidR="00162265">
                  <w:t>,</w:t>
                </w:r>
                <w:r>
                  <w:t xml:space="preserve"> and their R&amp;D registration and IP filing activity. </w:t>
                </w:r>
                <w:r w:rsidRPr="00EA73D7">
                  <w:t>NMI clients are more likely to be IP-active an</w:t>
                </w:r>
                <w:r>
                  <w:t>d</w:t>
                </w:r>
                <w:r w:rsidRPr="00EA73D7">
                  <w:t xml:space="preserve"> R&amp;D-active than the average firm and also spend significantly more on R&amp;D than the average firm</w:t>
                </w:r>
                <w:r>
                  <w:t xml:space="preserve">. </w:t>
                </w:r>
                <w:r w:rsidRPr="003B11EA">
                  <w:t xml:space="preserve">NMI clients who are IP-active and/or R&amp;D-active spend more on NMI services than </w:t>
                </w:r>
                <w:r>
                  <w:t>the average client.</w:t>
                </w:r>
              </w:p>
            </w:tc>
          </w:tr>
          <w:tr w:rsidR="00886682" w14:paraId="54FBAB68" w14:textId="77777777" w:rsidTr="00A04EC9">
            <w:trPr>
              <w:cantSplit/>
              <w:trHeight w:val="1125"/>
            </w:trPr>
            <w:tc>
              <w:tcPr>
                <w:tcW w:w="9242" w:type="dxa"/>
              </w:tcPr>
              <w:p w14:paraId="0BD6AA17" w14:textId="584D4948" w:rsidR="00886682" w:rsidRPr="00116A9D" w:rsidRDefault="00886682" w:rsidP="00A04EC9">
                <w:pPr>
                  <w:pStyle w:val="JELCodeheader"/>
                  <w:rPr>
                    <w:b w:val="0"/>
                  </w:rPr>
                </w:pPr>
                <w:r w:rsidRPr="000502F2">
                  <w:rPr>
                    <w:color w:val="005CAF"/>
                  </w:rPr>
                  <w:t>JEL Codes:</w:t>
                </w:r>
                <w:r w:rsidRPr="000502F2">
                  <w:rPr>
                    <w:b w:val="0"/>
                    <w:color w:val="005CAF"/>
                  </w:rPr>
                  <w:t xml:space="preserve"> </w:t>
                </w:r>
                <w:r w:rsidR="00E06396">
                  <w:rPr>
                    <w:b w:val="0"/>
                  </w:rPr>
                  <w:t>A12</w:t>
                </w:r>
                <w:r w:rsidRPr="00116A9D">
                  <w:rPr>
                    <w:b w:val="0"/>
                  </w:rPr>
                  <w:t xml:space="preserve">, </w:t>
                </w:r>
                <w:r w:rsidR="00936AC9">
                  <w:rPr>
                    <w:b w:val="0"/>
                  </w:rPr>
                  <w:t>C81</w:t>
                </w:r>
                <w:r w:rsidR="00662FAB">
                  <w:rPr>
                    <w:b w:val="0"/>
                  </w:rPr>
                  <w:t>, D12</w:t>
                </w:r>
                <w:r w:rsidR="00994002">
                  <w:rPr>
                    <w:b w:val="0"/>
                  </w:rPr>
                  <w:t>; O3</w:t>
                </w:r>
              </w:p>
              <w:p w14:paraId="4547E176" w14:textId="61CBD811" w:rsidR="00886682" w:rsidRDefault="00886682" w:rsidP="00A04EC9">
                <w:pPr>
                  <w:pStyle w:val="JELCodeheader"/>
                  <w:rPr>
                    <w:b w:val="0"/>
                  </w:rPr>
                </w:pPr>
                <w:r w:rsidRPr="000502F2">
                  <w:rPr>
                    <w:color w:val="005CAF"/>
                  </w:rPr>
                  <w:t>Keywords:</w:t>
                </w:r>
                <w:r w:rsidRPr="00116A9D">
                  <w:rPr>
                    <w:b w:val="0"/>
                  </w:rPr>
                  <w:t xml:space="preserve"> </w:t>
                </w:r>
                <w:r w:rsidR="00EB79FD">
                  <w:rPr>
                    <w:b w:val="0"/>
                  </w:rPr>
                  <w:t>Metrology</w:t>
                </w:r>
                <w:r w:rsidR="00490DBD">
                  <w:rPr>
                    <w:b w:val="0"/>
                  </w:rPr>
                  <w:t xml:space="preserve">; </w:t>
                </w:r>
                <w:r w:rsidR="00662FAB">
                  <w:rPr>
                    <w:b w:val="0"/>
                  </w:rPr>
                  <w:t xml:space="preserve">Data integration; </w:t>
                </w:r>
                <w:r w:rsidR="003852C9">
                  <w:rPr>
                    <w:b w:val="0"/>
                  </w:rPr>
                  <w:t>Innovation; Public Policy</w:t>
                </w:r>
              </w:p>
              <w:p w14:paraId="71A1530A" w14:textId="77777777" w:rsidR="00886682" w:rsidRPr="002054C2" w:rsidRDefault="00886682" w:rsidP="00A04EC9">
                <w:pPr>
                  <w:pStyle w:val="JELCodeheader"/>
                </w:pPr>
              </w:p>
            </w:tc>
          </w:tr>
        </w:tbl>
        <w:p w14:paraId="55EB8986" w14:textId="77777777" w:rsidR="00886682" w:rsidRDefault="00886682" w:rsidP="00A04EC9">
          <w:pPr>
            <w:pStyle w:val="CoverNormal"/>
          </w:pPr>
        </w:p>
        <w:p w14:paraId="4807C43A" w14:textId="77777777" w:rsidR="00886682" w:rsidRDefault="00886682" w:rsidP="00A04EC9">
          <w:r>
            <w:br w:type="page"/>
          </w:r>
        </w:p>
        <w:p w14:paraId="6CFFCA25" w14:textId="77777777" w:rsidR="00886682" w:rsidRDefault="00886682" w:rsidP="00A04EC9">
          <w:pPr>
            <w:pStyle w:val="CoverNormal"/>
          </w:pPr>
          <w:r>
            <w:rPr>
              <w:noProof/>
              <w:lang w:eastAsia="en-AU"/>
            </w:rPr>
            <w:lastRenderedPageBreak/>
            <w:drawing>
              <wp:anchor distT="0" distB="0" distL="114300" distR="114300" simplePos="0" relativeHeight="251658241" behindDoc="0" locked="0" layoutInCell="1" allowOverlap="1" wp14:anchorId="00A97192" wp14:editId="3969F8CC">
                <wp:simplePos x="0" y="0"/>
                <wp:positionH relativeFrom="column">
                  <wp:posOffset>1362075</wp:posOffset>
                </wp:positionH>
                <wp:positionV relativeFrom="paragraph">
                  <wp:posOffset>9525</wp:posOffset>
                </wp:positionV>
                <wp:extent cx="3133725" cy="493395"/>
                <wp:effectExtent l="0" t="0" r="9525" b="1905"/>
                <wp:wrapSquare wrapText="bothSides"/>
                <wp:docPr id="15" name="Picture 15"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3725" cy="493395"/>
                        </a:xfrm>
                        <a:prstGeom prst="rect">
                          <a:avLst/>
                        </a:prstGeom>
                      </pic:spPr>
                    </pic:pic>
                  </a:graphicData>
                </a:graphic>
                <wp14:sizeRelH relativeFrom="margin">
                  <wp14:pctWidth>0</wp14:pctWidth>
                </wp14:sizeRelH>
                <wp14:sizeRelV relativeFrom="margin">
                  <wp14:pctHeight>0</wp14:pctHeight>
                </wp14:sizeRelV>
              </wp:anchor>
            </w:drawing>
          </w:r>
          <w:r>
            <w:br/>
          </w:r>
        </w:p>
        <w:p w14:paraId="2BFAEEEB" w14:textId="77777777" w:rsidR="00886682" w:rsidRDefault="00886682" w:rsidP="00A04EC9">
          <w:pPr>
            <w:pStyle w:val="CoverNormal"/>
          </w:pPr>
        </w:p>
        <w:p w14:paraId="54AC826A" w14:textId="77777777" w:rsidR="00886682" w:rsidRDefault="00886682" w:rsidP="00A04EC9">
          <w:pPr>
            <w:pStyle w:val="DisclaimerHeading"/>
            <w:keepNext/>
            <w:numPr>
              <w:ilvl w:val="7"/>
              <w:numId w:val="3"/>
            </w:numPr>
            <w:spacing w:before="600"/>
            <w:ind w:left="2160"/>
            <w:outlineLvl w:val="7"/>
          </w:pPr>
          <w:r w:rsidRPr="00CF654B">
            <w:t>For</w:t>
          </w:r>
          <w:r w:rsidRPr="00F12E30">
            <w:t xml:space="preserve"> further information on this research paper please </w:t>
          </w:r>
          <w:r w:rsidRPr="00B91524">
            <w:t xml:space="preserve">contact: </w:t>
          </w:r>
        </w:p>
        <w:p w14:paraId="7913FC90" w14:textId="51DC9D4B" w:rsidR="00886682" w:rsidRPr="00EC76AE" w:rsidRDefault="00162D94" w:rsidP="00A04EC9">
          <w:pPr>
            <w:pStyle w:val="DisclaimerandAcknowledgement"/>
          </w:pPr>
          <w:r>
            <w:t>Angelina Bruno</w:t>
          </w:r>
        </w:p>
        <w:p w14:paraId="0ECD1B46" w14:textId="7B4A5A97" w:rsidR="00886682" w:rsidRPr="00EC76AE" w:rsidRDefault="00162D94" w:rsidP="00A04EC9">
          <w:pPr>
            <w:pStyle w:val="DisclaimerandAcknowledgement"/>
          </w:pPr>
          <w:r>
            <w:t>Industry and Firm Analysis</w:t>
          </w:r>
        </w:p>
        <w:p w14:paraId="6D9C02C0" w14:textId="77777777" w:rsidR="00886682" w:rsidRPr="00B91524" w:rsidRDefault="00886682" w:rsidP="00A04EC9">
          <w:pPr>
            <w:pStyle w:val="DisclaimerandAcknowledgement"/>
          </w:pPr>
          <w:r w:rsidRPr="00B91524">
            <w:t>Department of Industry</w:t>
          </w:r>
          <w:r>
            <w:t>, Innovation and Science</w:t>
          </w:r>
        </w:p>
        <w:p w14:paraId="1522740B" w14:textId="71606F8B" w:rsidR="00886682" w:rsidRPr="00EC76AE" w:rsidRDefault="00C566B9" w:rsidP="00A04EC9">
          <w:pPr>
            <w:pStyle w:val="DisclaimerandAcknowledgement"/>
          </w:pPr>
          <w:r>
            <w:t>GPO Box 2013</w:t>
          </w:r>
        </w:p>
        <w:p w14:paraId="65CA79E0" w14:textId="77777777" w:rsidR="00886682" w:rsidRPr="00EC76AE" w:rsidRDefault="00886682" w:rsidP="00A04EC9">
          <w:pPr>
            <w:pStyle w:val="DisclaimerandAcknowledgement"/>
          </w:pPr>
          <w:r w:rsidRPr="00EC76AE">
            <w:t>Canberra ACT 2601</w:t>
          </w:r>
        </w:p>
        <w:p w14:paraId="23B262D7" w14:textId="1347763F" w:rsidR="00886682" w:rsidRPr="00EC76AE" w:rsidRDefault="002043D7" w:rsidP="00A04EC9">
          <w:pPr>
            <w:pStyle w:val="DisclaimerandAcknowledgement"/>
          </w:pPr>
          <w:r>
            <w:t>Phone</w:t>
          </w:r>
          <w:r w:rsidR="00886682" w:rsidRPr="00EC76AE">
            <w:t>:</w:t>
          </w:r>
          <w:r w:rsidR="00162D94">
            <w:t xml:space="preserve"> +61 2 6102 9975</w:t>
          </w:r>
        </w:p>
        <w:p w14:paraId="0D868B21" w14:textId="30C46F6E" w:rsidR="00886682" w:rsidRDefault="00886682" w:rsidP="00A04EC9">
          <w:pPr>
            <w:pStyle w:val="DisclaimerandAcknowledgement"/>
            <w:rPr>
              <w:rStyle w:val="HyperlinkStyleChar"/>
            </w:rPr>
          </w:pPr>
          <w:r w:rsidRPr="00EC76AE">
            <w:t xml:space="preserve">Email: </w:t>
          </w:r>
          <w:hyperlink r:id="rId14" w:history="1">
            <w:r w:rsidR="00162D94" w:rsidRPr="00CB05CD">
              <w:rPr>
                <w:rStyle w:val="Hyperlink"/>
              </w:rPr>
              <w:t>Angelina.Bruno@industry.gov.au</w:t>
            </w:r>
          </w:hyperlink>
          <w:r w:rsidR="00162D94">
            <w:t xml:space="preserve"> </w:t>
          </w:r>
        </w:p>
        <w:p w14:paraId="7D942D3A" w14:textId="77777777" w:rsidR="00886682" w:rsidRPr="00EC76AE" w:rsidRDefault="00886682" w:rsidP="00A04EC9">
          <w:pPr>
            <w:pStyle w:val="DisclaimerHeading"/>
            <w:keepNext/>
            <w:numPr>
              <w:ilvl w:val="7"/>
              <w:numId w:val="3"/>
            </w:numPr>
            <w:spacing w:before="600"/>
            <w:ind w:left="2160"/>
            <w:outlineLvl w:val="7"/>
          </w:pPr>
          <w:r w:rsidRPr="00EC76AE">
            <w:t>Disclaimer</w:t>
          </w:r>
        </w:p>
        <w:p w14:paraId="38980BC6" w14:textId="77777777" w:rsidR="00886682" w:rsidRDefault="00886682" w:rsidP="00A04EC9">
          <w:pPr>
            <w:pStyle w:val="DisclaimerandAcknowledgement"/>
          </w:pPr>
          <w:r>
            <w:t xml:space="preserve">The views expressed in this report are those of the author(s) and do not necessarily reflect those of the Australian Government or the Department of </w:t>
          </w:r>
          <w:r w:rsidRPr="00B91524">
            <w:t>Industry</w:t>
          </w:r>
          <w:r>
            <w:t>, Innovation and Science.</w:t>
          </w:r>
        </w:p>
        <w:p w14:paraId="3C086E97" w14:textId="642CFB76" w:rsidR="00886682" w:rsidRPr="00EC76AE" w:rsidRDefault="00886682" w:rsidP="00A04EC9">
          <w:pPr>
            <w:pStyle w:val="DisclaimerandAcknowledgement"/>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A949D8">
            <w:rPr>
              <w:noProof/>
            </w:rPr>
            <w:t>2019</w:t>
          </w:r>
          <w:r>
            <w:fldChar w:fldCharType="end"/>
          </w:r>
          <w:r>
            <w:t>.</w:t>
          </w:r>
          <w:r w:rsidRPr="00EC76AE">
            <w:t xml:space="preserve"> </w:t>
          </w:r>
        </w:p>
        <w:p w14:paraId="2A877185" w14:textId="4227D96A" w:rsidR="00886682" w:rsidRDefault="00886682" w:rsidP="00A04EC9">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8240" behindDoc="0" locked="0" layoutInCell="1" allowOverlap="1" wp14:anchorId="0647294F" wp14:editId="730877DD">
                <wp:simplePos x="0" y="0"/>
                <wp:positionH relativeFrom="column">
                  <wp:posOffset>1374140</wp:posOffset>
                </wp:positionH>
                <wp:positionV relativeFrom="paragraph">
                  <wp:posOffset>1024890</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6"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7" w:tooltip="www.industry.gov.au/OCE" w:history="1">
            <w:r w:rsidRPr="001B6EF9">
              <w:rPr>
                <w:rStyle w:val="Hyperlink"/>
              </w:rPr>
              <w:t>www.industry.gov.au/OCE</w:t>
            </w:r>
          </w:hyperlink>
        </w:p>
        <w:p w14:paraId="291ACCEA" w14:textId="77777777" w:rsidR="00886682" w:rsidRDefault="00886682" w:rsidP="00A04EC9">
          <w:pPr>
            <w:pStyle w:val="DisclaimerandAcknowledgement"/>
            <w:rPr>
              <w:rStyle w:val="HyperlinkStyleChar"/>
              <w:sz w:val="18"/>
            </w:rPr>
          </w:pPr>
        </w:p>
        <w:p w14:paraId="0433FF6F" w14:textId="77777777" w:rsidR="00886682" w:rsidRDefault="00886682" w:rsidP="00A04EC9">
          <w:pPr>
            <w:rPr>
              <w:rStyle w:val="HyperlinkStyleChar"/>
              <w:rFonts w:cs="Arial"/>
              <w:b/>
              <w:color w:val="595A5B"/>
              <w:sz w:val="18"/>
            </w:rPr>
          </w:pPr>
        </w:p>
        <w:p w14:paraId="59DAF14E" w14:textId="77777777" w:rsidR="00886682" w:rsidRPr="004D7A11" w:rsidRDefault="00886682" w:rsidP="00A04EC9">
          <w:pPr>
            <w:pStyle w:val="DisclaimerHeading"/>
            <w:keepNext/>
            <w:numPr>
              <w:ilvl w:val="7"/>
              <w:numId w:val="3"/>
            </w:numPr>
            <w:spacing w:before="600"/>
            <w:ind w:left="2160"/>
            <w:outlineLvl w:val="7"/>
            <w:rPr>
              <w:rFonts w:eastAsia="Calibri"/>
            </w:rPr>
          </w:pPr>
          <w:r w:rsidRPr="004D7A11">
            <w:t>Creative Commons Licence</w:t>
          </w:r>
        </w:p>
        <w:p w14:paraId="3F682F14" w14:textId="77777777" w:rsidR="00886682" w:rsidRPr="00A1774F" w:rsidRDefault="00886682" w:rsidP="00A04EC9">
          <w:pPr>
            <w:pStyle w:val="DisclaimerandAcknowledgement"/>
          </w:pPr>
          <w:r w:rsidRPr="00A1774F">
            <w:t>With the exception of the Coat of Arms, this publication is licensed under a Creative Commons Attribution 3.0 Australia Licence.</w:t>
          </w:r>
        </w:p>
        <w:p w14:paraId="1AE2E1C4" w14:textId="0DFC49F1" w:rsidR="00886682" w:rsidRPr="00A1774F" w:rsidRDefault="00886682" w:rsidP="00A04EC9">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8" w:tooltip="http://creativecommons.org/licenses/by/3.0/au/deed.en" w:history="1">
            <w:r w:rsidR="00162D94" w:rsidRPr="00CB05CD">
              <w:rPr>
                <w:rStyle w:val="Hyperlink"/>
              </w:rPr>
              <w:t>http://creativecommons.org/licenses/by/3.0/au/deed.en</w:t>
            </w:r>
          </w:hyperlink>
          <w:r w:rsidR="00162D94">
            <w:t xml:space="preserve"> </w:t>
          </w:r>
          <w:r w:rsidRPr="00A1774F">
            <w:t xml:space="preserve">. The full licence terms are available from </w:t>
          </w:r>
          <w:hyperlink r:id="rId19" w:tooltip="http://creativecommons.org/licenses/by/3.0/au/legalcode" w:history="1">
            <w:r w:rsidR="00162D94" w:rsidRPr="005B4497">
              <w:rPr>
                <w:rStyle w:val="Hyperlink"/>
              </w:rPr>
              <w:t>http://creativecommons.org/licenses/by/3.0/au/legalcode</w:t>
            </w:r>
          </w:hyperlink>
        </w:p>
        <w:p w14:paraId="0CFBEB55" w14:textId="77777777" w:rsidR="00886682" w:rsidRPr="00A1774F" w:rsidRDefault="00886682" w:rsidP="00A04EC9">
          <w:pPr>
            <w:pStyle w:val="DisclaimerandAcknowledgement"/>
          </w:pPr>
          <w:r w:rsidRPr="00A1774F">
            <w:t>The Commonwealth’s preference is that you attribute this publication (and any material sourc</w:t>
          </w:r>
          <w:r>
            <w:t xml:space="preserve">ed from it) using the following </w:t>
          </w:r>
          <w:r w:rsidRPr="00A1774F">
            <w:t>wording:</w:t>
          </w:r>
        </w:p>
        <w:p w14:paraId="377FC82A" w14:textId="77777777" w:rsidR="00886682" w:rsidRDefault="00886682" w:rsidP="00A04EC9">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3C2EB425" w14:textId="7FC514CB" w:rsidR="00886682" w:rsidRDefault="00A949D8" w:rsidP="00A04EC9">
          <w:pPr>
            <w:sectPr w:rsidR="00886682" w:rsidSect="00A04EC9">
              <w:pgSz w:w="11906" w:h="16838" w:code="9"/>
              <w:pgMar w:top="1440" w:right="1440" w:bottom="1440" w:left="1440" w:header="709" w:footer="709" w:gutter="0"/>
              <w:pgNumType w:start="0"/>
              <w:cols w:space="708"/>
              <w:titlePg/>
              <w:docGrid w:linePitch="360"/>
            </w:sectPr>
          </w:pPr>
        </w:p>
      </w:sdtContent>
    </w:sdt>
    <w:tbl>
      <w:tblPr>
        <w:tblW w:w="0" w:type="auto"/>
        <w:tblInd w:w="57" w:type="dxa"/>
        <w:shd w:val="clear" w:color="auto" w:fill="DEE8F1"/>
        <w:tblLayout w:type="fixed"/>
        <w:tblLook w:val="04A0" w:firstRow="1" w:lastRow="0" w:firstColumn="1" w:lastColumn="0" w:noHBand="0" w:noVBand="1"/>
      </w:tblPr>
      <w:tblGrid>
        <w:gridCol w:w="7007"/>
      </w:tblGrid>
      <w:tr w:rsidR="00886682" w14:paraId="2E4D1183" w14:textId="77777777" w:rsidTr="00A04EC9">
        <w:tc>
          <w:tcPr>
            <w:tcW w:w="7007" w:type="dxa"/>
            <w:shd w:val="clear" w:color="auto" w:fill="DEE8F1"/>
          </w:tcPr>
          <w:p w14:paraId="566C383F" w14:textId="77777777" w:rsidR="00886682" w:rsidRPr="001835DD" w:rsidRDefault="00886682" w:rsidP="00A04EC9">
            <w:pPr>
              <w:pStyle w:val="Keypointsheader"/>
            </w:pPr>
            <w:r w:rsidRPr="00AC3DDE">
              <w:lastRenderedPageBreak/>
              <w:t>Key points</w:t>
            </w:r>
          </w:p>
          <w:p w14:paraId="7C067F3C" w14:textId="77777777" w:rsidR="00886682" w:rsidRDefault="00886682" w:rsidP="00886682">
            <w:pPr>
              <w:pStyle w:val="Keypointsbullet"/>
              <w:ind w:left="317" w:right="155" w:hanging="252"/>
            </w:pPr>
            <w:r>
              <w:t xml:space="preserve">Linking Departmental and external data sources to NMI client data allows for a deeper understanding of NMI’s client base </w:t>
            </w:r>
          </w:p>
          <w:p w14:paraId="204C0C79" w14:textId="73B91EED" w:rsidR="00886682" w:rsidRDefault="00886682" w:rsidP="00886682">
            <w:pPr>
              <w:pStyle w:val="Keypointsbullet"/>
              <w:ind w:left="317" w:right="155" w:hanging="252"/>
            </w:pPr>
            <w:r>
              <w:t xml:space="preserve">One quarter of NMI clients are in Industry Growth Sectors, in contrast to only nine per cent of firms in the total employing firm population </w:t>
            </w:r>
          </w:p>
          <w:p w14:paraId="2087322F" w14:textId="77777777" w:rsidR="00886682" w:rsidRDefault="00886682" w:rsidP="00886682">
            <w:pPr>
              <w:pStyle w:val="Keypointsbullet"/>
              <w:ind w:left="317" w:right="155" w:hanging="252"/>
            </w:pPr>
            <w:r>
              <w:t>NMI clients are more likely to be IP-active and R&amp;D-active than the average firm and also spend significantly more on R&amp;D than the average firm</w:t>
            </w:r>
          </w:p>
          <w:p w14:paraId="7D9CFFB3" w14:textId="77777777" w:rsidR="00886682" w:rsidRDefault="00886682" w:rsidP="00886682">
            <w:pPr>
              <w:pStyle w:val="Keypointsbullet"/>
              <w:ind w:left="317" w:right="155" w:hanging="252"/>
            </w:pPr>
            <w:r>
              <w:t xml:space="preserve">NMI clients who are IP-active and/or R&amp;D-active generally spend more on NMI services than other clients </w:t>
            </w:r>
          </w:p>
          <w:p w14:paraId="6FF53DB4" w14:textId="4B74C4ED" w:rsidR="00886682" w:rsidRDefault="00886682" w:rsidP="00A04EC9">
            <w:pPr>
              <w:pStyle w:val="Keypointsbullet"/>
              <w:ind w:left="317" w:right="155" w:hanging="252"/>
            </w:pPr>
            <w:r>
              <w:t xml:space="preserve">There is scope for more detailed analysis on NMI clients and their performance in the future using the Business Longitudinal Analysis Data Environment (BLADE) </w:t>
            </w:r>
          </w:p>
        </w:tc>
      </w:tr>
    </w:tbl>
    <w:p w14:paraId="0B1AEDDD" w14:textId="0709DC6D" w:rsidR="00886682" w:rsidRDefault="00886682" w:rsidP="00DC5EFA">
      <w:pPr>
        <w:pStyle w:val="BodyText"/>
      </w:pPr>
    </w:p>
    <w:p w14:paraId="691DEBF7" w14:textId="4EE8EA72" w:rsidR="00332FD7" w:rsidRDefault="00332FD7">
      <w:pPr>
        <w:spacing w:after="200" w:line="276" w:lineRule="auto"/>
        <w:ind w:left="0"/>
        <w:jc w:val="left"/>
        <w:rPr>
          <w:rFonts w:asciiTheme="minorHAnsi" w:hAnsiTheme="minorHAnsi"/>
        </w:rPr>
      </w:pPr>
      <w:r>
        <w:rPr>
          <w:rFonts w:asciiTheme="minorHAnsi" w:hAnsiTheme="minorHAnsi"/>
        </w:rPr>
        <w:br w:type="page"/>
      </w:r>
    </w:p>
    <w:p w14:paraId="3BF25F69" w14:textId="1F7061DA" w:rsidR="00886682" w:rsidRPr="00886682" w:rsidRDefault="00886682" w:rsidP="00332FD7">
      <w:pPr>
        <w:pStyle w:val="Heading1"/>
      </w:pPr>
      <w:r w:rsidRPr="00886682">
        <w:lastRenderedPageBreak/>
        <w:tab/>
        <w:t>Introduction</w:t>
      </w:r>
    </w:p>
    <w:p w14:paraId="5C432293" w14:textId="513F39CB" w:rsidR="00886682" w:rsidRPr="00886682" w:rsidRDefault="00886682" w:rsidP="00332FD7">
      <w:pPr>
        <w:pStyle w:val="BodyText"/>
      </w:pPr>
      <w:r w:rsidRPr="00886682">
        <w:t>The National Measurement Institute (NMI) was created on 1 July 2004, from an amalgamation between the National Measurement Laboratory, the National Standards Commission and the Australia Government Analytical Laboratories. As a division of the Department of Industry, Innovation and Science (DIIS), NMI is the peak body responsible for maintaining Australia’s units and standards of measurement and issues over 100,000 test and measurement reports to app</w:t>
      </w:r>
      <w:r w:rsidR="002043D7">
        <w:t>roximately 3,000 organisations</w:t>
      </w:r>
      <w:r w:rsidR="002043D7">
        <w:rPr>
          <w:rStyle w:val="FootnoteReference"/>
        </w:rPr>
        <w:footnoteReference w:id="2"/>
      </w:r>
      <w:r w:rsidR="002043D7">
        <w:t xml:space="preserve"> </w:t>
      </w:r>
      <w:r w:rsidRPr="00886682">
        <w:t>spanning Federal, State and loc</w:t>
      </w:r>
      <w:r w:rsidR="007A451E">
        <w:t xml:space="preserve">al governments; multinationals; </w:t>
      </w:r>
      <w:r w:rsidRPr="00886682">
        <w:t>calibration and analytical laboratories; environmental consultants; and o</w:t>
      </w:r>
      <w:r w:rsidR="002043D7">
        <w:t>ther small-medium enterprises.</w:t>
      </w:r>
      <w:r w:rsidR="002043D7">
        <w:rPr>
          <w:rStyle w:val="FootnoteReference"/>
        </w:rPr>
        <w:footnoteReference w:id="3"/>
      </w:r>
    </w:p>
    <w:p w14:paraId="16923CAB" w14:textId="21BD6AF4" w:rsidR="00886682" w:rsidRPr="00886682" w:rsidRDefault="00886682" w:rsidP="00332FD7">
      <w:pPr>
        <w:pStyle w:val="BodyText"/>
      </w:pPr>
      <w:r w:rsidRPr="00886682">
        <w:t>NMI provides high accuracy measurement services to industry and regulators in areas as diverse as</w:t>
      </w:r>
      <w:r w:rsidR="00283915">
        <w:t>:</w:t>
      </w:r>
      <w:r w:rsidRPr="00886682">
        <w:t xml:space="preserve"> </w:t>
      </w:r>
    </w:p>
    <w:p w14:paraId="032E28BE" w14:textId="16860F48" w:rsidR="00886682" w:rsidRPr="00886682" w:rsidRDefault="00320BE6" w:rsidP="00332FD7">
      <w:pPr>
        <w:pStyle w:val="ListBullet"/>
      </w:pPr>
      <w:r>
        <w:t>d</w:t>
      </w:r>
      <w:r w:rsidR="00886682" w:rsidRPr="00886682">
        <w:t>etermination of food contaminants, agrichemical residues, functional components and food safety indicators</w:t>
      </w:r>
    </w:p>
    <w:p w14:paraId="1CDDB27B" w14:textId="1B64DE6F" w:rsidR="00886682" w:rsidRPr="00886682" w:rsidRDefault="00320BE6" w:rsidP="00332FD7">
      <w:pPr>
        <w:pStyle w:val="ListBullet"/>
      </w:pPr>
      <w:r>
        <w:t>c</w:t>
      </w:r>
      <w:r w:rsidR="00886682" w:rsidRPr="00886682">
        <w:t>alibration of high accuracy measurements demonstrating traceability to the international system of units (SI)</w:t>
      </w:r>
    </w:p>
    <w:p w14:paraId="0014C7AC" w14:textId="24D402A0" w:rsidR="00886682" w:rsidRPr="00886682" w:rsidRDefault="00320BE6" w:rsidP="00332FD7">
      <w:pPr>
        <w:pStyle w:val="ListBullet"/>
      </w:pPr>
      <w:r>
        <w:t>t</w:t>
      </w:r>
      <w:r w:rsidR="00886682" w:rsidRPr="00886682">
        <w:t>esting of measuring instruments under fluctuating environmental conditions to ensure that they perform to specifications</w:t>
      </w:r>
    </w:p>
    <w:p w14:paraId="383CB154" w14:textId="4D5EA5B3" w:rsidR="00886682" w:rsidRPr="00886682" w:rsidRDefault="00320BE6" w:rsidP="00332FD7">
      <w:pPr>
        <w:pStyle w:val="ListBullet"/>
      </w:pPr>
      <w:r>
        <w:t>p</w:t>
      </w:r>
      <w:r w:rsidR="00886682" w:rsidRPr="00886682">
        <w:t>roficiency testing programs in target areas of public concern: trade, public health, law enforcement and the environment</w:t>
      </w:r>
    </w:p>
    <w:p w14:paraId="0B6BC4ED" w14:textId="2A685945" w:rsidR="00886682" w:rsidRPr="00886682" w:rsidRDefault="00320BE6" w:rsidP="00332FD7">
      <w:pPr>
        <w:pStyle w:val="ListBullet"/>
      </w:pPr>
      <w:r>
        <w:t>c</w:t>
      </w:r>
      <w:r w:rsidR="00886682" w:rsidRPr="00886682">
        <w:t>hemical analyses for organic and inorganic pollutants to meet statutory requirements, including specialised facilities for providing high accuracy reference values, low-level and speciation analysis</w:t>
      </w:r>
    </w:p>
    <w:p w14:paraId="406E7E4E" w14:textId="5FA0BFC6" w:rsidR="00886682" w:rsidRPr="00886682" w:rsidRDefault="00320BE6" w:rsidP="00332FD7">
      <w:pPr>
        <w:pStyle w:val="ListBullet"/>
      </w:pPr>
      <w:r>
        <w:t>d</w:t>
      </w:r>
      <w:r w:rsidR="00886682" w:rsidRPr="00886682">
        <w:t>evelopment of new measuring instruments, systems and solutions to meet industrial and scientific needs</w:t>
      </w:r>
    </w:p>
    <w:p w14:paraId="4462F2F5" w14:textId="7F47E35A" w:rsidR="00886682" w:rsidRPr="00332FD7" w:rsidRDefault="00320BE6" w:rsidP="00332FD7">
      <w:pPr>
        <w:pStyle w:val="ListBullet"/>
      </w:pPr>
      <w:r>
        <w:t>m</w:t>
      </w:r>
      <w:r w:rsidR="00886682" w:rsidRPr="00886682">
        <w:t>easurement of nanoparticle size, size distribution and shape.</w:t>
      </w:r>
    </w:p>
    <w:p w14:paraId="230F802A" w14:textId="05C6F0CE" w:rsidR="00886682" w:rsidRPr="00886682" w:rsidRDefault="00886682" w:rsidP="00332FD7">
      <w:pPr>
        <w:pStyle w:val="BodyText"/>
      </w:pPr>
      <w:r w:rsidRPr="00886682">
        <w:t xml:space="preserve">Metrology </w:t>
      </w:r>
      <w:r w:rsidR="00AF5C26">
        <w:t xml:space="preserve">(the science of measurement) </w:t>
      </w:r>
      <w:r w:rsidRPr="00886682">
        <w:t>has an important role in the innovation process, by improving the effectiveness of the R&amp;D process, making it easier for innovative producers to market innovative new products, reducing transaction cost</w:t>
      </w:r>
      <w:r w:rsidR="002043D7">
        <w:t>s and limiting market failure.</w:t>
      </w:r>
      <w:r w:rsidR="002043D7">
        <w:rPr>
          <w:rStyle w:val="FootnoteReference"/>
        </w:rPr>
        <w:footnoteReference w:id="4"/>
      </w:r>
      <w:r w:rsidR="002043D7">
        <w:t xml:space="preserve"> </w:t>
      </w:r>
      <w:r w:rsidRPr="00886682">
        <w:t xml:space="preserve">Australia’s standards and conformance system relies on the NMI’s measurement capabilities to support the adoption of overseas-made technologies and processes, which are often drivers of technological change. The NMI is a foundation element of publicly funded innovation in Australia, which includes research organisations, research grant providers, and the patent system. Therefore it is unsurprising that findings </w:t>
      </w:r>
      <w:r w:rsidRPr="00886682">
        <w:lastRenderedPageBreak/>
        <w:t xml:space="preserve">in this report </w:t>
      </w:r>
      <w:r w:rsidR="00DD2CA6" w:rsidRPr="00886682">
        <w:t>demonstrate</w:t>
      </w:r>
      <w:r w:rsidRPr="00886682">
        <w:t xml:space="preserve"> NMI clients exhibit characteristics of highly innovative-active firms.</w:t>
      </w:r>
    </w:p>
    <w:p w14:paraId="24B498F6" w14:textId="5A20B82C" w:rsidR="00886682" w:rsidRPr="00886682" w:rsidRDefault="00886682" w:rsidP="00332FD7">
      <w:pPr>
        <w:pStyle w:val="BodyText"/>
      </w:pPr>
      <w:r w:rsidRPr="00886682">
        <w:t xml:space="preserve">The primary motivation of this research is to test what is known about NMI’s diverse client base, fill the gaps and add to the stock of knowledge on these firms. This will enable NMI to strategically extend its outreach and strengthen direct engagements and collaborations and provision of services, support the </w:t>
      </w:r>
      <w:r w:rsidR="008A04B3">
        <w:t>D</w:t>
      </w:r>
      <w:r w:rsidRPr="00886682">
        <w:t xml:space="preserve">epartment’s program suite and prioritise activities based on Australian economic and societal needs. For DIIS, studying fee-for-service activity versus broader grant related analysis will also extend the empirical evidence base on DIIS’s activities. </w:t>
      </w:r>
    </w:p>
    <w:p w14:paraId="3F5CD6B4" w14:textId="636C69D3" w:rsidR="00886682" w:rsidRPr="00886682" w:rsidRDefault="00886682" w:rsidP="00332FD7">
      <w:pPr>
        <w:pStyle w:val="Heading1"/>
      </w:pPr>
      <w:r w:rsidRPr="00886682">
        <w:t xml:space="preserve">Data, methodology and associated issues </w:t>
      </w:r>
    </w:p>
    <w:p w14:paraId="67A5A037" w14:textId="3720759F" w:rsidR="00886682" w:rsidRPr="00886682" w:rsidRDefault="00886682" w:rsidP="00332FD7">
      <w:pPr>
        <w:pStyle w:val="Heading2"/>
      </w:pPr>
      <w:r w:rsidRPr="00886682">
        <w:t xml:space="preserve">Methodology and data sources </w:t>
      </w:r>
    </w:p>
    <w:p w14:paraId="58003C3D" w14:textId="77777777" w:rsidR="00886682" w:rsidRPr="00886682" w:rsidRDefault="00886682" w:rsidP="00332FD7">
      <w:pPr>
        <w:pStyle w:val="Heading3"/>
      </w:pPr>
      <w:r w:rsidRPr="00886682">
        <w:t xml:space="preserve">NMI client databases </w:t>
      </w:r>
    </w:p>
    <w:p w14:paraId="1C13DD55" w14:textId="77777777" w:rsidR="00886682" w:rsidRPr="00886682" w:rsidRDefault="00886682" w:rsidP="00332FD7">
      <w:pPr>
        <w:pStyle w:val="BodyText"/>
      </w:pPr>
      <w:r w:rsidRPr="00886682">
        <w:t xml:space="preserve">Two NMI client databases have been used in this report: the Sample Manager client database and the Test &amp; Calibration client database. The Sample Manager database is the Laboratory Information Management System used by NMI to track the receipt, registration, processing, analysis, reporting and invoicing of chemical and biological analysis services. All of NMI’s analytical services are processed through Sample Manager except for those provided by NMI’s specialist laboratories: the Australian Forensic Drug Laboratory and the Australian Sports Drug Testing Laboratory. The Test &amp; Calibration database provides a workflow management and customer relationship functionality for calibration and testing of physical measurement standards and instruments. This includes quotation, effort logging, job tracking, invoicing, reporting and statistics. </w:t>
      </w:r>
    </w:p>
    <w:p w14:paraId="411ED24E" w14:textId="528A1D87" w:rsidR="00886682" w:rsidRPr="00886682" w:rsidRDefault="00886682" w:rsidP="00332FD7">
      <w:pPr>
        <w:pStyle w:val="BodyText"/>
      </w:pPr>
      <w:r w:rsidRPr="00886682">
        <w:t>Both databases contain detailed client information including a unique client ID assigned by NMI, the client’s Australian Business Number (ABN), the type of service and the transaction va</w:t>
      </w:r>
      <w:r w:rsidR="002043D7">
        <w:t>lue for financial years 2004-05</w:t>
      </w:r>
      <w:r w:rsidR="002043D7">
        <w:rPr>
          <w:rStyle w:val="FootnoteReference"/>
        </w:rPr>
        <w:footnoteReference w:id="5"/>
      </w:r>
      <w:r w:rsidRPr="00886682">
        <w:t xml:space="preserve"> to 2015-2016. The ABNs are the core linking variable to other data sources used to describe NMI’s clients.</w:t>
      </w:r>
    </w:p>
    <w:p w14:paraId="5676DEAA" w14:textId="77777777" w:rsidR="00886682" w:rsidRPr="00886682" w:rsidRDefault="00886682" w:rsidP="00332FD7">
      <w:pPr>
        <w:pStyle w:val="Heading3"/>
      </w:pPr>
      <w:r w:rsidRPr="00886682">
        <w:t xml:space="preserve">Other data sources </w:t>
      </w:r>
    </w:p>
    <w:p w14:paraId="294901EA" w14:textId="1AC52B66" w:rsidR="00A9667A" w:rsidRDefault="00886682" w:rsidP="00332FD7">
      <w:pPr>
        <w:pStyle w:val="BodyText"/>
      </w:pPr>
      <w:r w:rsidRPr="00886682">
        <w:t xml:space="preserve">Finding rich sources of de-identified firm-level data is a challenge, and to link firm-level data requires a reliable matching variable (Australian Business Number). Figure 2.1 outlines all data sources used for this report. </w:t>
      </w:r>
    </w:p>
    <w:p w14:paraId="191EAA5E" w14:textId="77777777" w:rsidR="00A9667A" w:rsidRDefault="00A9667A">
      <w:pPr>
        <w:spacing w:after="200" w:line="276" w:lineRule="auto"/>
        <w:ind w:left="0"/>
        <w:jc w:val="left"/>
        <w:rPr>
          <w:rFonts w:asciiTheme="minorHAnsi" w:hAnsiTheme="minorHAnsi"/>
        </w:rPr>
      </w:pPr>
      <w:r>
        <w:br w:type="page"/>
      </w:r>
    </w:p>
    <w:p w14:paraId="70DB45E5" w14:textId="77777777" w:rsidR="00886682" w:rsidRPr="00A9667A" w:rsidRDefault="00886682" w:rsidP="00332FD7">
      <w:pPr>
        <w:pStyle w:val="BodyText"/>
        <w:rPr>
          <w:b/>
          <w:color w:val="005CAF" w:themeColor="accent1"/>
        </w:rPr>
      </w:pPr>
      <w:r w:rsidRPr="00A9667A">
        <w:rPr>
          <w:b/>
          <w:color w:val="005CAF" w:themeColor="accent1"/>
        </w:rPr>
        <w:lastRenderedPageBreak/>
        <w:t>Australian Business Register (ABR)</w:t>
      </w:r>
    </w:p>
    <w:p w14:paraId="271564DE" w14:textId="34465763" w:rsidR="00886682" w:rsidRPr="00886682" w:rsidRDefault="00886682" w:rsidP="00332FD7">
      <w:pPr>
        <w:pStyle w:val="BodyText"/>
      </w:pPr>
      <w:r w:rsidRPr="00886682">
        <w:t xml:space="preserve">When an ABN is registered the business identity information is stored in the ABR </w:t>
      </w:r>
      <w:r w:rsidR="002043D7">
        <w:t>as public and non-public data.</w:t>
      </w:r>
      <w:r w:rsidR="002043D7">
        <w:rPr>
          <w:rStyle w:val="FootnoteReference"/>
        </w:rPr>
        <w:footnoteReference w:id="6"/>
      </w:r>
      <w:r w:rsidR="00435665">
        <w:t xml:space="preserve"> </w:t>
      </w:r>
      <w:r w:rsidRPr="00886682">
        <w:t>This dataset contains entity type, name, industry, location and contact information of each registered business in Australia. The main use for the ABR in this report is to identify the Australian and N</w:t>
      </w:r>
      <w:r w:rsidR="00694C9E">
        <w:t xml:space="preserve">ew </w:t>
      </w:r>
      <w:r w:rsidRPr="00886682">
        <w:t>Z</w:t>
      </w:r>
      <w:r w:rsidR="00694C9E">
        <w:t>ealand</w:t>
      </w:r>
      <w:r w:rsidRPr="00886682">
        <w:t xml:space="preserve"> Standard Industrial Classification (ANZSIC) of NMI clients. Only eligible government agencies can access and use the non-public data to provide improved community services. </w:t>
      </w:r>
    </w:p>
    <w:p w14:paraId="7ACB6A18" w14:textId="77777777" w:rsidR="00886682" w:rsidRPr="00A9667A" w:rsidRDefault="00886682" w:rsidP="00332FD7">
      <w:pPr>
        <w:pStyle w:val="BodyText"/>
        <w:rPr>
          <w:b/>
          <w:color w:val="005CAF" w:themeColor="accent1"/>
        </w:rPr>
      </w:pPr>
      <w:r w:rsidRPr="00A9667A">
        <w:rPr>
          <w:b/>
          <w:color w:val="005CAF" w:themeColor="accent1"/>
        </w:rPr>
        <w:t xml:space="preserve">Intellectual Property Government Open Data (IPGOD) </w:t>
      </w:r>
    </w:p>
    <w:p w14:paraId="68B20590" w14:textId="73181F38" w:rsidR="00886682" w:rsidRPr="00886682" w:rsidRDefault="00886682" w:rsidP="00332FD7">
      <w:pPr>
        <w:pStyle w:val="BodyText"/>
      </w:pPr>
      <w:r w:rsidRPr="00886682">
        <w:t>The IPGOD is the first complete and open national Intellectual Property (IP) register that links IP rights to business numbers, and contains over 100 years of records comprising patents, trade marks, designs and plant breeder</w:t>
      </w:r>
      <w:r w:rsidR="002043D7">
        <w:t>’s rights held by IP Australia.</w:t>
      </w:r>
      <w:r w:rsidR="00150E54">
        <w:rPr>
          <w:rStyle w:val="FootnoteReference"/>
        </w:rPr>
        <w:footnoteReference w:id="7"/>
      </w:r>
      <w:r w:rsidRPr="00886682">
        <w:t xml:space="preserve"> IPGOD contains registrant information such as ABNs, business name and application status. </w:t>
      </w:r>
    </w:p>
    <w:p w14:paraId="108C666B" w14:textId="4CAC1C71" w:rsidR="00886682" w:rsidRPr="00A9667A" w:rsidRDefault="00886682" w:rsidP="00332FD7">
      <w:pPr>
        <w:pStyle w:val="BodyText"/>
        <w:rPr>
          <w:b/>
          <w:color w:val="005CAF" w:themeColor="accent1"/>
        </w:rPr>
      </w:pPr>
      <w:r w:rsidRPr="00A9667A">
        <w:rPr>
          <w:b/>
          <w:color w:val="005CAF" w:themeColor="accent1"/>
        </w:rPr>
        <w:t xml:space="preserve">Department of Industry, Innovation and Science program data </w:t>
      </w:r>
    </w:p>
    <w:p w14:paraId="7541C912" w14:textId="1C4751C5" w:rsidR="00886682" w:rsidRPr="00886682" w:rsidRDefault="00886682" w:rsidP="00332FD7">
      <w:pPr>
        <w:pStyle w:val="BodyText"/>
      </w:pPr>
      <w:r w:rsidRPr="00886682">
        <w:t>DIIS holds program interaction reports, providing firm level reporting on all the applications for assistance that a business entity has made with the Department. This includes th</w:t>
      </w:r>
      <w:r w:rsidR="00776AD5">
        <w:t>e business’s ABN, name, program</w:t>
      </w:r>
      <w:r w:rsidRPr="00886682">
        <w:t xml:space="preserve"> and application status. </w:t>
      </w:r>
    </w:p>
    <w:p w14:paraId="77CBAC33" w14:textId="77777777" w:rsidR="00886682" w:rsidRPr="00A9667A" w:rsidRDefault="00886682" w:rsidP="00332FD7">
      <w:pPr>
        <w:pStyle w:val="BodyText"/>
        <w:rPr>
          <w:b/>
          <w:color w:val="005CAF" w:themeColor="accent1"/>
        </w:rPr>
      </w:pPr>
      <w:r w:rsidRPr="00A9667A">
        <w:rPr>
          <w:b/>
          <w:color w:val="005CAF" w:themeColor="accent1"/>
        </w:rPr>
        <w:t xml:space="preserve">R&amp;D Registration data </w:t>
      </w:r>
    </w:p>
    <w:p w14:paraId="5B9A19AF" w14:textId="77777777" w:rsidR="00886682" w:rsidRDefault="00886682" w:rsidP="00332FD7">
      <w:pPr>
        <w:pStyle w:val="BodyText"/>
      </w:pPr>
      <w:r w:rsidRPr="00886682">
        <w:t xml:space="preserve">The Australian Tax Office and DIIS (on behalf of Innovation and Science Australia) jointly administer the R&amp;D Tax Incentive. R&amp;D activities must be registered with DIIS before the tax offset is claimed, and DIIS determines if the expenditure claimed for R&amp;D activities is eligible for the tax offset. </w:t>
      </w:r>
    </w:p>
    <w:p w14:paraId="09F5970E" w14:textId="684CCE39" w:rsidR="00072BFF" w:rsidRDefault="00072BFF" w:rsidP="00DC4B2E">
      <w:pPr>
        <w:pStyle w:val="CaptionWide"/>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2</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w:t>
      </w:r>
      <w:r w:rsidRPr="000618FB">
        <w:fldChar w:fldCharType="end"/>
      </w:r>
      <w:r>
        <w:t xml:space="preserve">: Sources of data  </w:t>
      </w:r>
    </w:p>
    <w:tbl>
      <w:tblPr>
        <w:tblStyle w:val="OCETable"/>
        <w:tblW w:w="6379" w:type="pct"/>
        <w:tblInd w:w="-1877" w:type="dxa"/>
        <w:tblLayout w:type="fixed"/>
        <w:tblLook w:val="04A0" w:firstRow="1" w:lastRow="0" w:firstColumn="1" w:lastColumn="0" w:noHBand="0" w:noVBand="1"/>
        <w:tblCaption w:val="Placeholder table"/>
      </w:tblPr>
      <w:tblGrid>
        <w:gridCol w:w="8795"/>
      </w:tblGrid>
      <w:tr w:rsidR="00072BFF" w14:paraId="6EE4FC4A" w14:textId="77777777" w:rsidTr="005B4497">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2DB0B38D" w14:textId="02598F73" w:rsidR="00072BFF" w:rsidRDefault="00072BFF" w:rsidP="00072BFF">
            <w:pPr>
              <w:pStyle w:val="PlaceholderWide"/>
              <w:ind w:left="-1985"/>
              <w:jc w:val="right"/>
            </w:pPr>
            <w:r>
              <w:rPr>
                <w:noProof/>
                <w:lang w:eastAsia="en-AU"/>
              </w:rPr>
              <w:drawing>
                <wp:inline distT="0" distB="0" distL="0" distR="0" wp14:anchorId="40E0D0A5" wp14:editId="2A0C887C">
                  <wp:extent cx="5401067" cy="3797816"/>
                  <wp:effectExtent l="0" t="0" r="0" b="0"/>
                  <wp:docPr id="17" name="Picture 17" descr="Depicts the sources of NMI data. &#10;&#10;This includes R&amp;D Registrations, Australian Business Registry, Intellectual Property Government Open Data and DIIS Programme suite. " title="Figure 2.1: Sources of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 2.1-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1067" cy="3797816"/>
                          </a:xfrm>
                          <a:prstGeom prst="rect">
                            <a:avLst/>
                          </a:prstGeom>
                        </pic:spPr>
                      </pic:pic>
                    </a:graphicData>
                  </a:graphic>
                </wp:inline>
              </w:drawing>
            </w:r>
          </w:p>
        </w:tc>
      </w:tr>
    </w:tbl>
    <w:p w14:paraId="28EB21EF" w14:textId="30F45399" w:rsidR="00072BFF" w:rsidRDefault="00072BFF" w:rsidP="00DC4B2E">
      <w:pPr>
        <w:pStyle w:val="SourceWide"/>
      </w:pPr>
      <w:r>
        <w:t>Source: Department of Industry, Innovation and Science (2017)</w:t>
      </w:r>
    </w:p>
    <w:p w14:paraId="0A328D6C" w14:textId="6D7C2FF8" w:rsidR="00886682" w:rsidRPr="00886682" w:rsidRDefault="00886682" w:rsidP="00332FD7">
      <w:pPr>
        <w:pStyle w:val="Heading2"/>
      </w:pPr>
      <w:r w:rsidRPr="00886682">
        <w:t xml:space="preserve">Data limitations </w:t>
      </w:r>
    </w:p>
    <w:p w14:paraId="50682FB7" w14:textId="18647DA9" w:rsidR="00886682" w:rsidRPr="00886682" w:rsidRDefault="00886682" w:rsidP="00332FD7">
      <w:pPr>
        <w:pStyle w:val="BodyText"/>
      </w:pPr>
      <w:r w:rsidRPr="00886682">
        <w:t>The ABN of firms allows the linkage of NMI client databases to external datasets. However, not all clients in NMI’s databases have reported an ABN</w:t>
      </w:r>
      <w:r w:rsidR="00137D4F">
        <w:t>.</w:t>
      </w:r>
      <w:r w:rsidRPr="00886682">
        <w:t xml:space="preserve"> </w:t>
      </w:r>
      <w:r w:rsidR="00137D4F">
        <w:t xml:space="preserve">This is </w:t>
      </w:r>
      <w:r w:rsidRPr="00886682">
        <w:t>either</w:t>
      </w:r>
      <w:r w:rsidR="00137D4F">
        <w:t xml:space="preserve"> because</w:t>
      </w:r>
      <w:r w:rsidRPr="00886682">
        <w:t xml:space="preserve"> the ABN entry is invalid, or the client does not have an ABN registered with the Australian Tax Office. The client may not be an Australian company or does not need to collect GST, and therefore will not be required to register. It is assumed omission of ABNs are random and therefore do not bias any results. </w:t>
      </w:r>
    </w:p>
    <w:p w14:paraId="47FB6442" w14:textId="533AFBA7" w:rsidR="00886682" w:rsidRPr="00886682" w:rsidRDefault="00886682" w:rsidP="00332FD7">
      <w:pPr>
        <w:pStyle w:val="BodyText"/>
      </w:pPr>
      <w:r w:rsidRPr="00886682">
        <w:t>A number of clients considered distinct by NMI (distinct client name an</w:t>
      </w:r>
      <w:r w:rsidR="002043D7">
        <w:t>d client identification number)</w:t>
      </w:r>
      <w:r w:rsidRPr="00886682">
        <w:t xml:space="preserve"> will report the same ABN and presumably these firms will be a part of a larger Enterprise Group. As analysis is based on matching NMI client ABNs to other datasets, multiple clients reporting the same ABN will be treated as one entity throughout this report. </w:t>
      </w:r>
    </w:p>
    <w:p w14:paraId="12421D95" w14:textId="77777777" w:rsidR="00886682" w:rsidRPr="00886682" w:rsidRDefault="00886682" w:rsidP="00332FD7">
      <w:pPr>
        <w:pStyle w:val="BodyText"/>
      </w:pPr>
      <w:r w:rsidRPr="00886682">
        <w:t xml:space="preserve">There has been considerable improvement in reporting of ABNs for the Sample Manager client database since 2004-05, as shown in Table 2.1. In the most recent year of data collected (2015-16), 82.3 per cent of NMI clients reported a valid ABN. The second column shows the number of distinct ABNs used in this report. </w:t>
      </w:r>
    </w:p>
    <w:p w14:paraId="0D759C4C" w14:textId="77777777" w:rsidR="00886682" w:rsidRPr="00886682" w:rsidRDefault="00886682" w:rsidP="00332FD7">
      <w:pPr>
        <w:pStyle w:val="BodyText"/>
      </w:pPr>
      <w:r w:rsidRPr="00886682">
        <w:t xml:space="preserve">The Test &amp; Calibration client database has had a more consistent reporting rate of ABNs over time, with 68.0 per cent of clients reporting an ABN in the 2015-16 year (Table 2.1). This database is about one fifth of the size of the Sample Manager client database when comparing the distinct count of ABNs.  </w:t>
      </w:r>
    </w:p>
    <w:p w14:paraId="73F9C7CE" w14:textId="7F615575" w:rsidR="00886682" w:rsidRPr="00886682" w:rsidRDefault="00320BE6" w:rsidP="00332FD7">
      <w:pPr>
        <w:pStyle w:val="BodyText"/>
      </w:pPr>
      <w:r>
        <w:lastRenderedPageBreak/>
        <w:t xml:space="preserve">This report uses </w:t>
      </w:r>
      <w:r w:rsidR="00E83CF0">
        <w:t xml:space="preserve">NMI client </w:t>
      </w:r>
      <w:r>
        <w:t>data</w:t>
      </w:r>
      <w:r w:rsidR="00886682" w:rsidRPr="00886682">
        <w:t xml:space="preserve"> </w:t>
      </w:r>
      <w:r w:rsidR="00C92DF6">
        <w:t xml:space="preserve">that is </w:t>
      </w:r>
      <w:r w:rsidR="00E83CF0">
        <w:t xml:space="preserve">available </w:t>
      </w:r>
      <w:r w:rsidR="005C06E1">
        <w:t xml:space="preserve">up </w:t>
      </w:r>
      <w:r w:rsidR="00E83CF0">
        <w:t>to</w:t>
      </w:r>
      <w:r w:rsidR="00940062">
        <w:t xml:space="preserve"> 2015-16, however </w:t>
      </w:r>
      <w:r w:rsidR="00E83CF0">
        <w:t>when matching to</w:t>
      </w:r>
      <w:r w:rsidR="00886682" w:rsidRPr="00886682">
        <w:t xml:space="preserve"> external </w:t>
      </w:r>
      <w:r w:rsidR="00E83CF0">
        <w:t xml:space="preserve">data </w:t>
      </w:r>
      <w:r w:rsidR="00886682" w:rsidRPr="00886682">
        <w:t xml:space="preserve">sources, typically </w:t>
      </w:r>
      <w:r w:rsidR="00337AD0">
        <w:t xml:space="preserve">2014-15 will be </w:t>
      </w:r>
      <w:r w:rsidR="00886682" w:rsidRPr="00886682">
        <w:t xml:space="preserve">the latest year of </w:t>
      </w:r>
      <w:r w:rsidR="00337AD0">
        <w:t>available data.</w:t>
      </w:r>
    </w:p>
    <w:p w14:paraId="50730C84" w14:textId="3961C024" w:rsidR="00886682" w:rsidRDefault="00886682" w:rsidP="00332FD7">
      <w:pPr>
        <w:pStyle w:val="BodyText"/>
      </w:pPr>
      <w:r w:rsidRPr="00886682">
        <w:t>To assist in the comparison of results, in some cases an all-firm ‘benchmark’ has been constructed using all employing firms in Australia. This is to provide a baseline to compare the NMI client group, and using only employing firms trim</w:t>
      </w:r>
      <w:r w:rsidR="00863D16">
        <w:t>s</w:t>
      </w:r>
      <w:r w:rsidRPr="00886682">
        <w:t xml:space="preserve"> the active non-employing business</w:t>
      </w:r>
      <w:r w:rsidR="002043D7">
        <w:t>es that are a poor comparison.</w:t>
      </w:r>
      <w:r w:rsidR="002043D7">
        <w:rPr>
          <w:rStyle w:val="FootnoteReference"/>
        </w:rPr>
        <w:footnoteReference w:id="8"/>
      </w:r>
      <w:r w:rsidR="002043D7">
        <w:t xml:space="preserve"> </w:t>
      </w:r>
      <w:r w:rsidRPr="00886682">
        <w:t>In other cases, NMI client results are compared to distinct industries that are highly representative of NMI clients. This is an attempt to compare</w:t>
      </w:r>
      <w:r w:rsidR="00332FD7">
        <w:t xml:space="preserve"> NMI clients with like firms.</w:t>
      </w:r>
    </w:p>
    <w:p w14:paraId="7DCB50CB" w14:textId="1B36DFED" w:rsidR="009B2CD4" w:rsidRPr="000618FB" w:rsidRDefault="009B2CD4" w:rsidP="00A04EC9">
      <w:pPr>
        <w:pStyle w:val="CaptionWide"/>
      </w:pPr>
      <w:r w:rsidRPr="000618FB">
        <w:t xml:space="preserve">Table </w:t>
      </w:r>
      <w:r w:rsidR="00B177DE">
        <w:rPr>
          <w:noProof/>
        </w:rPr>
        <w:fldChar w:fldCharType="begin"/>
      </w:r>
      <w:r w:rsidR="00B177DE">
        <w:rPr>
          <w:noProof/>
        </w:rPr>
        <w:instrText xml:space="preserve"> STYLEREF 1 \s </w:instrText>
      </w:r>
      <w:r w:rsidR="00B177DE">
        <w:rPr>
          <w:noProof/>
        </w:rPr>
        <w:fldChar w:fldCharType="separate"/>
      </w:r>
      <w:r w:rsidR="00C871E1">
        <w:rPr>
          <w:noProof/>
        </w:rPr>
        <w:t>2</w:t>
      </w:r>
      <w:r w:rsidR="00B177DE">
        <w:rPr>
          <w:noProof/>
        </w:rPr>
        <w:fldChar w:fldCharType="end"/>
      </w:r>
      <w:r w:rsidRPr="000618FB">
        <w:t>.</w:t>
      </w:r>
      <w:r w:rsidR="00B177DE">
        <w:rPr>
          <w:noProof/>
        </w:rPr>
        <w:fldChar w:fldCharType="begin"/>
      </w:r>
      <w:r w:rsidR="00B177DE">
        <w:rPr>
          <w:noProof/>
        </w:rPr>
        <w:instrText xml:space="preserve"> SEQ Table \* ARABIC \s 1 </w:instrText>
      </w:r>
      <w:r w:rsidR="00B177DE">
        <w:rPr>
          <w:noProof/>
        </w:rPr>
        <w:fldChar w:fldCharType="separate"/>
      </w:r>
      <w:r w:rsidR="00C871E1">
        <w:rPr>
          <w:noProof/>
        </w:rPr>
        <w:t>1</w:t>
      </w:r>
      <w:r w:rsidR="00B177DE">
        <w:rPr>
          <w:noProof/>
        </w:rPr>
        <w:fldChar w:fldCharType="end"/>
      </w:r>
      <w:r>
        <w:t>: Share of clients with reported ABN and counts of distinct ABNs</w:t>
      </w:r>
    </w:p>
    <w:tbl>
      <w:tblPr>
        <w:tblStyle w:val="OCETable"/>
        <w:tblW w:w="6250" w:type="pct"/>
        <w:tblInd w:w="-1877" w:type="dxa"/>
        <w:tblLayout w:type="fixed"/>
        <w:tblLook w:val="04A0" w:firstRow="1" w:lastRow="0" w:firstColumn="1" w:lastColumn="0" w:noHBand="0" w:noVBand="1"/>
        <w:tblCaption w:val="Table 2.1"/>
        <w:tblDescription w:val="Share of clients with reported ABN and counts of distinct ABNs"/>
      </w:tblPr>
      <w:tblGrid>
        <w:gridCol w:w="1723"/>
        <w:gridCol w:w="1723"/>
        <w:gridCol w:w="1724"/>
        <w:gridCol w:w="1724"/>
        <w:gridCol w:w="1724"/>
      </w:tblGrid>
      <w:tr w:rsidR="00A15517" w14:paraId="1D393B6E" w14:textId="77777777" w:rsidTr="005B4497">
        <w:trPr>
          <w:cnfStyle w:val="100000000000" w:firstRow="1" w:lastRow="0" w:firstColumn="0" w:lastColumn="0" w:oddVBand="0" w:evenVBand="0" w:oddHBand="0" w:evenHBand="0" w:firstRowFirstColumn="0" w:firstRowLastColumn="0" w:lastRowFirstColumn="0" w:lastRowLastColumn="0"/>
          <w:trHeight w:val="405"/>
          <w:tblHeader/>
        </w:trPr>
        <w:tc>
          <w:tcPr>
            <w:tcW w:w="1370" w:type="dxa"/>
          </w:tcPr>
          <w:p w14:paraId="70E28BBF" w14:textId="77777777" w:rsidR="00A15517" w:rsidRDefault="00A15517" w:rsidP="00A15517">
            <w:pPr>
              <w:pStyle w:val="Tableheadertext"/>
              <w:rPr>
                <w:lang w:eastAsia="en-AU"/>
              </w:rPr>
            </w:pPr>
            <w:r>
              <w:rPr>
                <w:lang w:eastAsia="en-AU"/>
              </w:rPr>
              <w:t>Year</w:t>
            </w:r>
          </w:p>
        </w:tc>
        <w:tc>
          <w:tcPr>
            <w:tcW w:w="2740" w:type="dxa"/>
            <w:gridSpan w:val="2"/>
          </w:tcPr>
          <w:p w14:paraId="3E181F30" w14:textId="77777777" w:rsidR="00A15517" w:rsidRDefault="00A15517" w:rsidP="00A15517">
            <w:pPr>
              <w:pStyle w:val="Tableheadertext"/>
              <w:jc w:val="right"/>
              <w:rPr>
                <w:lang w:eastAsia="en-AU"/>
              </w:rPr>
            </w:pPr>
            <w:r>
              <w:rPr>
                <w:lang w:eastAsia="en-AU"/>
              </w:rPr>
              <w:t>Sample Manager client database</w:t>
            </w:r>
          </w:p>
        </w:tc>
        <w:tc>
          <w:tcPr>
            <w:tcW w:w="2740" w:type="dxa"/>
            <w:gridSpan w:val="2"/>
          </w:tcPr>
          <w:p w14:paraId="3E715791" w14:textId="77777777" w:rsidR="00A15517" w:rsidRDefault="00A15517" w:rsidP="00A15517">
            <w:pPr>
              <w:pStyle w:val="Tableheadertext"/>
              <w:jc w:val="right"/>
              <w:rPr>
                <w:lang w:eastAsia="en-AU"/>
              </w:rPr>
            </w:pPr>
            <w:r>
              <w:rPr>
                <w:lang w:eastAsia="en-AU"/>
              </w:rPr>
              <w:t xml:space="preserve">Test &amp; Calibration client database </w:t>
            </w:r>
          </w:p>
        </w:tc>
      </w:tr>
      <w:tr w:rsidR="00A15517" w14:paraId="384860B3" w14:textId="77777777" w:rsidTr="00A15517">
        <w:trPr>
          <w:cnfStyle w:val="000000100000" w:firstRow="0" w:lastRow="0" w:firstColumn="0" w:lastColumn="0" w:oddVBand="0" w:evenVBand="0" w:oddHBand="1" w:evenHBand="0" w:firstRowFirstColumn="0" w:firstRowLastColumn="0" w:lastRowFirstColumn="0" w:lastRowLastColumn="0"/>
          <w:trHeight w:val="297"/>
        </w:trPr>
        <w:tc>
          <w:tcPr>
            <w:tcW w:w="1370" w:type="dxa"/>
          </w:tcPr>
          <w:p w14:paraId="37A9B810" w14:textId="77777777" w:rsidR="00A15517" w:rsidRDefault="00A15517" w:rsidP="00A15517">
            <w:pPr>
              <w:pStyle w:val="Tablebodytext"/>
              <w:rPr>
                <w:lang w:eastAsia="en-AU"/>
              </w:rPr>
            </w:pPr>
          </w:p>
        </w:tc>
        <w:tc>
          <w:tcPr>
            <w:tcW w:w="1370" w:type="dxa"/>
          </w:tcPr>
          <w:p w14:paraId="05071422" w14:textId="77777777" w:rsidR="00A15517" w:rsidRDefault="00A15517" w:rsidP="00A15517">
            <w:pPr>
              <w:pStyle w:val="Tablebodytext"/>
              <w:jc w:val="right"/>
              <w:rPr>
                <w:lang w:eastAsia="en-AU"/>
              </w:rPr>
            </w:pPr>
            <w:r>
              <w:rPr>
                <w:lang w:eastAsia="en-AU"/>
              </w:rPr>
              <w:t>Reported ABN</w:t>
            </w:r>
          </w:p>
          <w:p w14:paraId="7B9C196A" w14:textId="4429EBF6" w:rsidR="00A15517" w:rsidRDefault="00A15517" w:rsidP="00A15517">
            <w:pPr>
              <w:pStyle w:val="Tablebodytext"/>
              <w:jc w:val="right"/>
              <w:rPr>
                <w:lang w:eastAsia="en-AU"/>
              </w:rPr>
            </w:pPr>
            <w:r>
              <w:rPr>
                <w:lang w:eastAsia="en-AU"/>
              </w:rPr>
              <w:t xml:space="preserve">(per cent) </w:t>
            </w:r>
          </w:p>
        </w:tc>
        <w:tc>
          <w:tcPr>
            <w:tcW w:w="1370" w:type="dxa"/>
          </w:tcPr>
          <w:p w14:paraId="2E87F923" w14:textId="77777777" w:rsidR="00A15517" w:rsidRDefault="00A15517" w:rsidP="00A15517">
            <w:pPr>
              <w:pStyle w:val="Tablebodytext"/>
              <w:jc w:val="right"/>
              <w:rPr>
                <w:lang w:eastAsia="en-AU"/>
              </w:rPr>
            </w:pPr>
            <w:r>
              <w:rPr>
                <w:lang w:eastAsia="en-AU"/>
              </w:rPr>
              <w:t>Unique ABNs</w:t>
            </w:r>
          </w:p>
        </w:tc>
        <w:tc>
          <w:tcPr>
            <w:tcW w:w="1370" w:type="dxa"/>
          </w:tcPr>
          <w:p w14:paraId="316D707C" w14:textId="77777777" w:rsidR="00A15517" w:rsidRDefault="00A15517" w:rsidP="00A15517">
            <w:pPr>
              <w:pStyle w:val="Tablebodytext"/>
              <w:jc w:val="right"/>
              <w:rPr>
                <w:lang w:eastAsia="en-AU"/>
              </w:rPr>
            </w:pPr>
            <w:r>
              <w:rPr>
                <w:lang w:eastAsia="en-AU"/>
              </w:rPr>
              <w:t>Reported ABN</w:t>
            </w:r>
          </w:p>
          <w:p w14:paraId="4E810470" w14:textId="174E1B4E" w:rsidR="00A15517" w:rsidRDefault="00A15517" w:rsidP="00A15517">
            <w:pPr>
              <w:pStyle w:val="Tablebodytext"/>
              <w:jc w:val="right"/>
              <w:rPr>
                <w:lang w:eastAsia="en-AU"/>
              </w:rPr>
            </w:pPr>
            <w:r w:rsidRPr="005072A3">
              <w:rPr>
                <w:lang w:eastAsia="en-AU"/>
              </w:rPr>
              <w:t xml:space="preserve">(per cent) </w:t>
            </w:r>
          </w:p>
        </w:tc>
        <w:tc>
          <w:tcPr>
            <w:tcW w:w="1370" w:type="dxa"/>
          </w:tcPr>
          <w:p w14:paraId="469409CA" w14:textId="77777777" w:rsidR="00A15517" w:rsidRDefault="00A15517" w:rsidP="00A15517">
            <w:pPr>
              <w:pStyle w:val="Tablebodytext"/>
              <w:jc w:val="right"/>
              <w:rPr>
                <w:lang w:eastAsia="en-AU"/>
              </w:rPr>
            </w:pPr>
            <w:r>
              <w:rPr>
                <w:lang w:eastAsia="en-AU"/>
              </w:rPr>
              <w:t>Unique ABNs</w:t>
            </w:r>
          </w:p>
        </w:tc>
      </w:tr>
      <w:tr w:rsidR="00A15517" w14:paraId="6120DAA0" w14:textId="77777777" w:rsidTr="00A15517">
        <w:trPr>
          <w:cnfStyle w:val="000000010000" w:firstRow="0" w:lastRow="0" w:firstColumn="0" w:lastColumn="0" w:oddVBand="0" w:evenVBand="0" w:oddHBand="0" w:evenHBand="1" w:firstRowFirstColumn="0" w:firstRowLastColumn="0" w:lastRowFirstColumn="0" w:lastRowLastColumn="0"/>
          <w:trHeight w:val="297"/>
        </w:trPr>
        <w:tc>
          <w:tcPr>
            <w:tcW w:w="1370" w:type="dxa"/>
          </w:tcPr>
          <w:p w14:paraId="4BB29675" w14:textId="7601606C" w:rsidR="00A15517" w:rsidRDefault="00A15517" w:rsidP="00A15517">
            <w:pPr>
              <w:pStyle w:val="Tablebodytext"/>
              <w:rPr>
                <w:lang w:eastAsia="en-AU"/>
              </w:rPr>
            </w:pPr>
            <w:r>
              <w:rPr>
                <w:lang w:eastAsia="en-AU"/>
              </w:rPr>
              <w:t>2004</w:t>
            </w:r>
            <w:r>
              <w:rPr>
                <w:rFonts w:ascii="Calibri" w:hAnsi="Calibri"/>
                <w:lang w:eastAsia="en-AU"/>
              </w:rPr>
              <w:t>–</w:t>
            </w:r>
            <w:r>
              <w:rPr>
                <w:lang w:eastAsia="en-AU"/>
              </w:rPr>
              <w:t>05</w:t>
            </w:r>
          </w:p>
        </w:tc>
        <w:tc>
          <w:tcPr>
            <w:tcW w:w="1370" w:type="dxa"/>
          </w:tcPr>
          <w:p w14:paraId="1D42E1C5" w14:textId="77777777" w:rsidR="00A15517" w:rsidRDefault="00A15517" w:rsidP="00A15517">
            <w:pPr>
              <w:pStyle w:val="Tablebodytext"/>
              <w:jc w:val="right"/>
              <w:rPr>
                <w:lang w:eastAsia="en-AU"/>
              </w:rPr>
            </w:pPr>
            <w:r>
              <w:rPr>
                <w:lang w:eastAsia="en-AU"/>
              </w:rPr>
              <w:t>43.8</w:t>
            </w:r>
          </w:p>
        </w:tc>
        <w:tc>
          <w:tcPr>
            <w:tcW w:w="1370" w:type="dxa"/>
          </w:tcPr>
          <w:p w14:paraId="29DBFF2F" w14:textId="77777777" w:rsidR="00A15517" w:rsidRDefault="00A15517" w:rsidP="00A15517">
            <w:pPr>
              <w:pStyle w:val="Tablebodytext"/>
              <w:jc w:val="right"/>
              <w:rPr>
                <w:lang w:eastAsia="en-AU"/>
              </w:rPr>
            </w:pPr>
            <w:r>
              <w:rPr>
                <w:lang w:eastAsia="en-AU"/>
              </w:rPr>
              <w:t>1117</w:t>
            </w:r>
          </w:p>
        </w:tc>
        <w:tc>
          <w:tcPr>
            <w:tcW w:w="1370" w:type="dxa"/>
          </w:tcPr>
          <w:p w14:paraId="77D985E3" w14:textId="77777777" w:rsidR="00A15517" w:rsidRDefault="00A15517" w:rsidP="00A15517">
            <w:pPr>
              <w:pStyle w:val="Tablebodytext"/>
              <w:jc w:val="right"/>
              <w:rPr>
                <w:lang w:eastAsia="en-AU"/>
              </w:rPr>
            </w:pPr>
            <w:r>
              <w:rPr>
                <w:lang w:eastAsia="en-AU"/>
              </w:rPr>
              <w:t>n/a</w:t>
            </w:r>
          </w:p>
        </w:tc>
        <w:tc>
          <w:tcPr>
            <w:tcW w:w="1370" w:type="dxa"/>
          </w:tcPr>
          <w:p w14:paraId="6EF2512B" w14:textId="77777777" w:rsidR="00A15517" w:rsidRDefault="00A15517" w:rsidP="00A15517">
            <w:pPr>
              <w:pStyle w:val="Tablebodytext"/>
              <w:jc w:val="right"/>
              <w:rPr>
                <w:lang w:eastAsia="en-AU"/>
              </w:rPr>
            </w:pPr>
            <w:r>
              <w:rPr>
                <w:lang w:eastAsia="en-AU"/>
              </w:rPr>
              <w:t>n/a</w:t>
            </w:r>
          </w:p>
        </w:tc>
      </w:tr>
      <w:tr w:rsidR="00A15517" w14:paraId="208F751C" w14:textId="77777777" w:rsidTr="00A15517">
        <w:trPr>
          <w:cnfStyle w:val="000000100000" w:firstRow="0" w:lastRow="0" w:firstColumn="0" w:lastColumn="0" w:oddVBand="0" w:evenVBand="0" w:oddHBand="1" w:evenHBand="0" w:firstRowFirstColumn="0" w:firstRowLastColumn="0" w:lastRowFirstColumn="0" w:lastRowLastColumn="0"/>
          <w:trHeight w:val="283"/>
        </w:trPr>
        <w:tc>
          <w:tcPr>
            <w:tcW w:w="1370" w:type="dxa"/>
          </w:tcPr>
          <w:p w14:paraId="44701DA4" w14:textId="5222B36A" w:rsidR="00A15517" w:rsidRDefault="00A15517" w:rsidP="00A15517">
            <w:pPr>
              <w:pStyle w:val="Tablebodytext"/>
              <w:rPr>
                <w:lang w:eastAsia="en-AU"/>
              </w:rPr>
            </w:pPr>
            <w:r>
              <w:rPr>
                <w:lang w:eastAsia="en-AU"/>
              </w:rPr>
              <w:t>2005</w:t>
            </w:r>
            <w:r>
              <w:rPr>
                <w:rFonts w:ascii="Calibri" w:hAnsi="Calibri"/>
                <w:lang w:eastAsia="en-AU"/>
              </w:rPr>
              <w:t>–</w:t>
            </w:r>
            <w:r>
              <w:rPr>
                <w:lang w:eastAsia="en-AU"/>
              </w:rPr>
              <w:t>06</w:t>
            </w:r>
          </w:p>
        </w:tc>
        <w:tc>
          <w:tcPr>
            <w:tcW w:w="1370" w:type="dxa"/>
          </w:tcPr>
          <w:p w14:paraId="1C2DFD8A" w14:textId="77777777" w:rsidR="00A15517" w:rsidRDefault="00A15517" w:rsidP="00A15517">
            <w:pPr>
              <w:pStyle w:val="Tablebodytext"/>
              <w:jc w:val="right"/>
              <w:rPr>
                <w:lang w:eastAsia="en-AU"/>
              </w:rPr>
            </w:pPr>
            <w:r>
              <w:rPr>
                <w:lang w:eastAsia="en-AU"/>
              </w:rPr>
              <w:t>53.6</w:t>
            </w:r>
          </w:p>
        </w:tc>
        <w:tc>
          <w:tcPr>
            <w:tcW w:w="1370" w:type="dxa"/>
          </w:tcPr>
          <w:p w14:paraId="2B644C42" w14:textId="77777777" w:rsidR="00A15517" w:rsidRDefault="00A15517" w:rsidP="00A15517">
            <w:pPr>
              <w:pStyle w:val="Tablebodytext"/>
              <w:jc w:val="right"/>
              <w:rPr>
                <w:lang w:eastAsia="en-AU"/>
              </w:rPr>
            </w:pPr>
            <w:r>
              <w:rPr>
                <w:lang w:eastAsia="en-AU"/>
              </w:rPr>
              <w:t>1090</w:t>
            </w:r>
          </w:p>
        </w:tc>
        <w:tc>
          <w:tcPr>
            <w:tcW w:w="1370" w:type="dxa"/>
          </w:tcPr>
          <w:p w14:paraId="41CE5180" w14:textId="77777777" w:rsidR="00A15517" w:rsidRDefault="00A15517" w:rsidP="00A15517">
            <w:pPr>
              <w:pStyle w:val="Tablebodytext"/>
              <w:jc w:val="right"/>
              <w:rPr>
                <w:lang w:eastAsia="en-AU"/>
              </w:rPr>
            </w:pPr>
            <w:r>
              <w:rPr>
                <w:lang w:eastAsia="en-AU"/>
              </w:rPr>
              <w:t>77.2</w:t>
            </w:r>
          </w:p>
        </w:tc>
        <w:tc>
          <w:tcPr>
            <w:tcW w:w="1370" w:type="dxa"/>
          </w:tcPr>
          <w:p w14:paraId="231966F4" w14:textId="77777777" w:rsidR="00A15517" w:rsidRDefault="00A15517" w:rsidP="00A15517">
            <w:pPr>
              <w:pStyle w:val="Tablebodytext"/>
              <w:jc w:val="right"/>
              <w:rPr>
                <w:lang w:eastAsia="en-AU"/>
              </w:rPr>
            </w:pPr>
            <w:r>
              <w:rPr>
                <w:lang w:eastAsia="en-AU"/>
              </w:rPr>
              <w:t>118</w:t>
            </w:r>
          </w:p>
        </w:tc>
      </w:tr>
      <w:tr w:rsidR="00A15517" w14:paraId="64FAF54E" w14:textId="77777777" w:rsidTr="00A15517">
        <w:trPr>
          <w:cnfStyle w:val="000000010000" w:firstRow="0" w:lastRow="0" w:firstColumn="0" w:lastColumn="0" w:oddVBand="0" w:evenVBand="0" w:oddHBand="0" w:evenHBand="1" w:firstRowFirstColumn="0" w:firstRowLastColumn="0" w:lastRowFirstColumn="0" w:lastRowLastColumn="0"/>
          <w:trHeight w:val="297"/>
        </w:trPr>
        <w:tc>
          <w:tcPr>
            <w:tcW w:w="1370" w:type="dxa"/>
          </w:tcPr>
          <w:p w14:paraId="3A8C7E2D" w14:textId="4F409CE6" w:rsidR="00A15517" w:rsidRDefault="00A15517" w:rsidP="00A15517">
            <w:pPr>
              <w:pStyle w:val="Tablebodytext"/>
              <w:rPr>
                <w:lang w:eastAsia="en-AU"/>
              </w:rPr>
            </w:pPr>
            <w:r>
              <w:rPr>
                <w:lang w:eastAsia="en-AU"/>
              </w:rPr>
              <w:t>2006</w:t>
            </w:r>
            <w:r>
              <w:rPr>
                <w:rFonts w:ascii="Calibri" w:hAnsi="Calibri"/>
                <w:lang w:eastAsia="en-AU"/>
              </w:rPr>
              <w:t>–</w:t>
            </w:r>
            <w:r>
              <w:rPr>
                <w:lang w:eastAsia="en-AU"/>
              </w:rPr>
              <w:t>07</w:t>
            </w:r>
          </w:p>
        </w:tc>
        <w:tc>
          <w:tcPr>
            <w:tcW w:w="1370" w:type="dxa"/>
          </w:tcPr>
          <w:p w14:paraId="3AD1575E" w14:textId="77777777" w:rsidR="00A15517" w:rsidRDefault="00A15517" w:rsidP="00A15517">
            <w:pPr>
              <w:pStyle w:val="Tablebodytext"/>
              <w:jc w:val="right"/>
              <w:rPr>
                <w:lang w:eastAsia="en-AU"/>
              </w:rPr>
            </w:pPr>
            <w:r>
              <w:rPr>
                <w:lang w:eastAsia="en-AU"/>
              </w:rPr>
              <w:t>61.1</w:t>
            </w:r>
          </w:p>
        </w:tc>
        <w:tc>
          <w:tcPr>
            <w:tcW w:w="1370" w:type="dxa"/>
          </w:tcPr>
          <w:p w14:paraId="0C1194E2" w14:textId="77777777" w:rsidR="00A15517" w:rsidRDefault="00A15517" w:rsidP="00A15517">
            <w:pPr>
              <w:pStyle w:val="Tablebodytext"/>
              <w:jc w:val="right"/>
              <w:rPr>
                <w:lang w:eastAsia="en-AU"/>
              </w:rPr>
            </w:pPr>
            <w:r>
              <w:rPr>
                <w:lang w:eastAsia="en-AU"/>
              </w:rPr>
              <w:t>1206</w:t>
            </w:r>
          </w:p>
        </w:tc>
        <w:tc>
          <w:tcPr>
            <w:tcW w:w="1370" w:type="dxa"/>
          </w:tcPr>
          <w:p w14:paraId="19894C83" w14:textId="77777777" w:rsidR="00A15517" w:rsidRDefault="00A15517" w:rsidP="00A15517">
            <w:pPr>
              <w:pStyle w:val="Tablebodytext"/>
              <w:jc w:val="right"/>
              <w:rPr>
                <w:lang w:eastAsia="en-AU"/>
              </w:rPr>
            </w:pPr>
            <w:r>
              <w:rPr>
                <w:lang w:eastAsia="en-AU"/>
              </w:rPr>
              <w:t>78.6</w:t>
            </w:r>
          </w:p>
        </w:tc>
        <w:tc>
          <w:tcPr>
            <w:tcW w:w="1370" w:type="dxa"/>
          </w:tcPr>
          <w:p w14:paraId="43491016" w14:textId="77777777" w:rsidR="00A15517" w:rsidRDefault="00A15517" w:rsidP="00A15517">
            <w:pPr>
              <w:pStyle w:val="Tablebodytext"/>
              <w:jc w:val="right"/>
              <w:rPr>
                <w:lang w:eastAsia="en-AU"/>
              </w:rPr>
            </w:pPr>
            <w:r>
              <w:rPr>
                <w:lang w:eastAsia="en-AU"/>
              </w:rPr>
              <w:t>185</w:t>
            </w:r>
          </w:p>
        </w:tc>
      </w:tr>
      <w:tr w:rsidR="00A15517" w14:paraId="747042DA" w14:textId="77777777" w:rsidTr="00A15517">
        <w:trPr>
          <w:cnfStyle w:val="000000100000" w:firstRow="0" w:lastRow="0" w:firstColumn="0" w:lastColumn="0" w:oddVBand="0" w:evenVBand="0" w:oddHBand="1" w:evenHBand="0" w:firstRowFirstColumn="0" w:firstRowLastColumn="0" w:lastRowFirstColumn="0" w:lastRowLastColumn="0"/>
          <w:trHeight w:val="297"/>
        </w:trPr>
        <w:tc>
          <w:tcPr>
            <w:tcW w:w="1370" w:type="dxa"/>
          </w:tcPr>
          <w:p w14:paraId="0AA19EF6" w14:textId="66850FD5" w:rsidR="00A15517" w:rsidRDefault="00A15517" w:rsidP="00A15517">
            <w:pPr>
              <w:pStyle w:val="Tablebodytext"/>
              <w:rPr>
                <w:lang w:eastAsia="en-AU"/>
              </w:rPr>
            </w:pPr>
            <w:r>
              <w:rPr>
                <w:lang w:eastAsia="en-AU"/>
              </w:rPr>
              <w:t>2007</w:t>
            </w:r>
            <w:r>
              <w:rPr>
                <w:rFonts w:ascii="Calibri" w:hAnsi="Calibri"/>
                <w:lang w:eastAsia="en-AU"/>
              </w:rPr>
              <w:t>–</w:t>
            </w:r>
            <w:r>
              <w:rPr>
                <w:lang w:eastAsia="en-AU"/>
              </w:rPr>
              <w:t>08</w:t>
            </w:r>
          </w:p>
        </w:tc>
        <w:tc>
          <w:tcPr>
            <w:tcW w:w="1370" w:type="dxa"/>
          </w:tcPr>
          <w:p w14:paraId="755BECE0" w14:textId="77777777" w:rsidR="00A15517" w:rsidRDefault="00A15517" w:rsidP="00A15517">
            <w:pPr>
              <w:pStyle w:val="Tablebodytext"/>
              <w:jc w:val="right"/>
              <w:rPr>
                <w:lang w:eastAsia="en-AU"/>
              </w:rPr>
            </w:pPr>
            <w:r>
              <w:rPr>
                <w:lang w:eastAsia="en-AU"/>
              </w:rPr>
              <w:t>66.1</w:t>
            </w:r>
          </w:p>
        </w:tc>
        <w:tc>
          <w:tcPr>
            <w:tcW w:w="1370" w:type="dxa"/>
          </w:tcPr>
          <w:p w14:paraId="629B3F57" w14:textId="77777777" w:rsidR="00A15517" w:rsidRDefault="00A15517" w:rsidP="00A15517">
            <w:pPr>
              <w:pStyle w:val="Tablebodytext"/>
              <w:jc w:val="right"/>
              <w:rPr>
                <w:lang w:eastAsia="en-AU"/>
              </w:rPr>
            </w:pPr>
            <w:r>
              <w:rPr>
                <w:lang w:eastAsia="en-AU"/>
              </w:rPr>
              <w:t>1175</w:t>
            </w:r>
          </w:p>
        </w:tc>
        <w:tc>
          <w:tcPr>
            <w:tcW w:w="1370" w:type="dxa"/>
          </w:tcPr>
          <w:p w14:paraId="78D9D115" w14:textId="77777777" w:rsidR="00A15517" w:rsidRDefault="00A15517" w:rsidP="00A15517">
            <w:pPr>
              <w:pStyle w:val="Tablebodytext"/>
              <w:jc w:val="right"/>
              <w:rPr>
                <w:lang w:eastAsia="en-AU"/>
              </w:rPr>
            </w:pPr>
            <w:r>
              <w:rPr>
                <w:lang w:eastAsia="en-AU"/>
              </w:rPr>
              <w:t>75.7</w:t>
            </w:r>
          </w:p>
        </w:tc>
        <w:tc>
          <w:tcPr>
            <w:tcW w:w="1370" w:type="dxa"/>
          </w:tcPr>
          <w:p w14:paraId="573702B8" w14:textId="77777777" w:rsidR="00A15517" w:rsidRDefault="00A15517" w:rsidP="00A15517">
            <w:pPr>
              <w:pStyle w:val="Tablebodytext"/>
              <w:jc w:val="right"/>
              <w:rPr>
                <w:lang w:eastAsia="en-AU"/>
              </w:rPr>
            </w:pPr>
            <w:r>
              <w:rPr>
                <w:lang w:eastAsia="en-AU"/>
              </w:rPr>
              <w:t>155</w:t>
            </w:r>
          </w:p>
        </w:tc>
      </w:tr>
      <w:tr w:rsidR="00A15517" w14:paraId="0ADBE827" w14:textId="77777777" w:rsidTr="00A15517">
        <w:trPr>
          <w:cnfStyle w:val="000000010000" w:firstRow="0" w:lastRow="0" w:firstColumn="0" w:lastColumn="0" w:oddVBand="0" w:evenVBand="0" w:oddHBand="0" w:evenHBand="1" w:firstRowFirstColumn="0" w:firstRowLastColumn="0" w:lastRowFirstColumn="0" w:lastRowLastColumn="0"/>
          <w:trHeight w:val="297"/>
        </w:trPr>
        <w:tc>
          <w:tcPr>
            <w:tcW w:w="1370" w:type="dxa"/>
          </w:tcPr>
          <w:p w14:paraId="11C1A89F" w14:textId="6ED0E014" w:rsidR="00A15517" w:rsidRDefault="00A15517" w:rsidP="00A15517">
            <w:pPr>
              <w:pStyle w:val="Tablebodytext"/>
              <w:rPr>
                <w:lang w:eastAsia="en-AU"/>
              </w:rPr>
            </w:pPr>
            <w:r>
              <w:rPr>
                <w:lang w:eastAsia="en-AU"/>
              </w:rPr>
              <w:t>2008</w:t>
            </w:r>
            <w:r>
              <w:rPr>
                <w:rFonts w:ascii="Calibri" w:hAnsi="Calibri"/>
                <w:lang w:eastAsia="en-AU"/>
              </w:rPr>
              <w:t>–</w:t>
            </w:r>
            <w:r>
              <w:rPr>
                <w:lang w:eastAsia="en-AU"/>
              </w:rPr>
              <w:t>09</w:t>
            </w:r>
          </w:p>
        </w:tc>
        <w:tc>
          <w:tcPr>
            <w:tcW w:w="1370" w:type="dxa"/>
          </w:tcPr>
          <w:p w14:paraId="4D6EA651" w14:textId="77777777" w:rsidR="00A15517" w:rsidRDefault="00A15517" w:rsidP="00A15517">
            <w:pPr>
              <w:pStyle w:val="Tablebodytext"/>
              <w:jc w:val="right"/>
              <w:rPr>
                <w:lang w:eastAsia="en-AU"/>
              </w:rPr>
            </w:pPr>
            <w:r>
              <w:rPr>
                <w:lang w:eastAsia="en-AU"/>
              </w:rPr>
              <w:t>70.0</w:t>
            </w:r>
          </w:p>
        </w:tc>
        <w:tc>
          <w:tcPr>
            <w:tcW w:w="1370" w:type="dxa"/>
          </w:tcPr>
          <w:p w14:paraId="28EF4100" w14:textId="77777777" w:rsidR="00A15517" w:rsidRDefault="00A15517" w:rsidP="00A15517">
            <w:pPr>
              <w:pStyle w:val="Tablebodytext"/>
              <w:jc w:val="right"/>
              <w:rPr>
                <w:lang w:eastAsia="en-AU"/>
              </w:rPr>
            </w:pPr>
            <w:r>
              <w:rPr>
                <w:lang w:eastAsia="en-AU"/>
              </w:rPr>
              <w:t>1173</w:t>
            </w:r>
          </w:p>
        </w:tc>
        <w:tc>
          <w:tcPr>
            <w:tcW w:w="1370" w:type="dxa"/>
          </w:tcPr>
          <w:p w14:paraId="7D9D7317" w14:textId="77777777" w:rsidR="00A15517" w:rsidRDefault="00A15517" w:rsidP="00A15517">
            <w:pPr>
              <w:pStyle w:val="Tablebodytext"/>
              <w:jc w:val="right"/>
              <w:rPr>
                <w:lang w:eastAsia="en-AU"/>
              </w:rPr>
            </w:pPr>
            <w:r>
              <w:rPr>
                <w:lang w:eastAsia="en-AU"/>
              </w:rPr>
              <w:t>75.6</w:t>
            </w:r>
          </w:p>
        </w:tc>
        <w:tc>
          <w:tcPr>
            <w:tcW w:w="1370" w:type="dxa"/>
          </w:tcPr>
          <w:p w14:paraId="1C552E3F" w14:textId="77777777" w:rsidR="00A15517" w:rsidRDefault="00A15517" w:rsidP="00A15517">
            <w:pPr>
              <w:pStyle w:val="Tablebodytext"/>
              <w:jc w:val="right"/>
              <w:rPr>
                <w:lang w:eastAsia="en-AU"/>
              </w:rPr>
            </w:pPr>
            <w:r>
              <w:rPr>
                <w:lang w:eastAsia="en-AU"/>
              </w:rPr>
              <w:t>158</w:t>
            </w:r>
          </w:p>
        </w:tc>
      </w:tr>
      <w:tr w:rsidR="00A15517" w14:paraId="61F207BF" w14:textId="77777777" w:rsidTr="00A15517">
        <w:trPr>
          <w:cnfStyle w:val="000000100000" w:firstRow="0" w:lastRow="0" w:firstColumn="0" w:lastColumn="0" w:oddVBand="0" w:evenVBand="0" w:oddHBand="1" w:evenHBand="0" w:firstRowFirstColumn="0" w:firstRowLastColumn="0" w:lastRowFirstColumn="0" w:lastRowLastColumn="0"/>
          <w:trHeight w:val="297"/>
        </w:trPr>
        <w:tc>
          <w:tcPr>
            <w:tcW w:w="1370" w:type="dxa"/>
          </w:tcPr>
          <w:p w14:paraId="3165DBAA" w14:textId="42D24917" w:rsidR="00A15517" w:rsidRDefault="00A15517" w:rsidP="00A15517">
            <w:pPr>
              <w:pStyle w:val="Tablebodytext"/>
              <w:rPr>
                <w:lang w:eastAsia="en-AU"/>
              </w:rPr>
            </w:pPr>
            <w:r>
              <w:rPr>
                <w:lang w:eastAsia="en-AU"/>
              </w:rPr>
              <w:t>2009</w:t>
            </w:r>
            <w:r>
              <w:rPr>
                <w:rFonts w:ascii="Calibri" w:hAnsi="Calibri"/>
                <w:lang w:eastAsia="en-AU"/>
              </w:rPr>
              <w:t>–</w:t>
            </w:r>
            <w:r>
              <w:rPr>
                <w:lang w:eastAsia="en-AU"/>
              </w:rPr>
              <w:t>10</w:t>
            </w:r>
          </w:p>
        </w:tc>
        <w:tc>
          <w:tcPr>
            <w:tcW w:w="1370" w:type="dxa"/>
          </w:tcPr>
          <w:p w14:paraId="2BA8C4C7" w14:textId="77777777" w:rsidR="00A15517" w:rsidRDefault="00A15517" w:rsidP="00A15517">
            <w:pPr>
              <w:pStyle w:val="Tablebodytext"/>
              <w:jc w:val="right"/>
              <w:rPr>
                <w:lang w:eastAsia="en-AU"/>
              </w:rPr>
            </w:pPr>
            <w:r>
              <w:rPr>
                <w:lang w:eastAsia="en-AU"/>
              </w:rPr>
              <w:t>72.7</w:t>
            </w:r>
          </w:p>
        </w:tc>
        <w:tc>
          <w:tcPr>
            <w:tcW w:w="1370" w:type="dxa"/>
          </w:tcPr>
          <w:p w14:paraId="0491CCBB" w14:textId="77777777" w:rsidR="00A15517" w:rsidRDefault="00A15517" w:rsidP="00A15517">
            <w:pPr>
              <w:pStyle w:val="Tablebodytext"/>
              <w:jc w:val="right"/>
              <w:rPr>
                <w:lang w:eastAsia="en-AU"/>
              </w:rPr>
            </w:pPr>
            <w:r>
              <w:rPr>
                <w:lang w:eastAsia="en-AU"/>
              </w:rPr>
              <w:t>1143</w:t>
            </w:r>
          </w:p>
        </w:tc>
        <w:tc>
          <w:tcPr>
            <w:tcW w:w="1370" w:type="dxa"/>
          </w:tcPr>
          <w:p w14:paraId="6867CB84" w14:textId="77777777" w:rsidR="00A15517" w:rsidRDefault="00A15517" w:rsidP="00A15517">
            <w:pPr>
              <w:pStyle w:val="Tablebodytext"/>
              <w:jc w:val="right"/>
              <w:rPr>
                <w:lang w:eastAsia="en-AU"/>
              </w:rPr>
            </w:pPr>
            <w:r>
              <w:rPr>
                <w:lang w:eastAsia="en-AU"/>
              </w:rPr>
              <w:t>76.8</w:t>
            </w:r>
          </w:p>
        </w:tc>
        <w:tc>
          <w:tcPr>
            <w:tcW w:w="1370" w:type="dxa"/>
          </w:tcPr>
          <w:p w14:paraId="70F77FE2" w14:textId="77777777" w:rsidR="00A15517" w:rsidRDefault="00A15517" w:rsidP="00A15517">
            <w:pPr>
              <w:pStyle w:val="Tablebodytext"/>
              <w:jc w:val="right"/>
              <w:rPr>
                <w:lang w:eastAsia="en-AU"/>
              </w:rPr>
            </w:pPr>
            <w:r>
              <w:rPr>
                <w:lang w:eastAsia="en-AU"/>
              </w:rPr>
              <w:t>175</w:t>
            </w:r>
          </w:p>
        </w:tc>
      </w:tr>
      <w:tr w:rsidR="00A15517" w14:paraId="42AFC2F1" w14:textId="77777777" w:rsidTr="00A15517">
        <w:trPr>
          <w:cnfStyle w:val="000000010000" w:firstRow="0" w:lastRow="0" w:firstColumn="0" w:lastColumn="0" w:oddVBand="0" w:evenVBand="0" w:oddHBand="0" w:evenHBand="1" w:firstRowFirstColumn="0" w:firstRowLastColumn="0" w:lastRowFirstColumn="0" w:lastRowLastColumn="0"/>
          <w:trHeight w:val="283"/>
        </w:trPr>
        <w:tc>
          <w:tcPr>
            <w:tcW w:w="1370" w:type="dxa"/>
          </w:tcPr>
          <w:p w14:paraId="1D2013F7" w14:textId="789065B7" w:rsidR="00A15517" w:rsidRDefault="00A15517" w:rsidP="00A15517">
            <w:pPr>
              <w:pStyle w:val="Tablebodytext"/>
              <w:rPr>
                <w:lang w:eastAsia="en-AU"/>
              </w:rPr>
            </w:pPr>
            <w:r>
              <w:rPr>
                <w:lang w:eastAsia="en-AU"/>
              </w:rPr>
              <w:t>2010</w:t>
            </w:r>
            <w:r>
              <w:rPr>
                <w:rFonts w:ascii="Calibri" w:hAnsi="Calibri"/>
                <w:lang w:eastAsia="en-AU"/>
              </w:rPr>
              <w:t>–</w:t>
            </w:r>
            <w:r>
              <w:rPr>
                <w:lang w:eastAsia="en-AU"/>
              </w:rPr>
              <w:t>11</w:t>
            </w:r>
          </w:p>
        </w:tc>
        <w:tc>
          <w:tcPr>
            <w:tcW w:w="1370" w:type="dxa"/>
          </w:tcPr>
          <w:p w14:paraId="72AA9B95" w14:textId="77777777" w:rsidR="00A15517" w:rsidRDefault="00A15517" w:rsidP="00A15517">
            <w:pPr>
              <w:pStyle w:val="Tablebodytext"/>
              <w:jc w:val="right"/>
              <w:rPr>
                <w:lang w:eastAsia="en-AU"/>
              </w:rPr>
            </w:pPr>
            <w:r>
              <w:rPr>
                <w:lang w:eastAsia="en-AU"/>
              </w:rPr>
              <w:t>74.7</w:t>
            </w:r>
          </w:p>
        </w:tc>
        <w:tc>
          <w:tcPr>
            <w:tcW w:w="1370" w:type="dxa"/>
          </w:tcPr>
          <w:p w14:paraId="161F8D74" w14:textId="77777777" w:rsidR="00A15517" w:rsidRDefault="00A15517" w:rsidP="00A15517">
            <w:pPr>
              <w:pStyle w:val="Tablebodytext"/>
              <w:jc w:val="right"/>
              <w:rPr>
                <w:lang w:eastAsia="en-AU"/>
              </w:rPr>
            </w:pPr>
            <w:r>
              <w:rPr>
                <w:lang w:eastAsia="en-AU"/>
              </w:rPr>
              <w:t>1203</w:t>
            </w:r>
          </w:p>
        </w:tc>
        <w:tc>
          <w:tcPr>
            <w:tcW w:w="1370" w:type="dxa"/>
          </w:tcPr>
          <w:p w14:paraId="53826B63" w14:textId="77777777" w:rsidR="00A15517" w:rsidRDefault="00A15517" w:rsidP="00A15517">
            <w:pPr>
              <w:pStyle w:val="Tablebodytext"/>
              <w:jc w:val="right"/>
              <w:rPr>
                <w:lang w:eastAsia="en-AU"/>
              </w:rPr>
            </w:pPr>
            <w:r>
              <w:rPr>
                <w:lang w:eastAsia="en-AU"/>
              </w:rPr>
              <w:t>65.4</w:t>
            </w:r>
          </w:p>
        </w:tc>
        <w:tc>
          <w:tcPr>
            <w:tcW w:w="1370" w:type="dxa"/>
          </w:tcPr>
          <w:p w14:paraId="4D5EA369" w14:textId="77777777" w:rsidR="00A15517" w:rsidRDefault="00A15517" w:rsidP="00A15517">
            <w:pPr>
              <w:pStyle w:val="Tablebodytext"/>
              <w:jc w:val="right"/>
              <w:rPr>
                <w:lang w:eastAsia="en-AU"/>
              </w:rPr>
            </w:pPr>
            <w:r>
              <w:rPr>
                <w:lang w:eastAsia="en-AU"/>
              </w:rPr>
              <w:t>324</w:t>
            </w:r>
          </w:p>
        </w:tc>
      </w:tr>
      <w:tr w:rsidR="00A15517" w14:paraId="6AE6885C" w14:textId="77777777" w:rsidTr="00A15517">
        <w:trPr>
          <w:cnfStyle w:val="000000100000" w:firstRow="0" w:lastRow="0" w:firstColumn="0" w:lastColumn="0" w:oddVBand="0" w:evenVBand="0" w:oddHBand="1" w:evenHBand="0" w:firstRowFirstColumn="0" w:firstRowLastColumn="0" w:lastRowFirstColumn="0" w:lastRowLastColumn="0"/>
          <w:trHeight w:val="297"/>
        </w:trPr>
        <w:tc>
          <w:tcPr>
            <w:tcW w:w="1370" w:type="dxa"/>
          </w:tcPr>
          <w:p w14:paraId="6BD6828C" w14:textId="1A59A9F1" w:rsidR="00A15517" w:rsidRDefault="00A15517" w:rsidP="00A15517">
            <w:pPr>
              <w:pStyle w:val="Tablebodytext"/>
              <w:rPr>
                <w:lang w:eastAsia="en-AU"/>
              </w:rPr>
            </w:pPr>
            <w:r>
              <w:rPr>
                <w:lang w:eastAsia="en-AU"/>
              </w:rPr>
              <w:t>2011</w:t>
            </w:r>
            <w:r>
              <w:rPr>
                <w:rFonts w:ascii="Calibri" w:hAnsi="Calibri"/>
                <w:lang w:eastAsia="en-AU"/>
              </w:rPr>
              <w:t>–</w:t>
            </w:r>
            <w:r>
              <w:rPr>
                <w:lang w:eastAsia="en-AU"/>
              </w:rPr>
              <w:t>12</w:t>
            </w:r>
          </w:p>
        </w:tc>
        <w:tc>
          <w:tcPr>
            <w:tcW w:w="1370" w:type="dxa"/>
          </w:tcPr>
          <w:p w14:paraId="1F5B1D63" w14:textId="77777777" w:rsidR="00A15517" w:rsidRDefault="00A15517" w:rsidP="00A15517">
            <w:pPr>
              <w:pStyle w:val="Tablebodytext"/>
              <w:jc w:val="right"/>
              <w:rPr>
                <w:lang w:eastAsia="en-AU"/>
              </w:rPr>
            </w:pPr>
            <w:r>
              <w:rPr>
                <w:lang w:eastAsia="en-AU"/>
              </w:rPr>
              <w:t>74.1</w:t>
            </w:r>
          </w:p>
        </w:tc>
        <w:tc>
          <w:tcPr>
            <w:tcW w:w="1370" w:type="dxa"/>
          </w:tcPr>
          <w:p w14:paraId="0583216E" w14:textId="77777777" w:rsidR="00A15517" w:rsidRDefault="00A15517" w:rsidP="00A15517">
            <w:pPr>
              <w:pStyle w:val="Tablebodytext"/>
              <w:jc w:val="right"/>
              <w:rPr>
                <w:lang w:eastAsia="en-AU"/>
              </w:rPr>
            </w:pPr>
            <w:r>
              <w:rPr>
                <w:lang w:eastAsia="en-AU"/>
              </w:rPr>
              <w:t>1192</w:t>
            </w:r>
          </w:p>
        </w:tc>
        <w:tc>
          <w:tcPr>
            <w:tcW w:w="1370" w:type="dxa"/>
          </w:tcPr>
          <w:p w14:paraId="12A630DC" w14:textId="77777777" w:rsidR="00A15517" w:rsidRDefault="00A15517" w:rsidP="00A15517">
            <w:pPr>
              <w:pStyle w:val="Tablebodytext"/>
              <w:jc w:val="right"/>
              <w:rPr>
                <w:lang w:eastAsia="en-AU"/>
              </w:rPr>
            </w:pPr>
            <w:r>
              <w:rPr>
                <w:lang w:eastAsia="en-AU"/>
              </w:rPr>
              <w:t>69.0</w:t>
            </w:r>
          </w:p>
        </w:tc>
        <w:tc>
          <w:tcPr>
            <w:tcW w:w="1370" w:type="dxa"/>
          </w:tcPr>
          <w:p w14:paraId="0CAD2EBC" w14:textId="77777777" w:rsidR="00A15517" w:rsidRDefault="00A15517" w:rsidP="00A15517">
            <w:pPr>
              <w:pStyle w:val="Tablebodytext"/>
              <w:jc w:val="right"/>
              <w:rPr>
                <w:lang w:eastAsia="en-AU"/>
              </w:rPr>
            </w:pPr>
            <w:r>
              <w:rPr>
                <w:lang w:eastAsia="en-AU"/>
              </w:rPr>
              <w:t>285</w:t>
            </w:r>
          </w:p>
        </w:tc>
      </w:tr>
      <w:tr w:rsidR="00A15517" w14:paraId="08777C9A" w14:textId="77777777" w:rsidTr="00A15517">
        <w:trPr>
          <w:cnfStyle w:val="000000010000" w:firstRow="0" w:lastRow="0" w:firstColumn="0" w:lastColumn="0" w:oddVBand="0" w:evenVBand="0" w:oddHBand="0" w:evenHBand="1" w:firstRowFirstColumn="0" w:firstRowLastColumn="0" w:lastRowFirstColumn="0" w:lastRowLastColumn="0"/>
          <w:trHeight w:val="297"/>
        </w:trPr>
        <w:tc>
          <w:tcPr>
            <w:tcW w:w="1370" w:type="dxa"/>
          </w:tcPr>
          <w:p w14:paraId="290A15C1" w14:textId="7D8D99F9" w:rsidR="00A15517" w:rsidRDefault="00A15517" w:rsidP="00A15517">
            <w:pPr>
              <w:pStyle w:val="Tablebodytext"/>
              <w:rPr>
                <w:lang w:eastAsia="en-AU"/>
              </w:rPr>
            </w:pPr>
            <w:r>
              <w:rPr>
                <w:lang w:eastAsia="en-AU"/>
              </w:rPr>
              <w:t>2012</w:t>
            </w:r>
            <w:r>
              <w:rPr>
                <w:rFonts w:ascii="Calibri" w:hAnsi="Calibri"/>
                <w:lang w:eastAsia="en-AU"/>
              </w:rPr>
              <w:t>–</w:t>
            </w:r>
            <w:r>
              <w:rPr>
                <w:lang w:eastAsia="en-AU"/>
              </w:rPr>
              <w:t>13</w:t>
            </w:r>
          </w:p>
        </w:tc>
        <w:tc>
          <w:tcPr>
            <w:tcW w:w="1370" w:type="dxa"/>
          </w:tcPr>
          <w:p w14:paraId="02F148FC" w14:textId="77777777" w:rsidR="00A15517" w:rsidRDefault="00A15517" w:rsidP="00A15517">
            <w:pPr>
              <w:pStyle w:val="Tablebodytext"/>
              <w:jc w:val="right"/>
              <w:rPr>
                <w:lang w:eastAsia="en-AU"/>
              </w:rPr>
            </w:pPr>
            <w:r>
              <w:rPr>
                <w:lang w:eastAsia="en-AU"/>
              </w:rPr>
              <w:t>77.1</w:t>
            </w:r>
          </w:p>
        </w:tc>
        <w:tc>
          <w:tcPr>
            <w:tcW w:w="1370" w:type="dxa"/>
          </w:tcPr>
          <w:p w14:paraId="7D89A40A" w14:textId="77777777" w:rsidR="00A15517" w:rsidRDefault="00A15517" w:rsidP="00A15517">
            <w:pPr>
              <w:pStyle w:val="Tablebodytext"/>
              <w:jc w:val="right"/>
              <w:rPr>
                <w:lang w:eastAsia="en-AU"/>
              </w:rPr>
            </w:pPr>
            <w:r>
              <w:rPr>
                <w:lang w:eastAsia="en-AU"/>
              </w:rPr>
              <w:t>1177</w:t>
            </w:r>
          </w:p>
        </w:tc>
        <w:tc>
          <w:tcPr>
            <w:tcW w:w="1370" w:type="dxa"/>
          </w:tcPr>
          <w:p w14:paraId="24671231" w14:textId="77777777" w:rsidR="00A15517" w:rsidRDefault="00A15517" w:rsidP="00A15517">
            <w:pPr>
              <w:pStyle w:val="Tablebodytext"/>
              <w:jc w:val="right"/>
              <w:rPr>
                <w:lang w:eastAsia="en-AU"/>
              </w:rPr>
            </w:pPr>
            <w:r>
              <w:rPr>
                <w:lang w:eastAsia="en-AU"/>
              </w:rPr>
              <w:t>69.7</w:t>
            </w:r>
          </w:p>
        </w:tc>
        <w:tc>
          <w:tcPr>
            <w:tcW w:w="1370" w:type="dxa"/>
          </w:tcPr>
          <w:p w14:paraId="2131A444" w14:textId="77777777" w:rsidR="00A15517" w:rsidRDefault="00A15517" w:rsidP="00A15517">
            <w:pPr>
              <w:pStyle w:val="Tablebodytext"/>
              <w:jc w:val="right"/>
              <w:rPr>
                <w:lang w:eastAsia="en-AU"/>
              </w:rPr>
            </w:pPr>
            <w:r>
              <w:rPr>
                <w:lang w:eastAsia="en-AU"/>
              </w:rPr>
              <w:t>321</w:t>
            </w:r>
          </w:p>
        </w:tc>
      </w:tr>
      <w:tr w:rsidR="00A15517" w14:paraId="06D16DDB" w14:textId="77777777" w:rsidTr="00A15517">
        <w:trPr>
          <w:cnfStyle w:val="000000100000" w:firstRow="0" w:lastRow="0" w:firstColumn="0" w:lastColumn="0" w:oddVBand="0" w:evenVBand="0" w:oddHBand="1" w:evenHBand="0" w:firstRowFirstColumn="0" w:firstRowLastColumn="0" w:lastRowFirstColumn="0" w:lastRowLastColumn="0"/>
          <w:trHeight w:val="297"/>
        </w:trPr>
        <w:tc>
          <w:tcPr>
            <w:tcW w:w="1370" w:type="dxa"/>
          </w:tcPr>
          <w:p w14:paraId="6AF3E6C0" w14:textId="2E853F3B" w:rsidR="00A15517" w:rsidRDefault="00A15517" w:rsidP="00A15517">
            <w:pPr>
              <w:pStyle w:val="Tablebodytext"/>
              <w:rPr>
                <w:lang w:eastAsia="en-AU"/>
              </w:rPr>
            </w:pPr>
            <w:r>
              <w:rPr>
                <w:lang w:eastAsia="en-AU"/>
              </w:rPr>
              <w:t>2013</w:t>
            </w:r>
            <w:r>
              <w:rPr>
                <w:rFonts w:ascii="Calibri" w:hAnsi="Calibri"/>
                <w:lang w:eastAsia="en-AU"/>
              </w:rPr>
              <w:t>–</w:t>
            </w:r>
            <w:r>
              <w:rPr>
                <w:lang w:eastAsia="en-AU"/>
              </w:rPr>
              <w:t>14</w:t>
            </w:r>
          </w:p>
        </w:tc>
        <w:tc>
          <w:tcPr>
            <w:tcW w:w="1370" w:type="dxa"/>
          </w:tcPr>
          <w:p w14:paraId="29E8468B" w14:textId="77777777" w:rsidR="00A15517" w:rsidRDefault="00A15517" w:rsidP="00A15517">
            <w:pPr>
              <w:pStyle w:val="Tablebodytext"/>
              <w:jc w:val="right"/>
              <w:rPr>
                <w:lang w:eastAsia="en-AU"/>
              </w:rPr>
            </w:pPr>
            <w:r>
              <w:rPr>
                <w:lang w:eastAsia="en-AU"/>
              </w:rPr>
              <w:t>78.3</w:t>
            </w:r>
          </w:p>
        </w:tc>
        <w:tc>
          <w:tcPr>
            <w:tcW w:w="1370" w:type="dxa"/>
          </w:tcPr>
          <w:p w14:paraId="4EE70076" w14:textId="77777777" w:rsidR="00A15517" w:rsidRDefault="00A15517" w:rsidP="00A15517">
            <w:pPr>
              <w:pStyle w:val="Tablebodytext"/>
              <w:jc w:val="right"/>
              <w:rPr>
                <w:lang w:eastAsia="en-AU"/>
              </w:rPr>
            </w:pPr>
            <w:r>
              <w:rPr>
                <w:lang w:eastAsia="en-AU"/>
              </w:rPr>
              <w:t>1168</w:t>
            </w:r>
          </w:p>
        </w:tc>
        <w:tc>
          <w:tcPr>
            <w:tcW w:w="1370" w:type="dxa"/>
          </w:tcPr>
          <w:p w14:paraId="0F099107" w14:textId="77777777" w:rsidR="00A15517" w:rsidRDefault="00A15517" w:rsidP="00A15517">
            <w:pPr>
              <w:pStyle w:val="Tablebodytext"/>
              <w:jc w:val="right"/>
              <w:rPr>
                <w:lang w:eastAsia="en-AU"/>
              </w:rPr>
            </w:pPr>
            <w:r>
              <w:rPr>
                <w:lang w:eastAsia="en-AU"/>
              </w:rPr>
              <w:t>68.5</w:t>
            </w:r>
          </w:p>
        </w:tc>
        <w:tc>
          <w:tcPr>
            <w:tcW w:w="1370" w:type="dxa"/>
          </w:tcPr>
          <w:p w14:paraId="7D0D6B11" w14:textId="77777777" w:rsidR="00A15517" w:rsidRDefault="00A15517" w:rsidP="00A15517">
            <w:pPr>
              <w:pStyle w:val="Tablebodytext"/>
              <w:jc w:val="right"/>
              <w:rPr>
                <w:lang w:eastAsia="en-AU"/>
              </w:rPr>
            </w:pPr>
            <w:r>
              <w:rPr>
                <w:lang w:eastAsia="en-AU"/>
              </w:rPr>
              <w:t>279</w:t>
            </w:r>
          </w:p>
        </w:tc>
      </w:tr>
      <w:tr w:rsidR="00A15517" w14:paraId="709719D1" w14:textId="77777777" w:rsidTr="00A15517">
        <w:trPr>
          <w:cnfStyle w:val="000000010000" w:firstRow="0" w:lastRow="0" w:firstColumn="0" w:lastColumn="0" w:oddVBand="0" w:evenVBand="0" w:oddHBand="0" w:evenHBand="1" w:firstRowFirstColumn="0" w:firstRowLastColumn="0" w:lastRowFirstColumn="0" w:lastRowLastColumn="0"/>
          <w:trHeight w:val="297"/>
        </w:trPr>
        <w:tc>
          <w:tcPr>
            <w:tcW w:w="1370" w:type="dxa"/>
          </w:tcPr>
          <w:p w14:paraId="2B7015A5" w14:textId="7307546B" w:rsidR="00A15517" w:rsidRDefault="00A15517" w:rsidP="00A15517">
            <w:pPr>
              <w:pStyle w:val="Tablebodytext"/>
              <w:rPr>
                <w:lang w:eastAsia="en-AU"/>
              </w:rPr>
            </w:pPr>
            <w:r>
              <w:rPr>
                <w:lang w:eastAsia="en-AU"/>
              </w:rPr>
              <w:t>2014</w:t>
            </w:r>
            <w:r>
              <w:rPr>
                <w:rFonts w:ascii="Calibri" w:hAnsi="Calibri"/>
                <w:lang w:eastAsia="en-AU"/>
              </w:rPr>
              <w:t>–</w:t>
            </w:r>
            <w:r>
              <w:rPr>
                <w:lang w:eastAsia="en-AU"/>
              </w:rPr>
              <w:t>15</w:t>
            </w:r>
          </w:p>
        </w:tc>
        <w:tc>
          <w:tcPr>
            <w:tcW w:w="1370" w:type="dxa"/>
          </w:tcPr>
          <w:p w14:paraId="05FB1F6E" w14:textId="77777777" w:rsidR="00A15517" w:rsidRDefault="00A15517" w:rsidP="00A15517">
            <w:pPr>
              <w:pStyle w:val="Tablebodytext"/>
              <w:jc w:val="right"/>
              <w:rPr>
                <w:lang w:eastAsia="en-AU"/>
              </w:rPr>
            </w:pPr>
            <w:r>
              <w:rPr>
                <w:lang w:eastAsia="en-AU"/>
              </w:rPr>
              <w:t>79.1</w:t>
            </w:r>
          </w:p>
        </w:tc>
        <w:tc>
          <w:tcPr>
            <w:tcW w:w="1370" w:type="dxa"/>
          </w:tcPr>
          <w:p w14:paraId="0DF17330" w14:textId="77777777" w:rsidR="00A15517" w:rsidRDefault="00A15517" w:rsidP="00A15517">
            <w:pPr>
              <w:pStyle w:val="Tablebodytext"/>
              <w:jc w:val="right"/>
              <w:rPr>
                <w:lang w:eastAsia="en-AU"/>
              </w:rPr>
            </w:pPr>
            <w:r>
              <w:rPr>
                <w:lang w:eastAsia="en-AU"/>
              </w:rPr>
              <w:t>1159</w:t>
            </w:r>
          </w:p>
        </w:tc>
        <w:tc>
          <w:tcPr>
            <w:tcW w:w="1370" w:type="dxa"/>
          </w:tcPr>
          <w:p w14:paraId="02DCC312" w14:textId="77777777" w:rsidR="00A15517" w:rsidRDefault="00A15517" w:rsidP="00A15517">
            <w:pPr>
              <w:pStyle w:val="Tablebodytext"/>
              <w:jc w:val="right"/>
              <w:rPr>
                <w:lang w:eastAsia="en-AU"/>
              </w:rPr>
            </w:pPr>
            <w:r>
              <w:rPr>
                <w:lang w:eastAsia="en-AU"/>
              </w:rPr>
              <w:t>71.3</w:t>
            </w:r>
          </w:p>
        </w:tc>
        <w:tc>
          <w:tcPr>
            <w:tcW w:w="1370" w:type="dxa"/>
          </w:tcPr>
          <w:p w14:paraId="6A3439B7" w14:textId="77777777" w:rsidR="00A15517" w:rsidRDefault="00A15517" w:rsidP="00A15517">
            <w:pPr>
              <w:pStyle w:val="Tablebodytext"/>
              <w:jc w:val="right"/>
              <w:rPr>
                <w:lang w:eastAsia="en-AU"/>
              </w:rPr>
            </w:pPr>
            <w:r>
              <w:rPr>
                <w:lang w:eastAsia="en-AU"/>
              </w:rPr>
              <w:t>288</w:t>
            </w:r>
          </w:p>
        </w:tc>
      </w:tr>
      <w:tr w:rsidR="00A15517" w14:paraId="444FFE57" w14:textId="77777777" w:rsidTr="00A15517">
        <w:trPr>
          <w:cnfStyle w:val="000000100000" w:firstRow="0" w:lastRow="0" w:firstColumn="0" w:lastColumn="0" w:oddVBand="0" w:evenVBand="0" w:oddHBand="1" w:evenHBand="0" w:firstRowFirstColumn="0" w:firstRowLastColumn="0" w:lastRowFirstColumn="0" w:lastRowLastColumn="0"/>
          <w:trHeight w:val="283"/>
        </w:trPr>
        <w:tc>
          <w:tcPr>
            <w:tcW w:w="1370" w:type="dxa"/>
          </w:tcPr>
          <w:p w14:paraId="6FC64CD3" w14:textId="1784F389" w:rsidR="00A15517" w:rsidRDefault="00A15517" w:rsidP="00A15517">
            <w:pPr>
              <w:pStyle w:val="Tablebodytext"/>
              <w:rPr>
                <w:lang w:eastAsia="en-AU"/>
              </w:rPr>
            </w:pPr>
            <w:r>
              <w:rPr>
                <w:lang w:eastAsia="en-AU"/>
              </w:rPr>
              <w:t>2015</w:t>
            </w:r>
            <w:r>
              <w:rPr>
                <w:rFonts w:ascii="Calibri" w:hAnsi="Calibri"/>
                <w:lang w:eastAsia="en-AU"/>
              </w:rPr>
              <w:t>–</w:t>
            </w:r>
            <w:r>
              <w:rPr>
                <w:lang w:eastAsia="en-AU"/>
              </w:rPr>
              <w:t>16</w:t>
            </w:r>
          </w:p>
        </w:tc>
        <w:tc>
          <w:tcPr>
            <w:tcW w:w="1370" w:type="dxa"/>
          </w:tcPr>
          <w:p w14:paraId="257E3C0E" w14:textId="77777777" w:rsidR="00A15517" w:rsidRDefault="00A15517" w:rsidP="00A15517">
            <w:pPr>
              <w:pStyle w:val="Tablebodytext"/>
              <w:jc w:val="right"/>
              <w:rPr>
                <w:lang w:eastAsia="en-AU"/>
              </w:rPr>
            </w:pPr>
            <w:r>
              <w:rPr>
                <w:lang w:eastAsia="en-AU"/>
              </w:rPr>
              <w:t>82.3</w:t>
            </w:r>
          </w:p>
        </w:tc>
        <w:tc>
          <w:tcPr>
            <w:tcW w:w="1370" w:type="dxa"/>
          </w:tcPr>
          <w:p w14:paraId="76D2B33C" w14:textId="77777777" w:rsidR="00A15517" w:rsidRDefault="00A15517" w:rsidP="00A15517">
            <w:pPr>
              <w:pStyle w:val="Tablebodytext"/>
              <w:jc w:val="right"/>
              <w:rPr>
                <w:lang w:eastAsia="en-AU"/>
              </w:rPr>
            </w:pPr>
            <w:r>
              <w:rPr>
                <w:lang w:eastAsia="en-AU"/>
              </w:rPr>
              <w:t>1277</w:t>
            </w:r>
          </w:p>
        </w:tc>
        <w:tc>
          <w:tcPr>
            <w:tcW w:w="1370" w:type="dxa"/>
          </w:tcPr>
          <w:p w14:paraId="0C32EFF3" w14:textId="77777777" w:rsidR="00A15517" w:rsidRDefault="00A15517" w:rsidP="00A15517">
            <w:pPr>
              <w:pStyle w:val="Tablebodytext"/>
              <w:jc w:val="right"/>
              <w:rPr>
                <w:lang w:eastAsia="en-AU"/>
              </w:rPr>
            </w:pPr>
            <w:r>
              <w:rPr>
                <w:lang w:eastAsia="en-AU"/>
              </w:rPr>
              <w:t>68.0</w:t>
            </w:r>
          </w:p>
        </w:tc>
        <w:tc>
          <w:tcPr>
            <w:tcW w:w="1370" w:type="dxa"/>
          </w:tcPr>
          <w:p w14:paraId="192BE72A" w14:textId="77777777" w:rsidR="00A15517" w:rsidRDefault="00A15517" w:rsidP="00A15517">
            <w:pPr>
              <w:pStyle w:val="Tablebodytext"/>
              <w:jc w:val="right"/>
              <w:rPr>
                <w:lang w:eastAsia="en-AU"/>
              </w:rPr>
            </w:pPr>
            <w:r>
              <w:rPr>
                <w:lang w:eastAsia="en-AU"/>
              </w:rPr>
              <w:t>249</w:t>
            </w:r>
          </w:p>
        </w:tc>
      </w:tr>
    </w:tbl>
    <w:p w14:paraId="4B7D525B" w14:textId="0CB9B7E8" w:rsidR="009B2CD4" w:rsidRPr="00A30089" w:rsidRDefault="00A15517" w:rsidP="00A04EC9">
      <w:pPr>
        <w:pStyle w:val="SourceWide"/>
      </w:pPr>
      <w:r>
        <w:t xml:space="preserve">Source: Department of Industry, Innovation and Science (2017) </w:t>
      </w:r>
    </w:p>
    <w:p w14:paraId="0D8B29F2" w14:textId="7DAE1C50" w:rsidR="00886682" w:rsidRPr="00886682" w:rsidRDefault="00941052" w:rsidP="002B5F13">
      <w:pPr>
        <w:pStyle w:val="Heading3"/>
      </w:pPr>
      <w:r w:rsidRPr="00886682">
        <w:t>Persistence</w:t>
      </w:r>
      <w:r w:rsidR="00886682" w:rsidRPr="00886682">
        <w:t xml:space="preserve"> </w:t>
      </w:r>
    </w:p>
    <w:p w14:paraId="2ED4F02C" w14:textId="3FA8C35C" w:rsidR="00886682" w:rsidRDefault="00886682" w:rsidP="002B5F13">
      <w:pPr>
        <w:pStyle w:val="BodyText"/>
      </w:pPr>
      <w:r w:rsidRPr="00886682">
        <w:t xml:space="preserve">The level of persistence of NMI clients is defined by the total number of years a client or an ABN has engaged with NMI’s services between the financial years 2005-06 and 2015-16. Figure 2.2 and Figure 2.3 show </w:t>
      </w:r>
      <w:r w:rsidR="000C54D4">
        <w:t xml:space="preserve">that NMI clients are highly persistent in accessing NMI services across the two groups of clients and across the two methods of defining a unique client (by ABN or client ID). </w:t>
      </w:r>
      <w:r w:rsidRPr="00886682">
        <w:t xml:space="preserve">ABNs across the two groups </w:t>
      </w:r>
      <w:r w:rsidR="000C54D4">
        <w:t xml:space="preserve">also </w:t>
      </w:r>
      <w:r w:rsidRPr="00886682">
        <w:t>have a</w:t>
      </w:r>
      <w:r w:rsidR="000C54D4">
        <w:t xml:space="preserve"> much</w:t>
      </w:r>
      <w:r w:rsidRPr="00886682">
        <w:t xml:space="preserve"> higher</w:t>
      </w:r>
      <w:r w:rsidR="00896D80">
        <w:t xml:space="preserve"> level of persistence than c</w:t>
      </w:r>
      <w:r w:rsidRPr="00886682">
        <w:t>lient IDs. This is to be expected as there are subsets of clients t</w:t>
      </w:r>
      <w:r w:rsidR="003938C9">
        <w:t>hat are reporting a single ABN, and</w:t>
      </w:r>
      <w:r w:rsidR="00896D80">
        <w:t xml:space="preserve"> highlights the difference in analysing </w:t>
      </w:r>
      <w:r w:rsidR="001E7A7E">
        <w:t xml:space="preserve">ABNS to client IDs. </w:t>
      </w:r>
      <w:r w:rsidR="00896D80">
        <w:t xml:space="preserve"> </w:t>
      </w:r>
    </w:p>
    <w:p w14:paraId="5E262431" w14:textId="62874F00" w:rsidR="002B5F13" w:rsidRDefault="002B5F13" w:rsidP="00A04EC9">
      <w:pPr>
        <w:pStyle w:val="Caption"/>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2</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2</w:t>
      </w:r>
      <w:r w:rsidRPr="000618FB">
        <w:fldChar w:fldCharType="end"/>
      </w:r>
      <w:r>
        <w:t>: Years of active engagement in NMI services, Sample Manager clients IDs and ABNs</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2B5F13" w14:paraId="64F08C16"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78475E10" w14:textId="0C521384" w:rsidR="002B5F13" w:rsidRPr="002B5F13" w:rsidRDefault="00B063D1" w:rsidP="00A04EC9">
            <w:pPr>
              <w:pStyle w:val="PlaceholderWide"/>
            </w:pPr>
            <w:r>
              <w:rPr>
                <w:noProof/>
                <w:lang w:eastAsia="en-AU"/>
              </w:rPr>
              <w:drawing>
                <wp:inline distT="0" distB="0" distL="0" distR="0" wp14:anchorId="4C47DABB" wp14:editId="48E71076">
                  <wp:extent cx="4243070" cy="2517775"/>
                  <wp:effectExtent l="0" t="0" r="5080" b="0"/>
                  <wp:docPr id="9" name="Picture 9" descr="Figure 2.2 is a frequency bar chart that shows the persistence of sample manager client IDs and ABNs in using NMI services between 2005-06 and 2015-16 (11 years). The number of client IDs (as defined by NMI) is relatively high for both 1 and 11 years of active engagement. However for ABNs, the count spikes for just the 11 years of active engagement – this is the case as multiple client IDs may report a single ABN, therefore persistence is higher for ABNs than it is for client IDs.  " title="Figure 2.2: Years of active engagement in NMI services, Sample Manager clients IDs and AB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3070" cy="2517775"/>
                          </a:xfrm>
                          <a:prstGeom prst="rect">
                            <a:avLst/>
                          </a:prstGeom>
                          <a:noFill/>
                        </pic:spPr>
                      </pic:pic>
                    </a:graphicData>
                  </a:graphic>
                </wp:inline>
              </w:drawing>
            </w:r>
          </w:p>
        </w:tc>
      </w:tr>
    </w:tbl>
    <w:p w14:paraId="7778CF7D" w14:textId="72BD70A5" w:rsidR="00886682" w:rsidRPr="002B5F13" w:rsidRDefault="002B5F13" w:rsidP="002B5F13">
      <w:pPr>
        <w:pStyle w:val="Source"/>
      </w:pPr>
      <w:r>
        <w:t xml:space="preserve">Source: Department of Industry, Innovation and Science (2017) </w:t>
      </w:r>
    </w:p>
    <w:p w14:paraId="26B9D8B5" w14:textId="434A8136" w:rsidR="002B5F13" w:rsidRDefault="002B5F13"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2</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3</w:t>
      </w:r>
      <w:r w:rsidRPr="000618FB">
        <w:fldChar w:fldCharType="end"/>
      </w:r>
      <w:r>
        <w:t>: Years of active engagement in NMI services, Test &amp; Calibration client IDs and ABNs</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2B5F13" w14:paraId="27307D60"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42BB5173" w14:textId="3E5C17F7" w:rsidR="002B5F13" w:rsidRDefault="00B063D1" w:rsidP="002B5F13">
            <w:pPr>
              <w:pStyle w:val="PlaceholderWide"/>
              <w:jc w:val="left"/>
            </w:pPr>
            <w:r>
              <w:rPr>
                <w:noProof/>
                <w:lang w:eastAsia="en-AU"/>
              </w:rPr>
              <w:drawing>
                <wp:inline distT="0" distB="0" distL="0" distR="0" wp14:anchorId="6E102AA1" wp14:editId="7D4062C3">
                  <wp:extent cx="4196452" cy="2512695"/>
                  <wp:effectExtent l="0" t="0" r="0" b="1905"/>
                  <wp:docPr id="1" name="Chart 1" descr="Figure 2.2 is a frequency bar chart that shows the persistence of test &amp; calibration client IDs and ABNs in using NMI services between 2005-06 and 2015-16 (11 years). The count for client IDs is highest for the first year and declines slowly until dropping starkly from years 8 to 11. The count for ABNs is relatively similar for all years, spiking in year 7. " title="Figure 2.3: Years of active engagement in NMI services, Test &amp; Calibration client IDs and AB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390857D" w14:textId="5B913DB5" w:rsidR="002B5F13" w:rsidRPr="002B5F13" w:rsidRDefault="002B5F13" w:rsidP="002B5F13">
      <w:pPr>
        <w:pStyle w:val="Source"/>
      </w:pPr>
      <w:r>
        <w:t>Source: Department of Industry, Innovation and Science (2017)</w:t>
      </w:r>
    </w:p>
    <w:p w14:paraId="70BCF414" w14:textId="5F9E0813" w:rsidR="00886682" w:rsidRPr="00886682" w:rsidRDefault="00886682" w:rsidP="002B5F13">
      <w:pPr>
        <w:pStyle w:val="Heading1"/>
      </w:pPr>
      <w:r w:rsidRPr="00886682">
        <w:t xml:space="preserve">Characteristics of Sample Manager clients </w:t>
      </w:r>
    </w:p>
    <w:p w14:paraId="1BECA545" w14:textId="4CA8986B" w:rsidR="00886682" w:rsidRPr="00886682" w:rsidRDefault="00886682" w:rsidP="002B5F13">
      <w:pPr>
        <w:pStyle w:val="Heading2"/>
      </w:pPr>
      <w:r w:rsidRPr="00886682">
        <w:t>Industry classification</w:t>
      </w:r>
    </w:p>
    <w:p w14:paraId="608D013C" w14:textId="7D25A351" w:rsidR="00886682" w:rsidRDefault="00886682" w:rsidP="002B5F13">
      <w:pPr>
        <w:pStyle w:val="BodyText"/>
      </w:pPr>
      <w:r w:rsidRPr="00886682">
        <w:t xml:space="preserve">The majority of NMI’s Sample Manager clients </w:t>
      </w:r>
      <w:r w:rsidR="00494603" w:rsidRPr="00886682">
        <w:t>in 2015-16</w:t>
      </w:r>
      <w:r w:rsidR="00494603">
        <w:t xml:space="preserve"> were</w:t>
      </w:r>
      <w:r w:rsidRPr="00886682">
        <w:t xml:space="preserve"> in </w:t>
      </w:r>
      <w:r w:rsidR="003F2495">
        <w:t xml:space="preserve">the </w:t>
      </w:r>
      <w:r w:rsidRPr="00886682">
        <w:t>Wholesale Trade (31.9</w:t>
      </w:r>
      <w:r w:rsidR="00BB09BB">
        <w:t> </w:t>
      </w:r>
      <w:r w:rsidRPr="00886682">
        <w:t xml:space="preserve">per cent), Manufacturing (18.7 per cent) or Professional, Scientific &amp; Technical Services (11.2 per cent) industries. Figure 3.1 compares the NMI industry shares with all (employing) firms in Australia, and illustrates which industries are over or under represented in the NMI client </w:t>
      </w:r>
      <w:r w:rsidRPr="00886682">
        <w:lastRenderedPageBreak/>
        <w:t xml:space="preserve">base. NMI clients are overwhelmingly overrepresented in Wholesale Trade, Manufacturing, Public Administration &amp; Safety industries, Electricity, Gas, Water &amp; Waste Services and Mining industries. NMI Clients are marginally overrepresented in the Agriculture, Forestry and Fishing industry. </w:t>
      </w:r>
    </w:p>
    <w:p w14:paraId="11CFE06C" w14:textId="74DCE9E9" w:rsidR="002B5F13" w:rsidRDefault="002B5F13" w:rsidP="00A04EC9">
      <w:pPr>
        <w:pStyle w:val="CaptionWide"/>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w:t>
      </w:r>
      <w:r w:rsidRPr="000618FB">
        <w:fldChar w:fldCharType="end"/>
      </w:r>
      <w:r>
        <w:t xml:space="preserve">: NMI and all firm industry shares, 2015-16 - </w:t>
      </w:r>
      <w:r>
        <w:rPr>
          <w:bCs w:val="0"/>
        </w:rPr>
        <w:t>Sample Manager</w:t>
      </w:r>
    </w:p>
    <w:tbl>
      <w:tblPr>
        <w:tblStyle w:val="OCETable"/>
        <w:tblW w:w="6296" w:type="pct"/>
        <w:tblInd w:w="-1877" w:type="dxa"/>
        <w:tblLayout w:type="fixed"/>
        <w:tblCellMar>
          <w:left w:w="0" w:type="dxa"/>
          <w:right w:w="0" w:type="dxa"/>
        </w:tblCellMar>
        <w:tblLook w:val="04A0" w:firstRow="1" w:lastRow="0" w:firstColumn="1" w:lastColumn="0" w:noHBand="0" w:noVBand="1"/>
        <w:tblCaption w:val="Placeholder table"/>
      </w:tblPr>
      <w:tblGrid>
        <w:gridCol w:w="8681"/>
      </w:tblGrid>
      <w:tr w:rsidR="002B5F13" w14:paraId="523F17FF"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8681" w:type="dxa"/>
            <w:shd w:val="clear" w:color="auto" w:fill="auto"/>
          </w:tcPr>
          <w:p w14:paraId="6EE13F1C" w14:textId="004FABC3" w:rsidR="002B5F13" w:rsidRPr="00F902EA" w:rsidRDefault="00B063D1" w:rsidP="00150E54">
            <w:pPr>
              <w:pStyle w:val="PlaceholderWide"/>
              <w:ind w:left="-1985"/>
              <w:jc w:val="right"/>
            </w:pPr>
            <w:r>
              <w:rPr>
                <w:noProof/>
                <w:lang w:eastAsia="en-AU"/>
              </w:rPr>
              <w:drawing>
                <wp:inline distT="0" distB="0" distL="0" distR="0" wp14:anchorId="075D5F19" wp14:editId="3BE0EE31">
                  <wp:extent cx="5487035" cy="3963035"/>
                  <wp:effectExtent l="0" t="0" r="0" b="0"/>
                  <wp:docPr id="20" name="Picture 20" descr="Figure 3.1 is a bar chart in descending order from NMI’s (sample manager clients) highest industry share (wholesale trade) to lowest industry share (information, media and telecommunications) in 2014-15. The second bar on the chart is the all firm industry share to compare with NMI’s industry share. NMI sample manager clients are overwhelmingly overrepresented in Wholesale Trade, Manufacturing, Public Administration &amp; Safety industries, Electricity, Gas, Water &amp; Waste Services and Mining industries. NMI Clients are marginally overrepresented in the Agriculture, Forestry and Fishing industry.   " title="Figure 3.1: NMI and all firm industry shares, 2015-16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7035" cy="3963035"/>
                          </a:xfrm>
                          <a:prstGeom prst="rect">
                            <a:avLst/>
                          </a:prstGeom>
                          <a:noFill/>
                        </pic:spPr>
                      </pic:pic>
                    </a:graphicData>
                  </a:graphic>
                </wp:inline>
              </w:drawing>
            </w:r>
          </w:p>
        </w:tc>
      </w:tr>
    </w:tbl>
    <w:p w14:paraId="5988712B" w14:textId="51B79E87" w:rsidR="002B5F13" w:rsidRPr="00C62F3A" w:rsidRDefault="002B5F13" w:rsidP="00A04EC9">
      <w:pPr>
        <w:pStyle w:val="NoteWide"/>
      </w:pPr>
      <w:r>
        <w:t>Notes: All firms refers to total employing firms only.</w:t>
      </w:r>
    </w:p>
    <w:p w14:paraId="626A6F29" w14:textId="55EAC9AA" w:rsidR="002B5F13" w:rsidRDefault="002B5F13" w:rsidP="00A04EC9">
      <w:pPr>
        <w:pStyle w:val="SourceWide"/>
      </w:pPr>
      <w:r>
        <w:t>Source: DIIS (2017); ABR (2016); ABS Cat. No. 8165.0, Counts of Australian Businesses, including Entries and Exits, Jun 2012 to Jun 2016</w:t>
      </w:r>
    </w:p>
    <w:p w14:paraId="23589490" w14:textId="5A50C765" w:rsidR="00886682" w:rsidRDefault="00886682" w:rsidP="002B5F13">
      <w:pPr>
        <w:pStyle w:val="BodyText"/>
      </w:pPr>
      <w:r w:rsidRPr="00886682">
        <w:t>The top five subdivisions represented in the NMI Sample Manager client database include Grocery, Liquor &amp; Tobacco Product Wholesaling (22.7</w:t>
      </w:r>
      <w:r w:rsidR="00BB09BB">
        <w:t> </w:t>
      </w:r>
      <w:r w:rsidRPr="00886682">
        <w:t>per</w:t>
      </w:r>
      <w:r w:rsidR="00BB09BB">
        <w:t> </w:t>
      </w:r>
      <w:r w:rsidRPr="00886682">
        <w:t xml:space="preserve">cent), Professional, Scientific &amp; Technical Services (11.1 per cent), Food Product Manufacturing (9.2 per cent), Agriculture (5.7 per cent) and Food Retailing (5.6 per cent) (Figure 3.2). </w:t>
      </w:r>
    </w:p>
    <w:p w14:paraId="759D83BD" w14:textId="1E9EB360" w:rsidR="002B5F13" w:rsidRDefault="002B5F13" w:rsidP="00A04EC9">
      <w:pPr>
        <w:pStyle w:val="CaptionWide"/>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2</w:t>
      </w:r>
      <w:r w:rsidRPr="000618FB">
        <w:fldChar w:fldCharType="end"/>
      </w:r>
      <w:r>
        <w:t xml:space="preserve">: Top five ANZSIC subdivisions, by proportion of NMI clients, 2015-16 - </w:t>
      </w:r>
      <w:r>
        <w:rPr>
          <w:bCs w:val="0"/>
        </w:rPr>
        <w:t>Sample Manager</w:t>
      </w:r>
    </w:p>
    <w:tbl>
      <w:tblPr>
        <w:tblStyle w:val="OCETable"/>
        <w:tblW w:w="6379" w:type="pct"/>
        <w:tblInd w:w="-1877" w:type="dxa"/>
        <w:tblLayout w:type="fixed"/>
        <w:tblCellMar>
          <w:left w:w="0" w:type="dxa"/>
          <w:right w:w="0" w:type="dxa"/>
        </w:tblCellMar>
        <w:tblLook w:val="04A0" w:firstRow="1" w:lastRow="0" w:firstColumn="1" w:lastColumn="0" w:noHBand="0" w:noVBand="1"/>
        <w:tblCaption w:val="Placeholder table"/>
      </w:tblPr>
      <w:tblGrid>
        <w:gridCol w:w="8795"/>
      </w:tblGrid>
      <w:tr w:rsidR="002B5F13" w14:paraId="76FF8039"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36D3D0D6" w14:textId="3FB057E5" w:rsidR="002B5F13" w:rsidRDefault="00B063D1" w:rsidP="00150E54">
            <w:pPr>
              <w:pStyle w:val="PlaceholderWide"/>
              <w:ind w:left="-1985"/>
              <w:jc w:val="right"/>
            </w:pPr>
            <w:r>
              <w:rPr>
                <w:noProof/>
                <w:lang w:eastAsia="en-AU"/>
              </w:rPr>
              <w:drawing>
                <wp:inline distT="0" distB="0" distL="0" distR="0" wp14:anchorId="1D2532A9" wp14:editId="69882C12">
                  <wp:extent cx="5566410" cy="2524125"/>
                  <wp:effectExtent l="0" t="0" r="0" b="9525"/>
                  <wp:docPr id="23" name="Picture 23" descr="Figure 3.2 is a bar chart of the top five ANZSIC subdivisions in descending order: Grocery, Liquor &amp; Tobacco Product Wholesaling followed by Professional, Scientific &amp; Technical Services followed by Food Product Manufacturing followed by Agriculture followed by Food Retailing.  " title="Figure 3.2: Top five ANZSIC subdivisions, by proportion of NMI clients, 2015-16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6410" cy="2524125"/>
                          </a:xfrm>
                          <a:prstGeom prst="rect">
                            <a:avLst/>
                          </a:prstGeom>
                          <a:noFill/>
                        </pic:spPr>
                      </pic:pic>
                    </a:graphicData>
                  </a:graphic>
                </wp:inline>
              </w:drawing>
            </w:r>
          </w:p>
        </w:tc>
      </w:tr>
    </w:tbl>
    <w:p w14:paraId="42E70CC8" w14:textId="7A1DA08E" w:rsidR="002B5F13" w:rsidRPr="00C62F3A" w:rsidRDefault="002B5F13" w:rsidP="00A04EC9">
      <w:pPr>
        <w:pStyle w:val="NoteWide"/>
      </w:pPr>
      <w:r>
        <w:t>Notes:</w:t>
      </w:r>
      <w:r w:rsidRPr="002B5F13">
        <w:t xml:space="preserve"> </w:t>
      </w:r>
      <w:r>
        <w:t>*Except Computer System Design and Related Services</w:t>
      </w:r>
    </w:p>
    <w:p w14:paraId="34E23B16" w14:textId="23158DAC" w:rsidR="002B5F13" w:rsidRDefault="002B5F13" w:rsidP="00A04EC9">
      <w:pPr>
        <w:pStyle w:val="SourceWide"/>
      </w:pPr>
      <w:r>
        <w:t>Source: D</w:t>
      </w:r>
      <w:r w:rsidR="00984E57">
        <w:t>epartment of Industry, Innovation and Science</w:t>
      </w:r>
      <w:r>
        <w:t xml:space="preserve"> (2017); A</w:t>
      </w:r>
      <w:r w:rsidR="00747B73">
        <w:t xml:space="preserve">ustralian </w:t>
      </w:r>
      <w:r>
        <w:t>B</w:t>
      </w:r>
      <w:r w:rsidR="00747B73">
        <w:t xml:space="preserve">usiness </w:t>
      </w:r>
      <w:r>
        <w:t>R</w:t>
      </w:r>
      <w:r w:rsidR="00747B73">
        <w:t>egistry</w:t>
      </w:r>
      <w:r>
        <w:t xml:space="preserve"> (2016)</w:t>
      </w:r>
    </w:p>
    <w:p w14:paraId="719E570A" w14:textId="08A07108" w:rsidR="00886682" w:rsidRPr="00886682" w:rsidRDefault="00886682" w:rsidP="00984E57">
      <w:pPr>
        <w:pStyle w:val="Heading2"/>
      </w:pPr>
      <w:r w:rsidRPr="00886682">
        <w:t xml:space="preserve">Industry Growth Centres </w:t>
      </w:r>
    </w:p>
    <w:p w14:paraId="627E0D59" w14:textId="117AAB9F" w:rsidR="00886682" w:rsidRPr="00886682" w:rsidRDefault="00886682" w:rsidP="00984E57">
      <w:pPr>
        <w:pStyle w:val="BodyText"/>
      </w:pPr>
      <w:r w:rsidRPr="00886682">
        <w:t xml:space="preserve">The Industry Growth Centres </w:t>
      </w:r>
      <w:r w:rsidR="00975018">
        <w:t>I</w:t>
      </w:r>
      <w:r w:rsidRPr="00886682">
        <w:t xml:space="preserve">nitiative was announced in late 2014 under the </w:t>
      </w:r>
      <w:r w:rsidRPr="005555D1">
        <w:rPr>
          <w:i/>
        </w:rPr>
        <w:t>Industry Innovation and Competitiveness Agenda</w:t>
      </w:r>
      <w:r w:rsidRPr="00886682">
        <w:t xml:space="preserve"> and is an industry-led approach driving innovation, productivity and competitiveness by focusing on areas of competitive</w:t>
      </w:r>
      <w:r w:rsidR="002043D7">
        <w:t xml:space="preserve"> strength and strategic policy.</w:t>
      </w:r>
      <w:r w:rsidR="002043D7">
        <w:rPr>
          <w:rStyle w:val="FootnoteReference"/>
        </w:rPr>
        <w:footnoteReference w:id="9"/>
      </w:r>
      <w:r w:rsidRPr="00886682">
        <w:t xml:space="preserve"> The list of ANZSIC classes included in each of the five growth sectors</w:t>
      </w:r>
      <w:r w:rsidR="00376C02">
        <w:t>, Advanced Manufacturing, Food and Agribusiness, Medical Technologies and Pharmaceuticals, Mining Equipment, Technology and Services and Oil, Gas and Energy Resources</w:t>
      </w:r>
      <w:r w:rsidR="00376C02">
        <w:rPr>
          <w:rStyle w:val="FootnoteReference"/>
        </w:rPr>
        <w:footnoteReference w:id="10"/>
      </w:r>
      <w:r w:rsidRPr="00886682">
        <w:t xml:space="preserve"> can </w:t>
      </w:r>
      <w:r w:rsidR="00984E57">
        <w:t>be found in ABS Cat. No. 8170.0.</w:t>
      </w:r>
      <w:r w:rsidR="002043D7">
        <w:rPr>
          <w:rStyle w:val="FootnoteReference"/>
        </w:rPr>
        <w:footnoteReference w:id="11"/>
      </w:r>
    </w:p>
    <w:p w14:paraId="18D2ECC5" w14:textId="4BA3F3FC" w:rsidR="00886682" w:rsidRPr="00886682" w:rsidRDefault="00886682" w:rsidP="00984E57">
      <w:pPr>
        <w:pStyle w:val="BodyText"/>
      </w:pPr>
      <w:r w:rsidRPr="00886682">
        <w:t>One quarter of NMI clients (26.8 per cent) are classified as a growth sector firm in 2015-16, with the majority represented in the Food and Agribusiness growth sector (18.7 per cent). Figure 3.3 shows the proportion of clients represented in the Food and Agribusiness growth sector increased sharply after the introduction of the Growth Centre</w:t>
      </w:r>
      <w:r w:rsidR="00687AC9">
        <w:t>s</w:t>
      </w:r>
      <w:r w:rsidRPr="00886682">
        <w:t xml:space="preserve"> Initiative. In contrast, just 8.7 per cent of firms in the total employing firm population that are classified as a growth sector firm in 2015-16.</w:t>
      </w:r>
      <w:r w:rsidR="002043D7">
        <w:rPr>
          <w:rStyle w:val="FootnoteReference"/>
        </w:rPr>
        <w:footnoteReference w:id="12"/>
      </w:r>
    </w:p>
    <w:p w14:paraId="18010191" w14:textId="2F7AB9B5" w:rsidR="00984E57" w:rsidRDefault="00984E57" w:rsidP="00A04EC9">
      <w:pPr>
        <w:pStyle w:val="CaptionWide"/>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3</w:t>
      </w:r>
      <w:r w:rsidRPr="000618FB">
        <w:fldChar w:fldCharType="end"/>
      </w:r>
      <w:r>
        <w:t>: Share of NMI clients cla</w:t>
      </w:r>
      <w:r w:rsidR="00E5620B">
        <w:t xml:space="preserve">ssified as growth sector firms </w:t>
      </w:r>
      <w:r w:rsidR="00E5620B">
        <w:rPr>
          <w:rFonts w:ascii="Calibri" w:hAnsi="Calibri"/>
        </w:rPr>
        <w:t>—</w:t>
      </w:r>
      <w:r>
        <w:t xml:space="preserve"> </w:t>
      </w:r>
      <w:r w:rsidRPr="00F3362E">
        <w:t>Sample Manager</w:t>
      </w:r>
    </w:p>
    <w:tbl>
      <w:tblPr>
        <w:tblStyle w:val="OCETable"/>
        <w:tblW w:w="6379" w:type="pct"/>
        <w:tblInd w:w="-1877" w:type="dxa"/>
        <w:tblLayout w:type="fixed"/>
        <w:tblCellMar>
          <w:left w:w="0" w:type="dxa"/>
          <w:right w:w="0" w:type="dxa"/>
        </w:tblCellMar>
        <w:tblLook w:val="04A0" w:firstRow="1" w:lastRow="0" w:firstColumn="1" w:lastColumn="0" w:noHBand="0" w:noVBand="1"/>
        <w:tblCaption w:val="Placeholder table"/>
      </w:tblPr>
      <w:tblGrid>
        <w:gridCol w:w="8795"/>
      </w:tblGrid>
      <w:tr w:rsidR="00984E57" w14:paraId="6CD63624"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8795" w:type="dxa"/>
            <w:shd w:val="clear" w:color="auto" w:fill="auto"/>
          </w:tcPr>
          <w:p w14:paraId="79A5E885" w14:textId="5C9F4002" w:rsidR="00984E57" w:rsidRDefault="00B063D1" w:rsidP="00150E54">
            <w:pPr>
              <w:pStyle w:val="PlaceholderWide"/>
              <w:ind w:left="-1985"/>
              <w:jc w:val="right"/>
            </w:pPr>
            <w:r>
              <w:rPr>
                <w:noProof/>
                <w:lang w:eastAsia="en-AU"/>
              </w:rPr>
              <w:drawing>
                <wp:inline distT="0" distB="0" distL="0" distR="0" wp14:anchorId="19FF9E84" wp14:editId="238CE692">
                  <wp:extent cx="5578475" cy="2346960"/>
                  <wp:effectExtent l="0" t="0" r="3175" b="0"/>
                  <wp:docPr id="25" name="Picture 25" descr="Figure 3.3 is a line chart, with 5 lines, one for each growth sector. The share of sample manager NMI clients in growth sectors has remained stable from 2008 to 2016. The majority of growth sector clients are in Food &amp; Agribusiness or Advanced Manufacturing, whereas a very minor share are in the remaining growth sectors – Medical Technologies &amp; Pharmaceuticals, Oil, Gas &amp; Energy Resources and Mining Equipment, Technologies &amp; Services. " title="Figure 3.3: Share of NMI clients classified as growth sector firms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8475" cy="2346960"/>
                          </a:xfrm>
                          <a:prstGeom prst="rect">
                            <a:avLst/>
                          </a:prstGeom>
                          <a:noFill/>
                        </pic:spPr>
                      </pic:pic>
                    </a:graphicData>
                  </a:graphic>
                </wp:inline>
              </w:drawing>
            </w:r>
          </w:p>
        </w:tc>
      </w:tr>
    </w:tbl>
    <w:p w14:paraId="70E7FEC8" w14:textId="218F3AC2" w:rsidR="00984E57" w:rsidRPr="00C62F3A" w:rsidRDefault="00984E57" w:rsidP="00A04EC9">
      <w:pPr>
        <w:pStyle w:val="NoteWide"/>
      </w:pPr>
      <w:r>
        <w:t>Notes: A small amount of firms appear in more than one growth sector. Financial years are rounded up – i.e. y</w:t>
      </w:r>
      <w:r w:rsidR="00E5620B">
        <w:t>ear 2015 is financial year 2014</w:t>
      </w:r>
      <w:r w:rsidR="00E5620B">
        <w:rPr>
          <w:rFonts w:ascii="Calibri" w:hAnsi="Calibri"/>
        </w:rPr>
        <w:t>–</w:t>
      </w:r>
      <w:r>
        <w:t>15</w:t>
      </w:r>
    </w:p>
    <w:p w14:paraId="0F263AAA" w14:textId="11CF70E6" w:rsidR="00984E57" w:rsidRDefault="00984E57" w:rsidP="00A04EC9">
      <w:pPr>
        <w:pStyle w:val="SourceWide"/>
      </w:pPr>
      <w:r>
        <w:t>Source: Department of Industry, Innovation and Science (2017); A</w:t>
      </w:r>
      <w:r w:rsidR="00CA25E9">
        <w:t xml:space="preserve">ustralian Business Registry </w:t>
      </w:r>
      <w:r>
        <w:t>(2016); ABS</w:t>
      </w:r>
      <w:r w:rsidRPr="000C658A">
        <w:t xml:space="preserve"> Australian Bureau of Statistics Cat. No. 8170.0 Characteristics of Businesses in Selected </w:t>
      </w:r>
      <w:r w:rsidR="00E5620B">
        <w:t>Growth Centres, Australia, 2013</w:t>
      </w:r>
      <w:r w:rsidR="00E5620B">
        <w:rPr>
          <w:rFonts w:ascii="Calibri" w:hAnsi="Calibri"/>
        </w:rPr>
        <w:t>–</w:t>
      </w:r>
      <w:r w:rsidRPr="000C658A">
        <w:t>14,</w:t>
      </w:r>
    </w:p>
    <w:p w14:paraId="5ABCB592" w14:textId="77777777" w:rsidR="00B6015C" w:rsidRDefault="00886682" w:rsidP="00984E57">
      <w:pPr>
        <w:pStyle w:val="BodyText"/>
      </w:pPr>
      <w:r w:rsidRPr="00886682">
        <w:t>Almost half of the NMI clients in growth sectors are in the Food Product Manufacturing subdivision. This translates to 9.2 per cent of all NMI clients in the Food Product Manufacturing subdivision, followed by Agriculture (5.5</w:t>
      </w:r>
      <w:r w:rsidR="009F68D1">
        <w:t> </w:t>
      </w:r>
      <w:r w:rsidRPr="00886682">
        <w:t>per</w:t>
      </w:r>
      <w:r w:rsidR="009F68D1">
        <w:t> </w:t>
      </w:r>
      <w:r w:rsidRPr="00886682">
        <w:t>cent), Beverage &amp; Tobacco Produc</w:t>
      </w:r>
      <w:r w:rsidR="00664467">
        <w:t>t Manufacturing (3.1 per cent)</w:t>
      </w:r>
    </w:p>
    <w:p w14:paraId="3D89E24D" w14:textId="45C5C156" w:rsidR="00886682" w:rsidRDefault="00886682" w:rsidP="00984E57">
      <w:pPr>
        <w:pStyle w:val="BodyText"/>
      </w:pPr>
      <w:r w:rsidRPr="00886682">
        <w:t xml:space="preserve">Basic Chemical &amp; Chemical Product Manufacturing (3.0 per cent) and Other Goods Wholesaling (1.2 per cent) (Figure 3.4). </w:t>
      </w:r>
    </w:p>
    <w:p w14:paraId="1304E4FC" w14:textId="68168E08" w:rsidR="00C566B9" w:rsidRDefault="00C566B9" w:rsidP="00C566B9">
      <w:pPr>
        <w:pStyle w:val="CaptionWide"/>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4</w:t>
      </w:r>
      <w:r w:rsidRPr="000618FB">
        <w:fldChar w:fldCharType="end"/>
      </w:r>
      <w:r>
        <w:t xml:space="preserve">: </w:t>
      </w:r>
      <w:r w:rsidRPr="00725417">
        <w:t>Share of NMI clients in top five g</w:t>
      </w:r>
      <w:r w:rsidR="00E5620B">
        <w:t>rowth sector subdivisions, 2015</w:t>
      </w:r>
      <w:r w:rsidR="00E5620B">
        <w:rPr>
          <w:rFonts w:ascii="Calibri" w:hAnsi="Calibri"/>
        </w:rPr>
        <w:t>–</w:t>
      </w:r>
      <w:r w:rsidR="00E5620B">
        <w:t xml:space="preserve">16 </w:t>
      </w:r>
      <w:r w:rsidR="00E5620B">
        <w:rPr>
          <w:rFonts w:ascii="Calibri" w:hAnsi="Calibri"/>
        </w:rPr>
        <w:t>—</w:t>
      </w:r>
      <w:r w:rsidRPr="00725417">
        <w:t xml:space="preserve"> Sample Manager</w:t>
      </w:r>
    </w:p>
    <w:tbl>
      <w:tblPr>
        <w:tblStyle w:val="OCETable"/>
        <w:tblW w:w="6379" w:type="pct"/>
        <w:tblInd w:w="-1877" w:type="dxa"/>
        <w:tblLayout w:type="fixed"/>
        <w:tblLook w:val="04A0" w:firstRow="1" w:lastRow="0" w:firstColumn="1" w:lastColumn="0" w:noHBand="0" w:noVBand="1"/>
        <w:tblCaption w:val="Placeholder table"/>
      </w:tblPr>
      <w:tblGrid>
        <w:gridCol w:w="8795"/>
      </w:tblGrid>
      <w:tr w:rsidR="00C566B9" w14:paraId="24097665"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3DD15DD4" w14:textId="2E61B3BC" w:rsidR="00C566B9" w:rsidRDefault="00642D51" w:rsidP="00642D51">
            <w:pPr>
              <w:pStyle w:val="PlaceholderWide"/>
              <w:jc w:val="left"/>
            </w:pPr>
            <w:r w:rsidRPr="00642D51">
              <w:rPr>
                <w:noProof/>
                <w:lang w:eastAsia="en-AU"/>
              </w:rPr>
              <w:drawing>
                <wp:inline distT="0" distB="0" distL="0" distR="0" wp14:anchorId="32BDA069" wp14:editId="35581AB0">
                  <wp:extent cx="5400040" cy="2519045"/>
                  <wp:effectExtent l="0" t="0" r="0" b="0"/>
                  <wp:docPr id="55" name="Picture 55" descr="Figure 3.4 is a bar chart of the top five growth sector ANZSIC subdivisions in descending order: Food Product Manufacturing followed by Agriculture followed by Beverage &amp; Tobacco Product Manufacturing followed by Basic Chemical &amp; Chemical Product Manufacturing followed by Polymer Product &amp; Rubber Product Manufacturing. " title="Figure 3.4: Share of NMI clients in top five growth sector subdivisions, 2015–16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EAS\Business Functions\Visual Analytics\Projects\Research Papers\An analysis of NMI's client base-Angelina\3.4 Bar chart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40" cy="2519045"/>
                          </a:xfrm>
                          <a:prstGeom prst="rect">
                            <a:avLst/>
                          </a:prstGeom>
                          <a:noFill/>
                          <a:ln>
                            <a:noFill/>
                          </a:ln>
                        </pic:spPr>
                      </pic:pic>
                    </a:graphicData>
                  </a:graphic>
                </wp:inline>
              </w:drawing>
            </w:r>
          </w:p>
        </w:tc>
      </w:tr>
    </w:tbl>
    <w:p w14:paraId="1A0FB525" w14:textId="40F9EE29" w:rsidR="00C566B9" w:rsidRPr="00C62F3A" w:rsidRDefault="00C566B9" w:rsidP="00C566B9">
      <w:pPr>
        <w:pStyle w:val="NoteWide"/>
      </w:pPr>
      <w:r>
        <w:t xml:space="preserve">Notes: </w:t>
      </w:r>
      <w:r w:rsidRPr="00725417">
        <w:t>A small amount of firms appear in more than one growth sector.</w:t>
      </w:r>
    </w:p>
    <w:p w14:paraId="67A5059C" w14:textId="39CCA567" w:rsidR="00C566B9" w:rsidRDefault="00C566B9" w:rsidP="00C566B9">
      <w:pPr>
        <w:pStyle w:val="SourceWide"/>
      </w:pPr>
      <w:r>
        <w:t xml:space="preserve">Source: </w:t>
      </w:r>
      <w:r w:rsidRPr="00725417">
        <w:t>Department of Industry, Innovation and Science (2017</w:t>
      </w:r>
      <w:r>
        <w:t>); Australian Business Registry</w:t>
      </w:r>
      <w:r w:rsidRPr="00725417">
        <w:t xml:space="preserve"> (2016); ABS Cat. No. 8170.0 Characteristics of Businesses in Selected </w:t>
      </w:r>
      <w:r w:rsidR="00E5620B">
        <w:t>Growth Centres, Australia, 2013</w:t>
      </w:r>
      <w:r w:rsidR="00E5620B">
        <w:rPr>
          <w:rFonts w:ascii="Calibri" w:hAnsi="Calibri"/>
        </w:rPr>
        <w:t>–</w:t>
      </w:r>
      <w:r w:rsidRPr="00725417">
        <w:t>14,</w:t>
      </w:r>
    </w:p>
    <w:p w14:paraId="7607B0B0" w14:textId="38650C70" w:rsidR="00886682" w:rsidRPr="00886682" w:rsidRDefault="00886682" w:rsidP="00984E57">
      <w:pPr>
        <w:pStyle w:val="Heading2"/>
      </w:pPr>
      <w:r w:rsidRPr="00886682">
        <w:lastRenderedPageBreak/>
        <w:t xml:space="preserve">Intellectual Property </w:t>
      </w:r>
    </w:p>
    <w:p w14:paraId="2012388A" w14:textId="2E81E6F9" w:rsidR="00886682" w:rsidRDefault="00886682" w:rsidP="00984E57">
      <w:pPr>
        <w:pStyle w:val="BodyText"/>
      </w:pPr>
      <w:r w:rsidRPr="00886682">
        <w:t>Intellectual property (IP) rights including patents and trade marks are often used as a measure o</w:t>
      </w:r>
      <w:r w:rsidR="00E5620B">
        <w:t>f output of innovation. In 2014</w:t>
      </w:r>
      <w:r w:rsidR="00E5620B">
        <w:rPr>
          <w:rFonts w:ascii="Calibri" w:hAnsi="Calibri"/>
        </w:rPr>
        <w:t>–</w:t>
      </w:r>
      <w:r w:rsidRPr="00886682">
        <w:t xml:space="preserve">15, 15.0 per cent of NMI clients filed trade mark applications and 2.2 per cent of NMI clients filed patent applications. Figure 3.5 shows these shares have remained fairly constant over time. </w:t>
      </w:r>
    </w:p>
    <w:p w14:paraId="58D9E617" w14:textId="2D0F201A" w:rsidR="00984E57" w:rsidRDefault="00984E57"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5</w:t>
      </w:r>
      <w:r w:rsidRPr="000618FB">
        <w:fldChar w:fldCharType="end"/>
      </w:r>
      <w:r>
        <w:t>: Share of NMI clients fil</w:t>
      </w:r>
      <w:r w:rsidR="00E5620B">
        <w:t xml:space="preserve">ing for trade marks or patents </w:t>
      </w:r>
      <w:r w:rsidR="00E5620B">
        <w:rPr>
          <w:rFonts w:ascii="Calibri" w:hAnsi="Calibri"/>
        </w:rPr>
        <w:t>—</w:t>
      </w:r>
      <w:r>
        <w:t xml:space="preserve"> </w:t>
      </w:r>
      <w:r>
        <w:rPr>
          <w:bCs w:val="0"/>
        </w:rPr>
        <w:t>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84E57" w14:paraId="1A5EBCFB"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3A5CEF8D" w14:textId="0C33882F" w:rsidR="00984E57" w:rsidRDefault="00C0196E" w:rsidP="00A04EC9">
            <w:pPr>
              <w:pStyle w:val="PlaceholderWide"/>
            </w:pPr>
            <w:r>
              <w:rPr>
                <w:noProof/>
                <w:lang w:eastAsia="en-AU"/>
              </w:rPr>
              <w:drawing>
                <wp:inline distT="0" distB="0" distL="0" distR="0" wp14:anchorId="08E64B85" wp14:editId="0EBCC8CD">
                  <wp:extent cx="4298315" cy="1652270"/>
                  <wp:effectExtent l="0" t="0" r="6985" b="5080"/>
                  <wp:docPr id="29" name="Picture 29" descr="Figure 3.5 is a line chart, with two lines, each showing the share of sample manager NMI clients filing for trade marks or patents between 2008 and 2015. The top line is the proportion of NMI clients who have filed for trade marks and the bottom line is the proportion of NMI clients who have filed for patents between 2008 and 2015. These proportions have stayed fairly constant over time. " title="Figure 3.5: Share of NMI clients filing for trade marks or patents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8315" cy="1652270"/>
                          </a:xfrm>
                          <a:prstGeom prst="rect">
                            <a:avLst/>
                          </a:prstGeom>
                          <a:noFill/>
                        </pic:spPr>
                      </pic:pic>
                    </a:graphicData>
                  </a:graphic>
                </wp:inline>
              </w:drawing>
            </w:r>
          </w:p>
        </w:tc>
      </w:tr>
    </w:tbl>
    <w:p w14:paraId="3F84AAF9" w14:textId="5D635F53" w:rsidR="00984E57" w:rsidRPr="00C62F3A" w:rsidRDefault="00984E57" w:rsidP="00A04EC9">
      <w:pPr>
        <w:pStyle w:val="Note"/>
      </w:pPr>
      <w:r>
        <w:t>Notes: These are patent applicants and/or trade mark applicants, not applications.</w:t>
      </w:r>
    </w:p>
    <w:p w14:paraId="5F9FD85D" w14:textId="2D8D8C81" w:rsidR="00984E57" w:rsidRDefault="00984E57" w:rsidP="00A04EC9">
      <w:pPr>
        <w:pStyle w:val="Source"/>
      </w:pPr>
      <w:r>
        <w:t>Source: Department of Industry, Innovation and Science (2017); IPGOD 2017</w:t>
      </w:r>
    </w:p>
    <w:p w14:paraId="645B16BC" w14:textId="2AB0F0D5" w:rsidR="00886682" w:rsidRDefault="00886682" w:rsidP="00984E57">
      <w:pPr>
        <w:pStyle w:val="BodyText"/>
      </w:pPr>
      <w:r w:rsidRPr="00886682">
        <w:t xml:space="preserve">Figure 3.6 and Figure 3.7 compare IP filing activity between NMI clients and firms in similar industries. NMI clients consistently outperform firms in Manufacturing, Wholesale Trade and PST in filing for patents and trade marks. </w:t>
      </w:r>
    </w:p>
    <w:p w14:paraId="254D2713" w14:textId="63B70196" w:rsidR="00984E57" w:rsidRDefault="00984E57"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6</w:t>
      </w:r>
      <w:r w:rsidRPr="000618FB">
        <w:fldChar w:fldCharType="end"/>
      </w:r>
      <w:r>
        <w:t>: Share of NMI clients, innovative-active firms and</w:t>
      </w:r>
      <w:r w:rsidR="00E5620B">
        <w:t xml:space="preserve"> industries filing for patents </w:t>
      </w:r>
      <w:r w:rsidR="00E5620B">
        <w:rPr>
          <w:rFonts w:ascii="Calibri" w:hAnsi="Calibri"/>
        </w:rPr>
        <w:t>—</w:t>
      </w:r>
      <w:r>
        <w:t xml:space="preserve"> </w:t>
      </w:r>
      <w:r>
        <w:rPr>
          <w:bCs w:val="0"/>
        </w:rPr>
        <w:t>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84E57" w14:paraId="19ED1320"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1BE0CB89" w14:textId="0F099E51" w:rsidR="00984E57" w:rsidRDefault="00146C25" w:rsidP="00984E57">
            <w:pPr>
              <w:pStyle w:val="PlaceholderWide"/>
            </w:pPr>
            <w:r>
              <w:rPr>
                <w:noProof/>
                <w:lang w:eastAsia="en-AU"/>
              </w:rPr>
              <w:drawing>
                <wp:inline distT="0" distB="0" distL="0" distR="0" wp14:anchorId="1A4BACEF" wp14:editId="20EE856D">
                  <wp:extent cx="4316095" cy="2524125"/>
                  <wp:effectExtent l="0" t="0" r="8255" b="9525"/>
                  <wp:docPr id="50" name="Picture 50" descr="Figure 3.6 is a line chart, with 5 lines, each showing the share of firms filing for patents in 5 distinct groups (in order of highest patent filing activity to lowest) from 2008 to 2015: innovative-active firms, sample manager NMI client firms, Manufacturing firms, Whole Trade firms and Professional, Scientific &amp; Technical Services firms. These proportions have been fairly consistent over time. " title="Figure 3.6: Share of NMI clients, innovative-active firms and industries filing for patents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tc>
      </w:tr>
    </w:tbl>
    <w:p w14:paraId="370369A0" w14:textId="242D14A6" w:rsidR="00984E57" w:rsidRPr="00C62F3A" w:rsidRDefault="00984E57" w:rsidP="00A04EC9">
      <w:pPr>
        <w:pStyle w:val="Note"/>
      </w:pPr>
      <w:r>
        <w:t>Notes: Financial years are rounded up – i.e. year 2015 is financial year 2</w:t>
      </w:r>
      <w:r w:rsidR="00E5620B">
        <w:t>014</w:t>
      </w:r>
      <w:r w:rsidR="00E5620B">
        <w:rPr>
          <w:rFonts w:ascii="Calibri" w:hAnsi="Calibri"/>
        </w:rPr>
        <w:t>–</w:t>
      </w:r>
      <w:r>
        <w:t xml:space="preserve">15. Innovative-active data </w:t>
      </w:r>
    </w:p>
    <w:p w14:paraId="18F7DF0B" w14:textId="41762635" w:rsidR="00984E57" w:rsidRDefault="00984E57" w:rsidP="00A04EC9">
      <w:pPr>
        <w:pStyle w:val="Source"/>
      </w:pPr>
      <w:r>
        <w:t xml:space="preserve">Source: Department of Industry, Innovation and Science (2017); IPGOD (2017); </w:t>
      </w:r>
      <w:r w:rsidRPr="0094570A">
        <w:t xml:space="preserve">ABS </w:t>
      </w:r>
      <w:r>
        <w:t>Cat. No. 8158</w:t>
      </w:r>
      <w:r w:rsidRPr="0094570A">
        <w:t xml:space="preserve">.0 </w:t>
      </w:r>
      <w:r>
        <w:t>Innovati</w:t>
      </w:r>
      <w:r w:rsidR="00E5620B">
        <w:t>on in Australian Business, 2014</w:t>
      </w:r>
      <w:r w:rsidR="00E5620B">
        <w:rPr>
          <w:rFonts w:ascii="Calibri" w:hAnsi="Calibri"/>
        </w:rPr>
        <w:t>–</w:t>
      </w:r>
      <w:r>
        <w:t xml:space="preserve">15 </w:t>
      </w:r>
      <w:r w:rsidRPr="0094570A">
        <w:t xml:space="preserve"> </w:t>
      </w:r>
    </w:p>
    <w:p w14:paraId="382C6860" w14:textId="49A4DA13" w:rsidR="00984E57" w:rsidRDefault="00984E57" w:rsidP="00A04EC9">
      <w:pPr>
        <w:pStyle w:val="Caption"/>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7</w:t>
      </w:r>
      <w:r w:rsidRPr="000618FB">
        <w:fldChar w:fldCharType="end"/>
      </w:r>
      <w:r>
        <w:t>: Share of NMI clients, innovative-active firms and ind</w:t>
      </w:r>
      <w:r w:rsidR="00E5620B">
        <w:t xml:space="preserve">ustries filing for trade marks </w:t>
      </w:r>
      <w:r w:rsidR="00E5620B">
        <w:rPr>
          <w:rFonts w:ascii="Calibri" w:hAnsi="Calibri"/>
        </w:rPr>
        <w:t>—</w:t>
      </w:r>
      <w:r>
        <w:t xml:space="preserve"> </w:t>
      </w:r>
      <w:r>
        <w:rPr>
          <w:bCs w:val="0"/>
        </w:rPr>
        <w:t>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84E57" w14:paraId="76A9BF8B"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1AACEA6B" w14:textId="1318B827" w:rsidR="00984E57" w:rsidRDefault="00146C25" w:rsidP="00984E57">
            <w:pPr>
              <w:pStyle w:val="PlaceholderWide"/>
            </w:pPr>
            <w:r>
              <w:rPr>
                <w:noProof/>
                <w:lang w:eastAsia="en-AU"/>
              </w:rPr>
              <w:drawing>
                <wp:inline distT="0" distB="0" distL="0" distR="0" wp14:anchorId="184AA168" wp14:editId="7519E3E1">
                  <wp:extent cx="4273550" cy="2524125"/>
                  <wp:effectExtent l="0" t="0" r="0" b="9525"/>
                  <wp:docPr id="51" name="Picture 51" descr="Figure 3.7 is a line chart, with 5 lines, each showing the share of firms filing for trade marks in 5 distinct groups (in order of highest patent filing activity to lowest) in 2014-15: innovative-active firms, sample manager NMI client firms, , Wholesale Trade firms, Manufacturing firms and Professional, Scientific &amp; Technical Services firms. These proportions have been fairly consistent over time." title="Figure 3.7: Share of NMI clients, innovative-active firms and industries filing for trade marks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3550" cy="2524125"/>
                          </a:xfrm>
                          <a:prstGeom prst="rect">
                            <a:avLst/>
                          </a:prstGeom>
                          <a:noFill/>
                        </pic:spPr>
                      </pic:pic>
                    </a:graphicData>
                  </a:graphic>
                </wp:inline>
              </w:drawing>
            </w:r>
          </w:p>
        </w:tc>
      </w:tr>
    </w:tbl>
    <w:p w14:paraId="69262BEF" w14:textId="4B988D15" w:rsidR="00984E57" w:rsidRPr="00C62F3A" w:rsidRDefault="00984E57" w:rsidP="00A04EC9">
      <w:pPr>
        <w:pStyle w:val="Note"/>
      </w:pPr>
      <w:r>
        <w:t>Notes: Financial years are rounded up – i.e. y</w:t>
      </w:r>
      <w:r w:rsidR="00E5620B">
        <w:t>ear 2015 is financial year 2014</w:t>
      </w:r>
      <w:r w:rsidR="00E5620B">
        <w:rPr>
          <w:rFonts w:ascii="Calibri" w:hAnsi="Calibri"/>
        </w:rPr>
        <w:t>–</w:t>
      </w:r>
      <w:r>
        <w:t>15. The innovative-active firm population includes registration of copyright and trademarks.</w:t>
      </w:r>
    </w:p>
    <w:p w14:paraId="78705426" w14:textId="23BDA798" w:rsidR="00984E57" w:rsidRDefault="00984E57" w:rsidP="00A04EC9">
      <w:pPr>
        <w:pStyle w:val="Source"/>
      </w:pPr>
      <w:r>
        <w:t xml:space="preserve">Source: Department of Industry, Innovation and Science (2017); IPGOD 2017; </w:t>
      </w:r>
      <w:r w:rsidRPr="0094570A">
        <w:t xml:space="preserve">ABS </w:t>
      </w:r>
      <w:r>
        <w:t>Cat. No. 8158</w:t>
      </w:r>
      <w:r w:rsidRPr="0094570A">
        <w:t xml:space="preserve">.0 </w:t>
      </w:r>
      <w:r>
        <w:t>Innovati</w:t>
      </w:r>
      <w:r w:rsidR="00E5620B">
        <w:t>on in Australian Business, 2014</w:t>
      </w:r>
      <w:r w:rsidR="00E5620B">
        <w:rPr>
          <w:rFonts w:ascii="Calibri" w:hAnsi="Calibri"/>
        </w:rPr>
        <w:t>–</w:t>
      </w:r>
      <w:r>
        <w:t xml:space="preserve">15 </w:t>
      </w:r>
      <w:r w:rsidRPr="0094570A">
        <w:t xml:space="preserve"> </w:t>
      </w:r>
    </w:p>
    <w:p w14:paraId="29901307" w14:textId="77777777" w:rsidR="00886682" w:rsidRDefault="00886682" w:rsidP="00984E57">
      <w:pPr>
        <w:pStyle w:val="BodyText"/>
      </w:pPr>
      <w:r w:rsidRPr="00886682">
        <w:t xml:space="preserve">Amongst IP-active NMI clients, almost a quarter (24.4 per cent) are in the Grocery, Liquor &amp; Tobacco Product Wholesaling subdivision, followed by Food Product Manufacturing (15 per cent), Tertiary Education (8.3 per cent), Beverage &amp; Tobacco Product Manufacturing (6.7 per cent) and Basic Chemical &amp; Chemical Product Manufacturing (5.6 per cent) (Figure 3.8). </w:t>
      </w:r>
    </w:p>
    <w:p w14:paraId="74ADA36E" w14:textId="4EBA3137" w:rsidR="00C566B9" w:rsidRDefault="00C566B9" w:rsidP="00C566B9">
      <w:pPr>
        <w:pStyle w:val="CaptionWide"/>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8</w:t>
      </w:r>
      <w:r w:rsidRPr="000618FB">
        <w:fldChar w:fldCharType="end"/>
      </w:r>
      <w:r>
        <w:t xml:space="preserve">: </w:t>
      </w:r>
      <w:r w:rsidRPr="00D07484">
        <w:t xml:space="preserve">Share of NMI IP-active clients, </w:t>
      </w:r>
      <w:r w:rsidR="00E5620B">
        <w:t>top five subdivisions, 2014</w:t>
      </w:r>
      <w:r w:rsidR="00E5620B">
        <w:rPr>
          <w:rFonts w:ascii="Calibri" w:hAnsi="Calibri"/>
        </w:rPr>
        <w:t>–</w:t>
      </w:r>
      <w:r w:rsidR="00E5620B">
        <w:t xml:space="preserve">15 </w:t>
      </w:r>
      <w:r w:rsidR="00E5620B">
        <w:rPr>
          <w:rFonts w:ascii="Calibri" w:hAnsi="Calibri"/>
        </w:rPr>
        <w:t>—</w:t>
      </w:r>
      <w:r w:rsidRPr="00D07484">
        <w:t xml:space="preserve"> Sample Manager</w:t>
      </w:r>
    </w:p>
    <w:tbl>
      <w:tblPr>
        <w:tblStyle w:val="OCETable"/>
        <w:tblW w:w="6379" w:type="pct"/>
        <w:tblInd w:w="-1877" w:type="dxa"/>
        <w:tblLayout w:type="fixed"/>
        <w:tblCellMar>
          <w:left w:w="0" w:type="dxa"/>
          <w:right w:w="0" w:type="dxa"/>
        </w:tblCellMar>
        <w:tblLook w:val="04A0" w:firstRow="1" w:lastRow="0" w:firstColumn="1" w:lastColumn="0" w:noHBand="0" w:noVBand="1"/>
        <w:tblCaption w:val="Placeholder table"/>
      </w:tblPr>
      <w:tblGrid>
        <w:gridCol w:w="8795"/>
      </w:tblGrid>
      <w:tr w:rsidR="00C566B9" w14:paraId="3D7BBF6C"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4463A347" w14:textId="651168FE" w:rsidR="00C566B9" w:rsidRDefault="00642D51" w:rsidP="00642D51">
            <w:pPr>
              <w:pStyle w:val="PlaceholderWide"/>
              <w:jc w:val="left"/>
            </w:pPr>
            <w:r w:rsidRPr="00642D51">
              <w:rPr>
                <w:noProof/>
                <w:lang w:eastAsia="en-AU"/>
              </w:rPr>
              <w:drawing>
                <wp:inline distT="0" distB="0" distL="0" distR="0" wp14:anchorId="5BDDD86B" wp14:editId="31B15FA7">
                  <wp:extent cx="5400040" cy="2527300"/>
                  <wp:effectExtent l="0" t="0" r="0" b="6350"/>
                  <wp:docPr id="54" name="Picture 54" descr="Figure 3.8 is a bar chart of the top five IP-active ANZSIC subdivisions in descending order in 2014-15: Grocery, Liquor &amp; Tobacco Product Wholesaling followed by Food Product Manufacturing followed by Tertiary Education followed by Beverage &amp; Tobacco Product Manufacturing followed by Basic Chemical &amp; Chemical Product Manufacturing. " title="Figure 3.8: Share of NMI IP-active clients, top five subdivisions, 2014–15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EAS\Business Functions\Visual Analytics\Projects\Research Papers\An analysis of NMI's client base-Angelina\3.8 Bar chart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40" cy="2527300"/>
                          </a:xfrm>
                          <a:prstGeom prst="rect">
                            <a:avLst/>
                          </a:prstGeom>
                          <a:noFill/>
                          <a:ln>
                            <a:noFill/>
                          </a:ln>
                        </pic:spPr>
                      </pic:pic>
                    </a:graphicData>
                  </a:graphic>
                </wp:inline>
              </w:drawing>
            </w:r>
          </w:p>
        </w:tc>
      </w:tr>
    </w:tbl>
    <w:p w14:paraId="66CA8A53" w14:textId="0844A451" w:rsidR="00C566B9" w:rsidRDefault="00C566B9" w:rsidP="00C566B9">
      <w:pPr>
        <w:pStyle w:val="SourceWide"/>
      </w:pPr>
      <w:r>
        <w:t xml:space="preserve">Source: </w:t>
      </w:r>
      <w:r w:rsidRPr="00D07484">
        <w:t>Department of Industry, Innovation and Science (2017); IPGOD (2017); ABR (2016)</w:t>
      </w:r>
    </w:p>
    <w:p w14:paraId="538643FD" w14:textId="7D44F377" w:rsidR="00886682" w:rsidRPr="00886682" w:rsidRDefault="00A04EC9" w:rsidP="00C566B9">
      <w:pPr>
        <w:pStyle w:val="Heading2"/>
      </w:pPr>
      <w:r>
        <w:lastRenderedPageBreak/>
        <w:t xml:space="preserve">R&amp;D registrations </w:t>
      </w:r>
    </w:p>
    <w:p w14:paraId="60EB20AB" w14:textId="595EEA61" w:rsidR="00886682" w:rsidRPr="00886682" w:rsidRDefault="00A04EC9" w:rsidP="00A04EC9">
      <w:pPr>
        <w:pStyle w:val="BodyText"/>
      </w:pPr>
      <w:r>
        <w:t>The R&amp;D Tax Incentive</w:t>
      </w:r>
      <w:r w:rsidR="002043D7">
        <w:rPr>
          <w:rStyle w:val="FootnoteReference"/>
        </w:rPr>
        <w:footnoteReference w:id="13"/>
      </w:r>
      <w:r>
        <w:t xml:space="preserve"> </w:t>
      </w:r>
      <w:r w:rsidR="00886682" w:rsidRPr="00886682">
        <w:t>(RDTI) programme provides a tax benefit to companies to help offset some of the cost of conducting eligible research and development activities. Companies must be liable to pay income tax in Australia and have incurred eligible R&amp;D expenditure of at least $20,00</w:t>
      </w:r>
      <w:r>
        <w:t>0 to be eligible for the RDTI.</w:t>
      </w:r>
      <w:r w:rsidR="002043D7">
        <w:rPr>
          <w:rStyle w:val="FootnoteReference"/>
        </w:rPr>
        <w:footnoteReference w:id="14"/>
      </w:r>
      <w:r w:rsidR="00D6179E">
        <w:t xml:space="preserve"> The RDTI programme replaced the R&amp;D Tax Concession (RDTC)</w:t>
      </w:r>
      <w:r w:rsidR="00EC36F1">
        <w:t xml:space="preserve"> in </w:t>
      </w:r>
      <w:r w:rsidR="005647D5">
        <w:t>on 1 July 2011</w:t>
      </w:r>
      <w:r w:rsidR="00EC36F1">
        <w:t>.</w:t>
      </w:r>
    </w:p>
    <w:p w14:paraId="37511F35" w14:textId="4A6C9A7B" w:rsidR="00886682" w:rsidRPr="00886682" w:rsidRDefault="00E5620B" w:rsidP="00A04EC9">
      <w:pPr>
        <w:pStyle w:val="BodyText"/>
      </w:pPr>
      <w:r>
        <w:t>In 2014</w:t>
      </w:r>
      <w:r>
        <w:rPr>
          <w:rFonts w:ascii="Calibri" w:hAnsi="Calibri"/>
        </w:rPr>
        <w:t>–</w:t>
      </w:r>
      <w:r w:rsidR="00886682" w:rsidRPr="00886682">
        <w:t>15, 9.0 per cent (102 firms) of NMI clients</w:t>
      </w:r>
      <w:r w:rsidR="00A117FE">
        <w:t xml:space="preserve"> were R&amp;D-active</w:t>
      </w:r>
      <w:r w:rsidR="00886682" w:rsidRPr="00886682">
        <w:t xml:space="preserve"> (Figure 3.9). This share fell sharply in and continued to fall from 2010</w:t>
      </w:r>
      <w:r w:rsidR="007B00F3">
        <w:t>–</w:t>
      </w:r>
      <w:r w:rsidR="00886682" w:rsidRPr="00886682">
        <w:t xml:space="preserve">11, the year in which the RDTC programme transitioned to the </w:t>
      </w:r>
      <w:r w:rsidR="00BA4BE7">
        <w:t>RDTI</w:t>
      </w:r>
      <w:r w:rsidR="00886682" w:rsidRPr="00886682">
        <w:t xml:space="preserve"> programme. This fall may be due to the </w:t>
      </w:r>
      <w:r w:rsidR="00BA4BE7">
        <w:t>RDTI</w:t>
      </w:r>
      <w:r w:rsidR="00886682" w:rsidRPr="00886682">
        <w:t xml:space="preserve"> targeting smaller firms to engage in R&amp;D, however this program transition has not affected firms in Manufacturing, Whol</w:t>
      </w:r>
      <w:r w:rsidR="00A04EC9">
        <w:t>esale Trade and PST industries.</w:t>
      </w:r>
    </w:p>
    <w:p w14:paraId="69F482E4" w14:textId="248E33EE" w:rsidR="00A04EC9" w:rsidRDefault="00A04EC9"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9</w:t>
      </w:r>
      <w:r w:rsidRPr="000618FB">
        <w:fldChar w:fldCharType="end"/>
      </w:r>
      <w:r>
        <w:t>: R&amp;D-</w:t>
      </w:r>
      <w:r w:rsidRPr="00E80C0E">
        <w:t xml:space="preserve">active share </w:t>
      </w:r>
      <w:r>
        <w:t>NMI clients and R&amp;D-activ</w:t>
      </w:r>
      <w:r w:rsidR="00E5620B">
        <w:t xml:space="preserve">e share of selected industries </w:t>
      </w:r>
      <w:r w:rsidR="00E5620B">
        <w:rPr>
          <w:rFonts w:ascii="Calibri" w:hAnsi="Calibri"/>
        </w:rPr>
        <w:t>—</w:t>
      </w:r>
      <w:r>
        <w:t xml:space="preserve"> 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A04EC9" w14:paraId="299BAE39" w14:textId="77777777" w:rsidTr="00C566B9">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644E4436" w14:textId="4F6047BC" w:rsidR="00A04EC9" w:rsidRDefault="00C0196E" w:rsidP="00A04EC9">
            <w:pPr>
              <w:pStyle w:val="PlaceholderWide"/>
            </w:pPr>
            <w:r>
              <w:rPr>
                <w:noProof/>
                <w:lang w:eastAsia="en-AU"/>
              </w:rPr>
              <w:drawing>
                <wp:inline distT="0" distB="0" distL="0" distR="0" wp14:anchorId="51D39298" wp14:editId="1C2AF36F">
                  <wp:extent cx="4255135" cy="2524125"/>
                  <wp:effectExtent l="0" t="0" r="0" b="9525"/>
                  <wp:docPr id="30" name="Picture 30" descr="Figure 3.9 is a line chart, with 4 lines, each showing the share of firms that are R&amp;D-active in 4 distinct groups (in descending order of most R&amp;D active) from 2008 to 2014: sample manager NMI client firms, Manufacturing firms, Professional Scientific &amp; Technical Services (PST) firms and Wholesale Trade firms. While the share of R&amp;D-active firms has generally been increasing for firms in Manufacturing, Wholesale Trade and PST industries, this has not been the case for sample manager NMI clients –their share of R&amp;D-active clients has fallen over time and was at its lowest over 2011-12 and 2012-13, and slightly recovering in 2014-15. " title="Figure 3.9: R&amp;D-active share NMI clients and R&amp;D-active share of selected industries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5135" cy="2524125"/>
                          </a:xfrm>
                          <a:prstGeom prst="rect">
                            <a:avLst/>
                          </a:prstGeom>
                          <a:noFill/>
                        </pic:spPr>
                      </pic:pic>
                    </a:graphicData>
                  </a:graphic>
                </wp:inline>
              </w:drawing>
            </w:r>
          </w:p>
        </w:tc>
      </w:tr>
    </w:tbl>
    <w:p w14:paraId="54779C0B" w14:textId="197BAEC5" w:rsidR="00A04EC9" w:rsidRPr="00C62F3A" w:rsidRDefault="00A04EC9" w:rsidP="00A04EC9">
      <w:pPr>
        <w:pStyle w:val="Note"/>
      </w:pPr>
      <w:r>
        <w:t xml:space="preserve">Notes: </w:t>
      </w:r>
      <w:r w:rsidRPr="00E80C0E">
        <w:t>Financial years are rounded up – i.e. y</w:t>
      </w:r>
      <w:r w:rsidR="00E5620B">
        <w:t>ear 2015 is financial year 2014</w:t>
      </w:r>
      <w:r w:rsidR="00E5620B">
        <w:rPr>
          <w:rFonts w:ascii="Calibri" w:hAnsi="Calibri"/>
        </w:rPr>
        <w:t>–</w:t>
      </w:r>
      <w:r w:rsidRPr="00E80C0E">
        <w:t>15</w:t>
      </w:r>
    </w:p>
    <w:p w14:paraId="0BAA3BF3" w14:textId="76586D99" w:rsidR="00A04EC9" w:rsidRDefault="00A04EC9" w:rsidP="00A04EC9">
      <w:pPr>
        <w:pStyle w:val="Source"/>
      </w:pPr>
      <w:r>
        <w:t>Source: Department of Industry, Innovation and Science</w:t>
      </w:r>
      <w:r w:rsidRPr="00E80C0E">
        <w:t xml:space="preserve"> (2017)</w:t>
      </w:r>
    </w:p>
    <w:p w14:paraId="00DDCFDE" w14:textId="56C4F241" w:rsidR="00886682" w:rsidRDefault="00886682" w:rsidP="00A04EC9">
      <w:pPr>
        <w:pStyle w:val="BodyText"/>
      </w:pPr>
      <w:r w:rsidRPr="00886682">
        <w:t>Food Product Manufacturing contains the highest number of R&amp;D-active NMI clients (16.7 per cent) followed by Professional, Scientific and Technical Services (15.7 per cent), Grocery, Liquor &amp; Tobacco Product Wholesaling (12.7</w:t>
      </w:r>
      <w:r w:rsidR="0087663C">
        <w:t> </w:t>
      </w:r>
      <w:r w:rsidRPr="00886682">
        <w:t>per cent), Basic Chemical &amp; Chemical Product Manufacturing (8.8</w:t>
      </w:r>
      <w:r w:rsidR="0087663C">
        <w:t> </w:t>
      </w:r>
      <w:r w:rsidRPr="00886682">
        <w:t>per</w:t>
      </w:r>
      <w:r w:rsidR="0087663C">
        <w:t> </w:t>
      </w:r>
      <w:r w:rsidRPr="00886682">
        <w:t>cent) and Basic Material Wholesaling (5.9 per cent) (Figure 3.10).</w:t>
      </w:r>
    </w:p>
    <w:p w14:paraId="3E93BB46" w14:textId="1752418D" w:rsidR="00C566B9" w:rsidRDefault="00C566B9" w:rsidP="00C566B9">
      <w:pPr>
        <w:pStyle w:val="CaptionWide"/>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10</w:t>
      </w:r>
      <w:r w:rsidRPr="000618FB">
        <w:fldChar w:fldCharType="end"/>
      </w:r>
      <w:r>
        <w:t xml:space="preserve">: </w:t>
      </w:r>
      <w:r w:rsidRPr="00B64030">
        <w:t xml:space="preserve">Share of NMI R&amp;D-active clients, top five </w:t>
      </w:r>
      <w:r w:rsidR="00E5620B">
        <w:t>subdivisions, 2014</w:t>
      </w:r>
      <w:r w:rsidR="00E5620B">
        <w:rPr>
          <w:rFonts w:ascii="Calibri" w:hAnsi="Calibri"/>
        </w:rPr>
        <w:t>–</w:t>
      </w:r>
      <w:r w:rsidR="00E5620B">
        <w:t xml:space="preserve">15 </w:t>
      </w:r>
      <w:r w:rsidR="00E5620B">
        <w:rPr>
          <w:rFonts w:ascii="Calibri" w:hAnsi="Calibri"/>
        </w:rPr>
        <w:t>—</w:t>
      </w:r>
      <w:r w:rsidRPr="00B64030">
        <w:t xml:space="preserve"> Sample Manager</w:t>
      </w:r>
    </w:p>
    <w:tbl>
      <w:tblPr>
        <w:tblStyle w:val="OCETable"/>
        <w:tblW w:w="6379" w:type="pct"/>
        <w:tblInd w:w="-1877" w:type="dxa"/>
        <w:tblLayout w:type="fixed"/>
        <w:tblCellMar>
          <w:left w:w="0" w:type="dxa"/>
          <w:right w:w="0" w:type="dxa"/>
        </w:tblCellMar>
        <w:tblLook w:val="04A0" w:firstRow="1" w:lastRow="0" w:firstColumn="1" w:lastColumn="0" w:noHBand="0" w:noVBand="1"/>
        <w:tblCaption w:val="Placeholder table"/>
      </w:tblPr>
      <w:tblGrid>
        <w:gridCol w:w="8795"/>
      </w:tblGrid>
      <w:tr w:rsidR="00C566B9" w14:paraId="203E059D"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44843DA7" w14:textId="7A8AB04F" w:rsidR="00C566B9" w:rsidRDefault="00642D51" w:rsidP="00C566B9">
            <w:pPr>
              <w:pStyle w:val="PlaceholderWide"/>
            </w:pPr>
            <w:r w:rsidRPr="00642D51">
              <w:rPr>
                <w:noProof/>
                <w:lang w:eastAsia="en-AU"/>
              </w:rPr>
              <w:drawing>
                <wp:inline distT="0" distB="0" distL="0" distR="0" wp14:anchorId="0FA34D45" wp14:editId="7FBB6021">
                  <wp:extent cx="5400040" cy="2519045"/>
                  <wp:effectExtent l="0" t="0" r="0" b="0"/>
                  <wp:docPr id="53" name="Picture 53" descr="Figure 3.10 is a bar chart of the top five R&amp;D -active ANZSIC subdivisions in descending order in 2014-15: Food Product Manufacturing followed by Professional, Scientific and Technical Services followed by Grocery, Liquor &amp; Tobacco Product Wholesaling followed by Basic Chemical &amp; Chemical Product Manufacturing followed by Basic Material Wholesaling. " title="Figure 3.10: Share of NMI R&amp;D-active clients, top five subdivisions, 2014–15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EAS\Business Functions\Visual Analytics\Projects\Research Papers\An analysis of NMI's client base-Angelina\3.10 Bar charts.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2519045"/>
                          </a:xfrm>
                          <a:prstGeom prst="rect">
                            <a:avLst/>
                          </a:prstGeom>
                          <a:noFill/>
                          <a:ln>
                            <a:noFill/>
                          </a:ln>
                        </pic:spPr>
                      </pic:pic>
                    </a:graphicData>
                  </a:graphic>
                </wp:inline>
              </w:drawing>
            </w:r>
          </w:p>
        </w:tc>
      </w:tr>
    </w:tbl>
    <w:p w14:paraId="066A18A1" w14:textId="38450F89" w:rsidR="00C566B9" w:rsidRPr="00C62F3A" w:rsidRDefault="00C566B9" w:rsidP="00C566B9">
      <w:pPr>
        <w:pStyle w:val="NoteWide"/>
      </w:pPr>
      <w:r>
        <w:t xml:space="preserve">Notes: </w:t>
      </w:r>
      <w:r w:rsidRPr="00B64030">
        <w:t>*Except Computer System Design and Related Services</w:t>
      </w:r>
    </w:p>
    <w:p w14:paraId="2F3F7BA2" w14:textId="30A856AD" w:rsidR="00C566B9" w:rsidRDefault="00D434FA" w:rsidP="00C566B9">
      <w:pPr>
        <w:pStyle w:val="SourceWide"/>
      </w:pPr>
      <w:r>
        <w:t xml:space="preserve">Source: </w:t>
      </w:r>
      <w:r w:rsidRPr="00B64030">
        <w:t>Department of Industry, Innovation and Science (2017); ABR (2016)</w:t>
      </w:r>
    </w:p>
    <w:p w14:paraId="759C1F9B" w14:textId="3E026427" w:rsidR="00886682" w:rsidRDefault="00A04EC9" w:rsidP="00A04EC9">
      <w:pPr>
        <w:pStyle w:val="BodyText"/>
        <w:rPr>
          <w:lang w:val="en"/>
        </w:rPr>
      </w:pPr>
      <w:r w:rsidRPr="00E80C0E">
        <w:rPr>
          <w:lang w:val="en"/>
        </w:rPr>
        <w:t>Using NMI defined marke</w:t>
      </w:r>
      <w:r>
        <w:rPr>
          <w:lang w:val="en"/>
        </w:rPr>
        <w:t>t segment categories (Figure 3.11</w:t>
      </w:r>
      <w:r w:rsidRPr="00E80C0E">
        <w:rPr>
          <w:lang w:val="en"/>
        </w:rPr>
        <w:t xml:space="preserve">), about a third of R&amp;D-active clients are in Food Manufacturing (32.3 per cent) followed by Environmental Resources/Mining (11.8 per cent), Environmental Consultants (10.8 per cent), Food Agriculture (9.8 per cent) and Food Imports (8.8 per cent). </w:t>
      </w:r>
    </w:p>
    <w:p w14:paraId="559FDE9D" w14:textId="3B4F18D1" w:rsidR="00A04EC9" w:rsidRDefault="00A04EC9"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11</w:t>
      </w:r>
      <w:r w:rsidRPr="000618FB">
        <w:fldChar w:fldCharType="end"/>
      </w:r>
      <w:r>
        <w:t xml:space="preserve">: </w:t>
      </w:r>
      <w:r w:rsidRPr="00E80C0E">
        <w:rPr>
          <w:bCs w:val="0"/>
        </w:rPr>
        <w:t xml:space="preserve">NMI </w:t>
      </w:r>
      <w:r>
        <w:rPr>
          <w:bCs w:val="0"/>
        </w:rPr>
        <w:t>Market Segment* share of R&amp;D-active clients, top five,</w:t>
      </w:r>
      <w:r w:rsidR="00E5620B">
        <w:rPr>
          <w:bCs w:val="0"/>
        </w:rPr>
        <w:t xml:space="preserve"> 2014</w:t>
      </w:r>
      <w:r w:rsidR="00E5620B">
        <w:rPr>
          <w:rFonts w:ascii="Calibri" w:hAnsi="Calibri"/>
          <w:bCs w:val="0"/>
        </w:rPr>
        <w:t>–</w:t>
      </w:r>
      <w:r w:rsidRPr="00E80C0E">
        <w:rPr>
          <w:bCs w:val="0"/>
        </w:rPr>
        <w:t>15</w:t>
      </w:r>
      <w:r>
        <w:rPr>
          <w:bCs w:val="0"/>
        </w:rPr>
        <w:t xml:space="preserve"> </w:t>
      </w:r>
      <w:r w:rsidR="00E5620B">
        <w:rPr>
          <w:rFonts w:ascii="Calibri" w:hAnsi="Calibri"/>
        </w:rPr>
        <w:t>—</w:t>
      </w:r>
      <w:r>
        <w:t xml:space="preserve"> </w:t>
      </w:r>
      <w:r>
        <w:rPr>
          <w:bCs w:val="0"/>
        </w:rPr>
        <w:t>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A04EC9" w14:paraId="41FF2650"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712C0D17" w14:textId="651DDFF9" w:rsidR="00A04EC9" w:rsidRDefault="00C0196E" w:rsidP="00A04EC9">
            <w:pPr>
              <w:pStyle w:val="PlaceholderWide"/>
            </w:pPr>
            <w:r>
              <w:rPr>
                <w:noProof/>
                <w:lang w:eastAsia="en-AU"/>
              </w:rPr>
              <w:drawing>
                <wp:inline distT="0" distB="0" distL="0" distR="0" wp14:anchorId="05D2E1C4" wp14:editId="58E5747F">
                  <wp:extent cx="4255135" cy="2524125"/>
                  <wp:effectExtent l="0" t="0" r="0" b="9525"/>
                  <wp:docPr id="31" name="Picture 31" descr="Figure 3.11 is a bar chart of the top five R&amp;D -active NMI market segments in descending order in 2014-15: Food Manufacturing followed by Environmental Resources/Mining followed by Environmental Consultants followed by Food Agriculture followed by Food Imports. " title="Figure 3.11: NMI Market Segment* share of R&amp;D-active clients, top five, 2014–15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5135" cy="2524125"/>
                          </a:xfrm>
                          <a:prstGeom prst="rect">
                            <a:avLst/>
                          </a:prstGeom>
                          <a:noFill/>
                        </pic:spPr>
                      </pic:pic>
                    </a:graphicData>
                  </a:graphic>
                </wp:inline>
              </w:drawing>
            </w:r>
          </w:p>
        </w:tc>
      </w:tr>
    </w:tbl>
    <w:p w14:paraId="746DA7BF" w14:textId="22469AC3" w:rsidR="00A04EC9" w:rsidRPr="00C62F3A" w:rsidRDefault="00A04EC9" w:rsidP="00A04EC9">
      <w:pPr>
        <w:pStyle w:val="Note"/>
      </w:pPr>
      <w:r>
        <w:t xml:space="preserve">Notes: </w:t>
      </w:r>
      <w:r w:rsidRPr="00E80C0E">
        <w:t>*</w:t>
      </w:r>
      <w:r>
        <w:t>Market Segments defined by NMI</w:t>
      </w:r>
    </w:p>
    <w:p w14:paraId="2DC93EAD" w14:textId="26FE7670" w:rsidR="00A04EC9" w:rsidRDefault="00A04EC9" w:rsidP="00A04EC9">
      <w:pPr>
        <w:pStyle w:val="Source"/>
      </w:pPr>
      <w:r>
        <w:t>Source: Department of Industry, Innovation and Science</w:t>
      </w:r>
      <w:r w:rsidRPr="00E80C0E">
        <w:t xml:space="preserve"> (2017); ABR (2016)</w:t>
      </w:r>
    </w:p>
    <w:p w14:paraId="70EDCACA" w14:textId="2BFE2F8E" w:rsidR="00886682" w:rsidRPr="00886682" w:rsidRDefault="00886682" w:rsidP="00A04EC9">
      <w:pPr>
        <w:pStyle w:val="Heading2"/>
      </w:pPr>
      <w:r w:rsidRPr="00886682">
        <w:t>Expenditure on R&amp;D</w:t>
      </w:r>
    </w:p>
    <w:p w14:paraId="6D899A9F" w14:textId="0FCB0679" w:rsidR="00886682" w:rsidRDefault="00886682" w:rsidP="00A04EC9">
      <w:pPr>
        <w:pStyle w:val="BodyText"/>
      </w:pPr>
      <w:r w:rsidRPr="00886682">
        <w:t>Table 3.1 compares median and mean R&amp;D expenditure between NMI clients and all firms registered for the</w:t>
      </w:r>
      <w:r w:rsidR="00E5620B">
        <w:t xml:space="preserve"> R&amp;D Tax Incentive between 2011</w:t>
      </w:r>
      <w:r w:rsidR="00E5620B">
        <w:rPr>
          <w:rFonts w:ascii="Calibri" w:hAnsi="Calibri"/>
        </w:rPr>
        <w:t>–</w:t>
      </w:r>
      <w:r w:rsidR="00E5620B">
        <w:t>12 and 2014</w:t>
      </w:r>
      <w:r w:rsidR="00E5620B">
        <w:rPr>
          <w:rFonts w:ascii="Calibri" w:hAnsi="Calibri"/>
        </w:rPr>
        <w:t>–</w:t>
      </w:r>
      <w:r w:rsidRPr="00886682">
        <w:lastRenderedPageBreak/>
        <w:t>15. The average (mean) NMI client spends significantly more on R&amp;D (four times) than the average firm in every year of the RDTI programme. This is also true for the middle (median) NMI client against the mid</w:t>
      </w:r>
      <w:r w:rsidR="00A04EC9">
        <w:t>dle firm in the RDTI programme.</w:t>
      </w:r>
      <w:r w:rsidR="00F16C3A">
        <w:t xml:space="preserve"> The median indicates what the </w:t>
      </w:r>
      <w:r w:rsidR="00407CDB">
        <w:t>middle</w:t>
      </w:r>
      <w:r w:rsidR="00633504">
        <w:t xml:space="preserve"> firm would spend. The </w:t>
      </w:r>
      <w:r w:rsidR="00F16C3A">
        <w:t>mean</w:t>
      </w:r>
      <w:r w:rsidR="00407CDB">
        <w:t xml:space="preserve"> is</w:t>
      </w:r>
      <w:r w:rsidR="00633504">
        <w:t xml:space="preserve"> higher as it is </w:t>
      </w:r>
      <w:r w:rsidR="00407CDB">
        <w:t xml:space="preserve">raised </w:t>
      </w:r>
      <w:r w:rsidR="00633504">
        <w:t>by a</w:t>
      </w:r>
      <w:r w:rsidR="00F16C3A">
        <w:t xml:space="preserve"> number of firms spending significantly more on R&amp;D</w:t>
      </w:r>
      <w:r w:rsidR="00633504">
        <w:t xml:space="preserve"> than the </w:t>
      </w:r>
      <w:r w:rsidR="00407CDB">
        <w:t>middle</w:t>
      </w:r>
      <w:r w:rsidR="00633504">
        <w:t xml:space="preserve"> firm</w:t>
      </w:r>
      <w:r w:rsidR="00F16C3A">
        <w:t>.</w:t>
      </w:r>
    </w:p>
    <w:p w14:paraId="6F10B4D8" w14:textId="645472C9" w:rsidR="00A04EC9" w:rsidRDefault="00A04EC9" w:rsidP="00A04EC9">
      <w:pPr>
        <w:pStyle w:val="Caption"/>
        <w:rPr>
          <w:bCs w:val="0"/>
        </w:rPr>
      </w:pPr>
      <w:r w:rsidRPr="000618FB">
        <w:t xml:space="preserve">Table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00B177DE">
        <w:rPr>
          <w:noProof/>
        </w:rPr>
        <w:fldChar w:fldCharType="begin"/>
      </w:r>
      <w:r w:rsidR="00B177DE">
        <w:rPr>
          <w:noProof/>
        </w:rPr>
        <w:instrText xml:space="preserve"> SEQ Table \* ARABIC \s 1 </w:instrText>
      </w:r>
      <w:r w:rsidR="00B177DE">
        <w:rPr>
          <w:noProof/>
        </w:rPr>
        <w:fldChar w:fldCharType="separate"/>
      </w:r>
      <w:r w:rsidR="00C871E1">
        <w:rPr>
          <w:noProof/>
        </w:rPr>
        <w:t>1</w:t>
      </w:r>
      <w:r w:rsidR="00B177DE">
        <w:rPr>
          <w:noProof/>
        </w:rPr>
        <w:fldChar w:fldCharType="end"/>
      </w:r>
      <w:r w:rsidRPr="000618FB">
        <w:t xml:space="preserve">: </w:t>
      </w:r>
      <w:r w:rsidRPr="00E80C0E">
        <w:rPr>
          <w:bCs w:val="0"/>
        </w:rPr>
        <w:t xml:space="preserve">Median &amp; Mean R&amp;D expenditure (thousands), NMI clients and all firms </w:t>
      </w:r>
      <w:r w:rsidR="00E5620B">
        <w:rPr>
          <w:rFonts w:ascii="Calibri" w:hAnsi="Calibri"/>
        </w:rPr>
        <w:t>—</w:t>
      </w:r>
      <w:r>
        <w:t xml:space="preserve"> </w:t>
      </w:r>
      <w:r>
        <w:rPr>
          <w:bCs w:val="0"/>
        </w:rPr>
        <w:t>Sample Manager</w:t>
      </w:r>
    </w:p>
    <w:tbl>
      <w:tblPr>
        <w:tblStyle w:val="OCETable"/>
        <w:tblW w:w="5000" w:type="pct"/>
        <w:tblLook w:val="04A0" w:firstRow="1" w:lastRow="0" w:firstColumn="1" w:lastColumn="0" w:noHBand="0" w:noVBand="1"/>
        <w:tblCaption w:val="Placeholder table"/>
      </w:tblPr>
      <w:tblGrid>
        <w:gridCol w:w="1378"/>
        <w:gridCol w:w="1379"/>
        <w:gridCol w:w="1379"/>
        <w:gridCol w:w="1379"/>
        <w:gridCol w:w="1379"/>
      </w:tblGrid>
      <w:tr w:rsidR="00A04EC9" w:rsidRPr="00E80C0E" w14:paraId="594AD5F0" w14:textId="77777777" w:rsidTr="005B4497">
        <w:trPr>
          <w:cnfStyle w:val="100000000000" w:firstRow="1" w:lastRow="0" w:firstColumn="0" w:lastColumn="0" w:oddVBand="0" w:evenVBand="0" w:oddHBand="0" w:evenHBand="0" w:firstRowFirstColumn="0" w:firstRowLastColumn="0" w:lastRowFirstColumn="0" w:lastRowLastColumn="0"/>
          <w:trHeight w:val="480"/>
          <w:tblHeader/>
        </w:trPr>
        <w:tc>
          <w:tcPr>
            <w:tcW w:w="999" w:type="pct"/>
          </w:tcPr>
          <w:p w14:paraId="5FAB3F64" w14:textId="77777777" w:rsidR="00A04EC9" w:rsidRPr="00E80C0E" w:rsidRDefault="00A04EC9" w:rsidP="00A04EC9">
            <w:pPr>
              <w:pStyle w:val="Tableheadertext"/>
              <w:rPr>
                <w:lang w:eastAsia="en-AU"/>
              </w:rPr>
            </w:pPr>
            <w:r w:rsidRPr="00E80C0E">
              <w:rPr>
                <w:lang w:eastAsia="en-AU"/>
              </w:rPr>
              <w:t>Year</w:t>
            </w:r>
          </w:p>
        </w:tc>
        <w:tc>
          <w:tcPr>
            <w:tcW w:w="2000" w:type="pct"/>
            <w:gridSpan w:val="2"/>
          </w:tcPr>
          <w:p w14:paraId="47ABC6A7" w14:textId="77777777" w:rsidR="00A04EC9" w:rsidRPr="00E80C0E" w:rsidRDefault="00A04EC9" w:rsidP="00A04EC9">
            <w:pPr>
              <w:pStyle w:val="Tableheadertext"/>
              <w:rPr>
                <w:lang w:eastAsia="en-AU"/>
              </w:rPr>
            </w:pPr>
            <w:r w:rsidRPr="00E80C0E">
              <w:rPr>
                <w:lang w:eastAsia="en-AU"/>
              </w:rPr>
              <w:t xml:space="preserve">Median </w:t>
            </w:r>
          </w:p>
        </w:tc>
        <w:tc>
          <w:tcPr>
            <w:tcW w:w="1000" w:type="pct"/>
          </w:tcPr>
          <w:p w14:paraId="23F0E104" w14:textId="77777777" w:rsidR="00A04EC9" w:rsidRPr="00E80C0E" w:rsidRDefault="00A04EC9" w:rsidP="00A04EC9">
            <w:pPr>
              <w:pStyle w:val="Tableheadertext"/>
              <w:rPr>
                <w:lang w:eastAsia="en-AU"/>
              </w:rPr>
            </w:pPr>
          </w:p>
        </w:tc>
        <w:tc>
          <w:tcPr>
            <w:tcW w:w="1000" w:type="pct"/>
          </w:tcPr>
          <w:p w14:paraId="6AF522F4" w14:textId="77777777" w:rsidR="00A04EC9" w:rsidRPr="00E80C0E" w:rsidRDefault="00A04EC9" w:rsidP="00A04EC9">
            <w:pPr>
              <w:pStyle w:val="Tableheadertext"/>
              <w:rPr>
                <w:lang w:eastAsia="en-AU"/>
              </w:rPr>
            </w:pPr>
            <w:r w:rsidRPr="00E80C0E">
              <w:rPr>
                <w:lang w:eastAsia="en-AU"/>
              </w:rPr>
              <w:t>Mean</w:t>
            </w:r>
          </w:p>
        </w:tc>
      </w:tr>
      <w:tr w:rsidR="00A04EC9" w:rsidRPr="00E80C0E" w14:paraId="43474882" w14:textId="77777777" w:rsidTr="00A04EC9">
        <w:trPr>
          <w:cnfStyle w:val="000000100000" w:firstRow="0" w:lastRow="0" w:firstColumn="0" w:lastColumn="0" w:oddVBand="0" w:evenVBand="0" w:oddHBand="1" w:evenHBand="0" w:firstRowFirstColumn="0" w:firstRowLastColumn="0" w:lastRowFirstColumn="0" w:lastRowLastColumn="0"/>
          <w:trHeight w:val="272"/>
        </w:trPr>
        <w:tc>
          <w:tcPr>
            <w:tcW w:w="999" w:type="pct"/>
            <w:noWrap/>
          </w:tcPr>
          <w:p w14:paraId="26FE3639" w14:textId="77777777" w:rsidR="00A04EC9" w:rsidRPr="00E80C0E" w:rsidRDefault="00A04EC9" w:rsidP="00A04EC9">
            <w:pPr>
              <w:pStyle w:val="Tablebodytext"/>
              <w:rPr>
                <w:lang w:eastAsia="en-AU"/>
              </w:rPr>
            </w:pPr>
          </w:p>
        </w:tc>
        <w:tc>
          <w:tcPr>
            <w:tcW w:w="1000" w:type="pct"/>
            <w:noWrap/>
          </w:tcPr>
          <w:p w14:paraId="017300FA" w14:textId="77777777" w:rsidR="00A04EC9" w:rsidRPr="00E80C0E" w:rsidRDefault="00A04EC9" w:rsidP="00A04EC9">
            <w:pPr>
              <w:pStyle w:val="Tablebodytext"/>
              <w:rPr>
                <w:lang w:eastAsia="en-AU"/>
              </w:rPr>
            </w:pPr>
            <w:r w:rsidRPr="00E80C0E">
              <w:rPr>
                <w:lang w:eastAsia="en-AU"/>
              </w:rPr>
              <w:t>NMI</w:t>
            </w:r>
          </w:p>
        </w:tc>
        <w:tc>
          <w:tcPr>
            <w:tcW w:w="1000" w:type="pct"/>
            <w:noWrap/>
          </w:tcPr>
          <w:p w14:paraId="33F92940" w14:textId="77777777" w:rsidR="00A04EC9" w:rsidRPr="00E80C0E" w:rsidRDefault="00A04EC9" w:rsidP="00A04EC9">
            <w:pPr>
              <w:pStyle w:val="Tablebodytext"/>
              <w:rPr>
                <w:lang w:eastAsia="en-AU"/>
              </w:rPr>
            </w:pPr>
            <w:r w:rsidRPr="00E80C0E">
              <w:rPr>
                <w:lang w:eastAsia="en-AU"/>
              </w:rPr>
              <w:t xml:space="preserve">All firms </w:t>
            </w:r>
          </w:p>
        </w:tc>
        <w:tc>
          <w:tcPr>
            <w:tcW w:w="1000" w:type="pct"/>
          </w:tcPr>
          <w:p w14:paraId="78B03917" w14:textId="77777777" w:rsidR="00A04EC9" w:rsidRPr="00E80C0E" w:rsidRDefault="00A04EC9" w:rsidP="00A04EC9">
            <w:pPr>
              <w:pStyle w:val="Tablebodytext"/>
              <w:rPr>
                <w:lang w:eastAsia="en-AU"/>
              </w:rPr>
            </w:pPr>
            <w:r w:rsidRPr="00E80C0E">
              <w:rPr>
                <w:lang w:eastAsia="en-AU"/>
              </w:rPr>
              <w:t>NMI</w:t>
            </w:r>
          </w:p>
        </w:tc>
        <w:tc>
          <w:tcPr>
            <w:tcW w:w="1000" w:type="pct"/>
          </w:tcPr>
          <w:p w14:paraId="1B8B1F95" w14:textId="77777777" w:rsidR="00A04EC9" w:rsidRPr="00E80C0E" w:rsidRDefault="00A04EC9" w:rsidP="00A04EC9">
            <w:pPr>
              <w:pStyle w:val="Tablebodytext"/>
              <w:rPr>
                <w:lang w:eastAsia="en-AU"/>
              </w:rPr>
            </w:pPr>
            <w:r w:rsidRPr="00E80C0E">
              <w:rPr>
                <w:lang w:eastAsia="en-AU"/>
              </w:rPr>
              <w:t xml:space="preserve">All firms </w:t>
            </w:r>
          </w:p>
        </w:tc>
      </w:tr>
      <w:tr w:rsidR="00A04EC9" w:rsidRPr="00E80C0E" w14:paraId="7AA93D0E" w14:textId="77777777" w:rsidTr="00A04EC9">
        <w:trPr>
          <w:cnfStyle w:val="000000010000" w:firstRow="0" w:lastRow="0" w:firstColumn="0" w:lastColumn="0" w:oddVBand="0" w:evenVBand="0" w:oddHBand="0" w:evenHBand="1" w:firstRowFirstColumn="0" w:firstRowLastColumn="0" w:lastRowFirstColumn="0" w:lastRowLastColumn="0"/>
          <w:trHeight w:val="272"/>
        </w:trPr>
        <w:tc>
          <w:tcPr>
            <w:tcW w:w="999" w:type="pct"/>
            <w:noWrap/>
          </w:tcPr>
          <w:p w14:paraId="20B5719B" w14:textId="6FC25935" w:rsidR="00A04EC9" w:rsidRPr="00E80C0E" w:rsidRDefault="00F902EA" w:rsidP="00A04EC9">
            <w:pPr>
              <w:pStyle w:val="Tablebodytext"/>
              <w:rPr>
                <w:lang w:eastAsia="en-AU"/>
              </w:rPr>
            </w:pPr>
            <w:r>
              <w:rPr>
                <w:lang w:eastAsia="en-AU"/>
              </w:rPr>
              <w:t>2011</w:t>
            </w:r>
            <w:r>
              <w:rPr>
                <w:rFonts w:ascii="Calibri" w:hAnsi="Calibri"/>
                <w:lang w:eastAsia="en-AU"/>
              </w:rPr>
              <w:t>–</w:t>
            </w:r>
            <w:r w:rsidR="00A04EC9" w:rsidRPr="00E80C0E">
              <w:rPr>
                <w:lang w:eastAsia="en-AU"/>
              </w:rPr>
              <w:t>12</w:t>
            </w:r>
          </w:p>
        </w:tc>
        <w:tc>
          <w:tcPr>
            <w:tcW w:w="1000" w:type="pct"/>
            <w:noWrap/>
          </w:tcPr>
          <w:p w14:paraId="6BD3FAA2"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862</w:t>
            </w:r>
          </w:p>
        </w:tc>
        <w:tc>
          <w:tcPr>
            <w:tcW w:w="1000" w:type="pct"/>
            <w:noWrap/>
          </w:tcPr>
          <w:p w14:paraId="3E4302F3" w14:textId="77777777" w:rsidR="00A04EC9" w:rsidRPr="00E80C0E" w:rsidRDefault="00A04EC9" w:rsidP="00A04EC9">
            <w:pPr>
              <w:pStyle w:val="Tablebodytext"/>
              <w:rPr>
                <w:lang w:eastAsia="en-AU"/>
              </w:rPr>
            </w:pPr>
            <w:r w:rsidRPr="00E80C0E">
              <w:rPr>
                <w:lang w:eastAsia="en-AU"/>
              </w:rPr>
              <w:t>350</w:t>
            </w:r>
          </w:p>
        </w:tc>
        <w:tc>
          <w:tcPr>
            <w:tcW w:w="1000" w:type="pct"/>
          </w:tcPr>
          <w:p w14:paraId="2BD505E9" w14:textId="77777777" w:rsidR="00A04EC9" w:rsidRPr="00E80C0E" w:rsidRDefault="00A04EC9" w:rsidP="00A04EC9">
            <w:pPr>
              <w:pStyle w:val="Tablebodytext"/>
              <w:rPr>
                <w:lang w:eastAsia="en-AU"/>
              </w:rPr>
            </w:pPr>
            <w:r w:rsidRPr="00E80C0E">
              <w:rPr>
                <w:lang w:eastAsia="en-AU"/>
              </w:rPr>
              <w:t>8</w:t>
            </w:r>
            <w:r>
              <w:rPr>
                <w:lang w:eastAsia="en-AU"/>
              </w:rPr>
              <w:t>,</w:t>
            </w:r>
            <w:r w:rsidRPr="00E80C0E">
              <w:rPr>
                <w:lang w:eastAsia="en-AU"/>
              </w:rPr>
              <w:t>063</w:t>
            </w:r>
          </w:p>
        </w:tc>
        <w:tc>
          <w:tcPr>
            <w:tcW w:w="1000" w:type="pct"/>
          </w:tcPr>
          <w:p w14:paraId="2650891F" w14:textId="77777777" w:rsidR="00A04EC9" w:rsidRPr="00E80C0E" w:rsidRDefault="00A04EC9" w:rsidP="00A04EC9">
            <w:pPr>
              <w:pStyle w:val="Tablebodytext"/>
              <w:rPr>
                <w:lang w:eastAsia="en-AU"/>
              </w:rPr>
            </w:pPr>
            <w:r w:rsidRPr="00E80C0E">
              <w:rPr>
                <w:lang w:eastAsia="en-AU"/>
              </w:rPr>
              <w:t>2</w:t>
            </w:r>
            <w:r>
              <w:rPr>
                <w:lang w:eastAsia="en-AU"/>
              </w:rPr>
              <w:t>,</w:t>
            </w:r>
            <w:r w:rsidRPr="00E80C0E">
              <w:rPr>
                <w:lang w:eastAsia="en-AU"/>
              </w:rPr>
              <w:t>099</w:t>
            </w:r>
          </w:p>
        </w:tc>
      </w:tr>
      <w:tr w:rsidR="00A04EC9" w:rsidRPr="00E80C0E" w14:paraId="72201432" w14:textId="77777777" w:rsidTr="00A04EC9">
        <w:trPr>
          <w:cnfStyle w:val="000000100000" w:firstRow="0" w:lastRow="0" w:firstColumn="0" w:lastColumn="0" w:oddVBand="0" w:evenVBand="0" w:oddHBand="1" w:evenHBand="0" w:firstRowFirstColumn="0" w:firstRowLastColumn="0" w:lastRowFirstColumn="0" w:lastRowLastColumn="0"/>
          <w:trHeight w:val="272"/>
        </w:trPr>
        <w:tc>
          <w:tcPr>
            <w:tcW w:w="999" w:type="pct"/>
            <w:noWrap/>
            <w:hideMark/>
          </w:tcPr>
          <w:p w14:paraId="49983746" w14:textId="04C03B6E" w:rsidR="00A04EC9" w:rsidRPr="00E80C0E" w:rsidRDefault="00F902EA" w:rsidP="00A04EC9">
            <w:pPr>
              <w:pStyle w:val="Tablebodytext"/>
              <w:rPr>
                <w:lang w:eastAsia="en-AU"/>
              </w:rPr>
            </w:pPr>
            <w:r>
              <w:rPr>
                <w:lang w:eastAsia="en-AU"/>
              </w:rPr>
              <w:t>2012</w:t>
            </w:r>
            <w:r>
              <w:rPr>
                <w:rFonts w:ascii="Calibri" w:hAnsi="Calibri"/>
                <w:lang w:eastAsia="en-AU"/>
              </w:rPr>
              <w:t>–</w:t>
            </w:r>
            <w:r w:rsidR="00A04EC9" w:rsidRPr="00E80C0E">
              <w:rPr>
                <w:lang w:eastAsia="en-AU"/>
              </w:rPr>
              <w:t>13</w:t>
            </w:r>
          </w:p>
        </w:tc>
        <w:tc>
          <w:tcPr>
            <w:tcW w:w="1000" w:type="pct"/>
            <w:noWrap/>
            <w:hideMark/>
          </w:tcPr>
          <w:p w14:paraId="6F8D5590"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714</w:t>
            </w:r>
          </w:p>
        </w:tc>
        <w:tc>
          <w:tcPr>
            <w:tcW w:w="1000" w:type="pct"/>
            <w:noWrap/>
            <w:hideMark/>
          </w:tcPr>
          <w:p w14:paraId="1C186D0D" w14:textId="77777777" w:rsidR="00A04EC9" w:rsidRPr="00E80C0E" w:rsidRDefault="00A04EC9" w:rsidP="00A04EC9">
            <w:pPr>
              <w:pStyle w:val="Tablebodytext"/>
              <w:rPr>
                <w:lang w:eastAsia="en-AU"/>
              </w:rPr>
            </w:pPr>
            <w:r w:rsidRPr="00E80C0E">
              <w:rPr>
                <w:lang w:eastAsia="en-AU"/>
              </w:rPr>
              <w:t>336</w:t>
            </w:r>
          </w:p>
        </w:tc>
        <w:tc>
          <w:tcPr>
            <w:tcW w:w="1000" w:type="pct"/>
          </w:tcPr>
          <w:p w14:paraId="701C4963" w14:textId="77777777" w:rsidR="00A04EC9" w:rsidRPr="00E80C0E" w:rsidRDefault="00A04EC9" w:rsidP="00A04EC9">
            <w:pPr>
              <w:pStyle w:val="Tablebodytext"/>
              <w:rPr>
                <w:lang w:eastAsia="en-AU"/>
              </w:rPr>
            </w:pPr>
            <w:r w:rsidRPr="00E80C0E">
              <w:rPr>
                <w:lang w:eastAsia="en-AU"/>
              </w:rPr>
              <w:t>8</w:t>
            </w:r>
            <w:r>
              <w:rPr>
                <w:lang w:eastAsia="en-AU"/>
              </w:rPr>
              <w:t>,</w:t>
            </w:r>
            <w:r w:rsidRPr="00E80C0E">
              <w:rPr>
                <w:lang w:eastAsia="en-AU"/>
              </w:rPr>
              <w:t>607</w:t>
            </w:r>
          </w:p>
        </w:tc>
        <w:tc>
          <w:tcPr>
            <w:tcW w:w="1000" w:type="pct"/>
          </w:tcPr>
          <w:p w14:paraId="0838479D"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976</w:t>
            </w:r>
          </w:p>
        </w:tc>
      </w:tr>
      <w:tr w:rsidR="00A04EC9" w:rsidRPr="00E80C0E" w14:paraId="5FA1CF0C" w14:textId="77777777" w:rsidTr="00A04EC9">
        <w:trPr>
          <w:cnfStyle w:val="000000010000" w:firstRow="0" w:lastRow="0" w:firstColumn="0" w:lastColumn="0" w:oddVBand="0" w:evenVBand="0" w:oddHBand="0" w:evenHBand="1" w:firstRowFirstColumn="0" w:firstRowLastColumn="0" w:lastRowFirstColumn="0" w:lastRowLastColumn="0"/>
          <w:trHeight w:val="272"/>
        </w:trPr>
        <w:tc>
          <w:tcPr>
            <w:tcW w:w="999" w:type="pct"/>
            <w:noWrap/>
            <w:hideMark/>
          </w:tcPr>
          <w:p w14:paraId="53B3AAEA" w14:textId="528B9801" w:rsidR="00A04EC9" w:rsidRPr="00E80C0E" w:rsidRDefault="00F902EA" w:rsidP="00A04EC9">
            <w:pPr>
              <w:pStyle w:val="Tablebodytext"/>
              <w:rPr>
                <w:lang w:eastAsia="en-AU"/>
              </w:rPr>
            </w:pPr>
            <w:r>
              <w:rPr>
                <w:lang w:eastAsia="en-AU"/>
              </w:rPr>
              <w:t>2013</w:t>
            </w:r>
            <w:r>
              <w:rPr>
                <w:rFonts w:ascii="Calibri" w:hAnsi="Calibri"/>
                <w:lang w:eastAsia="en-AU"/>
              </w:rPr>
              <w:t>–</w:t>
            </w:r>
            <w:r w:rsidR="00A04EC9" w:rsidRPr="00E80C0E">
              <w:rPr>
                <w:lang w:eastAsia="en-AU"/>
              </w:rPr>
              <w:t>14</w:t>
            </w:r>
          </w:p>
        </w:tc>
        <w:tc>
          <w:tcPr>
            <w:tcW w:w="1000" w:type="pct"/>
            <w:noWrap/>
            <w:hideMark/>
          </w:tcPr>
          <w:p w14:paraId="2EB0AA73"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733</w:t>
            </w:r>
          </w:p>
        </w:tc>
        <w:tc>
          <w:tcPr>
            <w:tcW w:w="1000" w:type="pct"/>
            <w:noWrap/>
            <w:hideMark/>
          </w:tcPr>
          <w:p w14:paraId="4A87D6A4" w14:textId="77777777" w:rsidR="00A04EC9" w:rsidRPr="00E80C0E" w:rsidRDefault="00A04EC9" w:rsidP="00A04EC9">
            <w:pPr>
              <w:pStyle w:val="Tablebodytext"/>
              <w:rPr>
                <w:lang w:eastAsia="en-AU"/>
              </w:rPr>
            </w:pPr>
            <w:r w:rsidRPr="00E80C0E">
              <w:rPr>
                <w:lang w:eastAsia="en-AU"/>
              </w:rPr>
              <w:t>312</w:t>
            </w:r>
          </w:p>
        </w:tc>
        <w:tc>
          <w:tcPr>
            <w:tcW w:w="1000" w:type="pct"/>
          </w:tcPr>
          <w:p w14:paraId="58423BC0" w14:textId="77777777" w:rsidR="00A04EC9" w:rsidRPr="00E80C0E" w:rsidRDefault="00A04EC9" w:rsidP="00A04EC9">
            <w:pPr>
              <w:pStyle w:val="Tablebodytext"/>
              <w:rPr>
                <w:lang w:eastAsia="en-AU"/>
              </w:rPr>
            </w:pPr>
            <w:r w:rsidRPr="00E80C0E">
              <w:rPr>
                <w:lang w:eastAsia="en-AU"/>
              </w:rPr>
              <w:t>7</w:t>
            </w:r>
            <w:r>
              <w:rPr>
                <w:lang w:eastAsia="en-AU"/>
              </w:rPr>
              <w:t>,</w:t>
            </w:r>
            <w:r w:rsidRPr="00E80C0E">
              <w:rPr>
                <w:lang w:eastAsia="en-AU"/>
              </w:rPr>
              <w:t>264</w:t>
            </w:r>
          </w:p>
        </w:tc>
        <w:tc>
          <w:tcPr>
            <w:tcW w:w="1000" w:type="pct"/>
          </w:tcPr>
          <w:p w14:paraId="7FFB1D59"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638</w:t>
            </w:r>
          </w:p>
        </w:tc>
      </w:tr>
      <w:tr w:rsidR="00A04EC9" w:rsidRPr="00E80C0E" w14:paraId="58FF4D8D" w14:textId="77777777" w:rsidTr="00A04EC9">
        <w:trPr>
          <w:cnfStyle w:val="000000100000" w:firstRow="0" w:lastRow="0" w:firstColumn="0" w:lastColumn="0" w:oddVBand="0" w:evenVBand="0" w:oddHBand="1" w:evenHBand="0" w:firstRowFirstColumn="0" w:firstRowLastColumn="0" w:lastRowFirstColumn="0" w:lastRowLastColumn="0"/>
          <w:trHeight w:val="272"/>
        </w:trPr>
        <w:tc>
          <w:tcPr>
            <w:tcW w:w="999" w:type="pct"/>
            <w:noWrap/>
            <w:hideMark/>
          </w:tcPr>
          <w:p w14:paraId="5D90F8F7" w14:textId="3B46F185" w:rsidR="00A04EC9" w:rsidRPr="00E80C0E" w:rsidRDefault="00F902EA" w:rsidP="00A04EC9">
            <w:pPr>
              <w:pStyle w:val="Tablebodytext"/>
              <w:rPr>
                <w:lang w:eastAsia="en-AU"/>
              </w:rPr>
            </w:pPr>
            <w:r>
              <w:rPr>
                <w:lang w:eastAsia="en-AU"/>
              </w:rPr>
              <w:t>2014</w:t>
            </w:r>
            <w:r>
              <w:rPr>
                <w:rFonts w:ascii="Calibri" w:hAnsi="Calibri"/>
                <w:lang w:eastAsia="en-AU"/>
              </w:rPr>
              <w:t>–</w:t>
            </w:r>
            <w:r w:rsidR="00A04EC9" w:rsidRPr="00E80C0E">
              <w:rPr>
                <w:lang w:eastAsia="en-AU"/>
              </w:rPr>
              <w:t>15</w:t>
            </w:r>
          </w:p>
        </w:tc>
        <w:tc>
          <w:tcPr>
            <w:tcW w:w="1000" w:type="pct"/>
            <w:noWrap/>
            <w:hideMark/>
          </w:tcPr>
          <w:p w14:paraId="1DAC145E"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324</w:t>
            </w:r>
          </w:p>
        </w:tc>
        <w:tc>
          <w:tcPr>
            <w:tcW w:w="1000" w:type="pct"/>
            <w:noWrap/>
            <w:hideMark/>
          </w:tcPr>
          <w:p w14:paraId="6D961E8E" w14:textId="77777777" w:rsidR="00A04EC9" w:rsidRPr="00E80C0E" w:rsidRDefault="00A04EC9" w:rsidP="00A04EC9">
            <w:pPr>
              <w:pStyle w:val="Tablebodytext"/>
              <w:rPr>
                <w:lang w:eastAsia="en-AU"/>
              </w:rPr>
            </w:pPr>
            <w:r w:rsidRPr="00E80C0E">
              <w:rPr>
                <w:lang w:eastAsia="en-AU"/>
              </w:rPr>
              <w:t>300</w:t>
            </w:r>
          </w:p>
        </w:tc>
        <w:tc>
          <w:tcPr>
            <w:tcW w:w="1000" w:type="pct"/>
          </w:tcPr>
          <w:p w14:paraId="331F2792" w14:textId="77777777" w:rsidR="00A04EC9" w:rsidRPr="00E80C0E" w:rsidRDefault="00A04EC9" w:rsidP="00A04EC9">
            <w:pPr>
              <w:pStyle w:val="Tablebodytext"/>
              <w:rPr>
                <w:lang w:eastAsia="en-AU"/>
              </w:rPr>
            </w:pPr>
            <w:r w:rsidRPr="00E80C0E">
              <w:rPr>
                <w:lang w:eastAsia="en-AU"/>
              </w:rPr>
              <w:t>5</w:t>
            </w:r>
            <w:r>
              <w:rPr>
                <w:lang w:eastAsia="en-AU"/>
              </w:rPr>
              <w:t>,</w:t>
            </w:r>
            <w:r w:rsidRPr="00E80C0E">
              <w:rPr>
                <w:lang w:eastAsia="en-AU"/>
              </w:rPr>
              <w:t>005</w:t>
            </w:r>
          </w:p>
        </w:tc>
        <w:tc>
          <w:tcPr>
            <w:tcW w:w="1000" w:type="pct"/>
          </w:tcPr>
          <w:p w14:paraId="4D3DDACA" w14:textId="77777777" w:rsidR="00A04EC9" w:rsidRPr="00E80C0E" w:rsidRDefault="00A04EC9" w:rsidP="00A04EC9">
            <w:pPr>
              <w:pStyle w:val="Tablebodytext"/>
              <w:rPr>
                <w:lang w:eastAsia="en-AU"/>
              </w:rPr>
            </w:pPr>
            <w:r w:rsidRPr="00E80C0E">
              <w:rPr>
                <w:lang w:eastAsia="en-AU"/>
              </w:rPr>
              <w:t>1</w:t>
            </w:r>
            <w:r>
              <w:rPr>
                <w:lang w:eastAsia="en-AU"/>
              </w:rPr>
              <w:t>,</w:t>
            </w:r>
            <w:r w:rsidRPr="00E80C0E">
              <w:rPr>
                <w:lang w:eastAsia="en-AU"/>
              </w:rPr>
              <w:t>365</w:t>
            </w:r>
          </w:p>
        </w:tc>
      </w:tr>
    </w:tbl>
    <w:p w14:paraId="5E4EED14" w14:textId="6F4967E6" w:rsidR="00886682" w:rsidRPr="00A04EC9" w:rsidRDefault="00A04EC9" w:rsidP="00A04EC9">
      <w:pPr>
        <w:pStyle w:val="Source"/>
        <w:rPr>
          <w:lang w:eastAsia="en-AU"/>
        </w:rPr>
      </w:pPr>
      <w:r>
        <w:rPr>
          <w:lang w:eastAsia="en-AU"/>
        </w:rPr>
        <w:t>Source: Department of Industry, Innovation and Science</w:t>
      </w:r>
      <w:r w:rsidRPr="00E80C0E">
        <w:rPr>
          <w:lang w:eastAsia="en-AU"/>
        </w:rPr>
        <w:t xml:space="preserve"> (2017)</w:t>
      </w:r>
    </w:p>
    <w:p w14:paraId="14EA1254" w14:textId="4D505F48" w:rsidR="00886682" w:rsidRPr="00886682" w:rsidRDefault="00886682" w:rsidP="00A04EC9">
      <w:pPr>
        <w:pStyle w:val="Heading2"/>
      </w:pPr>
      <w:r w:rsidRPr="00886682">
        <w:t xml:space="preserve">IP-active and R&amp;D-active expenditure on NMI services </w:t>
      </w:r>
    </w:p>
    <w:p w14:paraId="72CDCFDE" w14:textId="77777777" w:rsidR="00886682" w:rsidRDefault="00886682" w:rsidP="00A04EC9">
      <w:pPr>
        <w:pStyle w:val="BodyText"/>
      </w:pPr>
      <w:r w:rsidRPr="00886682">
        <w:t xml:space="preserve">R&amp;D-active and IP-active NMI clients on average spend more on NMI services (Figure 3.12). Average expenditure by R&amp;D-active clients has also been increasing faster over time than other client types. </w:t>
      </w:r>
    </w:p>
    <w:p w14:paraId="068F82B7" w14:textId="5418997F" w:rsidR="00A04EC9" w:rsidRDefault="00A04EC9" w:rsidP="00A04EC9">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12</w:t>
      </w:r>
      <w:r w:rsidRPr="000618FB">
        <w:fldChar w:fldCharType="end"/>
      </w:r>
      <w:r>
        <w:t>: Average NMI cli</w:t>
      </w:r>
      <w:r w:rsidR="00E5620B">
        <w:t xml:space="preserve">ent expenditure by client type </w:t>
      </w:r>
      <w:r w:rsidR="00E5620B">
        <w:rPr>
          <w:rFonts w:ascii="Calibri" w:hAnsi="Calibri"/>
        </w:rPr>
        <w:t>—</w:t>
      </w:r>
      <w:r>
        <w:t xml:space="preserve"> </w:t>
      </w:r>
      <w:r>
        <w:rPr>
          <w:bCs w:val="0"/>
        </w:rPr>
        <w:t>Sample Manager</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A04EC9" w14:paraId="02E3B640" w14:textId="77777777" w:rsidTr="00D434F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A964BB8" w14:textId="51AD3393" w:rsidR="00A04EC9" w:rsidRDefault="00C0196E" w:rsidP="00A04EC9">
            <w:pPr>
              <w:pStyle w:val="PlaceholderWide"/>
            </w:pPr>
            <w:r>
              <w:rPr>
                <w:noProof/>
                <w:lang w:eastAsia="en-AU"/>
              </w:rPr>
              <w:drawing>
                <wp:inline distT="0" distB="0" distL="0" distR="0" wp14:anchorId="669954B8" wp14:editId="0B8D38BC">
                  <wp:extent cx="4145915" cy="2237740"/>
                  <wp:effectExtent l="0" t="0" r="6985" b="0"/>
                  <wp:docPr id="32" name="Picture 32" descr="Figure 3.12 is a line chart, with 3 lines, showing the average NMI client expenditure by client type from 2008 to 2015. The three distinct groups are all NMI clients, R&amp;D-active NMI clients and IP-active NMI clients. Average NMI expenditure for all NMI clients has very slowly risen over time, while average NMI expenditure by R&amp;D-active firms has been much higher and has been growing much faster over time. While average NMI expenditure by IP-active NMI clients is always higher than the average NMI expenditure for all NMI clients, it fluctuates more heavily and does not exhibit a clear trend. " title="Figure 3.12: Average NMI client expenditure by client type — Sampl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45915" cy="2237740"/>
                          </a:xfrm>
                          <a:prstGeom prst="rect">
                            <a:avLst/>
                          </a:prstGeom>
                          <a:noFill/>
                        </pic:spPr>
                      </pic:pic>
                    </a:graphicData>
                  </a:graphic>
                </wp:inline>
              </w:drawing>
            </w:r>
          </w:p>
        </w:tc>
      </w:tr>
    </w:tbl>
    <w:p w14:paraId="74D37802" w14:textId="09FED4A6" w:rsidR="00A04EC9" w:rsidRPr="00C62F3A" w:rsidRDefault="00A04EC9" w:rsidP="00A04EC9">
      <w:pPr>
        <w:pStyle w:val="Note"/>
      </w:pPr>
      <w:r>
        <w:t>Notes</w:t>
      </w:r>
      <w:r w:rsidRPr="00A04EC9">
        <w:rPr>
          <w:lang w:eastAsia="en-AU"/>
        </w:rPr>
        <w:t xml:space="preserve"> </w:t>
      </w:r>
      <w:r>
        <w:rPr>
          <w:lang w:eastAsia="en-AU"/>
        </w:rPr>
        <w:t>In nominal dollars.</w:t>
      </w:r>
      <w:r w:rsidRPr="00581DFF">
        <w:rPr>
          <w:lang w:eastAsia="en-AU"/>
        </w:rPr>
        <w:t xml:space="preserve"> Financial years are rounded up – i.e. y</w:t>
      </w:r>
      <w:r w:rsidR="00E5620B">
        <w:rPr>
          <w:lang w:eastAsia="en-AU"/>
        </w:rPr>
        <w:t>ear 2015 is financial year 2014</w:t>
      </w:r>
      <w:r w:rsidR="00E5620B">
        <w:rPr>
          <w:rFonts w:ascii="Calibri" w:hAnsi="Calibri"/>
          <w:lang w:eastAsia="en-AU"/>
        </w:rPr>
        <w:t>–</w:t>
      </w:r>
      <w:r w:rsidRPr="00581DFF">
        <w:rPr>
          <w:lang w:eastAsia="en-AU"/>
        </w:rPr>
        <w:t>15.</w:t>
      </w:r>
    </w:p>
    <w:p w14:paraId="6FAFDEDC" w14:textId="2F98C26C" w:rsidR="00A04EC9" w:rsidRDefault="00A04EC9" w:rsidP="00A04EC9">
      <w:pPr>
        <w:pStyle w:val="Source"/>
      </w:pPr>
      <w:r>
        <w:t xml:space="preserve">Source: </w:t>
      </w:r>
      <w:r>
        <w:rPr>
          <w:lang w:eastAsia="en-AU"/>
        </w:rPr>
        <w:t>Department of Industry, Innovation and Science (2017)</w:t>
      </w:r>
    </w:p>
    <w:p w14:paraId="3E4CAAED" w14:textId="08E273A3" w:rsidR="00886682" w:rsidRPr="00886682" w:rsidRDefault="00886682" w:rsidP="00A04EC9">
      <w:pPr>
        <w:pStyle w:val="Heading2"/>
      </w:pPr>
      <w:r w:rsidRPr="00886682">
        <w:t xml:space="preserve">Other departmental programs </w:t>
      </w:r>
    </w:p>
    <w:p w14:paraId="1E460F61" w14:textId="5B30BB20" w:rsidR="00886682" w:rsidRPr="00886682" w:rsidRDefault="00886682" w:rsidP="00A04EC9">
      <w:pPr>
        <w:pStyle w:val="BodyText"/>
      </w:pPr>
      <w:r w:rsidRPr="00886682">
        <w:t>NMI clients were also matched to other DIIS’s program participant datasets, including:</w:t>
      </w:r>
    </w:p>
    <w:p w14:paraId="00C8C872" w14:textId="42FCF534" w:rsidR="00886682" w:rsidRPr="00886682" w:rsidRDefault="00886682" w:rsidP="00A04EC9">
      <w:pPr>
        <w:pStyle w:val="ListBullet"/>
      </w:pPr>
      <w:r w:rsidRPr="00886682">
        <w:lastRenderedPageBreak/>
        <w:t>Commercialisation Australia</w:t>
      </w:r>
    </w:p>
    <w:p w14:paraId="31BE667A" w14:textId="6EC41C22" w:rsidR="00886682" w:rsidRPr="00886682" w:rsidRDefault="00886682" w:rsidP="00A04EC9">
      <w:pPr>
        <w:pStyle w:val="ListBullet"/>
      </w:pPr>
      <w:r w:rsidRPr="00886682">
        <w:t>Enterprise Connect</w:t>
      </w:r>
    </w:p>
    <w:p w14:paraId="706E1E7A" w14:textId="2AD9B090" w:rsidR="00886682" w:rsidRPr="00886682" w:rsidRDefault="00886682" w:rsidP="00A04EC9">
      <w:pPr>
        <w:pStyle w:val="ListBullet"/>
      </w:pPr>
      <w:r w:rsidRPr="00886682">
        <w:t>Entrepreneurs’ Programme</w:t>
      </w:r>
    </w:p>
    <w:p w14:paraId="4B941097" w14:textId="07B4D409" w:rsidR="00886682" w:rsidRPr="00886682" w:rsidRDefault="00886682" w:rsidP="00A04EC9">
      <w:pPr>
        <w:pStyle w:val="ListBullet"/>
      </w:pPr>
      <w:r w:rsidRPr="00886682">
        <w:t>Tradex Scheme</w:t>
      </w:r>
    </w:p>
    <w:p w14:paraId="0A4D400F" w14:textId="0E12424D" w:rsidR="00886682" w:rsidRPr="00886682" w:rsidRDefault="00886682" w:rsidP="00A04EC9">
      <w:pPr>
        <w:pStyle w:val="ListBullet"/>
      </w:pPr>
      <w:r w:rsidRPr="00886682">
        <w:t xml:space="preserve">Certain Inputs to Manufacture Scheme </w:t>
      </w:r>
    </w:p>
    <w:p w14:paraId="509F32B3" w14:textId="7FD983FA" w:rsidR="00886682" w:rsidRPr="00886682" w:rsidRDefault="00886682" w:rsidP="00A04EC9">
      <w:pPr>
        <w:pStyle w:val="ListBullet"/>
      </w:pPr>
      <w:r w:rsidRPr="00886682">
        <w:t>Australian Government Innovation and Investment Fund (Tasmania)</w:t>
      </w:r>
    </w:p>
    <w:p w14:paraId="0668E029" w14:textId="79D72819" w:rsidR="00886682" w:rsidRPr="00886682" w:rsidRDefault="00886682" w:rsidP="00A04EC9">
      <w:pPr>
        <w:pStyle w:val="ListBullet"/>
      </w:pPr>
      <w:r w:rsidRPr="00886682">
        <w:t>Automotive New Markets Program</w:t>
      </w:r>
    </w:p>
    <w:p w14:paraId="006C444A" w14:textId="268ADEBF" w:rsidR="00886682" w:rsidRPr="00886682" w:rsidRDefault="00886682" w:rsidP="00A04EC9">
      <w:pPr>
        <w:pStyle w:val="ListBullet"/>
      </w:pPr>
      <w:r w:rsidRPr="00886682">
        <w:t>Green Building Fund</w:t>
      </w:r>
    </w:p>
    <w:p w14:paraId="5484719F" w14:textId="74DF562A" w:rsidR="00886682" w:rsidRPr="00886682" w:rsidRDefault="00886682" w:rsidP="00A04EC9">
      <w:pPr>
        <w:pStyle w:val="ListBullet"/>
      </w:pPr>
      <w:r w:rsidRPr="00886682">
        <w:t>Geelong Innovation and Investment Fund</w:t>
      </w:r>
    </w:p>
    <w:p w14:paraId="7807B714" w14:textId="00466520" w:rsidR="00886682" w:rsidRPr="00886682" w:rsidRDefault="00886682" w:rsidP="00A04EC9">
      <w:pPr>
        <w:pStyle w:val="ListBullet"/>
      </w:pPr>
      <w:r w:rsidRPr="00886682">
        <w:t>Innovation and Investment Fund for South Australia</w:t>
      </w:r>
    </w:p>
    <w:p w14:paraId="5B076928" w14:textId="39AD5E7F" w:rsidR="00886682" w:rsidRPr="00886682" w:rsidRDefault="00886682" w:rsidP="00A04EC9">
      <w:pPr>
        <w:pStyle w:val="ListBullet"/>
      </w:pPr>
      <w:r w:rsidRPr="00886682">
        <w:t xml:space="preserve">Illawarra Region Innovation and Investment Fund </w:t>
      </w:r>
    </w:p>
    <w:p w14:paraId="465A1D24" w14:textId="65110694" w:rsidR="00886682" w:rsidRPr="00886682" w:rsidRDefault="00886682" w:rsidP="00A04EC9">
      <w:pPr>
        <w:pStyle w:val="ListBullet"/>
      </w:pPr>
      <w:r w:rsidRPr="00886682">
        <w:t>North West and Northern Tasmania Innovation and Investment Fund</w:t>
      </w:r>
    </w:p>
    <w:p w14:paraId="0A1CC05A" w14:textId="2B67F6D4" w:rsidR="00886682" w:rsidRPr="00886682" w:rsidRDefault="00886682" w:rsidP="00A04EC9">
      <w:pPr>
        <w:pStyle w:val="ListBullet"/>
      </w:pPr>
      <w:r w:rsidRPr="00886682">
        <w:t xml:space="preserve">South Australian Innovation and Investment Fund </w:t>
      </w:r>
    </w:p>
    <w:p w14:paraId="0C0C011C" w14:textId="5075BA5C" w:rsidR="00886682" w:rsidRPr="00886682" w:rsidRDefault="00886682" w:rsidP="00A04EC9">
      <w:pPr>
        <w:pStyle w:val="ListBullet"/>
      </w:pPr>
      <w:r w:rsidRPr="00886682">
        <w:t>South East South Australia Innovation and Investment Fund</w:t>
      </w:r>
    </w:p>
    <w:p w14:paraId="43933C6E" w14:textId="331D93C4" w:rsidR="00886682" w:rsidRPr="00886682" w:rsidRDefault="00886682" w:rsidP="00A04EC9">
      <w:pPr>
        <w:pStyle w:val="ListBullet"/>
      </w:pPr>
      <w:r w:rsidRPr="00886682">
        <w:t>Textile, Clothing and Footwear Post-2005 Strategic Investment Program</w:t>
      </w:r>
    </w:p>
    <w:p w14:paraId="028216B7" w14:textId="65915FB4" w:rsidR="00886682" w:rsidRPr="00886682" w:rsidRDefault="00886682" w:rsidP="00A04EC9">
      <w:pPr>
        <w:pStyle w:val="ListBullet"/>
      </w:pPr>
      <w:r w:rsidRPr="00886682">
        <w:t>Textile, Clothing and Footwear Small Business Program</w:t>
      </w:r>
    </w:p>
    <w:p w14:paraId="53AE1A49" w14:textId="57119EBB" w:rsidR="00886682" w:rsidRPr="00886682" w:rsidRDefault="00886682" w:rsidP="00A04EC9">
      <w:pPr>
        <w:pStyle w:val="ListBullet"/>
      </w:pPr>
      <w:r w:rsidRPr="00886682">
        <w:t>Textile, Clothing and Footwear Strategic Investment Program</w:t>
      </w:r>
    </w:p>
    <w:p w14:paraId="59333804" w14:textId="4C7CCFED" w:rsidR="00886682" w:rsidRPr="00886682" w:rsidRDefault="00886682" w:rsidP="00A04EC9">
      <w:pPr>
        <w:pStyle w:val="ListBullet"/>
      </w:pPr>
      <w:r w:rsidRPr="00886682">
        <w:t>Tasmania Innovation and Investment Fund</w:t>
      </w:r>
    </w:p>
    <w:p w14:paraId="1CF8C59A" w14:textId="5C1D6C69" w:rsidR="00886682" w:rsidRPr="00886682" w:rsidRDefault="00886682" w:rsidP="00A04EC9">
      <w:pPr>
        <w:pStyle w:val="ListBullet"/>
      </w:pPr>
      <w:r w:rsidRPr="00886682">
        <w:t xml:space="preserve">Venture Capital </w:t>
      </w:r>
    </w:p>
    <w:p w14:paraId="0EC157C0" w14:textId="78E302B6" w:rsidR="00886682" w:rsidRDefault="00886682" w:rsidP="00886682">
      <w:pPr>
        <w:spacing w:after="200" w:line="276" w:lineRule="auto"/>
        <w:ind w:left="0"/>
        <w:jc w:val="left"/>
        <w:rPr>
          <w:rFonts w:asciiTheme="minorHAnsi" w:hAnsiTheme="minorHAnsi"/>
        </w:rPr>
      </w:pPr>
      <w:r w:rsidRPr="00886682">
        <w:rPr>
          <w:rFonts w:asciiTheme="minorHAnsi" w:hAnsiTheme="minorHAnsi"/>
        </w:rPr>
        <w:t xml:space="preserve">NMI clients were found to have participated in four of these programs, including R&amp;D Tax Concession/Incentive, Commercialisation Australia, Enterprise Connect and the Entrepreneurs’ Programme (Table 3.2). </w:t>
      </w:r>
    </w:p>
    <w:p w14:paraId="5A42985C" w14:textId="5D877A22" w:rsidR="00A04EC9" w:rsidRDefault="00A04EC9" w:rsidP="00A04EC9">
      <w:pPr>
        <w:pStyle w:val="CaptionWide"/>
        <w:rPr>
          <w:bCs w:val="0"/>
        </w:rPr>
      </w:pPr>
      <w:r w:rsidRPr="000618FB">
        <w:t xml:space="preserve">Table </w:t>
      </w:r>
      <w:r w:rsidR="00B177DE">
        <w:rPr>
          <w:noProof/>
        </w:rPr>
        <w:fldChar w:fldCharType="begin"/>
      </w:r>
      <w:r w:rsidR="00B177DE">
        <w:rPr>
          <w:noProof/>
        </w:rPr>
        <w:instrText xml:space="preserve"> STYLEREF 1 \s </w:instrText>
      </w:r>
      <w:r w:rsidR="00B177DE">
        <w:rPr>
          <w:noProof/>
        </w:rPr>
        <w:fldChar w:fldCharType="separate"/>
      </w:r>
      <w:r w:rsidR="00C871E1">
        <w:rPr>
          <w:noProof/>
        </w:rPr>
        <w:t>3</w:t>
      </w:r>
      <w:r w:rsidR="00B177DE">
        <w:rPr>
          <w:noProof/>
        </w:rPr>
        <w:fldChar w:fldCharType="end"/>
      </w:r>
      <w:r w:rsidRPr="000618FB">
        <w:t>.</w:t>
      </w:r>
      <w:r w:rsidR="00B177DE">
        <w:rPr>
          <w:noProof/>
        </w:rPr>
        <w:fldChar w:fldCharType="begin"/>
      </w:r>
      <w:r w:rsidR="00B177DE">
        <w:rPr>
          <w:noProof/>
        </w:rPr>
        <w:instrText xml:space="preserve"> SEQ Table \* ARABIC \s 1 </w:instrText>
      </w:r>
      <w:r w:rsidR="00B177DE">
        <w:rPr>
          <w:noProof/>
        </w:rPr>
        <w:fldChar w:fldCharType="separate"/>
      </w:r>
      <w:r w:rsidR="00C871E1">
        <w:rPr>
          <w:noProof/>
        </w:rPr>
        <w:t>2</w:t>
      </w:r>
      <w:r w:rsidR="00B177DE">
        <w:rPr>
          <w:noProof/>
        </w:rPr>
        <w:fldChar w:fldCharType="end"/>
      </w:r>
      <w:r>
        <w:t xml:space="preserve">: </w:t>
      </w:r>
      <w:r w:rsidRPr="00E80C0E">
        <w:rPr>
          <w:bCs w:val="0"/>
        </w:rPr>
        <w:t>NMI firm participation in DIIS programs</w:t>
      </w:r>
      <w:r>
        <w:rPr>
          <w:bCs w:val="0"/>
        </w:rPr>
        <w:t xml:space="preserve"> – Sample Manager</w:t>
      </w:r>
    </w:p>
    <w:tbl>
      <w:tblPr>
        <w:tblStyle w:val="OCETable"/>
        <w:tblW w:w="6399" w:type="pct"/>
        <w:tblInd w:w="-1877" w:type="dxa"/>
        <w:tblLayout w:type="fixed"/>
        <w:tblLook w:val="04A0" w:firstRow="1" w:lastRow="0" w:firstColumn="1" w:lastColumn="0" w:noHBand="0" w:noVBand="1"/>
        <w:tblCaption w:val="Table 3.2"/>
        <w:tblDescription w:val="NMI firm participation in DIIS programmes – Sample Manager"/>
      </w:tblPr>
      <w:tblGrid>
        <w:gridCol w:w="1735"/>
        <w:gridCol w:w="1012"/>
        <w:gridCol w:w="1013"/>
        <w:gridCol w:w="1012"/>
        <w:gridCol w:w="1013"/>
        <w:gridCol w:w="1012"/>
        <w:gridCol w:w="1013"/>
        <w:gridCol w:w="1013"/>
      </w:tblGrid>
      <w:tr w:rsidR="00A04EC9" w:rsidRPr="00E80C0E" w14:paraId="3C545044" w14:textId="77777777" w:rsidTr="005B4497">
        <w:trPr>
          <w:cnfStyle w:val="100000000000" w:firstRow="1" w:lastRow="0" w:firstColumn="0" w:lastColumn="0" w:oddVBand="0" w:evenVBand="0" w:oddHBand="0" w:evenHBand="0" w:firstRowFirstColumn="0" w:firstRowLastColumn="0" w:lastRowFirstColumn="0" w:lastRowLastColumn="0"/>
          <w:trHeight w:val="378"/>
          <w:tblHeader/>
        </w:trPr>
        <w:tc>
          <w:tcPr>
            <w:tcW w:w="1735" w:type="dxa"/>
          </w:tcPr>
          <w:p w14:paraId="1091C64E" w14:textId="77777777" w:rsidR="00A04EC9" w:rsidRPr="00E80C0E" w:rsidRDefault="00A04EC9" w:rsidP="00A04EC9">
            <w:pPr>
              <w:pStyle w:val="Tableheadertext"/>
              <w:rPr>
                <w:lang w:eastAsia="en-AU"/>
              </w:rPr>
            </w:pPr>
          </w:p>
        </w:tc>
        <w:tc>
          <w:tcPr>
            <w:tcW w:w="1012" w:type="dxa"/>
          </w:tcPr>
          <w:p w14:paraId="437157BB" w14:textId="7FA42BF2" w:rsidR="00A04EC9" w:rsidRPr="00E80C0E" w:rsidRDefault="00F902EA" w:rsidP="00F902EA">
            <w:pPr>
              <w:pStyle w:val="Tableheadertext"/>
              <w:jc w:val="right"/>
              <w:rPr>
                <w:lang w:eastAsia="en-AU"/>
              </w:rPr>
            </w:pPr>
            <w:r>
              <w:rPr>
                <w:lang w:eastAsia="en-AU"/>
              </w:rPr>
              <w:t>2008</w:t>
            </w:r>
            <w:r>
              <w:rPr>
                <w:rFonts w:ascii="Calibri" w:hAnsi="Calibri"/>
                <w:lang w:eastAsia="en-AU"/>
              </w:rPr>
              <w:t>–</w:t>
            </w:r>
            <w:r w:rsidR="00A04EC9" w:rsidRPr="00E80C0E">
              <w:rPr>
                <w:lang w:eastAsia="en-AU"/>
              </w:rPr>
              <w:t>09</w:t>
            </w:r>
          </w:p>
        </w:tc>
        <w:tc>
          <w:tcPr>
            <w:tcW w:w="1013" w:type="dxa"/>
          </w:tcPr>
          <w:p w14:paraId="6E3F8004" w14:textId="7C98C9A2" w:rsidR="00A04EC9" w:rsidRPr="00E80C0E" w:rsidRDefault="00F902EA" w:rsidP="00F902EA">
            <w:pPr>
              <w:pStyle w:val="Tableheadertext"/>
              <w:jc w:val="right"/>
              <w:rPr>
                <w:lang w:eastAsia="en-AU"/>
              </w:rPr>
            </w:pPr>
            <w:r>
              <w:rPr>
                <w:lang w:eastAsia="en-AU"/>
              </w:rPr>
              <w:t>2009</w:t>
            </w:r>
            <w:r>
              <w:rPr>
                <w:rFonts w:ascii="Calibri" w:hAnsi="Calibri"/>
                <w:lang w:eastAsia="en-AU"/>
              </w:rPr>
              <w:t>–</w:t>
            </w:r>
            <w:r w:rsidR="00A04EC9" w:rsidRPr="00E80C0E">
              <w:rPr>
                <w:lang w:eastAsia="en-AU"/>
              </w:rPr>
              <w:t>10</w:t>
            </w:r>
          </w:p>
        </w:tc>
        <w:tc>
          <w:tcPr>
            <w:tcW w:w="1012" w:type="dxa"/>
          </w:tcPr>
          <w:p w14:paraId="151F068D" w14:textId="26E1E62C" w:rsidR="00A04EC9" w:rsidRPr="00E80C0E" w:rsidRDefault="00F902EA" w:rsidP="00F902EA">
            <w:pPr>
              <w:pStyle w:val="Tableheadertext"/>
              <w:jc w:val="right"/>
              <w:rPr>
                <w:lang w:eastAsia="en-AU"/>
              </w:rPr>
            </w:pPr>
            <w:r>
              <w:rPr>
                <w:lang w:eastAsia="en-AU"/>
              </w:rPr>
              <w:t>2010</w:t>
            </w:r>
            <w:r>
              <w:rPr>
                <w:rFonts w:ascii="Calibri" w:hAnsi="Calibri"/>
                <w:lang w:eastAsia="en-AU"/>
              </w:rPr>
              <w:t>–</w:t>
            </w:r>
            <w:r w:rsidR="00A04EC9" w:rsidRPr="00E80C0E">
              <w:rPr>
                <w:lang w:eastAsia="en-AU"/>
              </w:rPr>
              <w:t>11</w:t>
            </w:r>
          </w:p>
        </w:tc>
        <w:tc>
          <w:tcPr>
            <w:tcW w:w="1013" w:type="dxa"/>
          </w:tcPr>
          <w:p w14:paraId="624B14AE" w14:textId="5F4A66B8" w:rsidR="00A04EC9" w:rsidRPr="00E80C0E" w:rsidRDefault="00F902EA" w:rsidP="00F902EA">
            <w:pPr>
              <w:pStyle w:val="Tableheadertext"/>
              <w:jc w:val="right"/>
              <w:rPr>
                <w:lang w:eastAsia="en-AU"/>
              </w:rPr>
            </w:pPr>
            <w:r>
              <w:rPr>
                <w:lang w:eastAsia="en-AU"/>
              </w:rPr>
              <w:t>2011</w:t>
            </w:r>
            <w:r>
              <w:rPr>
                <w:rFonts w:ascii="Calibri" w:hAnsi="Calibri"/>
                <w:lang w:eastAsia="en-AU"/>
              </w:rPr>
              <w:t>–</w:t>
            </w:r>
            <w:r w:rsidR="00A04EC9" w:rsidRPr="00E80C0E">
              <w:rPr>
                <w:lang w:eastAsia="en-AU"/>
              </w:rPr>
              <w:t>12</w:t>
            </w:r>
          </w:p>
        </w:tc>
        <w:tc>
          <w:tcPr>
            <w:tcW w:w="1012" w:type="dxa"/>
          </w:tcPr>
          <w:p w14:paraId="75653FA8" w14:textId="1298A7FC" w:rsidR="00A04EC9" w:rsidRPr="00E80C0E" w:rsidRDefault="00F902EA" w:rsidP="00F902EA">
            <w:pPr>
              <w:pStyle w:val="Tableheadertext"/>
              <w:jc w:val="right"/>
              <w:rPr>
                <w:lang w:eastAsia="en-AU"/>
              </w:rPr>
            </w:pPr>
            <w:r>
              <w:rPr>
                <w:lang w:eastAsia="en-AU"/>
              </w:rPr>
              <w:t>2012</w:t>
            </w:r>
            <w:r>
              <w:rPr>
                <w:rFonts w:ascii="Calibri" w:hAnsi="Calibri"/>
                <w:lang w:eastAsia="en-AU"/>
              </w:rPr>
              <w:t>–</w:t>
            </w:r>
            <w:r w:rsidR="00A04EC9" w:rsidRPr="00E80C0E">
              <w:rPr>
                <w:lang w:eastAsia="en-AU"/>
              </w:rPr>
              <w:t>13</w:t>
            </w:r>
          </w:p>
        </w:tc>
        <w:tc>
          <w:tcPr>
            <w:tcW w:w="1013" w:type="dxa"/>
          </w:tcPr>
          <w:p w14:paraId="4848182D" w14:textId="249AA4BC" w:rsidR="00A04EC9" w:rsidRPr="00E80C0E" w:rsidRDefault="00F902EA" w:rsidP="00F902EA">
            <w:pPr>
              <w:pStyle w:val="Tableheadertext"/>
              <w:jc w:val="right"/>
              <w:rPr>
                <w:lang w:eastAsia="en-AU"/>
              </w:rPr>
            </w:pPr>
            <w:r>
              <w:rPr>
                <w:lang w:eastAsia="en-AU"/>
              </w:rPr>
              <w:t>2013</w:t>
            </w:r>
            <w:r>
              <w:rPr>
                <w:rFonts w:ascii="Calibri" w:hAnsi="Calibri"/>
                <w:lang w:eastAsia="en-AU"/>
              </w:rPr>
              <w:t>–</w:t>
            </w:r>
            <w:r w:rsidR="00A04EC9" w:rsidRPr="00E80C0E">
              <w:rPr>
                <w:lang w:eastAsia="en-AU"/>
              </w:rPr>
              <w:t>14</w:t>
            </w:r>
          </w:p>
        </w:tc>
        <w:tc>
          <w:tcPr>
            <w:tcW w:w="1013" w:type="dxa"/>
          </w:tcPr>
          <w:p w14:paraId="10D451D7" w14:textId="7378B476" w:rsidR="00A04EC9" w:rsidRPr="00E80C0E" w:rsidRDefault="00F902EA" w:rsidP="00F902EA">
            <w:pPr>
              <w:pStyle w:val="Tableheadertext"/>
              <w:jc w:val="right"/>
              <w:rPr>
                <w:lang w:eastAsia="en-AU"/>
              </w:rPr>
            </w:pPr>
            <w:r>
              <w:rPr>
                <w:lang w:eastAsia="en-AU"/>
              </w:rPr>
              <w:t>2014</w:t>
            </w:r>
            <w:r>
              <w:rPr>
                <w:rFonts w:ascii="Calibri" w:hAnsi="Calibri"/>
                <w:lang w:eastAsia="en-AU"/>
              </w:rPr>
              <w:t>–</w:t>
            </w:r>
            <w:r w:rsidR="00A04EC9" w:rsidRPr="00E80C0E">
              <w:rPr>
                <w:lang w:eastAsia="en-AU"/>
              </w:rPr>
              <w:t>15</w:t>
            </w:r>
          </w:p>
        </w:tc>
      </w:tr>
      <w:tr w:rsidR="00A04EC9" w:rsidRPr="00E80C0E" w14:paraId="16C2449C" w14:textId="77777777" w:rsidTr="006D34A0">
        <w:trPr>
          <w:cnfStyle w:val="000000100000" w:firstRow="0" w:lastRow="0" w:firstColumn="0" w:lastColumn="0" w:oddVBand="0" w:evenVBand="0" w:oddHBand="1" w:evenHBand="0" w:firstRowFirstColumn="0" w:firstRowLastColumn="0" w:lastRowFirstColumn="0" w:lastRowLastColumn="0"/>
          <w:trHeight w:val="277"/>
        </w:trPr>
        <w:tc>
          <w:tcPr>
            <w:tcW w:w="1735" w:type="dxa"/>
          </w:tcPr>
          <w:p w14:paraId="52890BD6" w14:textId="77777777" w:rsidR="00F902EA" w:rsidRDefault="00A04EC9" w:rsidP="00A04EC9">
            <w:pPr>
              <w:pStyle w:val="Tablebodytext"/>
            </w:pPr>
            <w:r w:rsidRPr="00E80C0E">
              <w:t>R&amp;D Tax Concession/</w:t>
            </w:r>
          </w:p>
          <w:p w14:paraId="09980C29" w14:textId="6E97F66B" w:rsidR="00A04EC9" w:rsidRPr="00E80C0E" w:rsidRDefault="00A04EC9" w:rsidP="00A04EC9">
            <w:pPr>
              <w:pStyle w:val="Tablebodytext"/>
            </w:pPr>
            <w:r w:rsidRPr="00E80C0E">
              <w:t>Incentive*</w:t>
            </w:r>
          </w:p>
        </w:tc>
        <w:tc>
          <w:tcPr>
            <w:tcW w:w="1012" w:type="dxa"/>
            <w:vAlign w:val="center"/>
          </w:tcPr>
          <w:p w14:paraId="29173100" w14:textId="77777777" w:rsidR="00A04EC9" w:rsidRPr="00E80C0E" w:rsidRDefault="00A04EC9" w:rsidP="006D34A0">
            <w:pPr>
              <w:pStyle w:val="Tablebodytext"/>
              <w:jc w:val="right"/>
              <w:rPr>
                <w:lang w:eastAsia="en-AU"/>
              </w:rPr>
            </w:pPr>
            <w:r w:rsidRPr="00E80C0E">
              <w:rPr>
                <w:lang w:eastAsia="en-AU"/>
              </w:rPr>
              <w:t>146</w:t>
            </w:r>
          </w:p>
        </w:tc>
        <w:tc>
          <w:tcPr>
            <w:tcW w:w="1013" w:type="dxa"/>
            <w:vAlign w:val="center"/>
          </w:tcPr>
          <w:p w14:paraId="79BF9800" w14:textId="77777777" w:rsidR="00A04EC9" w:rsidRPr="00E80C0E" w:rsidRDefault="00A04EC9" w:rsidP="006D34A0">
            <w:pPr>
              <w:pStyle w:val="Tablebodytext"/>
              <w:jc w:val="right"/>
              <w:rPr>
                <w:lang w:eastAsia="en-AU"/>
              </w:rPr>
            </w:pPr>
            <w:r w:rsidRPr="00E80C0E">
              <w:rPr>
                <w:lang w:eastAsia="en-AU"/>
              </w:rPr>
              <w:t>140</w:t>
            </w:r>
          </w:p>
        </w:tc>
        <w:tc>
          <w:tcPr>
            <w:tcW w:w="1012" w:type="dxa"/>
            <w:vAlign w:val="center"/>
          </w:tcPr>
          <w:p w14:paraId="46373162" w14:textId="77777777" w:rsidR="00A04EC9" w:rsidRPr="00E80C0E" w:rsidRDefault="00A04EC9" w:rsidP="006D34A0">
            <w:pPr>
              <w:pStyle w:val="Tablebodytext"/>
              <w:jc w:val="right"/>
              <w:rPr>
                <w:lang w:eastAsia="en-AU"/>
              </w:rPr>
            </w:pPr>
            <w:r w:rsidRPr="00E80C0E">
              <w:rPr>
                <w:lang w:eastAsia="en-AU"/>
              </w:rPr>
              <w:t>139</w:t>
            </w:r>
          </w:p>
        </w:tc>
        <w:tc>
          <w:tcPr>
            <w:tcW w:w="1013" w:type="dxa"/>
            <w:vAlign w:val="center"/>
          </w:tcPr>
          <w:p w14:paraId="4E6E6055" w14:textId="77777777" w:rsidR="00A04EC9" w:rsidRPr="00E80C0E" w:rsidRDefault="00A04EC9" w:rsidP="006D34A0">
            <w:pPr>
              <w:pStyle w:val="Tablebodytext"/>
              <w:jc w:val="right"/>
              <w:rPr>
                <w:lang w:eastAsia="en-AU"/>
              </w:rPr>
            </w:pPr>
            <w:r w:rsidRPr="00E80C0E">
              <w:rPr>
                <w:lang w:eastAsia="en-AU"/>
              </w:rPr>
              <w:t>107</w:t>
            </w:r>
          </w:p>
        </w:tc>
        <w:tc>
          <w:tcPr>
            <w:tcW w:w="1012" w:type="dxa"/>
            <w:vAlign w:val="center"/>
          </w:tcPr>
          <w:p w14:paraId="7B726DA6" w14:textId="77777777" w:rsidR="00A04EC9" w:rsidRPr="00E80C0E" w:rsidRDefault="00A04EC9" w:rsidP="006D34A0">
            <w:pPr>
              <w:pStyle w:val="Tablebodytext"/>
              <w:jc w:val="right"/>
              <w:rPr>
                <w:lang w:eastAsia="en-AU"/>
              </w:rPr>
            </w:pPr>
            <w:r w:rsidRPr="00E80C0E">
              <w:rPr>
                <w:lang w:eastAsia="en-AU"/>
              </w:rPr>
              <w:t>91</w:t>
            </w:r>
          </w:p>
        </w:tc>
        <w:tc>
          <w:tcPr>
            <w:tcW w:w="1013" w:type="dxa"/>
            <w:vAlign w:val="center"/>
          </w:tcPr>
          <w:p w14:paraId="6FE57229" w14:textId="77777777" w:rsidR="00A04EC9" w:rsidRPr="00E80C0E" w:rsidRDefault="00A04EC9" w:rsidP="006D34A0">
            <w:pPr>
              <w:pStyle w:val="Tablebodytext"/>
              <w:jc w:val="right"/>
              <w:rPr>
                <w:lang w:eastAsia="en-AU"/>
              </w:rPr>
            </w:pPr>
            <w:r w:rsidRPr="00E80C0E">
              <w:rPr>
                <w:lang w:eastAsia="en-AU"/>
              </w:rPr>
              <w:t>90</w:t>
            </w:r>
          </w:p>
        </w:tc>
        <w:tc>
          <w:tcPr>
            <w:tcW w:w="1013" w:type="dxa"/>
            <w:vAlign w:val="center"/>
          </w:tcPr>
          <w:p w14:paraId="50598EA6" w14:textId="77777777" w:rsidR="00A04EC9" w:rsidRPr="00E80C0E" w:rsidRDefault="00A04EC9" w:rsidP="006D34A0">
            <w:pPr>
              <w:pStyle w:val="Tablebodytext"/>
              <w:jc w:val="right"/>
              <w:rPr>
                <w:lang w:eastAsia="en-AU"/>
              </w:rPr>
            </w:pPr>
            <w:r w:rsidRPr="00E80C0E">
              <w:rPr>
                <w:lang w:eastAsia="en-AU"/>
              </w:rPr>
              <w:t>102</w:t>
            </w:r>
          </w:p>
        </w:tc>
      </w:tr>
      <w:tr w:rsidR="00A04EC9" w:rsidRPr="00E80C0E" w14:paraId="50F9D76B" w14:textId="77777777" w:rsidTr="006D34A0">
        <w:trPr>
          <w:cnfStyle w:val="000000010000" w:firstRow="0" w:lastRow="0" w:firstColumn="0" w:lastColumn="0" w:oddVBand="0" w:evenVBand="0" w:oddHBand="0" w:evenHBand="1" w:firstRowFirstColumn="0" w:firstRowLastColumn="0" w:lastRowFirstColumn="0" w:lastRowLastColumn="0"/>
          <w:trHeight w:val="264"/>
        </w:trPr>
        <w:tc>
          <w:tcPr>
            <w:tcW w:w="1735" w:type="dxa"/>
          </w:tcPr>
          <w:p w14:paraId="35CEC108" w14:textId="77777777" w:rsidR="00A04EC9" w:rsidRPr="00E80C0E" w:rsidRDefault="00A04EC9" w:rsidP="00A04EC9">
            <w:pPr>
              <w:pStyle w:val="Tablebodytext"/>
            </w:pPr>
            <w:r w:rsidRPr="00E80C0E">
              <w:t>Commercialisation Australia</w:t>
            </w:r>
          </w:p>
        </w:tc>
        <w:tc>
          <w:tcPr>
            <w:tcW w:w="1012" w:type="dxa"/>
            <w:vAlign w:val="center"/>
          </w:tcPr>
          <w:p w14:paraId="57D017C3" w14:textId="77777777" w:rsidR="00A04EC9" w:rsidRPr="00E80C0E" w:rsidRDefault="00A04EC9" w:rsidP="006D34A0">
            <w:pPr>
              <w:pStyle w:val="Tablebodytext"/>
              <w:jc w:val="right"/>
              <w:rPr>
                <w:lang w:eastAsia="en-AU"/>
              </w:rPr>
            </w:pPr>
            <w:r w:rsidRPr="00E80C0E">
              <w:rPr>
                <w:lang w:eastAsia="en-AU"/>
              </w:rPr>
              <w:t>n/a</w:t>
            </w:r>
          </w:p>
        </w:tc>
        <w:tc>
          <w:tcPr>
            <w:tcW w:w="1013" w:type="dxa"/>
            <w:vAlign w:val="center"/>
          </w:tcPr>
          <w:p w14:paraId="652C7518" w14:textId="77777777" w:rsidR="00A04EC9" w:rsidRPr="00E80C0E" w:rsidRDefault="00A04EC9" w:rsidP="006D34A0">
            <w:pPr>
              <w:pStyle w:val="Tablebodytext"/>
              <w:jc w:val="right"/>
              <w:rPr>
                <w:lang w:eastAsia="en-AU"/>
              </w:rPr>
            </w:pPr>
            <w:r w:rsidRPr="00E80C0E">
              <w:rPr>
                <w:lang w:eastAsia="en-AU"/>
              </w:rPr>
              <w:t>0</w:t>
            </w:r>
          </w:p>
        </w:tc>
        <w:tc>
          <w:tcPr>
            <w:tcW w:w="1012" w:type="dxa"/>
            <w:vAlign w:val="center"/>
          </w:tcPr>
          <w:p w14:paraId="75951114" w14:textId="77777777" w:rsidR="00A04EC9" w:rsidRPr="00E80C0E" w:rsidRDefault="00A04EC9" w:rsidP="006D34A0">
            <w:pPr>
              <w:pStyle w:val="Tablebodytext"/>
              <w:jc w:val="right"/>
              <w:rPr>
                <w:lang w:eastAsia="en-AU"/>
              </w:rPr>
            </w:pPr>
            <w:r w:rsidRPr="00E80C0E">
              <w:rPr>
                <w:lang w:eastAsia="en-AU"/>
              </w:rPr>
              <w:t>3</w:t>
            </w:r>
          </w:p>
        </w:tc>
        <w:tc>
          <w:tcPr>
            <w:tcW w:w="1013" w:type="dxa"/>
            <w:vAlign w:val="center"/>
          </w:tcPr>
          <w:p w14:paraId="72BD13AA" w14:textId="77777777" w:rsidR="00A04EC9" w:rsidRPr="00E80C0E" w:rsidRDefault="00A04EC9" w:rsidP="006D34A0">
            <w:pPr>
              <w:pStyle w:val="Tablebodytext"/>
              <w:jc w:val="right"/>
              <w:rPr>
                <w:lang w:eastAsia="en-AU"/>
              </w:rPr>
            </w:pPr>
            <w:r w:rsidRPr="00E80C0E">
              <w:rPr>
                <w:lang w:eastAsia="en-AU"/>
              </w:rPr>
              <w:t>1</w:t>
            </w:r>
          </w:p>
        </w:tc>
        <w:tc>
          <w:tcPr>
            <w:tcW w:w="1012" w:type="dxa"/>
            <w:vAlign w:val="center"/>
          </w:tcPr>
          <w:p w14:paraId="5AA85412" w14:textId="77777777" w:rsidR="00A04EC9" w:rsidRPr="00E80C0E" w:rsidRDefault="00A04EC9" w:rsidP="006D34A0">
            <w:pPr>
              <w:pStyle w:val="Tablebodytext"/>
              <w:jc w:val="right"/>
              <w:rPr>
                <w:lang w:eastAsia="en-AU"/>
              </w:rPr>
            </w:pPr>
            <w:r w:rsidRPr="00E80C0E">
              <w:rPr>
                <w:lang w:eastAsia="en-AU"/>
              </w:rPr>
              <w:t>2</w:t>
            </w:r>
          </w:p>
        </w:tc>
        <w:tc>
          <w:tcPr>
            <w:tcW w:w="1013" w:type="dxa"/>
            <w:vAlign w:val="center"/>
          </w:tcPr>
          <w:p w14:paraId="06AE255D" w14:textId="77777777" w:rsidR="00A04EC9" w:rsidRPr="00E80C0E" w:rsidRDefault="00A04EC9" w:rsidP="006D34A0">
            <w:pPr>
              <w:pStyle w:val="Tablebodytext"/>
              <w:jc w:val="right"/>
              <w:rPr>
                <w:lang w:eastAsia="en-AU"/>
              </w:rPr>
            </w:pPr>
            <w:r w:rsidRPr="00E80C0E">
              <w:rPr>
                <w:lang w:eastAsia="en-AU"/>
              </w:rPr>
              <w:t>2</w:t>
            </w:r>
          </w:p>
        </w:tc>
        <w:tc>
          <w:tcPr>
            <w:tcW w:w="1013" w:type="dxa"/>
            <w:vAlign w:val="center"/>
          </w:tcPr>
          <w:p w14:paraId="61DC06B2" w14:textId="77777777" w:rsidR="00A04EC9" w:rsidRPr="00E80C0E" w:rsidRDefault="00A04EC9" w:rsidP="006D34A0">
            <w:pPr>
              <w:pStyle w:val="Tablebodytext"/>
              <w:jc w:val="right"/>
              <w:rPr>
                <w:lang w:eastAsia="en-AU"/>
              </w:rPr>
            </w:pPr>
            <w:r w:rsidRPr="00E80C0E">
              <w:rPr>
                <w:lang w:eastAsia="en-AU"/>
              </w:rPr>
              <w:t>1</w:t>
            </w:r>
          </w:p>
        </w:tc>
      </w:tr>
      <w:tr w:rsidR="00A04EC9" w:rsidRPr="00E80C0E" w14:paraId="0AE3AF19" w14:textId="77777777" w:rsidTr="006D34A0">
        <w:trPr>
          <w:cnfStyle w:val="000000100000" w:firstRow="0" w:lastRow="0" w:firstColumn="0" w:lastColumn="0" w:oddVBand="0" w:evenVBand="0" w:oddHBand="1" w:evenHBand="0" w:firstRowFirstColumn="0" w:firstRowLastColumn="0" w:lastRowFirstColumn="0" w:lastRowLastColumn="0"/>
          <w:trHeight w:val="277"/>
        </w:trPr>
        <w:tc>
          <w:tcPr>
            <w:tcW w:w="1735" w:type="dxa"/>
          </w:tcPr>
          <w:p w14:paraId="1BCA0E46" w14:textId="77777777" w:rsidR="00A04EC9" w:rsidRPr="00E80C0E" w:rsidRDefault="00A04EC9" w:rsidP="00A04EC9">
            <w:pPr>
              <w:pStyle w:val="Tablebodytext"/>
            </w:pPr>
            <w:r w:rsidRPr="00E80C0E">
              <w:t>Enterprise Connect</w:t>
            </w:r>
          </w:p>
        </w:tc>
        <w:tc>
          <w:tcPr>
            <w:tcW w:w="1012" w:type="dxa"/>
            <w:vAlign w:val="center"/>
          </w:tcPr>
          <w:p w14:paraId="31924436" w14:textId="77777777" w:rsidR="00A04EC9" w:rsidRPr="00E80C0E" w:rsidRDefault="00A04EC9" w:rsidP="006D34A0">
            <w:pPr>
              <w:pStyle w:val="Tablebodytext"/>
              <w:jc w:val="right"/>
              <w:rPr>
                <w:lang w:eastAsia="en-AU"/>
              </w:rPr>
            </w:pPr>
            <w:r w:rsidRPr="00E80C0E">
              <w:rPr>
                <w:lang w:eastAsia="en-AU"/>
              </w:rPr>
              <w:t>6</w:t>
            </w:r>
          </w:p>
        </w:tc>
        <w:tc>
          <w:tcPr>
            <w:tcW w:w="1013" w:type="dxa"/>
            <w:vAlign w:val="center"/>
          </w:tcPr>
          <w:p w14:paraId="534F889C" w14:textId="77777777" w:rsidR="00A04EC9" w:rsidRPr="00E80C0E" w:rsidRDefault="00A04EC9" w:rsidP="006D34A0">
            <w:pPr>
              <w:pStyle w:val="Tablebodytext"/>
              <w:jc w:val="right"/>
              <w:rPr>
                <w:lang w:eastAsia="en-AU"/>
              </w:rPr>
            </w:pPr>
            <w:r w:rsidRPr="00E80C0E">
              <w:rPr>
                <w:lang w:eastAsia="en-AU"/>
              </w:rPr>
              <w:t>8</w:t>
            </w:r>
          </w:p>
        </w:tc>
        <w:tc>
          <w:tcPr>
            <w:tcW w:w="1012" w:type="dxa"/>
            <w:vAlign w:val="center"/>
          </w:tcPr>
          <w:p w14:paraId="2D389CF8" w14:textId="77777777" w:rsidR="00A04EC9" w:rsidRPr="00E80C0E" w:rsidRDefault="00A04EC9" w:rsidP="006D34A0">
            <w:pPr>
              <w:pStyle w:val="Tablebodytext"/>
              <w:jc w:val="right"/>
              <w:rPr>
                <w:lang w:eastAsia="en-AU"/>
              </w:rPr>
            </w:pPr>
            <w:r w:rsidRPr="00E80C0E">
              <w:rPr>
                <w:lang w:eastAsia="en-AU"/>
              </w:rPr>
              <w:t>6</w:t>
            </w:r>
          </w:p>
        </w:tc>
        <w:tc>
          <w:tcPr>
            <w:tcW w:w="1013" w:type="dxa"/>
            <w:vAlign w:val="center"/>
          </w:tcPr>
          <w:p w14:paraId="6FEA96D4" w14:textId="77777777" w:rsidR="00A04EC9" w:rsidRPr="00E80C0E" w:rsidRDefault="00A04EC9" w:rsidP="006D34A0">
            <w:pPr>
              <w:pStyle w:val="Tablebodytext"/>
              <w:jc w:val="right"/>
              <w:rPr>
                <w:lang w:eastAsia="en-AU"/>
              </w:rPr>
            </w:pPr>
            <w:r w:rsidRPr="00E80C0E">
              <w:rPr>
                <w:lang w:eastAsia="en-AU"/>
              </w:rPr>
              <w:t>8</w:t>
            </w:r>
          </w:p>
        </w:tc>
        <w:tc>
          <w:tcPr>
            <w:tcW w:w="1012" w:type="dxa"/>
            <w:vAlign w:val="center"/>
          </w:tcPr>
          <w:p w14:paraId="15A940D3" w14:textId="77777777" w:rsidR="00A04EC9" w:rsidRPr="00E80C0E" w:rsidRDefault="00A04EC9" w:rsidP="006D34A0">
            <w:pPr>
              <w:pStyle w:val="Tablebodytext"/>
              <w:jc w:val="right"/>
              <w:rPr>
                <w:lang w:eastAsia="en-AU"/>
              </w:rPr>
            </w:pPr>
            <w:r w:rsidRPr="00E80C0E">
              <w:rPr>
                <w:lang w:eastAsia="en-AU"/>
              </w:rPr>
              <w:t>6</w:t>
            </w:r>
          </w:p>
        </w:tc>
        <w:tc>
          <w:tcPr>
            <w:tcW w:w="1013" w:type="dxa"/>
            <w:vAlign w:val="center"/>
          </w:tcPr>
          <w:p w14:paraId="1928913B" w14:textId="77777777" w:rsidR="00A04EC9" w:rsidRPr="00E80C0E" w:rsidRDefault="00A04EC9" w:rsidP="006D34A0">
            <w:pPr>
              <w:pStyle w:val="Tablebodytext"/>
              <w:jc w:val="right"/>
              <w:rPr>
                <w:lang w:eastAsia="en-AU"/>
              </w:rPr>
            </w:pPr>
            <w:r w:rsidRPr="00E80C0E">
              <w:rPr>
                <w:lang w:eastAsia="en-AU"/>
              </w:rPr>
              <w:t>5</w:t>
            </w:r>
          </w:p>
        </w:tc>
        <w:tc>
          <w:tcPr>
            <w:tcW w:w="1013" w:type="dxa"/>
            <w:vAlign w:val="center"/>
          </w:tcPr>
          <w:p w14:paraId="44584F36" w14:textId="77777777" w:rsidR="00A04EC9" w:rsidRPr="00E80C0E" w:rsidRDefault="00A04EC9" w:rsidP="006D34A0">
            <w:pPr>
              <w:pStyle w:val="Tablebodytext"/>
              <w:jc w:val="right"/>
              <w:rPr>
                <w:lang w:eastAsia="en-AU"/>
              </w:rPr>
            </w:pPr>
            <w:r w:rsidRPr="00E80C0E">
              <w:rPr>
                <w:lang w:eastAsia="en-AU"/>
              </w:rPr>
              <w:t>2</w:t>
            </w:r>
          </w:p>
        </w:tc>
      </w:tr>
      <w:tr w:rsidR="00A04EC9" w:rsidRPr="00E80C0E" w14:paraId="029D8551" w14:textId="77777777" w:rsidTr="006D34A0">
        <w:trPr>
          <w:cnfStyle w:val="000000010000" w:firstRow="0" w:lastRow="0" w:firstColumn="0" w:lastColumn="0" w:oddVBand="0" w:evenVBand="0" w:oddHBand="0" w:evenHBand="1" w:firstRowFirstColumn="0" w:firstRowLastColumn="0" w:lastRowFirstColumn="0" w:lastRowLastColumn="0"/>
          <w:trHeight w:val="277"/>
        </w:trPr>
        <w:tc>
          <w:tcPr>
            <w:tcW w:w="1735" w:type="dxa"/>
          </w:tcPr>
          <w:p w14:paraId="5BC11BCF" w14:textId="77777777" w:rsidR="00A04EC9" w:rsidRPr="00E80C0E" w:rsidRDefault="00A04EC9" w:rsidP="00A04EC9">
            <w:pPr>
              <w:pStyle w:val="Tablebodytext"/>
            </w:pPr>
            <w:r w:rsidRPr="00E80C0E">
              <w:t>Entrepreneurs Programme</w:t>
            </w:r>
          </w:p>
        </w:tc>
        <w:tc>
          <w:tcPr>
            <w:tcW w:w="1012" w:type="dxa"/>
            <w:vAlign w:val="center"/>
          </w:tcPr>
          <w:p w14:paraId="1A54CA37" w14:textId="77777777" w:rsidR="00A04EC9" w:rsidRPr="00E80C0E" w:rsidRDefault="00A04EC9" w:rsidP="006D34A0">
            <w:pPr>
              <w:pStyle w:val="Tablebodytext"/>
              <w:jc w:val="right"/>
              <w:rPr>
                <w:lang w:eastAsia="en-AU"/>
              </w:rPr>
            </w:pPr>
            <w:r w:rsidRPr="00E80C0E">
              <w:rPr>
                <w:lang w:eastAsia="en-AU"/>
              </w:rPr>
              <w:t>n/a</w:t>
            </w:r>
          </w:p>
        </w:tc>
        <w:tc>
          <w:tcPr>
            <w:tcW w:w="1013" w:type="dxa"/>
            <w:vAlign w:val="center"/>
          </w:tcPr>
          <w:p w14:paraId="41DE56AE" w14:textId="77777777" w:rsidR="00A04EC9" w:rsidRPr="00E80C0E" w:rsidRDefault="00A04EC9" w:rsidP="006D34A0">
            <w:pPr>
              <w:pStyle w:val="Tablebodytext"/>
              <w:jc w:val="right"/>
              <w:rPr>
                <w:lang w:eastAsia="en-AU"/>
              </w:rPr>
            </w:pPr>
            <w:r w:rsidRPr="00E80C0E">
              <w:rPr>
                <w:lang w:eastAsia="en-AU"/>
              </w:rPr>
              <w:t>n/a</w:t>
            </w:r>
          </w:p>
        </w:tc>
        <w:tc>
          <w:tcPr>
            <w:tcW w:w="1012" w:type="dxa"/>
            <w:vAlign w:val="center"/>
          </w:tcPr>
          <w:p w14:paraId="09B01B9E" w14:textId="77777777" w:rsidR="00A04EC9" w:rsidRPr="00E80C0E" w:rsidRDefault="00A04EC9" w:rsidP="006D34A0">
            <w:pPr>
              <w:pStyle w:val="Tablebodytext"/>
              <w:jc w:val="right"/>
              <w:rPr>
                <w:lang w:eastAsia="en-AU"/>
              </w:rPr>
            </w:pPr>
            <w:r w:rsidRPr="00E80C0E">
              <w:rPr>
                <w:lang w:eastAsia="en-AU"/>
              </w:rPr>
              <w:t>n/a</w:t>
            </w:r>
          </w:p>
        </w:tc>
        <w:tc>
          <w:tcPr>
            <w:tcW w:w="1013" w:type="dxa"/>
            <w:vAlign w:val="center"/>
          </w:tcPr>
          <w:p w14:paraId="44203E09" w14:textId="77777777" w:rsidR="00A04EC9" w:rsidRPr="00E80C0E" w:rsidRDefault="00A04EC9" w:rsidP="006D34A0">
            <w:pPr>
              <w:pStyle w:val="Tablebodytext"/>
              <w:jc w:val="right"/>
              <w:rPr>
                <w:lang w:eastAsia="en-AU"/>
              </w:rPr>
            </w:pPr>
            <w:r w:rsidRPr="00E80C0E">
              <w:rPr>
                <w:lang w:eastAsia="en-AU"/>
              </w:rPr>
              <w:t>n/a</w:t>
            </w:r>
          </w:p>
        </w:tc>
        <w:tc>
          <w:tcPr>
            <w:tcW w:w="1012" w:type="dxa"/>
            <w:vAlign w:val="center"/>
          </w:tcPr>
          <w:p w14:paraId="23F8BD9B" w14:textId="77777777" w:rsidR="00A04EC9" w:rsidRPr="00E80C0E" w:rsidRDefault="00A04EC9" w:rsidP="006D34A0">
            <w:pPr>
              <w:pStyle w:val="Tablebodytext"/>
              <w:jc w:val="right"/>
              <w:rPr>
                <w:lang w:eastAsia="en-AU"/>
              </w:rPr>
            </w:pPr>
            <w:r w:rsidRPr="00E80C0E">
              <w:rPr>
                <w:lang w:eastAsia="en-AU"/>
              </w:rPr>
              <w:t>n/a</w:t>
            </w:r>
          </w:p>
        </w:tc>
        <w:tc>
          <w:tcPr>
            <w:tcW w:w="1013" w:type="dxa"/>
            <w:vAlign w:val="center"/>
          </w:tcPr>
          <w:p w14:paraId="188EB116" w14:textId="77777777" w:rsidR="00A04EC9" w:rsidRPr="00E80C0E" w:rsidRDefault="00A04EC9" w:rsidP="006D34A0">
            <w:pPr>
              <w:pStyle w:val="Tablebodytext"/>
              <w:jc w:val="right"/>
              <w:rPr>
                <w:lang w:eastAsia="en-AU"/>
              </w:rPr>
            </w:pPr>
            <w:r w:rsidRPr="00E80C0E">
              <w:rPr>
                <w:lang w:eastAsia="en-AU"/>
              </w:rPr>
              <w:t>5</w:t>
            </w:r>
          </w:p>
        </w:tc>
        <w:tc>
          <w:tcPr>
            <w:tcW w:w="1013" w:type="dxa"/>
            <w:vAlign w:val="center"/>
          </w:tcPr>
          <w:p w14:paraId="352C614D" w14:textId="77777777" w:rsidR="00A04EC9" w:rsidRPr="00E80C0E" w:rsidRDefault="00A04EC9" w:rsidP="006D34A0">
            <w:pPr>
              <w:pStyle w:val="Tablebodytext"/>
              <w:jc w:val="right"/>
              <w:rPr>
                <w:lang w:eastAsia="en-AU"/>
              </w:rPr>
            </w:pPr>
            <w:r w:rsidRPr="00E80C0E">
              <w:rPr>
                <w:lang w:eastAsia="en-AU"/>
              </w:rPr>
              <w:t>5</w:t>
            </w:r>
          </w:p>
        </w:tc>
      </w:tr>
    </w:tbl>
    <w:p w14:paraId="500F6162" w14:textId="77777777" w:rsidR="00A04EC9" w:rsidRPr="00A04EC9" w:rsidRDefault="00A04EC9" w:rsidP="00A04EC9">
      <w:pPr>
        <w:pStyle w:val="PlaceholderWide"/>
      </w:pPr>
    </w:p>
    <w:p w14:paraId="627209DE" w14:textId="633C5202" w:rsidR="00A04EC9" w:rsidRPr="00A30089" w:rsidRDefault="00A04EC9" w:rsidP="00A04EC9">
      <w:pPr>
        <w:pStyle w:val="NoteWide"/>
      </w:pPr>
      <w:r w:rsidRPr="00A30089">
        <w:t>Note</w:t>
      </w:r>
      <w:r>
        <w:t xml:space="preserve">s: *R&amp;D </w:t>
      </w:r>
      <w:r w:rsidRPr="00E80C0E">
        <w:rPr>
          <w:lang w:eastAsia="en-AU"/>
        </w:rPr>
        <w:t>Incentive is a continuation of the R&amp;D Concessi</w:t>
      </w:r>
      <w:r w:rsidR="00E5620B">
        <w:rPr>
          <w:lang w:eastAsia="en-AU"/>
        </w:rPr>
        <w:t>on from 2010</w:t>
      </w:r>
      <w:r w:rsidR="00E5620B">
        <w:rPr>
          <w:rFonts w:ascii="Calibri" w:hAnsi="Calibri"/>
          <w:lang w:eastAsia="en-AU"/>
        </w:rPr>
        <w:t>–</w:t>
      </w:r>
      <w:r w:rsidRPr="00E80C0E">
        <w:rPr>
          <w:lang w:eastAsia="en-AU"/>
        </w:rPr>
        <w:t>11. Firms participating in the R&amp;D Tax Concession/Incentive may also be</w:t>
      </w:r>
      <w:r w:rsidR="00776AD5">
        <w:rPr>
          <w:lang w:eastAsia="en-AU"/>
        </w:rPr>
        <w:t xml:space="preserve"> present in other DIIS program</w:t>
      </w:r>
      <w:r w:rsidRPr="00E80C0E">
        <w:rPr>
          <w:lang w:eastAsia="en-AU"/>
        </w:rPr>
        <w:t>s. There is one firm that participated in both Commercialisation Australia and</w:t>
      </w:r>
      <w:r w:rsidR="00E5620B">
        <w:rPr>
          <w:lang w:eastAsia="en-AU"/>
        </w:rPr>
        <w:t xml:space="preserve"> Enterprise Connect in 2013</w:t>
      </w:r>
      <w:r w:rsidR="00E5620B">
        <w:rPr>
          <w:rFonts w:ascii="Calibri" w:hAnsi="Calibri"/>
          <w:lang w:eastAsia="en-AU"/>
        </w:rPr>
        <w:t>–</w:t>
      </w:r>
      <w:r>
        <w:rPr>
          <w:lang w:eastAsia="en-AU"/>
        </w:rPr>
        <w:t>14.</w:t>
      </w:r>
    </w:p>
    <w:p w14:paraId="4BF16343" w14:textId="7086BF18" w:rsidR="00A04EC9" w:rsidRPr="00A30089" w:rsidRDefault="00A04EC9" w:rsidP="00A04EC9">
      <w:pPr>
        <w:pStyle w:val="SourceWide"/>
      </w:pPr>
      <w:r>
        <w:t xml:space="preserve">Source: </w:t>
      </w:r>
      <w:r>
        <w:rPr>
          <w:lang w:eastAsia="en-AU"/>
        </w:rPr>
        <w:t>Department of Industry, Innovation and Science</w:t>
      </w:r>
      <w:r w:rsidRPr="00E80C0E">
        <w:rPr>
          <w:lang w:eastAsia="en-AU"/>
        </w:rPr>
        <w:t xml:space="preserve"> (2017)</w:t>
      </w:r>
    </w:p>
    <w:p w14:paraId="7175F123" w14:textId="247B3628" w:rsidR="00886682" w:rsidRPr="00886682" w:rsidRDefault="00886682" w:rsidP="005F219C">
      <w:pPr>
        <w:pStyle w:val="Heading1"/>
      </w:pPr>
      <w:r w:rsidRPr="00886682">
        <w:lastRenderedPageBreak/>
        <w:t xml:space="preserve">Characteristics of Test &amp; Calibration clients </w:t>
      </w:r>
    </w:p>
    <w:p w14:paraId="54B0D223" w14:textId="1A6A2B3C" w:rsidR="00886682" w:rsidRPr="00886682" w:rsidRDefault="00886682" w:rsidP="005F219C">
      <w:pPr>
        <w:pStyle w:val="Heading2"/>
      </w:pPr>
      <w:r w:rsidRPr="00886682">
        <w:t>Industry classification</w:t>
      </w:r>
    </w:p>
    <w:p w14:paraId="1E7A5D76" w14:textId="7420D926" w:rsidR="00886682" w:rsidRDefault="00886682" w:rsidP="005F219C">
      <w:pPr>
        <w:pStyle w:val="BodyText"/>
      </w:pPr>
      <w:r w:rsidRPr="00886682">
        <w:t xml:space="preserve">The majority of NMI’s client base </w:t>
      </w:r>
      <w:r w:rsidR="00494603">
        <w:t>in 2015</w:t>
      </w:r>
      <w:r w:rsidR="00494603">
        <w:rPr>
          <w:rFonts w:ascii="Calibri" w:hAnsi="Calibri"/>
        </w:rPr>
        <w:t>–</w:t>
      </w:r>
      <w:r w:rsidR="00494603" w:rsidRPr="00886682">
        <w:t>16</w:t>
      </w:r>
      <w:r w:rsidR="00494603">
        <w:t xml:space="preserve"> were</w:t>
      </w:r>
      <w:r w:rsidRPr="00886682">
        <w:t xml:space="preserve"> in </w:t>
      </w:r>
      <w:r w:rsidR="00494603">
        <w:t xml:space="preserve">the </w:t>
      </w:r>
      <w:r w:rsidRPr="00886682">
        <w:t>Manufacturing (24.6 per cent), W</w:t>
      </w:r>
      <w:r w:rsidR="005F219C">
        <w:t xml:space="preserve">holesale Trade (19.4 per cent), </w:t>
      </w:r>
      <w:r w:rsidRPr="00886682">
        <w:t>or Professional, Scientific &amp; Technical Services (16</w:t>
      </w:r>
      <w:r w:rsidR="00E5620B">
        <w:t>.3 per cent) industries</w:t>
      </w:r>
      <w:r w:rsidRPr="00886682">
        <w:t>. Figure 4.1 compares the NMI industry shares with all (employing) firms in Australia, and illustrates which industries are over or under represented in the NMI client base. NMI clients are overwhelmingly overrepresented in Manufacturing, Wholesale Trade, Professional, Scientific &amp; Technical Services, Electricity, Gas, Water &amp; Waste Services and Mining. NMI clients are marginally overrepresented in the Other Services industry.</w:t>
      </w:r>
    </w:p>
    <w:p w14:paraId="7CBD5017" w14:textId="17AE4945" w:rsidR="005F219C" w:rsidRDefault="005F219C" w:rsidP="003870D8">
      <w:pPr>
        <w:pStyle w:val="CaptionWide"/>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w:t>
      </w:r>
      <w:r w:rsidRPr="000618FB">
        <w:fldChar w:fldCharType="end"/>
      </w:r>
      <w:r>
        <w:t>: NMI and</w:t>
      </w:r>
      <w:r w:rsidR="00E5620B">
        <w:t xml:space="preserve"> all firm industry shares, 2015</w:t>
      </w:r>
      <w:r w:rsidR="00E5620B">
        <w:rPr>
          <w:rFonts w:ascii="Calibri" w:hAnsi="Calibri"/>
        </w:rPr>
        <w:t>–</w:t>
      </w:r>
      <w:r>
        <w:t>16 – Test &amp; Calibration</w:t>
      </w:r>
    </w:p>
    <w:tbl>
      <w:tblPr>
        <w:tblStyle w:val="OCETable"/>
        <w:tblW w:w="6379" w:type="pct"/>
        <w:tblInd w:w="-1877" w:type="dxa"/>
        <w:tblLayout w:type="fixed"/>
        <w:tblCellMar>
          <w:left w:w="0" w:type="dxa"/>
          <w:right w:w="0" w:type="dxa"/>
        </w:tblCellMar>
        <w:tblLook w:val="04A0" w:firstRow="1" w:lastRow="0" w:firstColumn="1" w:lastColumn="0" w:noHBand="0" w:noVBand="1"/>
        <w:tblCaption w:val="Placeholder table"/>
      </w:tblPr>
      <w:tblGrid>
        <w:gridCol w:w="8795"/>
      </w:tblGrid>
      <w:tr w:rsidR="005F219C" w14:paraId="42EFB9F9" w14:textId="77777777" w:rsidTr="00D434F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05B66FE8" w14:textId="595E10A6" w:rsidR="005F219C" w:rsidRDefault="00C0196E" w:rsidP="002570F5">
            <w:pPr>
              <w:pStyle w:val="PlaceholderWide"/>
              <w:ind w:left="-1985"/>
              <w:jc w:val="right"/>
            </w:pPr>
            <w:r>
              <w:rPr>
                <w:noProof/>
                <w:lang w:eastAsia="en-AU"/>
              </w:rPr>
              <w:drawing>
                <wp:inline distT="0" distB="0" distL="0" distR="0" wp14:anchorId="4D26F078" wp14:editId="10679609">
                  <wp:extent cx="5578475" cy="3639820"/>
                  <wp:effectExtent l="0" t="0" r="3175" b="0"/>
                  <wp:docPr id="34" name="Picture 34" descr="Figure 4.1 is a bar chart in descending order from NMI’s (test &amp; calibration clients) highest industry share (wholesale trade) to lowest industry share (information, media and telecommunications) in 2014-15. The second bar on the chart is the all firm industry share to compare with NMI’s industry share. NMI test &amp; calibration clients are overwhelmingly overrepresented in Manufacturing, Wholesale Trade, Professional, Scientific &amp; Technical Services, Electricity, Gas, Water &amp; Waste Services and Mining industries. NMI Clients are marginally overrepresented in the Other Services industry.   " title="Figure 4.1: NMI and all firm industry shares, 2015–16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78475" cy="3639820"/>
                          </a:xfrm>
                          <a:prstGeom prst="rect">
                            <a:avLst/>
                          </a:prstGeom>
                          <a:noFill/>
                        </pic:spPr>
                      </pic:pic>
                    </a:graphicData>
                  </a:graphic>
                </wp:inline>
              </w:drawing>
            </w:r>
          </w:p>
        </w:tc>
      </w:tr>
    </w:tbl>
    <w:p w14:paraId="01BE631F" w14:textId="72231A17" w:rsidR="005F219C" w:rsidRPr="00C62F3A" w:rsidRDefault="005F219C" w:rsidP="003870D8">
      <w:pPr>
        <w:pStyle w:val="NoteWide"/>
      </w:pPr>
      <w:r>
        <w:t>Notes: All firms refers to total employing firms only.</w:t>
      </w:r>
    </w:p>
    <w:p w14:paraId="7FED51AF" w14:textId="4F851F0F" w:rsidR="005F219C" w:rsidRDefault="005F219C" w:rsidP="003870D8">
      <w:pPr>
        <w:pStyle w:val="SourceWide"/>
      </w:pPr>
      <w:r>
        <w:t>Source: Department of Industry, Innovation and Science (2017); ABR (2016); ABS Cat. No. 8165.0, Counts of Australian Businesses, including Entries and Exits, Jun 2012 to Jun 2016</w:t>
      </w:r>
    </w:p>
    <w:p w14:paraId="401CFD9C" w14:textId="4AC20523" w:rsidR="00886682" w:rsidRDefault="00886682" w:rsidP="005F219C">
      <w:pPr>
        <w:pStyle w:val="BodyText"/>
      </w:pPr>
      <w:r w:rsidRPr="00886682">
        <w:t xml:space="preserve">The top five subdivisions represented in the NMI client database include Professional, Scientific &amp; Technical Services (14.5 per cent), Machinery &amp; Equipment Wholesaling (12.9 per cent), Machinery &amp; Equipment Manufacturing (11.6 per cent), Repair &amp; </w:t>
      </w:r>
      <w:r w:rsidR="005F219C" w:rsidRPr="00886682">
        <w:t>Maintenance</w:t>
      </w:r>
      <w:r w:rsidRPr="00886682">
        <w:t xml:space="preserve"> (5.6 per cent) and Food Product Manufacturing (5.6 per cent) (Figure 4.2). </w:t>
      </w:r>
    </w:p>
    <w:p w14:paraId="3E9895FD" w14:textId="385AB1B8" w:rsidR="00D434FA" w:rsidRDefault="00D434FA" w:rsidP="00776AD5">
      <w:pPr>
        <w:pStyle w:val="Caption"/>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2</w:t>
      </w:r>
      <w:r w:rsidRPr="000618FB">
        <w:fldChar w:fldCharType="end"/>
      </w:r>
      <w:r>
        <w:t xml:space="preserve">: </w:t>
      </w:r>
      <w:r w:rsidRPr="008C00B3">
        <w:t>Top five ANZSIC subdivisions, by proportion of NMI cli</w:t>
      </w:r>
      <w:r w:rsidR="00E5620B">
        <w:t>ents, 2015</w:t>
      </w:r>
      <w:r w:rsidR="00E5620B">
        <w:rPr>
          <w:rFonts w:ascii="Calibri" w:hAnsi="Calibri"/>
        </w:rPr>
        <w:t>–</w:t>
      </w:r>
      <w:r w:rsidRPr="008C00B3">
        <w:t>16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D434FA" w14:paraId="7A63620D" w14:textId="77777777" w:rsidTr="00DD6B54">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7EBED7A2" w14:textId="393C252C" w:rsidR="00D434FA" w:rsidRDefault="00C0196E" w:rsidP="00776AD5">
            <w:pPr>
              <w:pStyle w:val="PlaceholderWide"/>
            </w:pPr>
            <w:r>
              <w:rPr>
                <w:noProof/>
                <w:lang w:eastAsia="en-AU"/>
              </w:rPr>
              <w:drawing>
                <wp:inline distT="0" distB="0" distL="0" distR="0" wp14:anchorId="5C883FF6" wp14:editId="785D0C69">
                  <wp:extent cx="4285615" cy="2524125"/>
                  <wp:effectExtent l="0" t="0" r="635" b="9525"/>
                  <wp:docPr id="37" name="Picture 37" descr="Figure 4.2 is a bar chart of the top five ANZSIC subdivisions in descending order: Professional, Scientific &amp; Technical Services followed by Machinery &amp; Equipment Wholesaling followed by Machinery &amp; Equipment Manufacturing followed by Repair Maintenance followed by Food Product Manufacturing.   " title="Figure 4.2: Top five ANZSIC subdivisions, by proportion of NMI clients, 2015–16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5615" cy="2524125"/>
                          </a:xfrm>
                          <a:prstGeom prst="rect">
                            <a:avLst/>
                          </a:prstGeom>
                          <a:noFill/>
                        </pic:spPr>
                      </pic:pic>
                    </a:graphicData>
                  </a:graphic>
                </wp:inline>
              </w:drawing>
            </w:r>
          </w:p>
        </w:tc>
      </w:tr>
    </w:tbl>
    <w:p w14:paraId="3BB5BFD0" w14:textId="673A3C73" w:rsidR="00D434FA" w:rsidRDefault="00D434FA" w:rsidP="00776AD5">
      <w:pPr>
        <w:pStyle w:val="Source"/>
      </w:pPr>
      <w:r>
        <w:t xml:space="preserve">Source: </w:t>
      </w:r>
      <w:r w:rsidRPr="008C00B3">
        <w:t>Department of Industry, Innovation and Science (2017); ABR (2016)</w:t>
      </w:r>
    </w:p>
    <w:p w14:paraId="46342260" w14:textId="0146CA4E" w:rsidR="00886682" w:rsidRPr="00886682" w:rsidRDefault="00886682" w:rsidP="00D434FA">
      <w:pPr>
        <w:pStyle w:val="Heading2"/>
      </w:pPr>
      <w:r w:rsidRPr="00886682">
        <w:t xml:space="preserve">Industry Growth Centres </w:t>
      </w:r>
    </w:p>
    <w:p w14:paraId="591794B1" w14:textId="6AD42067" w:rsidR="00886682" w:rsidRPr="00886682" w:rsidRDefault="00886682" w:rsidP="005F219C">
      <w:pPr>
        <w:pStyle w:val="BodyText"/>
      </w:pPr>
      <w:r w:rsidRPr="00886682">
        <w:t xml:space="preserve">One third of clients (30.1 per cent) are classified </w:t>
      </w:r>
      <w:r w:rsidR="00E5620B">
        <w:t>as a growth sector firm in 2015</w:t>
      </w:r>
      <w:r w:rsidR="00E5620B">
        <w:rPr>
          <w:rFonts w:ascii="Calibri" w:hAnsi="Calibri"/>
        </w:rPr>
        <w:t>–</w:t>
      </w:r>
      <w:r w:rsidRPr="00886682">
        <w:t xml:space="preserve">16, with the majority in the Advanced Manufacturing (15.3 per cent), followed by Food &amp; Agribusiness (7.2 per cent) and Medical Technologies &amp; Pharmaceuticals (6.8 per cent) (Figure 4.3). In </w:t>
      </w:r>
      <w:r w:rsidR="005555D1" w:rsidRPr="00886682">
        <w:t>contrast</w:t>
      </w:r>
      <w:r w:rsidRPr="00886682">
        <w:t>, just 8.7 per cent of firms in the total employing firm population that are classified as a</w:t>
      </w:r>
      <w:r w:rsidR="00E5620B">
        <w:t xml:space="preserve"> growth sector firm in 2015</w:t>
      </w:r>
      <w:r w:rsidR="00E5620B">
        <w:rPr>
          <w:rFonts w:ascii="Calibri" w:hAnsi="Calibri"/>
        </w:rPr>
        <w:t>–</w:t>
      </w:r>
      <w:r w:rsidR="005F219C">
        <w:t>16.</w:t>
      </w:r>
      <w:r w:rsidR="002043D7">
        <w:rPr>
          <w:rStyle w:val="FootnoteReference"/>
        </w:rPr>
        <w:footnoteReference w:id="15"/>
      </w:r>
    </w:p>
    <w:p w14:paraId="78B01FA4" w14:textId="2B376E5B" w:rsidR="00EE74CD" w:rsidRDefault="00886682" w:rsidP="005F219C">
      <w:pPr>
        <w:pStyle w:val="BodyText"/>
      </w:pPr>
      <w:r w:rsidRPr="00886682">
        <w:t xml:space="preserve">Most NMI growth sector clients are in Machinery &amp; Equipment Manufacturing, Food Product </w:t>
      </w:r>
      <w:r w:rsidR="00146A24">
        <w:t>Manufacturing and</w:t>
      </w:r>
      <w:r w:rsidRPr="00886682">
        <w:t xml:space="preserve"> Transport Equipment Manufacturing (Figure 4.4). No growth sector) has particularly high representation in contrast to results for Sample Manager clients in Figure 3.4.</w:t>
      </w:r>
    </w:p>
    <w:p w14:paraId="62FB18B7" w14:textId="77777777" w:rsidR="00EE74CD" w:rsidRDefault="00EE74CD">
      <w:pPr>
        <w:spacing w:after="200" w:line="276" w:lineRule="auto"/>
        <w:ind w:left="0"/>
        <w:jc w:val="left"/>
        <w:rPr>
          <w:rFonts w:asciiTheme="minorHAnsi" w:hAnsiTheme="minorHAnsi"/>
        </w:rPr>
      </w:pPr>
      <w:r>
        <w:br w:type="page"/>
      </w:r>
    </w:p>
    <w:p w14:paraId="48764572" w14:textId="0BCB6E50" w:rsidR="00D434FA" w:rsidRDefault="00D434FA" w:rsidP="00776AD5">
      <w:pPr>
        <w:pStyle w:val="CaptionWide"/>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3</w:t>
      </w:r>
      <w:r w:rsidRPr="000618FB">
        <w:fldChar w:fldCharType="end"/>
      </w:r>
      <w:r>
        <w:t xml:space="preserve">: </w:t>
      </w:r>
      <w:r w:rsidRPr="002977AA">
        <w:t>Share of NMI clients classified as growth sector firms – Test &amp; Calibration</w:t>
      </w:r>
    </w:p>
    <w:tbl>
      <w:tblPr>
        <w:tblStyle w:val="OCETable"/>
        <w:tblW w:w="6379" w:type="pct"/>
        <w:tblInd w:w="-1877" w:type="dxa"/>
        <w:tblLayout w:type="fixed"/>
        <w:tblLook w:val="04A0" w:firstRow="1" w:lastRow="0" w:firstColumn="1" w:lastColumn="0" w:noHBand="0" w:noVBand="1"/>
        <w:tblCaption w:val="Placeholder table"/>
      </w:tblPr>
      <w:tblGrid>
        <w:gridCol w:w="8795"/>
      </w:tblGrid>
      <w:tr w:rsidR="00D434FA" w14:paraId="16140CA3"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7C52F87F" w14:textId="03DEAA8B" w:rsidR="00D434FA" w:rsidRDefault="00C0196E" w:rsidP="00D434FA">
            <w:pPr>
              <w:pStyle w:val="PlaceholderWide"/>
              <w:ind w:left="-1985"/>
              <w:jc w:val="right"/>
            </w:pPr>
            <w:r>
              <w:rPr>
                <w:noProof/>
                <w:lang w:eastAsia="en-AU"/>
              </w:rPr>
              <w:drawing>
                <wp:inline distT="0" distB="0" distL="0" distR="0" wp14:anchorId="0051913A" wp14:editId="0B9E64B5">
                  <wp:extent cx="5541645" cy="2987040"/>
                  <wp:effectExtent l="0" t="0" r="1905" b="3810"/>
                  <wp:docPr id="39" name="Picture 39" descr="Figure 4.3 is a line chart, with 5 lines, one for each growth sector from 2011 to 2016. The majority of growth sector NMI clients are in Food &amp; Agribusiness and Advanced Manufacturing, whereas a very minor share are in the remaining growth sectors – Medical Technologies &amp; Pharmaceuticals, Oil, Gas &amp; Energy Resources and Mining Equipment, Technologies &amp; Services. The share of test &amp; calibration NMI clients in the Advanced Manufacturing and Food &amp; Agribusiness growth sectors has declined slightly over the period, while the other growth sector shares have remained stable over the same period." title="Figure 4.3: Share of NMI clients classified as growth sector firms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1645" cy="2987040"/>
                          </a:xfrm>
                          <a:prstGeom prst="rect">
                            <a:avLst/>
                          </a:prstGeom>
                          <a:noFill/>
                        </pic:spPr>
                      </pic:pic>
                    </a:graphicData>
                  </a:graphic>
                </wp:inline>
              </w:drawing>
            </w:r>
          </w:p>
        </w:tc>
      </w:tr>
    </w:tbl>
    <w:p w14:paraId="1A357D4B" w14:textId="5E0A8D96" w:rsidR="00D434FA" w:rsidRPr="00C62F3A" w:rsidRDefault="00D434FA" w:rsidP="00776AD5">
      <w:pPr>
        <w:pStyle w:val="NoteWide"/>
      </w:pPr>
      <w:r>
        <w:t xml:space="preserve">Notes: A small amount of firms appear in more than one growth sector. </w:t>
      </w:r>
      <w:r w:rsidR="00E5620B">
        <w:t xml:space="preserve">Financial years are rounded up </w:t>
      </w:r>
      <w:r w:rsidR="00E5620B">
        <w:rPr>
          <w:rFonts w:ascii="Calibri" w:hAnsi="Calibri"/>
        </w:rPr>
        <w:t>—</w:t>
      </w:r>
      <w:r>
        <w:t xml:space="preserve"> i.e. y</w:t>
      </w:r>
      <w:r w:rsidR="00E5620B">
        <w:t>ear 2015 is financial year 2014</w:t>
      </w:r>
      <w:r w:rsidR="00E5620B">
        <w:rPr>
          <w:rFonts w:ascii="Calibri" w:hAnsi="Calibri"/>
        </w:rPr>
        <w:t>–</w:t>
      </w:r>
      <w:r>
        <w:t>15.</w:t>
      </w:r>
    </w:p>
    <w:p w14:paraId="111462F1" w14:textId="0A47165B" w:rsidR="00D434FA" w:rsidRDefault="00D434FA" w:rsidP="00776AD5">
      <w:pPr>
        <w:pStyle w:val="SourceWide"/>
      </w:pPr>
      <w:r>
        <w:t xml:space="preserve">Source: </w:t>
      </w:r>
      <w:r w:rsidRPr="002977AA">
        <w:t>Department of Industry, Innovation and Science (2017); ABR (2016); ABS Statistics Cat. No. 8170.0 Characteristics of Businesses in Selected Gro</w:t>
      </w:r>
      <w:r>
        <w:t>wth Centres, Australia, 2</w:t>
      </w:r>
      <w:r w:rsidR="00E5620B">
        <w:t>013</w:t>
      </w:r>
      <w:r w:rsidR="00E5620B">
        <w:rPr>
          <w:rFonts w:ascii="Calibri" w:hAnsi="Calibri"/>
        </w:rPr>
        <w:t>–</w:t>
      </w:r>
      <w:r>
        <w:t>14</w:t>
      </w:r>
    </w:p>
    <w:p w14:paraId="50A7B39D" w14:textId="1518682D" w:rsidR="00D434FA" w:rsidRDefault="00D434FA" w:rsidP="00776AD5">
      <w:pPr>
        <w:pStyle w:val="CaptionWide"/>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4</w:t>
      </w:r>
      <w:r w:rsidRPr="000618FB">
        <w:fldChar w:fldCharType="end"/>
      </w:r>
      <w:r>
        <w:t>: Share of NMI clients in top three</w:t>
      </w:r>
      <w:r w:rsidRPr="002D3AB4">
        <w:t xml:space="preserve"> g</w:t>
      </w:r>
      <w:r w:rsidR="00E5620B">
        <w:t>rowth sector subdivisions, 2015</w:t>
      </w:r>
      <w:r w:rsidR="00E5620B">
        <w:rPr>
          <w:rFonts w:ascii="Calibri" w:hAnsi="Calibri"/>
        </w:rPr>
        <w:t>–</w:t>
      </w:r>
      <w:r w:rsidRPr="002D3AB4">
        <w:t>16 – Test &amp; Calibration</w:t>
      </w:r>
    </w:p>
    <w:tbl>
      <w:tblPr>
        <w:tblStyle w:val="OCETable"/>
        <w:tblW w:w="6379" w:type="pct"/>
        <w:tblInd w:w="-1877" w:type="dxa"/>
        <w:tblLayout w:type="fixed"/>
        <w:tblLook w:val="04A0" w:firstRow="1" w:lastRow="0" w:firstColumn="1" w:lastColumn="0" w:noHBand="0" w:noVBand="1"/>
        <w:tblCaption w:val="Placeholder table"/>
      </w:tblPr>
      <w:tblGrid>
        <w:gridCol w:w="8795"/>
      </w:tblGrid>
      <w:tr w:rsidR="00D434FA" w14:paraId="0E43E4DE"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4CA26D32" w14:textId="1C0C38FB" w:rsidR="00D434FA" w:rsidRDefault="00C0196E" w:rsidP="00D434FA">
            <w:pPr>
              <w:pStyle w:val="PlaceholderWide"/>
              <w:ind w:left="-1985"/>
              <w:jc w:val="right"/>
            </w:pPr>
            <w:r>
              <w:rPr>
                <w:noProof/>
                <w:lang w:eastAsia="en-AU"/>
              </w:rPr>
              <w:drawing>
                <wp:inline distT="0" distB="0" distL="0" distR="0" wp14:anchorId="62BA34F7" wp14:editId="420206A7">
                  <wp:extent cx="5553710" cy="2627630"/>
                  <wp:effectExtent l="0" t="0" r="8890" b="1270"/>
                  <wp:docPr id="40" name="Picture 40" descr="Figure 4.4 is a bar chart of the top three growth sector ANZSIC subdivisions in descending order: Machinery &amp; Equipment Manufacturing, Food Product Manufacturing and Transport Equipment Manufacturing. " title="Figure 4.4: Share of NMI clients in top three growth sector subdivisions, 2015–16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3710" cy="2627630"/>
                          </a:xfrm>
                          <a:prstGeom prst="rect">
                            <a:avLst/>
                          </a:prstGeom>
                          <a:noFill/>
                        </pic:spPr>
                      </pic:pic>
                    </a:graphicData>
                  </a:graphic>
                </wp:inline>
              </w:drawing>
            </w:r>
          </w:p>
        </w:tc>
      </w:tr>
    </w:tbl>
    <w:p w14:paraId="5DAFD9FC" w14:textId="430887F9" w:rsidR="00D434FA" w:rsidRPr="00C62F3A" w:rsidRDefault="00D434FA" w:rsidP="00776AD5">
      <w:pPr>
        <w:pStyle w:val="NoteWide"/>
      </w:pPr>
      <w:r>
        <w:t xml:space="preserve">Notes: </w:t>
      </w:r>
      <w:r w:rsidRPr="00886682">
        <w:rPr>
          <w:rFonts w:asciiTheme="minorHAnsi" w:hAnsiTheme="minorHAnsi"/>
        </w:rPr>
        <w:t>A small amount of firms appear in more than one growth sector.</w:t>
      </w:r>
    </w:p>
    <w:p w14:paraId="3E4A815F" w14:textId="7D1CBA16" w:rsidR="00D434FA" w:rsidRDefault="00D434FA" w:rsidP="00776AD5">
      <w:pPr>
        <w:pStyle w:val="SourceWide"/>
      </w:pPr>
      <w:r>
        <w:t xml:space="preserve">Source: </w:t>
      </w:r>
      <w:r w:rsidRPr="002D3AB4">
        <w:t>Department of Industry, Innovation and Science (2017); ABR (2016); ABS Cat. No. 8170.0 Characteristics of Businesses in Selected Gro</w:t>
      </w:r>
      <w:r w:rsidR="00E5620B">
        <w:t>wth Centres, Australia, 2013</w:t>
      </w:r>
      <w:r w:rsidR="00E5620B">
        <w:rPr>
          <w:rFonts w:ascii="Calibri" w:hAnsi="Calibri"/>
        </w:rPr>
        <w:t>–</w:t>
      </w:r>
      <w:r>
        <w:t>14</w:t>
      </w:r>
    </w:p>
    <w:p w14:paraId="0642306B" w14:textId="20AD07B7" w:rsidR="00886682" w:rsidRPr="00886682" w:rsidRDefault="00886682" w:rsidP="00911B2C">
      <w:pPr>
        <w:pStyle w:val="Heading2"/>
      </w:pPr>
      <w:r w:rsidRPr="00886682">
        <w:lastRenderedPageBreak/>
        <w:t xml:space="preserve">Intellectual Property </w:t>
      </w:r>
    </w:p>
    <w:p w14:paraId="34481D10" w14:textId="1259E19B" w:rsidR="00886682" w:rsidRDefault="00E5620B" w:rsidP="00911B2C">
      <w:pPr>
        <w:pStyle w:val="BodyText"/>
      </w:pPr>
      <w:r>
        <w:t>In 2014</w:t>
      </w:r>
      <w:r>
        <w:rPr>
          <w:rFonts w:ascii="Calibri" w:hAnsi="Calibri"/>
        </w:rPr>
        <w:t>–</w:t>
      </w:r>
      <w:r w:rsidR="00886682" w:rsidRPr="00886682">
        <w:t>15, 10.8 per cent of NMI clients filed trade mark applications and 2.9</w:t>
      </w:r>
      <w:r w:rsidR="00C56221">
        <w:t> </w:t>
      </w:r>
      <w:r w:rsidR="00886682" w:rsidRPr="00886682">
        <w:t>per</w:t>
      </w:r>
      <w:r w:rsidR="00C56221">
        <w:t> </w:t>
      </w:r>
      <w:r w:rsidR="00886682" w:rsidRPr="00886682">
        <w:t xml:space="preserve">cent of NMI clients filed patent applications. Figure 4.5 shows these shares have declined over time. </w:t>
      </w:r>
    </w:p>
    <w:p w14:paraId="57A08B79" w14:textId="0778A149" w:rsidR="00911B2C" w:rsidRDefault="00911B2C" w:rsidP="003870D8">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5</w:t>
      </w:r>
      <w:r w:rsidRPr="000618FB">
        <w:fldChar w:fldCharType="end"/>
      </w:r>
      <w:r>
        <w:t>: Share of NMI clients filing for trade marks or patents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11B2C" w14:paraId="184F0ACB" w14:textId="77777777" w:rsidTr="00D434F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513812A" w14:textId="18176ADA" w:rsidR="00911B2C" w:rsidRDefault="00C0196E" w:rsidP="003870D8">
            <w:pPr>
              <w:pStyle w:val="PlaceholderWide"/>
            </w:pPr>
            <w:r>
              <w:rPr>
                <w:noProof/>
                <w:lang w:eastAsia="en-AU"/>
              </w:rPr>
              <w:drawing>
                <wp:inline distT="0" distB="0" distL="0" distR="0" wp14:anchorId="766A611E" wp14:editId="36D18821">
                  <wp:extent cx="4212590" cy="2700655"/>
                  <wp:effectExtent l="0" t="0" r="0" b="4445"/>
                  <wp:docPr id="41" name="Picture 41" descr="Figure 4.5 is a line chart, with two lines, each showing the share of test &amp; calibration NMI clients filing for trade marks or patents between 2008 and 2015. The top line is the proportion of NMI clients who have filed for trade marks and the bottom line is the proportion of NMI clients who have filed for patents between 2008 and 2015. These shares have both declined over time, in a very similar rate." title="Figure 4.5: Share of NMI clients filing for trade marks or patents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12590" cy="2700655"/>
                          </a:xfrm>
                          <a:prstGeom prst="rect">
                            <a:avLst/>
                          </a:prstGeom>
                          <a:noFill/>
                        </pic:spPr>
                      </pic:pic>
                    </a:graphicData>
                  </a:graphic>
                </wp:inline>
              </w:drawing>
            </w:r>
          </w:p>
        </w:tc>
      </w:tr>
    </w:tbl>
    <w:p w14:paraId="2B5DBBC1" w14:textId="229923E7" w:rsidR="00911B2C" w:rsidRPr="00C62F3A" w:rsidRDefault="00911B2C" w:rsidP="003870D8">
      <w:pPr>
        <w:pStyle w:val="Note"/>
      </w:pPr>
      <w:r>
        <w:t xml:space="preserve">Notes: These are patent applicants or trade mark applicants, not applications. </w:t>
      </w:r>
      <w:r w:rsidR="00E5620B">
        <w:t xml:space="preserve">Financial years are rounded up </w:t>
      </w:r>
      <w:r w:rsidR="00E5620B">
        <w:rPr>
          <w:rFonts w:ascii="Calibri" w:hAnsi="Calibri"/>
        </w:rPr>
        <w:t>—</w:t>
      </w:r>
      <w:r>
        <w:t xml:space="preserve"> i.e. y</w:t>
      </w:r>
      <w:r w:rsidR="00E5620B">
        <w:t>ear 2015 is financial year 2014</w:t>
      </w:r>
      <w:r w:rsidR="00E5620B">
        <w:rPr>
          <w:rFonts w:ascii="Calibri" w:hAnsi="Calibri"/>
        </w:rPr>
        <w:t>–</w:t>
      </w:r>
      <w:r>
        <w:t>15.</w:t>
      </w:r>
    </w:p>
    <w:p w14:paraId="45F8A2D2" w14:textId="1AFA580F" w:rsidR="00911B2C" w:rsidRDefault="00911B2C" w:rsidP="003870D8">
      <w:pPr>
        <w:pStyle w:val="Source"/>
      </w:pPr>
      <w:r>
        <w:t>Source: Department of Industry, Innovation and Science (2017); IPGOD 2017</w:t>
      </w:r>
    </w:p>
    <w:p w14:paraId="50BF0E7C" w14:textId="47FA01C3" w:rsidR="00886682" w:rsidRDefault="00886682" w:rsidP="00911B2C">
      <w:pPr>
        <w:pStyle w:val="BodyText"/>
      </w:pPr>
      <w:r w:rsidRPr="00886682">
        <w:t xml:space="preserve">Figure 4.6 and Figure 4.7 compare IP filing activity between NMI clients and firms in similar industries. NMI clients consistently outperform firms in Manufacturing, Wholesale Trade and PST in filing for patents and trade marks. </w:t>
      </w:r>
    </w:p>
    <w:p w14:paraId="18CF96E2" w14:textId="341C81D8" w:rsidR="00911B2C" w:rsidRDefault="00911B2C" w:rsidP="003870D8">
      <w:pPr>
        <w:pStyle w:val="Caption"/>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6</w:t>
      </w:r>
      <w:r w:rsidRPr="000618FB">
        <w:fldChar w:fldCharType="end"/>
      </w:r>
      <w:r>
        <w:t>: Share of NMI clients, innovative-active firms and industries filing for patents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11B2C" w14:paraId="0C066A2A" w14:textId="77777777" w:rsidTr="00D434F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6EDC145F" w14:textId="597F2B3F" w:rsidR="00911B2C" w:rsidRDefault="00C0196E" w:rsidP="003870D8">
            <w:pPr>
              <w:pStyle w:val="PlaceholderWide"/>
            </w:pPr>
            <w:r>
              <w:rPr>
                <w:noProof/>
                <w:lang w:eastAsia="en-AU"/>
              </w:rPr>
              <w:drawing>
                <wp:inline distT="0" distB="0" distL="0" distR="0" wp14:anchorId="07083D1B" wp14:editId="1614B5EF">
                  <wp:extent cx="4261485" cy="2524125"/>
                  <wp:effectExtent l="0" t="0" r="5715" b="9525"/>
                  <wp:docPr id="44" name="Picture 44" descr="Figure 4.6 is a line chart, with 5 lines, each showing the share of firms filing for patents in 5 distinct groups (in order of highest patent filing activity to lowest) from 2008 to 2015: innovative-active firms, test &amp; calibration NMI client firms, Manufacturing firms, Whole Trade firms and Professional, Scientific &amp; Technical Services firms. The share of NMI’s clients filing for patents has declined over time, similarly for innovative-active firms as well. The share of firms filing for patents has remained relatively constant for Manufacturing firms, PST firms and Wholesale Trade firms.  " title="Figure 4.6: Share of NMI clients, innovative-active firms and industries filing for patents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1485" cy="2524125"/>
                          </a:xfrm>
                          <a:prstGeom prst="rect">
                            <a:avLst/>
                          </a:prstGeom>
                          <a:noFill/>
                        </pic:spPr>
                      </pic:pic>
                    </a:graphicData>
                  </a:graphic>
                </wp:inline>
              </w:drawing>
            </w:r>
          </w:p>
        </w:tc>
      </w:tr>
    </w:tbl>
    <w:p w14:paraId="6D23853A" w14:textId="0E315244" w:rsidR="00911B2C" w:rsidRPr="00C62F3A" w:rsidRDefault="00911B2C" w:rsidP="003870D8">
      <w:pPr>
        <w:pStyle w:val="Note"/>
      </w:pPr>
      <w:r>
        <w:t>Notes: Financial years are rounded up – i.e. y</w:t>
      </w:r>
      <w:r w:rsidR="00E5620B">
        <w:t>ear 2015 is financial year 2014</w:t>
      </w:r>
      <w:r w:rsidR="00E5620B">
        <w:rPr>
          <w:rFonts w:ascii="Calibri" w:hAnsi="Calibri"/>
        </w:rPr>
        <w:t>–</w:t>
      </w:r>
      <w:r>
        <w:t>15.</w:t>
      </w:r>
    </w:p>
    <w:p w14:paraId="06BAF637" w14:textId="62817A28" w:rsidR="00911B2C" w:rsidRDefault="00911B2C" w:rsidP="003870D8">
      <w:pPr>
        <w:pStyle w:val="Source"/>
      </w:pPr>
      <w:r>
        <w:t xml:space="preserve">Source: Department of Industry, Innovation and Science (2017); IPGOD (2017); </w:t>
      </w:r>
      <w:r w:rsidRPr="0094570A">
        <w:t xml:space="preserve">ABS </w:t>
      </w:r>
      <w:r>
        <w:t>Cat. No. 8158</w:t>
      </w:r>
      <w:r w:rsidRPr="0094570A">
        <w:t xml:space="preserve">.0 </w:t>
      </w:r>
      <w:r>
        <w:t>Innovati</w:t>
      </w:r>
      <w:r w:rsidR="00E5620B">
        <w:t>on in Australian Business, 2014</w:t>
      </w:r>
      <w:r w:rsidR="00E5620B">
        <w:rPr>
          <w:rFonts w:ascii="Calibri" w:hAnsi="Calibri"/>
        </w:rPr>
        <w:t>–</w:t>
      </w:r>
      <w:r>
        <w:t>15</w:t>
      </w:r>
    </w:p>
    <w:p w14:paraId="586AB427" w14:textId="3F0E78BE" w:rsidR="00911B2C" w:rsidRDefault="00911B2C" w:rsidP="003870D8">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7</w:t>
      </w:r>
      <w:r w:rsidRPr="000618FB">
        <w:fldChar w:fldCharType="end"/>
      </w:r>
      <w:r>
        <w:t>: Share of NMI clients, innovative-active firms and indu</w:t>
      </w:r>
      <w:r w:rsidR="00E5620B">
        <w:t xml:space="preserve">stries filing for trade marks  </w:t>
      </w:r>
      <w:r w:rsidR="00E5620B">
        <w:rPr>
          <w:rFonts w:ascii="Calibri" w:hAnsi="Calibri"/>
        </w:rPr>
        <w:t>—</w:t>
      </w:r>
      <w:r>
        <w:t xml:space="preserve">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11B2C" w14:paraId="396A344F" w14:textId="77777777" w:rsidTr="00D434F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108E2D3D" w14:textId="7729E6E5" w:rsidR="00911B2C" w:rsidRDefault="00C0196E" w:rsidP="003870D8">
            <w:pPr>
              <w:pStyle w:val="PlaceholderWide"/>
            </w:pPr>
            <w:r>
              <w:rPr>
                <w:noProof/>
                <w:lang w:eastAsia="en-AU"/>
              </w:rPr>
              <w:drawing>
                <wp:inline distT="0" distB="0" distL="0" distR="0" wp14:anchorId="10463F68" wp14:editId="38AE84D1">
                  <wp:extent cx="4285615" cy="2524125"/>
                  <wp:effectExtent l="0" t="0" r="635" b="9525"/>
                  <wp:docPr id="46" name="Picture 46" descr="Figure 4.7 is a line chart, with 5 lines, each showing the share of firms filing for trade marks in 5 distinct groups (in order of highest patent filing activity to lowest) from 2008 to 2015: innovative-active firms, test &amp; calibration NMI client firms, , Wholesale Trade firms, Manufacturing firms and Professional, Scientific &amp; Technical Services firms. These proportions have been fairly consistent over time. The share of NMI’s clients filing for trade marks has declined over time, but has stayed relatively constant for innovative-active firms, Manufacturing firms, PST firms and Wholesale Trade firms. " title="Figure 4.7: Share of NMI clients, innovative-active firms and industries filing for trade marks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5615" cy="2524125"/>
                          </a:xfrm>
                          <a:prstGeom prst="rect">
                            <a:avLst/>
                          </a:prstGeom>
                          <a:noFill/>
                        </pic:spPr>
                      </pic:pic>
                    </a:graphicData>
                  </a:graphic>
                </wp:inline>
              </w:drawing>
            </w:r>
          </w:p>
        </w:tc>
      </w:tr>
    </w:tbl>
    <w:p w14:paraId="3A65888D" w14:textId="3B249AB6" w:rsidR="00911B2C" w:rsidRPr="00C62F3A" w:rsidRDefault="00911B2C" w:rsidP="003870D8">
      <w:pPr>
        <w:pStyle w:val="Note"/>
      </w:pPr>
      <w:r>
        <w:t xml:space="preserve">Notes: </w:t>
      </w:r>
      <w:r w:rsidR="00E5620B">
        <w:t xml:space="preserve">Financial years are rounded up </w:t>
      </w:r>
      <w:r w:rsidR="00E5620B">
        <w:rPr>
          <w:rFonts w:ascii="Calibri" w:hAnsi="Calibri"/>
        </w:rPr>
        <w:t>—</w:t>
      </w:r>
      <w:r>
        <w:t xml:space="preserve"> i.e. y</w:t>
      </w:r>
      <w:r w:rsidR="00E5620B">
        <w:t>ear 2015 is financial year 2014</w:t>
      </w:r>
      <w:r w:rsidR="00E5620B">
        <w:rPr>
          <w:rFonts w:ascii="Calibri" w:hAnsi="Calibri"/>
        </w:rPr>
        <w:t>–</w:t>
      </w:r>
      <w:r>
        <w:t>15. The innovative-active firm population includes registration of copyright and trademarks.</w:t>
      </w:r>
    </w:p>
    <w:p w14:paraId="6434587F" w14:textId="123B8054" w:rsidR="00911B2C" w:rsidRDefault="00911B2C" w:rsidP="003870D8">
      <w:pPr>
        <w:pStyle w:val="Source"/>
      </w:pPr>
      <w:r>
        <w:t xml:space="preserve">Source: Department of Industry, Innovation and Science (2017); IPGOD 2017; </w:t>
      </w:r>
      <w:r w:rsidRPr="0094570A">
        <w:t xml:space="preserve">ABS </w:t>
      </w:r>
      <w:r>
        <w:t>Cat. No. 8158</w:t>
      </w:r>
      <w:r w:rsidRPr="0094570A">
        <w:t xml:space="preserve">.0 </w:t>
      </w:r>
      <w:r>
        <w:t>Innovati</w:t>
      </w:r>
      <w:r w:rsidR="00E5620B">
        <w:t>on in Australian Business, 2014</w:t>
      </w:r>
      <w:r w:rsidR="00E5620B">
        <w:rPr>
          <w:rFonts w:ascii="Calibri" w:hAnsi="Calibri"/>
        </w:rPr>
        <w:t>–</w:t>
      </w:r>
      <w:r w:rsidR="00E5620B">
        <w:t>15</w:t>
      </w:r>
    </w:p>
    <w:p w14:paraId="41D4C6C6" w14:textId="77777777" w:rsidR="00911B2C" w:rsidRDefault="00886682" w:rsidP="00911B2C">
      <w:pPr>
        <w:pStyle w:val="BodyText"/>
      </w:pPr>
      <w:r w:rsidRPr="00886682">
        <w:t>Amongst IP-active NMI clients, Professional, Scientific &amp; Technical Services, Public Administration and Basic Chemical &amp; Chemical Product Manufacturing subdivisions have the highest shares of IP-active clients (11.</w:t>
      </w:r>
      <w:r w:rsidR="00911B2C">
        <w:t xml:space="preserve">3 per cent each) (Figure 4.8). </w:t>
      </w:r>
    </w:p>
    <w:p w14:paraId="1DE7D6D1" w14:textId="02812784" w:rsidR="00D434FA" w:rsidRDefault="00D434FA" w:rsidP="00776AD5">
      <w:pPr>
        <w:pStyle w:val="Caption"/>
      </w:pPr>
      <w:r>
        <w:lastRenderedPageBreak/>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8</w:t>
      </w:r>
      <w:r w:rsidRPr="000618FB">
        <w:fldChar w:fldCharType="end"/>
      </w:r>
      <w:r>
        <w:t xml:space="preserve">: </w:t>
      </w:r>
      <w:r w:rsidRPr="006940F0">
        <w:t>Share of NMI IP-active client</w:t>
      </w:r>
      <w:r w:rsidR="00E5620B">
        <w:t>s, top three subdivisions, 2014</w:t>
      </w:r>
      <w:r w:rsidR="00E5620B">
        <w:rPr>
          <w:rFonts w:ascii="Calibri" w:hAnsi="Calibri"/>
        </w:rPr>
        <w:t>–</w:t>
      </w:r>
      <w:r w:rsidRPr="006940F0">
        <w:t>15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D434FA" w14:paraId="52E280CF" w14:textId="77777777" w:rsidTr="00A9667A">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6228D0E3" w14:textId="76248204" w:rsidR="00D434FA" w:rsidRDefault="00C0196E" w:rsidP="00D434FA">
            <w:pPr>
              <w:pStyle w:val="PlaceholderWide"/>
            </w:pPr>
            <w:r>
              <w:rPr>
                <w:noProof/>
                <w:lang w:eastAsia="en-AU"/>
              </w:rPr>
              <w:drawing>
                <wp:inline distT="0" distB="0" distL="0" distR="0" wp14:anchorId="5B88A81D" wp14:editId="403F7A44">
                  <wp:extent cx="4255135" cy="2524125"/>
                  <wp:effectExtent l="0" t="0" r="0" b="9525"/>
                  <wp:docPr id="47" name="Picture 47" descr="Figure 4.8 is a bar chart of the top three IP-active ANZSIC subdivisions in descending order in 2014-15: Professional, Scientific &amp; Technical Services followed by Public Administration followed by Basic Chemical &amp; Chemical Product Manufacturing." title="Figure 4.8: Share of NMI IP-active clients, top three subdivisions, 2014–15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55135" cy="2524125"/>
                          </a:xfrm>
                          <a:prstGeom prst="rect">
                            <a:avLst/>
                          </a:prstGeom>
                          <a:noFill/>
                        </pic:spPr>
                      </pic:pic>
                    </a:graphicData>
                  </a:graphic>
                </wp:inline>
              </w:drawing>
            </w:r>
          </w:p>
        </w:tc>
      </w:tr>
    </w:tbl>
    <w:p w14:paraId="1DA0D270" w14:textId="2111F1C3" w:rsidR="003F7785" w:rsidRDefault="003F7785" w:rsidP="003F7785">
      <w:pPr>
        <w:pStyle w:val="Note"/>
      </w:pPr>
      <w:r>
        <w:t>Notes: *</w:t>
      </w:r>
      <w:r w:rsidR="00F477EC">
        <w:t xml:space="preserve">Except computer system design and related services </w:t>
      </w:r>
    </w:p>
    <w:p w14:paraId="4D2EE91C" w14:textId="26DEFBB5" w:rsidR="00D434FA" w:rsidRDefault="00D434FA" w:rsidP="00776AD5">
      <w:pPr>
        <w:pStyle w:val="Source"/>
      </w:pPr>
      <w:r>
        <w:t xml:space="preserve">Source: </w:t>
      </w:r>
      <w:r w:rsidRPr="006940F0">
        <w:t>Department of Industry, Innovation and Science (2017); IPGOD (2017); ABR (2016)</w:t>
      </w:r>
    </w:p>
    <w:p w14:paraId="45AFB408" w14:textId="51047B74" w:rsidR="00886682" w:rsidRPr="00886682" w:rsidRDefault="00886682" w:rsidP="00D434FA">
      <w:pPr>
        <w:pStyle w:val="Heading2"/>
      </w:pPr>
      <w:r w:rsidRPr="00886682">
        <w:t xml:space="preserve">R&amp;D Registrations </w:t>
      </w:r>
    </w:p>
    <w:p w14:paraId="009A69B5" w14:textId="105A06B7" w:rsidR="00886682" w:rsidRDefault="00886682" w:rsidP="00911B2C">
      <w:pPr>
        <w:pStyle w:val="BodyText"/>
      </w:pPr>
      <w:r w:rsidRPr="00886682">
        <w:t>I</w:t>
      </w:r>
      <w:r w:rsidR="00E5620B">
        <w:t>n 2014</w:t>
      </w:r>
      <w:r w:rsidR="00E5620B">
        <w:rPr>
          <w:rFonts w:ascii="Calibri" w:hAnsi="Calibri"/>
        </w:rPr>
        <w:t>–</w:t>
      </w:r>
      <w:r w:rsidRPr="00886682">
        <w:t xml:space="preserve">15, 11.8 per cent (34 firms) of NMI clients </w:t>
      </w:r>
      <w:r w:rsidR="005338C6">
        <w:t>were R&amp;D-active</w:t>
      </w:r>
      <w:r w:rsidRPr="00886682">
        <w:t xml:space="preserve"> (Figure 4.9). This share fell sharply in </w:t>
      </w:r>
      <w:r w:rsidR="00E5620B">
        <w:t>and continued to fall from 2010</w:t>
      </w:r>
      <w:r w:rsidR="00E5620B">
        <w:rPr>
          <w:rFonts w:ascii="Calibri" w:hAnsi="Calibri"/>
        </w:rPr>
        <w:t>–</w:t>
      </w:r>
      <w:r w:rsidRPr="00886682">
        <w:t xml:space="preserve">11, the year in which the R&amp;D Tax Concession (RDTC) programme transitioned to the R&amp;D Tax Incentive programme. This fall may be due to the R&amp;D Tax Incentive targeting smaller firms to engage in R&amp;D, however this programme transition has not affected firms in Manufacturing, Wholesale Trade and PST industries. </w:t>
      </w:r>
    </w:p>
    <w:p w14:paraId="032B9E7B" w14:textId="694DA1DD" w:rsidR="00911B2C" w:rsidRDefault="00911B2C" w:rsidP="003870D8">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9</w:t>
      </w:r>
      <w:r w:rsidRPr="000618FB">
        <w:fldChar w:fldCharType="end"/>
      </w:r>
      <w:r w:rsidRPr="00911B2C">
        <w:t xml:space="preserve"> </w:t>
      </w:r>
      <w:r>
        <w:t xml:space="preserve">R&amp;D-active share of NMI clients and R&amp;D-active share of selected industries – Test &amp; Calibration </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911B2C" w14:paraId="26A9C633" w14:textId="77777777" w:rsidTr="005C4C87">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3B6B83BD" w14:textId="471B8987" w:rsidR="00911B2C" w:rsidRDefault="00C0196E" w:rsidP="003870D8">
            <w:pPr>
              <w:pStyle w:val="PlaceholderWide"/>
            </w:pPr>
            <w:r>
              <w:rPr>
                <w:noProof/>
                <w:lang w:eastAsia="en-AU"/>
              </w:rPr>
              <w:drawing>
                <wp:anchor distT="0" distB="0" distL="114300" distR="114300" simplePos="0" relativeHeight="251659265" behindDoc="0" locked="0" layoutInCell="1" allowOverlap="1" wp14:anchorId="200876C4" wp14:editId="6E50B404">
                  <wp:simplePos x="0" y="0"/>
                  <wp:positionH relativeFrom="column">
                    <wp:posOffset>29882</wp:posOffset>
                  </wp:positionH>
                  <wp:positionV relativeFrom="paragraph">
                    <wp:posOffset>448</wp:posOffset>
                  </wp:positionV>
                  <wp:extent cx="4261485" cy="2524125"/>
                  <wp:effectExtent l="0" t="0" r="5715" b="9525"/>
                  <wp:wrapTopAndBottom/>
                  <wp:docPr id="48" name="Picture 48" descr="Figure 4.9 is a line chart, with 4 lines, each showing the share of firms that are R&amp;D-active in 4 distinct groups (in descending order of most R&amp;D active) from 2008 to 2014: test &amp; calibration NMI client firms, Manufacturing firms, Professional Scientific &amp; Technical Services (PST) firms and Wholesale Trade firms. While the share of R&amp;D-active firms has generally been increasing for firms in Manufacturing, Wholesale Trade and PST industries, this has not been the case for test &amp; calibration NMI clients –their share of R&amp;D-active clients has fallen over time." title="Figure 4.9 R&amp;D-active share of NMI clients and R&amp;D-active share of selected industries – Test &amp; Calib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1485" cy="2524125"/>
                          </a:xfrm>
                          <a:prstGeom prst="rect">
                            <a:avLst/>
                          </a:prstGeom>
                          <a:noFill/>
                        </pic:spPr>
                      </pic:pic>
                    </a:graphicData>
                  </a:graphic>
                </wp:anchor>
              </w:drawing>
            </w:r>
          </w:p>
        </w:tc>
      </w:tr>
    </w:tbl>
    <w:p w14:paraId="5A256985" w14:textId="52DF6179" w:rsidR="00911B2C" w:rsidRPr="00C62F3A" w:rsidRDefault="00911B2C" w:rsidP="003870D8">
      <w:pPr>
        <w:pStyle w:val="Note"/>
      </w:pPr>
      <w:r>
        <w:t>Notes: Financial years are rounded up – i.e. y</w:t>
      </w:r>
      <w:r w:rsidR="00E5620B">
        <w:t>ear 2015 is financial year 2014</w:t>
      </w:r>
      <w:r w:rsidR="00E5620B">
        <w:rPr>
          <w:rFonts w:ascii="Calibri" w:hAnsi="Calibri"/>
        </w:rPr>
        <w:t>–</w:t>
      </w:r>
      <w:r>
        <w:t>15</w:t>
      </w:r>
    </w:p>
    <w:p w14:paraId="684DE8BC" w14:textId="74A0E48C" w:rsidR="00911B2C" w:rsidRDefault="00911B2C" w:rsidP="003870D8">
      <w:pPr>
        <w:pStyle w:val="Source"/>
      </w:pPr>
      <w:r>
        <w:t xml:space="preserve">Source: </w:t>
      </w:r>
      <w:r w:rsidR="00A226AB">
        <w:t>Department of Industry, Innovation and Science</w:t>
      </w:r>
      <w:r>
        <w:t xml:space="preserve"> (2017)</w:t>
      </w:r>
    </w:p>
    <w:p w14:paraId="4A7D51E5" w14:textId="082A43EE" w:rsidR="00886682" w:rsidRDefault="00886682" w:rsidP="00A226AB">
      <w:pPr>
        <w:pStyle w:val="BodyText"/>
      </w:pPr>
      <w:r w:rsidRPr="00886682">
        <w:lastRenderedPageBreak/>
        <w:t xml:space="preserve">Amongst R&amp;D-active NMI clients, the Professional, Scientific &amp; Technical Services subdivision contains the highest share (26.5 per cent) followed by the Machinery &amp; Equipment Manufacturing (20.6 per cent) and the Machinery &amp; Equipment Wholesaling (20.6 per cent) subdivisions. Grocery, Liquor &amp; Tobacco Product Wholesaling (12.7 per cent), Basic Chemical &amp; Chemical Product Manufacturing (8.8 per cent) and Basic Material Wholesaling (5.9 per cent) (Figure 4.10). </w:t>
      </w:r>
    </w:p>
    <w:p w14:paraId="1F78048D" w14:textId="572955FA" w:rsidR="00A226AB" w:rsidRDefault="00A226AB" w:rsidP="003870D8">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10</w:t>
      </w:r>
      <w:r w:rsidRPr="000618FB">
        <w:fldChar w:fldCharType="end"/>
      </w:r>
      <w:r>
        <w:t xml:space="preserve">: </w:t>
      </w:r>
      <w:r w:rsidRPr="006C3036">
        <w:t xml:space="preserve">Share of </w:t>
      </w:r>
      <w:r>
        <w:t>NMI R&amp;D-active clients, top three</w:t>
      </w:r>
      <w:r w:rsidR="00E5620B">
        <w:t xml:space="preserve"> subdivisions, 2014</w:t>
      </w:r>
      <w:r w:rsidR="00E5620B">
        <w:rPr>
          <w:rFonts w:ascii="Calibri" w:hAnsi="Calibri"/>
        </w:rPr>
        <w:t>–</w:t>
      </w:r>
      <w:r w:rsidRPr="006C3036">
        <w:t>15</w:t>
      </w:r>
      <w:r>
        <w:t xml:space="preserve">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A226AB" w14:paraId="4C713AA6" w14:textId="77777777" w:rsidTr="005C4C87">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5A5365B2" w14:textId="36831685" w:rsidR="00A226AB" w:rsidRDefault="00642D51" w:rsidP="003870D8">
            <w:pPr>
              <w:pStyle w:val="PlaceholderWide"/>
            </w:pPr>
            <w:r w:rsidRPr="00642D51">
              <w:rPr>
                <w:noProof/>
                <w:lang w:eastAsia="en-AU"/>
              </w:rPr>
              <w:drawing>
                <wp:inline distT="0" distB="0" distL="0" distR="0" wp14:anchorId="5E812909" wp14:editId="52F6CA70">
                  <wp:extent cx="4321810" cy="2519045"/>
                  <wp:effectExtent l="0" t="0" r="2540" b="0"/>
                  <wp:docPr id="52" name="Picture 52" descr="Figure 4.10 is a bar chart of the top three R&amp;D -active ANZSIC subdivisions in descending order in 2014-15: Professional, Scientific and Technical Services followed by Machinery &amp; Equipment Manufacturing followed by Machinery &amp; Equipment Wholesaling.  Grocery, Liquor &amp; Tobacco Product Wholesaling followed by Basic Chemical &amp; Chemical Product Manufacturing followed by Basic Material Wholesaling." title="Figure 4.10: Share of NMI R&amp;D-active clients, top three subdivisions, 2014–15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EAS\Business Functions\Visual Analytics\Projects\Research Papers\An analysis of NMI's client base-Angelina\4.10 Bar charts.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21810" cy="2519045"/>
                          </a:xfrm>
                          <a:prstGeom prst="rect">
                            <a:avLst/>
                          </a:prstGeom>
                          <a:noFill/>
                          <a:ln>
                            <a:noFill/>
                          </a:ln>
                        </pic:spPr>
                      </pic:pic>
                    </a:graphicData>
                  </a:graphic>
                </wp:inline>
              </w:drawing>
            </w:r>
          </w:p>
        </w:tc>
      </w:tr>
    </w:tbl>
    <w:p w14:paraId="2EE3DC1B" w14:textId="4C324B0D" w:rsidR="00A226AB" w:rsidRPr="00C62F3A" w:rsidRDefault="00A226AB" w:rsidP="003870D8">
      <w:pPr>
        <w:pStyle w:val="Note"/>
      </w:pPr>
      <w:r>
        <w:t>Notes: *Except Computer System Design and Related Services</w:t>
      </w:r>
    </w:p>
    <w:p w14:paraId="767FBD90" w14:textId="47CC4381" w:rsidR="00A226AB" w:rsidRDefault="00A226AB" w:rsidP="003870D8">
      <w:pPr>
        <w:pStyle w:val="Source"/>
      </w:pPr>
      <w:r>
        <w:t>Source: Department of Industry, Innovation and Science (2017); ABR (2016)</w:t>
      </w:r>
    </w:p>
    <w:p w14:paraId="26F24094" w14:textId="5309528C" w:rsidR="00886682" w:rsidRPr="00886682" w:rsidRDefault="00886682" w:rsidP="00A226AB">
      <w:pPr>
        <w:pStyle w:val="Heading2"/>
      </w:pPr>
      <w:r w:rsidRPr="00886682">
        <w:t>Expenditure on R&amp;D</w:t>
      </w:r>
    </w:p>
    <w:p w14:paraId="36A42B22" w14:textId="0C1250C8" w:rsidR="00886682" w:rsidRDefault="00886682" w:rsidP="00A226AB">
      <w:pPr>
        <w:pStyle w:val="BodyText"/>
      </w:pPr>
      <w:r w:rsidRPr="00886682">
        <w:t>Table 4.1 compares median and mean R&amp;D expenditure between NMI clients and all firms registered for the</w:t>
      </w:r>
      <w:r w:rsidR="00E5620B">
        <w:t xml:space="preserve"> R&amp;D Tax Incentive between 2011</w:t>
      </w:r>
      <w:r w:rsidR="00E5620B">
        <w:rPr>
          <w:rFonts w:ascii="Calibri" w:hAnsi="Calibri"/>
        </w:rPr>
        <w:t>–</w:t>
      </w:r>
      <w:r w:rsidR="00E5620B">
        <w:t>12 and 2014</w:t>
      </w:r>
      <w:r w:rsidR="00E5620B">
        <w:rPr>
          <w:rFonts w:ascii="Calibri" w:hAnsi="Calibri"/>
        </w:rPr>
        <w:t>–</w:t>
      </w:r>
      <w:r w:rsidRPr="00886682">
        <w:t xml:space="preserve">15. The average (mean) NMI client spends significantly more on R&amp;D (four times) than the average firm in every year of the RDTI programme. This is also true for the middle (median) NMI client against the middle firm in the RDTI programme. </w:t>
      </w:r>
    </w:p>
    <w:p w14:paraId="1DAE9544" w14:textId="00808B9B" w:rsidR="00A226AB" w:rsidRDefault="00A226AB" w:rsidP="003870D8">
      <w:pPr>
        <w:pStyle w:val="CaptionWide"/>
      </w:pPr>
      <w:r w:rsidRPr="000618FB">
        <w:t xml:space="preserve">Table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00B177DE">
        <w:rPr>
          <w:noProof/>
        </w:rPr>
        <w:fldChar w:fldCharType="begin"/>
      </w:r>
      <w:r w:rsidR="00B177DE">
        <w:rPr>
          <w:noProof/>
        </w:rPr>
        <w:instrText xml:space="preserve"> SEQ Table \* ARABIC \s 1 </w:instrText>
      </w:r>
      <w:r w:rsidR="00B177DE">
        <w:rPr>
          <w:noProof/>
        </w:rPr>
        <w:fldChar w:fldCharType="separate"/>
      </w:r>
      <w:r w:rsidR="00C871E1">
        <w:rPr>
          <w:noProof/>
        </w:rPr>
        <w:t>1</w:t>
      </w:r>
      <w:r w:rsidR="00B177DE">
        <w:rPr>
          <w:noProof/>
        </w:rPr>
        <w:fldChar w:fldCharType="end"/>
      </w:r>
      <w:r>
        <w:t>: Median &amp; Mean R&amp;D expenditure (thousands), NMI clients and all firms – Test &amp; Calibration</w:t>
      </w:r>
    </w:p>
    <w:tbl>
      <w:tblPr>
        <w:tblStyle w:val="OCETable"/>
        <w:tblW w:w="6250" w:type="pct"/>
        <w:tblInd w:w="-1877" w:type="dxa"/>
        <w:tblLayout w:type="fixed"/>
        <w:tblLook w:val="04A0" w:firstRow="1" w:lastRow="0" w:firstColumn="1" w:lastColumn="0" w:noHBand="0" w:noVBand="1"/>
        <w:tblCaption w:val="Table 4.1"/>
        <w:tblDescription w:val=" Median &amp; Mean R&amp;D expenditure (thousands), NMI clients and all firms – Test &amp; Calibration"/>
      </w:tblPr>
      <w:tblGrid>
        <w:gridCol w:w="1722"/>
        <w:gridCol w:w="1724"/>
        <w:gridCol w:w="1724"/>
        <w:gridCol w:w="1724"/>
        <w:gridCol w:w="1724"/>
      </w:tblGrid>
      <w:tr w:rsidR="00A226AB" w14:paraId="2F82F84B" w14:textId="77777777" w:rsidTr="005B4497">
        <w:trPr>
          <w:cnfStyle w:val="100000000000" w:firstRow="1" w:lastRow="0" w:firstColumn="0" w:lastColumn="0" w:oddVBand="0" w:evenVBand="0" w:oddHBand="0" w:evenHBand="0" w:firstRowFirstColumn="0" w:firstRowLastColumn="0" w:lastRowFirstColumn="0" w:lastRowLastColumn="0"/>
          <w:trHeight w:val="480"/>
          <w:tblHeader/>
        </w:trPr>
        <w:tc>
          <w:tcPr>
            <w:tcW w:w="1131" w:type="dxa"/>
          </w:tcPr>
          <w:p w14:paraId="62D71D36" w14:textId="77777777" w:rsidR="00A226AB" w:rsidRDefault="00A226AB" w:rsidP="00A226AB">
            <w:pPr>
              <w:pStyle w:val="Tableheadertext"/>
              <w:rPr>
                <w:lang w:eastAsia="en-AU"/>
              </w:rPr>
            </w:pPr>
            <w:r>
              <w:rPr>
                <w:lang w:eastAsia="en-AU"/>
              </w:rPr>
              <w:t>Year</w:t>
            </w:r>
          </w:p>
        </w:tc>
        <w:tc>
          <w:tcPr>
            <w:tcW w:w="2264" w:type="dxa"/>
            <w:gridSpan w:val="2"/>
          </w:tcPr>
          <w:p w14:paraId="71888C70" w14:textId="77777777" w:rsidR="00A226AB" w:rsidRDefault="00A226AB" w:rsidP="00A226AB">
            <w:pPr>
              <w:pStyle w:val="Tableheadertext"/>
              <w:jc w:val="right"/>
              <w:rPr>
                <w:lang w:eastAsia="en-AU"/>
              </w:rPr>
            </w:pPr>
            <w:r>
              <w:rPr>
                <w:lang w:eastAsia="en-AU"/>
              </w:rPr>
              <w:t xml:space="preserve">Median </w:t>
            </w:r>
          </w:p>
        </w:tc>
        <w:tc>
          <w:tcPr>
            <w:tcW w:w="1132" w:type="dxa"/>
          </w:tcPr>
          <w:p w14:paraId="1E808D24" w14:textId="77777777" w:rsidR="00A226AB" w:rsidRDefault="00A226AB" w:rsidP="00A226AB">
            <w:pPr>
              <w:pStyle w:val="Tableheadertext"/>
              <w:jc w:val="right"/>
              <w:rPr>
                <w:lang w:eastAsia="en-AU"/>
              </w:rPr>
            </w:pPr>
          </w:p>
        </w:tc>
        <w:tc>
          <w:tcPr>
            <w:tcW w:w="1132" w:type="dxa"/>
          </w:tcPr>
          <w:p w14:paraId="44B359A5" w14:textId="77777777" w:rsidR="00A226AB" w:rsidRDefault="00A226AB" w:rsidP="00A226AB">
            <w:pPr>
              <w:pStyle w:val="Tableheadertext"/>
              <w:jc w:val="right"/>
              <w:rPr>
                <w:lang w:eastAsia="en-AU"/>
              </w:rPr>
            </w:pPr>
            <w:r>
              <w:rPr>
                <w:lang w:eastAsia="en-AU"/>
              </w:rPr>
              <w:t>Mean</w:t>
            </w:r>
          </w:p>
        </w:tc>
      </w:tr>
      <w:tr w:rsidR="00A226AB" w:rsidRPr="00475854" w14:paraId="0273637F" w14:textId="77777777" w:rsidTr="00A226AB">
        <w:trPr>
          <w:cnfStyle w:val="000000100000" w:firstRow="0" w:lastRow="0" w:firstColumn="0" w:lastColumn="0" w:oddVBand="0" w:evenVBand="0" w:oddHBand="1" w:evenHBand="0" w:firstRowFirstColumn="0" w:firstRowLastColumn="0" w:lastRowFirstColumn="0" w:lastRowLastColumn="0"/>
          <w:trHeight w:val="272"/>
        </w:trPr>
        <w:tc>
          <w:tcPr>
            <w:tcW w:w="1131" w:type="dxa"/>
            <w:noWrap/>
          </w:tcPr>
          <w:p w14:paraId="4E7C178F" w14:textId="77777777" w:rsidR="00A226AB" w:rsidRPr="00475854" w:rsidRDefault="00A226AB" w:rsidP="00A226AB">
            <w:pPr>
              <w:pStyle w:val="Tablebodytext"/>
              <w:rPr>
                <w:lang w:eastAsia="en-AU"/>
              </w:rPr>
            </w:pPr>
          </w:p>
        </w:tc>
        <w:tc>
          <w:tcPr>
            <w:tcW w:w="1132" w:type="dxa"/>
            <w:noWrap/>
          </w:tcPr>
          <w:p w14:paraId="09A09947" w14:textId="77777777" w:rsidR="00A226AB" w:rsidRPr="00475854" w:rsidRDefault="00A226AB" w:rsidP="00A226AB">
            <w:pPr>
              <w:pStyle w:val="Tablebodytext"/>
              <w:jc w:val="right"/>
              <w:rPr>
                <w:lang w:eastAsia="en-AU"/>
              </w:rPr>
            </w:pPr>
            <w:r w:rsidRPr="00A40E08">
              <w:rPr>
                <w:lang w:eastAsia="en-AU"/>
              </w:rPr>
              <w:t>NMI</w:t>
            </w:r>
          </w:p>
        </w:tc>
        <w:tc>
          <w:tcPr>
            <w:tcW w:w="1132" w:type="dxa"/>
            <w:noWrap/>
          </w:tcPr>
          <w:p w14:paraId="7124E17A" w14:textId="77777777" w:rsidR="00A226AB" w:rsidRPr="00475854" w:rsidRDefault="00A226AB" w:rsidP="00A226AB">
            <w:pPr>
              <w:pStyle w:val="Tablebodytext"/>
              <w:jc w:val="right"/>
              <w:rPr>
                <w:lang w:eastAsia="en-AU"/>
              </w:rPr>
            </w:pPr>
            <w:r w:rsidRPr="00A40E08">
              <w:rPr>
                <w:lang w:eastAsia="en-AU"/>
              </w:rPr>
              <w:t xml:space="preserve">All firms </w:t>
            </w:r>
          </w:p>
        </w:tc>
        <w:tc>
          <w:tcPr>
            <w:tcW w:w="1132" w:type="dxa"/>
          </w:tcPr>
          <w:p w14:paraId="2EEAF75D" w14:textId="77777777" w:rsidR="00A226AB" w:rsidRPr="00475854" w:rsidRDefault="00A226AB" w:rsidP="00A226AB">
            <w:pPr>
              <w:pStyle w:val="Tablebodytext"/>
              <w:jc w:val="right"/>
              <w:rPr>
                <w:lang w:eastAsia="en-AU"/>
              </w:rPr>
            </w:pPr>
            <w:r w:rsidRPr="00A40E08">
              <w:rPr>
                <w:lang w:eastAsia="en-AU"/>
              </w:rPr>
              <w:t>NMI</w:t>
            </w:r>
          </w:p>
        </w:tc>
        <w:tc>
          <w:tcPr>
            <w:tcW w:w="1132" w:type="dxa"/>
          </w:tcPr>
          <w:p w14:paraId="07206FF3" w14:textId="77777777" w:rsidR="00A226AB" w:rsidRPr="00475854" w:rsidRDefault="00A226AB" w:rsidP="00A226AB">
            <w:pPr>
              <w:pStyle w:val="Tablebodytext"/>
              <w:jc w:val="right"/>
              <w:rPr>
                <w:lang w:eastAsia="en-AU"/>
              </w:rPr>
            </w:pPr>
            <w:r w:rsidRPr="00A40E08">
              <w:rPr>
                <w:lang w:eastAsia="en-AU"/>
              </w:rPr>
              <w:t xml:space="preserve">All firms </w:t>
            </w:r>
          </w:p>
        </w:tc>
      </w:tr>
      <w:tr w:rsidR="00A226AB" w:rsidRPr="00A40E08" w14:paraId="70262E00" w14:textId="77777777" w:rsidTr="00A226AB">
        <w:trPr>
          <w:cnfStyle w:val="000000010000" w:firstRow="0" w:lastRow="0" w:firstColumn="0" w:lastColumn="0" w:oddVBand="0" w:evenVBand="0" w:oddHBand="0" w:evenHBand="1" w:firstRowFirstColumn="0" w:firstRowLastColumn="0" w:lastRowFirstColumn="0" w:lastRowLastColumn="0"/>
          <w:trHeight w:val="272"/>
        </w:trPr>
        <w:tc>
          <w:tcPr>
            <w:tcW w:w="1131" w:type="dxa"/>
            <w:noWrap/>
          </w:tcPr>
          <w:p w14:paraId="1FBCA4AE" w14:textId="7548620C" w:rsidR="00A226AB" w:rsidRPr="00475854" w:rsidRDefault="002570F5" w:rsidP="00A226AB">
            <w:pPr>
              <w:pStyle w:val="Tablebodytext"/>
              <w:rPr>
                <w:lang w:eastAsia="en-AU"/>
              </w:rPr>
            </w:pPr>
            <w:r>
              <w:rPr>
                <w:lang w:eastAsia="en-AU"/>
              </w:rPr>
              <w:t>2011</w:t>
            </w:r>
            <w:r>
              <w:rPr>
                <w:rFonts w:ascii="Calibri" w:hAnsi="Calibri"/>
                <w:lang w:eastAsia="en-AU"/>
              </w:rPr>
              <w:t>–</w:t>
            </w:r>
            <w:r w:rsidR="00A226AB">
              <w:rPr>
                <w:lang w:eastAsia="en-AU"/>
              </w:rPr>
              <w:t>12</w:t>
            </w:r>
          </w:p>
        </w:tc>
        <w:tc>
          <w:tcPr>
            <w:tcW w:w="1132" w:type="dxa"/>
            <w:noWrap/>
          </w:tcPr>
          <w:p w14:paraId="23065AC4" w14:textId="77777777" w:rsidR="00A226AB" w:rsidRPr="00475854" w:rsidRDefault="00A226AB" w:rsidP="00A226AB">
            <w:pPr>
              <w:pStyle w:val="Tablebodytext"/>
              <w:jc w:val="right"/>
              <w:rPr>
                <w:lang w:eastAsia="en-AU"/>
              </w:rPr>
            </w:pPr>
            <w:r>
              <w:rPr>
                <w:lang w:eastAsia="en-AU"/>
              </w:rPr>
              <w:t>2,045</w:t>
            </w:r>
          </w:p>
        </w:tc>
        <w:tc>
          <w:tcPr>
            <w:tcW w:w="1132" w:type="dxa"/>
            <w:noWrap/>
          </w:tcPr>
          <w:p w14:paraId="45D4DA7C" w14:textId="77777777" w:rsidR="00A226AB" w:rsidRPr="00475854" w:rsidRDefault="00A226AB" w:rsidP="00A226AB">
            <w:pPr>
              <w:pStyle w:val="Tablebodytext"/>
              <w:jc w:val="right"/>
              <w:rPr>
                <w:lang w:eastAsia="en-AU"/>
              </w:rPr>
            </w:pPr>
            <w:r w:rsidRPr="00475854">
              <w:rPr>
                <w:lang w:eastAsia="en-AU"/>
              </w:rPr>
              <w:t>350</w:t>
            </w:r>
          </w:p>
        </w:tc>
        <w:tc>
          <w:tcPr>
            <w:tcW w:w="1132" w:type="dxa"/>
          </w:tcPr>
          <w:p w14:paraId="11CE9341" w14:textId="77777777" w:rsidR="00A226AB" w:rsidRPr="00A40E08" w:rsidRDefault="00A226AB" w:rsidP="00A226AB">
            <w:pPr>
              <w:pStyle w:val="Tablebodytext"/>
              <w:jc w:val="right"/>
              <w:rPr>
                <w:lang w:eastAsia="en-AU"/>
              </w:rPr>
            </w:pPr>
            <w:r>
              <w:rPr>
                <w:lang w:eastAsia="en-AU"/>
              </w:rPr>
              <w:t>9,978</w:t>
            </w:r>
          </w:p>
        </w:tc>
        <w:tc>
          <w:tcPr>
            <w:tcW w:w="1132" w:type="dxa"/>
          </w:tcPr>
          <w:p w14:paraId="3CF3CDAD" w14:textId="77777777" w:rsidR="00A226AB" w:rsidRPr="00A40E08" w:rsidRDefault="00A226AB" w:rsidP="00A226AB">
            <w:pPr>
              <w:pStyle w:val="Tablebodytext"/>
              <w:jc w:val="right"/>
              <w:rPr>
                <w:lang w:eastAsia="en-AU"/>
              </w:rPr>
            </w:pPr>
            <w:r w:rsidRPr="00A40E08">
              <w:rPr>
                <w:lang w:eastAsia="en-AU"/>
              </w:rPr>
              <w:t>2</w:t>
            </w:r>
            <w:r>
              <w:rPr>
                <w:lang w:eastAsia="en-AU"/>
              </w:rPr>
              <w:t>,</w:t>
            </w:r>
            <w:r w:rsidRPr="00A40E08">
              <w:rPr>
                <w:lang w:eastAsia="en-AU"/>
              </w:rPr>
              <w:t>099</w:t>
            </w:r>
          </w:p>
        </w:tc>
      </w:tr>
      <w:tr w:rsidR="00A226AB" w:rsidRPr="00A40E08" w14:paraId="7C6B9E7F" w14:textId="77777777" w:rsidTr="00A226AB">
        <w:trPr>
          <w:cnfStyle w:val="000000100000" w:firstRow="0" w:lastRow="0" w:firstColumn="0" w:lastColumn="0" w:oddVBand="0" w:evenVBand="0" w:oddHBand="1" w:evenHBand="0" w:firstRowFirstColumn="0" w:firstRowLastColumn="0" w:lastRowFirstColumn="0" w:lastRowLastColumn="0"/>
          <w:trHeight w:val="272"/>
        </w:trPr>
        <w:tc>
          <w:tcPr>
            <w:tcW w:w="1131" w:type="dxa"/>
            <w:noWrap/>
            <w:hideMark/>
          </w:tcPr>
          <w:p w14:paraId="03BFB322" w14:textId="02B4B0C1" w:rsidR="00A226AB" w:rsidRPr="00475854" w:rsidRDefault="002570F5" w:rsidP="00A226AB">
            <w:pPr>
              <w:pStyle w:val="Tablebodytext"/>
              <w:rPr>
                <w:lang w:eastAsia="en-AU"/>
              </w:rPr>
            </w:pPr>
            <w:r>
              <w:rPr>
                <w:lang w:eastAsia="en-AU"/>
              </w:rPr>
              <w:t>2012</w:t>
            </w:r>
            <w:r>
              <w:rPr>
                <w:rFonts w:ascii="Calibri" w:hAnsi="Calibri"/>
                <w:lang w:eastAsia="en-AU"/>
              </w:rPr>
              <w:t>–</w:t>
            </w:r>
            <w:r w:rsidR="00A226AB">
              <w:rPr>
                <w:lang w:eastAsia="en-AU"/>
              </w:rPr>
              <w:t>13</w:t>
            </w:r>
          </w:p>
        </w:tc>
        <w:tc>
          <w:tcPr>
            <w:tcW w:w="1132" w:type="dxa"/>
            <w:noWrap/>
            <w:hideMark/>
          </w:tcPr>
          <w:p w14:paraId="6C47E003" w14:textId="77777777" w:rsidR="00A226AB" w:rsidRPr="00475854" w:rsidRDefault="00A226AB" w:rsidP="00A226AB">
            <w:pPr>
              <w:pStyle w:val="Tablebodytext"/>
              <w:jc w:val="right"/>
              <w:rPr>
                <w:lang w:eastAsia="en-AU"/>
              </w:rPr>
            </w:pPr>
            <w:r>
              <w:rPr>
                <w:lang w:eastAsia="en-AU"/>
              </w:rPr>
              <w:t>1,209</w:t>
            </w:r>
          </w:p>
        </w:tc>
        <w:tc>
          <w:tcPr>
            <w:tcW w:w="1132" w:type="dxa"/>
            <w:noWrap/>
            <w:hideMark/>
          </w:tcPr>
          <w:p w14:paraId="1C69C9EE" w14:textId="77777777" w:rsidR="00A226AB" w:rsidRPr="00475854" w:rsidRDefault="00A226AB" w:rsidP="00A226AB">
            <w:pPr>
              <w:pStyle w:val="Tablebodytext"/>
              <w:jc w:val="right"/>
              <w:rPr>
                <w:lang w:eastAsia="en-AU"/>
              </w:rPr>
            </w:pPr>
            <w:r w:rsidRPr="00A40E08">
              <w:rPr>
                <w:lang w:eastAsia="en-AU"/>
              </w:rPr>
              <w:t>336</w:t>
            </w:r>
          </w:p>
        </w:tc>
        <w:tc>
          <w:tcPr>
            <w:tcW w:w="1132" w:type="dxa"/>
          </w:tcPr>
          <w:p w14:paraId="2174663C" w14:textId="77777777" w:rsidR="00A226AB" w:rsidRPr="00A40E08" w:rsidRDefault="00A226AB" w:rsidP="00A226AB">
            <w:pPr>
              <w:pStyle w:val="Tablebodytext"/>
              <w:jc w:val="right"/>
              <w:rPr>
                <w:lang w:eastAsia="en-AU"/>
              </w:rPr>
            </w:pPr>
            <w:r>
              <w:rPr>
                <w:lang w:eastAsia="en-AU"/>
              </w:rPr>
              <w:t>10,764</w:t>
            </w:r>
          </w:p>
        </w:tc>
        <w:tc>
          <w:tcPr>
            <w:tcW w:w="1132" w:type="dxa"/>
          </w:tcPr>
          <w:p w14:paraId="0982DD2C" w14:textId="77777777" w:rsidR="00A226AB" w:rsidRPr="00A40E08" w:rsidRDefault="00A226AB" w:rsidP="00A226AB">
            <w:pPr>
              <w:pStyle w:val="Tablebodytext"/>
              <w:jc w:val="right"/>
              <w:rPr>
                <w:lang w:eastAsia="en-AU"/>
              </w:rPr>
            </w:pPr>
            <w:r w:rsidRPr="00A40E08">
              <w:rPr>
                <w:lang w:eastAsia="en-AU"/>
              </w:rPr>
              <w:t>1</w:t>
            </w:r>
            <w:r>
              <w:rPr>
                <w:lang w:eastAsia="en-AU"/>
              </w:rPr>
              <w:t>,</w:t>
            </w:r>
            <w:r w:rsidRPr="00A40E08">
              <w:rPr>
                <w:lang w:eastAsia="en-AU"/>
              </w:rPr>
              <w:t>976</w:t>
            </w:r>
          </w:p>
        </w:tc>
      </w:tr>
      <w:tr w:rsidR="00A226AB" w:rsidRPr="00A40E08" w14:paraId="5121DC56" w14:textId="77777777" w:rsidTr="00A226AB">
        <w:trPr>
          <w:cnfStyle w:val="000000010000" w:firstRow="0" w:lastRow="0" w:firstColumn="0" w:lastColumn="0" w:oddVBand="0" w:evenVBand="0" w:oddHBand="0" w:evenHBand="1" w:firstRowFirstColumn="0" w:firstRowLastColumn="0" w:lastRowFirstColumn="0" w:lastRowLastColumn="0"/>
          <w:trHeight w:val="272"/>
        </w:trPr>
        <w:tc>
          <w:tcPr>
            <w:tcW w:w="1131" w:type="dxa"/>
            <w:noWrap/>
            <w:hideMark/>
          </w:tcPr>
          <w:p w14:paraId="47AC7336" w14:textId="0C1D5672" w:rsidR="00A226AB" w:rsidRPr="00475854" w:rsidRDefault="002570F5" w:rsidP="00A226AB">
            <w:pPr>
              <w:pStyle w:val="Tablebodytext"/>
              <w:rPr>
                <w:lang w:eastAsia="en-AU"/>
              </w:rPr>
            </w:pPr>
            <w:r>
              <w:rPr>
                <w:lang w:eastAsia="en-AU"/>
              </w:rPr>
              <w:t>2013</w:t>
            </w:r>
            <w:r>
              <w:rPr>
                <w:rFonts w:ascii="Calibri" w:hAnsi="Calibri"/>
                <w:lang w:eastAsia="en-AU"/>
              </w:rPr>
              <w:t>–</w:t>
            </w:r>
            <w:r w:rsidR="00A226AB">
              <w:rPr>
                <w:lang w:eastAsia="en-AU"/>
              </w:rPr>
              <w:t>14</w:t>
            </w:r>
          </w:p>
        </w:tc>
        <w:tc>
          <w:tcPr>
            <w:tcW w:w="1132" w:type="dxa"/>
            <w:noWrap/>
            <w:hideMark/>
          </w:tcPr>
          <w:p w14:paraId="3DCCA8DF" w14:textId="77777777" w:rsidR="00A226AB" w:rsidRPr="00475854" w:rsidRDefault="00A226AB" w:rsidP="00A226AB">
            <w:pPr>
              <w:pStyle w:val="Tablebodytext"/>
              <w:jc w:val="right"/>
              <w:rPr>
                <w:lang w:eastAsia="en-AU"/>
              </w:rPr>
            </w:pPr>
            <w:r>
              <w:rPr>
                <w:lang w:eastAsia="en-AU"/>
              </w:rPr>
              <w:t>1,390</w:t>
            </w:r>
          </w:p>
        </w:tc>
        <w:tc>
          <w:tcPr>
            <w:tcW w:w="1132" w:type="dxa"/>
            <w:noWrap/>
            <w:hideMark/>
          </w:tcPr>
          <w:p w14:paraId="6F774D13" w14:textId="77777777" w:rsidR="00A226AB" w:rsidRPr="00475854" w:rsidRDefault="00A226AB" w:rsidP="00A226AB">
            <w:pPr>
              <w:pStyle w:val="Tablebodytext"/>
              <w:jc w:val="right"/>
              <w:rPr>
                <w:lang w:eastAsia="en-AU"/>
              </w:rPr>
            </w:pPr>
            <w:r w:rsidRPr="00A40E08">
              <w:rPr>
                <w:lang w:eastAsia="en-AU"/>
              </w:rPr>
              <w:t>312</w:t>
            </w:r>
          </w:p>
        </w:tc>
        <w:tc>
          <w:tcPr>
            <w:tcW w:w="1132" w:type="dxa"/>
          </w:tcPr>
          <w:p w14:paraId="4ED4B87B" w14:textId="77777777" w:rsidR="00A226AB" w:rsidRPr="00A40E08" w:rsidRDefault="00A226AB" w:rsidP="00A226AB">
            <w:pPr>
              <w:pStyle w:val="Tablebodytext"/>
              <w:jc w:val="right"/>
              <w:rPr>
                <w:lang w:eastAsia="en-AU"/>
              </w:rPr>
            </w:pPr>
            <w:r>
              <w:rPr>
                <w:lang w:eastAsia="en-AU"/>
              </w:rPr>
              <w:t>6,748</w:t>
            </w:r>
          </w:p>
        </w:tc>
        <w:tc>
          <w:tcPr>
            <w:tcW w:w="1132" w:type="dxa"/>
          </w:tcPr>
          <w:p w14:paraId="51B613C9" w14:textId="77777777" w:rsidR="00A226AB" w:rsidRPr="00A40E08" w:rsidRDefault="00A226AB" w:rsidP="00A226AB">
            <w:pPr>
              <w:pStyle w:val="Tablebodytext"/>
              <w:jc w:val="right"/>
              <w:rPr>
                <w:lang w:eastAsia="en-AU"/>
              </w:rPr>
            </w:pPr>
            <w:r w:rsidRPr="00A40E08">
              <w:rPr>
                <w:lang w:eastAsia="en-AU"/>
              </w:rPr>
              <w:t>1</w:t>
            </w:r>
            <w:r>
              <w:rPr>
                <w:lang w:eastAsia="en-AU"/>
              </w:rPr>
              <w:t>,</w:t>
            </w:r>
            <w:r w:rsidRPr="00A40E08">
              <w:rPr>
                <w:lang w:eastAsia="en-AU"/>
              </w:rPr>
              <w:t>638</w:t>
            </w:r>
          </w:p>
        </w:tc>
      </w:tr>
      <w:tr w:rsidR="00A226AB" w:rsidRPr="00A40E08" w14:paraId="22815D79" w14:textId="77777777" w:rsidTr="00A226AB">
        <w:trPr>
          <w:cnfStyle w:val="000000100000" w:firstRow="0" w:lastRow="0" w:firstColumn="0" w:lastColumn="0" w:oddVBand="0" w:evenVBand="0" w:oddHBand="1" w:evenHBand="0" w:firstRowFirstColumn="0" w:firstRowLastColumn="0" w:lastRowFirstColumn="0" w:lastRowLastColumn="0"/>
          <w:trHeight w:val="272"/>
        </w:trPr>
        <w:tc>
          <w:tcPr>
            <w:tcW w:w="1131" w:type="dxa"/>
            <w:noWrap/>
            <w:hideMark/>
          </w:tcPr>
          <w:p w14:paraId="1B0EB2AD" w14:textId="20AEDEF2" w:rsidR="00A226AB" w:rsidRPr="00475854" w:rsidRDefault="002570F5" w:rsidP="00A226AB">
            <w:pPr>
              <w:pStyle w:val="Tablebodytext"/>
              <w:rPr>
                <w:lang w:eastAsia="en-AU"/>
              </w:rPr>
            </w:pPr>
            <w:r>
              <w:rPr>
                <w:lang w:eastAsia="en-AU"/>
              </w:rPr>
              <w:t>2014</w:t>
            </w:r>
            <w:r>
              <w:rPr>
                <w:rFonts w:ascii="Calibri" w:hAnsi="Calibri"/>
                <w:lang w:eastAsia="en-AU"/>
              </w:rPr>
              <w:t>–</w:t>
            </w:r>
            <w:r w:rsidR="00A226AB">
              <w:rPr>
                <w:lang w:eastAsia="en-AU"/>
              </w:rPr>
              <w:t>15</w:t>
            </w:r>
          </w:p>
        </w:tc>
        <w:tc>
          <w:tcPr>
            <w:tcW w:w="1132" w:type="dxa"/>
            <w:noWrap/>
            <w:hideMark/>
          </w:tcPr>
          <w:p w14:paraId="1DE94BC0" w14:textId="77777777" w:rsidR="00A226AB" w:rsidRPr="00475854" w:rsidRDefault="00A226AB" w:rsidP="00A226AB">
            <w:pPr>
              <w:pStyle w:val="Tablebodytext"/>
              <w:jc w:val="right"/>
              <w:rPr>
                <w:lang w:eastAsia="en-AU"/>
              </w:rPr>
            </w:pPr>
            <w:r>
              <w:rPr>
                <w:lang w:eastAsia="en-AU"/>
              </w:rPr>
              <w:t>1,764</w:t>
            </w:r>
          </w:p>
        </w:tc>
        <w:tc>
          <w:tcPr>
            <w:tcW w:w="1132" w:type="dxa"/>
            <w:noWrap/>
            <w:hideMark/>
          </w:tcPr>
          <w:p w14:paraId="1A0BC15F" w14:textId="77777777" w:rsidR="00A226AB" w:rsidRPr="00475854" w:rsidRDefault="00A226AB" w:rsidP="00A226AB">
            <w:pPr>
              <w:pStyle w:val="Tablebodytext"/>
              <w:jc w:val="right"/>
              <w:rPr>
                <w:lang w:eastAsia="en-AU"/>
              </w:rPr>
            </w:pPr>
            <w:r w:rsidRPr="00475854">
              <w:rPr>
                <w:lang w:eastAsia="en-AU"/>
              </w:rPr>
              <w:t>300</w:t>
            </w:r>
          </w:p>
        </w:tc>
        <w:tc>
          <w:tcPr>
            <w:tcW w:w="1132" w:type="dxa"/>
          </w:tcPr>
          <w:p w14:paraId="50060AF7" w14:textId="77777777" w:rsidR="00A226AB" w:rsidRPr="00A40E08" w:rsidRDefault="00A226AB" w:rsidP="00A226AB">
            <w:pPr>
              <w:pStyle w:val="Tablebodytext"/>
              <w:jc w:val="right"/>
              <w:rPr>
                <w:lang w:eastAsia="en-AU"/>
              </w:rPr>
            </w:pPr>
            <w:r>
              <w:rPr>
                <w:lang w:eastAsia="en-AU"/>
              </w:rPr>
              <w:t>11,941</w:t>
            </w:r>
          </w:p>
        </w:tc>
        <w:tc>
          <w:tcPr>
            <w:tcW w:w="1132" w:type="dxa"/>
          </w:tcPr>
          <w:p w14:paraId="12DF7B14" w14:textId="77777777" w:rsidR="00A226AB" w:rsidRPr="00A40E08" w:rsidRDefault="00A226AB" w:rsidP="00A226AB">
            <w:pPr>
              <w:pStyle w:val="Tablebodytext"/>
              <w:jc w:val="right"/>
              <w:rPr>
                <w:lang w:eastAsia="en-AU"/>
              </w:rPr>
            </w:pPr>
            <w:r w:rsidRPr="00A40E08">
              <w:rPr>
                <w:lang w:eastAsia="en-AU"/>
              </w:rPr>
              <w:t>1</w:t>
            </w:r>
            <w:r>
              <w:rPr>
                <w:lang w:eastAsia="en-AU"/>
              </w:rPr>
              <w:t>,</w:t>
            </w:r>
            <w:r w:rsidRPr="00A40E08">
              <w:rPr>
                <w:lang w:eastAsia="en-AU"/>
              </w:rPr>
              <w:t>365</w:t>
            </w:r>
          </w:p>
        </w:tc>
      </w:tr>
    </w:tbl>
    <w:p w14:paraId="7C0B4E7D" w14:textId="32395360" w:rsidR="00A226AB" w:rsidRPr="00A30089" w:rsidRDefault="00A226AB" w:rsidP="003870D8">
      <w:pPr>
        <w:pStyle w:val="SourceWide"/>
      </w:pPr>
      <w:r>
        <w:t xml:space="preserve">Source: </w:t>
      </w:r>
      <w:r>
        <w:rPr>
          <w:lang w:eastAsia="en-AU"/>
        </w:rPr>
        <w:t>Department of Industry, Innovation and Science (2017)</w:t>
      </w:r>
    </w:p>
    <w:p w14:paraId="5884784A" w14:textId="7066CCF0" w:rsidR="00886682" w:rsidRPr="00886682" w:rsidRDefault="00886682" w:rsidP="00A226AB">
      <w:pPr>
        <w:pStyle w:val="Heading2"/>
      </w:pPr>
      <w:r w:rsidRPr="00886682">
        <w:lastRenderedPageBreak/>
        <w:t xml:space="preserve">IP-active and R&amp;D-active expenditure on NMI services </w:t>
      </w:r>
    </w:p>
    <w:p w14:paraId="6D07929C" w14:textId="04D40E88" w:rsidR="00886682" w:rsidRDefault="00886682" w:rsidP="00DC1111">
      <w:pPr>
        <w:pStyle w:val="BodyText"/>
      </w:pPr>
      <w:r w:rsidRPr="00886682">
        <w:t>In contrast to Sample Manager clients, Test &amp; Calibration R&amp;D-active clients spent less on average on NMI services compared to the ave</w:t>
      </w:r>
      <w:r w:rsidR="00DC1111">
        <w:t>rage NMI client (Figure 4.11).</w:t>
      </w:r>
    </w:p>
    <w:p w14:paraId="5BABB519" w14:textId="4D66789B" w:rsidR="00DC1111" w:rsidRDefault="00DC1111" w:rsidP="003870D8">
      <w:pPr>
        <w:pStyle w:val="Caption"/>
      </w:pPr>
      <w:r>
        <w:t>Figure</w:t>
      </w:r>
      <w:r w:rsidRPr="000618FB">
        <w:t xml:space="preserv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C871E1">
        <w:rPr>
          <w:noProof/>
        </w:rPr>
        <w:t>11</w:t>
      </w:r>
      <w:r w:rsidRPr="000618FB">
        <w:fldChar w:fldCharType="end"/>
      </w:r>
      <w:r>
        <w:t>: Average NMI client expenditure by client type – Test &amp; Calibration</w:t>
      </w:r>
    </w:p>
    <w:tbl>
      <w:tblPr>
        <w:tblStyle w:val="OCETable"/>
        <w:tblW w:w="4940" w:type="pct"/>
        <w:tblInd w:w="108" w:type="dxa"/>
        <w:tblLayout w:type="fixed"/>
        <w:tblCellMar>
          <w:left w:w="0" w:type="dxa"/>
          <w:right w:w="0" w:type="dxa"/>
        </w:tblCellMar>
        <w:tblLook w:val="04A0" w:firstRow="1" w:lastRow="0" w:firstColumn="1" w:lastColumn="0" w:noHBand="0" w:noVBand="1"/>
        <w:tblCaption w:val="Placeholder table"/>
      </w:tblPr>
      <w:tblGrid>
        <w:gridCol w:w="6811"/>
      </w:tblGrid>
      <w:tr w:rsidR="00DC1111" w14:paraId="3327C2A7" w14:textId="77777777" w:rsidTr="005C4C87">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654F6D7A" w14:textId="66099665" w:rsidR="00DC1111" w:rsidRDefault="00C0196E" w:rsidP="00D52116">
            <w:pPr>
              <w:pStyle w:val="PlaceholderWide"/>
              <w:jc w:val="both"/>
            </w:pPr>
            <w:r>
              <w:rPr>
                <w:noProof/>
                <w:lang w:eastAsia="en-AU"/>
              </w:rPr>
              <w:drawing>
                <wp:inline distT="0" distB="0" distL="0" distR="0" wp14:anchorId="4C6BE0AF" wp14:editId="7BF53E75">
                  <wp:extent cx="4322445" cy="2524125"/>
                  <wp:effectExtent l="0" t="0" r="1905" b="9525"/>
                  <wp:docPr id="49" name="Picture 49" descr="Figure 4.11 is a line chart, with 2 lines, showing the average NMI client expenditure by client type from 2008 to 2015. The two distinct groups are all NMI clients and R&amp;D-active NMI clients. Average NMI expenditure for all NMI clients has been consistently higher than average NMI expenditure by R&amp;D-active firms over time.  " title="Figure 4.11: Average NMI client expenditure by client type – Test &amp; Cal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22445" cy="2524125"/>
                          </a:xfrm>
                          <a:prstGeom prst="rect">
                            <a:avLst/>
                          </a:prstGeom>
                          <a:noFill/>
                        </pic:spPr>
                      </pic:pic>
                    </a:graphicData>
                  </a:graphic>
                </wp:inline>
              </w:drawing>
            </w:r>
          </w:p>
        </w:tc>
      </w:tr>
    </w:tbl>
    <w:p w14:paraId="176358A3" w14:textId="16695A8B" w:rsidR="00DC1111" w:rsidRPr="00C62F3A" w:rsidRDefault="00D52116" w:rsidP="003870D8">
      <w:pPr>
        <w:pStyle w:val="Note"/>
      </w:pPr>
      <w:r>
        <w:t>Notes: In nominal dollars. Financial years are rounded up i.e. y</w:t>
      </w:r>
      <w:r w:rsidR="00E5620B">
        <w:t>ear 2015 is financial year 2014</w:t>
      </w:r>
      <w:r w:rsidR="00E5620B">
        <w:rPr>
          <w:rFonts w:ascii="Calibri" w:hAnsi="Calibri"/>
        </w:rPr>
        <w:t>–</w:t>
      </w:r>
      <w:r>
        <w:t>15</w:t>
      </w:r>
    </w:p>
    <w:p w14:paraId="594C2221" w14:textId="64B5D52D" w:rsidR="00DC1111" w:rsidRDefault="00D52116" w:rsidP="003870D8">
      <w:pPr>
        <w:pStyle w:val="Source"/>
      </w:pPr>
      <w:r>
        <w:t>Source: Department of Industry, Innovation and Science (2017)</w:t>
      </w:r>
    </w:p>
    <w:p w14:paraId="45444938" w14:textId="5AB17090" w:rsidR="00886682" w:rsidRPr="00886682" w:rsidRDefault="00886682" w:rsidP="00D52116">
      <w:pPr>
        <w:pStyle w:val="Heading2"/>
      </w:pPr>
      <w:r w:rsidRPr="00886682">
        <w:t xml:space="preserve">Other departmental programs </w:t>
      </w:r>
    </w:p>
    <w:p w14:paraId="67B9CBA6" w14:textId="519BB7CE" w:rsidR="00886682" w:rsidRDefault="00886682" w:rsidP="00D52116">
      <w:pPr>
        <w:pStyle w:val="BodyText"/>
      </w:pPr>
      <w:r w:rsidRPr="00886682">
        <w:t xml:space="preserve">NMI clients participated in four </w:t>
      </w:r>
      <w:r w:rsidR="0084178F">
        <w:t xml:space="preserve">different </w:t>
      </w:r>
      <w:r w:rsidR="00F163C5">
        <w:t xml:space="preserve">DIIS </w:t>
      </w:r>
      <w:r w:rsidRPr="00886682">
        <w:t>program</w:t>
      </w:r>
      <w:r w:rsidR="0084178F">
        <w:t>s</w:t>
      </w:r>
      <w:r w:rsidRPr="00886682">
        <w:t>, including R&amp;D Tax Concession/Incentive, Commercialisation Australia, Enterprise Connect and Entrepreneurs Prog</w:t>
      </w:r>
      <w:r w:rsidR="00D52116">
        <w:t>ramme (Table 4.2).</w:t>
      </w:r>
    </w:p>
    <w:p w14:paraId="281FE662" w14:textId="639333A5" w:rsidR="00D52116" w:rsidRDefault="00D52116" w:rsidP="003870D8">
      <w:pPr>
        <w:pStyle w:val="CaptionWide"/>
      </w:pPr>
      <w:r w:rsidRPr="000618FB">
        <w:t xml:space="preserve">Table </w:t>
      </w:r>
      <w:r w:rsidR="00B177DE">
        <w:rPr>
          <w:noProof/>
        </w:rPr>
        <w:fldChar w:fldCharType="begin"/>
      </w:r>
      <w:r w:rsidR="00B177DE">
        <w:rPr>
          <w:noProof/>
        </w:rPr>
        <w:instrText xml:space="preserve"> STYLEREF 1 \s </w:instrText>
      </w:r>
      <w:r w:rsidR="00B177DE">
        <w:rPr>
          <w:noProof/>
        </w:rPr>
        <w:fldChar w:fldCharType="separate"/>
      </w:r>
      <w:r w:rsidR="00C871E1">
        <w:rPr>
          <w:noProof/>
        </w:rPr>
        <w:t>4</w:t>
      </w:r>
      <w:r w:rsidR="00B177DE">
        <w:rPr>
          <w:noProof/>
        </w:rPr>
        <w:fldChar w:fldCharType="end"/>
      </w:r>
      <w:r w:rsidRPr="000618FB">
        <w:t>.</w:t>
      </w:r>
      <w:r w:rsidR="00B177DE">
        <w:rPr>
          <w:noProof/>
        </w:rPr>
        <w:fldChar w:fldCharType="begin"/>
      </w:r>
      <w:r w:rsidR="00B177DE">
        <w:rPr>
          <w:noProof/>
        </w:rPr>
        <w:instrText xml:space="preserve"> SEQ Table \* ARABIC \s 1 </w:instrText>
      </w:r>
      <w:r w:rsidR="00B177DE">
        <w:rPr>
          <w:noProof/>
        </w:rPr>
        <w:fldChar w:fldCharType="separate"/>
      </w:r>
      <w:r w:rsidR="00C871E1">
        <w:rPr>
          <w:noProof/>
        </w:rPr>
        <w:t>2</w:t>
      </w:r>
      <w:r w:rsidR="00B177DE">
        <w:rPr>
          <w:noProof/>
        </w:rPr>
        <w:fldChar w:fldCharType="end"/>
      </w:r>
      <w:r>
        <w:t xml:space="preserve">: </w:t>
      </w:r>
      <w:r w:rsidRPr="005621FC">
        <w:t xml:space="preserve">NMI </w:t>
      </w:r>
      <w:r>
        <w:t>client</w:t>
      </w:r>
      <w:r w:rsidRPr="005621FC">
        <w:t xml:space="preserve"> participation in DIIS programs</w:t>
      </w:r>
      <w:r>
        <w:t xml:space="preserve"> – Test &amp; calibration</w:t>
      </w:r>
    </w:p>
    <w:tbl>
      <w:tblPr>
        <w:tblStyle w:val="OCETable"/>
        <w:tblW w:w="6250" w:type="pct"/>
        <w:tblInd w:w="-1877" w:type="dxa"/>
        <w:tblLayout w:type="fixed"/>
        <w:tblLook w:val="04A0" w:firstRow="1" w:lastRow="0" w:firstColumn="1" w:lastColumn="0" w:noHBand="0" w:noVBand="1"/>
        <w:tblCaption w:val="Table 4.2"/>
        <w:tblDescription w:val="NMI client participation in DIIS programmes – Test &amp; calibration"/>
      </w:tblPr>
      <w:tblGrid>
        <w:gridCol w:w="1735"/>
        <w:gridCol w:w="983"/>
        <w:gridCol w:w="983"/>
        <w:gridCol w:w="983"/>
        <w:gridCol w:w="984"/>
        <w:gridCol w:w="983"/>
        <w:gridCol w:w="983"/>
        <w:gridCol w:w="984"/>
      </w:tblGrid>
      <w:tr w:rsidR="00162D94" w14:paraId="39CCA9B6" w14:textId="77777777" w:rsidTr="005B4497">
        <w:trPr>
          <w:cnfStyle w:val="100000000000" w:firstRow="1" w:lastRow="0" w:firstColumn="0" w:lastColumn="0" w:oddVBand="0" w:evenVBand="0" w:oddHBand="0" w:evenHBand="0" w:firstRowFirstColumn="0" w:firstRowLastColumn="0" w:lastRowFirstColumn="0" w:lastRowLastColumn="0"/>
          <w:trHeight w:val="378"/>
          <w:tblHeader/>
        </w:trPr>
        <w:tc>
          <w:tcPr>
            <w:tcW w:w="1735" w:type="dxa"/>
          </w:tcPr>
          <w:p w14:paraId="1DD31D52" w14:textId="77777777" w:rsidR="00162D94" w:rsidRDefault="00162D94" w:rsidP="00162D94">
            <w:pPr>
              <w:pStyle w:val="Tableheadertext"/>
              <w:rPr>
                <w:lang w:eastAsia="en-AU"/>
              </w:rPr>
            </w:pPr>
          </w:p>
        </w:tc>
        <w:tc>
          <w:tcPr>
            <w:tcW w:w="983" w:type="dxa"/>
          </w:tcPr>
          <w:p w14:paraId="4718A715" w14:textId="75325677" w:rsidR="00162D94" w:rsidRDefault="002570F5" w:rsidP="00F902EA">
            <w:pPr>
              <w:pStyle w:val="Tableheadertext"/>
              <w:jc w:val="right"/>
              <w:rPr>
                <w:lang w:eastAsia="en-AU"/>
              </w:rPr>
            </w:pPr>
            <w:r>
              <w:rPr>
                <w:lang w:eastAsia="en-AU"/>
              </w:rPr>
              <w:t>2008</w:t>
            </w:r>
            <w:r w:rsidR="00F902EA">
              <w:rPr>
                <w:rFonts w:ascii="Calibri" w:hAnsi="Calibri"/>
                <w:lang w:eastAsia="en-AU"/>
              </w:rPr>
              <w:t>–</w:t>
            </w:r>
            <w:r w:rsidR="00162D94">
              <w:rPr>
                <w:lang w:eastAsia="en-AU"/>
              </w:rPr>
              <w:t>09</w:t>
            </w:r>
          </w:p>
        </w:tc>
        <w:tc>
          <w:tcPr>
            <w:tcW w:w="983" w:type="dxa"/>
          </w:tcPr>
          <w:p w14:paraId="17CEB7BC" w14:textId="48089950" w:rsidR="00162D94" w:rsidRDefault="00F902EA" w:rsidP="00F902EA">
            <w:pPr>
              <w:pStyle w:val="Tableheadertext"/>
              <w:jc w:val="right"/>
              <w:rPr>
                <w:lang w:eastAsia="en-AU"/>
              </w:rPr>
            </w:pPr>
            <w:r>
              <w:rPr>
                <w:lang w:eastAsia="en-AU"/>
              </w:rPr>
              <w:t>2009</w:t>
            </w:r>
            <w:r>
              <w:rPr>
                <w:rFonts w:ascii="Calibri" w:hAnsi="Calibri"/>
                <w:lang w:eastAsia="en-AU"/>
              </w:rPr>
              <w:t>–</w:t>
            </w:r>
            <w:r w:rsidR="00162D94">
              <w:rPr>
                <w:lang w:eastAsia="en-AU"/>
              </w:rPr>
              <w:t>10</w:t>
            </w:r>
          </w:p>
        </w:tc>
        <w:tc>
          <w:tcPr>
            <w:tcW w:w="983" w:type="dxa"/>
          </w:tcPr>
          <w:p w14:paraId="706B585F" w14:textId="31E7CC01" w:rsidR="00162D94" w:rsidRDefault="00F902EA" w:rsidP="00F902EA">
            <w:pPr>
              <w:pStyle w:val="Tableheadertext"/>
              <w:jc w:val="right"/>
              <w:rPr>
                <w:lang w:eastAsia="en-AU"/>
              </w:rPr>
            </w:pPr>
            <w:r>
              <w:rPr>
                <w:lang w:eastAsia="en-AU"/>
              </w:rPr>
              <w:t>2010</w:t>
            </w:r>
            <w:r>
              <w:rPr>
                <w:rFonts w:ascii="Calibri" w:hAnsi="Calibri"/>
                <w:lang w:eastAsia="en-AU"/>
              </w:rPr>
              <w:t>–</w:t>
            </w:r>
            <w:r w:rsidR="00162D94">
              <w:rPr>
                <w:lang w:eastAsia="en-AU"/>
              </w:rPr>
              <w:t>11</w:t>
            </w:r>
          </w:p>
        </w:tc>
        <w:tc>
          <w:tcPr>
            <w:tcW w:w="984" w:type="dxa"/>
          </w:tcPr>
          <w:p w14:paraId="612A33BD" w14:textId="676944E4" w:rsidR="00162D94" w:rsidRDefault="00F902EA" w:rsidP="00F902EA">
            <w:pPr>
              <w:pStyle w:val="Tableheadertext"/>
              <w:jc w:val="right"/>
              <w:rPr>
                <w:lang w:eastAsia="en-AU"/>
              </w:rPr>
            </w:pPr>
            <w:r>
              <w:rPr>
                <w:lang w:eastAsia="en-AU"/>
              </w:rPr>
              <w:t>2011</w:t>
            </w:r>
            <w:r>
              <w:rPr>
                <w:rFonts w:ascii="Calibri" w:hAnsi="Calibri"/>
                <w:lang w:eastAsia="en-AU"/>
              </w:rPr>
              <w:t>–</w:t>
            </w:r>
            <w:r w:rsidR="00162D94">
              <w:rPr>
                <w:lang w:eastAsia="en-AU"/>
              </w:rPr>
              <w:t>12</w:t>
            </w:r>
          </w:p>
        </w:tc>
        <w:tc>
          <w:tcPr>
            <w:tcW w:w="983" w:type="dxa"/>
          </w:tcPr>
          <w:p w14:paraId="2B0FC3FC" w14:textId="7B217B14" w:rsidR="00162D94" w:rsidRDefault="00F902EA" w:rsidP="00F902EA">
            <w:pPr>
              <w:pStyle w:val="Tableheadertext"/>
              <w:jc w:val="right"/>
              <w:rPr>
                <w:lang w:eastAsia="en-AU"/>
              </w:rPr>
            </w:pPr>
            <w:r>
              <w:rPr>
                <w:lang w:eastAsia="en-AU"/>
              </w:rPr>
              <w:t>2012</w:t>
            </w:r>
            <w:r>
              <w:rPr>
                <w:rFonts w:ascii="Calibri" w:hAnsi="Calibri"/>
                <w:lang w:eastAsia="en-AU"/>
              </w:rPr>
              <w:t>–</w:t>
            </w:r>
            <w:r w:rsidR="00162D94">
              <w:rPr>
                <w:lang w:eastAsia="en-AU"/>
              </w:rPr>
              <w:t>13</w:t>
            </w:r>
          </w:p>
        </w:tc>
        <w:tc>
          <w:tcPr>
            <w:tcW w:w="983" w:type="dxa"/>
          </w:tcPr>
          <w:p w14:paraId="16DE6AB9" w14:textId="4122DA09" w:rsidR="00162D94" w:rsidRDefault="00F902EA" w:rsidP="00F902EA">
            <w:pPr>
              <w:pStyle w:val="Tableheadertext"/>
              <w:jc w:val="right"/>
              <w:rPr>
                <w:lang w:eastAsia="en-AU"/>
              </w:rPr>
            </w:pPr>
            <w:r>
              <w:rPr>
                <w:lang w:eastAsia="en-AU"/>
              </w:rPr>
              <w:t>2013</w:t>
            </w:r>
            <w:r>
              <w:rPr>
                <w:rFonts w:ascii="Calibri" w:hAnsi="Calibri"/>
                <w:lang w:eastAsia="en-AU"/>
              </w:rPr>
              <w:t>–</w:t>
            </w:r>
            <w:r w:rsidR="00162D94">
              <w:rPr>
                <w:lang w:eastAsia="en-AU"/>
              </w:rPr>
              <w:t>14</w:t>
            </w:r>
          </w:p>
        </w:tc>
        <w:tc>
          <w:tcPr>
            <w:tcW w:w="984" w:type="dxa"/>
          </w:tcPr>
          <w:p w14:paraId="6DB0FC51" w14:textId="0234D905" w:rsidR="00162D94" w:rsidRDefault="00F902EA" w:rsidP="00F902EA">
            <w:pPr>
              <w:pStyle w:val="Tableheadertext"/>
              <w:jc w:val="right"/>
              <w:rPr>
                <w:lang w:eastAsia="en-AU"/>
              </w:rPr>
            </w:pPr>
            <w:r>
              <w:rPr>
                <w:lang w:eastAsia="en-AU"/>
              </w:rPr>
              <w:t>2014</w:t>
            </w:r>
            <w:r>
              <w:rPr>
                <w:rFonts w:ascii="Calibri" w:hAnsi="Calibri"/>
                <w:lang w:eastAsia="en-AU"/>
              </w:rPr>
              <w:t>–</w:t>
            </w:r>
            <w:r w:rsidR="00162D94">
              <w:rPr>
                <w:lang w:eastAsia="en-AU"/>
              </w:rPr>
              <w:t>15</w:t>
            </w:r>
          </w:p>
        </w:tc>
      </w:tr>
      <w:tr w:rsidR="00162D94" w14:paraId="2F9D623F" w14:textId="77777777" w:rsidTr="006D34A0">
        <w:trPr>
          <w:cnfStyle w:val="000000100000" w:firstRow="0" w:lastRow="0" w:firstColumn="0" w:lastColumn="0" w:oddVBand="0" w:evenVBand="0" w:oddHBand="1" w:evenHBand="0" w:firstRowFirstColumn="0" w:firstRowLastColumn="0" w:lastRowFirstColumn="0" w:lastRowLastColumn="0"/>
          <w:trHeight w:val="277"/>
        </w:trPr>
        <w:tc>
          <w:tcPr>
            <w:tcW w:w="1735" w:type="dxa"/>
          </w:tcPr>
          <w:p w14:paraId="7A34D043" w14:textId="77777777" w:rsidR="002570F5" w:rsidRDefault="00162D94" w:rsidP="00162D94">
            <w:pPr>
              <w:pStyle w:val="Tablebodytext"/>
            </w:pPr>
            <w:r>
              <w:t>R&amp;D Tax Concession/</w:t>
            </w:r>
          </w:p>
          <w:p w14:paraId="7B976F60" w14:textId="5726911A" w:rsidR="00162D94" w:rsidRDefault="00162D94" w:rsidP="00162D94">
            <w:pPr>
              <w:pStyle w:val="Tablebodytext"/>
            </w:pPr>
            <w:r>
              <w:t>Incentive*</w:t>
            </w:r>
          </w:p>
        </w:tc>
        <w:tc>
          <w:tcPr>
            <w:tcW w:w="983" w:type="dxa"/>
            <w:vAlign w:val="center"/>
          </w:tcPr>
          <w:p w14:paraId="7B98A1EB" w14:textId="77777777" w:rsidR="00162D94" w:rsidRDefault="00162D94" w:rsidP="006D34A0">
            <w:pPr>
              <w:pStyle w:val="Tablebodytext"/>
              <w:jc w:val="right"/>
              <w:rPr>
                <w:lang w:eastAsia="en-AU"/>
              </w:rPr>
            </w:pPr>
            <w:r>
              <w:rPr>
                <w:lang w:eastAsia="en-AU"/>
              </w:rPr>
              <w:t>34</w:t>
            </w:r>
          </w:p>
        </w:tc>
        <w:tc>
          <w:tcPr>
            <w:tcW w:w="983" w:type="dxa"/>
            <w:vAlign w:val="center"/>
          </w:tcPr>
          <w:p w14:paraId="2988B1E1" w14:textId="77777777" w:rsidR="00162D94" w:rsidRDefault="00162D94" w:rsidP="006D34A0">
            <w:pPr>
              <w:pStyle w:val="Tablebodytext"/>
              <w:jc w:val="right"/>
              <w:rPr>
                <w:lang w:eastAsia="en-AU"/>
              </w:rPr>
            </w:pPr>
            <w:r>
              <w:rPr>
                <w:lang w:eastAsia="en-AU"/>
              </w:rPr>
              <w:t>37</w:t>
            </w:r>
          </w:p>
        </w:tc>
        <w:tc>
          <w:tcPr>
            <w:tcW w:w="983" w:type="dxa"/>
            <w:vAlign w:val="center"/>
          </w:tcPr>
          <w:p w14:paraId="7C1CC1CD" w14:textId="77777777" w:rsidR="00162D94" w:rsidRDefault="00162D94" w:rsidP="006D34A0">
            <w:pPr>
              <w:pStyle w:val="Tablebodytext"/>
              <w:jc w:val="right"/>
              <w:rPr>
                <w:lang w:eastAsia="en-AU"/>
              </w:rPr>
            </w:pPr>
            <w:r>
              <w:rPr>
                <w:lang w:eastAsia="en-AU"/>
              </w:rPr>
              <w:t>65</w:t>
            </w:r>
          </w:p>
        </w:tc>
        <w:tc>
          <w:tcPr>
            <w:tcW w:w="984" w:type="dxa"/>
            <w:vAlign w:val="center"/>
          </w:tcPr>
          <w:p w14:paraId="7643D718" w14:textId="77777777" w:rsidR="00162D94" w:rsidRDefault="00162D94" w:rsidP="006D34A0">
            <w:pPr>
              <w:pStyle w:val="Tablebodytext"/>
              <w:jc w:val="right"/>
              <w:rPr>
                <w:lang w:eastAsia="en-AU"/>
              </w:rPr>
            </w:pPr>
            <w:r>
              <w:rPr>
                <w:lang w:eastAsia="en-AU"/>
              </w:rPr>
              <w:t>46</w:t>
            </w:r>
          </w:p>
        </w:tc>
        <w:tc>
          <w:tcPr>
            <w:tcW w:w="983" w:type="dxa"/>
            <w:vAlign w:val="center"/>
          </w:tcPr>
          <w:p w14:paraId="239FBD37" w14:textId="77777777" w:rsidR="00162D94" w:rsidRDefault="00162D94" w:rsidP="006D34A0">
            <w:pPr>
              <w:pStyle w:val="Tablebodytext"/>
              <w:jc w:val="right"/>
              <w:rPr>
                <w:lang w:eastAsia="en-AU"/>
              </w:rPr>
            </w:pPr>
            <w:r>
              <w:rPr>
                <w:lang w:eastAsia="en-AU"/>
              </w:rPr>
              <w:t>38</w:t>
            </w:r>
          </w:p>
        </w:tc>
        <w:tc>
          <w:tcPr>
            <w:tcW w:w="983" w:type="dxa"/>
            <w:vAlign w:val="center"/>
          </w:tcPr>
          <w:p w14:paraId="422AA672" w14:textId="77777777" w:rsidR="00162D94" w:rsidRDefault="00162D94" w:rsidP="006D34A0">
            <w:pPr>
              <w:pStyle w:val="Tablebodytext"/>
              <w:jc w:val="right"/>
              <w:rPr>
                <w:lang w:eastAsia="en-AU"/>
              </w:rPr>
            </w:pPr>
            <w:r>
              <w:rPr>
                <w:lang w:eastAsia="en-AU"/>
              </w:rPr>
              <w:t>37</w:t>
            </w:r>
          </w:p>
        </w:tc>
        <w:tc>
          <w:tcPr>
            <w:tcW w:w="984" w:type="dxa"/>
            <w:vAlign w:val="center"/>
          </w:tcPr>
          <w:p w14:paraId="7940377B" w14:textId="77777777" w:rsidR="00162D94" w:rsidRDefault="00162D94" w:rsidP="006D34A0">
            <w:pPr>
              <w:pStyle w:val="Tablebodytext"/>
              <w:jc w:val="right"/>
              <w:rPr>
                <w:lang w:eastAsia="en-AU"/>
              </w:rPr>
            </w:pPr>
            <w:r>
              <w:rPr>
                <w:lang w:eastAsia="en-AU"/>
              </w:rPr>
              <w:t>34</w:t>
            </w:r>
          </w:p>
        </w:tc>
      </w:tr>
      <w:tr w:rsidR="00162D94" w14:paraId="7E0A80B9" w14:textId="77777777" w:rsidTr="006D34A0">
        <w:trPr>
          <w:cnfStyle w:val="000000010000" w:firstRow="0" w:lastRow="0" w:firstColumn="0" w:lastColumn="0" w:oddVBand="0" w:evenVBand="0" w:oddHBand="0" w:evenHBand="1" w:firstRowFirstColumn="0" w:firstRowLastColumn="0" w:lastRowFirstColumn="0" w:lastRowLastColumn="0"/>
          <w:trHeight w:val="264"/>
        </w:trPr>
        <w:tc>
          <w:tcPr>
            <w:tcW w:w="1735" w:type="dxa"/>
          </w:tcPr>
          <w:p w14:paraId="43CEC867" w14:textId="77777777" w:rsidR="00162D94" w:rsidRDefault="00162D94" w:rsidP="00162D94">
            <w:pPr>
              <w:pStyle w:val="Tablebodytext"/>
            </w:pPr>
            <w:r>
              <w:t>Commercialisation Australia</w:t>
            </w:r>
          </w:p>
        </w:tc>
        <w:tc>
          <w:tcPr>
            <w:tcW w:w="983" w:type="dxa"/>
            <w:vAlign w:val="center"/>
          </w:tcPr>
          <w:p w14:paraId="6EEAF620" w14:textId="77777777" w:rsidR="00162D94" w:rsidRDefault="00162D94" w:rsidP="006D34A0">
            <w:pPr>
              <w:pStyle w:val="Tablebodytext"/>
              <w:jc w:val="right"/>
              <w:rPr>
                <w:lang w:eastAsia="en-AU"/>
              </w:rPr>
            </w:pPr>
            <w:r>
              <w:rPr>
                <w:lang w:eastAsia="en-AU"/>
              </w:rPr>
              <w:t>n/a</w:t>
            </w:r>
          </w:p>
        </w:tc>
        <w:tc>
          <w:tcPr>
            <w:tcW w:w="983" w:type="dxa"/>
            <w:vAlign w:val="center"/>
          </w:tcPr>
          <w:p w14:paraId="46F11A3E" w14:textId="77777777" w:rsidR="00162D94" w:rsidRDefault="00162D94" w:rsidP="006D34A0">
            <w:pPr>
              <w:pStyle w:val="Tablebodytext"/>
              <w:jc w:val="right"/>
              <w:rPr>
                <w:lang w:eastAsia="en-AU"/>
              </w:rPr>
            </w:pPr>
            <w:r>
              <w:rPr>
                <w:lang w:eastAsia="en-AU"/>
              </w:rPr>
              <w:t>0</w:t>
            </w:r>
          </w:p>
        </w:tc>
        <w:tc>
          <w:tcPr>
            <w:tcW w:w="983" w:type="dxa"/>
            <w:vAlign w:val="center"/>
          </w:tcPr>
          <w:p w14:paraId="2A8896AA" w14:textId="77777777" w:rsidR="00162D94" w:rsidRDefault="00162D94" w:rsidP="006D34A0">
            <w:pPr>
              <w:pStyle w:val="Tablebodytext"/>
              <w:jc w:val="right"/>
              <w:rPr>
                <w:lang w:eastAsia="en-AU"/>
              </w:rPr>
            </w:pPr>
            <w:r>
              <w:rPr>
                <w:lang w:eastAsia="en-AU"/>
              </w:rPr>
              <w:t>1</w:t>
            </w:r>
          </w:p>
        </w:tc>
        <w:tc>
          <w:tcPr>
            <w:tcW w:w="984" w:type="dxa"/>
            <w:vAlign w:val="center"/>
          </w:tcPr>
          <w:p w14:paraId="5508BEF0" w14:textId="77777777" w:rsidR="00162D94" w:rsidRDefault="00162D94" w:rsidP="006D34A0">
            <w:pPr>
              <w:pStyle w:val="Tablebodytext"/>
              <w:jc w:val="right"/>
              <w:rPr>
                <w:lang w:eastAsia="en-AU"/>
              </w:rPr>
            </w:pPr>
            <w:r>
              <w:rPr>
                <w:lang w:eastAsia="en-AU"/>
              </w:rPr>
              <w:t>0</w:t>
            </w:r>
          </w:p>
        </w:tc>
        <w:tc>
          <w:tcPr>
            <w:tcW w:w="983" w:type="dxa"/>
            <w:vAlign w:val="center"/>
          </w:tcPr>
          <w:p w14:paraId="4B91EC75" w14:textId="77777777" w:rsidR="00162D94" w:rsidRDefault="00162D94" w:rsidP="006D34A0">
            <w:pPr>
              <w:pStyle w:val="Tablebodytext"/>
              <w:jc w:val="right"/>
              <w:rPr>
                <w:lang w:eastAsia="en-AU"/>
              </w:rPr>
            </w:pPr>
            <w:r>
              <w:rPr>
                <w:lang w:eastAsia="en-AU"/>
              </w:rPr>
              <w:t>1</w:t>
            </w:r>
          </w:p>
        </w:tc>
        <w:tc>
          <w:tcPr>
            <w:tcW w:w="983" w:type="dxa"/>
            <w:vAlign w:val="center"/>
          </w:tcPr>
          <w:p w14:paraId="3829143A" w14:textId="77777777" w:rsidR="00162D94" w:rsidRDefault="00162D94" w:rsidP="006D34A0">
            <w:pPr>
              <w:pStyle w:val="Tablebodytext"/>
              <w:jc w:val="right"/>
              <w:rPr>
                <w:lang w:eastAsia="en-AU"/>
              </w:rPr>
            </w:pPr>
            <w:r>
              <w:rPr>
                <w:lang w:eastAsia="en-AU"/>
              </w:rPr>
              <w:t>0</w:t>
            </w:r>
          </w:p>
        </w:tc>
        <w:tc>
          <w:tcPr>
            <w:tcW w:w="984" w:type="dxa"/>
            <w:vAlign w:val="center"/>
          </w:tcPr>
          <w:p w14:paraId="1AF9D91A" w14:textId="77777777" w:rsidR="00162D94" w:rsidRDefault="00162D94" w:rsidP="006D34A0">
            <w:pPr>
              <w:pStyle w:val="Tablebodytext"/>
              <w:jc w:val="right"/>
              <w:rPr>
                <w:lang w:eastAsia="en-AU"/>
              </w:rPr>
            </w:pPr>
            <w:r>
              <w:rPr>
                <w:lang w:eastAsia="en-AU"/>
              </w:rPr>
              <w:t>0</w:t>
            </w:r>
          </w:p>
        </w:tc>
      </w:tr>
      <w:tr w:rsidR="00162D94" w14:paraId="12905986" w14:textId="77777777" w:rsidTr="006D34A0">
        <w:trPr>
          <w:cnfStyle w:val="000000100000" w:firstRow="0" w:lastRow="0" w:firstColumn="0" w:lastColumn="0" w:oddVBand="0" w:evenVBand="0" w:oddHBand="1" w:evenHBand="0" w:firstRowFirstColumn="0" w:firstRowLastColumn="0" w:lastRowFirstColumn="0" w:lastRowLastColumn="0"/>
          <w:trHeight w:val="277"/>
        </w:trPr>
        <w:tc>
          <w:tcPr>
            <w:tcW w:w="1735" w:type="dxa"/>
          </w:tcPr>
          <w:p w14:paraId="73F947F1" w14:textId="77777777" w:rsidR="00162D94" w:rsidRDefault="00162D94" w:rsidP="00162D94">
            <w:pPr>
              <w:pStyle w:val="Tablebodytext"/>
            </w:pPr>
            <w:r>
              <w:t>Enterprise Connect</w:t>
            </w:r>
          </w:p>
        </w:tc>
        <w:tc>
          <w:tcPr>
            <w:tcW w:w="983" w:type="dxa"/>
            <w:vAlign w:val="center"/>
          </w:tcPr>
          <w:p w14:paraId="3D49E9CD" w14:textId="77777777" w:rsidR="00162D94" w:rsidRDefault="00162D94" w:rsidP="006D34A0">
            <w:pPr>
              <w:pStyle w:val="Tablebodytext"/>
              <w:jc w:val="right"/>
              <w:rPr>
                <w:lang w:eastAsia="en-AU"/>
              </w:rPr>
            </w:pPr>
            <w:r>
              <w:rPr>
                <w:lang w:eastAsia="en-AU"/>
              </w:rPr>
              <w:t>2</w:t>
            </w:r>
          </w:p>
        </w:tc>
        <w:tc>
          <w:tcPr>
            <w:tcW w:w="983" w:type="dxa"/>
            <w:vAlign w:val="center"/>
          </w:tcPr>
          <w:p w14:paraId="579B440C" w14:textId="77777777" w:rsidR="00162D94" w:rsidRDefault="00162D94" w:rsidP="006D34A0">
            <w:pPr>
              <w:pStyle w:val="Tablebodytext"/>
              <w:jc w:val="right"/>
              <w:rPr>
                <w:lang w:eastAsia="en-AU"/>
              </w:rPr>
            </w:pPr>
            <w:r>
              <w:rPr>
                <w:lang w:eastAsia="en-AU"/>
              </w:rPr>
              <w:t>1</w:t>
            </w:r>
          </w:p>
        </w:tc>
        <w:tc>
          <w:tcPr>
            <w:tcW w:w="983" w:type="dxa"/>
            <w:vAlign w:val="center"/>
          </w:tcPr>
          <w:p w14:paraId="7A8E73BF" w14:textId="77777777" w:rsidR="00162D94" w:rsidRDefault="00162D94" w:rsidP="006D34A0">
            <w:pPr>
              <w:pStyle w:val="Tablebodytext"/>
              <w:jc w:val="right"/>
              <w:rPr>
                <w:lang w:eastAsia="en-AU"/>
              </w:rPr>
            </w:pPr>
            <w:r>
              <w:rPr>
                <w:lang w:eastAsia="en-AU"/>
              </w:rPr>
              <w:t>6</w:t>
            </w:r>
          </w:p>
        </w:tc>
        <w:tc>
          <w:tcPr>
            <w:tcW w:w="984" w:type="dxa"/>
            <w:vAlign w:val="center"/>
          </w:tcPr>
          <w:p w14:paraId="45FB5C19" w14:textId="77777777" w:rsidR="00162D94" w:rsidRDefault="00162D94" w:rsidP="006D34A0">
            <w:pPr>
              <w:pStyle w:val="Tablebodytext"/>
              <w:jc w:val="right"/>
              <w:rPr>
                <w:lang w:eastAsia="en-AU"/>
              </w:rPr>
            </w:pPr>
            <w:r>
              <w:rPr>
                <w:lang w:eastAsia="en-AU"/>
              </w:rPr>
              <w:t>1</w:t>
            </w:r>
          </w:p>
        </w:tc>
        <w:tc>
          <w:tcPr>
            <w:tcW w:w="983" w:type="dxa"/>
            <w:vAlign w:val="center"/>
          </w:tcPr>
          <w:p w14:paraId="570912B5" w14:textId="77777777" w:rsidR="00162D94" w:rsidRDefault="00162D94" w:rsidP="006D34A0">
            <w:pPr>
              <w:pStyle w:val="Tablebodytext"/>
              <w:jc w:val="right"/>
              <w:rPr>
                <w:lang w:eastAsia="en-AU"/>
              </w:rPr>
            </w:pPr>
            <w:r>
              <w:rPr>
                <w:lang w:eastAsia="en-AU"/>
              </w:rPr>
              <w:t>1</w:t>
            </w:r>
          </w:p>
        </w:tc>
        <w:tc>
          <w:tcPr>
            <w:tcW w:w="983" w:type="dxa"/>
            <w:vAlign w:val="center"/>
          </w:tcPr>
          <w:p w14:paraId="121F8B9D" w14:textId="77777777" w:rsidR="00162D94" w:rsidRDefault="00162D94" w:rsidP="006D34A0">
            <w:pPr>
              <w:pStyle w:val="Tablebodytext"/>
              <w:jc w:val="right"/>
              <w:rPr>
                <w:lang w:eastAsia="en-AU"/>
              </w:rPr>
            </w:pPr>
            <w:r>
              <w:rPr>
                <w:lang w:eastAsia="en-AU"/>
              </w:rPr>
              <w:t>0</w:t>
            </w:r>
          </w:p>
        </w:tc>
        <w:tc>
          <w:tcPr>
            <w:tcW w:w="984" w:type="dxa"/>
            <w:vAlign w:val="center"/>
          </w:tcPr>
          <w:p w14:paraId="5F3BC20D" w14:textId="77777777" w:rsidR="00162D94" w:rsidRDefault="00162D94" w:rsidP="006D34A0">
            <w:pPr>
              <w:pStyle w:val="Tablebodytext"/>
              <w:jc w:val="right"/>
              <w:rPr>
                <w:lang w:eastAsia="en-AU"/>
              </w:rPr>
            </w:pPr>
            <w:r>
              <w:rPr>
                <w:lang w:eastAsia="en-AU"/>
              </w:rPr>
              <w:t>0</w:t>
            </w:r>
          </w:p>
        </w:tc>
      </w:tr>
      <w:tr w:rsidR="00162D94" w14:paraId="602BAD8B" w14:textId="77777777" w:rsidTr="006D34A0">
        <w:trPr>
          <w:cnfStyle w:val="000000010000" w:firstRow="0" w:lastRow="0" w:firstColumn="0" w:lastColumn="0" w:oddVBand="0" w:evenVBand="0" w:oddHBand="0" w:evenHBand="1" w:firstRowFirstColumn="0" w:firstRowLastColumn="0" w:lastRowFirstColumn="0" w:lastRowLastColumn="0"/>
          <w:trHeight w:val="277"/>
        </w:trPr>
        <w:tc>
          <w:tcPr>
            <w:tcW w:w="1735" w:type="dxa"/>
          </w:tcPr>
          <w:p w14:paraId="46C71344" w14:textId="77777777" w:rsidR="00162D94" w:rsidRDefault="00162D94" w:rsidP="00162D94">
            <w:pPr>
              <w:pStyle w:val="Tablebodytext"/>
            </w:pPr>
            <w:r>
              <w:t>Entrepreneurs Programme</w:t>
            </w:r>
          </w:p>
        </w:tc>
        <w:tc>
          <w:tcPr>
            <w:tcW w:w="983" w:type="dxa"/>
            <w:vAlign w:val="center"/>
          </w:tcPr>
          <w:p w14:paraId="5E3AEA46" w14:textId="77777777" w:rsidR="00162D94" w:rsidRDefault="00162D94" w:rsidP="006D34A0">
            <w:pPr>
              <w:pStyle w:val="Tablebodytext"/>
              <w:jc w:val="right"/>
              <w:rPr>
                <w:lang w:eastAsia="en-AU"/>
              </w:rPr>
            </w:pPr>
            <w:r>
              <w:rPr>
                <w:lang w:eastAsia="en-AU"/>
              </w:rPr>
              <w:t>n/a</w:t>
            </w:r>
          </w:p>
        </w:tc>
        <w:tc>
          <w:tcPr>
            <w:tcW w:w="983" w:type="dxa"/>
            <w:vAlign w:val="center"/>
          </w:tcPr>
          <w:p w14:paraId="153A5FB7" w14:textId="77777777" w:rsidR="00162D94" w:rsidRDefault="00162D94" w:rsidP="006D34A0">
            <w:pPr>
              <w:pStyle w:val="Tablebodytext"/>
              <w:jc w:val="right"/>
              <w:rPr>
                <w:lang w:eastAsia="en-AU"/>
              </w:rPr>
            </w:pPr>
            <w:r>
              <w:rPr>
                <w:lang w:eastAsia="en-AU"/>
              </w:rPr>
              <w:t>n/a</w:t>
            </w:r>
          </w:p>
        </w:tc>
        <w:tc>
          <w:tcPr>
            <w:tcW w:w="983" w:type="dxa"/>
            <w:vAlign w:val="center"/>
          </w:tcPr>
          <w:p w14:paraId="7B76B29D" w14:textId="77777777" w:rsidR="00162D94" w:rsidRDefault="00162D94" w:rsidP="006D34A0">
            <w:pPr>
              <w:pStyle w:val="Tablebodytext"/>
              <w:jc w:val="right"/>
              <w:rPr>
                <w:lang w:eastAsia="en-AU"/>
              </w:rPr>
            </w:pPr>
            <w:r>
              <w:rPr>
                <w:lang w:eastAsia="en-AU"/>
              </w:rPr>
              <w:t>n/a</w:t>
            </w:r>
          </w:p>
        </w:tc>
        <w:tc>
          <w:tcPr>
            <w:tcW w:w="984" w:type="dxa"/>
            <w:vAlign w:val="center"/>
          </w:tcPr>
          <w:p w14:paraId="13AF27A6" w14:textId="77777777" w:rsidR="00162D94" w:rsidRDefault="00162D94" w:rsidP="006D34A0">
            <w:pPr>
              <w:pStyle w:val="Tablebodytext"/>
              <w:jc w:val="right"/>
              <w:rPr>
                <w:lang w:eastAsia="en-AU"/>
              </w:rPr>
            </w:pPr>
            <w:r>
              <w:rPr>
                <w:lang w:eastAsia="en-AU"/>
              </w:rPr>
              <w:t>n/a</w:t>
            </w:r>
          </w:p>
        </w:tc>
        <w:tc>
          <w:tcPr>
            <w:tcW w:w="983" w:type="dxa"/>
            <w:vAlign w:val="center"/>
          </w:tcPr>
          <w:p w14:paraId="4190D376" w14:textId="77777777" w:rsidR="00162D94" w:rsidRDefault="00162D94" w:rsidP="006D34A0">
            <w:pPr>
              <w:pStyle w:val="Tablebodytext"/>
              <w:jc w:val="right"/>
              <w:rPr>
                <w:lang w:eastAsia="en-AU"/>
              </w:rPr>
            </w:pPr>
            <w:r>
              <w:rPr>
                <w:lang w:eastAsia="en-AU"/>
              </w:rPr>
              <w:t>n/a</w:t>
            </w:r>
          </w:p>
        </w:tc>
        <w:tc>
          <w:tcPr>
            <w:tcW w:w="983" w:type="dxa"/>
            <w:vAlign w:val="center"/>
          </w:tcPr>
          <w:p w14:paraId="6C0D2CA2" w14:textId="77777777" w:rsidR="00162D94" w:rsidRDefault="00162D94" w:rsidP="006D34A0">
            <w:pPr>
              <w:pStyle w:val="Tablebodytext"/>
              <w:jc w:val="right"/>
              <w:rPr>
                <w:lang w:eastAsia="en-AU"/>
              </w:rPr>
            </w:pPr>
            <w:r>
              <w:rPr>
                <w:lang w:eastAsia="en-AU"/>
              </w:rPr>
              <w:t>3</w:t>
            </w:r>
          </w:p>
        </w:tc>
        <w:tc>
          <w:tcPr>
            <w:tcW w:w="984" w:type="dxa"/>
            <w:vAlign w:val="center"/>
          </w:tcPr>
          <w:p w14:paraId="507629BA" w14:textId="77777777" w:rsidR="00162D94" w:rsidRDefault="00162D94" w:rsidP="006D34A0">
            <w:pPr>
              <w:pStyle w:val="Tablebodytext"/>
              <w:jc w:val="right"/>
              <w:rPr>
                <w:lang w:eastAsia="en-AU"/>
              </w:rPr>
            </w:pPr>
            <w:r>
              <w:rPr>
                <w:lang w:eastAsia="en-AU"/>
              </w:rPr>
              <w:t>2</w:t>
            </w:r>
          </w:p>
        </w:tc>
      </w:tr>
    </w:tbl>
    <w:p w14:paraId="64694529" w14:textId="77777777" w:rsidR="00162D94" w:rsidRPr="00162D94" w:rsidRDefault="00162D94" w:rsidP="00162D94">
      <w:pPr>
        <w:pStyle w:val="PlaceholderWide"/>
      </w:pPr>
    </w:p>
    <w:p w14:paraId="7C322C0E" w14:textId="08C1859D" w:rsidR="00D52116" w:rsidRPr="00A30089" w:rsidRDefault="00D52116" w:rsidP="003870D8">
      <w:pPr>
        <w:pStyle w:val="NoteWide"/>
      </w:pPr>
      <w:r w:rsidRPr="00A30089">
        <w:t>Note</w:t>
      </w:r>
      <w:r>
        <w:t xml:space="preserve">s: </w:t>
      </w:r>
      <w:r w:rsidRPr="00D5780A">
        <w:rPr>
          <w:lang w:eastAsia="en-AU"/>
        </w:rPr>
        <w:t xml:space="preserve">*R&amp;D Incentive is a continuation </w:t>
      </w:r>
      <w:r w:rsidR="00E5620B">
        <w:rPr>
          <w:lang w:eastAsia="en-AU"/>
        </w:rPr>
        <w:t>of the R&amp;D Concession from 2010</w:t>
      </w:r>
      <w:r w:rsidR="00E5620B">
        <w:rPr>
          <w:rFonts w:ascii="Calibri" w:hAnsi="Calibri"/>
          <w:lang w:eastAsia="en-AU"/>
        </w:rPr>
        <w:t>–</w:t>
      </w:r>
      <w:r w:rsidRPr="00D5780A">
        <w:rPr>
          <w:lang w:eastAsia="en-AU"/>
        </w:rPr>
        <w:t xml:space="preserve">11. Firms participating in the R&amp;D Tax Concession/Incentive may also be </w:t>
      </w:r>
      <w:r w:rsidR="00776AD5">
        <w:rPr>
          <w:lang w:eastAsia="en-AU"/>
        </w:rPr>
        <w:t>present in other DIIS programs</w:t>
      </w:r>
      <w:r w:rsidRPr="00D5780A">
        <w:rPr>
          <w:lang w:eastAsia="en-AU"/>
        </w:rPr>
        <w:t>.</w:t>
      </w:r>
    </w:p>
    <w:p w14:paraId="2BD1094D" w14:textId="71FF35D9" w:rsidR="00D52116" w:rsidRPr="00A30089" w:rsidRDefault="00D52116" w:rsidP="003870D8">
      <w:pPr>
        <w:pStyle w:val="SourceWide"/>
      </w:pPr>
      <w:r>
        <w:t xml:space="preserve">Source: Department of Industry, Innovation and Science (2017) </w:t>
      </w:r>
    </w:p>
    <w:p w14:paraId="0AAB7518" w14:textId="48BF2837" w:rsidR="00886682" w:rsidRPr="00886682" w:rsidRDefault="00886682" w:rsidP="00D52116">
      <w:pPr>
        <w:pStyle w:val="Heading1"/>
      </w:pPr>
      <w:r w:rsidRPr="00886682">
        <w:lastRenderedPageBreak/>
        <w:t>Conclusion</w:t>
      </w:r>
    </w:p>
    <w:p w14:paraId="416F90D0" w14:textId="77777777" w:rsidR="00996210" w:rsidRDefault="00886682" w:rsidP="005555D1">
      <w:pPr>
        <w:pStyle w:val="BodyText"/>
      </w:pPr>
      <w:r w:rsidRPr="00886682">
        <w:t xml:space="preserve">This paper has explored a number </w:t>
      </w:r>
      <w:r w:rsidR="00996210">
        <w:t xml:space="preserve">of </w:t>
      </w:r>
      <w:r w:rsidRPr="00886682">
        <w:t xml:space="preserve">characteristics of NMI clients to help illustrate who these clients are and what their interactions have been with the Department and other agencies. One quarter of NMI clients are in </w:t>
      </w:r>
      <w:r w:rsidR="00776AD5">
        <w:t>Industry Growth Sectors, in con</w:t>
      </w:r>
      <w:r w:rsidRPr="00886682">
        <w:t xml:space="preserve">trast to just nine per cent of firms in the total employing firm population. </w:t>
      </w:r>
    </w:p>
    <w:p w14:paraId="32BCEB33" w14:textId="77777777" w:rsidR="00996210" w:rsidRDefault="00886682" w:rsidP="005555D1">
      <w:pPr>
        <w:pStyle w:val="BodyText"/>
      </w:pPr>
      <w:r w:rsidRPr="00886682">
        <w:t xml:space="preserve">NMI clients are more likely to be IP-active and R&amp;D-active than the average firm and also spend </w:t>
      </w:r>
      <w:r w:rsidR="00776AD5" w:rsidRPr="00886682">
        <w:t>significantly</w:t>
      </w:r>
      <w:r w:rsidRPr="00886682">
        <w:t xml:space="preserve"> more on R&amp;D than the average firm. NMI clients who are IP-active and/or R&amp;D-active generally spend more on NMI services than other clients.</w:t>
      </w:r>
    </w:p>
    <w:p w14:paraId="6380A7C2" w14:textId="639DCA26" w:rsidR="00C0522A" w:rsidRDefault="00886682" w:rsidP="005555D1">
      <w:pPr>
        <w:pStyle w:val="BodyText"/>
      </w:pPr>
      <w:r w:rsidRPr="00886682">
        <w:t xml:space="preserve">Linking NMI client data to data sources outlined in section 2.1 has been </w:t>
      </w:r>
      <w:r w:rsidR="00996210">
        <w:t>useful</w:t>
      </w:r>
      <w:r w:rsidRPr="00886682">
        <w:t xml:space="preserve">, however there is scope for much richer analysis on NMI clients in the future if NMI client information is linked to the Business Longitudinal Analysis Data Environment (BLADE). The BLADE integrates administrative tax data and existing survey data collected by the Australian Bureau of Statistics. Though there are a number of limitations to such a linked dataset, BLADE allows for examination of firm characteristics beyond this report such as firm size, age and exporter status, as well as firm performance such as </w:t>
      </w:r>
      <w:r w:rsidR="00996210">
        <w:t xml:space="preserve">on </w:t>
      </w:r>
      <w:r w:rsidRPr="00886682">
        <w:t xml:space="preserve">turnover and employment. BLADE is also useful for establishing a counterfactual to compare aspects of firm performance between treated (NMI clients) </w:t>
      </w:r>
      <w:r w:rsidR="00D52116">
        <w:t xml:space="preserve">and untreated (non-NMI) firms. </w:t>
      </w:r>
    </w:p>
    <w:p w14:paraId="69924E9A" w14:textId="77777777" w:rsidR="00C0522A" w:rsidRDefault="00C0522A">
      <w:pPr>
        <w:spacing w:after="200" w:line="276" w:lineRule="auto"/>
        <w:ind w:left="0"/>
        <w:jc w:val="left"/>
        <w:rPr>
          <w:rFonts w:asciiTheme="minorHAnsi" w:hAnsiTheme="minorHAnsi"/>
        </w:rPr>
      </w:pPr>
      <w:r>
        <w:rPr>
          <w:rFonts w:asciiTheme="minorHAnsi" w:hAnsiTheme="minorHAnsi"/>
        </w:rPr>
        <w:br w:type="page"/>
      </w:r>
    </w:p>
    <w:p w14:paraId="24442733" w14:textId="01431AFD" w:rsidR="00886682" w:rsidRPr="00D52116" w:rsidRDefault="00886682" w:rsidP="00D52116">
      <w:pPr>
        <w:pStyle w:val="UnnumberedHeading"/>
      </w:pPr>
      <w:r w:rsidRPr="00886682">
        <w:lastRenderedPageBreak/>
        <w:t>6.</w:t>
      </w:r>
      <w:r w:rsidRPr="00886682">
        <w:tab/>
        <w:t>References</w:t>
      </w:r>
    </w:p>
    <w:p w14:paraId="6F7D43D3" w14:textId="3DF29A9D"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Australian Government IP Australia (2016) IP Government Open</w:t>
      </w:r>
      <w:r w:rsidR="00D52116">
        <w:rPr>
          <w:rFonts w:asciiTheme="minorHAnsi" w:hAnsiTheme="minorHAnsi"/>
        </w:rPr>
        <w:t xml:space="preserve"> Data, viewed 10th August 2017, </w:t>
      </w:r>
      <w:hyperlink r:id="rId46" w:tooltip="https://www.ipaustralia.gov.au/about-us/economics-ip/ip-government-open-data" w:history="1">
        <w:r w:rsidR="00D52116" w:rsidRPr="00CB05CD">
          <w:rPr>
            <w:rStyle w:val="Hyperlink"/>
            <w:rFonts w:asciiTheme="minorHAnsi" w:hAnsiTheme="minorHAnsi"/>
          </w:rPr>
          <w:t>https://www.ipaustralia.gov.au/about-us/economics-ip/ip-government-open-data</w:t>
        </w:r>
      </w:hyperlink>
      <w:r w:rsidR="00D52116">
        <w:rPr>
          <w:rFonts w:asciiTheme="minorHAnsi" w:hAnsiTheme="minorHAnsi"/>
        </w:rPr>
        <w:t xml:space="preserve"> </w:t>
      </w:r>
    </w:p>
    <w:p w14:paraId="7914264C" w14:textId="1F08AA0F"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Australian Government (2017) Accessing AB</w:t>
      </w:r>
      <w:r w:rsidR="00C0522A">
        <w:rPr>
          <w:rFonts w:asciiTheme="minorHAnsi" w:hAnsiTheme="minorHAnsi"/>
        </w:rPr>
        <w:t xml:space="preserve">R data, viewed 1st August 2017, </w:t>
      </w:r>
      <w:hyperlink r:id="rId47" w:tooltip="https://abr.gov.au/For-Government-agencies/Accessing-ABR-data/ " w:history="1">
        <w:r w:rsidR="00C0522A" w:rsidRPr="005B4497">
          <w:rPr>
            <w:rStyle w:val="Hyperlink"/>
            <w:rFonts w:asciiTheme="minorHAnsi" w:hAnsiTheme="minorHAnsi"/>
          </w:rPr>
          <w:t>https://abr.gov.au/For-Government-agencies/Accessing-ABR-data/</w:t>
        </w:r>
      </w:hyperlink>
      <w:r w:rsidR="00C0522A">
        <w:rPr>
          <w:rFonts w:asciiTheme="minorHAnsi" w:hAnsiTheme="minorHAnsi"/>
        </w:rPr>
        <w:t xml:space="preserve"> </w:t>
      </w:r>
    </w:p>
    <w:p w14:paraId="6BB224B5" w14:textId="25F8FDE3"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Australian Government (2017) R&amp;D Tax Inc</w:t>
      </w:r>
      <w:r w:rsidR="00C0522A">
        <w:rPr>
          <w:rFonts w:asciiTheme="minorHAnsi" w:hAnsiTheme="minorHAnsi"/>
        </w:rPr>
        <w:t xml:space="preserve">entive, viewed 10 August 2017, </w:t>
      </w:r>
      <w:hyperlink r:id="rId48" w:tooltip="https://www.business.gov.au/assistance/research-and-development-tax-incentive " w:history="1">
        <w:r w:rsidR="00C0522A" w:rsidRPr="005B4497">
          <w:rPr>
            <w:rStyle w:val="Hyperlink"/>
            <w:rFonts w:asciiTheme="minorHAnsi" w:hAnsiTheme="minorHAnsi"/>
          </w:rPr>
          <w:t>https://www.business.gov.au/assistance/research-and-development-tax-incentive</w:t>
        </w:r>
      </w:hyperlink>
      <w:r w:rsidR="00C0522A">
        <w:rPr>
          <w:rFonts w:asciiTheme="minorHAnsi" w:hAnsiTheme="minorHAnsi"/>
        </w:rPr>
        <w:t xml:space="preserve"> </w:t>
      </w:r>
    </w:p>
    <w:p w14:paraId="5C4715F5" w14:textId="23918330"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 xml:space="preserve">Swann, P (2009) The Economics of Metrology and Measurement, Report for National Measurement Office, Department of </w:t>
      </w:r>
      <w:r w:rsidR="00C0522A">
        <w:rPr>
          <w:rFonts w:asciiTheme="minorHAnsi" w:hAnsiTheme="minorHAnsi"/>
        </w:rPr>
        <w:t>Business, Innovation and Skills</w:t>
      </w:r>
    </w:p>
    <w:p w14:paraId="25913B36" w14:textId="209DC573"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The National Measurement Institute (2011) Report on the transition to a national trade measureme</w:t>
      </w:r>
      <w:r w:rsidR="00C0522A">
        <w:rPr>
          <w:rFonts w:asciiTheme="minorHAnsi" w:hAnsiTheme="minorHAnsi"/>
        </w:rPr>
        <w:t xml:space="preserve">nt scheme, viewed 29 May 2017, </w:t>
      </w:r>
      <w:hyperlink r:id="rId49" w:tooltip="http://www.measurement.gov.au/Documents/NTMTransitionReport.pdf " w:history="1">
        <w:r w:rsidR="00C0522A" w:rsidRPr="005B4497">
          <w:rPr>
            <w:rStyle w:val="Hyperlink"/>
            <w:rFonts w:asciiTheme="minorHAnsi" w:hAnsiTheme="minorHAnsi"/>
          </w:rPr>
          <w:t>http://www.measurement.gov.au/Documents/NTMTransitionReport.pdf</w:t>
        </w:r>
      </w:hyperlink>
      <w:r w:rsidR="00C0522A">
        <w:rPr>
          <w:rFonts w:asciiTheme="minorHAnsi" w:hAnsiTheme="minorHAnsi"/>
        </w:rPr>
        <w:t xml:space="preserve"> </w:t>
      </w:r>
    </w:p>
    <w:p w14:paraId="23245F5A" w14:textId="63C266E7" w:rsidR="00886682" w:rsidRPr="00886682" w:rsidRDefault="00886682" w:rsidP="00886682">
      <w:pPr>
        <w:spacing w:after="200" w:line="276" w:lineRule="auto"/>
        <w:ind w:left="0"/>
        <w:jc w:val="left"/>
        <w:rPr>
          <w:rFonts w:asciiTheme="minorHAnsi" w:hAnsiTheme="minorHAnsi"/>
        </w:rPr>
      </w:pPr>
      <w:r w:rsidRPr="00886682">
        <w:rPr>
          <w:rFonts w:asciiTheme="minorHAnsi" w:hAnsiTheme="minorHAnsi"/>
        </w:rPr>
        <w:t xml:space="preserve">The National Measurement </w:t>
      </w:r>
      <w:r w:rsidR="00C0522A">
        <w:rPr>
          <w:rFonts w:asciiTheme="minorHAnsi" w:hAnsiTheme="minorHAnsi"/>
        </w:rPr>
        <w:t xml:space="preserve">Institute, viewed 25 May 2017, </w:t>
      </w:r>
      <w:hyperlink r:id="rId50" w:tooltip="http://www.measurement.gov.au/Documents/NMIbrochure.pdf " w:history="1">
        <w:r w:rsidR="00C0522A" w:rsidRPr="005B4497">
          <w:rPr>
            <w:rStyle w:val="Hyperlink"/>
            <w:rFonts w:asciiTheme="minorHAnsi" w:hAnsiTheme="minorHAnsi"/>
          </w:rPr>
          <w:t>http://www.measurement.gov.au/Documents/NMIbrochure.pdf</w:t>
        </w:r>
      </w:hyperlink>
      <w:r w:rsidR="00C0522A">
        <w:rPr>
          <w:rFonts w:asciiTheme="minorHAnsi" w:hAnsiTheme="minorHAnsi"/>
        </w:rPr>
        <w:t xml:space="preserve"> </w:t>
      </w:r>
    </w:p>
    <w:p w14:paraId="714534DC" w14:textId="1A51F677" w:rsidR="00DC5EFA" w:rsidRPr="00C0522A" w:rsidRDefault="00886682" w:rsidP="00C0522A">
      <w:pPr>
        <w:spacing w:after="200" w:line="276" w:lineRule="auto"/>
        <w:ind w:left="0"/>
        <w:jc w:val="left"/>
        <w:rPr>
          <w:rFonts w:asciiTheme="minorHAnsi" w:hAnsiTheme="minorHAnsi"/>
        </w:rPr>
      </w:pPr>
      <w:r w:rsidRPr="00886682">
        <w:rPr>
          <w:rFonts w:asciiTheme="minorHAnsi" w:hAnsiTheme="minorHAnsi"/>
        </w:rPr>
        <w:t xml:space="preserve">Williamson S (2003) National analytical labs to merge, Australian Life </w:t>
      </w:r>
      <w:r w:rsidR="00C0522A">
        <w:rPr>
          <w:rFonts w:asciiTheme="minorHAnsi" w:hAnsiTheme="minorHAnsi"/>
        </w:rPr>
        <w:t xml:space="preserve">Scientist, viewed 25 May 2017, </w:t>
      </w:r>
      <w:hyperlink r:id="rId51" w:tooltip="http://www.labonline.com.au/content/life-scientist/news/national-analytical-labs-to-merge-556570644 " w:history="1">
        <w:r w:rsidR="00C0522A" w:rsidRPr="005B4497">
          <w:rPr>
            <w:rStyle w:val="Hyperlink"/>
          </w:rPr>
          <w:t>http://www.labonline.com.au/content/life-scientist/news/national-analytical-labs-to-merge-556570644</w:t>
        </w:r>
      </w:hyperlink>
      <w:r w:rsidR="00C0522A">
        <w:t xml:space="preserve"> </w:t>
      </w:r>
    </w:p>
    <w:sectPr w:rsidR="00DC5EFA" w:rsidRPr="00C0522A" w:rsidSect="0063036B">
      <w:footerReference w:type="default" r:id="rId52"/>
      <w:footerReference w:type="first" r:id="rId53"/>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A1442" w14:textId="77777777" w:rsidR="003852C9" w:rsidRDefault="003852C9" w:rsidP="00F244EA">
      <w:pPr>
        <w:spacing w:after="0" w:line="240" w:lineRule="auto"/>
      </w:pPr>
      <w:r>
        <w:separator/>
      </w:r>
    </w:p>
  </w:endnote>
  <w:endnote w:type="continuationSeparator" w:id="0">
    <w:p w14:paraId="080562AC" w14:textId="77777777" w:rsidR="003852C9" w:rsidRDefault="003852C9" w:rsidP="00F244EA">
      <w:pPr>
        <w:spacing w:after="0" w:line="240" w:lineRule="auto"/>
      </w:pPr>
      <w:r>
        <w:continuationSeparator/>
      </w:r>
    </w:p>
  </w:endnote>
  <w:endnote w:type="continuationNotice" w:id="1">
    <w:p w14:paraId="1322A59E" w14:textId="77777777" w:rsidR="003852C9" w:rsidRDefault="00385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17F6" w14:textId="77777777" w:rsidR="003852C9" w:rsidRPr="001C2E57" w:rsidRDefault="003852C9" w:rsidP="00301D88">
    <w:pPr>
      <w:pStyle w:val="Footer"/>
      <w:tabs>
        <w:tab w:val="clear" w:pos="9680"/>
      </w:tabs>
    </w:pPr>
    <w:r w:rsidRPr="001C2E57">
      <w:fldChar w:fldCharType="begin"/>
    </w:r>
    <w:r w:rsidRPr="001C2E57">
      <w:instrText>IF</w:instrText>
    </w:r>
    <w:r w:rsidR="00B177DE">
      <w:rPr>
        <w:noProof/>
      </w:rPr>
      <w:fldChar w:fldCharType="begin"/>
    </w:r>
    <w:r w:rsidR="00B177DE">
      <w:rPr>
        <w:noProof/>
      </w:rPr>
      <w:instrText xml:space="preserve"> STYLEREF "Title Heading" \* Charformat </w:instrText>
    </w:r>
    <w:r w:rsidR="00B177DE">
      <w:rPr>
        <w:noProof/>
      </w:rPr>
      <w:fldChar w:fldCharType="separate"/>
    </w:r>
    <w:r w:rsidR="00A949D8">
      <w:rPr>
        <w:noProof/>
      </w:rPr>
      <w:instrText>An analysis of the National Measurement Institute’s client base</w:instrText>
    </w:r>
    <w:r w:rsidR="00B177DE">
      <w:rPr>
        <w:noProof/>
      </w:rPr>
      <w:fldChar w:fldCharType="end"/>
    </w:r>
    <w:r w:rsidRPr="001C2E57">
      <w:instrText xml:space="preserve"> &lt;&gt; "Error*" </w:instrText>
    </w:r>
    <w:r w:rsidR="00B177DE">
      <w:rPr>
        <w:noProof/>
      </w:rPr>
      <w:fldChar w:fldCharType="begin"/>
    </w:r>
    <w:r w:rsidR="00B177DE">
      <w:rPr>
        <w:noProof/>
      </w:rPr>
      <w:instrText xml:space="preserve"> STYLEREF "Title Heading" \* Charformat </w:instrText>
    </w:r>
    <w:r w:rsidR="00B177DE">
      <w:rPr>
        <w:noProof/>
      </w:rPr>
      <w:fldChar w:fldCharType="separate"/>
    </w:r>
    <w:r w:rsidR="00A949D8">
      <w:rPr>
        <w:noProof/>
      </w:rPr>
      <w:instrText>An analysis of the National Measurement Institute’s client base</w:instrText>
    </w:r>
    <w:r w:rsidR="00B177DE">
      <w:rPr>
        <w:noProof/>
      </w:rPr>
      <w:fldChar w:fldCharType="end"/>
    </w:r>
    <w:r w:rsidRPr="001C2E57">
      <w:instrText xml:space="preserve"> </w:instrText>
    </w:r>
    <w:r w:rsidRPr="001C2E57">
      <w:fldChar w:fldCharType="separate"/>
    </w:r>
    <w:r w:rsidR="00A949D8">
      <w:rPr>
        <w:noProof/>
      </w:rPr>
      <w:t>An analysis of the National Measurement Institute’s client base</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949D8">
      <w:rPr>
        <w:noProof/>
      </w:rPr>
      <w:t>26</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9C97" w14:textId="77777777" w:rsidR="003852C9" w:rsidRPr="001C2E57" w:rsidRDefault="003852C9" w:rsidP="00E35ECE">
    <w:pPr>
      <w:pStyle w:val="Footer"/>
    </w:pPr>
    <w:r w:rsidRPr="001C2E57">
      <w:fldChar w:fldCharType="begin"/>
    </w:r>
    <w:r w:rsidRPr="001C2E57">
      <w:instrText>IF</w:instrText>
    </w:r>
    <w:r w:rsidR="00B177DE">
      <w:rPr>
        <w:noProof/>
      </w:rPr>
      <w:fldChar w:fldCharType="begin"/>
    </w:r>
    <w:r w:rsidR="00B177DE">
      <w:rPr>
        <w:noProof/>
      </w:rPr>
      <w:instrText xml:space="preserve"> STYLEREF "Title Heading" \* Charformat </w:instrText>
    </w:r>
    <w:r w:rsidR="00B177DE">
      <w:rPr>
        <w:noProof/>
      </w:rPr>
      <w:fldChar w:fldCharType="separate"/>
    </w:r>
    <w:r>
      <w:rPr>
        <w:noProof/>
      </w:rPr>
      <w:instrText>An analysis of the National Measurement Institute’s client base</w:instrText>
    </w:r>
    <w:r w:rsidR="00B177DE">
      <w:rPr>
        <w:noProof/>
      </w:rPr>
      <w:fldChar w:fldCharType="end"/>
    </w:r>
    <w:r w:rsidRPr="001C2E57">
      <w:instrText xml:space="preserve"> &lt;&gt; "Error*" </w:instrText>
    </w:r>
    <w:r w:rsidR="00B177DE">
      <w:rPr>
        <w:noProof/>
      </w:rPr>
      <w:fldChar w:fldCharType="begin"/>
    </w:r>
    <w:r w:rsidR="00B177DE">
      <w:rPr>
        <w:noProof/>
      </w:rPr>
      <w:instrText xml:space="preserve"> STYLEREF "Title Heading" \* Charformat </w:instrText>
    </w:r>
    <w:r w:rsidR="00B177DE">
      <w:rPr>
        <w:noProof/>
      </w:rPr>
      <w:fldChar w:fldCharType="separate"/>
    </w:r>
    <w:r>
      <w:rPr>
        <w:noProof/>
      </w:rPr>
      <w:instrText>An analysis of the National Measurement Institute’s client base</w:instrText>
    </w:r>
    <w:r w:rsidR="00B177DE">
      <w:rPr>
        <w:noProof/>
      </w:rPr>
      <w:fldChar w:fldCharType="end"/>
    </w:r>
    <w:r w:rsidRPr="001C2E57">
      <w:instrText xml:space="preserve"> </w:instrText>
    </w:r>
    <w:r w:rsidRPr="001C2E57">
      <w:fldChar w:fldCharType="separate"/>
    </w:r>
    <w:r>
      <w:rPr>
        <w:noProof/>
      </w:rPr>
      <w:t>An analysis of the National Measurement Institute’s client base</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81ED5" w14:textId="77777777" w:rsidR="003852C9" w:rsidRDefault="003852C9" w:rsidP="007A451E">
      <w:pPr>
        <w:spacing w:after="0" w:line="240" w:lineRule="auto"/>
        <w:ind w:left="0"/>
        <w:jc w:val="left"/>
      </w:pPr>
      <w:r>
        <w:separator/>
      </w:r>
    </w:p>
  </w:footnote>
  <w:footnote w:type="continuationSeparator" w:id="0">
    <w:p w14:paraId="6229B589" w14:textId="77777777" w:rsidR="003852C9" w:rsidRDefault="003852C9" w:rsidP="00F244EA">
      <w:pPr>
        <w:spacing w:after="0" w:line="240" w:lineRule="auto"/>
      </w:pPr>
      <w:r>
        <w:continuationSeparator/>
      </w:r>
    </w:p>
  </w:footnote>
  <w:footnote w:type="continuationNotice" w:id="1">
    <w:p w14:paraId="52CE2F0F" w14:textId="77777777" w:rsidR="003852C9" w:rsidRDefault="003852C9">
      <w:pPr>
        <w:spacing w:after="0" w:line="240" w:lineRule="auto"/>
      </w:pPr>
    </w:p>
  </w:footnote>
  <w:footnote w:id="2">
    <w:p w14:paraId="44478FA2" w14:textId="3DE4FAE1" w:rsidR="003852C9" w:rsidRDefault="003852C9" w:rsidP="007A451E">
      <w:pPr>
        <w:pStyle w:val="FootnoteText"/>
        <w:ind w:left="108"/>
        <w:jc w:val="left"/>
      </w:pPr>
      <w:r>
        <w:rPr>
          <w:rStyle w:val="FootnoteReference"/>
        </w:rPr>
        <w:footnoteRef/>
      </w:r>
      <w:r>
        <w:t xml:space="preserve"> The National Measurement Institute, viewed 25 May, </w:t>
      </w:r>
      <w:hyperlink r:id="rId1" w:tooltip="http://www.measurement.gov.au/Documents/NMIbrochure.pdf" w:history="1">
        <w:r w:rsidRPr="00CB05CD">
          <w:rPr>
            <w:rStyle w:val="Hyperlink"/>
          </w:rPr>
          <w:t>http://www.measurement.gov.au/Documents/NMIbrochure.pdf</w:t>
        </w:r>
      </w:hyperlink>
      <w:r>
        <w:t xml:space="preserve"> </w:t>
      </w:r>
    </w:p>
  </w:footnote>
  <w:footnote w:id="3">
    <w:p w14:paraId="3642219C" w14:textId="77C32E46" w:rsidR="003852C9" w:rsidRDefault="003852C9" w:rsidP="007A451E">
      <w:pPr>
        <w:pStyle w:val="FootnoteText"/>
        <w:ind w:left="108"/>
        <w:jc w:val="left"/>
      </w:pPr>
      <w:r>
        <w:rPr>
          <w:rStyle w:val="FootnoteReference"/>
        </w:rPr>
        <w:footnoteRef/>
      </w:r>
      <w:r>
        <w:t xml:space="preserve"> Williamson S (2003) National analytical labs to merge, </w:t>
      </w:r>
      <w:r w:rsidRPr="008C7E82">
        <w:rPr>
          <w:i/>
        </w:rPr>
        <w:t>Australian Life Scientist</w:t>
      </w:r>
      <w:r>
        <w:t xml:space="preserve">, viewed 25 May, </w:t>
      </w:r>
      <w:hyperlink r:id="rId2" w:tooltip="http://www.labonline.com.au/content/life-scientist/news/national-analytical-labs-to-merge-556570644" w:history="1">
        <w:r w:rsidRPr="00CB05CD">
          <w:rPr>
            <w:rStyle w:val="Hyperlink"/>
          </w:rPr>
          <w:t>http://www.labonline.com.au/content/life-scientist/news/national-analytical-labs-to-merge-556570644</w:t>
        </w:r>
      </w:hyperlink>
      <w:r>
        <w:t xml:space="preserve"> </w:t>
      </w:r>
    </w:p>
  </w:footnote>
  <w:footnote w:id="4">
    <w:p w14:paraId="0B8C0B64" w14:textId="7551555E" w:rsidR="003852C9" w:rsidRDefault="003852C9" w:rsidP="007A451E">
      <w:pPr>
        <w:pStyle w:val="FootnoteText"/>
        <w:ind w:left="108"/>
        <w:jc w:val="left"/>
      </w:pPr>
      <w:r>
        <w:rPr>
          <w:rStyle w:val="FootnoteReference"/>
        </w:rPr>
        <w:footnoteRef/>
      </w:r>
      <w:r>
        <w:t xml:space="preserve"> </w:t>
      </w:r>
      <w:r w:rsidRPr="00AF5C26">
        <w:t>For further discussion on the economic benefits of measurement, see Robertson,K &amp; Swanepoel, J. (2015) The economics of metrology, Canberra, Department of Industry, Innovation and Science</w:t>
      </w:r>
    </w:p>
  </w:footnote>
  <w:footnote w:id="5">
    <w:p w14:paraId="179BA23B" w14:textId="5653ACEC" w:rsidR="003852C9" w:rsidRDefault="003852C9" w:rsidP="007A451E">
      <w:pPr>
        <w:pStyle w:val="FootnoteText"/>
        <w:ind w:left="108"/>
        <w:jc w:val="left"/>
      </w:pPr>
      <w:r>
        <w:rPr>
          <w:rStyle w:val="FootnoteReference"/>
        </w:rPr>
        <w:footnoteRef/>
      </w:r>
      <w:r>
        <w:t xml:space="preserve"> NMI’s Test &amp; Calibration database begins in 2005</w:t>
      </w:r>
      <w:r>
        <w:rPr>
          <w:rFonts w:ascii="Calibri" w:hAnsi="Calibri"/>
        </w:rPr>
        <w:t>–</w:t>
      </w:r>
      <w:r>
        <w:t>06</w:t>
      </w:r>
    </w:p>
  </w:footnote>
  <w:footnote w:id="6">
    <w:p w14:paraId="7BA4828C" w14:textId="074AD347" w:rsidR="003852C9" w:rsidRDefault="003852C9" w:rsidP="00150E54">
      <w:pPr>
        <w:pStyle w:val="FootnoteText"/>
        <w:ind w:left="0" w:firstLine="0"/>
        <w:jc w:val="left"/>
      </w:pPr>
      <w:r>
        <w:rPr>
          <w:rStyle w:val="FootnoteReference"/>
        </w:rPr>
        <w:footnoteRef/>
      </w:r>
      <w:r>
        <w:t xml:space="preserve"> Australian Government (2017) Accessing ABR data, viewed 1</w:t>
      </w:r>
      <w:r w:rsidRPr="00430128">
        <w:rPr>
          <w:vertAlign w:val="superscript"/>
        </w:rPr>
        <w:t>st</w:t>
      </w:r>
      <w:r>
        <w:t xml:space="preserve"> August 2017,</w:t>
      </w:r>
      <w:r w:rsidRPr="007A451E">
        <w:t xml:space="preserve"> </w:t>
      </w:r>
      <w:hyperlink r:id="rId3" w:tooltip="https://www.ipaustralia.gov.au/about-us/economics-ip/ip-government-open-data" w:history="1">
        <w:r w:rsidRPr="00CB05CD">
          <w:rPr>
            <w:rStyle w:val="Hyperlink"/>
          </w:rPr>
          <w:t>https://www.ipaustralia.gov.au/about-us/economics-ip/ip-government-open-data</w:t>
        </w:r>
      </w:hyperlink>
      <w:r>
        <w:t xml:space="preserve"> </w:t>
      </w:r>
    </w:p>
  </w:footnote>
  <w:footnote w:id="7">
    <w:p w14:paraId="649E0975" w14:textId="7E19C929" w:rsidR="003852C9" w:rsidRDefault="003852C9" w:rsidP="00150E54">
      <w:pPr>
        <w:pStyle w:val="FootnoteText"/>
        <w:ind w:left="108"/>
      </w:pPr>
      <w:r>
        <w:rPr>
          <w:rStyle w:val="FootnoteReference"/>
        </w:rPr>
        <w:footnoteRef/>
      </w:r>
      <w:r>
        <w:t xml:space="preserve"> Australian Government IP Australia (2016) IP Government Open Data, viewed 10</w:t>
      </w:r>
      <w:r w:rsidRPr="003F5B80">
        <w:rPr>
          <w:vertAlign w:val="superscript"/>
        </w:rPr>
        <w:t>th</w:t>
      </w:r>
      <w:r>
        <w:t xml:space="preserve"> August 2017, </w:t>
      </w:r>
      <w:hyperlink r:id="rId4" w:tooltip="https://www.ipaustralia.gov.au/about-us/economics-ip/ip-government-open-data" w:history="1">
        <w:r w:rsidRPr="00CB05CD">
          <w:rPr>
            <w:rStyle w:val="Hyperlink"/>
          </w:rPr>
          <w:t>https://www.ipaustralia.gov.au/about-us/economics-ip/ip-government-open-data</w:t>
        </w:r>
      </w:hyperlink>
      <w:r>
        <w:t xml:space="preserve"> </w:t>
      </w:r>
    </w:p>
  </w:footnote>
  <w:footnote w:id="8">
    <w:p w14:paraId="27BE4E2B" w14:textId="3203E057" w:rsidR="003852C9" w:rsidRDefault="003852C9" w:rsidP="007A451E">
      <w:pPr>
        <w:pStyle w:val="FootnoteText"/>
        <w:ind w:left="108"/>
        <w:jc w:val="left"/>
      </w:pPr>
      <w:r>
        <w:rPr>
          <w:rStyle w:val="FootnoteReference"/>
        </w:rPr>
        <w:footnoteRef/>
      </w:r>
      <w:r>
        <w:t xml:space="preserve"> Non-employing businesses include arrangements such as residential and commercial property strata bodies and corporate and trust structures whose main purpose is legal or financial in nature. Typically DIIS interacts with employing firms.</w:t>
      </w:r>
    </w:p>
  </w:footnote>
  <w:footnote w:id="9">
    <w:p w14:paraId="1EE15380" w14:textId="36E02A34" w:rsidR="003852C9" w:rsidRDefault="003852C9" w:rsidP="007A451E">
      <w:pPr>
        <w:pStyle w:val="FootnoteText"/>
        <w:ind w:left="74"/>
        <w:jc w:val="left"/>
      </w:pPr>
      <w:r>
        <w:rPr>
          <w:rStyle w:val="FootnoteReference"/>
        </w:rPr>
        <w:footnoteRef/>
      </w:r>
      <w:r>
        <w:t xml:space="preserve"> Read more about growth centres here: </w:t>
      </w:r>
      <w:hyperlink r:id="rId5" w:tooltip="https://industry.gov.au/industry/Industry-Growth-Centres/Pages/default.aspx" w:history="1">
        <w:r w:rsidRPr="00CB05CD">
          <w:rPr>
            <w:rStyle w:val="Hyperlink"/>
          </w:rPr>
          <w:t>https://industry.gov.au/industry/Industry-Growth-Centres/Pages/default.aspx</w:t>
        </w:r>
      </w:hyperlink>
      <w:r>
        <w:t xml:space="preserve"> </w:t>
      </w:r>
    </w:p>
  </w:footnote>
  <w:footnote w:id="10">
    <w:p w14:paraId="2A16B227" w14:textId="4D550A2F" w:rsidR="003852C9" w:rsidRDefault="003852C9" w:rsidP="00376C02">
      <w:pPr>
        <w:pStyle w:val="FootnoteText"/>
        <w:ind w:left="0" w:firstLine="0"/>
      </w:pPr>
      <w:r>
        <w:rPr>
          <w:rStyle w:val="FootnoteReference"/>
        </w:rPr>
        <w:footnoteRef/>
      </w:r>
      <w:r>
        <w:t xml:space="preserve"> Cyber security was recently added as a sixth growth sector, however does not have assigned ANZSIC classes. </w:t>
      </w:r>
    </w:p>
  </w:footnote>
  <w:footnote w:id="11">
    <w:p w14:paraId="3E525C96" w14:textId="13DAD81B" w:rsidR="003852C9" w:rsidRDefault="003852C9" w:rsidP="007A451E">
      <w:pPr>
        <w:pStyle w:val="FootnoteText"/>
        <w:ind w:left="108"/>
        <w:jc w:val="left"/>
      </w:pPr>
      <w:r>
        <w:rPr>
          <w:rStyle w:val="FootnoteReference"/>
        </w:rPr>
        <w:footnoteRef/>
      </w:r>
      <w:r>
        <w:t xml:space="preserve"> Australian Bureau of Statistics Cat. No. 8170.0 Characteristics of Businesses in Selected Growth Centres, Australia, 2013-14, </w:t>
      </w:r>
      <w:hyperlink r:id="rId6" w:tooltip="http://www.abs.gov.au/AUSSTATS/abs@.nsf/DetailsPage/8170.02013-14?OpenDocument" w:history="1">
        <w:r w:rsidRPr="00CB05CD">
          <w:rPr>
            <w:rStyle w:val="Hyperlink"/>
          </w:rPr>
          <w:t>http://www.abs.gov.au/AUSSTATS/abs@.nsf/DetailsPage/8170.02013-14?OpenDocument</w:t>
        </w:r>
      </w:hyperlink>
      <w:r>
        <w:t xml:space="preserve"> </w:t>
      </w:r>
    </w:p>
  </w:footnote>
  <w:footnote w:id="12">
    <w:p w14:paraId="2E87B32E" w14:textId="14743C77" w:rsidR="003852C9" w:rsidRDefault="003852C9" w:rsidP="007A451E">
      <w:pPr>
        <w:pStyle w:val="FootnoteText"/>
        <w:ind w:left="108"/>
        <w:jc w:val="left"/>
      </w:pPr>
      <w:r>
        <w:rPr>
          <w:rStyle w:val="FootnoteReference"/>
        </w:rPr>
        <w:footnoteRef/>
      </w:r>
      <w:r>
        <w:t xml:space="preserve"> ABS Cat. No. 8165.0, Counts of Australian Businesses, including Entries and Exits, Jun 2012 to Jun 2016</w:t>
      </w:r>
    </w:p>
  </w:footnote>
  <w:footnote w:id="13">
    <w:p w14:paraId="229C62CE" w14:textId="1ACFD9E3" w:rsidR="003852C9" w:rsidRDefault="003852C9" w:rsidP="007A451E">
      <w:pPr>
        <w:pStyle w:val="FootnoteText"/>
        <w:ind w:left="108"/>
        <w:jc w:val="left"/>
      </w:pPr>
      <w:r>
        <w:rPr>
          <w:rStyle w:val="FootnoteReference"/>
        </w:rPr>
        <w:footnoteRef/>
      </w:r>
      <w:r>
        <w:t xml:space="preserve"> Previously the R&amp;D Tax Concession programme preceding 2011</w:t>
      </w:r>
      <w:r>
        <w:rPr>
          <w:rFonts w:ascii="Calibri" w:hAnsi="Calibri"/>
        </w:rPr>
        <w:t>–</w:t>
      </w:r>
      <w:r>
        <w:t>12</w:t>
      </w:r>
    </w:p>
  </w:footnote>
  <w:footnote w:id="14">
    <w:p w14:paraId="1CC7E91D" w14:textId="0C77617E" w:rsidR="003852C9" w:rsidRDefault="003852C9" w:rsidP="007A451E">
      <w:pPr>
        <w:pStyle w:val="FootnoteText"/>
        <w:ind w:left="74"/>
        <w:jc w:val="left"/>
      </w:pPr>
      <w:r>
        <w:rPr>
          <w:rStyle w:val="FootnoteReference"/>
        </w:rPr>
        <w:footnoteRef/>
      </w:r>
      <w:r>
        <w:t xml:space="preserve"> Australian Government (2017) R&amp;D Tax Incentive, viewed 10 August 2017, </w:t>
      </w:r>
      <w:hyperlink r:id="rId7" w:tooltip="https://www.business.gov.au/assistance/research-and-development-tax-incentive" w:history="1">
        <w:r w:rsidRPr="00BB4F8E">
          <w:rPr>
            <w:rStyle w:val="Hyperlink"/>
          </w:rPr>
          <w:t>https://www.business.gov.au/assistance/research-and-development-tax-incentive</w:t>
        </w:r>
      </w:hyperlink>
      <w:r>
        <w:t xml:space="preserve"> </w:t>
      </w:r>
    </w:p>
  </w:footnote>
  <w:footnote w:id="15">
    <w:p w14:paraId="7C04D199" w14:textId="7A29A357" w:rsidR="003852C9" w:rsidRDefault="003852C9" w:rsidP="007A451E">
      <w:pPr>
        <w:pStyle w:val="FootnoteText"/>
        <w:ind w:left="108"/>
        <w:jc w:val="left"/>
      </w:pPr>
      <w:r>
        <w:rPr>
          <w:rStyle w:val="FootnoteReference"/>
        </w:rPr>
        <w:footnoteRef/>
      </w:r>
      <w:r>
        <w:t xml:space="preserve"> ABS Cat. No. 8165.0, Counts of Australian Businesses, including Entries and Exits, Jun 2012 to Jun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7A3A93"/>
    <w:multiLevelType w:val="multilevel"/>
    <w:tmpl w:val="7D22E52C"/>
    <w:numStyleLink w:val="OCEBulletedList"/>
  </w:abstractNum>
  <w:abstractNum w:abstractNumId="2"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933F4"/>
    <w:multiLevelType w:val="multilevel"/>
    <w:tmpl w:val="7D22E52C"/>
    <w:numStyleLink w:val="OCEBulletedList"/>
  </w:abstractNum>
  <w:abstractNum w:abstractNumId="4" w15:restartNumberingAfterBreak="0">
    <w:nsid w:val="159A6EC1"/>
    <w:multiLevelType w:val="multilevel"/>
    <w:tmpl w:val="3BFA39A6"/>
    <w:numStyleLink w:val="OCENumberedList"/>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9" w15:restartNumberingAfterBreak="0">
    <w:nsid w:val="343D5378"/>
    <w:multiLevelType w:val="multilevel"/>
    <w:tmpl w:val="7D22E52C"/>
    <w:numStyleLink w:val="OCEBulletedList"/>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13C507C"/>
    <w:multiLevelType w:val="multilevel"/>
    <w:tmpl w:val="7D22E52C"/>
    <w:numStyleLink w:val="OCEBulletedList"/>
  </w:abstractNum>
  <w:abstractNum w:abstractNumId="12"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3813CDC"/>
    <w:multiLevelType w:val="multilevel"/>
    <w:tmpl w:val="D5BAF582"/>
    <w:numStyleLink w:val="OCEHeadings"/>
  </w:abstractNum>
  <w:abstractNum w:abstractNumId="15" w15:restartNumberingAfterBreak="0">
    <w:nsid w:val="69925004"/>
    <w:multiLevelType w:val="multilevel"/>
    <w:tmpl w:val="7D22E52C"/>
    <w:numStyleLink w:val="OCEBulletedList"/>
  </w:abstractNum>
  <w:abstractNum w:abstractNumId="16" w15:restartNumberingAfterBreak="0">
    <w:nsid w:val="755C274A"/>
    <w:multiLevelType w:val="multilevel"/>
    <w:tmpl w:val="7D22E52C"/>
    <w:numStyleLink w:val="OCEBulletedList"/>
  </w:abstractNum>
  <w:abstractNum w:abstractNumId="17" w15:restartNumberingAfterBreak="0">
    <w:nsid w:val="768D4473"/>
    <w:multiLevelType w:val="multilevel"/>
    <w:tmpl w:val="7D22E52C"/>
    <w:numStyleLink w:val="OCEBulletedList"/>
  </w:abstractNum>
  <w:abstractNum w:abstractNumId="18" w15:restartNumberingAfterBreak="0">
    <w:nsid w:val="7AAF61C4"/>
    <w:multiLevelType w:val="multilevel"/>
    <w:tmpl w:val="7D22E52C"/>
    <w:numStyleLink w:val="OCEBulletedList"/>
  </w:abstractNum>
  <w:abstractNum w:abstractNumId="1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0"/>
  </w:num>
  <w:num w:numId="4">
    <w:abstractNumId w:val="13"/>
  </w:num>
  <w:num w:numId="5">
    <w:abstractNumId w:val="7"/>
  </w:num>
  <w:num w:numId="6">
    <w:abstractNumId w:val="6"/>
  </w:num>
  <w:num w:numId="7">
    <w:abstractNumId w:val="12"/>
  </w:num>
  <w:num w:numId="8">
    <w:abstractNumId w:val="5"/>
  </w:num>
  <w:num w:numId="9">
    <w:abstractNumId w:val="14"/>
  </w:num>
  <w:num w:numId="10">
    <w:abstractNumId w:val="14"/>
  </w:num>
  <w:num w:numId="11">
    <w:abstractNumId w:val="16"/>
  </w:num>
  <w:num w:numId="12">
    <w:abstractNumId w:val="4"/>
  </w:num>
  <w:num w:numId="13">
    <w:abstractNumId w:val="13"/>
  </w:num>
  <w:num w:numId="14">
    <w:abstractNumId w:val="12"/>
  </w:num>
  <w:num w:numId="15">
    <w:abstractNumId w:val="12"/>
  </w:num>
  <w:num w:numId="16">
    <w:abstractNumId w:val="4"/>
  </w:num>
  <w:num w:numId="17">
    <w:abstractNumId w:val="5"/>
  </w:num>
  <w:num w:numId="18">
    <w:abstractNumId w:val="14"/>
  </w:num>
  <w:num w:numId="19">
    <w:abstractNumId w:val="14"/>
  </w:num>
  <w:num w:numId="20">
    <w:abstractNumId w:val="14"/>
  </w:num>
  <w:num w:numId="21">
    <w:abstractNumId w:val="8"/>
  </w:num>
  <w:num w:numId="22">
    <w:abstractNumId w:val="2"/>
  </w:num>
  <w:num w:numId="23">
    <w:abstractNumId w:val="15"/>
  </w:num>
  <w:num w:numId="24">
    <w:abstractNumId w:val="1"/>
  </w:num>
  <w:num w:numId="25">
    <w:abstractNumId w:val="13"/>
  </w:num>
  <w:num w:numId="26">
    <w:abstractNumId w:val="13"/>
  </w:num>
  <w:num w:numId="27">
    <w:abstractNumId w:val="11"/>
  </w:num>
  <w:num w:numId="28">
    <w:abstractNumId w:val="9"/>
  </w:num>
  <w:num w:numId="29">
    <w:abstractNumId w:val="17"/>
  </w:num>
  <w:num w:numId="30">
    <w:abstractNumId w:val="18"/>
  </w:num>
  <w:num w:numId="31">
    <w:abstractNumId w:val="3"/>
  </w:num>
  <w:num w:numId="32">
    <w:abstractNumId w:val="12"/>
  </w:num>
  <w:num w:numId="33">
    <w:abstractNumId w:val="12"/>
  </w:num>
  <w:num w:numId="34">
    <w:abstractNumId w:val="13"/>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3B"/>
    <w:rsid w:val="00000A47"/>
    <w:rsid w:val="00002F55"/>
    <w:rsid w:val="000036F1"/>
    <w:rsid w:val="00003B81"/>
    <w:rsid w:val="00004365"/>
    <w:rsid w:val="00004BF6"/>
    <w:rsid w:val="00007EBB"/>
    <w:rsid w:val="00010903"/>
    <w:rsid w:val="0001161C"/>
    <w:rsid w:val="00011BE7"/>
    <w:rsid w:val="000122D8"/>
    <w:rsid w:val="00013F4A"/>
    <w:rsid w:val="00013F80"/>
    <w:rsid w:val="00017BB5"/>
    <w:rsid w:val="000238B9"/>
    <w:rsid w:val="0002648C"/>
    <w:rsid w:val="00035325"/>
    <w:rsid w:val="00037B42"/>
    <w:rsid w:val="0004096E"/>
    <w:rsid w:val="00041FE3"/>
    <w:rsid w:val="00042995"/>
    <w:rsid w:val="00042AB8"/>
    <w:rsid w:val="00043051"/>
    <w:rsid w:val="00047373"/>
    <w:rsid w:val="000502B3"/>
    <w:rsid w:val="0005753A"/>
    <w:rsid w:val="00060184"/>
    <w:rsid w:val="00060761"/>
    <w:rsid w:val="00060CE1"/>
    <w:rsid w:val="000614AF"/>
    <w:rsid w:val="000618FB"/>
    <w:rsid w:val="000641E0"/>
    <w:rsid w:val="0006492D"/>
    <w:rsid w:val="00067812"/>
    <w:rsid w:val="00070749"/>
    <w:rsid w:val="0007137D"/>
    <w:rsid w:val="000728D2"/>
    <w:rsid w:val="00072BFF"/>
    <w:rsid w:val="00073572"/>
    <w:rsid w:val="000755A6"/>
    <w:rsid w:val="00076E42"/>
    <w:rsid w:val="00082BF4"/>
    <w:rsid w:val="00083E71"/>
    <w:rsid w:val="00090174"/>
    <w:rsid w:val="000904D3"/>
    <w:rsid w:val="000920D2"/>
    <w:rsid w:val="00093B48"/>
    <w:rsid w:val="000A011E"/>
    <w:rsid w:val="000A0441"/>
    <w:rsid w:val="000A29BA"/>
    <w:rsid w:val="000A3D7F"/>
    <w:rsid w:val="000A4E45"/>
    <w:rsid w:val="000A5452"/>
    <w:rsid w:val="000A5CFF"/>
    <w:rsid w:val="000A6370"/>
    <w:rsid w:val="000A63C0"/>
    <w:rsid w:val="000A6F5B"/>
    <w:rsid w:val="000B279E"/>
    <w:rsid w:val="000B2C1B"/>
    <w:rsid w:val="000B2DFC"/>
    <w:rsid w:val="000B5BC7"/>
    <w:rsid w:val="000B7F7A"/>
    <w:rsid w:val="000C03CF"/>
    <w:rsid w:val="000C0DD7"/>
    <w:rsid w:val="000C19CB"/>
    <w:rsid w:val="000C54D4"/>
    <w:rsid w:val="000C5C3C"/>
    <w:rsid w:val="000C6AD6"/>
    <w:rsid w:val="000D33DA"/>
    <w:rsid w:val="000D5123"/>
    <w:rsid w:val="000E0B45"/>
    <w:rsid w:val="000E415F"/>
    <w:rsid w:val="000F0460"/>
    <w:rsid w:val="000F0E5C"/>
    <w:rsid w:val="00100B74"/>
    <w:rsid w:val="00101A29"/>
    <w:rsid w:val="00107A3F"/>
    <w:rsid w:val="00112208"/>
    <w:rsid w:val="00114BB1"/>
    <w:rsid w:val="0011640A"/>
    <w:rsid w:val="00116E58"/>
    <w:rsid w:val="0012045F"/>
    <w:rsid w:val="00120E94"/>
    <w:rsid w:val="001243D4"/>
    <w:rsid w:val="001246EC"/>
    <w:rsid w:val="00125971"/>
    <w:rsid w:val="0013066A"/>
    <w:rsid w:val="00134B28"/>
    <w:rsid w:val="00135E19"/>
    <w:rsid w:val="00137D4F"/>
    <w:rsid w:val="00142B07"/>
    <w:rsid w:val="0014546D"/>
    <w:rsid w:val="00146A24"/>
    <w:rsid w:val="00146C25"/>
    <w:rsid w:val="0015000D"/>
    <w:rsid w:val="00150E54"/>
    <w:rsid w:val="001517A1"/>
    <w:rsid w:val="00151D5A"/>
    <w:rsid w:val="00156B5B"/>
    <w:rsid w:val="00162265"/>
    <w:rsid w:val="00162D94"/>
    <w:rsid w:val="00163D6E"/>
    <w:rsid w:val="00164DFB"/>
    <w:rsid w:val="001658D2"/>
    <w:rsid w:val="00166576"/>
    <w:rsid w:val="00166996"/>
    <w:rsid w:val="00167474"/>
    <w:rsid w:val="0017293E"/>
    <w:rsid w:val="001732B4"/>
    <w:rsid w:val="00174624"/>
    <w:rsid w:val="0017468E"/>
    <w:rsid w:val="00180E4F"/>
    <w:rsid w:val="00182B15"/>
    <w:rsid w:val="001862AC"/>
    <w:rsid w:val="00186D3D"/>
    <w:rsid w:val="001900EE"/>
    <w:rsid w:val="0019168F"/>
    <w:rsid w:val="00191EAF"/>
    <w:rsid w:val="00195C83"/>
    <w:rsid w:val="001A2664"/>
    <w:rsid w:val="001A322A"/>
    <w:rsid w:val="001A3451"/>
    <w:rsid w:val="001A48B2"/>
    <w:rsid w:val="001A4E10"/>
    <w:rsid w:val="001A6352"/>
    <w:rsid w:val="001B032F"/>
    <w:rsid w:val="001B345E"/>
    <w:rsid w:val="001B3F96"/>
    <w:rsid w:val="001B54B9"/>
    <w:rsid w:val="001B6316"/>
    <w:rsid w:val="001B6554"/>
    <w:rsid w:val="001C4733"/>
    <w:rsid w:val="001C4FFC"/>
    <w:rsid w:val="001C5291"/>
    <w:rsid w:val="001D07A5"/>
    <w:rsid w:val="001D1B60"/>
    <w:rsid w:val="001D204F"/>
    <w:rsid w:val="001D2E2D"/>
    <w:rsid w:val="001D4374"/>
    <w:rsid w:val="001E2136"/>
    <w:rsid w:val="001E4942"/>
    <w:rsid w:val="001E7A7E"/>
    <w:rsid w:val="001F1E5D"/>
    <w:rsid w:val="001F551B"/>
    <w:rsid w:val="001F5BC1"/>
    <w:rsid w:val="001F5F85"/>
    <w:rsid w:val="001F61C6"/>
    <w:rsid w:val="001F6FAB"/>
    <w:rsid w:val="001F7477"/>
    <w:rsid w:val="001F74CA"/>
    <w:rsid w:val="002029E0"/>
    <w:rsid w:val="002043D7"/>
    <w:rsid w:val="002076C8"/>
    <w:rsid w:val="00207D37"/>
    <w:rsid w:val="00214241"/>
    <w:rsid w:val="0022378D"/>
    <w:rsid w:val="00225842"/>
    <w:rsid w:val="00234CEA"/>
    <w:rsid w:val="002400CF"/>
    <w:rsid w:val="00242697"/>
    <w:rsid w:val="002465FB"/>
    <w:rsid w:val="00246F21"/>
    <w:rsid w:val="00247B26"/>
    <w:rsid w:val="00251254"/>
    <w:rsid w:val="00252C28"/>
    <w:rsid w:val="00255773"/>
    <w:rsid w:val="00256AEB"/>
    <w:rsid w:val="00256BD3"/>
    <w:rsid w:val="002570F5"/>
    <w:rsid w:val="002630DD"/>
    <w:rsid w:val="0026576F"/>
    <w:rsid w:val="0026658D"/>
    <w:rsid w:val="00267507"/>
    <w:rsid w:val="00272952"/>
    <w:rsid w:val="002757A5"/>
    <w:rsid w:val="00280EB9"/>
    <w:rsid w:val="002821A0"/>
    <w:rsid w:val="002830F6"/>
    <w:rsid w:val="00283915"/>
    <w:rsid w:val="00285399"/>
    <w:rsid w:val="00285A2F"/>
    <w:rsid w:val="002866DE"/>
    <w:rsid w:val="00287548"/>
    <w:rsid w:val="0029234D"/>
    <w:rsid w:val="00292AE8"/>
    <w:rsid w:val="002942A1"/>
    <w:rsid w:val="002977AA"/>
    <w:rsid w:val="002A0BA0"/>
    <w:rsid w:val="002A33E7"/>
    <w:rsid w:val="002A6979"/>
    <w:rsid w:val="002A7F2D"/>
    <w:rsid w:val="002B0EA8"/>
    <w:rsid w:val="002B1DD2"/>
    <w:rsid w:val="002B3220"/>
    <w:rsid w:val="002B5F13"/>
    <w:rsid w:val="002B779D"/>
    <w:rsid w:val="002C1206"/>
    <w:rsid w:val="002C46C9"/>
    <w:rsid w:val="002C7B38"/>
    <w:rsid w:val="002D0127"/>
    <w:rsid w:val="002D0DD3"/>
    <w:rsid w:val="002D322E"/>
    <w:rsid w:val="002D3AB4"/>
    <w:rsid w:val="002D4188"/>
    <w:rsid w:val="002D4DC6"/>
    <w:rsid w:val="002D56BA"/>
    <w:rsid w:val="002D5C65"/>
    <w:rsid w:val="002E08C6"/>
    <w:rsid w:val="002E3270"/>
    <w:rsid w:val="002E43BD"/>
    <w:rsid w:val="002F0EEF"/>
    <w:rsid w:val="002F2208"/>
    <w:rsid w:val="002F487F"/>
    <w:rsid w:val="002F56EE"/>
    <w:rsid w:val="00300738"/>
    <w:rsid w:val="00301D88"/>
    <w:rsid w:val="0030442F"/>
    <w:rsid w:val="003076BF"/>
    <w:rsid w:val="00307AD6"/>
    <w:rsid w:val="00311A07"/>
    <w:rsid w:val="00311B71"/>
    <w:rsid w:val="00315AE5"/>
    <w:rsid w:val="00315B65"/>
    <w:rsid w:val="00315C5C"/>
    <w:rsid w:val="00316EAE"/>
    <w:rsid w:val="00320BE6"/>
    <w:rsid w:val="00322656"/>
    <w:rsid w:val="003322B1"/>
    <w:rsid w:val="00332FD7"/>
    <w:rsid w:val="0033764A"/>
    <w:rsid w:val="00337AD0"/>
    <w:rsid w:val="00340E62"/>
    <w:rsid w:val="00345516"/>
    <w:rsid w:val="00347A7F"/>
    <w:rsid w:val="00350C19"/>
    <w:rsid w:val="00352356"/>
    <w:rsid w:val="00354E7E"/>
    <w:rsid w:val="00354EA2"/>
    <w:rsid w:val="003578A6"/>
    <w:rsid w:val="003641D9"/>
    <w:rsid w:val="00364BAD"/>
    <w:rsid w:val="00370CD0"/>
    <w:rsid w:val="00370F9F"/>
    <w:rsid w:val="003712D9"/>
    <w:rsid w:val="00371F36"/>
    <w:rsid w:val="00376C02"/>
    <w:rsid w:val="0037708E"/>
    <w:rsid w:val="00382AE2"/>
    <w:rsid w:val="00382BE7"/>
    <w:rsid w:val="003852C9"/>
    <w:rsid w:val="00385BB6"/>
    <w:rsid w:val="00386F5B"/>
    <w:rsid w:val="003870D8"/>
    <w:rsid w:val="00387F73"/>
    <w:rsid w:val="003938C9"/>
    <w:rsid w:val="003960C5"/>
    <w:rsid w:val="003967EE"/>
    <w:rsid w:val="00396E87"/>
    <w:rsid w:val="003A253A"/>
    <w:rsid w:val="003A33D9"/>
    <w:rsid w:val="003A564E"/>
    <w:rsid w:val="003A5A88"/>
    <w:rsid w:val="003B12F3"/>
    <w:rsid w:val="003B141B"/>
    <w:rsid w:val="003B7ABC"/>
    <w:rsid w:val="003B7C70"/>
    <w:rsid w:val="003C0FAA"/>
    <w:rsid w:val="003C433E"/>
    <w:rsid w:val="003C5819"/>
    <w:rsid w:val="003C587D"/>
    <w:rsid w:val="003D0E4F"/>
    <w:rsid w:val="003D1CCE"/>
    <w:rsid w:val="003D7074"/>
    <w:rsid w:val="003E246C"/>
    <w:rsid w:val="003E32D9"/>
    <w:rsid w:val="003E50C4"/>
    <w:rsid w:val="003E762E"/>
    <w:rsid w:val="003F2495"/>
    <w:rsid w:val="003F2D68"/>
    <w:rsid w:val="003F7785"/>
    <w:rsid w:val="003F7E51"/>
    <w:rsid w:val="00407BFB"/>
    <w:rsid w:val="00407CDB"/>
    <w:rsid w:val="00410B42"/>
    <w:rsid w:val="0041256E"/>
    <w:rsid w:val="004253A5"/>
    <w:rsid w:val="00426883"/>
    <w:rsid w:val="00426DE6"/>
    <w:rsid w:val="00430E39"/>
    <w:rsid w:val="00431C6A"/>
    <w:rsid w:val="00432ABB"/>
    <w:rsid w:val="0043495B"/>
    <w:rsid w:val="00434C78"/>
    <w:rsid w:val="00435665"/>
    <w:rsid w:val="00435FDB"/>
    <w:rsid w:val="0044360D"/>
    <w:rsid w:val="00443A90"/>
    <w:rsid w:val="004459B3"/>
    <w:rsid w:val="00445DE2"/>
    <w:rsid w:val="00446C1F"/>
    <w:rsid w:val="00447193"/>
    <w:rsid w:val="00447972"/>
    <w:rsid w:val="00447B15"/>
    <w:rsid w:val="004512AD"/>
    <w:rsid w:val="00453DB8"/>
    <w:rsid w:val="004561DA"/>
    <w:rsid w:val="0045635D"/>
    <w:rsid w:val="00457D05"/>
    <w:rsid w:val="0046406C"/>
    <w:rsid w:val="00464C8C"/>
    <w:rsid w:val="00464F71"/>
    <w:rsid w:val="0047180F"/>
    <w:rsid w:val="00474C4B"/>
    <w:rsid w:val="0047563C"/>
    <w:rsid w:val="00477C01"/>
    <w:rsid w:val="0048023B"/>
    <w:rsid w:val="00480CAF"/>
    <w:rsid w:val="004812C0"/>
    <w:rsid w:val="00483169"/>
    <w:rsid w:val="00483F96"/>
    <w:rsid w:val="00484E2A"/>
    <w:rsid w:val="00490DBD"/>
    <w:rsid w:val="00493446"/>
    <w:rsid w:val="004939EA"/>
    <w:rsid w:val="004942C4"/>
    <w:rsid w:val="00494603"/>
    <w:rsid w:val="00495C1B"/>
    <w:rsid w:val="00496236"/>
    <w:rsid w:val="00496875"/>
    <w:rsid w:val="00496DA4"/>
    <w:rsid w:val="004A46E3"/>
    <w:rsid w:val="004A5598"/>
    <w:rsid w:val="004A6042"/>
    <w:rsid w:val="004A752B"/>
    <w:rsid w:val="004A756B"/>
    <w:rsid w:val="004B0E4F"/>
    <w:rsid w:val="004B2C98"/>
    <w:rsid w:val="004B2FEA"/>
    <w:rsid w:val="004B3DA9"/>
    <w:rsid w:val="004B4E62"/>
    <w:rsid w:val="004B53E7"/>
    <w:rsid w:val="004B70E3"/>
    <w:rsid w:val="004B7AEA"/>
    <w:rsid w:val="004C1602"/>
    <w:rsid w:val="004C2892"/>
    <w:rsid w:val="004C3A58"/>
    <w:rsid w:val="004C7203"/>
    <w:rsid w:val="004D5539"/>
    <w:rsid w:val="004E0B4D"/>
    <w:rsid w:val="004E1CA5"/>
    <w:rsid w:val="004E26FF"/>
    <w:rsid w:val="004E2E6A"/>
    <w:rsid w:val="004E33DE"/>
    <w:rsid w:val="004E3D67"/>
    <w:rsid w:val="004E744E"/>
    <w:rsid w:val="004F0959"/>
    <w:rsid w:val="004F3AB0"/>
    <w:rsid w:val="004F7D5E"/>
    <w:rsid w:val="00502804"/>
    <w:rsid w:val="00503C02"/>
    <w:rsid w:val="00505701"/>
    <w:rsid w:val="0051017B"/>
    <w:rsid w:val="0051079B"/>
    <w:rsid w:val="0051099B"/>
    <w:rsid w:val="00511756"/>
    <w:rsid w:val="005126DB"/>
    <w:rsid w:val="00513F90"/>
    <w:rsid w:val="005141A1"/>
    <w:rsid w:val="00514D3B"/>
    <w:rsid w:val="00516A09"/>
    <w:rsid w:val="00516D57"/>
    <w:rsid w:val="00521151"/>
    <w:rsid w:val="00522523"/>
    <w:rsid w:val="00522EBD"/>
    <w:rsid w:val="00523B54"/>
    <w:rsid w:val="00525CAD"/>
    <w:rsid w:val="00527CD7"/>
    <w:rsid w:val="00530869"/>
    <w:rsid w:val="00530923"/>
    <w:rsid w:val="00532498"/>
    <w:rsid w:val="005338C6"/>
    <w:rsid w:val="005371B4"/>
    <w:rsid w:val="0054096C"/>
    <w:rsid w:val="005453E2"/>
    <w:rsid w:val="00550C82"/>
    <w:rsid w:val="00551284"/>
    <w:rsid w:val="005555D1"/>
    <w:rsid w:val="00556CF7"/>
    <w:rsid w:val="005577F2"/>
    <w:rsid w:val="00562489"/>
    <w:rsid w:val="005647D5"/>
    <w:rsid w:val="0057099C"/>
    <w:rsid w:val="00570C8E"/>
    <w:rsid w:val="0057169D"/>
    <w:rsid w:val="00573F05"/>
    <w:rsid w:val="00576504"/>
    <w:rsid w:val="00576B53"/>
    <w:rsid w:val="00584542"/>
    <w:rsid w:val="00585BB3"/>
    <w:rsid w:val="005862E9"/>
    <w:rsid w:val="00587701"/>
    <w:rsid w:val="005971FA"/>
    <w:rsid w:val="005A09DF"/>
    <w:rsid w:val="005A39A1"/>
    <w:rsid w:val="005A409E"/>
    <w:rsid w:val="005A65AA"/>
    <w:rsid w:val="005B4497"/>
    <w:rsid w:val="005B525D"/>
    <w:rsid w:val="005C06E1"/>
    <w:rsid w:val="005C4185"/>
    <w:rsid w:val="005C4C87"/>
    <w:rsid w:val="005C5D37"/>
    <w:rsid w:val="005C6FB9"/>
    <w:rsid w:val="005D0BB0"/>
    <w:rsid w:val="005D0C81"/>
    <w:rsid w:val="005D0DE5"/>
    <w:rsid w:val="005D3502"/>
    <w:rsid w:val="005D3D2D"/>
    <w:rsid w:val="005D7981"/>
    <w:rsid w:val="005E121F"/>
    <w:rsid w:val="005E5AE3"/>
    <w:rsid w:val="005E6AC0"/>
    <w:rsid w:val="005E7981"/>
    <w:rsid w:val="005F219C"/>
    <w:rsid w:val="005F4627"/>
    <w:rsid w:val="005F5226"/>
    <w:rsid w:val="005F74B5"/>
    <w:rsid w:val="00603F30"/>
    <w:rsid w:val="00604241"/>
    <w:rsid w:val="006043C0"/>
    <w:rsid w:val="00611312"/>
    <w:rsid w:val="0061140B"/>
    <w:rsid w:val="006128D9"/>
    <w:rsid w:val="006169F9"/>
    <w:rsid w:val="00616A03"/>
    <w:rsid w:val="0062058C"/>
    <w:rsid w:val="00620945"/>
    <w:rsid w:val="0063036B"/>
    <w:rsid w:val="006321E5"/>
    <w:rsid w:val="00632C94"/>
    <w:rsid w:val="00633504"/>
    <w:rsid w:val="006346A5"/>
    <w:rsid w:val="00635987"/>
    <w:rsid w:val="006370E6"/>
    <w:rsid w:val="00640B00"/>
    <w:rsid w:val="00641BBD"/>
    <w:rsid w:val="00642D51"/>
    <w:rsid w:val="006446EF"/>
    <w:rsid w:val="00646834"/>
    <w:rsid w:val="0065093E"/>
    <w:rsid w:val="0065213F"/>
    <w:rsid w:val="00652811"/>
    <w:rsid w:val="0065696F"/>
    <w:rsid w:val="00661496"/>
    <w:rsid w:val="00662FAB"/>
    <w:rsid w:val="00664467"/>
    <w:rsid w:val="00665B3D"/>
    <w:rsid w:val="00670810"/>
    <w:rsid w:val="00671B11"/>
    <w:rsid w:val="00672152"/>
    <w:rsid w:val="006721A2"/>
    <w:rsid w:val="0068151F"/>
    <w:rsid w:val="00684893"/>
    <w:rsid w:val="00685F6E"/>
    <w:rsid w:val="00687AC9"/>
    <w:rsid w:val="006915ED"/>
    <w:rsid w:val="00692166"/>
    <w:rsid w:val="006940F0"/>
    <w:rsid w:val="00694C9E"/>
    <w:rsid w:val="006A12D8"/>
    <w:rsid w:val="006A3983"/>
    <w:rsid w:val="006A553E"/>
    <w:rsid w:val="006A6873"/>
    <w:rsid w:val="006B141C"/>
    <w:rsid w:val="006C0A8C"/>
    <w:rsid w:val="006C295D"/>
    <w:rsid w:val="006C5DDE"/>
    <w:rsid w:val="006C5E1A"/>
    <w:rsid w:val="006C604E"/>
    <w:rsid w:val="006D3274"/>
    <w:rsid w:val="006D34A0"/>
    <w:rsid w:val="006D6C5F"/>
    <w:rsid w:val="006D7511"/>
    <w:rsid w:val="006D7B80"/>
    <w:rsid w:val="006E1824"/>
    <w:rsid w:val="006E4627"/>
    <w:rsid w:val="006F186F"/>
    <w:rsid w:val="006F1F8D"/>
    <w:rsid w:val="006F398D"/>
    <w:rsid w:val="00703105"/>
    <w:rsid w:val="00712467"/>
    <w:rsid w:val="00712F84"/>
    <w:rsid w:val="00722986"/>
    <w:rsid w:val="0072328B"/>
    <w:rsid w:val="00725417"/>
    <w:rsid w:val="00727D3D"/>
    <w:rsid w:val="00730ADA"/>
    <w:rsid w:val="00731E8B"/>
    <w:rsid w:val="00732BB5"/>
    <w:rsid w:val="0073384B"/>
    <w:rsid w:val="00746272"/>
    <w:rsid w:val="00746291"/>
    <w:rsid w:val="00746DCC"/>
    <w:rsid w:val="00747B73"/>
    <w:rsid w:val="00751128"/>
    <w:rsid w:val="00752049"/>
    <w:rsid w:val="007529B4"/>
    <w:rsid w:val="00754819"/>
    <w:rsid w:val="007602FD"/>
    <w:rsid w:val="00765582"/>
    <w:rsid w:val="00765BAA"/>
    <w:rsid w:val="00766E58"/>
    <w:rsid w:val="00767248"/>
    <w:rsid w:val="007719E5"/>
    <w:rsid w:val="007747B2"/>
    <w:rsid w:val="007765E4"/>
    <w:rsid w:val="00776AD5"/>
    <w:rsid w:val="007812AE"/>
    <w:rsid w:val="00786B95"/>
    <w:rsid w:val="0079046B"/>
    <w:rsid w:val="00792D85"/>
    <w:rsid w:val="00795CA9"/>
    <w:rsid w:val="00796467"/>
    <w:rsid w:val="007A451E"/>
    <w:rsid w:val="007A59E6"/>
    <w:rsid w:val="007A6224"/>
    <w:rsid w:val="007A6BA0"/>
    <w:rsid w:val="007A7202"/>
    <w:rsid w:val="007A7D5A"/>
    <w:rsid w:val="007A7E4A"/>
    <w:rsid w:val="007B00F3"/>
    <w:rsid w:val="007B315F"/>
    <w:rsid w:val="007B3AAC"/>
    <w:rsid w:val="007C10AE"/>
    <w:rsid w:val="007C1E01"/>
    <w:rsid w:val="007C6F2D"/>
    <w:rsid w:val="007D5E09"/>
    <w:rsid w:val="007D7031"/>
    <w:rsid w:val="007D7C0B"/>
    <w:rsid w:val="007D7D86"/>
    <w:rsid w:val="007E42AC"/>
    <w:rsid w:val="007E6036"/>
    <w:rsid w:val="007E774A"/>
    <w:rsid w:val="007F13C4"/>
    <w:rsid w:val="007F194E"/>
    <w:rsid w:val="007F75D3"/>
    <w:rsid w:val="008006BA"/>
    <w:rsid w:val="008017F8"/>
    <w:rsid w:val="00802621"/>
    <w:rsid w:val="008057E6"/>
    <w:rsid w:val="00810F3D"/>
    <w:rsid w:val="00811315"/>
    <w:rsid w:val="008174F6"/>
    <w:rsid w:val="00817A6A"/>
    <w:rsid w:val="00820F49"/>
    <w:rsid w:val="00821914"/>
    <w:rsid w:val="008233B0"/>
    <w:rsid w:val="008234CC"/>
    <w:rsid w:val="0082355B"/>
    <w:rsid w:val="00823F43"/>
    <w:rsid w:val="008240FF"/>
    <w:rsid w:val="00832CAA"/>
    <w:rsid w:val="008338C6"/>
    <w:rsid w:val="00836BF4"/>
    <w:rsid w:val="0084178F"/>
    <w:rsid w:val="00847122"/>
    <w:rsid w:val="00850C5D"/>
    <w:rsid w:val="008515B0"/>
    <w:rsid w:val="008545AC"/>
    <w:rsid w:val="00855182"/>
    <w:rsid w:val="00861B19"/>
    <w:rsid w:val="008620BF"/>
    <w:rsid w:val="00863D16"/>
    <w:rsid w:val="0086611B"/>
    <w:rsid w:val="0087267D"/>
    <w:rsid w:val="008729B5"/>
    <w:rsid w:val="008735F6"/>
    <w:rsid w:val="0087663C"/>
    <w:rsid w:val="00876BAA"/>
    <w:rsid w:val="00881C1C"/>
    <w:rsid w:val="008826E7"/>
    <w:rsid w:val="0088317C"/>
    <w:rsid w:val="00886682"/>
    <w:rsid w:val="00890F2D"/>
    <w:rsid w:val="0089465B"/>
    <w:rsid w:val="00895006"/>
    <w:rsid w:val="00895030"/>
    <w:rsid w:val="00896D80"/>
    <w:rsid w:val="008A04B3"/>
    <w:rsid w:val="008A1F4D"/>
    <w:rsid w:val="008A25C6"/>
    <w:rsid w:val="008A2A38"/>
    <w:rsid w:val="008A3D49"/>
    <w:rsid w:val="008B4FA8"/>
    <w:rsid w:val="008B5EA3"/>
    <w:rsid w:val="008C00B3"/>
    <w:rsid w:val="008C3060"/>
    <w:rsid w:val="008C3E24"/>
    <w:rsid w:val="008C6145"/>
    <w:rsid w:val="008C7439"/>
    <w:rsid w:val="008D0685"/>
    <w:rsid w:val="008D1F5D"/>
    <w:rsid w:val="008D2E53"/>
    <w:rsid w:val="008D4E56"/>
    <w:rsid w:val="008D5B59"/>
    <w:rsid w:val="008E4D04"/>
    <w:rsid w:val="008F03FE"/>
    <w:rsid w:val="008F19EC"/>
    <w:rsid w:val="008F28CD"/>
    <w:rsid w:val="008F3372"/>
    <w:rsid w:val="008F4093"/>
    <w:rsid w:val="008F55F3"/>
    <w:rsid w:val="008F5AC4"/>
    <w:rsid w:val="008F68F0"/>
    <w:rsid w:val="0090240E"/>
    <w:rsid w:val="00903E9B"/>
    <w:rsid w:val="00911B2C"/>
    <w:rsid w:val="00917C8D"/>
    <w:rsid w:val="00917F97"/>
    <w:rsid w:val="00921365"/>
    <w:rsid w:val="00921942"/>
    <w:rsid w:val="0092504F"/>
    <w:rsid w:val="009301C2"/>
    <w:rsid w:val="0093309C"/>
    <w:rsid w:val="00933EE5"/>
    <w:rsid w:val="00935433"/>
    <w:rsid w:val="009366BF"/>
    <w:rsid w:val="0093674D"/>
    <w:rsid w:val="00936AC9"/>
    <w:rsid w:val="00940062"/>
    <w:rsid w:val="00940A3B"/>
    <w:rsid w:val="00941052"/>
    <w:rsid w:val="00944C03"/>
    <w:rsid w:val="00947AD1"/>
    <w:rsid w:val="00951561"/>
    <w:rsid w:val="00953285"/>
    <w:rsid w:val="009547E5"/>
    <w:rsid w:val="00960F04"/>
    <w:rsid w:val="009635EF"/>
    <w:rsid w:val="00970EC5"/>
    <w:rsid w:val="00973C7C"/>
    <w:rsid w:val="00975018"/>
    <w:rsid w:val="009828CA"/>
    <w:rsid w:val="00984E57"/>
    <w:rsid w:val="009861EC"/>
    <w:rsid w:val="00987BC0"/>
    <w:rsid w:val="0099012D"/>
    <w:rsid w:val="00994002"/>
    <w:rsid w:val="00996210"/>
    <w:rsid w:val="009A27D1"/>
    <w:rsid w:val="009A3B62"/>
    <w:rsid w:val="009B2CD4"/>
    <w:rsid w:val="009B3448"/>
    <w:rsid w:val="009B5C1C"/>
    <w:rsid w:val="009C187E"/>
    <w:rsid w:val="009C25FD"/>
    <w:rsid w:val="009C3B91"/>
    <w:rsid w:val="009D1323"/>
    <w:rsid w:val="009D2673"/>
    <w:rsid w:val="009D6B76"/>
    <w:rsid w:val="009D6D28"/>
    <w:rsid w:val="009D6F8E"/>
    <w:rsid w:val="009E01B6"/>
    <w:rsid w:val="009E16E5"/>
    <w:rsid w:val="009E29F9"/>
    <w:rsid w:val="009E410B"/>
    <w:rsid w:val="009E42B5"/>
    <w:rsid w:val="009E470C"/>
    <w:rsid w:val="009E5DBE"/>
    <w:rsid w:val="009F02A0"/>
    <w:rsid w:val="009F2590"/>
    <w:rsid w:val="009F5FB3"/>
    <w:rsid w:val="009F68D1"/>
    <w:rsid w:val="009F78F1"/>
    <w:rsid w:val="00A001C7"/>
    <w:rsid w:val="00A01741"/>
    <w:rsid w:val="00A03095"/>
    <w:rsid w:val="00A03212"/>
    <w:rsid w:val="00A03C28"/>
    <w:rsid w:val="00A04EC9"/>
    <w:rsid w:val="00A05049"/>
    <w:rsid w:val="00A05086"/>
    <w:rsid w:val="00A0712A"/>
    <w:rsid w:val="00A07715"/>
    <w:rsid w:val="00A07FE5"/>
    <w:rsid w:val="00A10647"/>
    <w:rsid w:val="00A117FE"/>
    <w:rsid w:val="00A13119"/>
    <w:rsid w:val="00A15233"/>
    <w:rsid w:val="00A15517"/>
    <w:rsid w:val="00A15A6F"/>
    <w:rsid w:val="00A22035"/>
    <w:rsid w:val="00A226AB"/>
    <w:rsid w:val="00A22938"/>
    <w:rsid w:val="00A25395"/>
    <w:rsid w:val="00A30089"/>
    <w:rsid w:val="00A32C6A"/>
    <w:rsid w:val="00A3749F"/>
    <w:rsid w:val="00A374F9"/>
    <w:rsid w:val="00A426CF"/>
    <w:rsid w:val="00A43EC9"/>
    <w:rsid w:val="00A45C3D"/>
    <w:rsid w:val="00A46192"/>
    <w:rsid w:val="00A503BF"/>
    <w:rsid w:val="00A527F7"/>
    <w:rsid w:val="00A52AFD"/>
    <w:rsid w:val="00A56D66"/>
    <w:rsid w:val="00A5742D"/>
    <w:rsid w:val="00A61083"/>
    <w:rsid w:val="00A646CC"/>
    <w:rsid w:val="00A65155"/>
    <w:rsid w:val="00A67E97"/>
    <w:rsid w:val="00A7049C"/>
    <w:rsid w:val="00A70ECE"/>
    <w:rsid w:val="00A71905"/>
    <w:rsid w:val="00A71A91"/>
    <w:rsid w:val="00A84879"/>
    <w:rsid w:val="00A84D04"/>
    <w:rsid w:val="00A87C5A"/>
    <w:rsid w:val="00A90D4B"/>
    <w:rsid w:val="00A9133A"/>
    <w:rsid w:val="00A949D8"/>
    <w:rsid w:val="00A955B9"/>
    <w:rsid w:val="00A956B8"/>
    <w:rsid w:val="00A95F9C"/>
    <w:rsid w:val="00A9667A"/>
    <w:rsid w:val="00AA71B0"/>
    <w:rsid w:val="00AA7485"/>
    <w:rsid w:val="00AA785F"/>
    <w:rsid w:val="00AB28E0"/>
    <w:rsid w:val="00AB3F23"/>
    <w:rsid w:val="00AB46B7"/>
    <w:rsid w:val="00AB4844"/>
    <w:rsid w:val="00AB4C03"/>
    <w:rsid w:val="00AB4D42"/>
    <w:rsid w:val="00AB6487"/>
    <w:rsid w:val="00AC0A27"/>
    <w:rsid w:val="00AC0EE4"/>
    <w:rsid w:val="00AC2AE9"/>
    <w:rsid w:val="00AD0224"/>
    <w:rsid w:val="00AD6E41"/>
    <w:rsid w:val="00AE0D45"/>
    <w:rsid w:val="00AE3349"/>
    <w:rsid w:val="00AE46E9"/>
    <w:rsid w:val="00AF0526"/>
    <w:rsid w:val="00AF1D6E"/>
    <w:rsid w:val="00AF2F00"/>
    <w:rsid w:val="00AF5C26"/>
    <w:rsid w:val="00B0306F"/>
    <w:rsid w:val="00B0602D"/>
    <w:rsid w:val="00B063D1"/>
    <w:rsid w:val="00B07D40"/>
    <w:rsid w:val="00B124FA"/>
    <w:rsid w:val="00B15477"/>
    <w:rsid w:val="00B16326"/>
    <w:rsid w:val="00B16F86"/>
    <w:rsid w:val="00B177DE"/>
    <w:rsid w:val="00B2365E"/>
    <w:rsid w:val="00B27CBF"/>
    <w:rsid w:val="00B31763"/>
    <w:rsid w:val="00B3291A"/>
    <w:rsid w:val="00B343CA"/>
    <w:rsid w:val="00B42D88"/>
    <w:rsid w:val="00B438A3"/>
    <w:rsid w:val="00B44F7B"/>
    <w:rsid w:val="00B454E1"/>
    <w:rsid w:val="00B51CF2"/>
    <w:rsid w:val="00B5752F"/>
    <w:rsid w:val="00B6015C"/>
    <w:rsid w:val="00B6022F"/>
    <w:rsid w:val="00B6218D"/>
    <w:rsid w:val="00B64030"/>
    <w:rsid w:val="00B67312"/>
    <w:rsid w:val="00B67813"/>
    <w:rsid w:val="00B72E9A"/>
    <w:rsid w:val="00B76076"/>
    <w:rsid w:val="00B762FC"/>
    <w:rsid w:val="00B766F7"/>
    <w:rsid w:val="00B76E6A"/>
    <w:rsid w:val="00B80788"/>
    <w:rsid w:val="00B80B54"/>
    <w:rsid w:val="00B82C4C"/>
    <w:rsid w:val="00B84180"/>
    <w:rsid w:val="00B857CA"/>
    <w:rsid w:val="00B9127E"/>
    <w:rsid w:val="00B924F0"/>
    <w:rsid w:val="00B940DA"/>
    <w:rsid w:val="00B96F46"/>
    <w:rsid w:val="00BA05AA"/>
    <w:rsid w:val="00BA31B0"/>
    <w:rsid w:val="00BA478A"/>
    <w:rsid w:val="00BA4BE7"/>
    <w:rsid w:val="00BA6366"/>
    <w:rsid w:val="00BB087B"/>
    <w:rsid w:val="00BB09BB"/>
    <w:rsid w:val="00BB13C3"/>
    <w:rsid w:val="00BB394D"/>
    <w:rsid w:val="00BB41BE"/>
    <w:rsid w:val="00BC05D4"/>
    <w:rsid w:val="00BC1EBA"/>
    <w:rsid w:val="00BC412E"/>
    <w:rsid w:val="00BD1765"/>
    <w:rsid w:val="00BD45C9"/>
    <w:rsid w:val="00BD771A"/>
    <w:rsid w:val="00BD7D60"/>
    <w:rsid w:val="00BE18AE"/>
    <w:rsid w:val="00BF7420"/>
    <w:rsid w:val="00C003CB"/>
    <w:rsid w:val="00C00493"/>
    <w:rsid w:val="00C005AE"/>
    <w:rsid w:val="00C0070E"/>
    <w:rsid w:val="00C0196E"/>
    <w:rsid w:val="00C0522A"/>
    <w:rsid w:val="00C05DA9"/>
    <w:rsid w:val="00C16EC7"/>
    <w:rsid w:val="00C21AAD"/>
    <w:rsid w:val="00C2262E"/>
    <w:rsid w:val="00C238A8"/>
    <w:rsid w:val="00C3014C"/>
    <w:rsid w:val="00C325FC"/>
    <w:rsid w:val="00C347B5"/>
    <w:rsid w:val="00C36E29"/>
    <w:rsid w:val="00C36EE4"/>
    <w:rsid w:val="00C3716B"/>
    <w:rsid w:val="00C4445F"/>
    <w:rsid w:val="00C44A93"/>
    <w:rsid w:val="00C50571"/>
    <w:rsid w:val="00C51D12"/>
    <w:rsid w:val="00C527E6"/>
    <w:rsid w:val="00C55C83"/>
    <w:rsid w:val="00C56221"/>
    <w:rsid w:val="00C566B9"/>
    <w:rsid w:val="00C57069"/>
    <w:rsid w:val="00C5799E"/>
    <w:rsid w:val="00C648E0"/>
    <w:rsid w:val="00C65595"/>
    <w:rsid w:val="00C726CD"/>
    <w:rsid w:val="00C73580"/>
    <w:rsid w:val="00C759DA"/>
    <w:rsid w:val="00C8039D"/>
    <w:rsid w:val="00C8621D"/>
    <w:rsid w:val="00C871E1"/>
    <w:rsid w:val="00C92DF6"/>
    <w:rsid w:val="00C9326C"/>
    <w:rsid w:val="00CA001F"/>
    <w:rsid w:val="00CA1216"/>
    <w:rsid w:val="00CA25E9"/>
    <w:rsid w:val="00CA2ABF"/>
    <w:rsid w:val="00CB267B"/>
    <w:rsid w:val="00CB448F"/>
    <w:rsid w:val="00CC2CAB"/>
    <w:rsid w:val="00CC38E3"/>
    <w:rsid w:val="00CC6865"/>
    <w:rsid w:val="00CC6C5B"/>
    <w:rsid w:val="00CD00E3"/>
    <w:rsid w:val="00CD3477"/>
    <w:rsid w:val="00CD595F"/>
    <w:rsid w:val="00CD5BE3"/>
    <w:rsid w:val="00CE1CC3"/>
    <w:rsid w:val="00CE2C82"/>
    <w:rsid w:val="00CE51A0"/>
    <w:rsid w:val="00CF0D8C"/>
    <w:rsid w:val="00CF0FB2"/>
    <w:rsid w:val="00CF30D8"/>
    <w:rsid w:val="00CF357C"/>
    <w:rsid w:val="00CF4D53"/>
    <w:rsid w:val="00CF52CC"/>
    <w:rsid w:val="00CF6976"/>
    <w:rsid w:val="00D006FC"/>
    <w:rsid w:val="00D010F6"/>
    <w:rsid w:val="00D016D9"/>
    <w:rsid w:val="00D01FAB"/>
    <w:rsid w:val="00D03244"/>
    <w:rsid w:val="00D07484"/>
    <w:rsid w:val="00D078C6"/>
    <w:rsid w:val="00D12B36"/>
    <w:rsid w:val="00D1580C"/>
    <w:rsid w:val="00D15F7F"/>
    <w:rsid w:val="00D1663A"/>
    <w:rsid w:val="00D16DBB"/>
    <w:rsid w:val="00D30438"/>
    <w:rsid w:val="00D35D6F"/>
    <w:rsid w:val="00D367B5"/>
    <w:rsid w:val="00D37E46"/>
    <w:rsid w:val="00D434FA"/>
    <w:rsid w:val="00D43764"/>
    <w:rsid w:val="00D437D7"/>
    <w:rsid w:val="00D45BAF"/>
    <w:rsid w:val="00D45F2A"/>
    <w:rsid w:val="00D50174"/>
    <w:rsid w:val="00D5121F"/>
    <w:rsid w:val="00D519D2"/>
    <w:rsid w:val="00D52116"/>
    <w:rsid w:val="00D526CC"/>
    <w:rsid w:val="00D53B4E"/>
    <w:rsid w:val="00D53B84"/>
    <w:rsid w:val="00D56EFB"/>
    <w:rsid w:val="00D6179E"/>
    <w:rsid w:val="00D620AE"/>
    <w:rsid w:val="00D66B6D"/>
    <w:rsid w:val="00D67873"/>
    <w:rsid w:val="00D70AF6"/>
    <w:rsid w:val="00D71A31"/>
    <w:rsid w:val="00D71BBF"/>
    <w:rsid w:val="00D755C0"/>
    <w:rsid w:val="00D77D5B"/>
    <w:rsid w:val="00D84868"/>
    <w:rsid w:val="00D84AAE"/>
    <w:rsid w:val="00D8534F"/>
    <w:rsid w:val="00D85F56"/>
    <w:rsid w:val="00D86837"/>
    <w:rsid w:val="00D869EB"/>
    <w:rsid w:val="00D924A8"/>
    <w:rsid w:val="00D9288D"/>
    <w:rsid w:val="00D96258"/>
    <w:rsid w:val="00D9649E"/>
    <w:rsid w:val="00DA046E"/>
    <w:rsid w:val="00DA04D0"/>
    <w:rsid w:val="00DA2734"/>
    <w:rsid w:val="00DA7831"/>
    <w:rsid w:val="00DB2638"/>
    <w:rsid w:val="00DB6D06"/>
    <w:rsid w:val="00DC0E9F"/>
    <w:rsid w:val="00DC10F5"/>
    <w:rsid w:val="00DC1111"/>
    <w:rsid w:val="00DC4B2E"/>
    <w:rsid w:val="00DC5EFA"/>
    <w:rsid w:val="00DC637E"/>
    <w:rsid w:val="00DD2175"/>
    <w:rsid w:val="00DD2763"/>
    <w:rsid w:val="00DD2CA6"/>
    <w:rsid w:val="00DD43BB"/>
    <w:rsid w:val="00DD4AAB"/>
    <w:rsid w:val="00DD50F8"/>
    <w:rsid w:val="00DD6B54"/>
    <w:rsid w:val="00DE1337"/>
    <w:rsid w:val="00DE40EE"/>
    <w:rsid w:val="00DE4703"/>
    <w:rsid w:val="00DE674D"/>
    <w:rsid w:val="00DE7755"/>
    <w:rsid w:val="00DF1E20"/>
    <w:rsid w:val="00DF53F2"/>
    <w:rsid w:val="00DF64BA"/>
    <w:rsid w:val="00DF7BBA"/>
    <w:rsid w:val="00E03969"/>
    <w:rsid w:val="00E03A3C"/>
    <w:rsid w:val="00E06396"/>
    <w:rsid w:val="00E122F2"/>
    <w:rsid w:val="00E12B1D"/>
    <w:rsid w:val="00E159E1"/>
    <w:rsid w:val="00E2097B"/>
    <w:rsid w:val="00E21F98"/>
    <w:rsid w:val="00E255C4"/>
    <w:rsid w:val="00E26E73"/>
    <w:rsid w:val="00E27448"/>
    <w:rsid w:val="00E2785A"/>
    <w:rsid w:val="00E278C0"/>
    <w:rsid w:val="00E32D2C"/>
    <w:rsid w:val="00E3314E"/>
    <w:rsid w:val="00E35ECE"/>
    <w:rsid w:val="00E379FD"/>
    <w:rsid w:val="00E37C47"/>
    <w:rsid w:val="00E4080F"/>
    <w:rsid w:val="00E42758"/>
    <w:rsid w:val="00E429B4"/>
    <w:rsid w:val="00E45C78"/>
    <w:rsid w:val="00E46010"/>
    <w:rsid w:val="00E501EA"/>
    <w:rsid w:val="00E52C9F"/>
    <w:rsid w:val="00E530CD"/>
    <w:rsid w:val="00E5620B"/>
    <w:rsid w:val="00E57835"/>
    <w:rsid w:val="00E609D5"/>
    <w:rsid w:val="00E60AF7"/>
    <w:rsid w:val="00E614C0"/>
    <w:rsid w:val="00E62015"/>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3CF0"/>
    <w:rsid w:val="00E844B1"/>
    <w:rsid w:val="00E845F8"/>
    <w:rsid w:val="00E84DF0"/>
    <w:rsid w:val="00E85A86"/>
    <w:rsid w:val="00E9567E"/>
    <w:rsid w:val="00EA34B8"/>
    <w:rsid w:val="00EB38F2"/>
    <w:rsid w:val="00EB68CB"/>
    <w:rsid w:val="00EB736A"/>
    <w:rsid w:val="00EB79FD"/>
    <w:rsid w:val="00EC0098"/>
    <w:rsid w:val="00EC0548"/>
    <w:rsid w:val="00EC08EA"/>
    <w:rsid w:val="00EC3441"/>
    <w:rsid w:val="00EC36F1"/>
    <w:rsid w:val="00EC700F"/>
    <w:rsid w:val="00ED1389"/>
    <w:rsid w:val="00EE0A8B"/>
    <w:rsid w:val="00EE74CD"/>
    <w:rsid w:val="00EF054B"/>
    <w:rsid w:val="00EF0AB2"/>
    <w:rsid w:val="00EF37CC"/>
    <w:rsid w:val="00EF484F"/>
    <w:rsid w:val="00F027B0"/>
    <w:rsid w:val="00F04158"/>
    <w:rsid w:val="00F04CC2"/>
    <w:rsid w:val="00F057A8"/>
    <w:rsid w:val="00F07260"/>
    <w:rsid w:val="00F1195C"/>
    <w:rsid w:val="00F12AAF"/>
    <w:rsid w:val="00F132CC"/>
    <w:rsid w:val="00F132F5"/>
    <w:rsid w:val="00F163C5"/>
    <w:rsid w:val="00F16C3A"/>
    <w:rsid w:val="00F17117"/>
    <w:rsid w:val="00F1782E"/>
    <w:rsid w:val="00F20A86"/>
    <w:rsid w:val="00F20F51"/>
    <w:rsid w:val="00F228DB"/>
    <w:rsid w:val="00F244EA"/>
    <w:rsid w:val="00F26232"/>
    <w:rsid w:val="00F27390"/>
    <w:rsid w:val="00F317E0"/>
    <w:rsid w:val="00F32A6C"/>
    <w:rsid w:val="00F334D2"/>
    <w:rsid w:val="00F3362E"/>
    <w:rsid w:val="00F34137"/>
    <w:rsid w:val="00F3621A"/>
    <w:rsid w:val="00F37625"/>
    <w:rsid w:val="00F45969"/>
    <w:rsid w:val="00F477EC"/>
    <w:rsid w:val="00F558B0"/>
    <w:rsid w:val="00F56A1E"/>
    <w:rsid w:val="00F61ECB"/>
    <w:rsid w:val="00F63AF1"/>
    <w:rsid w:val="00F67D7A"/>
    <w:rsid w:val="00F73CF2"/>
    <w:rsid w:val="00F87674"/>
    <w:rsid w:val="00F87BD3"/>
    <w:rsid w:val="00F902EA"/>
    <w:rsid w:val="00F91047"/>
    <w:rsid w:val="00F93FC9"/>
    <w:rsid w:val="00F94061"/>
    <w:rsid w:val="00F946CA"/>
    <w:rsid w:val="00FB1482"/>
    <w:rsid w:val="00FB28D2"/>
    <w:rsid w:val="00FB2996"/>
    <w:rsid w:val="00FB3DCF"/>
    <w:rsid w:val="00FB61FB"/>
    <w:rsid w:val="00FC05A6"/>
    <w:rsid w:val="00FC33ED"/>
    <w:rsid w:val="00FC4722"/>
    <w:rsid w:val="00FC4D5C"/>
    <w:rsid w:val="00FD0B43"/>
    <w:rsid w:val="00FD13F9"/>
    <w:rsid w:val="00FD3EBC"/>
    <w:rsid w:val="00FD62ED"/>
    <w:rsid w:val="00FD6F22"/>
    <w:rsid w:val="00FE046E"/>
    <w:rsid w:val="00FE08FC"/>
    <w:rsid w:val="00FE1768"/>
    <w:rsid w:val="00FE4A3C"/>
    <w:rsid w:val="00FF1C6C"/>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5E30"/>
  <w15:docId w15:val="{62FEA996-2140-4334-8B55-6C278444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20"/>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20"/>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20"/>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20"/>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35"/>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6"/>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7"/>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6"/>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character" w:styleId="CommentReference">
    <w:name w:val="annotation reference"/>
    <w:basedOn w:val="DefaultParagraphFont"/>
    <w:semiHidden/>
    <w:unhideWhenUsed/>
    <w:rsid w:val="00332FD7"/>
    <w:rPr>
      <w:sz w:val="16"/>
      <w:szCs w:val="16"/>
    </w:rPr>
  </w:style>
  <w:style w:type="paragraph" w:styleId="CommentText">
    <w:name w:val="annotation text"/>
    <w:basedOn w:val="Normal"/>
    <w:link w:val="CommentTextChar"/>
    <w:semiHidden/>
    <w:unhideWhenUsed/>
    <w:rsid w:val="00332FD7"/>
    <w:pPr>
      <w:spacing w:line="240" w:lineRule="auto"/>
    </w:pPr>
    <w:rPr>
      <w:szCs w:val="20"/>
    </w:rPr>
  </w:style>
  <w:style w:type="character" w:customStyle="1" w:styleId="CommentTextChar">
    <w:name w:val="Comment Text Char"/>
    <w:basedOn w:val="DefaultParagraphFont"/>
    <w:link w:val="CommentText"/>
    <w:semiHidden/>
    <w:rsid w:val="00332FD7"/>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332FD7"/>
    <w:rPr>
      <w:b/>
      <w:bCs/>
    </w:rPr>
  </w:style>
  <w:style w:type="character" w:customStyle="1" w:styleId="CommentSubjectChar">
    <w:name w:val="Comment Subject Char"/>
    <w:basedOn w:val="CommentTextChar"/>
    <w:link w:val="CommentSubject"/>
    <w:semiHidden/>
    <w:rsid w:val="00332FD7"/>
    <w:rPr>
      <w:rFonts w:ascii="Arial" w:hAnsi="Arial"/>
      <w:b/>
      <w:bCs/>
      <w:color w:val="373737"/>
      <w:sz w:val="20"/>
      <w:szCs w:val="20"/>
    </w:rPr>
  </w:style>
  <w:style w:type="table" w:customStyle="1" w:styleId="OCETable1">
    <w:name w:val="OCE Table1"/>
    <w:basedOn w:val="TableNormal"/>
    <w:uiPriority w:val="99"/>
    <w:rsid w:val="00A04EC9"/>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creativecommons.org/licenses/by/3.0/au/deed.en" TargetMode="Externa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hyperlink" Target="https://abr.gov.au/For-Government-agencies/Accessing-ABR-data/" TargetMode="External"/><Relationship Id="rId50" Type="http://schemas.openxmlformats.org/officeDocument/2006/relationships/hyperlink" Target="http://www.measurement.gov.au/Documents/NMIbrochure.pdf" TargetMode="Externa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ndustry.gov.au/OCE"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hyperlink" Target="https://www.ipaustralia.gov.au/about-us/economics-ip/ip-government-open-data" TargetMode="External"/><Relationship Id="rId2" Type="http://schemas.openxmlformats.org/officeDocument/2006/relationships/customXml" Target="../customXml/item2.xml"/><Relationship Id="rId16" Type="http://schemas.openxmlformats.org/officeDocument/2006/relationships/hyperlink" Target="mailto:chiefeconomist@industry.gov.au" TargetMode="External"/><Relationship Id="rId20" Type="http://schemas.openxmlformats.org/officeDocument/2006/relationships/image" Target="media/image4.png"/><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hyperlink" Target="http://www.measurement.gov.au/Documents/NTMTransitionReport.pdf" TargetMode="External"/><Relationship Id="rId10" Type="http://schemas.openxmlformats.org/officeDocument/2006/relationships/footnotes" Target="footnotes.xml"/><Relationship Id="rId19" Type="http://schemas.openxmlformats.org/officeDocument/2006/relationships/hyperlink" Target="http://creativecommons.org/licenses/by/3.0/au/legalcode" TargetMode="Externa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gelina.Bruno@industry.gov.au" TargetMode="External"/><Relationship Id="rId22" Type="http://schemas.openxmlformats.org/officeDocument/2006/relationships/chart" Target="charts/chart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yperlink" Target="https://www.business.gov.au/assistance/research-and-development-tax-incentive"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labonline.com.au/content/life-scientist/news/national-analytical-labs-to-merge-556570644"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paustralia.gov.au/about-us/economics-ip/ip-government-open-data" TargetMode="External"/><Relationship Id="rId7" Type="http://schemas.openxmlformats.org/officeDocument/2006/relationships/hyperlink" Target="https://www.business.gov.au/assistance/research-and-development-tax-incentive" TargetMode="External"/><Relationship Id="rId2" Type="http://schemas.openxmlformats.org/officeDocument/2006/relationships/hyperlink" Target="http://www.labonline.com.au/content/life-scientist/news/national-analytical-labs-to-merge-556570644" TargetMode="External"/><Relationship Id="rId1" Type="http://schemas.openxmlformats.org/officeDocument/2006/relationships/hyperlink" Target="http://www.measurement.gov.au/Documents/NMIbrochure.pdf" TargetMode="External"/><Relationship Id="rId6" Type="http://schemas.openxmlformats.org/officeDocument/2006/relationships/hyperlink" Target="http://www.abs.gov.au/AUSSTATS/abs@.nsf/DetailsPage/8170.02013-14?OpenDocument" TargetMode="External"/><Relationship Id="rId5" Type="http://schemas.openxmlformats.org/officeDocument/2006/relationships/hyperlink" Target="https://industry.gov.au/industry/Industry-Growth-Centres/Pages/default.aspx" TargetMode="External"/><Relationship Id="rId4" Type="http://schemas.openxmlformats.org/officeDocument/2006/relationships/hyperlink" Target="https://www.ipaustralia.gov.au/about-us/economics-ip/ip-government-open-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economicanalyticalservices/templates/OCE%20Portrait%20Template.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49030523726907"/>
          <c:y val="5.5597675006317918E-2"/>
          <c:w val="0.83321671655449847"/>
          <c:h val="0.72236781622918822"/>
        </c:manualLayout>
      </c:layout>
      <c:barChart>
        <c:barDir val="col"/>
        <c:grouping val="clustered"/>
        <c:varyColors val="0"/>
        <c:ser>
          <c:idx val="0"/>
          <c:order val="0"/>
          <c:tx>
            <c:strRef>
              <c:f>'Persistance by client id'!$B$1</c:f>
              <c:strCache>
                <c:ptCount val="1"/>
                <c:pt idx="0">
                  <c:v>Count</c:v>
                </c:pt>
              </c:strCache>
            </c:strRef>
          </c:tx>
          <c:spPr>
            <a:solidFill>
              <a:srgbClr val="005CAF"/>
            </a:solidFill>
            <a:ln w="25400">
              <a:noFill/>
            </a:ln>
          </c:spPr>
          <c:invertIfNegative val="0"/>
          <c:val>
            <c:numRef>
              <c:f>'Persistance by client id'!$B$2:$B$12</c:f>
              <c:numCache>
                <c:formatCode>General</c:formatCode>
                <c:ptCount val="11"/>
                <c:pt idx="0">
                  <c:v>1048</c:v>
                </c:pt>
                <c:pt idx="1">
                  <c:v>922</c:v>
                </c:pt>
                <c:pt idx="2">
                  <c:v>831</c:v>
                </c:pt>
                <c:pt idx="3">
                  <c:v>692</c:v>
                </c:pt>
                <c:pt idx="4">
                  <c:v>595</c:v>
                </c:pt>
                <c:pt idx="5">
                  <c:v>444</c:v>
                </c:pt>
                <c:pt idx="6">
                  <c:v>693</c:v>
                </c:pt>
                <c:pt idx="7">
                  <c:v>192</c:v>
                </c:pt>
                <c:pt idx="8">
                  <c:v>225</c:v>
                </c:pt>
                <c:pt idx="9">
                  <c:v>230</c:v>
                </c:pt>
                <c:pt idx="10">
                  <c:v>275</c:v>
                </c:pt>
              </c:numCache>
            </c:numRef>
          </c:val>
        </c:ser>
        <c:ser>
          <c:idx val="1"/>
          <c:order val="1"/>
          <c:tx>
            <c:strRef>
              <c:f>'Persistance by client id'!$C$1</c:f>
              <c:strCache>
                <c:ptCount val="1"/>
                <c:pt idx="0">
                  <c:v>ABN</c:v>
                </c:pt>
              </c:strCache>
            </c:strRef>
          </c:tx>
          <c:spPr>
            <a:solidFill>
              <a:srgbClr val="56B4DF"/>
            </a:solidFill>
            <a:ln w="25400">
              <a:noFill/>
            </a:ln>
          </c:spPr>
          <c:invertIfNegative val="0"/>
          <c:val>
            <c:numRef>
              <c:f>'Persistance by client id'!$C$2:$C$12</c:f>
              <c:numCache>
                <c:formatCode>General</c:formatCode>
                <c:ptCount val="11"/>
                <c:pt idx="0">
                  <c:v>220</c:v>
                </c:pt>
                <c:pt idx="1">
                  <c:v>252</c:v>
                </c:pt>
                <c:pt idx="2">
                  <c:v>252</c:v>
                </c:pt>
                <c:pt idx="3">
                  <c:v>252</c:v>
                </c:pt>
                <c:pt idx="4">
                  <c:v>250</c:v>
                </c:pt>
                <c:pt idx="5">
                  <c:v>186</c:v>
                </c:pt>
                <c:pt idx="6">
                  <c:v>266</c:v>
                </c:pt>
                <c:pt idx="7">
                  <c:v>136</c:v>
                </c:pt>
                <c:pt idx="8">
                  <c:v>162</c:v>
                </c:pt>
                <c:pt idx="9">
                  <c:v>120</c:v>
                </c:pt>
                <c:pt idx="10">
                  <c:v>231</c:v>
                </c:pt>
              </c:numCache>
            </c:numRef>
          </c:val>
        </c:ser>
        <c:dLbls>
          <c:showLegendKey val="0"/>
          <c:showVal val="0"/>
          <c:showCatName val="0"/>
          <c:showSerName val="0"/>
          <c:showPercent val="0"/>
          <c:showBubbleSize val="0"/>
        </c:dLbls>
        <c:gapWidth val="219"/>
        <c:axId val="408905944"/>
        <c:axId val="408909080"/>
      </c:barChart>
      <c:catAx>
        <c:axId val="40890594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vert="horz"/>
          <a:lstStyle/>
          <a:p>
            <a:pPr>
              <a:defRPr/>
            </a:pPr>
            <a:endParaRPr lang="en-US"/>
          </a:p>
        </c:txPr>
        <c:crossAx val="408909080"/>
        <c:crosses val="autoZero"/>
        <c:auto val="1"/>
        <c:lblAlgn val="ctr"/>
        <c:lblOffset val="100"/>
        <c:noMultiLvlLbl val="0"/>
      </c:catAx>
      <c:valAx>
        <c:axId val="408909080"/>
        <c:scaling>
          <c:orientation val="minMax"/>
        </c:scaling>
        <c:delete val="0"/>
        <c:axPos val="l"/>
        <c:title>
          <c:tx>
            <c:rich>
              <a:bodyPr rot="-5400000" vert="horz"/>
              <a:lstStyle/>
              <a:p>
                <a:pPr>
                  <a:defRPr/>
                </a:pPr>
                <a:r>
                  <a:rPr lang="en-AU"/>
                  <a:t>Count</a:t>
                </a:r>
              </a:p>
            </c:rich>
          </c:tx>
          <c:overlay val="0"/>
          <c:spPr>
            <a:noFill/>
            <a:ln w="25400">
              <a:noFill/>
            </a:ln>
          </c:spPr>
        </c:title>
        <c:numFmt formatCode="#,##0" sourceLinked="0"/>
        <c:majorTickMark val="out"/>
        <c:minorTickMark val="none"/>
        <c:tickLblPos val="nextTo"/>
        <c:spPr>
          <a:noFill/>
          <a:ln w="3175">
            <a:solidFill>
              <a:srgbClr val="BCBFC1"/>
            </a:solidFill>
            <a:prstDash val="solid"/>
          </a:ln>
          <a:effectLst/>
        </c:spPr>
        <c:txPr>
          <a:bodyPr rot="-60000000" vert="horz"/>
          <a:lstStyle/>
          <a:p>
            <a:pPr>
              <a:defRPr/>
            </a:pPr>
            <a:endParaRPr lang="en-US"/>
          </a:p>
        </c:txPr>
        <c:crossAx val="408905944"/>
        <c:crosses val="autoZero"/>
        <c:crossBetween val="between"/>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chemeClr val="tx1"/>
          </a:solidFill>
          <a:latin typeface="Arial"/>
          <a:ea typeface="Arial"/>
          <a:cs typeface="Aria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24714D2B184DE793424EFCFBD16B84"/>
        <w:category>
          <w:name w:val="General"/>
          <w:gallery w:val="placeholder"/>
        </w:category>
        <w:types>
          <w:type w:val="bbPlcHdr"/>
        </w:types>
        <w:behaviors>
          <w:behavior w:val="content"/>
        </w:behaviors>
        <w:guid w:val="{58524076-CD5B-437C-BE9B-E74AA2D83ED4}"/>
      </w:docPartPr>
      <w:docPartBody>
        <w:p w:rsidR="00034356" w:rsidRDefault="00034356" w:rsidP="00034356">
          <w:pPr>
            <w:pStyle w:val="7D24714D2B184DE793424EFCFBD16B84"/>
          </w:pPr>
          <w:r w:rsidRPr="0016199E">
            <w:rPr>
              <w:rStyle w:val="PlaceholderText"/>
              <w:color w:val="22789A"/>
            </w:rPr>
            <w:t>Type Research Paper title here</w:t>
          </w:r>
        </w:p>
      </w:docPartBody>
    </w:docPart>
    <w:docPart>
      <w:docPartPr>
        <w:name w:val="BDD973120FE04BE9AA4A6E31F00A5E78"/>
        <w:category>
          <w:name w:val="General"/>
          <w:gallery w:val="placeholder"/>
        </w:category>
        <w:types>
          <w:type w:val="bbPlcHdr"/>
        </w:types>
        <w:behaviors>
          <w:behavior w:val="content"/>
        </w:behaviors>
        <w:guid w:val="{F72C68F6-4B10-410D-847E-187D9F0A438A}"/>
      </w:docPartPr>
      <w:docPartBody>
        <w:p w:rsidR="00034356" w:rsidRDefault="00034356" w:rsidP="00034356">
          <w:pPr>
            <w:pStyle w:val="BDD973120FE04BE9AA4A6E31F00A5E78"/>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56"/>
    <w:rsid w:val="00001BAD"/>
    <w:rsid w:val="00034356"/>
    <w:rsid w:val="00105D90"/>
    <w:rsid w:val="002C6E92"/>
    <w:rsid w:val="003D3393"/>
    <w:rsid w:val="00532AD5"/>
    <w:rsid w:val="00552085"/>
    <w:rsid w:val="00712B5F"/>
    <w:rsid w:val="0071476B"/>
    <w:rsid w:val="00745CBA"/>
    <w:rsid w:val="00B04F7F"/>
    <w:rsid w:val="00B26178"/>
    <w:rsid w:val="00C414EA"/>
    <w:rsid w:val="00FE2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356"/>
    <w:rPr>
      <w:color w:val="808080"/>
    </w:rPr>
  </w:style>
  <w:style w:type="paragraph" w:customStyle="1" w:styleId="7D24714D2B184DE793424EFCFBD16B84">
    <w:name w:val="7D24714D2B184DE793424EFCFBD16B84"/>
    <w:rsid w:val="00034356"/>
  </w:style>
  <w:style w:type="paragraph" w:customStyle="1" w:styleId="BDD973120FE04BE9AA4A6E31F00A5E78">
    <w:name w:val="BDD973120FE04BE9AA4A6E31F00A5E78"/>
    <w:rsid w:val="00034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e3126c604c76e54e3eb2d9ee7f5a9183">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b6d96a828f635981de61a75ca72f0890"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EASD</TermName>
          <TermId xmlns="http://schemas.microsoft.com/office/infopath/2007/PartnerControls">1266620e-6595-4ae2-a8cd-6f84eea2d88d</TermId>
        </TermInfo>
        <TermInfo xmlns="http://schemas.microsoft.com/office/infopath/2007/PartnerControls">
          <TermName xmlns="http://schemas.microsoft.com/office/infopath/2007/PartnerControls">Visual Analytics</TermName>
          <TermId xmlns="http://schemas.microsoft.com/office/infopath/2007/PartnerControls">8f71c9f3-aa9f-4046-8945-802bd3a1b277</TermId>
        </TermInfo>
        <TermInfo xmlns="http://schemas.microsoft.com/office/infopath/2007/PartnerControls">
          <TermName xmlns="http://schemas.microsoft.com/office/infopath/2007/PartnerControls">Research Paper</TermName>
          <TermId xmlns="http://schemas.microsoft.com/office/infopath/2007/PartnerControls">7a828ef8-aa94-4648-9524-3c4f67e0d9bf</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46486fd5-fff8-4cbe-a2d1-89ce7ea547a7">
      <Value>1393</Value>
      <Value>31</Value>
      <Value>45</Value>
      <Value>127</Value>
      <Value>3</Value>
      <Value>82</Value>
      <Value>1480</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EUCW2WRC2PUD-172758258-72</_dlc_DocId>
    <_dlc_DocIdUrl xmlns="46486fd5-fff8-4cbe-a2d1-89ce7ea547a7">
      <Url>https://dochub/div/economicanalyticalservices/businessfunctions/publicationsmgmt/researchpapers/2017/_layouts/15/DocIdRedir.aspx?ID=EUCW2WRC2PUD-172758258-72</Url>
      <Description>EUCW2WRC2PUD-172758258-72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9DFA-3037-49B3-9FAC-44B3FB1E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3.xml><?xml version="1.0" encoding="utf-8"?>
<ds:datastoreItem xmlns:ds="http://schemas.openxmlformats.org/officeDocument/2006/customXml" ds:itemID="{7C82E28D-6947-480F-BBF1-3DFDF858D2E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47d1c65-9f6c-49e5-a774-2c92ccb46d02"/>
    <ds:schemaRef ds:uri="http://schemas.microsoft.com/sharepoint/v3"/>
    <ds:schemaRef ds:uri="http://purl.org/dc/terms/"/>
    <ds:schemaRef ds:uri="46486fd5-fff8-4cbe-a2d1-89ce7ea547a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44CB57-718B-4E3C-99E3-9D7763FD3C33}">
  <ds:schemaRefs>
    <ds:schemaRef ds:uri="http://schemas.microsoft.com/sharepoint/events"/>
  </ds:schemaRefs>
</ds:datastoreItem>
</file>

<file path=customXml/itemProps5.xml><?xml version="1.0" encoding="utf-8"?>
<ds:datastoreItem xmlns:ds="http://schemas.openxmlformats.org/officeDocument/2006/customXml" ds:itemID="{4DA6C020-CDAD-4AF8-9223-5B811909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Template>
  <TotalTime>0</TotalTime>
  <Pages>28</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38415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Bruno, Angelina</dc:creator>
  <cp:lastModifiedBy>Brooks, Lou</cp:lastModifiedBy>
  <cp:revision>3</cp:revision>
  <cp:lastPrinted>2018-02-07T01:23:00Z</cp:lastPrinted>
  <dcterms:created xsi:type="dcterms:W3CDTF">2019-06-27T03:12:00Z</dcterms:created>
  <dcterms:modified xsi:type="dcterms:W3CDTF">2019-06-27T03:50:00Z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e955a9f9-325a-4736-8052-297a15b1c2ad</vt:lpwstr>
  </property>
  <property fmtid="{D5CDD505-2E9C-101B-9397-08002B2CF9AE}" pid="8" name="DocHub_Year">
    <vt:lpwstr>1480;#2018|224abc7b-6f7e-4064-b773-6750976429b5</vt:lpwstr>
  </property>
  <property fmtid="{D5CDD505-2E9C-101B-9397-08002B2CF9AE}" pid="9" name="DocHub_DocumentType">
    <vt:lpwstr>45;#Report|116a9244-cef6-47ce-a9a5-088c9cf21292</vt:lpwstr>
  </property>
  <property fmtid="{D5CDD505-2E9C-101B-9397-08002B2CF9AE}" pid="10" name="DocHub_SecurityClassification">
    <vt:lpwstr>3;#UNCLASSIFIED|6106d03b-a1a0-4e30-9d91-d5e9fb4314f9</vt:lpwstr>
  </property>
  <property fmtid="{D5CDD505-2E9C-101B-9397-08002B2CF9AE}" pid="11" name="DocHub_Keywords">
    <vt:lpwstr>31;#EASD|1266620e-6595-4ae2-a8cd-6f84eea2d88d;#127;#Visual Analytics|8f71c9f3-aa9f-4046-8945-802bd3a1b277;#1393;#Research Paper|7a828ef8-aa94-4648-9524-3c4f67e0d9bf</vt:lpwstr>
  </property>
  <property fmtid="{D5CDD505-2E9C-101B-9397-08002B2CF9AE}" pid="12" name="DocHub_WorkActivity">
    <vt:lpwstr>82;#Research|7b4c149d-8b70-4bf0-8e72-df534d298464</vt:lpwstr>
  </property>
</Properties>
</file>