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726" w:rsidRDefault="00C41B6F" w:rsidP="00CC2DCE">
      <w:pPr>
        <w:pStyle w:val="Title"/>
        <w:spacing w:before="4480"/>
        <w:ind w:left="907" w:right="663"/>
      </w:pPr>
      <w:r>
        <w:t>Recognition kit instructions</w:t>
      </w:r>
    </w:p>
    <w:p w:rsidR="00043563" w:rsidRDefault="00043563" w:rsidP="001A25AE">
      <w:pPr>
        <w:pStyle w:val="Subtitle"/>
        <w:ind w:left="910" w:right="662"/>
      </w:pPr>
      <w:r>
        <w:t xml:space="preserve">National Measurement Institute </w:t>
      </w:r>
    </w:p>
    <w:p w:rsidR="002300AC" w:rsidRDefault="00C41B6F" w:rsidP="001A25AE">
      <w:pPr>
        <w:pStyle w:val="Subtitle"/>
        <w:ind w:left="910" w:right="662"/>
      </w:pPr>
      <w:r>
        <w:t>Verifiers and weighbridge operators</w:t>
      </w:r>
    </w:p>
    <w:p w:rsidR="001A2DC6" w:rsidRPr="00466073" w:rsidRDefault="00466073" w:rsidP="001A25AE">
      <w:pPr>
        <w:ind w:left="993" w:right="804"/>
        <w:rPr>
          <w:rStyle w:val="Hyperlink"/>
        </w:rPr>
      </w:pPr>
      <w:r>
        <w:rPr>
          <w:rStyle w:val="Hyperlink"/>
        </w:rPr>
        <w:fldChar w:fldCharType="begin"/>
      </w:r>
      <w:r>
        <w:rPr>
          <w:rStyle w:val="Hyperlink"/>
        </w:rPr>
        <w:instrText xml:space="preserve"> HYPERLINK "https://www.industry.gov.au/strategies-for-the-future/national-measurement-institute" </w:instrText>
      </w:r>
      <w:r>
        <w:rPr>
          <w:rStyle w:val="Hyperlink"/>
        </w:rPr>
        <w:fldChar w:fldCharType="separate"/>
      </w:r>
      <w:r w:rsidRPr="00466073">
        <w:rPr>
          <w:rStyle w:val="Hyperlink"/>
        </w:rPr>
        <w:t>NMI on the internet</w:t>
      </w:r>
    </w:p>
    <w:p w:rsidR="001A2DC6" w:rsidRPr="00466073" w:rsidRDefault="001A2DC6" w:rsidP="00163B54">
      <w:pPr>
        <w:rPr>
          <w:rStyle w:val="Hyperlink"/>
        </w:rPr>
        <w:sectPr w:rsidR="001A2DC6" w:rsidRPr="00466073" w:rsidSect="00B93605">
          <w:headerReference w:type="default" r:id="rId8"/>
          <w:pgSz w:w="11906" w:h="16838"/>
          <w:pgMar w:top="851" w:right="1134" w:bottom="992" w:left="1134" w:header="709" w:footer="709" w:gutter="0"/>
          <w:cols w:space="708"/>
          <w:docGrid w:linePitch="360"/>
        </w:sectPr>
      </w:pPr>
    </w:p>
    <w:bookmarkStart w:id="0" w:name="_Toc419991345"/>
    <w:p w:rsidR="001045BF" w:rsidRPr="00086E15" w:rsidRDefault="00466073" w:rsidP="001045BF">
      <w:pPr>
        <w:spacing w:after="240"/>
        <w:rPr>
          <w:rFonts w:cs="Arial"/>
          <w:color w:val="000000"/>
        </w:rPr>
      </w:pPr>
      <w:r>
        <w:rPr>
          <w:rStyle w:val="Hyperlink"/>
        </w:rPr>
        <w:lastRenderedPageBreak/>
        <w:fldChar w:fldCharType="end"/>
      </w:r>
      <w:r w:rsidR="001045BF">
        <w:rPr>
          <w:rFonts w:cstheme="minorHAnsi"/>
          <w:color w:val="000000"/>
        </w:rPr>
        <w:t>©</w:t>
      </w:r>
      <w:r w:rsidR="001045BF">
        <w:rPr>
          <w:rFonts w:cs="Arial"/>
          <w:color w:val="000000"/>
        </w:rPr>
        <w:t xml:space="preserve"> </w:t>
      </w:r>
      <w:r w:rsidR="001045BF" w:rsidRPr="00086E15">
        <w:rPr>
          <w:rFonts w:cs="Arial"/>
          <w:color w:val="000000"/>
        </w:rPr>
        <w:t>Commonwealth of Australia 20</w:t>
      </w:r>
      <w:r w:rsidR="001045BF">
        <w:rPr>
          <w:rFonts w:cs="Arial"/>
          <w:color w:val="000000"/>
        </w:rPr>
        <w:t>19</w:t>
      </w:r>
    </w:p>
    <w:p w:rsidR="001045BF" w:rsidRDefault="001045BF" w:rsidP="001045BF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</w:p>
    <w:p w:rsidR="001045BF" w:rsidRPr="00086E15" w:rsidRDefault="001045BF" w:rsidP="001045BF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 w:rsidRPr="00086E15">
        <w:rPr>
          <w:rFonts w:cs="Arial"/>
          <w:color w:val="000000"/>
        </w:rPr>
        <w:t xml:space="preserve">National Measurement Institute </w:t>
      </w:r>
    </w:p>
    <w:p w:rsidR="001045BF" w:rsidRDefault="006A45BF" w:rsidP="001045BF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 xml:space="preserve">36 </w:t>
      </w:r>
      <w:r w:rsidR="001045BF" w:rsidRPr="00086E15">
        <w:rPr>
          <w:rFonts w:cs="Arial"/>
          <w:color w:val="000000"/>
        </w:rPr>
        <w:t xml:space="preserve">Bradfield Road, Lindfield, NSW 2070 </w:t>
      </w:r>
    </w:p>
    <w:p w:rsidR="006A45BF" w:rsidRPr="00086E15" w:rsidRDefault="006A45BF" w:rsidP="001045BF">
      <w:pPr>
        <w:autoSpaceDE w:val="0"/>
        <w:autoSpaceDN w:val="0"/>
        <w:adjustRightInd w:val="0"/>
        <w:spacing w:after="0"/>
        <w:rPr>
          <w:rFonts w:cs="Arial"/>
          <w:color w:val="000000"/>
        </w:rPr>
      </w:pPr>
    </w:p>
    <w:p w:rsidR="001045BF" w:rsidRPr="00086E15" w:rsidRDefault="001045BF" w:rsidP="001045BF">
      <w:pPr>
        <w:tabs>
          <w:tab w:val="left" w:pos="426"/>
        </w:tabs>
        <w:autoSpaceDE w:val="0"/>
        <w:autoSpaceDN w:val="0"/>
        <w:adjustRightInd w:val="0"/>
        <w:spacing w:after="0"/>
        <w:rPr>
          <w:rFonts w:cs="Arial"/>
          <w:color w:val="000000"/>
        </w:rPr>
      </w:pPr>
      <w:r w:rsidRPr="00086E15">
        <w:rPr>
          <w:rFonts w:cs="Arial"/>
          <w:color w:val="000000"/>
        </w:rPr>
        <w:t>T</w:t>
      </w:r>
      <w:r w:rsidR="003C3FE7">
        <w:rPr>
          <w:rFonts w:cs="Arial"/>
          <w:color w:val="000000"/>
        </w:rPr>
        <w:t xml:space="preserve">el: </w:t>
      </w:r>
      <w:r w:rsidRPr="00493EBA">
        <w:rPr>
          <w:rFonts w:cs="Arial"/>
          <w:color w:val="000000"/>
        </w:rPr>
        <w:t>61 2 8467 3796</w:t>
      </w:r>
      <w:r w:rsidRPr="00086E15">
        <w:rPr>
          <w:rFonts w:cs="Arial"/>
          <w:color w:val="000000"/>
        </w:rPr>
        <w:t xml:space="preserve"> </w:t>
      </w:r>
    </w:p>
    <w:p w:rsidR="001045BF" w:rsidRPr="009A614A" w:rsidRDefault="001045BF" w:rsidP="001045BF">
      <w:pPr>
        <w:tabs>
          <w:tab w:val="left" w:pos="426"/>
        </w:tabs>
        <w:spacing w:after="0"/>
        <w:rPr>
          <w:rStyle w:val="Hyperlink"/>
          <w:color w:val="auto"/>
          <w:u w:val="none"/>
        </w:rPr>
      </w:pPr>
      <w:r w:rsidRPr="009A614A">
        <w:rPr>
          <w:rFonts w:cs="Arial"/>
        </w:rPr>
        <w:t>W</w:t>
      </w:r>
      <w:r w:rsidR="003C3FE7">
        <w:rPr>
          <w:rFonts w:cs="Arial"/>
        </w:rPr>
        <w:t xml:space="preserve">ebsite: </w:t>
      </w:r>
      <w:hyperlink r:id="rId9" w:history="1">
        <w:r w:rsidR="00446382" w:rsidRPr="00446382">
          <w:rPr>
            <w:rStyle w:val="Hyperlink"/>
          </w:rPr>
          <w:t>Industry website – NMI pages</w:t>
        </w:r>
      </w:hyperlink>
    </w:p>
    <w:p w:rsidR="001045BF" w:rsidRDefault="001045BF" w:rsidP="001045BF">
      <w:pPr>
        <w:tabs>
          <w:tab w:val="left" w:pos="426"/>
        </w:tabs>
        <w:spacing w:after="0"/>
        <w:rPr>
          <w:rFonts w:cs="Arial"/>
        </w:rPr>
        <w:sectPr w:rsidR="001045BF" w:rsidSect="00B93605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1134" w:bottom="992" w:left="1134" w:header="709" w:footer="709" w:gutter="0"/>
          <w:cols w:space="708"/>
          <w:docGrid w:linePitch="360"/>
        </w:sectPr>
      </w:pPr>
      <w:r w:rsidRPr="009A614A">
        <w:rPr>
          <w:rFonts w:cs="Arial"/>
          <w:color w:val="000000"/>
        </w:rPr>
        <w:t>E</w:t>
      </w:r>
      <w:r w:rsidR="003C3FE7">
        <w:rPr>
          <w:rFonts w:cs="Arial"/>
          <w:color w:val="000000"/>
        </w:rPr>
        <w:t xml:space="preserve">mail: </w:t>
      </w:r>
      <w:hyperlink r:id="rId14" w:history="1">
        <w:r w:rsidR="006A45BF">
          <w:rPr>
            <w:rStyle w:val="Hyperlink"/>
            <w:rFonts w:cs="Arial"/>
          </w:rPr>
          <w:t>nmiadministrator@measurement.gov.au</w:t>
        </w:r>
      </w:hyperlink>
      <w:r w:rsidR="00446382">
        <w:rPr>
          <w:rFonts w:cs="Arial"/>
        </w:rPr>
        <w:t xml:space="preserve"> </w:t>
      </w:r>
    </w:p>
    <w:p w:rsidR="00CB2680" w:rsidRDefault="00CB2680">
      <w:pPr>
        <w:pStyle w:val="TOCHeading"/>
      </w:pPr>
      <w:r>
        <w:lastRenderedPageBreak/>
        <w:t>Contents</w:t>
      </w:r>
    </w:p>
    <w:p w:rsidR="00AB721E" w:rsidRDefault="00163B54">
      <w:pPr>
        <w:pStyle w:val="TOC1"/>
        <w:tabs>
          <w:tab w:val="left" w:pos="709"/>
          <w:tab w:val="right" w:leader="dot" w:pos="9628"/>
        </w:tabs>
        <w:rPr>
          <w:rFonts w:eastAsiaTheme="minorEastAsia"/>
          <w:noProof/>
          <w:sz w:val="22"/>
          <w:lang w:eastAsia="en-AU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22810824" w:history="1">
        <w:r w:rsidR="00AB721E" w:rsidRPr="00CA6E7C">
          <w:rPr>
            <w:rStyle w:val="Hyperlink"/>
            <w:noProof/>
          </w:rPr>
          <w:t>1.</w:t>
        </w:r>
        <w:r w:rsidR="00AB721E">
          <w:rPr>
            <w:rFonts w:eastAsiaTheme="minorEastAsia"/>
            <w:noProof/>
            <w:sz w:val="22"/>
            <w:lang w:eastAsia="en-AU"/>
          </w:rPr>
          <w:tab/>
        </w:r>
        <w:r w:rsidR="00AB721E" w:rsidRPr="00CA6E7C">
          <w:rPr>
            <w:rStyle w:val="Hyperlink"/>
            <w:noProof/>
          </w:rPr>
          <w:t>Background</w:t>
        </w:r>
        <w:r w:rsidR="00AB721E">
          <w:rPr>
            <w:noProof/>
            <w:webHidden/>
          </w:rPr>
          <w:tab/>
        </w:r>
        <w:r w:rsidR="00AB721E">
          <w:rPr>
            <w:noProof/>
            <w:webHidden/>
          </w:rPr>
          <w:fldChar w:fldCharType="begin"/>
        </w:r>
        <w:r w:rsidR="00AB721E">
          <w:rPr>
            <w:noProof/>
            <w:webHidden/>
          </w:rPr>
          <w:instrText xml:space="preserve"> PAGEREF _Toc22810824 \h </w:instrText>
        </w:r>
        <w:r w:rsidR="00AB721E">
          <w:rPr>
            <w:noProof/>
            <w:webHidden/>
          </w:rPr>
        </w:r>
        <w:r w:rsidR="00AB721E">
          <w:rPr>
            <w:noProof/>
            <w:webHidden/>
          </w:rPr>
          <w:fldChar w:fldCharType="separate"/>
        </w:r>
        <w:r w:rsidR="00FA6B19">
          <w:rPr>
            <w:noProof/>
            <w:webHidden/>
          </w:rPr>
          <w:t>1</w:t>
        </w:r>
        <w:r w:rsidR="00AB721E">
          <w:rPr>
            <w:noProof/>
            <w:webHidden/>
          </w:rPr>
          <w:fldChar w:fldCharType="end"/>
        </w:r>
      </w:hyperlink>
    </w:p>
    <w:p w:rsidR="00AB721E" w:rsidRDefault="0001122E">
      <w:pPr>
        <w:pStyle w:val="TOC1"/>
        <w:tabs>
          <w:tab w:val="left" w:pos="709"/>
          <w:tab w:val="right" w:leader="dot" w:pos="9628"/>
        </w:tabs>
        <w:rPr>
          <w:rFonts w:eastAsiaTheme="minorEastAsia"/>
          <w:noProof/>
          <w:sz w:val="22"/>
          <w:lang w:eastAsia="en-AU"/>
        </w:rPr>
      </w:pPr>
      <w:hyperlink w:anchor="_Toc22810825" w:history="1">
        <w:r w:rsidR="00AB721E" w:rsidRPr="00CA6E7C">
          <w:rPr>
            <w:rStyle w:val="Hyperlink"/>
            <w:noProof/>
          </w:rPr>
          <w:t>2.</w:t>
        </w:r>
        <w:r w:rsidR="00AB721E">
          <w:rPr>
            <w:rFonts w:eastAsiaTheme="minorEastAsia"/>
            <w:noProof/>
            <w:sz w:val="22"/>
            <w:lang w:eastAsia="en-AU"/>
          </w:rPr>
          <w:tab/>
        </w:r>
        <w:r w:rsidR="00AB721E" w:rsidRPr="00CA6E7C">
          <w:rPr>
            <w:rStyle w:val="Hyperlink"/>
            <w:noProof/>
          </w:rPr>
          <w:t>Roles of verifiers and weighbridge operators</w:t>
        </w:r>
        <w:r w:rsidR="00AB721E">
          <w:rPr>
            <w:noProof/>
            <w:webHidden/>
          </w:rPr>
          <w:tab/>
        </w:r>
        <w:r w:rsidR="00AB721E">
          <w:rPr>
            <w:noProof/>
            <w:webHidden/>
          </w:rPr>
          <w:fldChar w:fldCharType="begin"/>
        </w:r>
        <w:r w:rsidR="00AB721E">
          <w:rPr>
            <w:noProof/>
            <w:webHidden/>
          </w:rPr>
          <w:instrText xml:space="preserve"> PAGEREF _Toc22810825 \h </w:instrText>
        </w:r>
        <w:r w:rsidR="00AB721E">
          <w:rPr>
            <w:noProof/>
            <w:webHidden/>
          </w:rPr>
        </w:r>
        <w:r w:rsidR="00AB721E">
          <w:rPr>
            <w:noProof/>
            <w:webHidden/>
          </w:rPr>
          <w:fldChar w:fldCharType="separate"/>
        </w:r>
        <w:r w:rsidR="00FA6B19">
          <w:rPr>
            <w:noProof/>
            <w:webHidden/>
          </w:rPr>
          <w:t>1</w:t>
        </w:r>
        <w:r w:rsidR="00AB721E">
          <w:rPr>
            <w:noProof/>
            <w:webHidden/>
          </w:rPr>
          <w:fldChar w:fldCharType="end"/>
        </w:r>
      </w:hyperlink>
    </w:p>
    <w:p w:rsidR="00AB721E" w:rsidRDefault="0001122E">
      <w:pPr>
        <w:pStyle w:val="TOC1"/>
        <w:tabs>
          <w:tab w:val="left" w:pos="709"/>
          <w:tab w:val="right" w:leader="dot" w:pos="9628"/>
        </w:tabs>
        <w:rPr>
          <w:rFonts w:eastAsiaTheme="minorEastAsia"/>
          <w:noProof/>
          <w:sz w:val="22"/>
          <w:lang w:eastAsia="en-AU"/>
        </w:rPr>
      </w:pPr>
      <w:hyperlink w:anchor="_Toc22810826" w:history="1">
        <w:r w:rsidR="00AB721E" w:rsidRPr="00CA6E7C">
          <w:rPr>
            <w:rStyle w:val="Hyperlink"/>
            <w:noProof/>
          </w:rPr>
          <w:t>3.</w:t>
        </w:r>
        <w:r w:rsidR="00AB721E">
          <w:rPr>
            <w:rFonts w:eastAsiaTheme="minorEastAsia"/>
            <w:noProof/>
            <w:sz w:val="22"/>
            <w:lang w:eastAsia="en-AU"/>
          </w:rPr>
          <w:tab/>
        </w:r>
        <w:r w:rsidR="00AB721E" w:rsidRPr="00CA6E7C">
          <w:rPr>
            <w:rStyle w:val="Hyperlink"/>
            <w:noProof/>
          </w:rPr>
          <w:t>What does competence mean?</w:t>
        </w:r>
        <w:r w:rsidR="00AB721E">
          <w:rPr>
            <w:noProof/>
            <w:webHidden/>
          </w:rPr>
          <w:tab/>
        </w:r>
        <w:r w:rsidR="00AB721E">
          <w:rPr>
            <w:noProof/>
            <w:webHidden/>
          </w:rPr>
          <w:fldChar w:fldCharType="begin"/>
        </w:r>
        <w:r w:rsidR="00AB721E">
          <w:rPr>
            <w:noProof/>
            <w:webHidden/>
          </w:rPr>
          <w:instrText xml:space="preserve"> PAGEREF _Toc22810826 \h </w:instrText>
        </w:r>
        <w:r w:rsidR="00AB721E">
          <w:rPr>
            <w:noProof/>
            <w:webHidden/>
          </w:rPr>
        </w:r>
        <w:r w:rsidR="00AB721E">
          <w:rPr>
            <w:noProof/>
            <w:webHidden/>
          </w:rPr>
          <w:fldChar w:fldCharType="separate"/>
        </w:r>
        <w:r w:rsidR="00FA6B19">
          <w:rPr>
            <w:noProof/>
            <w:webHidden/>
          </w:rPr>
          <w:t>1</w:t>
        </w:r>
        <w:r w:rsidR="00AB721E">
          <w:rPr>
            <w:noProof/>
            <w:webHidden/>
          </w:rPr>
          <w:fldChar w:fldCharType="end"/>
        </w:r>
      </w:hyperlink>
    </w:p>
    <w:p w:rsidR="00AB721E" w:rsidRDefault="0001122E">
      <w:pPr>
        <w:pStyle w:val="TOC1"/>
        <w:tabs>
          <w:tab w:val="left" w:pos="709"/>
          <w:tab w:val="right" w:leader="dot" w:pos="9628"/>
        </w:tabs>
        <w:rPr>
          <w:rFonts w:eastAsiaTheme="minorEastAsia"/>
          <w:noProof/>
          <w:sz w:val="22"/>
          <w:lang w:eastAsia="en-AU"/>
        </w:rPr>
      </w:pPr>
      <w:hyperlink w:anchor="_Toc22810827" w:history="1">
        <w:r w:rsidR="00AB721E" w:rsidRPr="00CA6E7C">
          <w:rPr>
            <w:rStyle w:val="Hyperlink"/>
            <w:noProof/>
          </w:rPr>
          <w:t>4.</w:t>
        </w:r>
        <w:r w:rsidR="00AB721E">
          <w:rPr>
            <w:rFonts w:eastAsiaTheme="minorEastAsia"/>
            <w:noProof/>
            <w:sz w:val="22"/>
            <w:lang w:eastAsia="en-AU"/>
          </w:rPr>
          <w:tab/>
        </w:r>
        <w:r w:rsidR="00AB721E" w:rsidRPr="00CA6E7C">
          <w:rPr>
            <w:rStyle w:val="Hyperlink"/>
            <w:noProof/>
          </w:rPr>
          <w:t>What is the recognition process?</w:t>
        </w:r>
        <w:r w:rsidR="00AB721E">
          <w:rPr>
            <w:noProof/>
            <w:webHidden/>
          </w:rPr>
          <w:tab/>
        </w:r>
        <w:r w:rsidR="00AB721E">
          <w:rPr>
            <w:noProof/>
            <w:webHidden/>
          </w:rPr>
          <w:fldChar w:fldCharType="begin"/>
        </w:r>
        <w:r w:rsidR="00AB721E">
          <w:rPr>
            <w:noProof/>
            <w:webHidden/>
          </w:rPr>
          <w:instrText xml:space="preserve"> PAGEREF _Toc22810827 \h </w:instrText>
        </w:r>
        <w:r w:rsidR="00AB721E">
          <w:rPr>
            <w:noProof/>
            <w:webHidden/>
          </w:rPr>
        </w:r>
        <w:r w:rsidR="00AB721E">
          <w:rPr>
            <w:noProof/>
            <w:webHidden/>
          </w:rPr>
          <w:fldChar w:fldCharType="separate"/>
        </w:r>
        <w:r w:rsidR="00FA6B19">
          <w:rPr>
            <w:noProof/>
            <w:webHidden/>
          </w:rPr>
          <w:t>2</w:t>
        </w:r>
        <w:r w:rsidR="00AB721E">
          <w:rPr>
            <w:noProof/>
            <w:webHidden/>
          </w:rPr>
          <w:fldChar w:fldCharType="end"/>
        </w:r>
      </w:hyperlink>
    </w:p>
    <w:p w:rsidR="00AB721E" w:rsidRDefault="0001122E">
      <w:pPr>
        <w:pStyle w:val="TOC1"/>
        <w:tabs>
          <w:tab w:val="left" w:pos="709"/>
          <w:tab w:val="right" w:leader="dot" w:pos="9628"/>
        </w:tabs>
        <w:rPr>
          <w:rFonts w:eastAsiaTheme="minorEastAsia"/>
          <w:noProof/>
          <w:sz w:val="22"/>
          <w:lang w:eastAsia="en-AU"/>
        </w:rPr>
      </w:pPr>
      <w:hyperlink w:anchor="_Toc22810828" w:history="1">
        <w:r w:rsidR="00AB721E" w:rsidRPr="00CA6E7C">
          <w:rPr>
            <w:rStyle w:val="Hyperlink"/>
            <w:noProof/>
          </w:rPr>
          <w:t>5.</w:t>
        </w:r>
        <w:r w:rsidR="00AB721E">
          <w:rPr>
            <w:rFonts w:eastAsiaTheme="minorEastAsia"/>
            <w:noProof/>
            <w:sz w:val="22"/>
            <w:lang w:eastAsia="en-AU"/>
          </w:rPr>
          <w:tab/>
        </w:r>
        <w:r w:rsidR="00AB721E" w:rsidRPr="00CA6E7C">
          <w:rPr>
            <w:rStyle w:val="Hyperlink"/>
            <w:noProof/>
          </w:rPr>
          <w:t>How are recognition kits completed and submitted?</w:t>
        </w:r>
        <w:r w:rsidR="00AB721E">
          <w:rPr>
            <w:noProof/>
            <w:webHidden/>
          </w:rPr>
          <w:tab/>
        </w:r>
        <w:r w:rsidR="00AB721E">
          <w:rPr>
            <w:noProof/>
            <w:webHidden/>
          </w:rPr>
          <w:fldChar w:fldCharType="begin"/>
        </w:r>
        <w:r w:rsidR="00AB721E">
          <w:rPr>
            <w:noProof/>
            <w:webHidden/>
          </w:rPr>
          <w:instrText xml:space="preserve"> PAGEREF _Toc22810828 \h </w:instrText>
        </w:r>
        <w:r w:rsidR="00AB721E">
          <w:rPr>
            <w:noProof/>
            <w:webHidden/>
          </w:rPr>
        </w:r>
        <w:r w:rsidR="00AB721E">
          <w:rPr>
            <w:noProof/>
            <w:webHidden/>
          </w:rPr>
          <w:fldChar w:fldCharType="separate"/>
        </w:r>
        <w:r w:rsidR="00FA6B19">
          <w:rPr>
            <w:noProof/>
            <w:webHidden/>
          </w:rPr>
          <w:t>3</w:t>
        </w:r>
        <w:r w:rsidR="00AB721E">
          <w:rPr>
            <w:noProof/>
            <w:webHidden/>
          </w:rPr>
          <w:fldChar w:fldCharType="end"/>
        </w:r>
      </w:hyperlink>
    </w:p>
    <w:p w:rsidR="00AB721E" w:rsidRDefault="0001122E">
      <w:pPr>
        <w:pStyle w:val="TOC2"/>
        <w:rPr>
          <w:rFonts w:eastAsiaTheme="minorEastAsia"/>
          <w:noProof/>
          <w:color w:val="auto"/>
          <w:sz w:val="22"/>
          <w:lang w:eastAsia="en-AU"/>
        </w:rPr>
      </w:pPr>
      <w:hyperlink w:anchor="_Toc22810829" w:history="1">
        <w:r w:rsidR="00AB721E" w:rsidRPr="00CA6E7C">
          <w:rPr>
            <w:rStyle w:val="Hyperlink"/>
            <w:noProof/>
          </w:rPr>
          <w:t xml:space="preserve">Step 1 </w:t>
        </w:r>
        <w:r w:rsidR="00AB721E" w:rsidRPr="00CA6E7C">
          <w:rPr>
            <w:rStyle w:val="Hyperlink"/>
            <w:rFonts w:cstheme="majorHAnsi"/>
            <w:noProof/>
          </w:rPr>
          <w:t>–</w:t>
        </w:r>
        <w:r w:rsidR="00AB721E" w:rsidRPr="00CA6E7C">
          <w:rPr>
            <w:rStyle w:val="Hyperlink"/>
            <w:noProof/>
          </w:rPr>
          <w:t xml:space="preserve"> Download the kit(s) relevant to your needs from the website.</w:t>
        </w:r>
        <w:r w:rsidR="00AB721E">
          <w:rPr>
            <w:noProof/>
            <w:webHidden/>
          </w:rPr>
          <w:tab/>
        </w:r>
        <w:r w:rsidR="00AB721E">
          <w:rPr>
            <w:noProof/>
            <w:webHidden/>
          </w:rPr>
          <w:fldChar w:fldCharType="begin"/>
        </w:r>
        <w:r w:rsidR="00AB721E">
          <w:rPr>
            <w:noProof/>
            <w:webHidden/>
          </w:rPr>
          <w:instrText xml:space="preserve"> PAGEREF _Toc22810829 \h </w:instrText>
        </w:r>
        <w:r w:rsidR="00AB721E">
          <w:rPr>
            <w:noProof/>
            <w:webHidden/>
          </w:rPr>
        </w:r>
        <w:r w:rsidR="00AB721E">
          <w:rPr>
            <w:noProof/>
            <w:webHidden/>
          </w:rPr>
          <w:fldChar w:fldCharType="separate"/>
        </w:r>
        <w:r w:rsidR="00FA6B19">
          <w:rPr>
            <w:noProof/>
            <w:webHidden/>
          </w:rPr>
          <w:t>3</w:t>
        </w:r>
        <w:r w:rsidR="00AB721E">
          <w:rPr>
            <w:noProof/>
            <w:webHidden/>
          </w:rPr>
          <w:fldChar w:fldCharType="end"/>
        </w:r>
      </w:hyperlink>
    </w:p>
    <w:p w:rsidR="00AB721E" w:rsidRDefault="0001122E">
      <w:pPr>
        <w:pStyle w:val="TOC2"/>
        <w:rPr>
          <w:rFonts w:eastAsiaTheme="minorEastAsia"/>
          <w:noProof/>
          <w:color w:val="auto"/>
          <w:sz w:val="22"/>
          <w:lang w:eastAsia="en-AU"/>
        </w:rPr>
      </w:pPr>
      <w:hyperlink w:anchor="_Toc22810830" w:history="1">
        <w:r w:rsidR="00AB721E" w:rsidRPr="00CA6E7C">
          <w:rPr>
            <w:rStyle w:val="Hyperlink"/>
            <w:noProof/>
          </w:rPr>
          <w:t xml:space="preserve">Step 2 </w:t>
        </w:r>
        <w:r w:rsidR="00AB721E" w:rsidRPr="00CA6E7C">
          <w:rPr>
            <w:rStyle w:val="Hyperlink"/>
            <w:rFonts w:cstheme="majorHAnsi"/>
            <w:noProof/>
          </w:rPr>
          <w:t>−</w:t>
        </w:r>
        <w:r w:rsidR="00AB721E" w:rsidRPr="00CA6E7C">
          <w:rPr>
            <w:rStyle w:val="Hyperlink"/>
            <w:noProof/>
          </w:rPr>
          <w:t>Collect your evidence and complete the recognition kit</w:t>
        </w:r>
        <w:r w:rsidR="00AB721E">
          <w:rPr>
            <w:noProof/>
            <w:webHidden/>
          </w:rPr>
          <w:tab/>
        </w:r>
        <w:r w:rsidR="00AB721E">
          <w:rPr>
            <w:noProof/>
            <w:webHidden/>
          </w:rPr>
          <w:fldChar w:fldCharType="begin"/>
        </w:r>
        <w:r w:rsidR="00AB721E">
          <w:rPr>
            <w:noProof/>
            <w:webHidden/>
          </w:rPr>
          <w:instrText xml:space="preserve"> PAGEREF _Toc22810830 \h </w:instrText>
        </w:r>
        <w:r w:rsidR="00AB721E">
          <w:rPr>
            <w:noProof/>
            <w:webHidden/>
          </w:rPr>
        </w:r>
        <w:r w:rsidR="00AB721E">
          <w:rPr>
            <w:noProof/>
            <w:webHidden/>
          </w:rPr>
          <w:fldChar w:fldCharType="separate"/>
        </w:r>
        <w:r w:rsidR="00FA6B19">
          <w:rPr>
            <w:noProof/>
            <w:webHidden/>
          </w:rPr>
          <w:t>3</w:t>
        </w:r>
        <w:r w:rsidR="00AB721E">
          <w:rPr>
            <w:noProof/>
            <w:webHidden/>
          </w:rPr>
          <w:fldChar w:fldCharType="end"/>
        </w:r>
      </w:hyperlink>
    </w:p>
    <w:p w:rsidR="00AB721E" w:rsidRDefault="0001122E">
      <w:pPr>
        <w:pStyle w:val="TOC2"/>
        <w:rPr>
          <w:rFonts w:eastAsiaTheme="minorEastAsia"/>
          <w:noProof/>
          <w:color w:val="auto"/>
          <w:sz w:val="22"/>
          <w:lang w:eastAsia="en-AU"/>
        </w:rPr>
      </w:pPr>
      <w:hyperlink w:anchor="_Toc22810831" w:history="1">
        <w:r w:rsidR="00AB721E" w:rsidRPr="00CA6E7C">
          <w:rPr>
            <w:rStyle w:val="Hyperlink"/>
            <w:noProof/>
          </w:rPr>
          <w:t>Step 3 - Submit your completed recognition kit</w:t>
        </w:r>
        <w:r w:rsidR="00AB721E">
          <w:rPr>
            <w:noProof/>
            <w:webHidden/>
          </w:rPr>
          <w:tab/>
        </w:r>
        <w:r w:rsidR="00AB721E">
          <w:rPr>
            <w:noProof/>
            <w:webHidden/>
          </w:rPr>
          <w:fldChar w:fldCharType="begin"/>
        </w:r>
        <w:r w:rsidR="00AB721E">
          <w:rPr>
            <w:noProof/>
            <w:webHidden/>
          </w:rPr>
          <w:instrText xml:space="preserve"> PAGEREF _Toc22810831 \h </w:instrText>
        </w:r>
        <w:r w:rsidR="00AB721E">
          <w:rPr>
            <w:noProof/>
            <w:webHidden/>
          </w:rPr>
        </w:r>
        <w:r w:rsidR="00AB721E">
          <w:rPr>
            <w:noProof/>
            <w:webHidden/>
          </w:rPr>
          <w:fldChar w:fldCharType="separate"/>
        </w:r>
        <w:r w:rsidR="00FA6B19">
          <w:rPr>
            <w:noProof/>
            <w:webHidden/>
          </w:rPr>
          <w:t>3</w:t>
        </w:r>
        <w:r w:rsidR="00AB721E">
          <w:rPr>
            <w:noProof/>
            <w:webHidden/>
          </w:rPr>
          <w:fldChar w:fldCharType="end"/>
        </w:r>
      </w:hyperlink>
    </w:p>
    <w:p w:rsidR="00AB721E" w:rsidRDefault="0001122E">
      <w:pPr>
        <w:pStyle w:val="TOC2"/>
        <w:rPr>
          <w:rFonts w:eastAsiaTheme="minorEastAsia"/>
          <w:noProof/>
          <w:color w:val="auto"/>
          <w:sz w:val="22"/>
          <w:lang w:eastAsia="en-AU"/>
        </w:rPr>
      </w:pPr>
      <w:hyperlink w:anchor="_Toc22810832" w:history="1">
        <w:r w:rsidR="00AB721E" w:rsidRPr="00CA6E7C">
          <w:rPr>
            <w:rStyle w:val="Hyperlink"/>
            <w:noProof/>
          </w:rPr>
          <w:t>Step 4 - Enrol in the recognition process</w:t>
        </w:r>
        <w:r w:rsidR="00AB721E">
          <w:rPr>
            <w:noProof/>
            <w:webHidden/>
          </w:rPr>
          <w:tab/>
        </w:r>
        <w:r w:rsidR="00AB721E">
          <w:rPr>
            <w:noProof/>
            <w:webHidden/>
          </w:rPr>
          <w:fldChar w:fldCharType="begin"/>
        </w:r>
        <w:r w:rsidR="00AB721E">
          <w:rPr>
            <w:noProof/>
            <w:webHidden/>
          </w:rPr>
          <w:instrText xml:space="preserve"> PAGEREF _Toc22810832 \h </w:instrText>
        </w:r>
        <w:r w:rsidR="00AB721E">
          <w:rPr>
            <w:noProof/>
            <w:webHidden/>
          </w:rPr>
        </w:r>
        <w:r w:rsidR="00AB721E">
          <w:rPr>
            <w:noProof/>
            <w:webHidden/>
          </w:rPr>
          <w:fldChar w:fldCharType="separate"/>
        </w:r>
        <w:r w:rsidR="00FA6B19">
          <w:rPr>
            <w:noProof/>
            <w:webHidden/>
          </w:rPr>
          <w:t>3</w:t>
        </w:r>
        <w:r w:rsidR="00AB721E">
          <w:rPr>
            <w:noProof/>
            <w:webHidden/>
          </w:rPr>
          <w:fldChar w:fldCharType="end"/>
        </w:r>
      </w:hyperlink>
    </w:p>
    <w:p w:rsidR="00AB721E" w:rsidRDefault="0001122E">
      <w:pPr>
        <w:pStyle w:val="TOC1"/>
        <w:tabs>
          <w:tab w:val="left" w:pos="709"/>
          <w:tab w:val="right" w:leader="dot" w:pos="9628"/>
        </w:tabs>
        <w:rPr>
          <w:rFonts w:eastAsiaTheme="minorEastAsia"/>
          <w:noProof/>
          <w:sz w:val="22"/>
          <w:lang w:eastAsia="en-AU"/>
        </w:rPr>
      </w:pPr>
      <w:hyperlink w:anchor="_Toc22810833" w:history="1">
        <w:r w:rsidR="00AB721E" w:rsidRPr="00CA6E7C">
          <w:rPr>
            <w:rStyle w:val="Hyperlink"/>
            <w:noProof/>
          </w:rPr>
          <w:t>6.</w:t>
        </w:r>
        <w:r w:rsidR="00AB721E">
          <w:rPr>
            <w:rFonts w:eastAsiaTheme="minorEastAsia"/>
            <w:noProof/>
            <w:sz w:val="22"/>
            <w:lang w:eastAsia="en-AU"/>
          </w:rPr>
          <w:tab/>
        </w:r>
        <w:r w:rsidR="00AB721E" w:rsidRPr="00CA6E7C">
          <w:rPr>
            <w:rStyle w:val="Hyperlink"/>
            <w:noProof/>
          </w:rPr>
          <w:t>What is the assessment process?</w:t>
        </w:r>
        <w:r w:rsidR="00AB721E">
          <w:rPr>
            <w:noProof/>
            <w:webHidden/>
          </w:rPr>
          <w:tab/>
        </w:r>
        <w:r w:rsidR="00AB721E">
          <w:rPr>
            <w:noProof/>
            <w:webHidden/>
          </w:rPr>
          <w:fldChar w:fldCharType="begin"/>
        </w:r>
        <w:r w:rsidR="00AB721E">
          <w:rPr>
            <w:noProof/>
            <w:webHidden/>
          </w:rPr>
          <w:instrText xml:space="preserve"> PAGEREF _Toc22810833 \h </w:instrText>
        </w:r>
        <w:r w:rsidR="00AB721E">
          <w:rPr>
            <w:noProof/>
            <w:webHidden/>
          </w:rPr>
        </w:r>
        <w:r w:rsidR="00AB721E">
          <w:rPr>
            <w:noProof/>
            <w:webHidden/>
          </w:rPr>
          <w:fldChar w:fldCharType="separate"/>
        </w:r>
        <w:r w:rsidR="00FA6B19">
          <w:rPr>
            <w:noProof/>
            <w:webHidden/>
          </w:rPr>
          <w:t>4</w:t>
        </w:r>
        <w:r w:rsidR="00AB721E">
          <w:rPr>
            <w:noProof/>
            <w:webHidden/>
          </w:rPr>
          <w:fldChar w:fldCharType="end"/>
        </w:r>
      </w:hyperlink>
    </w:p>
    <w:p w:rsidR="00AB721E" w:rsidRDefault="0001122E" w:rsidP="00AB721E">
      <w:pPr>
        <w:pStyle w:val="TOC1"/>
        <w:tabs>
          <w:tab w:val="left" w:pos="709"/>
          <w:tab w:val="right" w:leader="dot" w:pos="9628"/>
        </w:tabs>
        <w:rPr>
          <w:rStyle w:val="Hyperlink"/>
          <w:noProof/>
        </w:rPr>
      </w:pPr>
      <w:hyperlink w:anchor="_Toc22810834" w:history="1">
        <w:r w:rsidR="00AB721E" w:rsidRPr="00CA6E7C">
          <w:rPr>
            <w:rStyle w:val="Hyperlink"/>
            <w:noProof/>
          </w:rPr>
          <w:t>7.</w:t>
        </w:r>
        <w:r w:rsidR="00AB721E">
          <w:rPr>
            <w:rFonts w:eastAsiaTheme="minorEastAsia"/>
            <w:noProof/>
            <w:sz w:val="22"/>
            <w:lang w:eastAsia="en-AU"/>
          </w:rPr>
          <w:tab/>
        </w:r>
        <w:r w:rsidR="00AB721E" w:rsidRPr="00CA6E7C">
          <w:rPr>
            <w:rStyle w:val="Hyperlink"/>
            <w:noProof/>
          </w:rPr>
          <w:t>How is the assessment result formalised?</w:t>
        </w:r>
        <w:r w:rsidR="00AB721E">
          <w:rPr>
            <w:noProof/>
            <w:webHidden/>
          </w:rPr>
          <w:tab/>
        </w:r>
        <w:r w:rsidR="00AB721E">
          <w:rPr>
            <w:noProof/>
            <w:webHidden/>
          </w:rPr>
          <w:fldChar w:fldCharType="begin"/>
        </w:r>
        <w:r w:rsidR="00AB721E">
          <w:rPr>
            <w:noProof/>
            <w:webHidden/>
          </w:rPr>
          <w:instrText xml:space="preserve"> PAGEREF _Toc22810834 \h </w:instrText>
        </w:r>
        <w:r w:rsidR="00AB721E">
          <w:rPr>
            <w:noProof/>
            <w:webHidden/>
          </w:rPr>
        </w:r>
        <w:r w:rsidR="00AB721E">
          <w:rPr>
            <w:noProof/>
            <w:webHidden/>
          </w:rPr>
          <w:fldChar w:fldCharType="separate"/>
        </w:r>
        <w:r w:rsidR="00FA6B19">
          <w:rPr>
            <w:noProof/>
            <w:webHidden/>
          </w:rPr>
          <w:t>4</w:t>
        </w:r>
        <w:r w:rsidR="00AB721E">
          <w:rPr>
            <w:noProof/>
            <w:webHidden/>
          </w:rPr>
          <w:fldChar w:fldCharType="end"/>
        </w:r>
      </w:hyperlink>
    </w:p>
    <w:p w:rsidR="00AB721E" w:rsidRDefault="00AB721E" w:rsidP="00AB721E">
      <w:pPr>
        <w:rPr>
          <w:noProof/>
        </w:rPr>
      </w:pPr>
    </w:p>
    <w:p w:rsidR="00AB721E" w:rsidRPr="00AB721E" w:rsidRDefault="00AB721E" w:rsidP="00AB721E">
      <w:pPr>
        <w:rPr>
          <w:noProof/>
        </w:rPr>
        <w:sectPr w:rsidR="00AB721E" w:rsidRPr="00AB721E" w:rsidSect="00B93605">
          <w:footerReference w:type="default" r:id="rId15"/>
          <w:pgSz w:w="11906" w:h="16838"/>
          <w:pgMar w:top="851" w:right="1134" w:bottom="992" w:left="1134" w:header="709" w:footer="709" w:gutter="0"/>
          <w:pgNumType w:start="1"/>
          <w:cols w:space="708"/>
          <w:docGrid w:linePitch="360"/>
        </w:sectPr>
      </w:pPr>
    </w:p>
    <w:p w:rsidR="00895CCF" w:rsidRPr="00DA74A8" w:rsidRDefault="00163B54" w:rsidP="00E04D31">
      <w:pPr>
        <w:pStyle w:val="Heading1"/>
        <w:numPr>
          <w:ilvl w:val="0"/>
          <w:numId w:val="17"/>
        </w:numPr>
        <w:ind w:left="567" w:hanging="567"/>
      </w:pPr>
      <w:r>
        <w:lastRenderedPageBreak/>
        <w:fldChar w:fldCharType="end"/>
      </w:r>
      <w:bookmarkStart w:id="1" w:name="_Toc257202388"/>
      <w:bookmarkStart w:id="2" w:name="_Toc397529235"/>
      <w:bookmarkStart w:id="3" w:name="_Toc427312605"/>
      <w:bookmarkStart w:id="4" w:name="_Toc503953587"/>
      <w:bookmarkStart w:id="5" w:name="_Toc22810824"/>
      <w:bookmarkStart w:id="6" w:name="_Toc100651517"/>
      <w:bookmarkStart w:id="7" w:name="_Toc100655307"/>
      <w:bookmarkStart w:id="8" w:name="_Toc103398126"/>
      <w:r w:rsidR="00895CCF" w:rsidRPr="00DA74A8">
        <w:t>Background</w:t>
      </w:r>
      <w:bookmarkEnd w:id="1"/>
      <w:bookmarkEnd w:id="2"/>
      <w:bookmarkEnd w:id="3"/>
      <w:bookmarkEnd w:id="4"/>
      <w:bookmarkEnd w:id="5"/>
    </w:p>
    <w:p w:rsidR="00895CCF" w:rsidRDefault="00895CCF" w:rsidP="00C41B6F">
      <w:r w:rsidRPr="00860A70">
        <w:t xml:space="preserve">The National Measurement Institute (NMI) is responsible for </w:t>
      </w:r>
      <w:r>
        <w:t>t</w:t>
      </w:r>
      <w:r w:rsidRPr="00860A70">
        <w:t xml:space="preserve">rade </w:t>
      </w:r>
      <w:r>
        <w:t>m</w:t>
      </w:r>
      <w:r w:rsidRPr="00860A70">
        <w:t xml:space="preserve">easurement in </w:t>
      </w:r>
      <w:smartTag w:uri="urn:schemas-microsoft-com:office:smarttags" w:element="place">
        <w:smartTag w:uri="urn:schemas-microsoft-com:office:smarttags" w:element="country-region">
          <w:r w:rsidRPr="00860A70">
            <w:t>Australia</w:t>
          </w:r>
        </w:smartTag>
      </w:smartTag>
      <w:r w:rsidRPr="00860A70">
        <w:t xml:space="preserve">. NMI has made a commitment to provide a nationally recognised framework </w:t>
      </w:r>
      <w:r w:rsidR="00AD5B1D" w:rsidRPr="00860A70">
        <w:t>for</w:t>
      </w:r>
      <w:r w:rsidR="00AD5B1D">
        <w:t xml:space="preserve"> the </w:t>
      </w:r>
      <w:r w:rsidR="00C15ADD">
        <w:t xml:space="preserve">professional </w:t>
      </w:r>
      <w:r w:rsidR="00AD5B1D">
        <w:t xml:space="preserve">development of </w:t>
      </w:r>
      <w:r w:rsidRPr="00860A70">
        <w:t>verifiers and weighbridge operators.</w:t>
      </w:r>
    </w:p>
    <w:p w:rsidR="00D536E0" w:rsidRDefault="00895CCF" w:rsidP="00C41B6F">
      <w:r w:rsidRPr="00860A70">
        <w:t>Th</w:t>
      </w:r>
      <w:r>
        <w:t xml:space="preserve">e </w:t>
      </w:r>
      <w:r w:rsidRPr="00860A70">
        <w:t>framework includes the assessment and recognition of a</w:t>
      </w:r>
      <w:r>
        <w:t xml:space="preserve">n individual’s </w:t>
      </w:r>
      <w:r w:rsidRPr="00860A70">
        <w:t xml:space="preserve">competence against </w:t>
      </w:r>
      <w:r>
        <w:t xml:space="preserve">relevant </w:t>
      </w:r>
      <w:r>
        <w:rPr>
          <w:b/>
        </w:rPr>
        <w:t>performance and knowledge evidence</w:t>
      </w:r>
      <w:r w:rsidR="00C002E3">
        <w:rPr>
          <w:b/>
        </w:rPr>
        <w:t>,</w:t>
      </w:r>
      <w:r>
        <w:rPr>
          <w:b/>
        </w:rPr>
        <w:t xml:space="preserve"> and assessment conditions</w:t>
      </w:r>
      <w:r>
        <w:t xml:space="preserve"> </w:t>
      </w:r>
      <w:r w:rsidRPr="00860A70">
        <w:t>related to their work.</w:t>
      </w:r>
      <w:r>
        <w:t xml:space="preserve"> </w:t>
      </w:r>
      <w:r w:rsidRPr="00860A70">
        <w:t xml:space="preserve">These </w:t>
      </w:r>
      <w:r w:rsidRPr="00473C12">
        <w:t>criteria</w:t>
      </w:r>
      <w:r w:rsidRPr="00860A70">
        <w:t xml:space="preserve"> are set out in </w:t>
      </w:r>
      <w:r w:rsidRPr="00A46870">
        <w:rPr>
          <w:b/>
        </w:rPr>
        <w:t>units of competency</w:t>
      </w:r>
      <w:r w:rsidRPr="00860A70">
        <w:t xml:space="preserve"> </w:t>
      </w:r>
      <w:r w:rsidR="00C15ADD">
        <w:t xml:space="preserve">containing </w:t>
      </w:r>
      <w:r>
        <w:rPr>
          <w:b/>
        </w:rPr>
        <w:t xml:space="preserve">assessment requirements </w:t>
      </w:r>
      <w:r w:rsidRPr="00860A70">
        <w:t>which have undergone an extensive consult</w:t>
      </w:r>
      <w:r w:rsidR="00D536E0">
        <w:t>ation</w:t>
      </w:r>
      <w:r w:rsidRPr="00860A70">
        <w:t xml:space="preserve"> process with i</w:t>
      </w:r>
      <w:r>
        <w:t>ndustry and other stakeholders. In most cases</w:t>
      </w:r>
      <w:r w:rsidR="00AD5B1D">
        <w:t>,</w:t>
      </w:r>
      <w:r>
        <w:t xml:space="preserve"> u</w:t>
      </w:r>
      <w:r w:rsidRPr="008B0579">
        <w:t>nits of competency have been combined into</w:t>
      </w:r>
      <w:r>
        <w:t xml:space="preserve"> specific</w:t>
      </w:r>
      <w:r w:rsidRPr="008B0579">
        <w:t xml:space="preserve"> </w:t>
      </w:r>
      <w:r w:rsidR="00815344" w:rsidRPr="00E04D31">
        <w:rPr>
          <w:b/>
        </w:rPr>
        <w:t>s</w:t>
      </w:r>
      <w:r w:rsidR="00815344">
        <w:rPr>
          <w:b/>
        </w:rPr>
        <w:t>kill set</w:t>
      </w:r>
      <w:r w:rsidRPr="00A46870">
        <w:rPr>
          <w:b/>
        </w:rPr>
        <w:t>s</w:t>
      </w:r>
      <w:r w:rsidRPr="008B0579">
        <w:t xml:space="preserve"> related to measuring instrument types. </w:t>
      </w:r>
    </w:p>
    <w:p w:rsidR="00895CCF" w:rsidRDefault="00D536E0" w:rsidP="00C41B6F">
      <w:r>
        <w:t xml:space="preserve">NMI uses </w:t>
      </w:r>
      <w:r>
        <w:rPr>
          <w:b/>
        </w:rPr>
        <w:t xml:space="preserve">recognition </w:t>
      </w:r>
      <w:r w:rsidRPr="00DE0D22">
        <w:rPr>
          <w:b/>
        </w:rPr>
        <w:t>kits</w:t>
      </w:r>
      <w:r>
        <w:t xml:space="preserve"> as an assessment tool to enable you to demonstrate that you meet the requirements of</w:t>
      </w:r>
      <w:r w:rsidR="00E04D31" w:rsidRPr="008B0579">
        <w:t xml:space="preserve"> </w:t>
      </w:r>
      <w:r w:rsidR="00895CCF">
        <w:t>the appropriate</w:t>
      </w:r>
      <w:r w:rsidR="00895CCF" w:rsidRPr="008B0579">
        <w:t xml:space="preserve"> </w:t>
      </w:r>
      <w:r w:rsidR="00895CCF">
        <w:t xml:space="preserve">unit of competency or </w:t>
      </w:r>
      <w:r w:rsidR="00815344">
        <w:t>s</w:t>
      </w:r>
      <w:r w:rsidR="00895CCF">
        <w:t xml:space="preserve">kill </w:t>
      </w:r>
      <w:r w:rsidR="00815344">
        <w:t>s</w:t>
      </w:r>
      <w:r w:rsidR="00895CCF">
        <w:t>et</w:t>
      </w:r>
      <w:r>
        <w:t>.</w:t>
      </w:r>
      <w:r w:rsidR="00895CCF" w:rsidRPr="008B0579">
        <w:t xml:space="preserve">  Successful completion of </w:t>
      </w:r>
      <w:r w:rsidR="00C15ADD">
        <w:t>the</w:t>
      </w:r>
      <w:r w:rsidR="00C15ADD" w:rsidRPr="008B0579">
        <w:t xml:space="preserve"> </w:t>
      </w:r>
      <w:r w:rsidR="00895CCF" w:rsidRPr="008B0579">
        <w:t xml:space="preserve">appropriate </w:t>
      </w:r>
      <w:r w:rsidR="00895CCF" w:rsidRPr="00DE0D22">
        <w:t>recognition kit</w:t>
      </w:r>
      <w:r w:rsidR="00895CCF" w:rsidRPr="008B0579">
        <w:t xml:space="preserve"> demonstrate</w:t>
      </w:r>
      <w:r w:rsidR="00895CCF" w:rsidRPr="00A8471C">
        <w:t>s</w:t>
      </w:r>
      <w:r w:rsidR="00895CCF" w:rsidRPr="008B0579">
        <w:t xml:space="preserve"> </w:t>
      </w:r>
      <w:r w:rsidR="00C15ADD">
        <w:t xml:space="preserve">your </w:t>
      </w:r>
      <w:r w:rsidR="00895CCF" w:rsidRPr="008B0579">
        <w:t xml:space="preserve">competence </w:t>
      </w:r>
      <w:r w:rsidR="00C15ADD">
        <w:t>to verify specific instrument types</w:t>
      </w:r>
      <w:r w:rsidR="00895CCF" w:rsidRPr="008B0579">
        <w:t>.</w:t>
      </w:r>
    </w:p>
    <w:p w:rsidR="00895CCF" w:rsidRPr="00860A70" w:rsidRDefault="00895CCF" w:rsidP="00C41B6F">
      <w:r w:rsidRPr="00860A70">
        <w:t>Th</w:t>
      </w:r>
      <w:r>
        <w:t>ese instructions are</w:t>
      </w:r>
      <w:r w:rsidRPr="00860A70">
        <w:t xml:space="preserve"> designed to give </w:t>
      </w:r>
      <w:r>
        <w:t>you</w:t>
      </w:r>
      <w:r w:rsidRPr="00860A70">
        <w:t xml:space="preserve"> step-by-step information on how:</w:t>
      </w:r>
    </w:p>
    <w:p w:rsidR="00895CCF" w:rsidRDefault="00895CCF" w:rsidP="00C41B6F">
      <w:pPr>
        <w:pStyle w:val="ListParagraph"/>
        <w:numPr>
          <w:ilvl w:val="0"/>
          <w:numId w:val="11"/>
        </w:numPr>
      </w:pPr>
      <w:r w:rsidRPr="00860A70">
        <w:t xml:space="preserve">to </w:t>
      </w:r>
      <w:r>
        <w:t>complete and submit your</w:t>
      </w:r>
      <w:r w:rsidRPr="00860A70">
        <w:t xml:space="preserve"> </w:t>
      </w:r>
      <w:r>
        <w:t>recognition kit</w:t>
      </w:r>
    </w:p>
    <w:p w:rsidR="00895CCF" w:rsidRPr="00860A70" w:rsidRDefault="00895CCF" w:rsidP="00C41B6F">
      <w:pPr>
        <w:pStyle w:val="ListParagraph"/>
        <w:numPr>
          <w:ilvl w:val="0"/>
          <w:numId w:val="11"/>
        </w:numPr>
      </w:pPr>
      <w:r w:rsidRPr="00860A70">
        <w:t>to e</w:t>
      </w:r>
      <w:r>
        <w:t>nrol in the recognition process</w:t>
      </w:r>
    </w:p>
    <w:p w:rsidR="00895CCF" w:rsidRPr="00860A70" w:rsidRDefault="00895CCF" w:rsidP="00C41B6F">
      <w:pPr>
        <w:pStyle w:val="ListParagraph"/>
        <w:numPr>
          <w:ilvl w:val="0"/>
          <w:numId w:val="11"/>
        </w:numPr>
      </w:pPr>
      <w:proofErr w:type="gramStart"/>
      <w:r w:rsidRPr="00860A70">
        <w:t>your</w:t>
      </w:r>
      <w:proofErr w:type="gramEnd"/>
      <w:r w:rsidRPr="00860A70">
        <w:t xml:space="preserve"> </w:t>
      </w:r>
      <w:r>
        <w:t>recognition kit</w:t>
      </w:r>
      <w:r w:rsidRPr="00860A70">
        <w:t xml:space="preserve"> </w:t>
      </w:r>
      <w:r>
        <w:t xml:space="preserve">will be </w:t>
      </w:r>
      <w:r w:rsidRPr="00860A70">
        <w:t>assessed.</w:t>
      </w:r>
    </w:p>
    <w:p w:rsidR="00895CCF" w:rsidRDefault="00895CCF" w:rsidP="00C41B6F">
      <w:r>
        <w:t xml:space="preserve">Go to </w:t>
      </w:r>
      <w:r w:rsidR="00AD5B1D">
        <w:t xml:space="preserve">the Industry.gov.au website page </w:t>
      </w:r>
      <w:hyperlink r:id="rId16" w:history="1">
        <w:r w:rsidR="0050081C">
          <w:rPr>
            <w:rStyle w:val="Hyperlink"/>
          </w:rPr>
          <w:t>Measurement t</w:t>
        </w:r>
        <w:r w:rsidR="0051281F">
          <w:rPr>
            <w:rStyle w:val="Hyperlink"/>
          </w:rPr>
          <w:t>raining and assessment</w:t>
        </w:r>
      </w:hyperlink>
      <w:r w:rsidR="00E04D31">
        <w:rPr>
          <w:rStyle w:val="Hyperlink"/>
        </w:rPr>
        <w:t>.</w:t>
      </w:r>
      <w:r>
        <w:t xml:space="preserve"> Here you will find a full list of the recognition kits available as well as more information on units of competency and </w:t>
      </w:r>
      <w:r w:rsidR="00E22C63">
        <w:t>s</w:t>
      </w:r>
      <w:r>
        <w:t xml:space="preserve">kill </w:t>
      </w:r>
      <w:r w:rsidR="00E22C63">
        <w:t>s</w:t>
      </w:r>
      <w:r>
        <w:t xml:space="preserve">ets. </w:t>
      </w:r>
      <w:r w:rsidR="00E04D31">
        <w:t>Choose the recognition kit appropriate to the instrument type</w:t>
      </w:r>
      <w:r w:rsidR="00AD5B1D">
        <w:t>(</w:t>
      </w:r>
      <w:r w:rsidR="00E04D31">
        <w:t>s</w:t>
      </w:r>
      <w:r w:rsidR="00AD5B1D">
        <w:t>)</w:t>
      </w:r>
      <w:r w:rsidR="00E04D31">
        <w:t xml:space="preserve"> you wish to verify.</w:t>
      </w:r>
    </w:p>
    <w:p w:rsidR="00895CCF" w:rsidRPr="00860A70" w:rsidRDefault="00895CCF" w:rsidP="00E04D31">
      <w:pPr>
        <w:pStyle w:val="Heading1"/>
        <w:spacing w:before="0" w:after="120"/>
        <w:ind w:left="567" w:hanging="567"/>
      </w:pPr>
      <w:bookmarkStart w:id="9" w:name="_Toc397529236"/>
      <w:bookmarkStart w:id="10" w:name="_Toc427312606"/>
      <w:bookmarkStart w:id="11" w:name="_Toc503953588"/>
      <w:bookmarkStart w:id="12" w:name="_Toc22810825"/>
      <w:r>
        <w:t>Roles of verifiers and w</w:t>
      </w:r>
      <w:r w:rsidRPr="00860A70">
        <w:t xml:space="preserve">eighbridge </w:t>
      </w:r>
      <w:r>
        <w:t>o</w:t>
      </w:r>
      <w:r w:rsidRPr="00860A70">
        <w:t>perators</w:t>
      </w:r>
      <w:bookmarkEnd w:id="9"/>
      <w:bookmarkEnd w:id="10"/>
      <w:bookmarkEnd w:id="11"/>
      <w:bookmarkEnd w:id="12"/>
    </w:p>
    <w:p w:rsidR="00895CCF" w:rsidRDefault="0001122E" w:rsidP="00C41B6F">
      <w:hyperlink r:id="rId17" w:history="1">
        <w:r w:rsidR="00D536E0" w:rsidRPr="0050081C">
          <w:rPr>
            <w:rStyle w:val="Hyperlink"/>
            <w:b/>
          </w:rPr>
          <w:t>V</w:t>
        </w:r>
        <w:r w:rsidR="00895CCF" w:rsidRPr="0050081C">
          <w:rPr>
            <w:rStyle w:val="Hyperlink"/>
            <w:b/>
          </w:rPr>
          <w:t>erifiers</w:t>
        </w:r>
      </w:hyperlink>
      <w:r w:rsidR="00895CCF" w:rsidRPr="008B0579">
        <w:t xml:space="preserve"> test measuring instrument</w:t>
      </w:r>
      <w:r w:rsidR="00D536E0">
        <w:t>s for</w:t>
      </w:r>
      <w:r w:rsidR="00895CCF" w:rsidRPr="008B0579">
        <w:t xml:space="preserve"> </w:t>
      </w:r>
      <w:r w:rsidR="00C15ADD">
        <w:t xml:space="preserve">their </w:t>
      </w:r>
      <w:r w:rsidR="00895CCF" w:rsidRPr="008B0579">
        <w:t>suitability for trade use and mark them with a verification mark</w:t>
      </w:r>
      <w:r w:rsidR="00895CCF">
        <w:t>. Only verifiers deemed competent and registered by NMI</w:t>
      </w:r>
      <w:r w:rsidR="00D536E0">
        <w:t>, and employed under a servicing licence,</w:t>
      </w:r>
      <w:r w:rsidR="00895CCF">
        <w:t xml:space="preserve"> may verify instruments used for trade. M</w:t>
      </w:r>
      <w:r w:rsidR="00895CCF" w:rsidRPr="008B0579">
        <w:t>easuring instrument</w:t>
      </w:r>
      <w:r w:rsidR="00895CCF">
        <w:t>s</w:t>
      </w:r>
      <w:r w:rsidR="00895CCF" w:rsidRPr="008B0579">
        <w:t xml:space="preserve"> </w:t>
      </w:r>
      <w:r w:rsidR="00895CCF">
        <w:t>are</w:t>
      </w:r>
      <w:r w:rsidR="00895CCF" w:rsidRPr="008B0579">
        <w:t xml:space="preserve"> </w:t>
      </w:r>
      <w:r w:rsidR="00895CCF">
        <w:t>verified</w:t>
      </w:r>
      <w:r w:rsidR="00895CCF" w:rsidRPr="008B0579">
        <w:t xml:space="preserve"> in accordance with </w:t>
      </w:r>
      <w:r w:rsidR="00895CCF">
        <w:t>l</w:t>
      </w:r>
      <w:r w:rsidR="00895CCF" w:rsidRPr="008B0579">
        <w:t xml:space="preserve">egislation and </w:t>
      </w:r>
      <w:r w:rsidR="00895CCF">
        <w:t>relevant</w:t>
      </w:r>
      <w:r w:rsidR="00895CCF" w:rsidRPr="008B0579">
        <w:t xml:space="preserve"> </w:t>
      </w:r>
      <w:r w:rsidR="00D536E0">
        <w:t xml:space="preserve">national instrument </w:t>
      </w:r>
      <w:r w:rsidR="00895CCF">
        <w:t>t</w:t>
      </w:r>
      <w:r w:rsidR="00895CCF" w:rsidRPr="008B0579">
        <w:t xml:space="preserve">est </w:t>
      </w:r>
      <w:r w:rsidR="00895CCF">
        <w:t>p</w:t>
      </w:r>
      <w:r w:rsidR="00895CCF" w:rsidRPr="008B0579">
        <w:t>rocedures using suitable</w:t>
      </w:r>
      <w:r w:rsidR="001745CC">
        <w:t>,</w:t>
      </w:r>
      <w:r w:rsidR="00895CCF" w:rsidRPr="008B0579">
        <w:t xml:space="preserve"> traceable reference standards of measurement.</w:t>
      </w:r>
      <w:r w:rsidR="00895CCF">
        <w:t xml:space="preserve"> </w:t>
      </w:r>
      <w:r w:rsidR="00D536E0">
        <w:t xml:space="preserve">Measuring instruments are classified by type into classes and subclasses. For example, class 6 is the licence class for weighing instruments and subclass 6.3 is for weighing instruments of 30 kg or less (classes 3 and 4). </w:t>
      </w:r>
      <w:r w:rsidR="008C395C">
        <w:t xml:space="preserve">See Schedule 2 of the </w:t>
      </w:r>
      <w:r w:rsidR="008C395C">
        <w:rPr>
          <w:i/>
        </w:rPr>
        <w:t xml:space="preserve">National Trade Measurement Regulations </w:t>
      </w:r>
      <w:r w:rsidR="008C395C" w:rsidRPr="000117D4">
        <w:rPr>
          <w:i/>
        </w:rPr>
        <w:t>2009</w:t>
      </w:r>
      <w:r w:rsidR="008C395C">
        <w:t xml:space="preserve"> for a full list of classes and subclasses. </w:t>
      </w:r>
      <w:r w:rsidR="001745CC" w:rsidRPr="008C395C">
        <w:t>A</w:t>
      </w:r>
      <w:r w:rsidR="001745CC">
        <w:t xml:space="preserve"> </w:t>
      </w:r>
      <w:r w:rsidR="00895CCF">
        <w:t xml:space="preserve">verifier must hold a statement of attainment relevant to the </w:t>
      </w:r>
      <w:proofErr w:type="gramStart"/>
      <w:r w:rsidR="00895CCF">
        <w:t>subclass(</w:t>
      </w:r>
      <w:proofErr w:type="gramEnd"/>
      <w:r w:rsidR="00895CCF">
        <w:t>es) of instruments they intend to verify.</w:t>
      </w:r>
    </w:p>
    <w:p w:rsidR="00895CCF" w:rsidRDefault="0001122E" w:rsidP="00C41B6F">
      <w:hyperlink r:id="rId18" w:history="1">
        <w:r w:rsidR="00895CCF" w:rsidRPr="0050081C">
          <w:rPr>
            <w:rStyle w:val="Hyperlink"/>
            <w:b/>
          </w:rPr>
          <w:t>Weighbridge operators</w:t>
        </w:r>
      </w:hyperlink>
      <w:r w:rsidR="00895CCF" w:rsidRPr="00860A70">
        <w:t xml:space="preserve"> ensure that </w:t>
      </w:r>
      <w:r w:rsidR="00895CCF">
        <w:t>measurements</w:t>
      </w:r>
      <w:r w:rsidR="00895CCF" w:rsidRPr="00860A70">
        <w:t xml:space="preserve"> carried out </w:t>
      </w:r>
      <w:r w:rsidR="00895CCF">
        <w:t>using</w:t>
      </w:r>
      <w:r w:rsidR="00895CCF" w:rsidRPr="00860A70">
        <w:t xml:space="preserve"> </w:t>
      </w:r>
      <w:r w:rsidR="00895CCF">
        <w:t>public</w:t>
      </w:r>
      <w:r w:rsidR="00895CCF" w:rsidRPr="00860A70">
        <w:t xml:space="preserve"> weighbridge</w:t>
      </w:r>
      <w:r w:rsidR="00895CCF">
        <w:t>s</w:t>
      </w:r>
      <w:r w:rsidR="00895CCF" w:rsidRPr="00860A70">
        <w:t xml:space="preserve"> comply with legislation. </w:t>
      </w:r>
      <w:r w:rsidR="00895CCF">
        <w:t xml:space="preserve">At least one </w:t>
      </w:r>
      <w:r w:rsidR="001745CC">
        <w:t xml:space="preserve">person </w:t>
      </w:r>
      <w:r w:rsidR="00895CCF">
        <w:t>operat</w:t>
      </w:r>
      <w:r w:rsidR="001745CC">
        <w:t xml:space="preserve">ing </w:t>
      </w:r>
      <w:r w:rsidR="00895CCF">
        <w:t xml:space="preserve">a public weighbridge </w:t>
      </w:r>
      <w:r w:rsidR="001745CC">
        <w:t>under a licen</w:t>
      </w:r>
      <w:r w:rsidR="00965CE4">
        <w:t>c</w:t>
      </w:r>
      <w:r w:rsidR="001745CC">
        <w:t xml:space="preserve">e </w:t>
      </w:r>
      <w:r w:rsidR="00895CCF">
        <w:t xml:space="preserve">must hold the </w:t>
      </w:r>
      <w:r w:rsidR="00965CE4">
        <w:t>s</w:t>
      </w:r>
      <w:r w:rsidR="00895CCF">
        <w:t xml:space="preserve">tatement of attainment </w:t>
      </w:r>
      <w:r w:rsidR="00965CE4">
        <w:t>for</w:t>
      </w:r>
      <w:r w:rsidR="00895CCF">
        <w:t xml:space="preserve"> </w:t>
      </w:r>
      <w:r w:rsidR="00F940D3">
        <w:t xml:space="preserve">the </w:t>
      </w:r>
      <w:r w:rsidR="000117D4">
        <w:t xml:space="preserve">PSPTRP002 </w:t>
      </w:r>
      <w:r w:rsidR="00965CE4">
        <w:t>O</w:t>
      </w:r>
      <w:r w:rsidR="00895CCF">
        <w:t>perate weighbridges</w:t>
      </w:r>
      <w:r w:rsidR="00F940D3">
        <w:t xml:space="preserve"> unit of competency</w:t>
      </w:r>
      <w:r w:rsidR="00895CCF">
        <w:t xml:space="preserve">. </w:t>
      </w:r>
      <w:r w:rsidR="001745CC">
        <w:t>T</w:t>
      </w:r>
      <w:r w:rsidR="00895CCF">
        <w:t>he public</w:t>
      </w:r>
      <w:r w:rsidR="00895CCF" w:rsidRPr="00860A70">
        <w:t xml:space="preserve"> weighbridge licensee</w:t>
      </w:r>
      <w:r w:rsidR="001745CC">
        <w:t xml:space="preserve"> must provide NMI with specific details of this person</w:t>
      </w:r>
      <w:r w:rsidR="00895CCF" w:rsidRPr="00860A70">
        <w:t>.</w:t>
      </w:r>
      <w:r w:rsidR="00895CCF">
        <w:t xml:space="preserve"> </w:t>
      </w:r>
    </w:p>
    <w:p w:rsidR="00895CCF" w:rsidRPr="00860A70" w:rsidRDefault="00895CCF" w:rsidP="001745CC">
      <w:pPr>
        <w:pStyle w:val="Heading1"/>
        <w:spacing w:before="0" w:after="120"/>
        <w:ind w:left="567" w:hanging="567"/>
      </w:pPr>
      <w:bookmarkStart w:id="13" w:name="_Toc397529237"/>
      <w:bookmarkStart w:id="14" w:name="_Toc427312607"/>
      <w:bookmarkStart w:id="15" w:name="_Toc503953589"/>
      <w:bookmarkStart w:id="16" w:name="_Toc22810826"/>
      <w:r w:rsidRPr="00860A70">
        <w:t xml:space="preserve">What does </w:t>
      </w:r>
      <w:r>
        <w:t>c</w:t>
      </w:r>
      <w:r w:rsidRPr="00860A70">
        <w:t xml:space="preserve">ompetence </w:t>
      </w:r>
      <w:r>
        <w:t>m</w:t>
      </w:r>
      <w:r w:rsidRPr="00860A70">
        <w:t>ean?</w:t>
      </w:r>
      <w:bookmarkEnd w:id="13"/>
      <w:bookmarkEnd w:id="14"/>
      <w:bookmarkEnd w:id="15"/>
      <w:bookmarkEnd w:id="16"/>
    </w:p>
    <w:p w:rsidR="00895CCF" w:rsidRPr="008275DD" w:rsidRDefault="00895CCF" w:rsidP="00C41B6F">
      <w:r w:rsidRPr="008B0579">
        <w:t xml:space="preserve">Competence means that you can conduct </w:t>
      </w:r>
      <w:r>
        <w:t xml:space="preserve">a </w:t>
      </w:r>
      <w:r w:rsidRPr="008B0579">
        <w:t>verification task</w:t>
      </w:r>
      <w:r>
        <w:t xml:space="preserve"> (verifiers) or public weighing </w:t>
      </w:r>
      <w:r w:rsidRPr="00CA0E93">
        <w:t>(</w:t>
      </w:r>
      <w:r>
        <w:t>w</w:t>
      </w:r>
      <w:r w:rsidRPr="00CA0E93">
        <w:t>eighbridge operators) by applying</w:t>
      </w:r>
      <w:r w:rsidRPr="008B0579">
        <w:t xml:space="preserve"> the relevant knowledge, skills and attitude required in the workplace against the performance criteria</w:t>
      </w:r>
      <w:r w:rsidR="001745CC">
        <w:t xml:space="preserve"> set out in the unit</w:t>
      </w:r>
      <w:r w:rsidR="002B62AE">
        <w:t>(</w:t>
      </w:r>
      <w:r w:rsidR="001745CC">
        <w:t>s</w:t>
      </w:r>
      <w:r w:rsidR="002B62AE">
        <w:t>)</w:t>
      </w:r>
      <w:r w:rsidR="001745CC">
        <w:t xml:space="preserve"> of competency</w:t>
      </w:r>
      <w:r w:rsidRPr="008B0579">
        <w:t xml:space="preserve">. </w:t>
      </w:r>
    </w:p>
    <w:p w:rsidR="00965CE4" w:rsidRDefault="00895CCF" w:rsidP="00D81412">
      <w:r w:rsidRPr="008B0579">
        <w:t>T</w:t>
      </w:r>
      <w:r w:rsidR="00965CE4">
        <w:t>he best way to demonstrate your competence is through completing</w:t>
      </w:r>
      <w:r w:rsidRPr="008B0579">
        <w:t xml:space="preserve"> a </w:t>
      </w:r>
      <w:r>
        <w:t>recognition kit</w:t>
      </w:r>
      <w:r w:rsidRPr="008B0579">
        <w:t xml:space="preserve"> that demonstrates you </w:t>
      </w:r>
      <w:r w:rsidR="00965CE4">
        <w:t xml:space="preserve">have the required knowledge and </w:t>
      </w:r>
      <w:r w:rsidRPr="008B0579">
        <w:t xml:space="preserve">can perform </w:t>
      </w:r>
      <w:r>
        <w:t xml:space="preserve">tasks </w:t>
      </w:r>
      <w:r w:rsidRPr="008B0579">
        <w:t xml:space="preserve">to the required standard. </w:t>
      </w:r>
      <w:r w:rsidR="000B48EC">
        <w:t>If</w:t>
      </w:r>
      <w:r w:rsidR="000B48EC" w:rsidRPr="008B0579">
        <w:t xml:space="preserve"> </w:t>
      </w:r>
      <w:r w:rsidRPr="008B0579">
        <w:t xml:space="preserve">you </w:t>
      </w:r>
      <w:r w:rsidR="000B48EC">
        <w:t>are</w:t>
      </w:r>
      <w:r w:rsidRPr="008B0579">
        <w:t xml:space="preserve"> assessed as competent, you will be </w:t>
      </w:r>
      <w:r w:rsidR="00D81412">
        <w:t>issued</w:t>
      </w:r>
      <w:r w:rsidR="00D81412" w:rsidRPr="008B0579">
        <w:t xml:space="preserve"> </w:t>
      </w:r>
      <w:r>
        <w:t xml:space="preserve">a nationally recognised </w:t>
      </w:r>
      <w:r w:rsidR="00333AD3">
        <w:t>s</w:t>
      </w:r>
      <w:r>
        <w:t xml:space="preserve">tatement of </w:t>
      </w:r>
      <w:r w:rsidR="00333AD3">
        <w:t>a</w:t>
      </w:r>
      <w:r>
        <w:t xml:space="preserve">ttainment for </w:t>
      </w:r>
      <w:r w:rsidRPr="008B0579">
        <w:t xml:space="preserve">the appropriate </w:t>
      </w:r>
      <w:r w:rsidR="00333AD3">
        <w:t>s</w:t>
      </w:r>
      <w:r>
        <w:t xml:space="preserve">kill </w:t>
      </w:r>
      <w:r w:rsidR="00333AD3">
        <w:t>s</w:t>
      </w:r>
      <w:r>
        <w:t>et</w:t>
      </w:r>
      <w:r w:rsidRPr="008B0579">
        <w:t xml:space="preserve"> </w:t>
      </w:r>
      <w:r>
        <w:t xml:space="preserve">or unit of competency. </w:t>
      </w:r>
      <w:bookmarkStart w:id="17" w:name="_Toc257202389"/>
      <w:bookmarkStart w:id="18" w:name="_Toc397529238"/>
      <w:bookmarkStart w:id="19" w:name="_Toc427312608"/>
      <w:bookmarkStart w:id="20" w:name="_Toc503953590"/>
      <w:bookmarkStart w:id="21" w:name="_GoBack"/>
      <w:bookmarkEnd w:id="21"/>
    </w:p>
    <w:p w:rsidR="00895CCF" w:rsidRPr="0039360E" w:rsidRDefault="00895CCF" w:rsidP="00D81412">
      <w:r w:rsidRPr="00D81412">
        <w:rPr>
          <w:b/>
        </w:rPr>
        <w:t xml:space="preserve">What </w:t>
      </w:r>
      <w:r w:rsidR="00D81412">
        <w:rPr>
          <w:b/>
        </w:rPr>
        <w:t>is a</w:t>
      </w:r>
      <w:r w:rsidR="00D81412" w:rsidRPr="00D81412">
        <w:rPr>
          <w:b/>
        </w:rPr>
        <w:t xml:space="preserve"> </w:t>
      </w:r>
      <w:r w:rsidRPr="00D81412">
        <w:rPr>
          <w:b/>
        </w:rPr>
        <w:t>recognition kit?</w:t>
      </w:r>
      <w:bookmarkEnd w:id="17"/>
      <w:bookmarkEnd w:id="18"/>
      <w:bookmarkEnd w:id="19"/>
      <w:bookmarkEnd w:id="20"/>
    </w:p>
    <w:p w:rsidR="00965CE4" w:rsidRDefault="00DE0D22" w:rsidP="00D81412">
      <w:r>
        <w:t>A r</w:t>
      </w:r>
      <w:r w:rsidR="00895CCF" w:rsidRPr="00860A70">
        <w:t xml:space="preserve">ecognition </w:t>
      </w:r>
      <w:r w:rsidR="00895CCF">
        <w:t>k</w:t>
      </w:r>
      <w:r w:rsidR="00895CCF" w:rsidRPr="00860A70">
        <w:t xml:space="preserve">it </w:t>
      </w:r>
      <w:r>
        <w:t>is a</w:t>
      </w:r>
      <w:r w:rsidR="00895CCF" w:rsidRPr="00860A70">
        <w:t xml:space="preserve"> key component of the </w:t>
      </w:r>
      <w:r w:rsidR="00895CCF">
        <w:t>assessment process</w:t>
      </w:r>
      <w:r w:rsidR="00895CCF" w:rsidRPr="00860A70">
        <w:t xml:space="preserve">. </w:t>
      </w:r>
      <w:r>
        <w:t xml:space="preserve">It is an </w:t>
      </w:r>
      <w:r w:rsidR="00D81412">
        <w:t xml:space="preserve">assessment tool that provides </w:t>
      </w:r>
      <w:r w:rsidR="00965CE4">
        <w:t>a means for trainee</w:t>
      </w:r>
      <w:r w:rsidR="00895CCF" w:rsidRPr="00860A70">
        <w:t xml:space="preserve"> </w:t>
      </w:r>
      <w:r w:rsidR="00895CCF">
        <w:t>verifiers/</w:t>
      </w:r>
      <w:r w:rsidR="00895CCF" w:rsidRPr="00860A70">
        <w:t xml:space="preserve">weighbridge operators to </w:t>
      </w:r>
      <w:r w:rsidR="000B48EC">
        <w:t xml:space="preserve">efficiently and effectively </w:t>
      </w:r>
      <w:r w:rsidR="00895CCF" w:rsidRPr="00860A70">
        <w:t>demonstrate their competence</w:t>
      </w:r>
      <w:r w:rsidR="00965CE4">
        <w:t xml:space="preserve"> against all the criteria in the required unit(s) of competency/skill set(s)</w:t>
      </w:r>
      <w:r w:rsidR="00895CCF" w:rsidRPr="00860A70">
        <w:t>.</w:t>
      </w:r>
    </w:p>
    <w:p w:rsidR="00B93605" w:rsidRDefault="00B93605" w:rsidP="00D81412">
      <w:pPr>
        <w:rPr>
          <w:b/>
        </w:rPr>
        <w:sectPr w:rsidR="00B93605" w:rsidSect="00FA6B19">
          <w:footerReference w:type="default" r:id="rId19"/>
          <w:pgSz w:w="11906" w:h="16838"/>
          <w:pgMar w:top="851" w:right="1134" w:bottom="992" w:left="1134" w:header="709" w:footer="709" w:gutter="0"/>
          <w:pgNumType w:start="1"/>
          <w:cols w:space="708"/>
          <w:docGrid w:linePitch="360"/>
        </w:sectPr>
      </w:pPr>
      <w:bookmarkStart w:id="22" w:name="_Toc64356895"/>
      <w:bookmarkStart w:id="23" w:name="_Toc397529239"/>
      <w:bookmarkStart w:id="24" w:name="_Toc427312609"/>
      <w:bookmarkStart w:id="25" w:name="_Toc503953591"/>
      <w:bookmarkEnd w:id="6"/>
      <w:bookmarkEnd w:id="7"/>
      <w:bookmarkEnd w:id="8"/>
    </w:p>
    <w:p w:rsidR="00895CCF" w:rsidRPr="00D81412" w:rsidRDefault="00895CCF" w:rsidP="00D81412">
      <w:pPr>
        <w:rPr>
          <w:b/>
        </w:rPr>
      </w:pPr>
      <w:r w:rsidRPr="00D81412">
        <w:rPr>
          <w:b/>
        </w:rPr>
        <w:lastRenderedPageBreak/>
        <w:t>What does recognition mean?</w:t>
      </w:r>
      <w:bookmarkEnd w:id="22"/>
      <w:bookmarkEnd w:id="23"/>
      <w:bookmarkEnd w:id="24"/>
      <w:bookmarkEnd w:id="25"/>
    </w:p>
    <w:p w:rsidR="00895CCF" w:rsidRPr="00860A70" w:rsidRDefault="00895CCF" w:rsidP="00C41B6F">
      <w:r>
        <w:t xml:space="preserve">Recognition means recognising the skills and knowledge you have acquired relevant to the subject for which you are being assessed. </w:t>
      </w:r>
      <w:r w:rsidRPr="00860A70">
        <w:t xml:space="preserve">If you are an experienced </w:t>
      </w:r>
      <w:r>
        <w:t>verifier/</w:t>
      </w:r>
      <w:r w:rsidRPr="00860A70">
        <w:t>weighbridge operator and/or have completed relevant training programs</w:t>
      </w:r>
      <w:r w:rsidR="00965CE4">
        <w:t xml:space="preserve"> within your organisation</w:t>
      </w:r>
      <w:r w:rsidR="00C553DB">
        <w:t>,</w:t>
      </w:r>
      <w:r w:rsidRPr="00860A70">
        <w:t xml:space="preserve"> you may already </w:t>
      </w:r>
      <w:r>
        <w:t xml:space="preserve">be </w:t>
      </w:r>
      <w:r w:rsidRPr="00860A70">
        <w:t>performing to the required standard</w:t>
      </w:r>
      <w:r w:rsidR="00965CE4">
        <w:t>.</w:t>
      </w:r>
      <w:r w:rsidRPr="00860A70">
        <w:t xml:space="preserve"> </w:t>
      </w:r>
      <w:r w:rsidR="00965CE4">
        <w:t>T</w:t>
      </w:r>
      <w:r w:rsidRPr="00860A70">
        <w:t xml:space="preserve">his recognition process </w:t>
      </w:r>
      <w:r>
        <w:t>identifies</w:t>
      </w:r>
      <w:r w:rsidR="000B48EC">
        <w:t>, documents</w:t>
      </w:r>
      <w:r>
        <w:t xml:space="preserve"> and acknowledges</w:t>
      </w:r>
      <w:r w:rsidRPr="00860A70">
        <w:t xml:space="preserve"> your skills and knowledge.</w:t>
      </w:r>
      <w:r>
        <w:t xml:space="preserve"> </w:t>
      </w:r>
      <w:r w:rsidRPr="00860A70">
        <w:t xml:space="preserve">Each </w:t>
      </w:r>
      <w:r>
        <w:t>r</w:t>
      </w:r>
      <w:r w:rsidRPr="00860A70">
        <w:t xml:space="preserve">ecognition </w:t>
      </w:r>
      <w:r>
        <w:t>k</w:t>
      </w:r>
      <w:r w:rsidRPr="00860A70">
        <w:t>it is designed to help you</w:t>
      </w:r>
      <w:r>
        <w:t xml:space="preserve"> to</w:t>
      </w:r>
      <w:r w:rsidRPr="00860A70">
        <w:t>:</w:t>
      </w:r>
    </w:p>
    <w:p w:rsidR="00895CCF" w:rsidRPr="00860A70" w:rsidRDefault="00895CCF" w:rsidP="00C41B6F">
      <w:pPr>
        <w:pStyle w:val="ListParagraph"/>
        <w:numPr>
          <w:ilvl w:val="0"/>
          <w:numId w:val="14"/>
        </w:numPr>
      </w:pPr>
      <w:r w:rsidRPr="00860A70">
        <w:t xml:space="preserve">identify the evidence you will </w:t>
      </w:r>
      <w:r>
        <w:t>need to confirm your competence</w:t>
      </w:r>
    </w:p>
    <w:p w:rsidR="00895CCF" w:rsidRDefault="00895CCF" w:rsidP="00C41B6F">
      <w:pPr>
        <w:pStyle w:val="ListParagraph"/>
        <w:numPr>
          <w:ilvl w:val="0"/>
          <w:numId w:val="14"/>
        </w:numPr>
      </w:pPr>
      <w:proofErr w:type="gramStart"/>
      <w:r w:rsidRPr="00860A70">
        <w:t>collect</w:t>
      </w:r>
      <w:proofErr w:type="gramEnd"/>
      <w:r>
        <w:t xml:space="preserve"> and present</w:t>
      </w:r>
      <w:r w:rsidRPr="00860A70">
        <w:t xml:space="preserve"> the evidence in </w:t>
      </w:r>
      <w:r>
        <w:t>the most</w:t>
      </w:r>
      <w:r w:rsidRPr="00860A70">
        <w:t xml:space="preserve"> efficient way.</w:t>
      </w:r>
    </w:p>
    <w:p w:rsidR="00895CCF" w:rsidRPr="00860A70" w:rsidRDefault="00895CCF" w:rsidP="000B48EC">
      <w:pPr>
        <w:pStyle w:val="Heading1"/>
        <w:spacing w:before="0" w:after="120"/>
        <w:ind w:left="567" w:hanging="567"/>
      </w:pPr>
      <w:bookmarkStart w:id="26" w:name="_Toc64356897"/>
      <w:bookmarkStart w:id="27" w:name="_Toc257202390"/>
      <w:bookmarkStart w:id="28" w:name="_Toc397529240"/>
      <w:bookmarkStart w:id="29" w:name="_Toc427312610"/>
      <w:bookmarkStart w:id="30" w:name="_Toc503953592"/>
      <w:bookmarkStart w:id="31" w:name="_Toc22810827"/>
      <w:r w:rsidRPr="00860A70">
        <w:t xml:space="preserve">What </w:t>
      </w:r>
      <w:r>
        <w:t>is</w:t>
      </w:r>
      <w:r w:rsidRPr="00860A70">
        <w:t xml:space="preserve"> the </w:t>
      </w:r>
      <w:r>
        <w:t>r</w:t>
      </w:r>
      <w:r w:rsidRPr="00860A70">
        <w:t xml:space="preserve">ecognition </w:t>
      </w:r>
      <w:r>
        <w:t>p</w:t>
      </w:r>
      <w:r w:rsidRPr="00860A70">
        <w:t>rocess?</w:t>
      </w:r>
      <w:bookmarkEnd w:id="26"/>
      <w:bookmarkEnd w:id="27"/>
      <w:bookmarkEnd w:id="28"/>
      <w:bookmarkEnd w:id="29"/>
      <w:bookmarkEnd w:id="30"/>
      <w:bookmarkEnd w:id="31"/>
    </w:p>
    <w:p w:rsidR="00965CE4" w:rsidRDefault="00895CCF" w:rsidP="00C41B6F">
      <w:r>
        <w:t>The r</w:t>
      </w:r>
      <w:r w:rsidRPr="00860A70">
        <w:t>ecognition</w:t>
      </w:r>
      <w:r>
        <w:t xml:space="preserve"> process</w:t>
      </w:r>
      <w:r w:rsidRPr="00860A70">
        <w:t xml:space="preserve"> involves identifying</w:t>
      </w:r>
      <w:r>
        <w:t xml:space="preserve"> and</w:t>
      </w:r>
      <w:r w:rsidRPr="00860A70">
        <w:t xml:space="preserve"> collecting </w:t>
      </w:r>
      <w:r>
        <w:t xml:space="preserve">appropriate evidence </w:t>
      </w:r>
      <w:r w:rsidRPr="00860A70">
        <w:t xml:space="preserve">and </w:t>
      </w:r>
      <w:r>
        <w:t>assembling</w:t>
      </w:r>
      <w:r w:rsidRPr="00860A70">
        <w:t xml:space="preserve"> </w:t>
      </w:r>
      <w:r>
        <w:t xml:space="preserve">it into </w:t>
      </w:r>
      <w:r w:rsidRPr="00860A70">
        <w:t xml:space="preserve">a </w:t>
      </w:r>
      <w:r>
        <w:t>kit</w:t>
      </w:r>
      <w:r w:rsidRPr="00860A70">
        <w:t xml:space="preserve"> that covers your previous learning and work experience.</w:t>
      </w:r>
      <w:r w:rsidR="00B93605">
        <w:t xml:space="preserve"> </w:t>
      </w:r>
    </w:p>
    <w:p w:rsidR="00042039" w:rsidRDefault="00042039" w:rsidP="00C41B6F">
      <w:r>
        <w:t xml:space="preserve">The </w:t>
      </w:r>
      <w:r w:rsidR="003C7E01">
        <w:t xml:space="preserve">assessment </w:t>
      </w:r>
      <w:r>
        <w:t>includes a number of different parts. The</w:t>
      </w:r>
      <w:r w:rsidR="00C002E3">
        <w:t xml:space="preserve"> written</w:t>
      </w:r>
      <w:r>
        <w:t xml:space="preserve"> parts that you submit </w:t>
      </w:r>
      <w:r w:rsidR="00C002E3">
        <w:t xml:space="preserve">first </w:t>
      </w:r>
      <w:r>
        <w:t>comprise:</w:t>
      </w:r>
    </w:p>
    <w:p w:rsidR="00042039" w:rsidRDefault="00042039" w:rsidP="005D5FCC">
      <w:pPr>
        <w:pStyle w:val="ListParagraph"/>
        <w:numPr>
          <w:ilvl w:val="0"/>
          <w:numId w:val="19"/>
        </w:numPr>
      </w:pPr>
      <w:r>
        <w:t>your work history (as background information on your career)</w:t>
      </w:r>
    </w:p>
    <w:p w:rsidR="00042039" w:rsidRDefault="00042039" w:rsidP="005D5FCC">
      <w:pPr>
        <w:pStyle w:val="ListParagraph"/>
        <w:numPr>
          <w:ilvl w:val="0"/>
          <w:numId w:val="19"/>
        </w:numPr>
      </w:pPr>
      <w:r>
        <w:t>one or more written assessments relating to the specific job role (testing/weighing) and legislative requirements relating to licensed verifiers or weighbridge operators</w:t>
      </w:r>
    </w:p>
    <w:p w:rsidR="005D5FCC" w:rsidRDefault="00042039" w:rsidP="005D5FCC">
      <w:pPr>
        <w:pStyle w:val="ListParagraph"/>
        <w:numPr>
          <w:ilvl w:val="0"/>
          <w:numId w:val="19"/>
        </w:numPr>
      </w:pPr>
      <w:r>
        <w:t>workplace documents</w:t>
      </w:r>
    </w:p>
    <w:p w:rsidR="00305764" w:rsidRDefault="00042039" w:rsidP="009F66A5">
      <w:pPr>
        <w:pStyle w:val="ListParagraph"/>
        <w:numPr>
          <w:ilvl w:val="1"/>
          <w:numId w:val="19"/>
        </w:numPr>
      </w:pPr>
      <w:r>
        <w:t>test reports</w:t>
      </w:r>
      <w:r w:rsidR="00EB063E">
        <w:t>, printed documents</w:t>
      </w:r>
      <w:r w:rsidR="005D5FCC">
        <w:t xml:space="preserve"> and Form 6 verification tasks for </w:t>
      </w:r>
      <w:r w:rsidR="00305764">
        <w:t>verifiers</w:t>
      </w:r>
    </w:p>
    <w:p w:rsidR="00042039" w:rsidRDefault="00042039" w:rsidP="009F66A5">
      <w:pPr>
        <w:pStyle w:val="ListParagraph"/>
        <w:numPr>
          <w:ilvl w:val="1"/>
          <w:numId w:val="19"/>
        </w:numPr>
      </w:pPr>
      <w:proofErr w:type="gramStart"/>
      <w:r>
        <w:t>public</w:t>
      </w:r>
      <w:proofErr w:type="gramEnd"/>
      <w:r>
        <w:t xml:space="preserve"> weighbridge tickets</w:t>
      </w:r>
      <w:r w:rsidR="00305764">
        <w:t xml:space="preserve"> for weighbridge operators</w:t>
      </w:r>
      <w:r>
        <w:t>.</w:t>
      </w:r>
    </w:p>
    <w:p w:rsidR="001C4B99" w:rsidRDefault="00042039" w:rsidP="00C41B6F">
      <w:r>
        <w:t>A significant p</w:t>
      </w:r>
      <w:r w:rsidR="00965CE4">
        <w:t xml:space="preserve">art of the assessment involves </w:t>
      </w:r>
      <w:r w:rsidR="00965CE4" w:rsidRPr="000210F3">
        <w:rPr>
          <w:b/>
        </w:rPr>
        <w:t>demonstrating</w:t>
      </w:r>
      <w:r w:rsidR="00965CE4">
        <w:t xml:space="preserve"> your practical skills</w:t>
      </w:r>
      <w:r>
        <w:t>,</w:t>
      </w:r>
      <w:r w:rsidR="00965CE4">
        <w:t xml:space="preserve"> by completing one or more full tests on instruments or weighing vehicles and completing public weighbridge tickets</w:t>
      </w:r>
      <w:r w:rsidR="00305764">
        <w:t>,</w:t>
      </w:r>
      <w:r w:rsidR="001C4B99">
        <w:t xml:space="preserve"> </w:t>
      </w:r>
      <w:r w:rsidR="00305764">
        <w:t xml:space="preserve">as appropriate, </w:t>
      </w:r>
      <w:r w:rsidR="00965CE4">
        <w:t xml:space="preserve">in a real or simulated </w:t>
      </w:r>
      <w:r w:rsidR="001C4B99">
        <w:t xml:space="preserve">environment. During training within your organisation, you should have practised these skills under supervision – completing </w:t>
      </w:r>
      <w:r w:rsidR="00305764">
        <w:t xml:space="preserve">the appropriate </w:t>
      </w:r>
      <w:r w:rsidR="001C4B99">
        <w:t>test reports or tickets which will be submitted as evidence</w:t>
      </w:r>
      <w:r w:rsidR="003A57EE">
        <w:t xml:space="preserve"> (workplace documents)</w:t>
      </w:r>
      <w:r w:rsidR="001C4B99">
        <w:t xml:space="preserve"> along with a report from your supervisor or mentor.</w:t>
      </w:r>
    </w:p>
    <w:p w:rsidR="001C4B99" w:rsidRDefault="001C4B99" w:rsidP="00C41B6F">
      <w:r>
        <w:t>In addition, the assessor will need to confirm you have the necessary practical</w:t>
      </w:r>
      <w:r w:rsidR="003A57EE">
        <w:t xml:space="preserve"> and communication</w:t>
      </w:r>
      <w:r>
        <w:t xml:space="preserve"> skills in testing instruments/weighing vehicles</w:t>
      </w:r>
      <w:r w:rsidR="003A57EE">
        <w:t xml:space="preserve"> while demonstrating knowledge of, and implementing safe work practices</w:t>
      </w:r>
      <w:r>
        <w:t xml:space="preserve">. </w:t>
      </w:r>
      <w:r w:rsidR="00305764">
        <w:t xml:space="preserve">Depending on the </w:t>
      </w:r>
      <w:r w:rsidR="00EB063E">
        <w:t>circumstances</w:t>
      </w:r>
      <w:r w:rsidR="00305764">
        <w:t>, t</w:t>
      </w:r>
      <w:r>
        <w:t>his will be completed by one of the following methods:</w:t>
      </w:r>
    </w:p>
    <w:p w:rsidR="001C4B99" w:rsidRDefault="001C4B99" w:rsidP="00305764">
      <w:pPr>
        <w:pStyle w:val="ListParagraph"/>
        <w:numPr>
          <w:ilvl w:val="0"/>
          <w:numId w:val="18"/>
        </w:numPr>
      </w:pPr>
      <w:r>
        <w:t>The assessor or a technical expert (an NMI trade measurement officer) will complete a direct observation of you either at your work place, an NMI office, or another suitable location.</w:t>
      </w:r>
    </w:p>
    <w:p w:rsidR="001C4B99" w:rsidRDefault="001C4B99" w:rsidP="00305764">
      <w:pPr>
        <w:pStyle w:val="ListParagraph"/>
        <w:numPr>
          <w:ilvl w:val="0"/>
          <w:numId w:val="18"/>
        </w:numPr>
      </w:pPr>
      <w:r>
        <w:t>The assessor will use video calling to complete a direct observation of you either at your work place</w:t>
      </w:r>
      <w:r w:rsidR="00042039">
        <w:t xml:space="preserve"> </w:t>
      </w:r>
      <w:r>
        <w:t>or another suitable location</w:t>
      </w:r>
      <w:r w:rsidR="00042039">
        <w:t>.</w:t>
      </w:r>
    </w:p>
    <w:p w:rsidR="00042039" w:rsidRDefault="00042039" w:rsidP="00042039">
      <w:pPr>
        <w:pStyle w:val="ListParagraph"/>
        <w:numPr>
          <w:ilvl w:val="0"/>
          <w:numId w:val="18"/>
        </w:numPr>
      </w:pPr>
      <w:r>
        <w:t>You will provide a series of videos showing you completing all the stages in testing instruments/weighing vehicles in a real or simulated situation.</w:t>
      </w:r>
    </w:p>
    <w:p w:rsidR="003A57EE" w:rsidRDefault="00895CCF" w:rsidP="00C41B6F">
      <w:r w:rsidRPr="00860A70">
        <w:t xml:space="preserve">An assessor will </w:t>
      </w:r>
      <w:r>
        <w:t>review your submitted kit</w:t>
      </w:r>
      <w:r w:rsidR="009F66A5">
        <w:t xml:space="preserve"> </w:t>
      </w:r>
      <w:r w:rsidR="00EB063E">
        <w:t>including</w:t>
      </w:r>
      <w:r w:rsidR="002D663F">
        <w:t xml:space="preserve"> any third party or technical expert observation reports</w:t>
      </w:r>
      <w:r w:rsidR="00EB063E">
        <w:rPr>
          <w:rStyle w:val="CommentReference"/>
        </w:rPr>
        <w:t xml:space="preserve">. </w:t>
      </w:r>
      <w:r w:rsidR="00EB063E" w:rsidRPr="00EB063E">
        <w:rPr>
          <w:rStyle w:val="CommentReference"/>
          <w:sz w:val="20"/>
          <w:szCs w:val="20"/>
        </w:rPr>
        <w:t>They</w:t>
      </w:r>
      <w:r w:rsidR="00EB063E">
        <w:rPr>
          <w:rStyle w:val="CommentReference"/>
        </w:rPr>
        <w:t xml:space="preserve"> </w:t>
      </w:r>
      <w:r w:rsidR="003A57EE">
        <w:t xml:space="preserve">may request additional information to be submitted. </w:t>
      </w:r>
    </w:p>
    <w:p w:rsidR="00895CCF" w:rsidRPr="00860A70" w:rsidRDefault="003A57EE" w:rsidP="00C41B6F">
      <w:r>
        <w:t>In addition, the assessor may wish to talk with you</w:t>
      </w:r>
      <w:r w:rsidR="00717263">
        <w:t>, and</w:t>
      </w:r>
      <w:r w:rsidR="00B42764">
        <w:t>/</w:t>
      </w:r>
      <w:r w:rsidR="00717263">
        <w:t>or your supervisor,</w:t>
      </w:r>
      <w:r>
        <w:t xml:space="preserve"> by phone</w:t>
      </w:r>
      <w:r w:rsidR="00895CCF">
        <w:t xml:space="preserve"> to</w:t>
      </w:r>
      <w:r>
        <w:t xml:space="preserve"> clarify the information submitted and</w:t>
      </w:r>
      <w:r w:rsidR="00895CCF">
        <w:t xml:space="preserve"> confirm your knowledge.</w:t>
      </w:r>
      <w:r w:rsidR="00895CCF" w:rsidRPr="00860A70">
        <w:t xml:space="preserve"> </w:t>
      </w:r>
      <w:r w:rsidR="00895CCF">
        <w:t>Based on the evidence in your recognition kit</w:t>
      </w:r>
      <w:r>
        <w:t>, the observation</w:t>
      </w:r>
      <w:r w:rsidR="002D663F">
        <w:t xml:space="preserve"> report(</w:t>
      </w:r>
      <w:r>
        <w:t>s</w:t>
      </w:r>
      <w:r w:rsidR="002D663F">
        <w:t>)</w:t>
      </w:r>
      <w:r w:rsidR="00895CCF">
        <w:t xml:space="preserve"> and your responses </w:t>
      </w:r>
      <w:r>
        <w:t>over the phone</w:t>
      </w:r>
      <w:r w:rsidR="003E2B24">
        <w:t>,</w:t>
      </w:r>
      <w:r w:rsidR="00895CCF">
        <w:t xml:space="preserve"> your assessor will</w:t>
      </w:r>
      <w:r w:rsidR="00895CCF" w:rsidRPr="00860A70">
        <w:t xml:space="preserve"> make a judgement </w:t>
      </w:r>
      <w:r w:rsidR="00895CCF">
        <w:t>regarding your competence</w:t>
      </w:r>
      <w:r w:rsidR="00895CCF" w:rsidRPr="00860A70">
        <w:t>.</w:t>
      </w:r>
    </w:p>
    <w:p w:rsidR="003A57EE" w:rsidRDefault="00895CCF" w:rsidP="00C41B6F">
      <w:bookmarkStart w:id="32" w:name="_Toc96943698"/>
      <w:bookmarkStart w:id="33" w:name="_Toc100651520"/>
      <w:r w:rsidRPr="00044699">
        <w:t xml:space="preserve">It is vital that the evidence you supply is </w:t>
      </w:r>
      <w:r w:rsidR="00715AE1">
        <w:t xml:space="preserve">complete and </w:t>
      </w:r>
      <w:r w:rsidRPr="00044699">
        <w:t xml:space="preserve">authentic, i.e. you </w:t>
      </w:r>
      <w:r w:rsidR="003A57EE">
        <w:t xml:space="preserve">must </w:t>
      </w:r>
      <w:r w:rsidRPr="00044699">
        <w:t xml:space="preserve">have personally performed </w:t>
      </w:r>
      <w:r w:rsidR="00715AE1" w:rsidRPr="00651F9A">
        <w:rPr>
          <w:b/>
        </w:rPr>
        <w:t>all</w:t>
      </w:r>
      <w:r w:rsidR="00715AE1">
        <w:t xml:space="preserve"> </w:t>
      </w:r>
      <w:r w:rsidRPr="00044699">
        <w:t>the tasks covered by the evidence</w:t>
      </w:r>
      <w:r>
        <w:t xml:space="preserve">. </w:t>
      </w:r>
    </w:p>
    <w:p w:rsidR="00895CCF" w:rsidRDefault="00895CCF" w:rsidP="00C41B6F">
      <w:r>
        <w:t>The</w:t>
      </w:r>
      <w:r w:rsidRPr="00044699">
        <w:t xml:space="preserve"> test reports</w:t>
      </w:r>
      <w:r>
        <w:t>/documents/</w:t>
      </w:r>
      <w:r w:rsidRPr="00044699">
        <w:t xml:space="preserve">measurement tickets </w:t>
      </w:r>
      <w:r>
        <w:t xml:space="preserve">you include with the kit should come </w:t>
      </w:r>
      <w:r w:rsidRPr="00044699">
        <w:t xml:space="preserve">from activities that you </w:t>
      </w:r>
      <w:r>
        <w:t>have completed</w:t>
      </w:r>
      <w:r w:rsidR="00715AE1">
        <w:t>, ideally</w:t>
      </w:r>
      <w:r>
        <w:t xml:space="preserve"> </w:t>
      </w:r>
      <w:r w:rsidRPr="00044699">
        <w:t xml:space="preserve">under the supervision of a competent person. </w:t>
      </w:r>
    </w:p>
    <w:p w:rsidR="003A57EE" w:rsidRDefault="00895CCF" w:rsidP="00C41B6F">
      <w:r w:rsidRPr="00044699">
        <w:t xml:space="preserve">Your evidence must also be up-to-date and relevant to the </w:t>
      </w:r>
      <w:r>
        <w:t>assessment requirements</w:t>
      </w:r>
      <w:r w:rsidRPr="00044699">
        <w:t xml:space="preserve">. </w:t>
      </w:r>
      <w:r w:rsidR="003A57EE">
        <w:t>Further instructions are provided in each r</w:t>
      </w:r>
      <w:r w:rsidRPr="00044699">
        <w:t>ecognition kit</w:t>
      </w:r>
      <w:r w:rsidR="003A57EE">
        <w:t>. Be sure to read the instructions carefully.</w:t>
      </w:r>
    </w:p>
    <w:p w:rsidR="00895CCF" w:rsidRDefault="003A57EE" w:rsidP="00C41B6F">
      <w:r>
        <w:t>Detailed information relating to observations (direct or otherwise) will be provided in the kit and by your assessor and/or technical expert.</w:t>
      </w:r>
      <w:bookmarkStart w:id="34" w:name="_Toc257202391"/>
    </w:p>
    <w:p w:rsidR="00895CCF" w:rsidRPr="00860A70" w:rsidRDefault="00895CCF" w:rsidP="00715AE1">
      <w:pPr>
        <w:pStyle w:val="Heading1"/>
        <w:spacing w:before="0" w:after="120"/>
        <w:ind w:left="567" w:hanging="567"/>
      </w:pPr>
      <w:bookmarkStart w:id="35" w:name="_Toc397529241"/>
      <w:bookmarkStart w:id="36" w:name="_Toc427312611"/>
      <w:bookmarkStart w:id="37" w:name="_Toc503953593"/>
      <w:bookmarkStart w:id="38" w:name="_Toc22810828"/>
      <w:r>
        <w:lastRenderedPageBreak/>
        <w:t>How are recognition kits completed and submitted?</w:t>
      </w:r>
      <w:bookmarkEnd w:id="35"/>
      <w:bookmarkEnd w:id="36"/>
      <w:bookmarkEnd w:id="37"/>
      <w:bookmarkEnd w:id="38"/>
    </w:p>
    <w:p w:rsidR="003A57EE" w:rsidRDefault="00895CCF" w:rsidP="00807FD1">
      <w:pPr>
        <w:pStyle w:val="Heading2"/>
        <w:spacing w:after="120"/>
      </w:pPr>
      <w:bookmarkStart w:id="39" w:name="_Toc22810829"/>
      <w:r>
        <w:t>Step 1</w:t>
      </w:r>
      <w:r w:rsidR="00BC76A3">
        <w:t xml:space="preserve"> </w:t>
      </w:r>
      <w:r w:rsidR="003A57EE">
        <w:rPr>
          <w:rFonts w:cstheme="majorHAnsi"/>
        </w:rPr>
        <w:t>–</w:t>
      </w:r>
      <w:r w:rsidR="003A57EE">
        <w:t xml:space="preserve"> Download the kit(s) relevant to your needs from the website.</w:t>
      </w:r>
      <w:bookmarkEnd w:id="39"/>
    </w:p>
    <w:p w:rsidR="003A57EE" w:rsidRDefault="00CD5D46" w:rsidP="00807FD1">
      <w:r>
        <w:t xml:space="preserve">The majority of kits are now available for completion without you having to </w:t>
      </w:r>
      <w:r w:rsidR="00921A88">
        <w:t>print them out. You fill in the answers and forms on your computer and submit</w:t>
      </w:r>
      <w:r w:rsidR="00717263">
        <w:t xml:space="preserve"> your kit</w:t>
      </w:r>
      <w:r w:rsidR="00921A88">
        <w:t>, along with the other required documents, by email (see below).</w:t>
      </w:r>
      <w:r w:rsidR="00BC76A3">
        <w:t xml:space="preserve"> </w:t>
      </w:r>
    </w:p>
    <w:p w:rsidR="00895CCF" w:rsidRDefault="003A57EE" w:rsidP="00367755">
      <w:pPr>
        <w:pStyle w:val="Heading2"/>
        <w:spacing w:after="120"/>
      </w:pPr>
      <w:bookmarkStart w:id="40" w:name="_Toc22810830"/>
      <w:r>
        <w:t xml:space="preserve">Step 2 </w:t>
      </w:r>
      <w:r>
        <w:rPr>
          <w:rFonts w:cstheme="majorHAnsi"/>
        </w:rPr>
        <w:t>−</w:t>
      </w:r>
      <w:r w:rsidR="00431FE4">
        <w:rPr>
          <w:rFonts w:cstheme="majorHAnsi"/>
        </w:rPr>
        <w:t xml:space="preserve"> </w:t>
      </w:r>
      <w:r w:rsidR="00895CCF" w:rsidRPr="00860A70">
        <w:t xml:space="preserve">Collect your </w:t>
      </w:r>
      <w:r w:rsidR="00895CCF">
        <w:t>e</w:t>
      </w:r>
      <w:r w:rsidR="00895CCF" w:rsidRPr="00860A70">
        <w:t>vidence</w:t>
      </w:r>
      <w:r w:rsidR="00895CCF">
        <w:t xml:space="preserve"> and complete the recognition kit</w:t>
      </w:r>
      <w:bookmarkEnd w:id="40"/>
    </w:p>
    <w:p w:rsidR="00895CCF" w:rsidRDefault="00715AE1" w:rsidP="00C41B6F">
      <w:r w:rsidRPr="00367755">
        <w:rPr>
          <w:b/>
        </w:rPr>
        <w:t>Read the instructions at the beginning of the kit carefully.</w:t>
      </w:r>
      <w:r>
        <w:t xml:space="preserve"> </w:t>
      </w:r>
      <w:r w:rsidR="00895CCF">
        <w:t xml:space="preserve">As you </w:t>
      </w:r>
      <w:r>
        <w:t xml:space="preserve">work </w:t>
      </w:r>
      <w:r w:rsidR="00895CCF">
        <w:t>through the recognition kit</w:t>
      </w:r>
      <w:r w:rsidR="00C553DB">
        <w:t>,</w:t>
      </w:r>
      <w:r w:rsidR="00895CCF">
        <w:t xml:space="preserve"> complete your personal details</w:t>
      </w:r>
      <w:r w:rsidR="003A57EE">
        <w:t xml:space="preserve">, </w:t>
      </w:r>
      <w:r w:rsidR="00895CCF">
        <w:t xml:space="preserve">those of your </w:t>
      </w:r>
      <w:r w:rsidR="00895CCF" w:rsidRPr="00A56A0E">
        <w:t>supervisor</w:t>
      </w:r>
      <w:r w:rsidR="003A57EE">
        <w:t>(s)</w:t>
      </w:r>
      <w:r w:rsidR="00895CCF" w:rsidRPr="00A56A0E">
        <w:t xml:space="preserve"> or </w:t>
      </w:r>
      <w:r w:rsidR="00A56A0E">
        <w:t>mentor</w:t>
      </w:r>
      <w:r w:rsidR="003A57EE">
        <w:t>(s),</w:t>
      </w:r>
      <w:r w:rsidR="00895CCF">
        <w:t xml:space="preserve"> as well as your work history.</w:t>
      </w:r>
      <w:r>
        <w:t xml:space="preserve"> </w:t>
      </w:r>
      <w:r w:rsidR="0017402D">
        <w:rPr>
          <w:b/>
        </w:rPr>
        <w:t>Carefully r</w:t>
      </w:r>
      <w:r w:rsidRPr="00367755">
        <w:rPr>
          <w:b/>
        </w:rPr>
        <w:t>ead the instructions included at the start of each section of the kit.</w:t>
      </w:r>
    </w:p>
    <w:p w:rsidR="00895CCF" w:rsidRPr="00860A70" w:rsidRDefault="00895CCF" w:rsidP="00C41B6F">
      <w:r>
        <w:t>Complete the written assessment questions.</w:t>
      </w:r>
      <w:r w:rsidR="00921A88">
        <w:t xml:space="preserve"> For verifiers, there is an additional question that asks you to complete a </w:t>
      </w:r>
      <w:r w:rsidR="00921A88" w:rsidRPr="00367755">
        <w:rPr>
          <w:b/>
        </w:rPr>
        <w:t>certificate of verification form</w:t>
      </w:r>
      <w:r w:rsidR="003E6D1D" w:rsidRPr="00367755">
        <w:rPr>
          <w:b/>
        </w:rPr>
        <w:t xml:space="preserve"> task</w:t>
      </w:r>
      <w:r w:rsidR="00921A88" w:rsidRPr="00367755">
        <w:rPr>
          <w:b/>
        </w:rPr>
        <w:t xml:space="preserve"> </w:t>
      </w:r>
      <w:r w:rsidR="004B5030" w:rsidRPr="00065B23">
        <w:rPr>
          <w:b/>
        </w:rPr>
        <w:t>(Form 6)</w:t>
      </w:r>
      <w:r w:rsidR="004B5030">
        <w:t xml:space="preserve"> </w:t>
      </w:r>
      <w:r w:rsidR="00921A88">
        <w:t>from information provided to you in the kit.</w:t>
      </w:r>
    </w:p>
    <w:p w:rsidR="00921A88" w:rsidRDefault="00895CCF" w:rsidP="00C41B6F">
      <w:r w:rsidRPr="00860A70">
        <w:t xml:space="preserve">Collect </w:t>
      </w:r>
      <w:r>
        <w:t xml:space="preserve">the evidence required to complete the recognition kit. This may include copies of test reports, </w:t>
      </w:r>
      <w:r w:rsidR="00921A88">
        <w:t xml:space="preserve">printed dockets/labels/tickets from </w:t>
      </w:r>
      <w:r>
        <w:t>POS</w:t>
      </w:r>
      <w:r w:rsidR="00921A88">
        <w:t xml:space="preserve"> systems,</w:t>
      </w:r>
      <w:r>
        <w:t xml:space="preserve"> or weighbridge tickets</w:t>
      </w:r>
      <w:r w:rsidR="00715AE1">
        <w:t>,</w:t>
      </w:r>
      <w:r>
        <w:t xml:space="preserve"> relevant calculations</w:t>
      </w:r>
      <w:r w:rsidR="00715AE1">
        <w:t xml:space="preserve"> and/or photographs</w:t>
      </w:r>
      <w:r w:rsidR="00921A88">
        <w:t>/videos</w:t>
      </w:r>
      <w:r w:rsidR="00715AE1">
        <w:t xml:space="preserve"> of </w:t>
      </w:r>
      <w:r w:rsidR="00921A88">
        <w:t>work activities</w:t>
      </w:r>
      <w:r>
        <w:t>.</w:t>
      </w:r>
      <w:r w:rsidRPr="00860A70">
        <w:t xml:space="preserve"> </w:t>
      </w:r>
    </w:p>
    <w:p w:rsidR="00895CCF" w:rsidRPr="007507EF" w:rsidRDefault="00921A88" w:rsidP="00C41B6F">
      <w:pPr>
        <w:rPr>
          <w:b/>
        </w:rPr>
      </w:pPr>
      <w:r>
        <w:t xml:space="preserve">Each recognition kit details the evidence you must provide and there is a </w:t>
      </w:r>
      <w:r w:rsidRPr="00367755">
        <w:rPr>
          <w:b/>
        </w:rPr>
        <w:t>checklist</w:t>
      </w:r>
      <w:r>
        <w:t xml:space="preserve"> to </w:t>
      </w:r>
      <w:r w:rsidRPr="00367755">
        <w:rPr>
          <w:b/>
        </w:rPr>
        <w:t>ensure you have completed all parts</w:t>
      </w:r>
      <w:r>
        <w:t xml:space="preserve">. You should try to include </w:t>
      </w:r>
      <w:r w:rsidR="00895CCF" w:rsidRPr="00860A70">
        <w:t xml:space="preserve">evidence that shows you </w:t>
      </w:r>
      <w:r>
        <w:t>can manage</w:t>
      </w:r>
      <w:r w:rsidR="00895CCF" w:rsidRPr="00860A70">
        <w:t xml:space="preserve"> </w:t>
      </w:r>
      <w:r>
        <w:t>non-standard</w:t>
      </w:r>
      <w:r w:rsidR="00895CCF" w:rsidRPr="00860A70">
        <w:t xml:space="preserve"> situations</w:t>
      </w:r>
      <w:r>
        <w:t>,</w:t>
      </w:r>
      <w:r w:rsidR="00715AE1">
        <w:t xml:space="preserve"> as this provides more robust evidence to your assessor</w:t>
      </w:r>
      <w:r w:rsidR="00895CCF" w:rsidRPr="00860A70">
        <w:rPr>
          <w:b/>
        </w:rPr>
        <w:t>.</w:t>
      </w:r>
    </w:p>
    <w:p w:rsidR="004B5030" w:rsidRPr="00A95CD6" w:rsidRDefault="00556BE6" w:rsidP="00C41B6F">
      <w:r>
        <w:t>If your supervisor</w:t>
      </w:r>
      <w:r w:rsidR="004B5030" w:rsidRPr="00A95CD6">
        <w:t>/mentor is an experienced verifier</w:t>
      </w:r>
      <w:r w:rsidR="00A54970" w:rsidRPr="00A95CD6">
        <w:t xml:space="preserve"> for the instrument type being assessed or </w:t>
      </w:r>
      <w:r w:rsidR="00BA3539">
        <w:t xml:space="preserve">a </w:t>
      </w:r>
      <w:r w:rsidR="00A54970" w:rsidRPr="00A95CD6">
        <w:t xml:space="preserve">weighbridge operator, as appropriate, </w:t>
      </w:r>
      <w:r w:rsidR="004B5030" w:rsidRPr="00A95CD6">
        <w:t xml:space="preserve">they should </w:t>
      </w:r>
      <w:r w:rsidR="00895CCF" w:rsidRPr="00A95CD6">
        <w:t xml:space="preserve">complete the report </w:t>
      </w:r>
      <w:r w:rsidR="004B5030" w:rsidRPr="00A95CD6">
        <w:t>for experienced supervisors/ mentors,</w:t>
      </w:r>
      <w:r w:rsidR="00A54970" w:rsidRPr="00A95CD6">
        <w:t xml:space="preserve"> </w:t>
      </w:r>
      <w:r w:rsidR="00895CCF" w:rsidRPr="00A95CD6">
        <w:t>included in the kit</w:t>
      </w:r>
      <w:r w:rsidR="004B5030" w:rsidRPr="00A95CD6">
        <w:t>.</w:t>
      </w:r>
    </w:p>
    <w:p w:rsidR="00E66541" w:rsidRPr="00A95CD6" w:rsidRDefault="00E66541" w:rsidP="00C41B6F">
      <w:r>
        <w:t>I</w:t>
      </w:r>
      <w:r w:rsidR="00921A88" w:rsidRPr="00A95CD6">
        <w:t xml:space="preserve">f </w:t>
      </w:r>
      <w:r w:rsidR="00556BE6">
        <w:t>your supervisor</w:t>
      </w:r>
      <w:r>
        <w:t xml:space="preserve">/mentor is </w:t>
      </w:r>
      <w:r>
        <w:rPr>
          <w:b/>
          <w:u w:val="single"/>
        </w:rPr>
        <w:t>not</w:t>
      </w:r>
      <w:r w:rsidRPr="00A95CD6">
        <w:rPr>
          <w:b/>
        </w:rPr>
        <w:t xml:space="preserve"> </w:t>
      </w:r>
      <w:r w:rsidRPr="00A95CD6">
        <w:t>an experienced</w:t>
      </w:r>
      <w:r w:rsidR="00556BE6">
        <w:t xml:space="preserve"> verifier</w:t>
      </w:r>
      <w:r>
        <w:t>/operator</w:t>
      </w:r>
      <w:r w:rsidR="00A54970" w:rsidRPr="00A95CD6">
        <w:t>, they should complete the r</w:t>
      </w:r>
      <w:r w:rsidR="00921A88" w:rsidRPr="00A95CD6">
        <w:t xml:space="preserve">eport </w:t>
      </w:r>
      <w:r w:rsidR="00556BE6">
        <w:t>for a non-verifier</w:t>
      </w:r>
      <w:r w:rsidR="00A54970" w:rsidRPr="00A95CD6">
        <w:t xml:space="preserve">/non-operator, </w:t>
      </w:r>
      <w:r w:rsidR="00921A88" w:rsidRPr="00A95CD6">
        <w:t xml:space="preserve">to record your general workplace performance, particularly in relation to working safely and communicating with others. </w:t>
      </w:r>
    </w:p>
    <w:p w:rsidR="00895CCF" w:rsidRDefault="00E66541" w:rsidP="00A618B7">
      <w:r w:rsidRPr="00A95CD6">
        <w:t xml:space="preserve">Contact </w:t>
      </w:r>
      <w:r w:rsidR="00921A88" w:rsidRPr="00A95CD6">
        <w:t>the NMI administrator</w:t>
      </w:r>
      <w:r w:rsidRPr="00A95CD6">
        <w:t xml:space="preserve"> if you do not have</w:t>
      </w:r>
      <w:r w:rsidR="001658B0">
        <w:t xml:space="preserve"> </w:t>
      </w:r>
      <w:r>
        <w:t>acce</w:t>
      </w:r>
      <w:r w:rsidR="00556BE6">
        <w:t>ss to an experienced supervisor</w:t>
      </w:r>
      <w:r>
        <w:t>/mentor</w:t>
      </w:r>
      <w:r w:rsidR="00BA3539">
        <w:t xml:space="preserve"> or</w:t>
      </w:r>
      <w:r w:rsidR="001658B0">
        <w:t xml:space="preserve"> </w:t>
      </w:r>
      <w:r w:rsidR="00556BE6">
        <w:t xml:space="preserve">any </w:t>
      </w:r>
      <w:r w:rsidR="00BA3539">
        <w:t>type of</w:t>
      </w:r>
      <w:r w:rsidR="001658B0">
        <w:t xml:space="preserve"> </w:t>
      </w:r>
      <w:r w:rsidR="00556BE6">
        <w:t>supervisor</w:t>
      </w:r>
      <w:r w:rsidRPr="00A95CD6">
        <w:t>/mentor</w:t>
      </w:r>
      <w:r w:rsidR="00BA3539">
        <w:t>.</w:t>
      </w:r>
    </w:p>
    <w:p w:rsidR="00715AE1" w:rsidRDefault="00715AE1" w:rsidP="00715AE1">
      <w:r>
        <w:t>Read through the f</w:t>
      </w:r>
      <w:r w:rsidRPr="00860A70">
        <w:t xml:space="preserve">orms </w:t>
      </w:r>
      <w:r>
        <w:t>that</w:t>
      </w:r>
      <w:r w:rsidRPr="00860A70">
        <w:t xml:space="preserve"> will be completed by your assessor</w:t>
      </w:r>
      <w:r w:rsidR="00AC6606">
        <w:t>,</w:t>
      </w:r>
      <w:r>
        <w:t xml:space="preserve"> as t</w:t>
      </w:r>
      <w:r w:rsidRPr="00860A70">
        <w:t xml:space="preserve">his will allow you to understand what they will be looking for when they review your </w:t>
      </w:r>
      <w:r w:rsidR="00BA3539">
        <w:t>evidence</w:t>
      </w:r>
      <w:r w:rsidRPr="00860A70">
        <w:t>.</w:t>
      </w:r>
    </w:p>
    <w:p w:rsidR="00A95CD6" w:rsidRDefault="00A95CD6" w:rsidP="00A95CD6">
      <w:r>
        <w:t>If you are having difficulties understanding the requirements for completing your kit, p</w:t>
      </w:r>
      <w:r w:rsidR="00895CCF">
        <w:t xml:space="preserve">lease contact the NMI </w:t>
      </w:r>
      <w:r w:rsidR="007C0F47">
        <w:t>a</w:t>
      </w:r>
      <w:r w:rsidR="00895CCF">
        <w:t>dministrator</w:t>
      </w:r>
      <w:r>
        <w:t>.</w:t>
      </w:r>
    </w:p>
    <w:p w:rsidR="00895CCF" w:rsidRDefault="00BB4F91" w:rsidP="00C41B6F">
      <w:r>
        <w:t>E</w:t>
      </w:r>
      <w:r w:rsidR="00895CCF">
        <w:t xml:space="preserve">mail: </w:t>
      </w:r>
      <w:hyperlink r:id="rId20" w:history="1">
        <w:r w:rsidR="006A45BF">
          <w:rPr>
            <w:rStyle w:val="Hyperlink"/>
          </w:rPr>
          <w:t>nmiadministrator@measurement.gov.au</w:t>
        </w:r>
      </w:hyperlink>
    </w:p>
    <w:p w:rsidR="00895CCF" w:rsidRPr="00860A70" w:rsidRDefault="00BB4F91" w:rsidP="00C41B6F">
      <w:r>
        <w:t>Tele</w:t>
      </w:r>
      <w:r w:rsidR="00895CCF">
        <w:t>phone: (02) 8467 3796 (training helpline)</w:t>
      </w:r>
    </w:p>
    <w:p w:rsidR="00895CCF" w:rsidRPr="00860A70" w:rsidRDefault="00895CCF" w:rsidP="00D1729E">
      <w:pPr>
        <w:pStyle w:val="Heading2"/>
        <w:spacing w:after="120"/>
      </w:pPr>
      <w:bookmarkStart w:id="41" w:name="_Toc22810831"/>
      <w:r>
        <w:t xml:space="preserve">Step </w:t>
      </w:r>
      <w:r w:rsidR="00A95CD6">
        <w:t>3</w:t>
      </w:r>
      <w:r w:rsidR="00BC76A3">
        <w:t xml:space="preserve"> </w:t>
      </w:r>
      <w:r w:rsidR="00431FE4">
        <w:rPr>
          <w:rFonts w:cstheme="majorHAnsi"/>
        </w:rPr>
        <w:t>˗</w:t>
      </w:r>
      <w:proofErr w:type="gramStart"/>
      <w:r w:rsidR="00431FE4">
        <w:rPr>
          <w:rFonts w:cstheme="majorHAnsi"/>
        </w:rPr>
        <w:t>̶</w:t>
      </w:r>
      <w:r w:rsidR="00431FE4">
        <w:t xml:space="preserve">  </w:t>
      </w:r>
      <w:r w:rsidRPr="00860A70">
        <w:t>Submit</w:t>
      </w:r>
      <w:proofErr w:type="gramEnd"/>
      <w:r w:rsidRPr="00860A70">
        <w:t xml:space="preserve"> your </w:t>
      </w:r>
      <w:r>
        <w:t>c</w:t>
      </w:r>
      <w:r w:rsidRPr="00860A70">
        <w:t xml:space="preserve">ompleted </w:t>
      </w:r>
      <w:r>
        <w:t>r</w:t>
      </w:r>
      <w:r w:rsidRPr="00860A70">
        <w:t xml:space="preserve">ecognition </w:t>
      </w:r>
      <w:r>
        <w:t>k</w:t>
      </w:r>
      <w:r w:rsidRPr="00860A70">
        <w:t>it</w:t>
      </w:r>
      <w:bookmarkEnd w:id="41"/>
    </w:p>
    <w:p w:rsidR="00AC6606" w:rsidRDefault="00895CCF" w:rsidP="00C41B6F">
      <w:r>
        <w:t xml:space="preserve">Submit your completed recognition kit </w:t>
      </w:r>
      <w:r w:rsidR="00AC6606">
        <w:t>by</w:t>
      </w:r>
      <w:r>
        <w:t xml:space="preserve"> email </w:t>
      </w:r>
      <w:r w:rsidR="00AC6606">
        <w:t xml:space="preserve">along with scanned copies of any other documents/tickets/photographs (see </w:t>
      </w:r>
      <w:r w:rsidR="005D5FCC">
        <w:t xml:space="preserve">instructions in the </w:t>
      </w:r>
      <w:r w:rsidR="00AC6606">
        <w:t>kit for how to name each of these documents)</w:t>
      </w:r>
      <w:r>
        <w:t>.</w:t>
      </w:r>
      <w:r w:rsidR="00AC6606">
        <w:t xml:space="preserve"> </w:t>
      </w:r>
    </w:p>
    <w:p w:rsidR="00895CCF" w:rsidRDefault="00AC6606" w:rsidP="00C41B6F">
      <w:r>
        <w:t xml:space="preserve">If you have completed the kit manually, you should scan </w:t>
      </w:r>
      <w:r w:rsidR="001045BF">
        <w:t>(double-</w:t>
      </w:r>
      <w:r w:rsidR="00717263">
        <w:t xml:space="preserve">sided) </w:t>
      </w:r>
      <w:r>
        <w:t>all pages of the kit and email the scanned copy, alon</w:t>
      </w:r>
      <w:r w:rsidR="001045BF">
        <w:t>g with the additional documents (named as above).</w:t>
      </w:r>
      <w:r>
        <w:t xml:space="preserve"> </w:t>
      </w:r>
    </w:p>
    <w:p w:rsidR="00895CCF" w:rsidRPr="00860A70" w:rsidRDefault="00895CCF" w:rsidP="00C41B6F">
      <w:r>
        <w:t>Remember to keep your kit</w:t>
      </w:r>
      <w:r w:rsidR="00AC6606">
        <w:t>(</w:t>
      </w:r>
      <w:r>
        <w:t>s</w:t>
      </w:r>
      <w:r w:rsidR="00AC6606">
        <w:t>)</w:t>
      </w:r>
      <w:r>
        <w:t xml:space="preserve"> as you may need to refer to it/them during your interview with the assessor.</w:t>
      </w:r>
    </w:p>
    <w:p w:rsidR="00895CCF" w:rsidRDefault="00895CCF" w:rsidP="00C41B6F">
      <w:r>
        <w:t>Email</w:t>
      </w:r>
      <w:r w:rsidRPr="00860A70">
        <w:t xml:space="preserve"> </w:t>
      </w:r>
      <w:r w:rsidR="00AC6606">
        <w:t>the kit and documents</w:t>
      </w:r>
      <w:r w:rsidRPr="00C0110B">
        <w:t xml:space="preserve"> to:</w:t>
      </w:r>
      <w:r>
        <w:t xml:space="preserve"> </w:t>
      </w:r>
      <w:hyperlink r:id="rId21" w:history="1">
        <w:r>
          <w:rPr>
            <w:rStyle w:val="Hyperlink"/>
          </w:rPr>
          <w:t>nmiadministrator</w:t>
        </w:r>
        <w:r w:rsidRPr="001741C6">
          <w:rPr>
            <w:rStyle w:val="Hyperlink"/>
          </w:rPr>
          <w:t>@</w:t>
        </w:r>
        <w:r w:rsidRPr="00764903">
          <w:rPr>
            <w:rStyle w:val="Hyperlink"/>
          </w:rPr>
          <w:t>measurement.gov.au</w:t>
        </w:r>
      </w:hyperlink>
      <w:r>
        <w:t>.</w:t>
      </w:r>
    </w:p>
    <w:p w:rsidR="00895CCF" w:rsidRPr="008D5CC1" w:rsidRDefault="00895CCF" w:rsidP="0072101D">
      <w:pPr>
        <w:pStyle w:val="Heading2"/>
      </w:pPr>
      <w:bookmarkStart w:id="42" w:name="_Toc22810832"/>
      <w:r>
        <w:t xml:space="preserve">Step </w:t>
      </w:r>
      <w:proofErr w:type="gramStart"/>
      <w:r w:rsidR="00A95CD6">
        <w:t>4</w:t>
      </w:r>
      <w:r w:rsidR="00431FE4">
        <w:t xml:space="preserve"> </w:t>
      </w:r>
      <w:r w:rsidR="00BC76A3">
        <w:t xml:space="preserve"> </w:t>
      </w:r>
      <w:r w:rsidR="00431FE4">
        <w:rPr>
          <w:rFonts w:cstheme="majorHAnsi"/>
        </w:rPr>
        <w:t>̶</w:t>
      </w:r>
      <w:proofErr w:type="gramEnd"/>
      <w:r w:rsidR="00431FE4">
        <w:t xml:space="preserve">  </w:t>
      </w:r>
      <w:r w:rsidRPr="008D5CC1">
        <w:t xml:space="preserve">Enrol in the </w:t>
      </w:r>
      <w:r>
        <w:t>r</w:t>
      </w:r>
      <w:r w:rsidRPr="008D5CC1">
        <w:t xml:space="preserve">ecognition </w:t>
      </w:r>
      <w:r>
        <w:t>p</w:t>
      </w:r>
      <w:r w:rsidRPr="008D5CC1">
        <w:t>rocess</w:t>
      </w:r>
      <w:bookmarkEnd w:id="34"/>
      <w:bookmarkEnd w:id="42"/>
    </w:p>
    <w:p w:rsidR="00895CCF" w:rsidRDefault="006A45BF" w:rsidP="00C41B6F">
      <w:r>
        <w:t>When your submission has been checked</w:t>
      </w:r>
      <w:r w:rsidR="00904044">
        <w:t xml:space="preserve"> by the NMI Training and Assessment Administrator</w:t>
      </w:r>
      <w:r>
        <w:t xml:space="preserve">, </w:t>
      </w:r>
      <w:r w:rsidR="00904044">
        <w:t xml:space="preserve">they will advise if you are ready </w:t>
      </w:r>
      <w:r w:rsidR="00895CCF">
        <w:t>to complete the enrolment process. Follow the</w:t>
      </w:r>
      <w:r w:rsidR="00A95CD6">
        <w:t xml:space="preserve"> enrolment instructions shown on the</w:t>
      </w:r>
      <w:r w:rsidR="00895CCF">
        <w:t xml:space="preserve"> </w:t>
      </w:r>
      <w:hyperlink r:id="rId22" w:history="1">
        <w:r w:rsidR="00A95CD6">
          <w:rPr>
            <w:rStyle w:val="Hyperlink"/>
          </w:rPr>
          <w:t>V</w:t>
        </w:r>
        <w:r w:rsidR="00A95CD6" w:rsidRPr="00681038">
          <w:rPr>
            <w:rStyle w:val="Hyperlink"/>
          </w:rPr>
          <w:t>erifier and weighbridge operator assessments pages</w:t>
        </w:r>
      </w:hyperlink>
      <w:r w:rsidR="0003759B">
        <w:t xml:space="preserve">. </w:t>
      </w:r>
    </w:p>
    <w:p w:rsidR="00895CCF" w:rsidRDefault="00895CCF" w:rsidP="00C41B6F">
      <w:r>
        <w:t xml:space="preserve">You </w:t>
      </w:r>
      <w:r w:rsidR="0003759B">
        <w:t>must</w:t>
      </w:r>
      <w:r>
        <w:t xml:space="preserve"> include photo ID with your enrolment form. </w:t>
      </w:r>
      <w:r w:rsidR="001B3AF8">
        <w:t>For example</w:t>
      </w:r>
      <w:r>
        <w:t xml:space="preserve"> </w:t>
      </w:r>
      <w:r w:rsidR="00904044">
        <w:t>a copy of your driver’s licence</w:t>
      </w:r>
      <w:r>
        <w:t xml:space="preserve">. </w:t>
      </w:r>
    </w:p>
    <w:p w:rsidR="00895CCF" w:rsidRDefault="001045BF" w:rsidP="00C41B6F">
      <w:r>
        <w:lastRenderedPageBreak/>
        <w:t>Your u</w:t>
      </w:r>
      <w:r w:rsidR="00895CCF">
        <w:t xml:space="preserve">nique </w:t>
      </w:r>
      <w:r>
        <w:t>s</w:t>
      </w:r>
      <w:r w:rsidR="00895CCF">
        <w:t xml:space="preserve">tudent </w:t>
      </w:r>
      <w:r>
        <w:t>i</w:t>
      </w:r>
      <w:r w:rsidR="00895CCF">
        <w:t xml:space="preserve">dentifier (USI) must be shown in the specified section on the enrolment </w:t>
      </w:r>
      <w:r w:rsidR="0046677E">
        <w:t>page</w:t>
      </w:r>
      <w:r w:rsidR="00895CCF">
        <w:t xml:space="preserve">. You </w:t>
      </w:r>
      <w:r w:rsidR="00895CCF" w:rsidRPr="00860A70">
        <w:t>will</w:t>
      </w:r>
      <w:r w:rsidR="00895CCF">
        <w:t xml:space="preserve"> receive an</w:t>
      </w:r>
      <w:r w:rsidR="00895CCF" w:rsidRPr="00860A70">
        <w:t xml:space="preserve"> </w:t>
      </w:r>
      <w:r w:rsidR="00895CCF">
        <w:t xml:space="preserve">email to confirm your enrolment. If you do not have a current USI, you can obtain one from </w:t>
      </w:r>
      <w:hyperlink r:id="rId23" w:history="1">
        <w:r w:rsidR="0046677E">
          <w:rPr>
            <w:rStyle w:val="Hyperlink"/>
          </w:rPr>
          <w:t>the USI website</w:t>
        </w:r>
      </w:hyperlink>
      <w:r w:rsidR="00AC6606">
        <w:rPr>
          <w:rStyle w:val="Hyperlink"/>
        </w:rPr>
        <w:t>.</w:t>
      </w:r>
    </w:p>
    <w:p w:rsidR="00895CCF" w:rsidRPr="00860A70" w:rsidRDefault="00895CCF" w:rsidP="00322084">
      <w:pPr>
        <w:pStyle w:val="Heading1"/>
        <w:spacing w:before="0" w:after="120"/>
        <w:ind w:left="567" w:hanging="567"/>
      </w:pPr>
      <w:bookmarkStart w:id="43" w:name="_Toc397529244"/>
      <w:bookmarkStart w:id="44" w:name="_Toc427312614"/>
      <w:bookmarkStart w:id="45" w:name="_Toc503953594"/>
      <w:bookmarkStart w:id="46" w:name="_Toc22810833"/>
      <w:bookmarkStart w:id="47" w:name="_Toc257202395"/>
      <w:r>
        <w:t>What is the assessment process</w:t>
      </w:r>
      <w:r w:rsidRPr="00860A70">
        <w:t>?</w:t>
      </w:r>
      <w:bookmarkEnd w:id="43"/>
      <w:bookmarkEnd w:id="44"/>
      <w:bookmarkEnd w:id="45"/>
      <w:bookmarkEnd w:id="46"/>
    </w:p>
    <w:bookmarkEnd w:id="47"/>
    <w:p w:rsidR="00895CCF" w:rsidRDefault="00895CCF" w:rsidP="00C41B6F">
      <w:r>
        <w:t>To determine your competenc</w:t>
      </w:r>
      <w:r w:rsidR="00AD5B1D">
        <w:t>e</w:t>
      </w:r>
      <w:r>
        <w:t xml:space="preserve"> </w:t>
      </w:r>
      <w:r w:rsidR="003559DB">
        <w:t>an</w:t>
      </w:r>
      <w:r w:rsidR="003559DB" w:rsidRPr="00860A70">
        <w:t xml:space="preserve"> </w:t>
      </w:r>
      <w:r w:rsidRPr="00860A70">
        <w:t>assessor will</w:t>
      </w:r>
      <w:r>
        <w:t>:</w:t>
      </w:r>
    </w:p>
    <w:p w:rsidR="00895CCF" w:rsidRDefault="00895CCF" w:rsidP="00C41B6F">
      <w:pPr>
        <w:pStyle w:val="ListParagraph"/>
        <w:numPr>
          <w:ilvl w:val="0"/>
          <w:numId w:val="12"/>
        </w:numPr>
      </w:pPr>
      <w:r w:rsidRPr="004344DD">
        <w:t xml:space="preserve">review your </w:t>
      </w:r>
      <w:r>
        <w:t>recognition kit</w:t>
      </w:r>
    </w:p>
    <w:p w:rsidR="00895CCF" w:rsidRDefault="00895CCF" w:rsidP="00C41B6F">
      <w:pPr>
        <w:pStyle w:val="ListParagraph"/>
        <w:numPr>
          <w:ilvl w:val="0"/>
          <w:numId w:val="12"/>
        </w:numPr>
      </w:pPr>
      <w:r w:rsidRPr="004344DD">
        <w:t>mark your written assessment</w:t>
      </w:r>
    </w:p>
    <w:p w:rsidR="00895CCF" w:rsidRPr="00BB4CB0" w:rsidRDefault="00895CCF" w:rsidP="00C41B6F">
      <w:pPr>
        <w:pStyle w:val="ListParagraph"/>
        <w:numPr>
          <w:ilvl w:val="0"/>
          <w:numId w:val="12"/>
        </w:numPr>
      </w:pPr>
      <w:r w:rsidRPr="00BB4CB0">
        <w:t>review any test reports</w:t>
      </w:r>
      <w:r>
        <w:t xml:space="preserve">, weighbridge tickets, </w:t>
      </w:r>
      <w:r w:rsidRPr="00BB4CB0">
        <w:t>calculations</w:t>
      </w:r>
      <w:r w:rsidR="005D5FCC">
        <w:t xml:space="preserve"> and </w:t>
      </w:r>
      <w:r w:rsidR="009173B2">
        <w:t xml:space="preserve">any </w:t>
      </w:r>
      <w:r w:rsidR="005D5FCC">
        <w:t>third party observation reports</w:t>
      </w:r>
      <w:r w:rsidRPr="00BB4CB0">
        <w:t xml:space="preserve"> </w:t>
      </w:r>
      <w:r>
        <w:t xml:space="preserve">or other evidence </w:t>
      </w:r>
      <w:r w:rsidRPr="00BB4CB0">
        <w:t>you have submitted</w:t>
      </w:r>
    </w:p>
    <w:p w:rsidR="00895CCF" w:rsidRPr="00860A70" w:rsidRDefault="00895CCF" w:rsidP="00C41B6F">
      <w:pPr>
        <w:pStyle w:val="ListParagraph"/>
        <w:numPr>
          <w:ilvl w:val="0"/>
          <w:numId w:val="12"/>
        </w:numPr>
      </w:pPr>
      <w:r>
        <w:t>conduct a phone interview with you</w:t>
      </w:r>
    </w:p>
    <w:p w:rsidR="00895CCF" w:rsidRDefault="00895CCF" w:rsidP="00C41B6F">
      <w:pPr>
        <w:pStyle w:val="ListParagraph"/>
        <w:numPr>
          <w:ilvl w:val="0"/>
          <w:numId w:val="12"/>
        </w:numPr>
      </w:pPr>
      <w:proofErr w:type="gramStart"/>
      <w:r>
        <w:t>observe</w:t>
      </w:r>
      <w:proofErr w:type="gramEnd"/>
      <w:r w:rsidRPr="004344DD">
        <w:t xml:space="preserve"> your practical skills</w:t>
      </w:r>
      <w:r w:rsidR="008E68FB">
        <w:t xml:space="preserve"> (For further information, refer to the </w:t>
      </w:r>
      <w:hyperlink r:id="rId24" w:history="1">
        <w:r w:rsidR="008E68FB" w:rsidRPr="008E68FB">
          <w:rPr>
            <w:rStyle w:val="Hyperlink"/>
          </w:rPr>
          <w:t>Instructions for observation assessment</w:t>
        </w:r>
      </w:hyperlink>
      <w:r w:rsidR="008E68FB">
        <w:t>)</w:t>
      </w:r>
      <w:r>
        <w:t>.</w:t>
      </w:r>
    </w:p>
    <w:p w:rsidR="00895CCF" w:rsidRPr="00860A70" w:rsidRDefault="00895CCF" w:rsidP="00C41B6F">
      <w:r w:rsidRPr="00860A70">
        <w:t>During the interview your assessor will ask questions to clarify your underpinning knowledge</w:t>
      </w:r>
      <w:r>
        <w:t xml:space="preserve"> and skills. They</w:t>
      </w:r>
      <w:r w:rsidRPr="00860A70">
        <w:t xml:space="preserve"> </w:t>
      </w:r>
      <w:r>
        <w:t>may also</w:t>
      </w:r>
      <w:r w:rsidRPr="00860A70">
        <w:t xml:space="preserve"> discuss your work experience.</w:t>
      </w:r>
    </w:p>
    <w:p w:rsidR="00895CCF" w:rsidRPr="00860A70" w:rsidRDefault="00895CCF" w:rsidP="00C41B6F">
      <w:r w:rsidRPr="00860A70">
        <w:t xml:space="preserve">Your assessor will determine if you meet the </w:t>
      </w:r>
      <w:r>
        <w:t>assessment requirements</w:t>
      </w:r>
      <w:r w:rsidRPr="00860A70">
        <w:t xml:space="preserve"> (i.e.</w:t>
      </w:r>
      <w:r>
        <w:t xml:space="preserve"> you are</w:t>
      </w:r>
      <w:r w:rsidRPr="00860A70">
        <w:t xml:space="preserve"> </w:t>
      </w:r>
      <w:r w:rsidRPr="002D19DA">
        <w:rPr>
          <w:b/>
        </w:rPr>
        <w:t>competent</w:t>
      </w:r>
      <w:r w:rsidRPr="00860A70">
        <w:t xml:space="preserve">), </w:t>
      </w:r>
      <w:r>
        <w:t>or</w:t>
      </w:r>
      <w:r w:rsidR="00646321">
        <w:t xml:space="preserve"> not </w:t>
      </w:r>
      <w:r w:rsidR="00646321" w:rsidRPr="00860A70">
        <w:t>(i.e.</w:t>
      </w:r>
      <w:r w:rsidR="00646321">
        <w:t xml:space="preserve"> you are</w:t>
      </w:r>
      <w:r w:rsidR="00646321" w:rsidRPr="00860A70">
        <w:t xml:space="preserve"> </w:t>
      </w:r>
      <w:r w:rsidR="00646321" w:rsidRPr="002D19DA">
        <w:rPr>
          <w:b/>
        </w:rPr>
        <w:t>not yet competent</w:t>
      </w:r>
      <w:r w:rsidR="00646321">
        <w:t>)</w:t>
      </w:r>
      <w:r w:rsidR="00BA3539">
        <w:t>. If you are not yet competent</w:t>
      </w:r>
      <w:r w:rsidR="00646321">
        <w:t xml:space="preserve"> </w:t>
      </w:r>
      <w:r w:rsidR="00BA3539">
        <w:t xml:space="preserve">you </w:t>
      </w:r>
      <w:r w:rsidR="00646321">
        <w:t xml:space="preserve">will </w:t>
      </w:r>
      <w:r w:rsidRPr="00860A70">
        <w:t xml:space="preserve">need to undergo further </w:t>
      </w:r>
      <w:r>
        <w:t>training</w:t>
      </w:r>
      <w:r w:rsidRPr="00860A70">
        <w:t xml:space="preserve"> before </w:t>
      </w:r>
      <w:r w:rsidR="00646321">
        <w:t>submitting</w:t>
      </w:r>
      <w:r w:rsidR="00C9050A">
        <w:t xml:space="preserve"> a new</w:t>
      </w:r>
      <w:r w:rsidR="00646321">
        <w:t xml:space="preserve"> recognition kit and enrolment for assessment.</w:t>
      </w:r>
    </w:p>
    <w:p w:rsidR="00895CCF" w:rsidRPr="00860A70" w:rsidRDefault="00895CCF" w:rsidP="00322084">
      <w:pPr>
        <w:pStyle w:val="Heading1"/>
        <w:spacing w:before="0" w:after="120"/>
        <w:ind w:left="567" w:hanging="567"/>
      </w:pPr>
      <w:bookmarkStart w:id="48" w:name="_Toc397529245"/>
      <w:bookmarkStart w:id="49" w:name="_Toc427312615"/>
      <w:bookmarkStart w:id="50" w:name="_Toc503953595"/>
      <w:bookmarkStart w:id="51" w:name="_Toc22810834"/>
      <w:bookmarkStart w:id="52" w:name="_Toc257202396"/>
      <w:r>
        <w:t>How is the assessment result formalised</w:t>
      </w:r>
      <w:r w:rsidRPr="00860A70">
        <w:t>?</w:t>
      </w:r>
      <w:bookmarkEnd w:id="48"/>
      <w:bookmarkEnd w:id="49"/>
      <w:bookmarkEnd w:id="50"/>
      <w:bookmarkEnd w:id="51"/>
    </w:p>
    <w:bookmarkEnd w:id="52"/>
    <w:p w:rsidR="00895CCF" w:rsidRPr="00860A70" w:rsidRDefault="00895CCF" w:rsidP="00C41B6F">
      <w:r w:rsidRPr="00860A70">
        <w:t xml:space="preserve">Your assessor will use the </w:t>
      </w:r>
      <w:r>
        <w:t>a</w:t>
      </w:r>
      <w:r w:rsidRPr="00860A70">
        <w:t xml:space="preserve">ssessment </w:t>
      </w:r>
      <w:r>
        <w:t>r</w:t>
      </w:r>
      <w:r w:rsidRPr="00860A70">
        <w:t xml:space="preserve">ecording </w:t>
      </w:r>
      <w:r>
        <w:t>f</w:t>
      </w:r>
      <w:r w:rsidRPr="00860A70">
        <w:t xml:space="preserve">orm </w:t>
      </w:r>
      <w:r>
        <w:t xml:space="preserve">in the recognition kit </w:t>
      </w:r>
      <w:r w:rsidRPr="00860A70">
        <w:t>to record the assessment result and comments.</w:t>
      </w:r>
      <w:r>
        <w:t xml:space="preserve"> </w:t>
      </w:r>
      <w:r w:rsidRPr="00860A70">
        <w:t xml:space="preserve">This form documents the basis of the assessment decision, the sources of evidence used to judge your competence, </w:t>
      </w:r>
      <w:r w:rsidR="003559DB">
        <w:t>the</w:t>
      </w:r>
      <w:r w:rsidR="003559DB" w:rsidRPr="00860A70">
        <w:t xml:space="preserve"> </w:t>
      </w:r>
      <w:r w:rsidRPr="00860A70">
        <w:t>feedback provided to you and suggestions for further learning and development (if required).</w:t>
      </w:r>
      <w:r>
        <w:t xml:space="preserve"> </w:t>
      </w:r>
      <w:r w:rsidRPr="00860A70">
        <w:t xml:space="preserve">Your assessor will send the completed </w:t>
      </w:r>
      <w:r>
        <w:t>recognition kit</w:t>
      </w:r>
      <w:r w:rsidRPr="00860A70">
        <w:t xml:space="preserve"> to the </w:t>
      </w:r>
      <w:r>
        <w:t xml:space="preserve">NMI </w:t>
      </w:r>
      <w:r w:rsidR="003559DB">
        <w:t>A</w:t>
      </w:r>
      <w:r>
        <w:t>dministrator</w:t>
      </w:r>
      <w:r w:rsidR="003559DB">
        <w:t xml:space="preserve">. The NMI Administrator will officially </w:t>
      </w:r>
      <w:r w:rsidRPr="00860A70">
        <w:t>advise you of your assessment result</w:t>
      </w:r>
      <w:r w:rsidR="003559DB">
        <w:t xml:space="preserve"> via email</w:t>
      </w:r>
      <w:r w:rsidRPr="00860A70">
        <w:t>.</w:t>
      </w:r>
    </w:p>
    <w:p w:rsidR="00895CCF" w:rsidRPr="00860A70" w:rsidRDefault="00895CCF" w:rsidP="00C41B6F">
      <w:r w:rsidRPr="00860A70">
        <w:t xml:space="preserve">The </w:t>
      </w:r>
      <w:r>
        <w:t xml:space="preserve">NMI </w:t>
      </w:r>
      <w:r w:rsidR="00A1174B">
        <w:t>a</w:t>
      </w:r>
      <w:r>
        <w:t>dministrator</w:t>
      </w:r>
      <w:r w:rsidRPr="00860A70">
        <w:t xml:space="preserve"> will</w:t>
      </w:r>
      <w:r>
        <w:t xml:space="preserve">: </w:t>
      </w:r>
    </w:p>
    <w:p w:rsidR="00895CCF" w:rsidRDefault="00895CCF" w:rsidP="00C41B6F">
      <w:pPr>
        <w:pStyle w:val="ListParagraph"/>
        <w:numPr>
          <w:ilvl w:val="0"/>
          <w:numId w:val="13"/>
        </w:numPr>
      </w:pPr>
      <w:r w:rsidRPr="00860A70">
        <w:t xml:space="preserve">email </w:t>
      </w:r>
      <w:r>
        <w:t>your assessmen</w:t>
      </w:r>
      <w:r w:rsidR="00904044">
        <w:t>t result to you</w:t>
      </w:r>
      <w:r w:rsidR="00C9050A">
        <w:t>, your assessor</w:t>
      </w:r>
      <w:r>
        <w:t xml:space="preserve"> and the legal metrology licensing </w:t>
      </w:r>
      <w:r w:rsidR="00B305A0">
        <w:t>team</w:t>
      </w:r>
    </w:p>
    <w:p w:rsidR="00904044" w:rsidRPr="00860A70" w:rsidRDefault="00904044" w:rsidP="00C41B6F">
      <w:pPr>
        <w:pStyle w:val="ListParagraph"/>
        <w:numPr>
          <w:ilvl w:val="0"/>
          <w:numId w:val="13"/>
        </w:numPr>
      </w:pPr>
      <w:r>
        <w:t>email the marked kit and feedback to you</w:t>
      </w:r>
    </w:p>
    <w:p w:rsidR="00895CCF" w:rsidRPr="00860A70" w:rsidRDefault="00895CCF" w:rsidP="00C41B6F">
      <w:pPr>
        <w:pStyle w:val="ListParagraph"/>
        <w:numPr>
          <w:ilvl w:val="0"/>
          <w:numId w:val="13"/>
        </w:numPr>
      </w:pPr>
      <w:proofErr w:type="gramStart"/>
      <w:r w:rsidRPr="00860A70">
        <w:t>issue</w:t>
      </w:r>
      <w:proofErr w:type="gramEnd"/>
      <w:r w:rsidRPr="00860A70">
        <w:t xml:space="preserve"> the </w:t>
      </w:r>
      <w:r>
        <w:t>statement</w:t>
      </w:r>
      <w:r w:rsidR="00B305A0">
        <w:t>(s)</w:t>
      </w:r>
      <w:r>
        <w:t xml:space="preserve"> of attainment</w:t>
      </w:r>
      <w:r w:rsidRPr="00860A70">
        <w:t xml:space="preserve"> for </w:t>
      </w:r>
      <w:r w:rsidR="00904044">
        <w:t xml:space="preserve">the </w:t>
      </w:r>
      <w:r>
        <w:t>unit</w:t>
      </w:r>
      <w:r w:rsidR="00B305A0">
        <w:t>(s)</w:t>
      </w:r>
      <w:r>
        <w:t xml:space="preserve"> of competency</w:t>
      </w:r>
      <w:r w:rsidR="00E370D8">
        <w:t xml:space="preserve">, </w:t>
      </w:r>
      <w:r>
        <w:t>if you</w:t>
      </w:r>
      <w:r w:rsidRPr="00860A70">
        <w:t xml:space="preserve"> have been </w:t>
      </w:r>
      <w:r>
        <w:t>assessed as</w:t>
      </w:r>
      <w:r w:rsidRPr="00860A70">
        <w:t xml:space="preserve"> competent.</w:t>
      </w:r>
    </w:p>
    <w:p w:rsidR="00895CCF" w:rsidRPr="00860A70" w:rsidRDefault="00895CCF" w:rsidP="00C41B6F">
      <w:r w:rsidRPr="00860A70">
        <w:t xml:space="preserve">NMI </w:t>
      </w:r>
      <w:r w:rsidR="00B305A0">
        <w:t>will</w:t>
      </w:r>
      <w:r w:rsidR="00B305A0" w:rsidRPr="00860A70">
        <w:t xml:space="preserve"> </w:t>
      </w:r>
      <w:r w:rsidRPr="00860A70">
        <w:t xml:space="preserve">keep an electronic copy of your completed </w:t>
      </w:r>
      <w:r>
        <w:t>recognition kit</w:t>
      </w:r>
      <w:r w:rsidRPr="00860A70">
        <w:t xml:space="preserve"> together with any relevant feedback.</w:t>
      </w:r>
    </w:p>
    <w:p w:rsidR="00895CCF" w:rsidRPr="001D07D6" w:rsidRDefault="00895CCF" w:rsidP="00C41B6F">
      <w:pPr>
        <w:rPr>
          <w:b/>
        </w:rPr>
      </w:pPr>
      <w:r w:rsidRPr="001D07D6">
        <w:rPr>
          <w:b/>
        </w:rPr>
        <w:t>Notes:</w:t>
      </w:r>
    </w:p>
    <w:p w:rsidR="00895CCF" w:rsidRDefault="00895CCF" w:rsidP="00C41B6F">
      <w:r w:rsidRPr="00020994">
        <w:t>If</w:t>
      </w:r>
      <w:r w:rsidRPr="00860A70">
        <w:t xml:space="preserve"> you disagree with the assessor’s decision and feedback, </w:t>
      </w:r>
      <w:r w:rsidR="00B305A0">
        <w:t>you should contact the NMI Administrator</w:t>
      </w:r>
      <w:r w:rsidR="00BA3539">
        <w:t>.</w:t>
      </w:r>
      <w:r w:rsidR="00B305A0">
        <w:t xml:space="preserve"> See details of our appeals process in the </w:t>
      </w:r>
      <w:hyperlink r:id="rId25" w:anchor="container-5484" w:history="1">
        <w:r w:rsidR="009173B2">
          <w:rPr>
            <w:rStyle w:val="Hyperlink"/>
          </w:rPr>
          <w:t>Participants’ h</w:t>
        </w:r>
        <w:r w:rsidR="00B305A0" w:rsidRPr="00B305A0">
          <w:rPr>
            <w:rStyle w:val="Hyperlink"/>
          </w:rPr>
          <w:t>andbook</w:t>
        </w:r>
      </w:hyperlink>
      <w:r w:rsidR="00B305A0">
        <w:t xml:space="preserve">. </w:t>
      </w:r>
      <w:bookmarkEnd w:id="32"/>
      <w:bookmarkEnd w:id="33"/>
    </w:p>
    <w:p w:rsidR="001045BF" w:rsidRDefault="00895CCF" w:rsidP="00C41B6F">
      <w:r>
        <w:t xml:space="preserve">The assessment process will be cancelled if the </w:t>
      </w:r>
      <w:r w:rsidR="00B305A0">
        <w:t>applic</w:t>
      </w:r>
      <w:r>
        <w:t>ant</w:t>
      </w:r>
      <w:r w:rsidR="001045BF">
        <w:t>:</w:t>
      </w:r>
    </w:p>
    <w:p w:rsidR="001045BF" w:rsidRDefault="00895CCF" w:rsidP="00651F9A">
      <w:pPr>
        <w:pStyle w:val="ListParagraph"/>
        <w:numPr>
          <w:ilvl w:val="0"/>
          <w:numId w:val="21"/>
        </w:numPr>
      </w:pPr>
      <w:r>
        <w:t xml:space="preserve">withdraws by notifying the NMI </w:t>
      </w:r>
      <w:r w:rsidR="00A1174B">
        <w:t>a</w:t>
      </w:r>
      <w:r>
        <w:t>dministrator in writing</w:t>
      </w:r>
    </w:p>
    <w:p w:rsidR="00FD5DE8" w:rsidRDefault="00895CCF" w:rsidP="00651F9A">
      <w:pPr>
        <w:pStyle w:val="ListParagraph"/>
        <w:numPr>
          <w:ilvl w:val="0"/>
          <w:numId w:val="21"/>
        </w:numPr>
      </w:pPr>
      <w:proofErr w:type="gramStart"/>
      <w:r>
        <w:t>has</w:t>
      </w:r>
      <w:proofErr w:type="gramEnd"/>
      <w:r>
        <w:t xml:space="preserve"> not submitted their evidence within </w:t>
      </w:r>
      <w:r w:rsidR="00F51BA1">
        <w:t>six (</w:t>
      </w:r>
      <w:r>
        <w:t>6</w:t>
      </w:r>
      <w:r w:rsidR="00F51BA1">
        <w:t>)</w:t>
      </w:r>
      <w:r>
        <w:t xml:space="preserve"> month</w:t>
      </w:r>
      <w:r w:rsidR="00F51BA1">
        <w:t>s</w:t>
      </w:r>
      <w:r>
        <w:t xml:space="preserve"> from enrolment.</w:t>
      </w:r>
      <w:bookmarkEnd w:id="0"/>
    </w:p>
    <w:sectPr w:rsidR="00FD5DE8" w:rsidSect="00B93605">
      <w:pgSz w:w="11906" w:h="16838"/>
      <w:pgMar w:top="851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E37" w:rsidRDefault="008C5E37" w:rsidP="00B526AB">
      <w:pPr>
        <w:spacing w:after="0" w:line="240" w:lineRule="auto"/>
      </w:pPr>
      <w:r>
        <w:separator/>
      </w:r>
    </w:p>
  </w:endnote>
  <w:endnote w:type="continuationSeparator" w:id="0">
    <w:p w:rsidR="008C5E37" w:rsidRDefault="008C5E37" w:rsidP="00B526AB">
      <w:pPr>
        <w:spacing w:after="0" w:line="240" w:lineRule="auto"/>
      </w:pPr>
      <w:r>
        <w:continuationSeparator/>
      </w:r>
    </w:p>
  </w:endnote>
  <w:endnote w:type="continuationNotice" w:id="1">
    <w:p w:rsidR="008C5E37" w:rsidRDefault="008C5E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806" w:rsidRDefault="00585806" w:rsidP="00B4447D">
    <w:pPr>
      <w:pStyle w:val="Footer"/>
      <w:ind w:hanging="851"/>
    </w:pP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10C9ACD2" wp14:editId="6B17182E">
          <wp:simplePos x="0" y="0"/>
          <wp:positionH relativeFrom="page">
            <wp:align>right</wp:align>
          </wp:positionH>
          <wp:positionV relativeFrom="paragraph">
            <wp:posOffset>153035</wp:posOffset>
          </wp:positionV>
          <wp:extent cx="7560000" cy="521064"/>
          <wp:effectExtent l="0" t="0" r="3175" b="0"/>
          <wp:wrapNone/>
          <wp:docPr id="8" name="Picture 8" descr="Report footer with URL" title="measurement.gov.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partmental_Word_footer_MAS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210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34EA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DC6" w:rsidRDefault="001A2DC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4EA" w:rsidRDefault="004134EA" w:rsidP="00AB721E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7728" behindDoc="1" locked="0" layoutInCell="1" allowOverlap="1" wp14:anchorId="7C63C56F" wp14:editId="20F4E266">
          <wp:simplePos x="0" y="0"/>
          <wp:positionH relativeFrom="page">
            <wp:align>right</wp:align>
          </wp:positionH>
          <wp:positionV relativeFrom="paragraph">
            <wp:posOffset>153035</wp:posOffset>
          </wp:positionV>
          <wp:extent cx="7560000" cy="521064"/>
          <wp:effectExtent l="0" t="0" r="3175" b="0"/>
          <wp:wrapNone/>
          <wp:docPr id="9" name="Picture 9" descr="Report footer with URL" title="measurement.gov.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partmental_Word_footer_MAS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210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21E" w:rsidRDefault="00AB721E" w:rsidP="00AB721E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0800" behindDoc="1" locked="0" layoutInCell="1" allowOverlap="1" wp14:anchorId="3DE0C229" wp14:editId="1A74DD74">
          <wp:simplePos x="0" y="0"/>
          <wp:positionH relativeFrom="page">
            <wp:align>left</wp:align>
          </wp:positionH>
          <wp:positionV relativeFrom="paragraph">
            <wp:posOffset>159385</wp:posOffset>
          </wp:positionV>
          <wp:extent cx="7560000" cy="521064"/>
          <wp:effectExtent l="0" t="0" r="3175" b="0"/>
          <wp:wrapNone/>
          <wp:docPr id="1" name="Picture 1" descr="Report footer with URL" title="measurement.gov.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partmental_Word_footer_MAS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210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RKI Verifier</w:t>
    </w:r>
    <w:r w:rsidR="0001122E">
      <w:t>s and weighbridge operators V6.0</w:t>
    </w:r>
    <w:r>
      <w:t xml:space="preserve">                                                                                 Page </w:t>
    </w:r>
    <w:r>
      <w:fldChar w:fldCharType="begin"/>
    </w:r>
    <w:r>
      <w:instrText xml:space="preserve"> PAGE   \* MERGEFORMAT </w:instrText>
    </w:r>
    <w:r>
      <w:fldChar w:fldCharType="separate"/>
    </w:r>
    <w:r w:rsidR="0001122E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E37" w:rsidRDefault="008C5E37" w:rsidP="00B526AB">
      <w:pPr>
        <w:spacing w:after="0" w:line="240" w:lineRule="auto"/>
      </w:pPr>
      <w:r>
        <w:separator/>
      </w:r>
    </w:p>
  </w:footnote>
  <w:footnote w:type="continuationSeparator" w:id="0">
    <w:p w:rsidR="008C5E37" w:rsidRDefault="008C5E37" w:rsidP="00B526AB">
      <w:pPr>
        <w:spacing w:after="0" w:line="240" w:lineRule="auto"/>
      </w:pPr>
      <w:r>
        <w:continuationSeparator/>
      </w:r>
    </w:p>
  </w:footnote>
  <w:footnote w:type="continuationNotice" w:id="1">
    <w:p w:rsidR="008C5E37" w:rsidRDefault="008C5E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680" w:rsidRDefault="0001122E">
    <w:pPr>
      <w:pStyle w:val="Header"/>
    </w:pPr>
    <w:r>
      <w:rPr>
        <w:noProof/>
        <w:lang w:eastAsia="en-A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1pt;height:99.5pt">
          <v:imagedata r:id="rId1" o:title="DISR_NMI_inline_CMYK 0- THIS ONE FOR RK'S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680" w:rsidRDefault="00CB26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680" w:rsidRDefault="00CB26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36FD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7CD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82E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2EF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56CB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7456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5899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F05DB2"/>
    <w:lvl w:ilvl="0">
      <w:start w:val="1"/>
      <w:numFmt w:val="bullet"/>
      <w:pStyle w:val="ListBullet2"/>
      <w:lvlText w:val=""/>
      <w:lvlJc w:val="left"/>
      <w:pPr>
        <w:ind w:left="644" w:hanging="360"/>
      </w:pPr>
      <w:rPr>
        <w:rFonts w:ascii="Symbol" w:hAnsi="Symbol" w:hint="default"/>
        <w:b/>
        <w:i w:val="0"/>
        <w:color w:val="A6192E" w:themeColor="accent1"/>
      </w:rPr>
    </w:lvl>
  </w:abstractNum>
  <w:abstractNum w:abstractNumId="8" w15:restartNumberingAfterBreak="0">
    <w:nsid w:val="FFFFFF88"/>
    <w:multiLevelType w:val="singleLevel"/>
    <w:tmpl w:val="9350D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A1AA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6192E" w:themeColor="accent1"/>
      </w:rPr>
    </w:lvl>
  </w:abstractNum>
  <w:abstractNum w:abstractNumId="10" w15:restartNumberingAfterBreak="0">
    <w:nsid w:val="0C4C6204"/>
    <w:multiLevelType w:val="hybridMultilevel"/>
    <w:tmpl w:val="D75CA17C"/>
    <w:lvl w:ilvl="0" w:tplc="09AA160A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b/>
        <w:i w:val="0"/>
        <w:color w:val="572D2D" w:themeColor="accent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F54E03"/>
    <w:multiLevelType w:val="hybridMultilevel"/>
    <w:tmpl w:val="2D22F25A"/>
    <w:lvl w:ilvl="0" w:tplc="0C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2" w15:restartNumberingAfterBreak="0">
    <w:nsid w:val="2CFF6C20"/>
    <w:multiLevelType w:val="hybridMultilevel"/>
    <w:tmpl w:val="86C22B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B7A83"/>
    <w:multiLevelType w:val="hybridMultilevel"/>
    <w:tmpl w:val="9CFE43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C02AE5"/>
    <w:multiLevelType w:val="hybridMultilevel"/>
    <w:tmpl w:val="BF84A7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8C3421"/>
    <w:multiLevelType w:val="hybridMultilevel"/>
    <w:tmpl w:val="0CFED4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33D40"/>
    <w:multiLevelType w:val="hybridMultilevel"/>
    <w:tmpl w:val="1CD6BA1E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" w15:restartNumberingAfterBreak="0">
    <w:nsid w:val="6B433B90"/>
    <w:multiLevelType w:val="hybridMultilevel"/>
    <w:tmpl w:val="962CA3C8"/>
    <w:lvl w:ilvl="0" w:tplc="0C090017">
      <w:start w:val="1"/>
      <w:numFmt w:val="lowerLetter"/>
      <w:lvlText w:val="%1)"/>
      <w:lvlJc w:val="left"/>
      <w:pPr>
        <w:ind w:left="770" w:hanging="360"/>
      </w:pPr>
    </w:lvl>
    <w:lvl w:ilvl="1" w:tplc="0C090019" w:tentative="1">
      <w:start w:val="1"/>
      <w:numFmt w:val="lowerLetter"/>
      <w:lvlText w:val="%2."/>
      <w:lvlJc w:val="left"/>
      <w:pPr>
        <w:ind w:left="1490" w:hanging="360"/>
      </w:pPr>
    </w:lvl>
    <w:lvl w:ilvl="2" w:tplc="0C09001B" w:tentative="1">
      <w:start w:val="1"/>
      <w:numFmt w:val="lowerRoman"/>
      <w:lvlText w:val="%3."/>
      <w:lvlJc w:val="right"/>
      <w:pPr>
        <w:ind w:left="2210" w:hanging="180"/>
      </w:pPr>
    </w:lvl>
    <w:lvl w:ilvl="3" w:tplc="0C09000F" w:tentative="1">
      <w:start w:val="1"/>
      <w:numFmt w:val="decimal"/>
      <w:lvlText w:val="%4."/>
      <w:lvlJc w:val="left"/>
      <w:pPr>
        <w:ind w:left="2930" w:hanging="360"/>
      </w:pPr>
    </w:lvl>
    <w:lvl w:ilvl="4" w:tplc="0C090019" w:tentative="1">
      <w:start w:val="1"/>
      <w:numFmt w:val="lowerLetter"/>
      <w:lvlText w:val="%5."/>
      <w:lvlJc w:val="left"/>
      <w:pPr>
        <w:ind w:left="3650" w:hanging="360"/>
      </w:pPr>
    </w:lvl>
    <w:lvl w:ilvl="5" w:tplc="0C09001B" w:tentative="1">
      <w:start w:val="1"/>
      <w:numFmt w:val="lowerRoman"/>
      <w:lvlText w:val="%6."/>
      <w:lvlJc w:val="right"/>
      <w:pPr>
        <w:ind w:left="4370" w:hanging="180"/>
      </w:pPr>
    </w:lvl>
    <w:lvl w:ilvl="6" w:tplc="0C09000F" w:tentative="1">
      <w:start w:val="1"/>
      <w:numFmt w:val="decimal"/>
      <w:lvlText w:val="%7."/>
      <w:lvlJc w:val="left"/>
      <w:pPr>
        <w:ind w:left="5090" w:hanging="360"/>
      </w:pPr>
    </w:lvl>
    <w:lvl w:ilvl="7" w:tplc="0C090019" w:tentative="1">
      <w:start w:val="1"/>
      <w:numFmt w:val="lowerLetter"/>
      <w:lvlText w:val="%8."/>
      <w:lvlJc w:val="left"/>
      <w:pPr>
        <w:ind w:left="5810" w:hanging="360"/>
      </w:pPr>
    </w:lvl>
    <w:lvl w:ilvl="8" w:tplc="0C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8" w15:restartNumberingAfterBreak="0">
    <w:nsid w:val="6D1508C2"/>
    <w:multiLevelType w:val="hybridMultilevel"/>
    <w:tmpl w:val="3762250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14B1055"/>
    <w:multiLevelType w:val="hybridMultilevel"/>
    <w:tmpl w:val="9F68F1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3"/>
  </w:num>
  <w:num w:numId="13">
    <w:abstractNumId w:val="12"/>
  </w:num>
  <w:num w:numId="14">
    <w:abstractNumId w:val="14"/>
  </w:num>
  <w:num w:numId="15">
    <w:abstractNumId w:val="16"/>
  </w:num>
  <w:num w:numId="16">
    <w:abstractNumId w:val="10"/>
  </w:num>
  <w:num w:numId="17">
    <w:abstractNumId w:val="10"/>
    <w:lvlOverride w:ilvl="0">
      <w:startOverride w:val="1"/>
    </w:lvlOverride>
  </w:num>
  <w:num w:numId="18">
    <w:abstractNumId w:val="17"/>
  </w:num>
  <w:num w:numId="19">
    <w:abstractNumId w:val="19"/>
  </w:num>
  <w:num w:numId="20">
    <w:abstractNumId w:val="1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253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60"/>
    <w:rsid w:val="00003316"/>
    <w:rsid w:val="00010FD2"/>
    <w:rsid w:val="0001122E"/>
    <w:rsid w:val="000117D4"/>
    <w:rsid w:val="000210F3"/>
    <w:rsid w:val="0003759B"/>
    <w:rsid w:val="00042039"/>
    <w:rsid w:val="00043563"/>
    <w:rsid w:val="000B48EC"/>
    <w:rsid w:val="000D2B10"/>
    <w:rsid w:val="000D7478"/>
    <w:rsid w:val="000E1ABC"/>
    <w:rsid w:val="000F28FE"/>
    <w:rsid w:val="001045BF"/>
    <w:rsid w:val="00143630"/>
    <w:rsid w:val="00163B54"/>
    <w:rsid w:val="001658B0"/>
    <w:rsid w:val="00166330"/>
    <w:rsid w:val="0017402D"/>
    <w:rsid w:val="001745CC"/>
    <w:rsid w:val="001A25AE"/>
    <w:rsid w:val="001A2DC6"/>
    <w:rsid w:val="001B3AF8"/>
    <w:rsid w:val="001B5EDF"/>
    <w:rsid w:val="001C13F6"/>
    <w:rsid w:val="001C4B99"/>
    <w:rsid w:val="001F18B6"/>
    <w:rsid w:val="001F6C8D"/>
    <w:rsid w:val="001F72F9"/>
    <w:rsid w:val="0022001F"/>
    <w:rsid w:val="002300AC"/>
    <w:rsid w:val="00244596"/>
    <w:rsid w:val="00263E00"/>
    <w:rsid w:val="002B57BF"/>
    <w:rsid w:val="002B62AE"/>
    <w:rsid w:val="002D2FED"/>
    <w:rsid w:val="002D3954"/>
    <w:rsid w:val="002D663F"/>
    <w:rsid w:val="002E1304"/>
    <w:rsid w:val="002E14EA"/>
    <w:rsid w:val="002E201E"/>
    <w:rsid w:val="002F65AF"/>
    <w:rsid w:val="00304F04"/>
    <w:rsid w:val="00305764"/>
    <w:rsid w:val="00306686"/>
    <w:rsid w:val="00322084"/>
    <w:rsid w:val="00333AD3"/>
    <w:rsid w:val="003559DB"/>
    <w:rsid w:val="00367755"/>
    <w:rsid w:val="0038442D"/>
    <w:rsid w:val="0039360E"/>
    <w:rsid w:val="003A57EE"/>
    <w:rsid w:val="003C3FE7"/>
    <w:rsid w:val="003C7E01"/>
    <w:rsid w:val="003E2B24"/>
    <w:rsid w:val="003E6D1D"/>
    <w:rsid w:val="003E7509"/>
    <w:rsid w:val="004009FF"/>
    <w:rsid w:val="00402E42"/>
    <w:rsid w:val="00406EB3"/>
    <w:rsid w:val="00407ECA"/>
    <w:rsid w:val="004111E9"/>
    <w:rsid w:val="004134EA"/>
    <w:rsid w:val="004155C0"/>
    <w:rsid w:val="00431FE4"/>
    <w:rsid w:val="00436B60"/>
    <w:rsid w:val="00446382"/>
    <w:rsid w:val="00452BA6"/>
    <w:rsid w:val="00466073"/>
    <w:rsid w:val="0046677E"/>
    <w:rsid w:val="00472BC6"/>
    <w:rsid w:val="00493EBA"/>
    <w:rsid w:val="004A019A"/>
    <w:rsid w:val="004A3232"/>
    <w:rsid w:val="004B5030"/>
    <w:rsid w:val="004B76B8"/>
    <w:rsid w:val="004C5968"/>
    <w:rsid w:val="004D380C"/>
    <w:rsid w:val="0050081C"/>
    <w:rsid w:val="0051281F"/>
    <w:rsid w:val="00556BE6"/>
    <w:rsid w:val="005642F2"/>
    <w:rsid w:val="00585806"/>
    <w:rsid w:val="005B6110"/>
    <w:rsid w:val="005D0228"/>
    <w:rsid w:val="005D5FCC"/>
    <w:rsid w:val="005F1934"/>
    <w:rsid w:val="005F2EDE"/>
    <w:rsid w:val="00602C92"/>
    <w:rsid w:val="00644504"/>
    <w:rsid w:val="00646321"/>
    <w:rsid w:val="00651F9A"/>
    <w:rsid w:val="0067103F"/>
    <w:rsid w:val="00674141"/>
    <w:rsid w:val="00681038"/>
    <w:rsid w:val="006A45BF"/>
    <w:rsid w:val="006C2852"/>
    <w:rsid w:val="00715AE1"/>
    <w:rsid w:val="00717263"/>
    <w:rsid w:val="0072101D"/>
    <w:rsid w:val="00723B30"/>
    <w:rsid w:val="00725E8E"/>
    <w:rsid w:val="007359BD"/>
    <w:rsid w:val="00754739"/>
    <w:rsid w:val="0076249D"/>
    <w:rsid w:val="00763CA2"/>
    <w:rsid w:val="0079454D"/>
    <w:rsid w:val="007C0F47"/>
    <w:rsid w:val="007D61E8"/>
    <w:rsid w:val="007F182C"/>
    <w:rsid w:val="00807FD1"/>
    <w:rsid w:val="00815344"/>
    <w:rsid w:val="00822068"/>
    <w:rsid w:val="00850038"/>
    <w:rsid w:val="0088639D"/>
    <w:rsid w:val="00895CCF"/>
    <w:rsid w:val="008C395C"/>
    <w:rsid w:val="008C5E37"/>
    <w:rsid w:val="008E68FB"/>
    <w:rsid w:val="009002E4"/>
    <w:rsid w:val="00904044"/>
    <w:rsid w:val="009049CE"/>
    <w:rsid w:val="009114F6"/>
    <w:rsid w:val="009155D2"/>
    <w:rsid w:val="009173B2"/>
    <w:rsid w:val="00921A88"/>
    <w:rsid w:val="00956813"/>
    <w:rsid w:val="00965CE4"/>
    <w:rsid w:val="00975726"/>
    <w:rsid w:val="00991FDD"/>
    <w:rsid w:val="009A0EF0"/>
    <w:rsid w:val="009B35E0"/>
    <w:rsid w:val="009D1260"/>
    <w:rsid w:val="009D7BB6"/>
    <w:rsid w:val="009F66A5"/>
    <w:rsid w:val="00A1174B"/>
    <w:rsid w:val="00A24337"/>
    <w:rsid w:val="00A51E16"/>
    <w:rsid w:val="00A54970"/>
    <w:rsid w:val="00A56522"/>
    <w:rsid w:val="00A56A0E"/>
    <w:rsid w:val="00A618B7"/>
    <w:rsid w:val="00A82BE4"/>
    <w:rsid w:val="00A85BA1"/>
    <w:rsid w:val="00A95CD6"/>
    <w:rsid w:val="00AB721E"/>
    <w:rsid w:val="00AC6606"/>
    <w:rsid w:val="00AC722B"/>
    <w:rsid w:val="00AD5B1D"/>
    <w:rsid w:val="00B1479C"/>
    <w:rsid w:val="00B214FC"/>
    <w:rsid w:val="00B2690A"/>
    <w:rsid w:val="00B305A0"/>
    <w:rsid w:val="00B37465"/>
    <w:rsid w:val="00B42764"/>
    <w:rsid w:val="00B4447D"/>
    <w:rsid w:val="00B4633E"/>
    <w:rsid w:val="00B526AB"/>
    <w:rsid w:val="00B752A2"/>
    <w:rsid w:val="00B82963"/>
    <w:rsid w:val="00B83001"/>
    <w:rsid w:val="00B93605"/>
    <w:rsid w:val="00B979BC"/>
    <w:rsid w:val="00BA3539"/>
    <w:rsid w:val="00BB4F91"/>
    <w:rsid w:val="00BC76A3"/>
    <w:rsid w:val="00C002E3"/>
    <w:rsid w:val="00C13A27"/>
    <w:rsid w:val="00C15ADD"/>
    <w:rsid w:val="00C3797B"/>
    <w:rsid w:val="00C41B6F"/>
    <w:rsid w:val="00C45CB1"/>
    <w:rsid w:val="00C553DB"/>
    <w:rsid w:val="00C6428E"/>
    <w:rsid w:val="00C75224"/>
    <w:rsid w:val="00C9050A"/>
    <w:rsid w:val="00C933E1"/>
    <w:rsid w:val="00CA42F1"/>
    <w:rsid w:val="00CA558B"/>
    <w:rsid w:val="00CB12FB"/>
    <w:rsid w:val="00CB2680"/>
    <w:rsid w:val="00CC2DCE"/>
    <w:rsid w:val="00CC7875"/>
    <w:rsid w:val="00CD5D46"/>
    <w:rsid w:val="00CF5214"/>
    <w:rsid w:val="00D1729E"/>
    <w:rsid w:val="00D426EC"/>
    <w:rsid w:val="00D536E0"/>
    <w:rsid w:val="00D57C05"/>
    <w:rsid w:val="00D81412"/>
    <w:rsid w:val="00D87BC8"/>
    <w:rsid w:val="00DE0D22"/>
    <w:rsid w:val="00E04D31"/>
    <w:rsid w:val="00E22C63"/>
    <w:rsid w:val="00E370D8"/>
    <w:rsid w:val="00E5482B"/>
    <w:rsid w:val="00E66541"/>
    <w:rsid w:val="00E72774"/>
    <w:rsid w:val="00EB063E"/>
    <w:rsid w:val="00EB224B"/>
    <w:rsid w:val="00EB27F9"/>
    <w:rsid w:val="00ED17D8"/>
    <w:rsid w:val="00EF6BC7"/>
    <w:rsid w:val="00F11C75"/>
    <w:rsid w:val="00F25F29"/>
    <w:rsid w:val="00F51BA1"/>
    <w:rsid w:val="00F86285"/>
    <w:rsid w:val="00F940D3"/>
    <w:rsid w:val="00F94218"/>
    <w:rsid w:val="00FA6B19"/>
    <w:rsid w:val="00FC43B3"/>
    <w:rsid w:val="00FC70DE"/>
    <w:rsid w:val="00FD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6AB"/>
    <w:pPr>
      <w:spacing w:after="12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2BC6"/>
    <w:pPr>
      <w:keepNext/>
      <w:keepLines/>
      <w:numPr>
        <w:numId w:val="1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C1222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2B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C1222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20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A6192E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2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6192E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22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20C16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572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75726"/>
    <w:rPr>
      <w:rFonts w:asciiTheme="majorHAnsi" w:eastAsiaTheme="majorEastAsia" w:hAnsiTheme="majorHAnsi" w:cstheme="majorBidi"/>
      <w:b/>
      <w:bCs/>
      <w:color w:val="7C1222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72BC6"/>
    <w:rPr>
      <w:rFonts w:asciiTheme="majorHAnsi" w:eastAsiaTheme="majorEastAsia" w:hAnsiTheme="majorHAnsi" w:cstheme="majorBidi"/>
      <w:b/>
      <w:bCs/>
      <w:color w:val="7C1222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F6BC7"/>
    <w:pPr>
      <w:spacing w:before="8880" w:after="480" w:line="240" w:lineRule="auto"/>
      <w:contextualSpacing/>
    </w:pPr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6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6BC7"/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6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934"/>
    <w:pPr>
      <w:numPr>
        <w:ilvl w:val="1"/>
      </w:numPr>
    </w:pPr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1934"/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styleId="Emphasis">
    <w:name w:val="Emphasis"/>
    <w:basedOn w:val="DefaultParagraphFont"/>
    <w:uiPriority w:val="20"/>
    <w:qFormat/>
    <w:rsid w:val="00975726"/>
    <w:rPr>
      <w:i/>
      <w:iCs/>
    </w:rPr>
  </w:style>
  <w:style w:type="character" w:styleId="Strong">
    <w:name w:val="Strong"/>
    <w:basedOn w:val="DefaultParagraphFont"/>
    <w:uiPriority w:val="22"/>
    <w:qFormat/>
    <w:rsid w:val="00975726"/>
    <w:rPr>
      <w:b/>
      <w:bCs/>
    </w:rPr>
  </w:style>
  <w:style w:type="character" w:styleId="Hyperlink">
    <w:name w:val="Hyperlink"/>
    <w:basedOn w:val="DefaultParagraphFont"/>
    <w:uiPriority w:val="99"/>
    <w:unhideWhenUsed/>
    <w:rsid w:val="00822068"/>
    <w:rPr>
      <w:color w:val="005677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22068"/>
    <w:rPr>
      <w:rFonts w:asciiTheme="majorHAnsi" w:eastAsiaTheme="majorEastAsia" w:hAnsiTheme="majorHAnsi" w:cstheme="majorBidi"/>
      <w:b/>
      <w:bCs/>
      <w:color w:val="A6192E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22068"/>
    <w:rPr>
      <w:rFonts w:asciiTheme="majorHAnsi" w:eastAsiaTheme="majorEastAsia" w:hAnsiTheme="majorHAnsi" w:cstheme="majorBidi"/>
      <w:b/>
      <w:bCs/>
      <w:i/>
      <w:iCs/>
      <w:color w:val="A6192E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22068"/>
    <w:rPr>
      <w:rFonts w:asciiTheme="majorHAnsi" w:eastAsiaTheme="majorEastAsia" w:hAnsiTheme="majorHAnsi" w:cstheme="majorBidi"/>
      <w:color w:val="520C16" w:themeColor="accent1" w:themeShade="7F"/>
      <w:sz w:val="20"/>
    </w:rPr>
  </w:style>
  <w:style w:type="table" w:styleId="TableGrid">
    <w:name w:val="Table Grid"/>
    <w:basedOn w:val="TableNormal"/>
    <w:uiPriority w:val="59"/>
    <w:rsid w:val="00822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A6192E" w:themeColor="accent1"/>
        <w:left w:val="single" w:sz="8" w:space="0" w:color="A6192E" w:themeColor="accent1"/>
        <w:bottom w:val="single" w:sz="8" w:space="0" w:color="A6192E" w:themeColor="accent1"/>
        <w:right w:val="single" w:sz="8" w:space="0" w:color="A6192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192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192E" w:themeColor="accent1"/>
          <w:left w:val="single" w:sz="8" w:space="0" w:color="A6192E" w:themeColor="accent1"/>
          <w:bottom w:val="single" w:sz="8" w:space="0" w:color="A6192E" w:themeColor="accent1"/>
          <w:right w:val="single" w:sz="8" w:space="0" w:color="A619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192E" w:themeColor="accent1"/>
          <w:left w:val="single" w:sz="8" w:space="0" w:color="A6192E" w:themeColor="accent1"/>
          <w:bottom w:val="single" w:sz="8" w:space="0" w:color="A6192E" w:themeColor="accent1"/>
          <w:right w:val="single" w:sz="8" w:space="0" w:color="A6192E" w:themeColor="accent1"/>
        </w:tcBorders>
      </w:tcPr>
    </w:tblStylePr>
    <w:tblStylePr w:type="band1Horz">
      <w:tblPr/>
      <w:tcPr>
        <w:tcBorders>
          <w:top w:val="single" w:sz="8" w:space="0" w:color="A6192E" w:themeColor="accent1"/>
          <w:left w:val="single" w:sz="8" w:space="0" w:color="A6192E" w:themeColor="accent1"/>
          <w:bottom w:val="single" w:sz="8" w:space="0" w:color="A6192E" w:themeColor="accent1"/>
          <w:right w:val="single" w:sz="8" w:space="0" w:color="A6192E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572D2D" w:themeColor="accent2"/>
        <w:left w:val="single" w:sz="8" w:space="0" w:color="572D2D" w:themeColor="accent2"/>
        <w:bottom w:val="single" w:sz="8" w:space="0" w:color="572D2D" w:themeColor="accent2"/>
        <w:right w:val="single" w:sz="8" w:space="0" w:color="572D2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72D2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2D2D" w:themeColor="accent2"/>
          <w:left w:val="single" w:sz="8" w:space="0" w:color="572D2D" w:themeColor="accent2"/>
          <w:bottom w:val="single" w:sz="8" w:space="0" w:color="572D2D" w:themeColor="accent2"/>
          <w:right w:val="single" w:sz="8" w:space="0" w:color="572D2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72D2D" w:themeColor="accent2"/>
          <w:left w:val="single" w:sz="8" w:space="0" w:color="572D2D" w:themeColor="accent2"/>
          <w:bottom w:val="single" w:sz="8" w:space="0" w:color="572D2D" w:themeColor="accent2"/>
          <w:right w:val="single" w:sz="8" w:space="0" w:color="572D2D" w:themeColor="accent2"/>
        </w:tcBorders>
      </w:tcPr>
    </w:tblStylePr>
    <w:tblStylePr w:type="band1Horz">
      <w:tblPr/>
      <w:tcPr>
        <w:tcBorders>
          <w:top w:val="single" w:sz="8" w:space="0" w:color="572D2D" w:themeColor="accent2"/>
          <w:left w:val="single" w:sz="8" w:space="0" w:color="572D2D" w:themeColor="accent2"/>
          <w:bottom w:val="single" w:sz="8" w:space="0" w:color="572D2D" w:themeColor="accent2"/>
          <w:right w:val="single" w:sz="8" w:space="0" w:color="572D2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71CC98" w:themeColor="accent3"/>
        <w:left w:val="single" w:sz="8" w:space="0" w:color="71CC98" w:themeColor="accent3"/>
        <w:bottom w:val="single" w:sz="8" w:space="0" w:color="71CC98" w:themeColor="accent3"/>
        <w:right w:val="single" w:sz="8" w:space="0" w:color="71CC9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CC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C98" w:themeColor="accent3"/>
          <w:left w:val="single" w:sz="8" w:space="0" w:color="71CC98" w:themeColor="accent3"/>
          <w:bottom w:val="single" w:sz="8" w:space="0" w:color="71CC98" w:themeColor="accent3"/>
          <w:right w:val="single" w:sz="8" w:space="0" w:color="71CC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CC98" w:themeColor="accent3"/>
          <w:left w:val="single" w:sz="8" w:space="0" w:color="71CC98" w:themeColor="accent3"/>
          <w:bottom w:val="single" w:sz="8" w:space="0" w:color="71CC98" w:themeColor="accent3"/>
          <w:right w:val="single" w:sz="8" w:space="0" w:color="71CC98" w:themeColor="accent3"/>
        </w:tcBorders>
      </w:tcPr>
    </w:tblStylePr>
    <w:tblStylePr w:type="band1Horz">
      <w:tblPr/>
      <w:tcPr>
        <w:tcBorders>
          <w:top w:val="single" w:sz="8" w:space="0" w:color="71CC98" w:themeColor="accent3"/>
          <w:left w:val="single" w:sz="8" w:space="0" w:color="71CC98" w:themeColor="accent3"/>
          <w:bottom w:val="single" w:sz="8" w:space="0" w:color="71CC98" w:themeColor="accent3"/>
          <w:right w:val="single" w:sz="8" w:space="0" w:color="71CC98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B7B09C" w:themeColor="accent4"/>
        <w:left w:val="single" w:sz="8" w:space="0" w:color="B7B09C" w:themeColor="accent4"/>
        <w:bottom w:val="single" w:sz="8" w:space="0" w:color="B7B09C" w:themeColor="accent4"/>
        <w:right w:val="single" w:sz="8" w:space="0" w:color="B7B09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B09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B09C" w:themeColor="accent4"/>
          <w:left w:val="single" w:sz="8" w:space="0" w:color="B7B09C" w:themeColor="accent4"/>
          <w:bottom w:val="single" w:sz="8" w:space="0" w:color="B7B09C" w:themeColor="accent4"/>
          <w:right w:val="single" w:sz="8" w:space="0" w:color="B7B09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B09C" w:themeColor="accent4"/>
          <w:left w:val="single" w:sz="8" w:space="0" w:color="B7B09C" w:themeColor="accent4"/>
          <w:bottom w:val="single" w:sz="8" w:space="0" w:color="B7B09C" w:themeColor="accent4"/>
          <w:right w:val="single" w:sz="8" w:space="0" w:color="B7B09C" w:themeColor="accent4"/>
        </w:tcBorders>
      </w:tcPr>
    </w:tblStylePr>
    <w:tblStylePr w:type="band1Horz">
      <w:tblPr/>
      <w:tcPr>
        <w:tcBorders>
          <w:top w:val="single" w:sz="8" w:space="0" w:color="B7B09C" w:themeColor="accent4"/>
          <w:left w:val="single" w:sz="8" w:space="0" w:color="B7B09C" w:themeColor="accent4"/>
          <w:bottom w:val="single" w:sz="8" w:space="0" w:color="B7B09C" w:themeColor="accent4"/>
          <w:right w:val="single" w:sz="8" w:space="0" w:color="B7B09C" w:themeColor="accent4"/>
        </w:tcBorders>
      </w:tcPr>
    </w:tblStylePr>
  </w:style>
  <w:style w:type="table" w:customStyle="1" w:styleId="Style1">
    <w:name w:val="Style1"/>
    <w:basedOn w:val="TableNormal"/>
    <w:uiPriority w:val="99"/>
    <w:rsid w:val="002E14EA"/>
    <w:pPr>
      <w:spacing w:after="0" w:line="240" w:lineRule="auto"/>
    </w:pPr>
    <w:rPr>
      <w:rFonts w:ascii="Arial" w:hAnsi="Arial"/>
      <w:color w:val="000000" w:themeColor="text1"/>
      <w:sz w:val="20"/>
    </w:rPr>
    <w:tblPr>
      <w:tblBorders>
        <w:bottom w:val="single" w:sz="2" w:space="0" w:color="A6192E" w:themeColor="accent1"/>
        <w:insideH w:val="single" w:sz="2" w:space="0" w:color="A6192E" w:themeColor="accent1"/>
      </w:tblBorders>
      <w:tblCellMar>
        <w:top w:w="85" w:type="dxa"/>
        <w:bottom w:w="85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A6192E" w:themeFill="accent1"/>
      </w:tcPr>
    </w:tblStylePr>
    <w:tblStylePr w:type="lastRow">
      <w:pPr>
        <w:jc w:val="left"/>
      </w:pPr>
      <w:rPr>
        <w:rFonts w:ascii="Arial" w:hAnsi="Arial"/>
        <w:b/>
      </w:rPr>
    </w:tblStylePr>
    <w:tblStylePr w:type="firstCol">
      <w:rPr>
        <w:b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B2680"/>
    <w:pPr>
      <w:numPr>
        <w:numId w:val="0"/>
      </w:numPr>
      <w:spacing w:before="0" w:after="240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3B54"/>
    <w:pPr>
      <w:spacing w:after="100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D61E8"/>
    <w:pPr>
      <w:tabs>
        <w:tab w:val="right" w:leader="dot" w:pos="9016"/>
      </w:tabs>
      <w:spacing w:after="100"/>
      <w:ind w:left="709"/>
    </w:pPr>
    <w:rPr>
      <w:color w:val="58595B" w:themeColor="text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E14EA"/>
    <w:pPr>
      <w:spacing w:after="100"/>
      <w:ind w:left="4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EA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9D7BB6"/>
    <w:pPr>
      <w:numPr>
        <w:numId w:val="1"/>
      </w:numPr>
      <w:ind w:left="284" w:hanging="284"/>
      <w:contextualSpacing/>
    </w:pPr>
  </w:style>
  <w:style w:type="paragraph" w:styleId="ListBullet2">
    <w:name w:val="List Bullet 2"/>
    <w:basedOn w:val="Normal"/>
    <w:uiPriority w:val="99"/>
    <w:unhideWhenUsed/>
    <w:rsid w:val="002F65AF"/>
    <w:pPr>
      <w:numPr>
        <w:numId w:val="2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D7BB6"/>
    <w:pPr>
      <w:pBdr>
        <w:top w:val="single" w:sz="4" w:space="1" w:color="71CC98" w:themeColor="accent3"/>
        <w:bottom w:val="single" w:sz="4" w:space="1" w:color="71CC98" w:themeColor="accent3"/>
      </w:pBdr>
      <w:spacing w:before="240" w:after="240"/>
    </w:pPr>
    <w:rPr>
      <w:i/>
      <w:iCs/>
      <w:color w:val="A6192E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9D7BB6"/>
    <w:rPr>
      <w:i/>
      <w:iCs/>
      <w:color w:val="A6192E" w:themeColor="accent1"/>
      <w:sz w:val="24"/>
    </w:rPr>
  </w:style>
  <w:style w:type="character" w:styleId="SubtleEmphasis">
    <w:name w:val="Subtle Emphasis"/>
    <w:basedOn w:val="DefaultParagraphFont"/>
    <w:uiPriority w:val="19"/>
    <w:rsid w:val="005D0228"/>
    <w:rPr>
      <w:i/>
      <w:iCs/>
      <w:color w:val="808080" w:themeColor="text1" w:themeTint="7F"/>
      <w:sz w:val="28"/>
    </w:rPr>
  </w:style>
  <w:style w:type="character" w:styleId="IntenseEmphasis">
    <w:name w:val="Intense Emphasis"/>
    <w:basedOn w:val="DefaultParagraphFont"/>
    <w:uiPriority w:val="21"/>
    <w:qFormat/>
    <w:rsid w:val="005D0228"/>
    <w:rPr>
      <w:b/>
      <w:bCs/>
      <w:i/>
      <w:iCs/>
      <w:color w:val="A6192E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B526AB"/>
    <w:pPr>
      <w:spacing w:after="360" w:line="240" w:lineRule="auto"/>
    </w:pPr>
    <w:rPr>
      <w:bCs/>
      <w:color w:val="A6192E" w:themeColor="accent1"/>
      <w:sz w:val="18"/>
      <w:szCs w:val="18"/>
    </w:rPr>
  </w:style>
  <w:style w:type="character" w:customStyle="1" w:styleId="Tabletitle">
    <w:name w:val="Table title"/>
    <w:basedOn w:val="DefaultParagraphFont"/>
    <w:uiPriority w:val="1"/>
    <w:qFormat/>
    <w:rsid w:val="00D87BC8"/>
    <w:rPr>
      <w:b/>
      <w:color w:val="A6192E" w:themeColor="accent1"/>
    </w:rPr>
  </w:style>
  <w:style w:type="character" w:customStyle="1" w:styleId="Figuretitle">
    <w:name w:val="Figure title"/>
    <w:basedOn w:val="Tabletitle"/>
    <w:uiPriority w:val="1"/>
    <w:qFormat/>
    <w:rsid w:val="00D87BC8"/>
    <w:rPr>
      <w:b/>
      <w:color w:val="A6192E" w:themeColor="accent1"/>
    </w:rPr>
  </w:style>
  <w:style w:type="paragraph" w:customStyle="1" w:styleId="Credit">
    <w:name w:val="Credit"/>
    <w:basedOn w:val="Caption"/>
    <w:qFormat/>
    <w:rsid w:val="00A51E16"/>
    <w:rPr>
      <w:color w:val="58595B" w:themeColor="text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26AB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26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B526AB"/>
    <w:pPr>
      <w:spacing w:after="6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526AB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customStyle="1" w:styleId="Casestudy">
    <w:name w:val="Case study"/>
    <w:basedOn w:val="Normal"/>
    <w:qFormat/>
    <w:rsid w:val="00244596"/>
    <w:pPr>
      <w:pBdr>
        <w:top w:val="single" w:sz="4" w:space="4" w:color="572D2D" w:themeColor="accent2"/>
        <w:left w:val="single" w:sz="4" w:space="4" w:color="572D2D" w:themeColor="accent2"/>
        <w:bottom w:val="single" w:sz="4" w:space="4" w:color="572D2D" w:themeColor="accent2"/>
        <w:right w:val="single" w:sz="4" w:space="4" w:color="572D2D" w:themeColor="accent2"/>
      </w:pBdr>
      <w:shd w:val="clear" w:color="auto" w:fill="F1E5E5" w:themeFill="accent2" w:themeFillTint="1A"/>
      <w:ind w:left="113" w:right="113"/>
    </w:pPr>
  </w:style>
  <w:style w:type="paragraph" w:customStyle="1" w:styleId="Casestudytitle">
    <w:name w:val="Case study title"/>
    <w:basedOn w:val="Casestudy"/>
    <w:qFormat/>
    <w:rsid w:val="002D3954"/>
    <w:pPr>
      <w:spacing w:before="360"/>
    </w:pPr>
    <w:rPr>
      <w:color w:val="572D2D" w:themeColor="accent2"/>
      <w:sz w:val="28"/>
    </w:rPr>
  </w:style>
  <w:style w:type="paragraph" w:customStyle="1" w:styleId="Casestudysource">
    <w:name w:val="Case study source"/>
    <w:basedOn w:val="Casestudy"/>
    <w:qFormat/>
    <w:rsid w:val="00F25F29"/>
    <w:pPr>
      <w:spacing w:before="240" w:after="480"/>
    </w:pPr>
    <w:rPr>
      <w:color w:val="572D2D" w:themeColor="accent2"/>
      <w:sz w:val="16"/>
    </w:rPr>
  </w:style>
  <w:style w:type="paragraph" w:styleId="Header">
    <w:name w:val="header"/>
    <w:basedOn w:val="Normal"/>
    <w:link w:val="HeaderChar"/>
    <w:uiPriority w:val="99"/>
    <w:unhideWhenUsed/>
    <w:rsid w:val="00991F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FDD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991F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FDD"/>
    <w:rPr>
      <w:sz w:val="20"/>
    </w:rPr>
  </w:style>
  <w:style w:type="paragraph" w:styleId="ListParagraph">
    <w:name w:val="List Paragraph"/>
    <w:basedOn w:val="Normal"/>
    <w:uiPriority w:val="34"/>
    <w:qFormat/>
    <w:rsid w:val="00895CC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745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45C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45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5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5C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D5B1D"/>
    <w:rPr>
      <w:color w:val="C973A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yperlink" Target="https://www.industry.gov.au/regulations-and-standards/buying-and-selling-goods-and-services-by-weights-and-other-measures/weighbridges-used-for-trade/operating-a-public-weighbridge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training@measurement.gov.au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www.industry.gov.au/regulations-and-standards/servicing-licensees/verifying-measuring-instruments-for-trade" TargetMode="External"/><Relationship Id="rId25" Type="http://schemas.openxmlformats.org/officeDocument/2006/relationships/hyperlink" Target="https://www.industry.gov.au/national-measurement-institute/measurement-training-and-assessmen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dustry.gov.au/client-services/training-and-assessment" TargetMode="External"/><Relationship Id="rId20" Type="http://schemas.openxmlformats.org/officeDocument/2006/relationships/hyperlink" Target="mailto:nmiadministrator@measurement.gov.a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cdn.shopify.com/s/files/1/0549/7533/files/Instructions_for_observation_assessments_V2.1_All_kits.pdf?v=161414917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s://www.usi.gov.au/students" TargetMode="Externa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://www.industry.gov.au/strategies-for-the-future/national-measurement-institute" TargetMode="External"/><Relationship Id="rId14" Type="http://schemas.openxmlformats.org/officeDocument/2006/relationships/hyperlink" Target="mailto:nmiadministrator@measurement.gov.au" TargetMode="External"/><Relationship Id="rId22" Type="http://schemas.openxmlformats.org/officeDocument/2006/relationships/hyperlink" Target="https://shop.measurement.gov.au/collections/verifier-assessments-recognition-kits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cience">
      <a:dk1>
        <a:sysClr val="windowText" lastClr="000000"/>
      </a:dk1>
      <a:lt1>
        <a:sysClr val="window" lastClr="FFFFFF"/>
      </a:lt1>
      <a:dk2>
        <a:srgbClr val="58595B"/>
      </a:dk2>
      <a:lt2>
        <a:srgbClr val="939598"/>
      </a:lt2>
      <a:accent1>
        <a:srgbClr val="A6192E"/>
      </a:accent1>
      <a:accent2>
        <a:srgbClr val="572D2D"/>
      </a:accent2>
      <a:accent3>
        <a:srgbClr val="71CC98"/>
      </a:accent3>
      <a:accent4>
        <a:srgbClr val="B7B09C"/>
      </a:accent4>
      <a:accent5>
        <a:srgbClr val="58595B"/>
      </a:accent5>
      <a:accent6>
        <a:srgbClr val="6D6E70"/>
      </a:accent6>
      <a:hlink>
        <a:srgbClr val="005677"/>
      </a:hlink>
      <a:folHlink>
        <a:srgbClr val="C973A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86E35-A308-4C35-A466-A9F7CDF5F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2114</Words>
  <Characters>11931</Characters>
  <Application>Microsoft Office Word</Application>
  <DocSecurity>0</DocSecurity>
  <Lines>199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NMI Report cover template - no photo</vt:lpstr>
    </vt:vector>
  </TitlesOfParts>
  <Manager/>
  <Company/>
  <LinksUpToDate>false</LinksUpToDate>
  <CharactersWithSpaces>13982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NMI Report cover template - no photo</dc:title>
  <dc:creator/>
  <cp:lastModifiedBy/>
  <cp:revision>1</cp:revision>
  <dcterms:created xsi:type="dcterms:W3CDTF">2020-01-06T23:40:00Z</dcterms:created>
  <dcterms:modified xsi:type="dcterms:W3CDTF">2023-02-09T00:17:00Z</dcterms:modified>
</cp:coreProperties>
</file>