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6"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TERMS OF REFERENCE</w:t>
      </w:r>
    </w:p>
    <w:p>
      <w:pPr>
        <w:pageBreakBefore w:val="false"/>
        <w:spacing w:before="124" w:after="0" w:line="274" w:lineRule="exact"/>
        <w:ind w:right="72" w:left="864" w:hanging="864"/>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NATIONAL RADIOACTIVE WASTE MANAGEMENT FACILITY PROJECT’S BARNDIOOTA CONSULTATIVE COMMITTEE (COMMITTEE)</w:t>
      </w:r>
    </w:p>
    <w:p>
      <w:pPr>
        <w:pageBreakBefore w:val="false"/>
        <w:spacing w:before="116" w:after="0" w:line="275" w:lineRule="exact"/>
        <w:ind w:right="72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These Terms of Reference set out the responsibilities and mode of operation of the Committee.</w:t>
      </w:r>
    </w:p>
    <w:p>
      <w:pPr>
        <w:pageBreakBefore w:val="false"/>
        <w:spacing w:before="130" w:after="0" w:line="274" w:lineRule="exact"/>
        <w:ind w:right="0" w:left="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CONTEXT</w:t>
      </w:r>
    </w:p>
    <w:p>
      <w:pPr>
        <w:pageBreakBefore w:val="false"/>
        <w:spacing w:before="118" w:after="0" w:line="275"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Committee will facilitate communication between the Barndioota community and the Department throughout Phase Two of the National Radioactive Waste Management Facility project (project). The Committee performs an advisory role; it is not a decision-making body. The Committee will be representative of the broad Barndioota community.</w:t>
      </w:r>
    </w:p>
    <w:p>
      <w:pPr>
        <w:pageBreakBefore w:val="false"/>
        <w:spacing w:before="6" w:after="0" w:line="39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ROLE OF THE COMMITTEE</w:t>
        <w:br/>
      </w:r>
      <w:r>
        <w:rPr>
          <w:rFonts w:ascii="Times New Roman" w:hAnsi="Times New Roman" w:eastAsia="Times New Roman"/>
          <w:color w:val="000000"/>
          <w:spacing w:val="0"/>
          <w:w w:val="100"/>
          <w:sz w:val="24"/>
          <w:vertAlign w:val="baseline"/>
          <w:lang w:val="en-US"/>
        </w:rPr>
        <w:t xml:space="preserve">The Committee will:</w:t>
      </w:r>
    </w:p>
    <w:p>
      <w:pPr>
        <w:pageBreakBefore w:val="false"/>
        <w:spacing w:before="137" w:after="0" w:line="275" w:lineRule="exact"/>
        <w:ind w:right="216" w:left="360" w:hanging="360"/>
        <w:jc w:val="left"/>
        <w:textAlignment w:val="baseline"/>
        <w:rPr>
          <w:rFonts w:ascii="Symbol" w:hAnsi="Symbol" w:eastAsia="Symbol"/>
          <w:color w:val="000000"/>
          <w:spacing w:val="0"/>
          <w:w w:val="60"/>
          <w:sz w:val="31"/>
          <w:vertAlign w:val="baseline"/>
          <w:lang w:val="en-US"/>
        </w:rPr>
      </w:pPr>
      <w:r>
        <w:rPr>
          <w:rFonts w:ascii="Symbol" w:hAnsi="Symbol" w:eastAsia="Symbol"/>
          <w:color w:val="000000"/>
          <w:spacing w:val="0"/>
          <w:w w:val="60"/>
          <w:sz w:val="31"/>
          <w:vertAlign w:val="baseline"/>
          <w:lang w:val="en-US"/>
        </w:rPr>
        <w:t xml:space="preserve">−</w:t>
      </w:r>
      <w:r>
        <w:rPr>
          <w:rFonts w:ascii="Times New Roman" w:hAnsi="Times New Roman" w:eastAsia="Times New Roman"/>
          <w:color w:val="000000"/>
          <w:spacing w:val="0"/>
          <w:w w:val="100"/>
          <w:sz w:val="24"/>
          <w:vertAlign w:val="baseline"/>
          <w:lang w:val="en-US"/>
        </w:rPr>
        <w:t xml:space="preserve"> Provide an opportunity for the broader community to express its views, attitudes and concerns in relation to the project;</w:t>
      </w:r>
    </w:p>
    <w:p>
      <w:pPr>
        <w:pageBreakBefore w:val="false"/>
        <w:spacing w:before="141" w:after="0" w:line="275" w:lineRule="exact"/>
        <w:ind w:right="144" w:left="360" w:hanging="360"/>
        <w:jc w:val="left"/>
        <w:textAlignment w:val="baseline"/>
        <w:rPr>
          <w:rFonts w:ascii="Symbol" w:hAnsi="Symbol" w:eastAsia="Symbol"/>
          <w:color w:val="000000"/>
          <w:spacing w:val="0"/>
          <w:w w:val="60"/>
          <w:sz w:val="31"/>
          <w:vertAlign w:val="baseline"/>
          <w:lang w:val="en-US"/>
        </w:rPr>
      </w:pPr>
      <w:r>
        <w:rPr>
          <w:rFonts w:ascii="Symbol" w:hAnsi="Symbol" w:eastAsia="Symbol"/>
          <w:color w:val="000000"/>
          <w:spacing w:val="0"/>
          <w:w w:val="60"/>
          <w:sz w:val="31"/>
          <w:vertAlign w:val="baseline"/>
          <w:lang w:val="en-US"/>
        </w:rPr>
        <w:t xml:space="preserve">−</w:t>
      </w:r>
      <w:r>
        <w:rPr>
          <w:rFonts w:ascii="Times New Roman" w:hAnsi="Times New Roman" w:eastAsia="Times New Roman"/>
          <w:color w:val="000000"/>
          <w:spacing w:val="0"/>
          <w:w w:val="100"/>
          <w:sz w:val="24"/>
          <w:vertAlign w:val="baseline"/>
          <w:lang w:val="en-US"/>
        </w:rPr>
        <w:t xml:space="preserve"> Help identify the key social and community values to be considered in the evaluation of the site.</w:t>
      </w:r>
    </w:p>
    <w:p>
      <w:pPr>
        <w:pageBreakBefore w:val="false"/>
        <w:spacing w:before="141" w:after="0" w:line="275" w:lineRule="exact"/>
        <w:ind w:right="576" w:left="360" w:hanging="360"/>
        <w:jc w:val="left"/>
        <w:textAlignment w:val="baseline"/>
        <w:rPr>
          <w:rFonts w:ascii="Symbol" w:hAnsi="Symbol" w:eastAsia="Symbol"/>
          <w:color w:val="000000"/>
          <w:spacing w:val="0"/>
          <w:w w:val="60"/>
          <w:sz w:val="31"/>
          <w:vertAlign w:val="baseline"/>
          <w:lang w:val="en-US"/>
        </w:rPr>
      </w:pPr>
      <w:r>
        <w:rPr>
          <w:rFonts w:ascii="Symbol" w:hAnsi="Symbol" w:eastAsia="Symbol"/>
          <w:color w:val="000000"/>
          <w:spacing w:val="0"/>
          <w:w w:val="60"/>
          <w:sz w:val="31"/>
          <w:vertAlign w:val="baseline"/>
          <w:lang w:val="en-US"/>
        </w:rPr>
        <w:t xml:space="preserve">−</w:t>
      </w:r>
      <w:r>
        <w:rPr>
          <w:rFonts w:ascii="Times New Roman" w:hAnsi="Times New Roman" w:eastAsia="Times New Roman"/>
          <w:color w:val="000000"/>
          <w:spacing w:val="0"/>
          <w:w w:val="100"/>
          <w:sz w:val="24"/>
          <w:vertAlign w:val="baseline"/>
          <w:lang w:val="en-US"/>
        </w:rPr>
        <w:t xml:space="preserve"> Provide advice to the Department and input concerning the potential issues that affect the community in relation to the project.</w:t>
      </w:r>
    </w:p>
    <w:p>
      <w:pPr>
        <w:pageBreakBefore w:val="false"/>
        <w:tabs>
          <w:tab w:val="left" w:leader="none" w:pos="360"/>
        </w:tabs>
        <w:spacing w:before="137" w:after="0" w:line="275" w:lineRule="exact"/>
        <w:ind w:right="432" w:left="360" w:hanging="360"/>
        <w:jc w:val="left"/>
        <w:textAlignment w:val="baseline"/>
        <w:rPr>
          <w:rFonts w:ascii="Symbol" w:hAnsi="Symbol" w:eastAsia="Symbol"/>
          <w:color w:val="000000"/>
          <w:spacing w:val="0"/>
          <w:w w:val="60"/>
          <w:sz w:val="31"/>
          <w:vertAlign w:val="baseline"/>
          <w:lang w:val="en-US"/>
        </w:rPr>
      </w:pPr>
      <w:r>
        <w:rPr>
          <w:rFonts w:ascii="Symbol" w:hAnsi="Symbol" w:eastAsia="Symbol"/>
          <w:color w:val="000000"/>
          <w:spacing w:val="0"/>
          <w:w w:val="60"/>
          <w:sz w:val="31"/>
          <w:vertAlign w:val="baseline"/>
          <w:lang w:val="en-US"/>
        </w:rPr>
        <w:t xml:space="preserve">−</w:t>
      </w:r>
      <w:r>
        <w:rPr>
          <w:rFonts w:ascii="Times New Roman" w:hAnsi="Times New Roman" w:eastAsia="Times New Roman"/>
          <w:color w:val="000000"/>
          <w:spacing w:val="0"/>
          <w:w w:val="100"/>
          <w:sz w:val="24"/>
          <w:vertAlign w:val="baseline"/>
          <w:lang w:val="en-US"/>
        </w:rPr>
        <w:tab/>
      </w:r>
      <w:r>
        <w:rPr>
          <w:rFonts w:ascii="Times New Roman" w:hAnsi="Times New Roman" w:eastAsia="Times New Roman"/>
          <w:color w:val="000000"/>
          <w:spacing w:val="0"/>
          <w:w w:val="100"/>
          <w:sz w:val="24"/>
          <w:vertAlign w:val="baseline"/>
          <w:lang w:val="en-US"/>
        </w:rPr>
        <w:t xml:space="preserve">Provide advice to the Department on the suitability of proposed projects under the Community Benefit Package.</w:t>
      </w:r>
    </w:p>
    <w:p>
      <w:pPr>
        <w:pageBreakBefore w:val="false"/>
        <w:tabs>
          <w:tab w:val="left" w:leader="none" w:pos="360"/>
        </w:tabs>
        <w:spacing w:before="141" w:after="0" w:line="275" w:lineRule="exact"/>
        <w:ind w:right="648" w:left="360" w:hanging="360"/>
        <w:jc w:val="left"/>
        <w:textAlignment w:val="baseline"/>
        <w:rPr>
          <w:rFonts w:ascii="Symbol" w:hAnsi="Symbol" w:eastAsia="Symbol"/>
          <w:color w:val="000000"/>
          <w:spacing w:val="0"/>
          <w:w w:val="60"/>
          <w:sz w:val="31"/>
          <w:vertAlign w:val="baseline"/>
          <w:lang w:val="en-US"/>
        </w:rPr>
      </w:pPr>
      <w:r>
        <w:rPr>
          <w:rFonts w:ascii="Symbol" w:hAnsi="Symbol" w:eastAsia="Symbol"/>
          <w:color w:val="000000"/>
          <w:spacing w:val="0"/>
          <w:w w:val="60"/>
          <w:sz w:val="31"/>
          <w:vertAlign w:val="baseline"/>
          <w:lang w:val="en-US"/>
        </w:rPr>
        <w:t xml:space="preserve">−</w:t>
      </w:r>
      <w:r>
        <w:rPr>
          <w:rFonts w:ascii="Times New Roman" w:hAnsi="Times New Roman" w:eastAsia="Times New Roman"/>
          <w:color w:val="000000"/>
          <w:spacing w:val="0"/>
          <w:w w:val="100"/>
          <w:sz w:val="24"/>
          <w:vertAlign w:val="baseline"/>
          <w:lang w:val="en-US"/>
        </w:rPr>
        <w:tab/>
      </w:r>
      <w:r>
        <w:rPr>
          <w:rFonts w:ascii="Times New Roman" w:hAnsi="Times New Roman" w:eastAsia="Times New Roman"/>
          <w:color w:val="000000"/>
          <w:spacing w:val="0"/>
          <w:w w:val="100"/>
          <w:sz w:val="24"/>
          <w:vertAlign w:val="baseline"/>
          <w:lang w:val="en-US"/>
        </w:rPr>
        <w:t xml:space="preserve">Be consulted with and informed by the Department of the outcomes of field and technical investigation work.</w:t>
      </w:r>
    </w:p>
    <w:p>
      <w:pPr>
        <w:pageBreakBefore w:val="false"/>
        <w:spacing w:before="136" w:after="0" w:line="275" w:lineRule="exact"/>
        <w:ind w:right="1008" w:left="360" w:hanging="360"/>
        <w:jc w:val="left"/>
        <w:textAlignment w:val="baseline"/>
        <w:rPr>
          <w:rFonts w:ascii="Symbol" w:hAnsi="Symbol" w:eastAsia="Symbol"/>
          <w:color w:val="000000"/>
          <w:spacing w:val="0"/>
          <w:w w:val="60"/>
          <w:sz w:val="31"/>
          <w:vertAlign w:val="baseline"/>
          <w:lang w:val="en-US"/>
        </w:rPr>
      </w:pPr>
      <w:r>
        <w:rPr>
          <w:rFonts w:ascii="Symbol" w:hAnsi="Symbol" w:eastAsia="Symbol"/>
          <w:color w:val="000000"/>
          <w:spacing w:val="0"/>
          <w:w w:val="60"/>
          <w:sz w:val="31"/>
          <w:vertAlign w:val="baseline"/>
          <w:lang w:val="en-US"/>
        </w:rPr>
        <w:t xml:space="preserve">−</w:t>
      </w:r>
      <w:r>
        <w:rPr>
          <w:rFonts w:ascii="Times New Roman" w:hAnsi="Times New Roman" w:eastAsia="Times New Roman"/>
          <w:color w:val="000000"/>
          <w:spacing w:val="0"/>
          <w:w w:val="100"/>
          <w:sz w:val="24"/>
          <w:vertAlign w:val="baseline"/>
          <w:lang w:val="en-US"/>
        </w:rPr>
        <w:t xml:space="preserve"> Provide advice to the Department on engagement activities undertaken with neighbouring landowners, key stakeholders and the general public.</w:t>
      </w:r>
    </w:p>
    <w:p>
      <w:pPr>
        <w:pageBreakBefore w:val="false"/>
        <w:spacing w:before="21" w:after="0" w:line="398" w:lineRule="exact"/>
        <w:ind w:right="0" w:left="0" w:firstLine="0"/>
        <w:jc w:val="left"/>
        <w:textAlignment w:val="baseline"/>
        <w:rPr>
          <w:rFonts w:ascii="Symbol" w:hAnsi="Symbol" w:eastAsia="Symbol"/>
          <w:color w:val="000000"/>
          <w:spacing w:val="0"/>
          <w:w w:val="60"/>
          <w:sz w:val="31"/>
          <w:vertAlign w:val="baseline"/>
          <w:lang w:val="en-US"/>
        </w:rPr>
      </w:pPr>
      <w:r>
        <w:rPr>
          <w:rFonts w:ascii="Symbol" w:hAnsi="Symbol" w:eastAsia="Symbol"/>
          <w:color w:val="000000"/>
          <w:spacing w:val="0"/>
          <w:w w:val="60"/>
          <w:sz w:val="31"/>
          <w:vertAlign w:val="baseline"/>
          <w:lang w:val="en-US"/>
        </w:rPr>
        <w:t xml:space="preserve">−</w:t>
      </w:r>
      <w:r>
        <w:rPr>
          <w:rFonts w:ascii="Times New Roman" w:hAnsi="Times New Roman" w:eastAsia="Times New Roman"/>
          <w:color w:val="000000"/>
          <w:spacing w:val="0"/>
          <w:w w:val="100"/>
          <w:sz w:val="24"/>
          <w:vertAlign w:val="baseline"/>
          <w:lang w:val="en-US"/>
        </w:rPr>
        <w:t xml:space="preserve"> Assist in communicating information to the broader community.</w:t>
        <w:br/>
      </w:r>
      <w:r>
        <w:rPr>
          <w:rFonts w:ascii="Times New Roman" w:hAnsi="Times New Roman" w:eastAsia="Times New Roman"/>
          <w:b w:val="true"/>
          <w:color w:val="000000"/>
          <w:spacing w:val="0"/>
          <w:w w:val="100"/>
          <w:sz w:val="24"/>
          <w:vertAlign w:val="baseline"/>
          <w:lang w:val="en-US"/>
        </w:rPr>
        <w:t xml:space="preserve">REPORTING STRUCTURE</w:t>
      </w:r>
    </w:p>
    <w:p>
      <w:pPr>
        <w:pageBreakBefore w:val="false"/>
        <w:spacing w:before="117" w:after="0" w:line="275"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Committee will meet every 6-8 weeks, or as agreed by the Committee, to discuss items related to the project. The Department will provide a draft agenda to the Independent and Deputy conveners for review and endorsement. The agenda will be circulated to Committee members at least one week before each meeting. The agenda will be made publicly available.</w:t>
      </w:r>
    </w:p>
    <w:p>
      <w:pPr>
        <w:pageBreakBefore w:val="false"/>
        <w:spacing w:before="127" w:after="0" w:line="275"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Department will provide secretariat assistance, including drafting the minutes of each meeting, which will provide an overview of discussions; it will not be a verbatim record. Draft minutes will be presented to the Independent and Deputy conveners for review and endorsement within a week of the meeting. The Minutes will be made publicly available once endorsed.</w:t>
      </w:r>
    </w:p>
    <w:p>
      <w:pPr>
        <w:pageBreakBefore w:val="false"/>
        <w:spacing w:before="122" w:after="0" w:line="275"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Department will advise the Minister’s Office about Committee meeting outcomes and any advice from the Committee, as appropriate.</w:t>
      </w:r>
    </w:p>
    <w:p>
      <w:pPr>
        <w:pageBreakBefore w:val="false"/>
        <w:spacing w:before="126"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Process for appointment</w:t>
      </w:r>
    </w:p>
    <w:p>
      <w:pPr>
        <w:pageBreakBefore w:val="false"/>
        <w:spacing w:before="116" w:after="0" w:line="272" w:lineRule="exact"/>
        <w:ind w:right="504"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Committee will operate until the end of Phase Two, which is expected to end in December 2017. The Minister makes all Committee appointments and can remove or</w:t>
      </w:r>
    </w:p>
    <w:p>
      <w:pPr>
        <w:sectPr>
          <w:type w:val="nextPage"/>
          <w:pgSz w:w="11904" w:h="16838" w:orient="portrait"/>
          <w:pgMar w:bottom="1182" w:top="1540" w:right="1414" w:left="1790" w:header="720" w:footer="720"/>
          <w:titlePg w:val="false"/>
          <w:textDirection w:val="lrTb"/>
        </w:sectPr>
      </w:pPr>
    </w:p>
    <w:p>
      <w:pPr>
        <w:pageBreakBefore w:val="false"/>
        <w:spacing w:before="0" w:after="0" w:line="348" w:lineRule="exact"/>
        <w:ind w:right="1728"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replace appointees. Further information is in the Committee Guidelines. </w:t>
      </w:r>
      <w:r>
        <w:rPr>
          <w:rFonts w:ascii="Times New Roman" w:hAnsi="Times New Roman" w:eastAsia="Times New Roman"/>
          <w:b w:val="true"/>
          <w:color w:val="000000"/>
          <w:spacing w:val="0"/>
          <w:w w:val="100"/>
          <w:sz w:val="24"/>
          <w:vertAlign w:val="baseline"/>
          <w:lang w:val="en-US"/>
        </w:rPr>
        <w:t xml:space="preserve">RESPONSIBILITIES OF MEMBERS</w:t>
      </w:r>
    </w:p>
    <w:p>
      <w:pPr>
        <w:pageBreakBefore w:val="false"/>
        <w:spacing w:before="112" w:after="0" w:line="278"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roles for each Committee appointment are detailed in the Committee Guidelines. The Guidelines also outline the role of the Department.</w:t>
      </w:r>
    </w:p>
    <w:p>
      <w:pPr>
        <w:pageBreakBefore w:val="false"/>
        <w:spacing w:before="120" w:after="0" w:line="268"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Committee members must engage in a respectful and constructive manner.</w:t>
      </w:r>
    </w:p>
    <w:sectPr>
      <w:type w:val="nextPage"/>
      <w:pgSz w:w="11904" w:h="16838" w:orient="portrait"/>
      <w:pgMar w:bottom="13282" w:top="1400" w:right="1453" w:left="1751"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Symbo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