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28EBB0" w14:textId="77777777" w:rsidR="005B1BEB" w:rsidRDefault="005B1BEB" w:rsidP="005B1BEB">
      <w:pPr>
        <w:ind w:left="-284"/>
        <w:jc w:val="center"/>
      </w:pPr>
      <w:r>
        <w:rPr>
          <w:rFonts w:ascii="Arial" w:eastAsia="MS PGothic" w:hAnsi="Arial" w:cs="Times New Roman"/>
          <w:b/>
          <w:noProof/>
          <w:color w:val="FFFFFF"/>
          <w:spacing w:val="5"/>
          <w:kern w:val="28"/>
          <w:sz w:val="52"/>
          <w:szCs w:val="52"/>
          <w:lang w:eastAsia="en-AU"/>
        </w:rPr>
        <mc:AlternateContent>
          <mc:Choice Requires="wps">
            <w:drawing>
              <wp:anchor distT="0" distB="0" distL="114300" distR="114300" simplePos="0" relativeHeight="251660288" behindDoc="0" locked="0" layoutInCell="1" allowOverlap="1" wp14:anchorId="18E66A2D" wp14:editId="5A83EC67">
                <wp:simplePos x="0" y="0"/>
                <wp:positionH relativeFrom="column">
                  <wp:posOffset>-175895</wp:posOffset>
                </wp:positionH>
                <wp:positionV relativeFrom="paragraph">
                  <wp:posOffset>1437640</wp:posOffset>
                </wp:positionV>
                <wp:extent cx="6404400" cy="3960000"/>
                <wp:effectExtent l="57150" t="38100" r="53975" b="78740"/>
                <wp:wrapNone/>
                <wp:docPr id="20" name="Rectangle 20"/>
                <wp:cNvGraphicFramePr/>
                <a:graphic xmlns:a="http://schemas.openxmlformats.org/drawingml/2006/main">
                  <a:graphicData uri="http://schemas.microsoft.com/office/word/2010/wordprocessingShape">
                    <wps:wsp>
                      <wps:cNvSpPr/>
                      <wps:spPr>
                        <a:xfrm>
                          <a:off x="0" y="0"/>
                          <a:ext cx="6404400" cy="3960000"/>
                        </a:xfrm>
                        <a:prstGeom prst="rect">
                          <a:avLst/>
                        </a:prstGeom>
                      </wps:spPr>
                      <wps:style>
                        <a:lnRef idx="0">
                          <a:schemeClr val="dk1"/>
                        </a:lnRef>
                        <a:fillRef idx="3">
                          <a:schemeClr val="dk1"/>
                        </a:fillRef>
                        <a:effectRef idx="3">
                          <a:schemeClr val="dk1"/>
                        </a:effectRef>
                        <a:fontRef idx="minor">
                          <a:schemeClr val="lt1"/>
                        </a:fontRef>
                      </wps:style>
                      <wps:txbx>
                        <w:txbxContent>
                          <w:p w14:paraId="5A112664" w14:textId="77777777" w:rsidR="000B20C3" w:rsidRDefault="000B20C3" w:rsidP="005B1BEB">
                            <w:pPr>
                              <w:jc w:val="center"/>
                            </w:pPr>
                            <w:r w:rsidRPr="00C66B15">
                              <w:rPr>
                                <w:noProof/>
                                <w:lang w:eastAsia="en-AU"/>
                              </w:rPr>
                              <w:drawing>
                                <wp:inline distT="0" distB="0" distL="0" distR="0" wp14:anchorId="51E8C6BD" wp14:editId="6A1D23A3">
                                  <wp:extent cx="6153150" cy="4533900"/>
                                  <wp:effectExtent l="0" t="0" r="0" b="0"/>
                                  <wp:docPr id="21" name="Picture 21" descr="\\prod.protected.ind\DATA_VI1\user\KLe\desktop\ThinkstockPhotos-51673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protected.ind\DATA_VI1\user\KLe\desktop\ThinkstockPhotos-51673223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3150" cy="4533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66A2D" id="Rectangle 20" o:spid="_x0000_s1026" style="position:absolute;left:0;text-align:left;margin-left:-13.85pt;margin-top:113.2pt;width:504.3pt;height:31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" fillcolor="#101010 [3024]" stroked="f">
                <v:fill color2="black [3168]" rotate="t" colors="0 #454545;.5 black;1 black" focus="100%" type="gradient">
                  <o:fill v:ext="view" type="gradientUnscaled"/>
                </v:fill>
                <v:shadow on="t" color="black" opacity="41287f" offset="0,1.5pt"/>
                <v:textbox>
                  <w:txbxContent>
                    <w:p w14:paraId="5A112664" w14:textId="77777777" w:rsidR="000B20C3" w:rsidRDefault="000B20C3" w:rsidP="005B1BEB">
                      <w:pPr>
                        <w:jc w:val="center"/>
                      </w:pPr>
                      <w:r w:rsidRPr="00C66B15">
                        <w:rPr>
                          <w:noProof/>
                          <w:lang w:eastAsia="en-AU"/>
                        </w:rPr>
                        <w:drawing>
                          <wp:inline distT="0" distB="0" distL="0" distR="0" wp14:anchorId="51E8C6BD" wp14:editId="6A1D23A3">
                            <wp:extent cx="6153150" cy="4533900"/>
                            <wp:effectExtent l="0" t="0" r="0" b="0"/>
                            <wp:docPr id="21" name="Picture 21" descr="\\prod.protected.ind\DATA_VI1\user\KLe\desktop\ThinkstockPhotos-51673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protected.ind\DATA_VI1\user\KLe\desktop\ThinkstockPhotos-51673223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53150" cy="4533900"/>
                                    </a:xfrm>
                                    <a:prstGeom prst="rect">
                                      <a:avLst/>
                                    </a:prstGeom>
                                    <a:noFill/>
                                    <a:ln>
                                      <a:noFill/>
                                    </a:ln>
                                  </pic:spPr>
                                </pic:pic>
                              </a:graphicData>
                            </a:graphic>
                          </wp:inline>
                        </w:drawing>
                      </w:r>
                    </w:p>
                  </w:txbxContent>
                </v:textbox>
              </v:rect>
            </w:pict>
          </mc:Fallback>
        </mc:AlternateContent>
      </w:r>
      <w:r>
        <w:rPr>
          <w:rFonts w:ascii="Arial" w:eastAsia="MS PGothic" w:hAnsi="Arial" w:cs="Times New Roman"/>
          <w:b/>
          <w:noProof/>
          <w:color w:val="FFFFFF"/>
          <w:spacing w:val="5"/>
          <w:kern w:val="28"/>
          <w:sz w:val="52"/>
          <w:szCs w:val="52"/>
          <w:lang w:eastAsia="en-AU"/>
        </w:rPr>
        <mc:AlternateContent>
          <mc:Choice Requires="wps">
            <w:drawing>
              <wp:anchor distT="0" distB="0" distL="114300" distR="114300" simplePos="0" relativeHeight="251659264" behindDoc="0" locked="0" layoutInCell="1" allowOverlap="1" wp14:anchorId="12112421" wp14:editId="36A3D15E">
                <wp:simplePos x="0" y="0"/>
                <wp:positionH relativeFrom="column">
                  <wp:posOffset>534552</wp:posOffset>
                </wp:positionH>
                <wp:positionV relativeFrom="paragraph">
                  <wp:posOffset>5627547</wp:posOffset>
                </wp:positionV>
                <wp:extent cx="4960188" cy="3583172"/>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4960188" cy="35831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ED2264" w14:textId="77777777" w:rsidR="000B20C3" w:rsidRDefault="000B20C3" w:rsidP="005B1BEB">
                            <w:pPr>
                              <w:rPr>
                                <w:rFonts w:ascii="Arial" w:hAnsi="Arial" w:cs="Arial"/>
                                <w:color w:val="FFFFFF" w:themeColor="background1"/>
                                <w:sz w:val="52"/>
                                <w:szCs w:val="52"/>
                                <w14:textOutline w14:w="9525" w14:cap="rnd" w14:cmpd="sng" w14:algn="ctr">
                                  <w14:solidFill>
                                    <w14:schemeClr w14:val="bg1"/>
                                  </w14:solidFill>
                                  <w14:prstDash w14:val="solid"/>
                                  <w14:bevel/>
                                </w14:textOutline>
                              </w:rPr>
                            </w:pPr>
                            <w:r w:rsidRPr="004160C5">
                              <w:rPr>
                                <w:rFonts w:ascii="Arial" w:hAnsi="Arial" w:cs="Arial"/>
                                <w:color w:val="FFFFFF" w:themeColor="background1"/>
                                <w:sz w:val="52"/>
                                <w:szCs w:val="52"/>
                                <w14:textOutline w14:w="9525" w14:cap="rnd" w14:cmpd="sng" w14:algn="ctr">
                                  <w14:solidFill>
                                    <w14:schemeClr w14:val="bg1"/>
                                  </w14:solidFill>
                                  <w14:prstDash w14:val="solid"/>
                                  <w14:bevel/>
                                </w14:textOutline>
                              </w:rPr>
                              <w:t>AN</w:t>
                            </w:r>
                            <w:r>
                              <w:rPr>
                                <w:rFonts w:ascii="Arial" w:hAnsi="Arial" w:cs="Arial"/>
                                <w:color w:val="FFFFFF" w:themeColor="background1"/>
                                <w:sz w:val="52"/>
                                <w:szCs w:val="52"/>
                                <w14:textOutline w14:w="9525" w14:cap="rnd" w14:cmpd="sng" w14:algn="ctr">
                                  <w14:solidFill>
                                    <w14:schemeClr w14:val="bg1"/>
                                  </w14:solidFill>
                                  <w14:prstDash w14:val="solid"/>
                                  <w14:bevel/>
                                </w14:textOutline>
                              </w:rPr>
                              <w:t xml:space="preserve">ALYSIS OF AUSTRALIA’S STEEL </w:t>
                            </w:r>
                            <w:r w:rsidRPr="00A766BF">
                              <w:rPr>
                                <w:rFonts w:ascii="Arial" w:hAnsi="Arial" w:cs="Arial"/>
                                <w:caps/>
                                <w:color w:val="FFFFFF" w:themeColor="background1"/>
                                <w:sz w:val="52"/>
                                <w:szCs w:val="52"/>
                                <w14:textOutline w14:w="9525" w14:cap="rnd" w14:cmpd="sng" w14:algn="ctr">
                                  <w14:solidFill>
                                    <w14:schemeClr w14:val="bg1"/>
                                  </w14:solidFill>
                                  <w14:prstDash w14:val="solid"/>
                                  <w14:bevel/>
                                </w14:textOutline>
                              </w:rPr>
                              <w:t xml:space="preserve">Manufacturing and </w:t>
                            </w:r>
                            <w:r>
                              <w:rPr>
                                <w:rFonts w:ascii="Arial" w:hAnsi="Arial" w:cs="Arial"/>
                                <w:color w:val="FFFFFF" w:themeColor="background1"/>
                                <w:sz w:val="52"/>
                                <w:szCs w:val="52"/>
                                <w14:textOutline w14:w="9525" w14:cap="rnd" w14:cmpd="sng" w14:algn="ctr">
                                  <w14:solidFill>
                                    <w14:schemeClr w14:val="bg1"/>
                                  </w14:solidFill>
                                  <w14:prstDash w14:val="solid"/>
                                  <w14:bevel/>
                                </w14:textOutline>
                              </w:rPr>
                              <w:t>FABRICATING MARKETS</w:t>
                            </w:r>
                          </w:p>
                          <w:p w14:paraId="764D5208" w14:textId="77777777" w:rsidR="000B20C3" w:rsidRDefault="000B20C3" w:rsidP="005B1BEB">
                            <w:pPr>
                              <w:rPr>
                                <w:rFonts w:ascii="Arial" w:hAnsi="Arial" w:cs="Arial"/>
                                <w:color w:val="FFFFFF" w:themeColor="background1"/>
                                <w:sz w:val="52"/>
                                <w:szCs w:val="52"/>
                                <w14:textOutline w14:w="9525" w14:cap="rnd" w14:cmpd="sng" w14:algn="ctr">
                                  <w14:solidFill>
                                    <w14:schemeClr w14:val="bg1"/>
                                  </w14:solidFill>
                                  <w14:prstDash w14:val="solid"/>
                                  <w14:bevel/>
                                </w14:textOutline>
                              </w:rPr>
                            </w:pPr>
                            <w:r>
                              <w:rPr>
                                <w:rFonts w:ascii="Arial" w:hAnsi="Arial" w:cs="Arial"/>
                                <w:color w:val="FFFFFF" w:themeColor="background1"/>
                                <w:sz w:val="52"/>
                                <w:szCs w:val="52"/>
                                <w14:textOutline w14:w="9525" w14:cap="rnd" w14:cmpd="sng" w14:algn="ctr">
                                  <w14:solidFill>
                                    <w14:schemeClr w14:val="bg1"/>
                                  </w14:solidFill>
                                  <w14:prstDash w14:val="solid"/>
                                  <w14:bevel/>
                                </w14:textOutline>
                              </w:rPr>
                              <w:t>REPORT TO THE COMMISSIONER OF THE ANTI-DUMPING COMMISSION</w:t>
                            </w:r>
                          </w:p>
                          <w:p w14:paraId="0F50F8EA" w14:textId="77777777" w:rsidR="000B20C3" w:rsidRDefault="000B20C3" w:rsidP="005B1BEB">
                            <w:pPr>
                              <w:rPr>
                                <w:rFonts w:ascii="Arial" w:hAnsi="Arial" w:cs="Arial"/>
                                <w:color w:val="FFFFFF" w:themeColor="background1"/>
                                <w:sz w:val="40"/>
                                <w:szCs w:val="40"/>
                                <w14:textOutline w14:w="9525" w14:cap="rnd" w14:cmpd="sng" w14:algn="ctr">
                                  <w14:solidFill>
                                    <w14:schemeClr w14:val="bg1"/>
                                  </w14:solidFill>
                                  <w14:prstDash w14:val="solid"/>
                                  <w14:bevel/>
                                </w14:textOutline>
                              </w:rPr>
                            </w:pPr>
                          </w:p>
                          <w:p w14:paraId="3069F42A" w14:textId="77777777" w:rsidR="000B20C3" w:rsidRPr="004160C5" w:rsidRDefault="000B20C3" w:rsidP="005B1BEB">
                            <w:pPr>
                              <w:rPr>
                                <w:rFonts w:ascii="Arial" w:hAnsi="Arial" w:cs="Arial"/>
                                <w:color w:val="FFFFFF" w:themeColor="background1"/>
                                <w:sz w:val="40"/>
                                <w:szCs w:val="40"/>
                                <w14:textOutline w14:w="9525" w14:cap="rnd" w14:cmpd="sng" w14:algn="ctr">
                                  <w14:solidFill>
                                    <w14:schemeClr w14:val="bg1"/>
                                  </w14:solidFill>
                                  <w14:prstDash w14:val="solid"/>
                                  <w14:bevel/>
                                </w14:textOutline>
                              </w:rPr>
                            </w:pPr>
                            <w:r>
                              <w:rPr>
                                <w:rFonts w:ascii="Arial" w:hAnsi="Arial" w:cs="Arial"/>
                                <w:color w:val="FFFFFF" w:themeColor="background1"/>
                                <w:sz w:val="40"/>
                                <w:szCs w:val="40"/>
                                <w14:textOutline w14:w="9525" w14:cap="rnd" w14:cmpd="sng" w14:algn="ctr">
                                  <w14:solidFill>
                                    <w14:schemeClr w14:val="bg1"/>
                                  </w14:solidFill>
                                  <w14:prstDash w14:val="solid"/>
                                  <w14:bevel/>
                                </w14:textOutline>
                              </w:rPr>
                              <w:t>November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112421" id="_x0000_t202" coordsize="21600,21600" o:spt="202" path="m,l,21600r21600,l21600,xe">
                <v:stroke joinstyle="miter"/>
                <v:path gradientshapeok="t" o:connecttype="rect"/>
              </v:shapetype>
              <v:shape id="Text Box 236" o:spid="_x0000_s1027" type="#_x0000_t202" style="position:absolute;left:0;text-align:left;margin-left:42.1pt;margin-top:443.1pt;width:390.55pt;height:28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" filled="f" stroked="f" strokeweight=".5pt">
                <v:textbox>
                  <w:txbxContent>
                    <w:p w14:paraId="7AED2264" w14:textId="77777777" w:rsidR="000B20C3" w:rsidRDefault="000B20C3" w:rsidP="005B1BEB">
                      <w:pPr>
                        <w:rPr>
                          <w:rFonts w:ascii="Arial" w:hAnsi="Arial" w:cs="Arial"/>
                          <w:color w:val="FFFFFF" w:themeColor="background1"/>
                          <w:sz w:val="52"/>
                          <w:szCs w:val="52"/>
                          <w14:textOutline w14:w="9525" w14:cap="rnd" w14:cmpd="sng" w14:algn="ctr">
                            <w14:solidFill>
                              <w14:schemeClr w14:val="bg1"/>
                            </w14:solidFill>
                            <w14:prstDash w14:val="solid"/>
                            <w14:bevel/>
                          </w14:textOutline>
                        </w:rPr>
                      </w:pPr>
                      <w:r w:rsidRPr="004160C5">
                        <w:rPr>
                          <w:rFonts w:ascii="Arial" w:hAnsi="Arial" w:cs="Arial"/>
                          <w:color w:val="FFFFFF" w:themeColor="background1"/>
                          <w:sz w:val="52"/>
                          <w:szCs w:val="52"/>
                          <w14:textOutline w14:w="9525" w14:cap="rnd" w14:cmpd="sng" w14:algn="ctr">
                            <w14:solidFill>
                              <w14:schemeClr w14:val="bg1"/>
                            </w14:solidFill>
                            <w14:prstDash w14:val="solid"/>
                            <w14:bevel/>
                          </w14:textOutline>
                        </w:rPr>
                        <w:t>AN</w:t>
                      </w:r>
                      <w:r>
                        <w:rPr>
                          <w:rFonts w:ascii="Arial" w:hAnsi="Arial" w:cs="Arial"/>
                          <w:color w:val="FFFFFF" w:themeColor="background1"/>
                          <w:sz w:val="52"/>
                          <w:szCs w:val="52"/>
                          <w14:textOutline w14:w="9525" w14:cap="rnd" w14:cmpd="sng" w14:algn="ctr">
                            <w14:solidFill>
                              <w14:schemeClr w14:val="bg1"/>
                            </w14:solidFill>
                            <w14:prstDash w14:val="solid"/>
                            <w14:bevel/>
                          </w14:textOutline>
                        </w:rPr>
                        <w:t xml:space="preserve">ALYSIS OF AUSTRALIA’S STEEL </w:t>
                      </w:r>
                      <w:r w:rsidRPr="00A766BF">
                        <w:rPr>
                          <w:rFonts w:ascii="Arial" w:hAnsi="Arial" w:cs="Arial"/>
                          <w:caps/>
                          <w:color w:val="FFFFFF" w:themeColor="background1"/>
                          <w:sz w:val="52"/>
                          <w:szCs w:val="52"/>
                          <w14:textOutline w14:w="9525" w14:cap="rnd" w14:cmpd="sng" w14:algn="ctr">
                            <w14:solidFill>
                              <w14:schemeClr w14:val="bg1"/>
                            </w14:solidFill>
                            <w14:prstDash w14:val="solid"/>
                            <w14:bevel/>
                          </w14:textOutline>
                        </w:rPr>
                        <w:t xml:space="preserve">Manufacturing and </w:t>
                      </w:r>
                      <w:r>
                        <w:rPr>
                          <w:rFonts w:ascii="Arial" w:hAnsi="Arial" w:cs="Arial"/>
                          <w:color w:val="FFFFFF" w:themeColor="background1"/>
                          <w:sz w:val="52"/>
                          <w:szCs w:val="52"/>
                          <w14:textOutline w14:w="9525" w14:cap="rnd" w14:cmpd="sng" w14:algn="ctr">
                            <w14:solidFill>
                              <w14:schemeClr w14:val="bg1"/>
                            </w14:solidFill>
                            <w14:prstDash w14:val="solid"/>
                            <w14:bevel/>
                          </w14:textOutline>
                        </w:rPr>
                        <w:t>FABRICATING MARKETS</w:t>
                      </w:r>
                    </w:p>
                    <w:p w14:paraId="764D5208" w14:textId="77777777" w:rsidR="000B20C3" w:rsidRDefault="000B20C3" w:rsidP="005B1BEB">
                      <w:pPr>
                        <w:rPr>
                          <w:rFonts w:ascii="Arial" w:hAnsi="Arial" w:cs="Arial"/>
                          <w:color w:val="FFFFFF" w:themeColor="background1"/>
                          <w:sz w:val="52"/>
                          <w:szCs w:val="52"/>
                          <w14:textOutline w14:w="9525" w14:cap="rnd" w14:cmpd="sng" w14:algn="ctr">
                            <w14:solidFill>
                              <w14:schemeClr w14:val="bg1"/>
                            </w14:solidFill>
                            <w14:prstDash w14:val="solid"/>
                            <w14:bevel/>
                          </w14:textOutline>
                        </w:rPr>
                      </w:pPr>
                      <w:r>
                        <w:rPr>
                          <w:rFonts w:ascii="Arial" w:hAnsi="Arial" w:cs="Arial"/>
                          <w:color w:val="FFFFFF" w:themeColor="background1"/>
                          <w:sz w:val="52"/>
                          <w:szCs w:val="52"/>
                          <w14:textOutline w14:w="9525" w14:cap="rnd" w14:cmpd="sng" w14:algn="ctr">
                            <w14:solidFill>
                              <w14:schemeClr w14:val="bg1"/>
                            </w14:solidFill>
                            <w14:prstDash w14:val="solid"/>
                            <w14:bevel/>
                          </w14:textOutline>
                        </w:rPr>
                        <w:t>REPORT TO THE COMMISSIONER OF THE ANTI-DUMPING COMMISSION</w:t>
                      </w:r>
                    </w:p>
                    <w:p w14:paraId="0F50F8EA" w14:textId="77777777" w:rsidR="000B20C3" w:rsidRDefault="000B20C3" w:rsidP="005B1BEB">
                      <w:pPr>
                        <w:rPr>
                          <w:rFonts w:ascii="Arial" w:hAnsi="Arial" w:cs="Arial"/>
                          <w:color w:val="FFFFFF" w:themeColor="background1"/>
                          <w:sz w:val="40"/>
                          <w:szCs w:val="40"/>
                          <w14:textOutline w14:w="9525" w14:cap="rnd" w14:cmpd="sng" w14:algn="ctr">
                            <w14:solidFill>
                              <w14:schemeClr w14:val="bg1"/>
                            </w14:solidFill>
                            <w14:prstDash w14:val="solid"/>
                            <w14:bevel/>
                          </w14:textOutline>
                        </w:rPr>
                      </w:pPr>
                    </w:p>
                    <w:p w14:paraId="3069F42A" w14:textId="77777777" w:rsidR="000B20C3" w:rsidRPr="004160C5" w:rsidRDefault="000B20C3" w:rsidP="005B1BEB">
                      <w:pPr>
                        <w:rPr>
                          <w:rFonts w:ascii="Arial" w:hAnsi="Arial" w:cs="Arial"/>
                          <w:color w:val="FFFFFF" w:themeColor="background1"/>
                          <w:sz w:val="40"/>
                          <w:szCs w:val="40"/>
                          <w14:textOutline w14:w="9525" w14:cap="rnd" w14:cmpd="sng" w14:algn="ctr">
                            <w14:solidFill>
                              <w14:schemeClr w14:val="bg1"/>
                            </w14:solidFill>
                            <w14:prstDash w14:val="solid"/>
                            <w14:bevel/>
                          </w14:textOutline>
                        </w:rPr>
                      </w:pPr>
                      <w:r>
                        <w:rPr>
                          <w:rFonts w:ascii="Arial" w:hAnsi="Arial" w:cs="Arial"/>
                          <w:color w:val="FFFFFF" w:themeColor="background1"/>
                          <w:sz w:val="40"/>
                          <w:szCs w:val="40"/>
                          <w14:textOutline w14:w="9525" w14:cap="rnd" w14:cmpd="sng" w14:algn="ctr">
                            <w14:solidFill>
                              <w14:schemeClr w14:val="bg1"/>
                            </w14:solidFill>
                            <w14:prstDash w14:val="solid"/>
                            <w14:bevel/>
                          </w14:textOutline>
                        </w:rPr>
                        <w:t>November 2017</w:t>
                      </w:r>
                    </w:p>
                  </w:txbxContent>
                </v:textbox>
              </v:shape>
            </w:pict>
          </mc:Fallback>
        </mc:AlternateContent>
      </w:r>
      <w:r>
        <w:rPr>
          <w:rFonts w:ascii="Arial" w:eastAsia="MS PGothic" w:hAnsi="Arial" w:cs="Times New Roman"/>
          <w:b/>
          <w:noProof/>
          <w:color w:val="FFFFFF"/>
          <w:spacing w:val="5"/>
          <w:kern w:val="28"/>
          <w:sz w:val="52"/>
          <w:szCs w:val="52"/>
          <w:lang w:eastAsia="en-AU"/>
        </w:rPr>
        <w:drawing>
          <wp:inline distT="0" distB="0" distL="0" distR="0" wp14:anchorId="45A3D2A6" wp14:editId="56DF239A">
            <wp:extent cx="6437742" cy="9360000"/>
            <wp:effectExtent l="0" t="0" r="127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DC_steelIndustry_front_cover_v1.jpg"/>
                    <pic:cNvPicPr/>
                  </pic:nvPicPr>
                  <pic:blipFill rotWithShape="1">
                    <a:blip r:embed="rId14" cstate="print">
                      <a:extLst>
                        <a:ext uri="{28A0092B-C50C-407E-A947-70E740481C1C}">
                          <a14:useLocalDpi xmlns:a14="http://schemas.microsoft.com/office/drawing/2010/main" val="0"/>
                        </a:ext>
                      </a:extLst>
                    </a:blip>
                    <a:srcRect l="4922" t="3165" r="4391" b="3586"/>
                    <a:stretch/>
                  </pic:blipFill>
                  <pic:spPr bwMode="auto">
                    <a:xfrm>
                      <a:off x="0" y="0"/>
                      <a:ext cx="6437742" cy="9360000"/>
                    </a:xfrm>
                    <a:prstGeom prst="rect">
                      <a:avLst/>
                    </a:prstGeom>
                    <a:ln>
                      <a:noFill/>
                    </a:ln>
                    <a:extLst>
                      <a:ext uri="{53640926-AAD7-44D8-BBD7-CCE9431645EC}">
                        <a14:shadowObscured xmlns:a14="http://schemas.microsoft.com/office/drawing/2010/main"/>
                      </a:ext>
                    </a:extLst>
                  </pic:spPr>
                </pic:pic>
              </a:graphicData>
            </a:graphic>
          </wp:inline>
        </w:drawing>
      </w:r>
    </w:p>
    <w:p w14:paraId="1B63521B" w14:textId="190631EA" w:rsidR="00113DB0" w:rsidRPr="007436A2" w:rsidRDefault="00113DB0" w:rsidP="00113DB0">
      <w:pPr>
        <w:spacing w:after="200" w:line="276" w:lineRule="auto"/>
        <w:rPr>
          <w:rFonts w:asciiTheme="majorHAnsi" w:hAnsiTheme="majorHAnsi"/>
          <w:b/>
          <w:color w:val="8496B0" w:themeColor="text2" w:themeTint="99"/>
          <w:sz w:val="28"/>
          <w:szCs w:val="28"/>
        </w:rPr>
      </w:pPr>
      <w:r w:rsidRPr="007436A2">
        <w:rPr>
          <w:rFonts w:asciiTheme="majorHAnsi" w:hAnsiTheme="majorHAnsi"/>
          <w:b/>
          <w:color w:val="8496B0" w:themeColor="text2" w:themeTint="99"/>
          <w:sz w:val="28"/>
          <w:szCs w:val="28"/>
        </w:rPr>
        <w:lastRenderedPageBreak/>
        <w:t>Abbreviations</w:t>
      </w:r>
    </w:p>
    <w:tbl>
      <w:tblPr>
        <w:tblStyle w:val="TableGrid2"/>
        <w:tblW w:w="0" w:type="auto"/>
        <w:tblLook w:val="04A0" w:firstRow="1" w:lastRow="0" w:firstColumn="1" w:lastColumn="0" w:noHBand="0" w:noVBand="1"/>
      </w:tblPr>
      <w:tblGrid>
        <w:gridCol w:w="2071"/>
        <w:gridCol w:w="6946"/>
      </w:tblGrid>
      <w:tr w:rsidR="00243BA8" w:rsidRPr="00CA2191" w14:paraId="793D843C" w14:textId="77777777" w:rsidTr="00243BA8">
        <w:tc>
          <w:tcPr>
            <w:tcW w:w="2071" w:type="dxa"/>
            <w:shd w:val="clear" w:color="auto" w:fill="auto"/>
          </w:tcPr>
          <w:p w14:paraId="4C51A768" w14:textId="77777777" w:rsidR="00243BA8" w:rsidRPr="00F446E4" w:rsidRDefault="00243BA8" w:rsidP="00443357">
            <w:r>
              <w:t>ABS</w:t>
            </w:r>
          </w:p>
        </w:tc>
        <w:tc>
          <w:tcPr>
            <w:tcW w:w="6946" w:type="dxa"/>
            <w:shd w:val="clear" w:color="auto" w:fill="auto"/>
          </w:tcPr>
          <w:p w14:paraId="73901333" w14:textId="77777777" w:rsidR="00243BA8" w:rsidRPr="00F446E4" w:rsidRDefault="00243BA8" w:rsidP="00243BA8">
            <w:r>
              <w:t xml:space="preserve">Australian Bureau of Statistics </w:t>
            </w:r>
          </w:p>
        </w:tc>
      </w:tr>
      <w:tr w:rsidR="00113DB0" w:rsidRPr="00CA2191" w14:paraId="5D2603BC" w14:textId="77777777" w:rsidTr="00243BA8">
        <w:tc>
          <w:tcPr>
            <w:tcW w:w="2071" w:type="dxa"/>
            <w:shd w:val="clear" w:color="auto" w:fill="auto"/>
          </w:tcPr>
          <w:p w14:paraId="4806E39D" w14:textId="77777777" w:rsidR="00113DB0" w:rsidRPr="00F446E4" w:rsidRDefault="00113DB0" w:rsidP="00443357">
            <w:r w:rsidRPr="00F446E4">
              <w:t>ADIS</w:t>
            </w:r>
          </w:p>
        </w:tc>
        <w:tc>
          <w:tcPr>
            <w:tcW w:w="6946" w:type="dxa"/>
            <w:shd w:val="clear" w:color="auto" w:fill="auto"/>
          </w:tcPr>
          <w:p w14:paraId="4B56D494" w14:textId="77777777" w:rsidR="00113DB0" w:rsidRPr="00F446E4" w:rsidRDefault="00113DB0" w:rsidP="00443357">
            <w:r w:rsidRPr="00F446E4">
              <w:t>Anti-Dumping Information Service (a function within the Commission)</w:t>
            </w:r>
          </w:p>
        </w:tc>
      </w:tr>
      <w:tr w:rsidR="00AC211B" w:rsidRPr="00CA2191" w14:paraId="5B70A856" w14:textId="77777777" w:rsidTr="00243BA8">
        <w:tc>
          <w:tcPr>
            <w:tcW w:w="2071" w:type="dxa"/>
            <w:shd w:val="clear" w:color="auto" w:fill="auto"/>
          </w:tcPr>
          <w:p w14:paraId="166A3890" w14:textId="77777777" w:rsidR="00AC211B" w:rsidRPr="00F446E4" w:rsidRDefault="00AC211B" w:rsidP="00443357">
            <w:r w:rsidRPr="00C67AFF">
              <w:t>ANZSIC</w:t>
            </w:r>
          </w:p>
        </w:tc>
        <w:tc>
          <w:tcPr>
            <w:tcW w:w="6946" w:type="dxa"/>
            <w:shd w:val="clear" w:color="auto" w:fill="auto"/>
          </w:tcPr>
          <w:p w14:paraId="0408AA0F" w14:textId="77777777" w:rsidR="00AC211B" w:rsidRPr="00F446E4" w:rsidRDefault="00AC211B" w:rsidP="00AC211B">
            <w:r w:rsidRPr="00C67AFF">
              <w:t>Australian and New Zealand Standard Industrial Classification</w:t>
            </w:r>
          </w:p>
        </w:tc>
      </w:tr>
      <w:tr w:rsidR="00AC211B" w:rsidRPr="00CA2191" w14:paraId="3DFC4A2A" w14:textId="77777777" w:rsidTr="00243BA8">
        <w:tc>
          <w:tcPr>
            <w:tcW w:w="2071" w:type="dxa"/>
            <w:shd w:val="clear" w:color="auto" w:fill="auto"/>
          </w:tcPr>
          <w:p w14:paraId="0BF6CF80" w14:textId="77777777" w:rsidR="00AC211B" w:rsidRPr="00F446E4" w:rsidRDefault="00AC211B" w:rsidP="00443357">
            <w:r w:rsidRPr="00AC211B">
              <w:t>AHECC</w:t>
            </w:r>
          </w:p>
        </w:tc>
        <w:tc>
          <w:tcPr>
            <w:tcW w:w="6946" w:type="dxa"/>
            <w:shd w:val="clear" w:color="auto" w:fill="auto"/>
          </w:tcPr>
          <w:p w14:paraId="16831654" w14:textId="77777777" w:rsidR="00AC211B" w:rsidRPr="00F446E4" w:rsidRDefault="00AC211B" w:rsidP="00AC211B">
            <w:r w:rsidRPr="00AC211B">
              <w:t xml:space="preserve">Australian Harmonized Export Commodity Classification </w:t>
            </w:r>
          </w:p>
        </w:tc>
      </w:tr>
      <w:tr w:rsidR="00113DB0" w:rsidRPr="00CA2191" w14:paraId="42582971" w14:textId="77777777" w:rsidTr="00243BA8">
        <w:tc>
          <w:tcPr>
            <w:tcW w:w="2071" w:type="dxa"/>
            <w:shd w:val="clear" w:color="auto" w:fill="auto"/>
          </w:tcPr>
          <w:p w14:paraId="12B60933" w14:textId="77777777" w:rsidR="00113DB0" w:rsidRPr="00F446E4" w:rsidRDefault="00113DB0" w:rsidP="00443357">
            <w:r w:rsidRPr="00F446E4">
              <w:t>the Commission</w:t>
            </w:r>
          </w:p>
        </w:tc>
        <w:tc>
          <w:tcPr>
            <w:tcW w:w="6946" w:type="dxa"/>
            <w:shd w:val="clear" w:color="auto" w:fill="auto"/>
          </w:tcPr>
          <w:p w14:paraId="6C8B9821" w14:textId="77777777" w:rsidR="00113DB0" w:rsidRPr="00F446E4" w:rsidRDefault="00113DB0" w:rsidP="00443357">
            <w:r w:rsidRPr="00F446E4">
              <w:t>Anti-Dumping Commission</w:t>
            </w:r>
          </w:p>
        </w:tc>
      </w:tr>
      <w:tr w:rsidR="00113DB0" w:rsidRPr="00CA2191" w14:paraId="628A9E6B" w14:textId="77777777" w:rsidTr="00243BA8">
        <w:tc>
          <w:tcPr>
            <w:tcW w:w="2071" w:type="dxa"/>
            <w:shd w:val="clear" w:color="auto" w:fill="auto"/>
          </w:tcPr>
          <w:p w14:paraId="4B3AACD7" w14:textId="77777777" w:rsidR="00113DB0" w:rsidRPr="00F446E4" w:rsidRDefault="00113DB0" w:rsidP="00443357">
            <w:r w:rsidRPr="00F446E4">
              <w:t xml:space="preserve">the Commissioner </w:t>
            </w:r>
          </w:p>
        </w:tc>
        <w:tc>
          <w:tcPr>
            <w:tcW w:w="6946" w:type="dxa"/>
            <w:shd w:val="clear" w:color="auto" w:fill="auto"/>
          </w:tcPr>
          <w:p w14:paraId="25059750" w14:textId="77777777" w:rsidR="00113DB0" w:rsidRPr="00F446E4" w:rsidRDefault="00113DB0" w:rsidP="00443357">
            <w:r w:rsidRPr="00F446E4">
              <w:t>Commissioner of the Anti-Dumping Commission</w:t>
            </w:r>
          </w:p>
        </w:tc>
      </w:tr>
      <w:tr w:rsidR="00113DB0" w:rsidRPr="00CA2191" w14:paraId="39C2B878" w14:textId="77777777" w:rsidTr="00243BA8">
        <w:tc>
          <w:tcPr>
            <w:tcW w:w="2071" w:type="dxa"/>
            <w:shd w:val="clear" w:color="auto" w:fill="auto"/>
          </w:tcPr>
          <w:p w14:paraId="7AEC5E36" w14:textId="77777777" w:rsidR="00113DB0" w:rsidRPr="00F446E4" w:rsidRDefault="00113DB0" w:rsidP="00443357">
            <w:r w:rsidRPr="00F446E4">
              <w:t>DIBP</w:t>
            </w:r>
          </w:p>
        </w:tc>
        <w:tc>
          <w:tcPr>
            <w:tcW w:w="6946" w:type="dxa"/>
            <w:shd w:val="clear" w:color="auto" w:fill="auto"/>
          </w:tcPr>
          <w:p w14:paraId="58E73AAC" w14:textId="77777777" w:rsidR="00113DB0" w:rsidRPr="00F446E4" w:rsidRDefault="00113DB0" w:rsidP="00443357">
            <w:r w:rsidRPr="00F446E4">
              <w:t>Department of Immigration and Border Protection</w:t>
            </w:r>
          </w:p>
        </w:tc>
      </w:tr>
      <w:tr w:rsidR="00113DB0" w:rsidRPr="00CA2191" w14:paraId="7F263FEB" w14:textId="77777777" w:rsidTr="00243BA8">
        <w:tc>
          <w:tcPr>
            <w:tcW w:w="2071" w:type="dxa"/>
            <w:shd w:val="clear" w:color="auto" w:fill="auto"/>
          </w:tcPr>
          <w:p w14:paraId="7E2BA137" w14:textId="77777777" w:rsidR="00113DB0" w:rsidRPr="00F446E4" w:rsidRDefault="00113DB0" w:rsidP="00443357">
            <w:r>
              <w:t>DIIS</w:t>
            </w:r>
          </w:p>
        </w:tc>
        <w:tc>
          <w:tcPr>
            <w:tcW w:w="6946" w:type="dxa"/>
            <w:shd w:val="clear" w:color="auto" w:fill="auto"/>
          </w:tcPr>
          <w:p w14:paraId="6AD4C213" w14:textId="77777777" w:rsidR="00113DB0" w:rsidRPr="00F446E4" w:rsidRDefault="00113DB0" w:rsidP="00443357">
            <w:r>
              <w:t>Department of Industry, Innovation and Science</w:t>
            </w:r>
          </w:p>
        </w:tc>
      </w:tr>
      <w:tr w:rsidR="005C2028" w:rsidRPr="00CA2191" w14:paraId="2814090F" w14:textId="77777777" w:rsidTr="00243BA8">
        <w:tc>
          <w:tcPr>
            <w:tcW w:w="2071" w:type="dxa"/>
            <w:shd w:val="clear" w:color="auto" w:fill="auto"/>
          </w:tcPr>
          <w:p w14:paraId="796F25A9" w14:textId="77777777" w:rsidR="005C2028" w:rsidRDefault="005C2028" w:rsidP="00443357">
            <w:r>
              <w:t>EU</w:t>
            </w:r>
          </w:p>
        </w:tc>
        <w:tc>
          <w:tcPr>
            <w:tcW w:w="6946" w:type="dxa"/>
            <w:shd w:val="clear" w:color="auto" w:fill="auto"/>
          </w:tcPr>
          <w:p w14:paraId="3804B802" w14:textId="77777777" w:rsidR="005C2028" w:rsidRDefault="005C2028" w:rsidP="00443357">
            <w:r>
              <w:t>European Union</w:t>
            </w:r>
          </w:p>
        </w:tc>
      </w:tr>
      <w:tr w:rsidR="00113DB0" w:rsidRPr="00CA2191" w14:paraId="28B158D2" w14:textId="77777777" w:rsidTr="00243BA8">
        <w:tc>
          <w:tcPr>
            <w:tcW w:w="2071" w:type="dxa"/>
            <w:shd w:val="clear" w:color="auto" w:fill="auto"/>
          </w:tcPr>
          <w:p w14:paraId="23AC403E" w14:textId="77777777" w:rsidR="00113DB0" w:rsidRPr="00F446E4" w:rsidRDefault="00113DB0" w:rsidP="00443357">
            <w:r>
              <w:t>g</w:t>
            </w:r>
            <w:r w:rsidRPr="00F446E4">
              <w:t>alvanised steel</w:t>
            </w:r>
          </w:p>
        </w:tc>
        <w:tc>
          <w:tcPr>
            <w:tcW w:w="6946" w:type="dxa"/>
            <w:shd w:val="clear" w:color="auto" w:fill="auto"/>
          </w:tcPr>
          <w:p w14:paraId="2229626B" w14:textId="77777777" w:rsidR="00113DB0" w:rsidRPr="00F446E4" w:rsidRDefault="00113DB0" w:rsidP="00443357">
            <w:r>
              <w:t>z</w:t>
            </w:r>
            <w:r w:rsidRPr="00F446E4">
              <w:t>inc coated (galvanised) steel</w:t>
            </w:r>
          </w:p>
        </w:tc>
      </w:tr>
      <w:tr w:rsidR="00B522A6" w:rsidRPr="00CA2191" w14:paraId="714ACA07" w14:textId="77777777" w:rsidTr="00243BA8">
        <w:tc>
          <w:tcPr>
            <w:tcW w:w="2071" w:type="dxa"/>
            <w:shd w:val="clear" w:color="auto" w:fill="auto"/>
          </w:tcPr>
          <w:p w14:paraId="36A941BD" w14:textId="77777777" w:rsidR="00B522A6" w:rsidRDefault="00B522A6" w:rsidP="00443357">
            <w:r>
              <w:t>G20</w:t>
            </w:r>
            <w:r w:rsidR="003D22AF">
              <w:t xml:space="preserve"> nations</w:t>
            </w:r>
          </w:p>
        </w:tc>
        <w:tc>
          <w:tcPr>
            <w:tcW w:w="6946" w:type="dxa"/>
            <w:shd w:val="clear" w:color="auto" w:fill="auto"/>
          </w:tcPr>
          <w:p w14:paraId="164BB426" w14:textId="77777777" w:rsidR="00B522A6" w:rsidRDefault="00B522A6" w:rsidP="00B522A6">
            <w:r>
              <w:t xml:space="preserve">the Group of Twenty, which </w:t>
            </w:r>
            <w:r w:rsidRPr="00B522A6">
              <w:t>comprise</w:t>
            </w:r>
            <w:r>
              <w:t>s</w:t>
            </w:r>
            <w:r w:rsidRPr="00B522A6">
              <w:t xml:space="preserve"> the European Union</w:t>
            </w:r>
            <w:r>
              <w:t xml:space="preserve"> plus 19 nations:</w:t>
            </w:r>
            <w:r w:rsidRPr="00B522A6">
              <w:t xml:space="preserve"> Argentina, Australia, Brazil, Canada, China, France, Germany, India, Indonesia, Italy, Japan, Mexico, Russia, Saudi Arabia, South Africa, South Korea, Turkey, the United Kingdom and the United States of America</w:t>
            </w:r>
          </w:p>
        </w:tc>
      </w:tr>
      <w:tr w:rsidR="00113DB0" w:rsidRPr="00CA2191" w14:paraId="61368C08" w14:textId="77777777" w:rsidTr="00243BA8">
        <w:tc>
          <w:tcPr>
            <w:tcW w:w="2071" w:type="dxa"/>
            <w:shd w:val="clear" w:color="auto" w:fill="auto"/>
          </w:tcPr>
          <w:p w14:paraId="5D355F89" w14:textId="77777777" w:rsidR="00113DB0" w:rsidRDefault="00113DB0" w:rsidP="00443357">
            <w:r>
              <w:t>GFC</w:t>
            </w:r>
          </w:p>
        </w:tc>
        <w:tc>
          <w:tcPr>
            <w:tcW w:w="6946" w:type="dxa"/>
            <w:shd w:val="clear" w:color="auto" w:fill="auto"/>
          </w:tcPr>
          <w:p w14:paraId="639EE14F" w14:textId="77777777" w:rsidR="00113DB0" w:rsidRDefault="00113DB0" w:rsidP="00443357">
            <w:r>
              <w:t>global financial crisis</w:t>
            </w:r>
          </w:p>
        </w:tc>
      </w:tr>
      <w:tr w:rsidR="00113DB0" w:rsidRPr="00CA2191" w14:paraId="40E2B1D2" w14:textId="77777777" w:rsidTr="00243BA8">
        <w:tc>
          <w:tcPr>
            <w:tcW w:w="2071" w:type="dxa"/>
            <w:shd w:val="clear" w:color="auto" w:fill="auto"/>
          </w:tcPr>
          <w:p w14:paraId="04A7042C" w14:textId="77777777" w:rsidR="00113DB0" w:rsidRPr="00F446E4" w:rsidRDefault="00113DB0" w:rsidP="00443357">
            <w:r w:rsidRPr="00F446E4">
              <w:t>HSS</w:t>
            </w:r>
          </w:p>
        </w:tc>
        <w:tc>
          <w:tcPr>
            <w:tcW w:w="6946" w:type="dxa"/>
            <w:shd w:val="clear" w:color="auto" w:fill="auto"/>
          </w:tcPr>
          <w:p w14:paraId="1657C9BA" w14:textId="77777777" w:rsidR="00113DB0" w:rsidRPr="00F446E4" w:rsidRDefault="00113DB0" w:rsidP="00443357">
            <w:r w:rsidRPr="00F446E4">
              <w:t>hollow structural sections</w:t>
            </w:r>
          </w:p>
        </w:tc>
      </w:tr>
      <w:tr w:rsidR="00A819B1" w:rsidRPr="00CA2191" w14:paraId="71D35995" w14:textId="77777777" w:rsidTr="00243BA8">
        <w:tc>
          <w:tcPr>
            <w:tcW w:w="2071" w:type="dxa"/>
            <w:shd w:val="clear" w:color="auto" w:fill="auto"/>
          </w:tcPr>
          <w:p w14:paraId="53CCA98B" w14:textId="77777777" w:rsidR="00A819B1" w:rsidRPr="00F446E4" w:rsidRDefault="00A819B1" w:rsidP="00443357">
            <w:r>
              <w:t>ITC</w:t>
            </w:r>
          </w:p>
        </w:tc>
        <w:tc>
          <w:tcPr>
            <w:tcW w:w="6946" w:type="dxa"/>
            <w:shd w:val="clear" w:color="auto" w:fill="auto"/>
          </w:tcPr>
          <w:p w14:paraId="6D9114AE" w14:textId="77777777" w:rsidR="00A819B1" w:rsidRPr="00F446E4" w:rsidRDefault="00A819B1" w:rsidP="00A819B1">
            <w:r w:rsidRPr="002C74D8">
              <w:t xml:space="preserve">United States International Trade Commission </w:t>
            </w:r>
          </w:p>
        </w:tc>
      </w:tr>
      <w:tr w:rsidR="00113DB0" w:rsidRPr="00CA2191" w14:paraId="0F9EB66D" w14:textId="77777777" w:rsidTr="00243BA8">
        <w:tc>
          <w:tcPr>
            <w:tcW w:w="2071" w:type="dxa"/>
            <w:shd w:val="clear" w:color="auto" w:fill="auto"/>
          </w:tcPr>
          <w:p w14:paraId="5420AB6E" w14:textId="77777777" w:rsidR="00113DB0" w:rsidRPr="00F446E4" w:rsidRDefault="00113DB0" w:rsidP="00443357">
            <w:r>
              <w:t>ITRA</w:t>
            </w:r>
          </w:p>
        </w:tc>
        <w:tc>
          <w:tcPr>
            <w:tcW w:w="6946" w:type="dxa"/>
            <w:shd w:val="clear" w:color="auto" w:fill="auto"/>
          </w:tcPr>
          <w:p w14:paraId="045D7002" w14:textId="77777777" w:rsidR="00113DB0" w:rsidRPr="00F446E4" w:rsidRDefault="00113DB0" w:rsidP="00443357">
            <w:r>
              <w:t>International Trade Remedies Advisory Service</w:t>
            </w:r>
          </w:p>
        </w:tc>
      </w:tr>
      <w:tr w:rsidR="00113DB0" w:rsidRPr="00CA2191" w14:paraId="5A894D72" w14:textId="77777777" w:rsidTr="00243BA8">
        <w:tc>
          <w:tcPr>
            <w:tcW w:w="2071" w:type="dxa"/>
            <w:shd w:val="clear" w:color="auto" w:fill="auto"/>
          </w:tcPr>
          <w:p w14:paraId="56C921D4" w14:textId="77777777" w:rsidR="00113DB0" w:rsidRPr="00F446E4" w:rsidRDefault="00113DB0" w:rsidP="00443357">
            <w:r w:rsidRPr="00F446E4">
              <w:t>ITRF</w:t>
            </w:r>
          </w:p>
        </w:tc>
        <w:tc>
          <w:tcPr>
            <w:tcW w:w="6946" w:type="dxa"/>
            <w:shd w:val="clear" w:color="auto" w:fill="auto"/>
          </w:tcPr>
          <w:p w14:paraId="7D239EA0" w14:textId="77777777" w:rsidR="00113DB0" w:rsidRPr="00F446E4" w:rsidRDefault="00113DB0" w:rsidP="00443357">
            <w:r w:rsidRPr="00F446E4">
              <w:t>International Trade Remedies Forum</w:t>
            </w:r>
          </w:p>
        </w:tc>
      </w:tr>
      <w:tr w:rsidR="00B37C6B" w:rsidRPr="00CA2191" w14:paraId="72813408" w14:textId="77777777" w:rsidTr="00243BA8">
        <w:tc>
          <w:tcPr>
            <w:tcW w:w="2071" w:type="dxa"/>
            <w:shd w:val="clear" w:color="auto" w:fill="auto"/>
          </w:tcPr>
          <w:p w14:paraId="606CE8DA" w14:textId="77777777" w:rsidR="00B37C6B" w:rsidRPr="00F446E4" w:rsidRDefault="00B37C6B" w:rsidP="00443357">
            <w:proofErr w:type="spellStart"/>
            <w:r>
              <w:t>mmt</w:t>
            </w:r>
            <w:proofErr w:type="spellEnd"/>
          </w:p>
        </w:tc>
        <w:tc>
          <w:tcPr>
            <w:tcW w:w="6946" w:type="dxa"/>
            <w:shd w:val="clear" w:color="auto" w:fill="auto"/>
          </w:tcPr>
          <w:p w14:paraId="4D2DD640" w14:textId="77777777" w:rsidR="00B37C6B" w:rsidRPr="00F446E4" w:rsidRDefault="00B37C6B" w:rsidP="00B37C6B">
            <w:r>
              <w:t>million metric tonnes</w:t>
            </w:r>
          </w:p>
        </w:tc>
      </w:tr>
      <w:tr w:rsidR="00113DB0" w:rsidRPr="00CA2191" w14:paraId="3D1ECC6F" w14:textId="77777777" w:rsidTr="00243BA8">
        <w:tc>
          <w:tcPr>
            <w:tcW w:w="2071" w:type="dxa"/>
            <w:shd w:val="clear" w:color="auto" w:fill="auto"/>
          </w:tcPr>
          <w:p w14:paraId="61B60E7D" w14:textId="77777777" w:rsidR="00113DB0" w:rsidRPr="00F446E4" w:rsidRDefault="00113DB0" w:rsidP="00443357">
            <w:r>
              <w:t>OECD</w:t>
            </w:r>
          </w:p>
        </w:tc>
        <w:tc>
          <w:tcPr>
            <w:tcW w:w="6946" w:type="dxa"/>
            <w:shd w:val="clear" w:color="auto" w:fill="auto"/>
          </w:tcPr>
          <w:p w14:paraId="2056CDB8" w14:textId="77777777" w:rsidR="00113DB0" w:rsidRPr="00F446E4" w:rsidRDefault="00113DB0" w:rsidP="00443357">
            <w:r w:rsidRPr="00720D4C">
              <w:rPr>
                <w:rFonts w:cs="Calibri"/>
              </w:rPr>
              <w:t>Organisation for Economic Development and Co-operation</w:t>
            </w:r>
          </w:p>
        </w:tc>
      </w:tr>
      <w:tr w:rsidR="00113DB0" w:rsidRPr="00CA2191" w14:paraId="56FFDBAF" w14:textId="77777777" w:rsidTr="00243BA8">
        <w:tc>
          <w:tcPr>
            <w:tcW w:w="2071" w:type="dxa"/>
            <w:shd w:val="clear" w:color="auto" w:fill="auto"/>
          </w:tcPr>
          <w:p w14:paraId="619587D4" w14:textId="77777777" w:rsidR="00113DB0" w:rsidRPr="00F446E4" w:rsidRDefault="00113DB0" w:rsidP="00443357">
            <w:r>
              <w:t>r</w:t>
            </w:r>
            <w:r w:rsidRPr="00F446E4">
              <w:t>ebar</w:t>
            </w:r>
          </w:p>
        </w:tc>
        <w:tc>
          <w:tcPr>
            <w:tcW w:w="6946" w:type="dxa"/>
            <w:shd w:val="clear" w:color="auto" w:fill="auto"/>
          </w:tcPr>
          <w:p w14:paraId="4088B11F" w14:textId="77777777" w:rsidR="00113DB0" w:rsidRPr="00F446E4" w:rsidRDefault="00113DB0" w:rsidP="00443357">
            <w:r>
              <w:t>s</w:t>
            </w:r>
            <w:r w:rsidRPr="00F446E4">
              <w:t>teel reinforcing bar</w:t>
            </w:r>
          </w:p>
        </w:tc>
      </w:tr>
      <w:tr w:rsidR="00113DB0" w:rsidRPr="00CA2191" w14:paraId="000FB24A" w14:textId="77777777" w:rsidTr="00243BA8">
        <w:tc>
          <w:tcPr>
            <w:tcW w:w="2071" w:type="dxa"/>
            <w:shd w:val="clear" w:color="auto" w:fill="auto"/>
          </w:tcPr>
          <w:p w14:paraId="309BB838" w14:textId="77777777" w:rsidR="00113DB0" w:rsidRPr="00F446E4" w:rsidRDefault="00113DB0" w:rsidP="00443357">
            <w:pPr>
              <w:rPr>
                <w:rFonts w:cs="Times New Roman"/>
                <w:color w:val="000000"/>
              </w:rPr>
            </w:pPr>
            <w:r w:rsidRPr="00F446E4">
              <w:rPr>
                <w:rFonts w:cs="Times New Roman"/>
                <w:color w:val="000000"/>
              </w:rPr>
              <w:t>SMEs</w:t>
            </w:r>
          </w:p>
        </w:tc>
        <w:tc>
          <w:tcPr>
            <w:tcW w:w="6946" w:type="dxa"/>
            <w:shd w:val="clear" w:color="auto" w:fill="auto"/>
          </w:tcPr>
          <w:p w14:paraId="60F7088B" w14:textId="77777777" w:rsidR="00113DB0" w:rsidRPr="00F446E4" w:rsidRDefault="00113DB0" w:rsidP="00443357">
            <w:pPr>
              <w:rPr>
                <w:rFonts w:cs="Times New Roman"/>
                <w:i/>
                <w:iCs/>
                <w:color w:val="000000"/>
              </w:rPr>
            </w:pPr>
            <w:r w:rsidRPr="00F446E4">
              <w:rPr>
                <w:rFonts w:cs="Times New Roman"/>
                <w:color w:val="000000"/>
              </w:rPr>
              <w:t>small and medium enterprises</w:t>
            </w:r>
          </w:p>
        </w:tc>
      </w:tr>
      <w:tr w:rsidR="0043729F" w:rsidRPr="00CA2191" w14:paraId="430144B3" w14:textId="77777777" w:rsidTr="00243BA8">
        <w:tc>
          <w:tcPr>
            <w:tcW w:w="2071" w:type="dxa"/>
            <w:shd w:val="clear" w:color="auto" w:fill="auto"/>
          </w:tcPr>
          <w:p w14:paraId="753762AC" w14:textId="77777777" w:rsidR="0043729F" w:rsidRPr="00F446E4" w:rsidRDefault="0043729F" w:rsidP="00443357">
            <w:pPr>
              <w:rPr>
                <w:rFonts w:cs="Times New Roman"/>
                <w:color w:val="000000"/>
              </w:rPr>
            </w:pPr>
            <w:proofErr w:type="spellStart"/>
            <w:r>
              <w:rPr>
                <w:rFonts w:cs="Times New Roman"/>
                <w:color w:val="000000"/>
              </w:rPr>
              <w:t>tpy</w:t>
            </w:r>
            <w:proofErr w:type="spellEnd"/>
          </w:p>
        </w:tc>
        <w:tc>
          <w:tcPr>
            <w:tcW w:w="6946" w:type="dxa"/>
            <w:shd w:val="clear" w:color="auto" w:fill="auto"/>
          </w:tcPr>
          <w:p w14:paraId="68D15D9D" w14:textId="77777777" w:rsidR="0043729F" w:rsidRPr="00F446E4" w:rsidRDefault="0043729F" w:rsidP="0043729F">
            <w:pPr>
              <w:rPr>
                <w:rFonts w:cs="Times New Roman"/>
                <w:color w:val="000000"/>
              </w:rPr>
            </w:pPr>
            <w:proofErr w:type="spellStart"/>
            <w:r w:rsidRPr="007901A4">
              <w:rPr>
                <w:lang w:val="en"/>
              </w:rPr>
              <w:t>tonnes</w:t>
            </w:r>
            <w:proofErr w:type="spellEnd"/>
            <w:r w:rsidRPr="007901A4">
              <w:rPr>
                <w:lang w:val="en"/>
              </w:rPr>
              <w:t xml:space="preserve"> per year </w:t>
            </w:r>
          </w:p>
        </w:tc>
      </w:tr>
      <w:tr w:rsidR="00113DB0" w:rsidRPr="00CA2191" w14:paraId="2E423591" w14:textId="77777777" w:rsidTr="00243BA8">
        <w:tc>
          <w:tcPr>
            <w:tcW w:w="2071" w:type="dxa"/>
            <w:shd w:val="clear" w:color="auto" w:fill="auto"/>
          </w:tcPr>
          <w:p w14:paraId="22B559C0" w14:textId="77777777" w:rsidR="00113DB0" w:rsidRPr="00F446E4" w:rsidRDefault="00113DB0" w:rsidP="00443357">
            <w:pPr>
              <w:rPr>
                <w:rFonts w:cs="Times New Roman"/>
                <w:color w:val="000000"/>
              </w:rPr>
            </w:pPr>
            <w:r>
              <w:rPr>
                <w:rFonts w:cs="Times New Roman"/>
                <w:color w:val="000000"/>
              </w:rPr>
              <w:t>WTO</w:t>
            </w:r>
          </w:p>
        </w:tc>
        <w:tc>
          <w:tcPr>
            <w:tcW w:w="6946" w:type="dxa"/>
            <w:shd w:val="clear" w:color="auto" w:fill="auto"/>
          </w:tcPr>
          <w:p w14:paraId="2240E29C" w14:textId="77777777" w:rsidR="00113DB0" w:rsidRPr="00F446E4" w:rsidRDefault="00113DB0" w:rsidP="00443357">
            <w:pPr>
              <w:rPr>
                <w:rFonts w:cs="Times New Roman"/>
                <w:color w:val="000000"/>
              </w:rPr>
            </w:pPr>
            <w:r>
              <w:t>World Trade Organization</w:t>
            </w:r>
          </w:p>
        </w:tc>
      </w:tr>
    </w:tbl>
    <w:p w14:paraId="353645C8" w14:textId="77777777" w:rsidR="0092094C" w:rsidRDefault="0092094C" w:rsidP="0092094C">
      <w:pPr>
        <w:spacing w:after="160" w:line="259" w:lineRule="auto"/>
        <w:rPr>
          <w:rFonts w:asciiTheme="majorHAnsi" w:hAnsiTheme="majorHAnsi"/>
          <w:b/>
          <w:color w:val="8496B0" w:themeColor="text2" w:themeTint="99"/>
          <w:sz w:val="28"/>
          <w:szCs w:val="28"/>
        </w:rPr>
      </w:pPr>
    </w:p>
    <w:p w14:paraId="178910C0" w14:textId="77777777" w:rsidR="0092094C" w:rsidRDefault="0092094C">
      <w:pPr>
        <w:spacing w:after="160" w:line="259" w:lineRule="auto"/>
        <w:rPr>
          <w:rFonts w:asciiTheme="majorHAnsi" w:hAnsiTheme="majorHAnsi"/>
          <w:b/>
          <w:color w:val="8496B0" w:themeColor="text2" w:themeTint="99"/>
          <w:sz w:val="28"/>
          <w:szCs w:val="28"/>
        </w:rPr>
      </w:pPr>
      <w:r>
        <w:rPr>
          <w:rFonts w:asciiTheme="majorHAnsi" w:hAnsiTheme="majorHAnsi"/>
          <w:b/>
          <w:color w:val="8496B0" w:themeColor="text2" w:themeTint="99"/>
          <w:sz w:val="28"/>
          <w:szCs w:val="28"/>
        </w:rPr>
        <w:br w:type="page"/>
      </w:r>
    </w:p>
    <w:p w14:paraId="7CE08F40" w14:textId="0EDEE1CC" w:rsidR="00113DB0" w:rsidRPr="00601C48" w:rsidRDefault="00113DB0" w:rsidP="0092094C">
      <w:pPr>
        <w:spacing w:after="160" w:line="259" w:lineRule="auto"/>
        <w:rPr>
          <w:rFonts w:asciiTheme="majorHAnsi" w:hAnsiTheme="majorHAnsi"/>
          <w:b/>
          <w:color w:val="8496B0" w:themeColor="text2" w:themeTint="99"/>
          <w:sz w:val="28"/>
          <w:szCs w:val="28"/>
        </w:rPr>
      </w:pPr>
      <w:r w:rsidRPr="00601C48">
        <w:rPr>
          <w:rFonts w:asciiTheme="majorHAnsi" w:hAnsiTheme="majorHAnsi"/>
          <w:b/>
          <w:color w:val="8496B0" w:themeColor="text2" w:themeTint="99"/>
          <w:sz w:val="28"/>
          <w:szCs w:val="28"/>
        </w:rPr>
        <w:lastRenderedPageBreak/>
        <w:t>Technical terms glossary</w:t>
      </w:r>
    </w:p>
    <w:tbl>
      <w:tblPr>
        <w:tblStyle w:val="TableGrid"/>
        <w:tblW w:w="0" w:type="auto"/>
        <w:tblLook w:val="04A0" w:firstRow="1" w:lastRow="0" w:firstColumn="1" w:lastColumn="0" w:noHBand="0" w:noVBand="1"/>
      </w:tblPr>
      <w:tblGrid>
        <w:gridCol w:w="2047"/>
        <w:gridCol w:w="6970"/>
      </w:tblGrid>
      <w:tr w:rsidR="00113DB0" w14:paraId="41AE6FC8" w14:textId="77777777" w:rsidTr="00653340">
        <w:tc>
          <w:tcPr>
            <w:tcW w:w="2047" w:type="dxa"/>
          </w:tcPr>
          <w:p w14:paraId="4DE475EC" w14:textId="77777777" w:rsidR="00113DB0" w:rsidRDefault="00113DB0" w:rsidP="00443357">
            <w:r w:rsidRPr="00601C48">
              <w:t>Chain volume measures</w:t>
            </w:r>
          </w:p>
        </w:tc>
        <w:tc>
          <w:tcPr>
            <w:tcW w:w="6970" w:type="dxa"/>
          </w:tcPr>
          <w:p w14:paraId="4A872B00" w14:textId="77777777" w:rsidR="00113DB0" w:rsidRDefault="00113DB0" w:rsidP="00443357">
            <w:r>
              <w:t xml:space="preserve">These measures of volume </w:t>
            </w:r>
            <w:r w:rsidRPr="00601C48">
              <w:t>only vary with changes in the quantities of commodities produced or sold. Chain volume measures value quantities by using prices in a base period which is updated annually. These annually reweighted (rebased) volume change measures are then linked, or "chained" together to produce a time series of chain volume measures</w:t>
            </w:r>
            <w:r>
              <w:t>.</w:t>
            </w:r>
          </w:p>
          <w:p w14:paraId="508CB952" w14:textId="77777777" w:rsidR="0092094C" w:rsidRPr="0092094C" w:rsidRDefault="0092094C" w:rsidP="00443357">
            <w:pPr>
              <w:rPr>
                <w:sz w:val="10"/>
                <w:szCs w:val="10"/>
              </w:rPr>
            </w:pPr>
          </w:p>
        </w:tc>
      </w:tr>
      <w:tr w:rsidR="00640F84" w14:paraId="67A28D66" w14:textId="77777777" w:rsidTr="00653340">
        <w:tc>
          <w:tcPr>
            <w:tcW w:w="2047" w:type="dxa"/>
          </w:tcPr>
          <w:p w14:paraId="5C032232" w14:textId="77777777" w:rsidR="00640F84" w:rsidRPr="00601C48" w:rsidRDefault="00640F84" w:rsidP="00443357">
            <w:r>
              <w:t>Demand/production imbalance</w:t>
            </w:r>
          </w:p>
        </w:tc>
        <w:tc>
          <w:tcPr>
            <w:tcW w:w="6970" w:type="dxa"/>
          </w:tcPr>
          <w:p w14:paraId="29FCFECF" w14:textId="77777777" w:rsidR="00640F84" w:rsidRDefault="00640F84" w:rsidP="00640F84">
            <w:r>
              <w:t>An imbalance between demand and supply of a product at prices that reflect efficient costs of production; in economic terminology, disequilibrium between demand and supply.</w:t>
            </w:r>
          </w:p>
          <w:p w14:paraId="7F43D07F" w14:textId="77777777" w:rsidR="0092094C" w:rsidRPr="0092094C" w:rsidRDefault="0092094C" w:rsidP="00640F84">
            <w:pPr>
              <w:rPr>
                <w:sz w:val="10"/>
                <w:szCs w:val="10"/>
              </w:rPr>
            </w:pPr>
          </w:p>
        </w:tc>
      </w:tr>
      <w:tr w:rsidR="00113DB0" w14:paraId="13D3D997" w14:textId="77777777" w:rsidTr="00653340">
        <w:tc>
          <w:tcPr>
            <w:tcW w:w="2047" w:type="dxa"/>
          </w:tcPr>
          <w:p w14:paraId="6217663B" w14:textId="77777777" w:rsidR="00113DB0" w:rsidRDefault="00640F84" w:rsidP="00443357">
            <w:r>
              <w:t>Downstream industry</w:t>
            </w:r>
          </w:p>
        </w:tc>
        <w:tc>
          <w:tcPr>
            <w:tcW w:w="6970" w:type="dxa"/>
          </w:tcPr>
          <w:p w14:paraId="69C80471" w14:textId="77777777" w:rsidR="00113DB0" w:rsidRDefault="00640F84" w:rsidP="00640F84">
            <w:r>
              <w:t>An industry that is further down the supply chain compared to another industry. The downstream industry purchases goods and/or services from the other industry and use</w:t>
            </w:r>
            <w:r w:rsidR="00B522A6">
              <w:t>s</w:t>
            </w:r>
            <w:r>
              <w:t xml:space="preserve"> those goods/services in its own production. </w:t>
            </w:r>
          </w:p>
          <w:p w14:paraId="36B9E004" w14:textId="77777777" w:rsidR="0092094C" w:rsidRPr="0092094C" w:rsidRDefault="0092094C" w:rsidP="00640F84">
            <w:pPr>
              <w:rPr>
                <w:sz w:val="10"/>
                <w:szCs w:val="10"/>
              </w:rPr>
            </w:pPr>
          </w:p>
        </w:tc>
      </w:tr>
      <w:tr w:rsidR="002170BD" w14:paraId="763E4518" w14:textId="77777777" w:rsidTr="00653340">
        <w:tc>
          <w:tcPr>
            <w:tcW w:w="2047" w:type="dxa"/>
          </w:tcPr>
          <w:p w14:paraId="414F2B0E" w14:textId="77777777" w:rsidR="002170BD" w:rsidRDefault="00754EBB" w:rsidP="00443357">
            <w:r>
              <w:t>Industry</w:t>
            </w:r>
            <w:r w:rsidR="002170BD">
              <w:t xml:space="preserve"> Value Added</w:t>
            </w:r>
          </w:p>
        </w:tc>
        <w:tc>
          <w:tcPr>
            <w:tcW w:w="6970" w:type="dxa"/>
          </w:tcPr>
          <w:p w14:paraId="395F5A90" w14:textId="77777777" w:rsidR="002170BD" w:rsidRDefault="00754EBB" w:rsidP="00754EBB">
            <w:r>
              <w:t>Industry</w:t>
            </w:r>
            <w:r w:rsidR="002170BD" w:rsidRPr="002170BD">
              <w:t xml:space="preserve"> </w:t>
            </w:r>
            <w:r>
              <w:t>V</w:t>
            </w:r>
            <w:r w:rsidR="002170BD" w:rsidRPr="002170BD">
              <w:t xml:space="preserve">alue </w:t>
            </w:r>
            <w:r>
              <w:t>A</w:t>
            </w:r>
            <w:r w:rsidR="002170BD" w:rsidRPr="002170BD">
              <w:t>dded (</w:t>
            </w:r>
            <w:r>
              <w:t>I</w:t>
            </w:r>
            <w:r w:rsidR="002170BD" w:rsidRPr="002170BD">
              <w:t>VA)</w:t>
            </w:r>
            <w:r>
              <w:t xml:space="preserve"> </w:t>
            </w:r>
            <w:r w:rsidR="002170BD" w:rsidRPr="002170BD">
              <w:t xml:space="preserve">is the </w:t>
            </w:r>
            <w:r w:rsidR="002170BD">
              <w:t xml:space="preserve">economic </w:t>
            </w:r>
            <w:r w:rsidR="002170BD" w:rsidRPr="002170BD">
              <w:t xml:space="preserve">measure of the value of goods and services produced in an area, industry or sector of an economy. In </w:t>
            </w:r>
            <w:r w:rsidR="002170BD">
              <w:t xml:space="preserve">the </w:t>
            </w:r>
            <w:r w:rsidR="002170BD" w:rsidRPr="002170BD">
              <w:t>national accounts</w:t>
            </w:r>
            <w:r w:rsidR="002170BD">
              <w:t>,</w:t>
            </w:r>
            <w:r w:rsidR="002170BD" w:rsidRPr="002170BD">
              <w:t xml:space="preserve"> </w:t>
            </w:r>
            <w:r>
              <w:t>I</w:t>
            </w:r>
            <w:r w:rsidR="002170BD" w:rsidRPr="002170BD">
              <w:t>VA is output minus intermediate consumption</w:t>
            </w:r>
            <w:r w:rsidR="002170BD">
              <w:t xml:space="preserve"> (that is, the value of the goods and services used in producing the output).</w:t>
            </w:r>
          </w:p>
          <w:p w14:paraId="15339094" w14:textId="77777777" w:rsidR="0092094C" w:rsidRPr="0092094C" w:rsidRDefault="0092094C" w:rsidP="00754EBB">
            <w:pPr>
              <w:rPr>
                <w:sz w:val="10"/>
                <w:szCs w:val="10"/>
              </w:rPr>
            </w:pPr>
          </w:p>
        </w:tc>
      </w:tr>
      <w:tr w:rsidR="00640F84" w14:paraId="23F8876B" w14:textId="77777777" w:rsidTr="00653340">
        <w:tc>
          <w:tcPr>
            <w:tcW w:w="2047" w:type="dxa"/>
          </w:tcPr>
          <w:p w14:paraId="4DEDA6EC" w14:textId="77777777" w:rsidR="00640F84" w:rsidRDefault="00640F84" w:rsidP="00443357">
            <w:r>
              <w:t>Intermediate production</w:t>
            </w:r>
          </w:p>
        </w:tc>
        <w:tc>
          <w:tcPr>
            <w:tcW w:w="6970" w:type="dxa"/>
          </w:tcPr>
          <w:p w14:paraId="1A22154A" w14:textId="77777777" w:rsidR="00640F84" w:rsidRDefault="00D83565" w:rsidP="00D83565">
            <w:r>
              <w:t>The production of i</w:t>
            </w:r>
            <w:r w:rsidRPr="00D83565">
              <w:t>ntermediate goods</w:t>
            </w:r>
            <w:r>
              <w:t>,</w:t>
            </w:r>
            <w:r w:rsidRPr="00D83565">
              <w:t xml:space="preserve"> producer goods or semi-finished products </w:t>
            </w:r>
            <w:r>
              <w:t>that are</w:t>
            </w:r>
            <w:r w:rsidRPr="00D83565">
              <w:t xml:space="preserve"> used as inputs in the production of other goods</w:t>
            </w:r>
            <w:r>
              <w:t>.</w:t>
            </w:r>
            <w:r w:rsidRPr="00D83565">
              <w:t xml:space="preserve"> </w:t>
            </w:r>
          </w:p>
          <w:p w14:paraId="312999A8" w14:textId="77777777" w:rsidR="0092094C" w:rsidRPr="0092094C" w:rsidRDefault="0092094C" w:rsidP="00D83565">
            <w:pPr>
              <w:rPr>
                <w:sz w:val="10"/>
                <w:szCs w:val="10"/>
              </w:rPr>
            </w:pPr>
          </w:p>
        </w:tc>
      </w:tr>
      <w:tr w:rsidR="00653340" w14:paraId="7FD17E43" w14:textId="77777777" w:rsidTr="00653340">
        <w:tc>
          <w:tcPr>
            <w:tcW w:w="2047" w:type="dxa"/>
          </w:tcPr>
          <w:p w14:paraId="682F22E7" w14:textId="15D78FB8" w:rsidR="000872AF" w:rsidRDefault="00653340" w:rsidP="00BB35D5">
            <w:r>
              <w:t>Steel fabrication</w:t>
            </w:r>
          </w:p>
        </w:tc>
        <w:tc>
          <w:tcPr>
            <w:tcW w:w="6970" w:type="dxa"/>
          </w:tcPr>
          <w:p w14:paraId="32C0E101" w14:textId="6FD82A1A" w:rsidR="00653340" w:rsidRDefault="00653340" w:rsidP="00653340">
            <w:r>
              <w:t>Steel fabrication</w:t>
            </w:r>
            <w:r w:rsidRPr="003C00FE">
              <w:t xml:space="preserve"> is a value added process that transforms finished steel products for a variety of end-uses</w:t>
            </w:r>
            <w:r>
              <w:t xml:space="preserve">. </w:t>
            </w:r>
            <w:r w:rsidRPr="003C00FE">
              <w:t>The processes used in steel fabrication include</w:t>
            </w:r>
            <w:r>
              <w:t xml:space="preserve"> cutting, bending, machining and welding.</w:t>
            </w:r>
          </w:p>
          <w:p w14:paraId="07CA1D71" w14:textId="2C290F8B" w:rsidR="00232D4B" w:rsidRDefault="00232D4B" w:rsidP="00653340">
            <w:r>
              <w:t xml:space="preserve">Some of these processes are described in common industry usage as manufacturing rather than fabrication. For ease of reference, this report generally uses the term fabrication but </w:t>
            </w:r>
            <w:r w:rsidR="000872AF">
              <w:t xml:space="preserve">the Commission notes that </w:t>
            </w:r>
            <w:r>
              <w:t>processes that may be described as manufacturing</w:t>
            </w:r>
            <w:r w:rsidR="000872AF">
              <w:t xml:space="preserve"> are included</w:t>
            </w:r>
            <w:r>
              <w:t xml:space="preserve">. </w:t>
            </w:r>
          </w:p>
          <w:p w14:paraId="28977C98" w14:textId="77777777" w:rsidR="00653340" w:rsidRDefault="00232D4B" w:rsidP="00232D4B">
            <w:r>
              <w:t>Further, while</w:t>
            </w:r>
            <w:r w:rsidR="00653340">
              <w:t xml:space="preserve"> this definition </w:t>
            </w:r>
            <w:r w:rsidR="00496E63">
              <w:t>may be</w:t>
            </w:r>
            <w:r w:rsidR="00496E63" w:rsidRPr="006744B1">
              <w:t xml:space="preserve"> broader</w:t>
            </w:r>
            <w:r w:rsidR="00496E63">
              <w:t xml:space="preserve"> or narrower</w:t>
            </w:r>
            <w:r w:rsidR="00496E63" w:rsidRPr="006744B1">
              <w:t xml:space="preserve"> than is commonly </w:t>
            </w:r>
            <w:r w:rsidR="00496E63">
              <w:t>used</w:t>
            </w:r>
            <w:r w:rsidR="00496E63" w:rsidRPr="006744B1">
              <w:t xml:space="preserve"> in some parts of the Australian industr</w:t>
            </w:r>
            <w:r w:rsidR="00496E63">
              <w:t>y</w:t>
            </w:r>
            <w:r>
              <w:t>, it</w:t>
            </w:r>
            <w:r w:rsidR="00653340">
              <w:t xml:space="preserve"> aligns with classifications used by the Australian Bureau of Statistics for </w:t>
            </w:r>
            <w:r w:rsidR="00496E63">
              <w:t xml:space="preserve">product </w:t>
            </w:r>
            <w:r w:rsidR="00653340">
              <w:t>data that forms the basis of this report.</w:t>
            </w:r>
            <w:r w:rsidR="00496E63">
              <w:t xml:space="preserve"> See section 2.3 for further information. </w:t>
            </w:r>
          </w:p>
          <w:p w14:paraId="735ADCB2" w14:textId="6EF280B9" w:rsidR="0092094C" w:rsidRPr="0092094C" w:rsidRDefault="0092094C" w:rsidP="00232D4B">
            <w:pPr>
              <w:rPr>
                <w:sz w:val="10"/>
                <w:szCs w:val="10"/>
              </w:rPr>
            </w:pPr>
          </w:p>
        </w:tc>
      </w:tr>
      <w:tr w:rsidR="00653340" w14:paraId="1B7986DC" w14:textId="77777777" w:rsidTr="00653340">
        <w:tc>
          <w:tcPr>
            <w:tcW w:w="2047" w:type="dxa"/>
          </w:tcPr>
          <w:p w14:paraId="46DC9D05" w14:textId="77777777" w:rsidR="00653340" w:rsidRDefault="00653340" w:rsidP="00653340">
            <w:r>
              <w:t>Upstream industry</w:t>
            </w:r>
          </w:p>
        </w:tc>
        <w:tc>
          <w:tcPr>
            <w:tcW w:w="6970" w:type="dxa"/>
          </w:tcPr>
          <w:p w14:paraId="56939C59" w14:textId="77777777" w:rsidR="00653340" w:rsidRDefault="00653340" w:rsidP="00653340">
            <w:r>
              <w:t>An industry that is higher in the supply chain compared to another industry. The upstream industry sells goods and/or services to the other industry which uses those goods/services as an input to its own production.</w:t>
            </w:r>
          </w:p>
          <w:p w14:paraId="1880AD00" w14:textId="77777777" w:rsidR="0092094C" w:rsidRPr="0092094C" w:rsidRDefault="0092094C" w:rsidP="00653340">
            <w:pPr>
              <w:rPr>
                <w:sz w:val="10"/>
                <w:szCs w:val="10"/>
              </w:rPr>
            </w:pPr>
          </w:p>
        </w:tc>
      </w:tr>
    </w:tbl>
    <w:p w14:paraId="20375FB2" w14:textId="77777777" w:rsidR="00113DB0" w:rsidRDefault="00113DB0" w:rsidP="00113DB0">
      <w:pPr>
        <w:spacing w:after="200" w:line="276" w:lineRule="auto"/>
        <w:rPr>
          <w:rFonts w:asciiTheme="majorHAnsi" w:hAnsiTheme="majorHAnsi"/>
          <w:b/>
          <w:color w:val="8496B0" w:themeColor="text2" w:themeTint="99"/>
          <w:sz w:val="28"/>
          <w:szCs w:val="28"/>
        </w:rPr>
        <w:sectPr w:rsidR="00113DB0" w:rsidSect="0092094C">
          <w:headerReference w:type="even" r:id="rId15"/>
          <w:headerReference w:type="default" r:id="rId16"/>
          <w:footerReference w:type="even" r:id="rId17"/>
          <w:footerReference w:type="default" r:id="rId18"/>
          <w:headerReference w:type="first" r:id="rId19"/>
          <w:footerReference w:type="first" r:id="rId20"/>
          <w:pgSz w:w="11907" w:h="16839" w:code="9"/>
          <w:pgMar w:top="1440" w:right="1440" w:bottom="1134" w:left="1440" w:header="708" w:footer="708" w:gutter="0"/>
          <w:pgNumType w:fmt="lowerRoman" w:start="1"/>
          <w:cols w:space="708"/>
          <w:titlePg/>
          <w:docGrid w:linePitch="360"/>
        </w:sectPr>
      </w:pPr>
    </w:p>
    <w:p w14:paraId="075EE4DE" w14:textId="77777777" w:rsidR="00113DB0" w:rsidRPr="008866B8" w:rsidRDefault="00113DB0" w:rsidP="00113DB0">
      <w:pPr>
        <w:keepNext/>
        <w:spacing w:after="200" w:line="276" w:lineRule="auto"/>
        <w:rPr>
          <w:rFonts w:asciiTheme="majorHAnsi" w:hAnsiTheme="majorHAnsi"/>
          <w:b/>
          <w:color w:val="2E74B5" w:themeColor="accent1" w:themeShade="BF"/>
          <w:sz w:val="28"/>
          <w:szCs w:val="28"/>
        </w:rPr>
      </w:pPr>
      <w:r w:rsidRPr="008866B8">
        <w:rPr>
          <w:rFonts w:asciiTheme="majorHAnsi" w:hAnsiTheme="majorHAnsi"/>
          <w:b/>
          <w:color w:val="2E74B5" w:themeColor="accent1" w:themeShade="BF"/>
          <w:sz w:val="28"/>
          <w:szCs w:val="28"/>
        </w:rPr>
        <w:t>Executive summary</w:t>
      </w:r>
    </w:p>
    <w:p w14:paraId="5E7ECAC6" w14:textId="77777777" w:rsidR="00C40899" w:rsidRDefault="00C40899" w:rsidP="005F4BA0">
      <w:pPr>
        <w:spacing w:before="120" w:after="120"/>
        <w:jc w:val="both"/>
      </w:pPr>
      <w:r>
        <w:t xml:space="preserve">In </w:t>
      </w:r>
      <w:r w:rsidR="002479B1">
        <w:t>August 2016</w:t>
      </w:r>
      <w:r>
        <w:t>, the Anti-Dumping Commission reported on its</w:t>
      </w:r>
      <w:r w:rsidR="002479B1">
        <w:t xml:space="preserve"> </w:t>
      </w:r>
      <w:r w:rsidR="00692154" w:rsidRPr="00692154">
        <w:t>analysis of global and Australian markets for primary (crude) steel and aluminium products</w:t>
      </w:r>
      <w:r>
        <w:t>. The Commission</w:t>
      </w:r>
      <w:r w:rsidR="002479B1" w:rsidRPr="002479B1">
        <w:t xml:space="preserve"> </w:t>
      </w:r>
      <w:r w:rsidRPr="00C40899">
        <w:t xml:space="preserve">found evidence </w:t>
      </w:r>
      <w:r>
        <w:t>that sustained global</w:t>
      </w:r>
      <w:r w:rsidR="00053920">
        <w:t xml:space="preserve"> excess capacity</w:t>
      </w:r>
      <w:r>
        <w:t xml:space="preserve">, </w:t>
      </w:r>
      <w:r w:rsidR="00053920">
        <w:t xml:space="preserve">an </w:t>
      </w:r>
      <w:r>
        <w:t>ongoing</w:t>
      </w:r>
      <w:r w:rsidR="0089349F">
        <w:t xml:space="preserve"> </w:t>
      </w:r>
      <w:r w:rsidR="00053920">
        <w:t>demand/production imbalance</w:t>
      </w:r>
      <w:r>
        <w:t>, and depressed world prices for these products were caused, to a large extent, by</w:t>
      </w:r>
      <w:r w:rsidRPr="00C40899">
        <w:t xml:space="preserve"> </w:t>
      </w:r>
      <w:r>
        <w:t xml:space="preserve">government </w:t>
      </w:r>
      <w:r w:rsidRPr="00C40899">
        <w:t xml:space="preserve">interventions and trade restrictions that </w:t>
      </w:r>
      <w:r>
        <w:t>distort</w:t>
      </w:r>
      <w:r w:rsidRPr="00C40899">
        <w:t xml:space="preserve"> market behaviours and decision-making by producers</w:t>
      </w:r>
      <w:r>
        <w:t>.</w:t>
      </w:r>
      <w:r w:rsidRPr="00C40899">
        <w:t xml:space="preserve"> </w:t>
      </w:r>
    </w:p>
    <w:p w14:paraId="4135FBA0" w14:textId="77777777" w:rsidR="002479B1" w:rsidRPr="002479B1" w:rsidRDefault="000F569E" w:rsidP="005F4BA0">
      <w:pPr>
        <w:spacing w:before="120" w:after="120"/>
        <w:jc w:val="both"/>
      </w:pPr>
      <w:r>
        <w:t xml:space="preserve">Noting the adverse impacts of sustained global </w:t>
      </w:r>
      <w:r w:rsidR="00053920">
        <w:t xml:space="preserve">excess capacity </w:t>
      </w:r>
      <w:r>
        <w:t xml:space="preserve">on the financial performance of steel producers, and broader economic and social impacts of steel market distortions, the </w:t>
      </w:r>
      <w:r w:rsidR="002479B1" w:rsidRPr="002479B1">
        <w:t>Organisation for Economic Development and Co-operation (OECD) and the G20 nations</w:t>
      </w:r>
      <w:r w:rsidR="00C40899">
        <w:t xml:space="preserve"> have </w:t>
      </w:r>
      <w:r w:rsidR="00C40899" w:rsidRPr="00C40899">
        <w:t>advocat</w:t>
      </w:r>
      <w:r w:rsidR="00C40899">
        <w:t xml:space="preserve">ed </w:t>
      </w:r>
      <w:r w:rsidR="00B92F8C">
        <w:t xml:space="preserve">for </w:t>
      </w:r>
      <w:r w:rsidR="00C40899" w:rsidRPr="00C40899">
        <w:t xml:space="preserve">government actions to address market distortions that underpin sustained global </w:t>
      </w:r>
      <w:r w:rsidR="00053920">
        <w:t xml:space="preserve">excess </w:t>
      </w:r>
      <w:r w:rsidR="00053920" w:rsidRPr="00C40899">
        <w:t>capacity</w:t>
      </w:r>
      <w:r w:rsidR="002479B1" w:rsidRPr="002479B1">
        <w:t>.</w:t>
      </w:r>
    </w:p>
    <w:p w14:paraId="4F02FFF7" w14:textId="77777777" w:rsidR="002479B1" w:rsidRPr="002479B1" w:rsidRDefault="002479B1" w:rsidP="005F4BA0">
      <w:pPr>
        <w:spacing w:before="120" w:after="120"/>
        <w:jc w:val="both"/>
      </w:pPr>
      <w:r w:rsidRPr="00580F0B">
        <w:t>Despite signs of a modest recovery in the global steel market</w:t>
      </w:r>
      <w:r>
        <w:t xml:space="preserve"> over the past year</w:t>
      </w:r>
      <w:r w:rsidRPr="00580F0B">
        <w:t xml:space="preserve">, excess capacity and </w:t>
      </w:r>
      <w:r w:rsidR="00B92F8C">
        <w:t>the</w:t>
      </w:r>
      <w:r w:rsidR="00B92F8C" w:rsidRPr="00B92F8C">
        <w:t xml:space="preserve"> demand/production imbalance</w:t>
      </w:r>
      <w:r w:rsidRPr="00580F0B">
        <w:t xml:space="preserve"> </w:t>
      </w:r>
      <w:r w:rsidR="00B92F8C">
        <w:t>for</w:t>
      </w:r>
      <w:r w:rsidRPr="00580F0B">
        <w:t xml:space="preserve"> primary steel products continues</w:t>
      </w:r>
      <w:r>
        <w:t xml:space="preserve"> (particularly in Asia)</w:t>
      </w:r>
      <w:r w:rsidRPr="00580F0B">
        <w:t>. With governments</w:t>
      </w:r>
      <w:r w:rsidR="00B92F8C">
        <w:t xml:space="preserve"> seemingly </w:t>
      </w:r>
      <w:r w:rsidRPr="00580F0B">
        <w:t xml:space="preserve">continuing to prioritise economic growth and stability over policy actions to address excess steel production capacity, and investments in new steelmaking capacity continuing to occur, </w:t>
      </w:r>
      <w:r w:rsidR="003C3FE7">
        <w:t xml:space="preserve">concerns remain about how quickly </w:t>
      </w:r>
      <w:r w:rsidRPr="00580F0B">
        <w:t xml:space="preserve">the demand/supply imbalance </w:t>
      </w:r>
      <w:r w:rsidR="003C3FE7">
        <w:t>can be resolved</w:t>
      </w:r>
      <w:r w:rsidRPr="00580F0B">
        <w:t>.</w:t>
      </w:r>
    </w:p>
    <w:p w14:paraId="41229493" w14:textId="77777777" w:rsidR="002479B1" w:rsidRDefault="000F569E" w:rsidP="005F4BA0">
      <w:pPr>
        <w:spacing w:before="120" w:after="120"/>
        <w:jc w:val="both"/>
      </w:pPr>
      <w:r>
        <w:t>T</w:t>
      </w:r>
      <w:r w:rsidR="002479B1" w:rsidRPr="002479B1">
        <w:t>he OECD has highlighted that ‘excess capacity in one region can displace production in other regions, thus harming producers in those markets’, including through ‘unfair trade practices such as dumping’.</w:t>
      </w:r>
    </w:p>
    <w:p w14:paraId="66AAB02E" w14:textId="77777777" w:rsidR="00EA1235" w:rsidRDefault="00EA1235" w:rsidP="005F4BA0">
      <w:pPr>
        <w:spacing w:before="120" w:after="120"/>
        <w:jc w:val="both"/>
      </w:pPr>
      <w:r w:rsidRPr="009A06E8">
        <w:t xml:space="preserve">Government action to address dumping and foreign subsidisation, consistent with WTO rules, is intended to create a level playing field for Australian industries with imports. Where there is evidence of dumping and foreign subsidisation, verified through a thorough investigation by the Anti-Dumping Commission, the imposition of anti-dumping and countervailing duties allows Australian industries to compete on their merits with imported products. </w:t>
      </w:r>
    </w:p>
    <w:p w14:paraId="3D35BA50" w14:textId="49344A46" w:rsidR="00EA1235" w:rsidRDefault="00EA1235" w:rsidP="005F4BA0">
      <w:pPr>
        <w:spacing w:before="120" w:after="120"/>
        <w:jc w:val="both"/>
      </w:pPr>
      <w:r>
        <w:t xml:space="preserve">It is important to recognise that anti-dumping measures do not seek to stop imports or give an unfair competitive advantage to Australian producers. The objective of the system is only to create a level playing field by remedying the injury to Australian industry </w:t>
      </w:r>
      <w:r w:rsidR="00F25B00">
        <w:t>caused by</w:t>
      </w:r>
      <w:r>
        <w:t xml:space="preserve"> dumping and foreign subsidisation, consistent with international agreements. Most developed country governments, and many developing country government</w:t>
      </w:r>
      <w:r w:rsidR="00653340">
        <w:t>s</w:t>
      </w:r>
      <w:r>
        <w:t>, have established anti-dumping systems to achieve similar objectives.</w:t>
      </w:r>
    </w:p>
    <w:p w14:paraId="51397497" w14:textId="3D1FB9C4" w:rsidR="00EA1235" w:rsidRDefault="00EA1235" w:rsidP="005F4BA0">
      <w:pPr>
        <w:spacing w:before="120" w:after="120"/>
        <w:jc w:val="both"/>
      </w:pPr>
      <w:r>
        <w:t xml:space="preserve">The Commission notes that in consultations with downstream industries affected by anti-dumping measures, there has been general support for a level playing field for both upstream and downstream businesses and for government action to address unfair trading practices. </w:t>
      </w:r>
    </w:p>
    <w:p w14:paraId="243AA36B" w14:textId="6B49DAF2" w:rsidR="00FA3FEE" w:rsidRDefault="00EA1235" w:rsidP="005F4BA0">
      <w:pPr>
        <w:spacing w:before="120" w:after="120"/>
        <w:jc w:val="both"/>
      </w:pPr>
      <w:r w:rsidRPr="005D3A1F">
        <w:t xml:space="preserve">Australia’s anti-dumping system provides a potential remedy to all industries </w:t>
      </w:r>
      <w:r>
        <w:t>that</w:t>
      </w:r>
      <w:r w:rsidRPr="005D3A1F">
        <w:t xml:space="preserve"> are suffering material injury caused by dumping or subsidisation. Nevertheless, consistent with global experience, most applicants for anti-dumping measures on steel products have been from Australian industries producing primary steel products, with relatively few applications in respect of steel </w:t>
      </w:r>
      <w:r w:rsidR="00A03AB0">
        <w:t xml:space="preserve">manufactured and </w:t>
      </w:r>
      <w:r w:rsidRPr="005D3A1F">
        <w:t>fabricated products. In Australia, there are currently two measures in place on steel fabricated products</w:t>
      </w:r>
      <w:r>
        <w:t>.</w:t>
      </w:r>
      <w:r w:rsidR="00FA3FEE">
        <w:t xml:space="preserve"> </w:t>
      </w:r>
    </w:p>
    <w:p w14:paraId="789BFC2F" w14:textId="5540EA8A" w:rsidR="000F569E" w:rsidRDefault="000F569E" w:rsidP="005F4BA0">
      <w:pPr>
        <w:spacing w:before="120" w:after="120"/>
        <w:jc w:val="both"/>
      </w:pPr>
      <w:r>
        <w:t>In this report, the Commission sets out its analysis</w:t>
      </w:r>
      <w:r w:rsidR="007A31FD">
        <w:t xml:space="preserve"> of</w:t>
      </w:r>
      <w:r>
        <w:t xml:space="preserve"> how c</w:t>
      </w:r>
      <w:r w:rsidR="002479B1" w:rsidRPr="002479B1">
        <w:t xml:space="preserve">ontinuing </w:t>
      </w:r>
      <w:r w:rsidR="00053920">
        <w:t xml:space="preserve">excess </w:t>
      </w:r>
      <w:r w:rsidR="00053920" w:rsidRPr="002479B1">
        <w:t xml:space="preserve">capacity </w:t>
      </w:r>
      <w:r w:rsidR="002479B1" w:rsidRPr="002479B1">
        <w:t xml:space="preserve">and </w:t>
      </w:r>
      <w:r w:rsidR="00B92F8C">
        <w:t>the</w:t>
      </w:r>
      <w:r w:rsidR="00B92F8C" w:rsidRPr="00B92F8C">
        <w:t xml:space="preserve"> ongoing demand/production imbalance </w:t>
      </w:r>
      <w:r w:rsidR="002479B1" w:rsidRPr="002479B1">
        <w:t xml:space="preserve">in global primary steel markets </w:t>
      </w:r>
      <w:r w:rsidR="007A31FD">
        <w:t xml:space="preserve">can </w:t>
      </w:r>
      <w:r w:rsidR="002479B1" w:rsidRPr="002479B1">
        <w:t xml:space="preserve">influence </w:t>
      </w:r>
      <w:r w:rsidR="00F3238E">
        <w:t xml:space="preserve">the </w:t>
      </w:r>
      <w:r w:rsidR="00BE5AEE">
        <w:t xml:space="preserve">economic performance of </w:t>
      </w:r>
      <w:r w:rsidR="002479B1" w:rsidRPr="002479B1">
        <w:t xml:space="preserve">steel </w:t>
      </w:r>
      <w:r w:rsidR="00A03AB0">
        <w:t xml:space="preserve">manufacturing and </w:t>
      </w:r>
      <w:r w:rsidR="002479B1" w:rsidRPr="002479B1">
        <w:t>fabricati</w:t>
      </w:r>
      <w:r w:rsidR="00A03AB0">
        <w:t>ng</w:t>
      </w:r>
      <w:r w:rsidR="002479B1" w:rsidRPr="002479B1">
        <w:t xml:space="preserve"> industries</w:t>
      </w:r>
      <w:r w:rsidR="00A03AB0">
        <w:t xml:space="preserve"> (henceforth referred to as steel fabrication)</w:t>
      </w:r>
      <w:r w:rsidR="002479B1" w:rsidRPr="002479B1">
        <w:t xml:space="preserve">. </w:t>
      </w:r>
      <w:r w:rsidR="00BE5AEE">
        <w:t xml:space="preserve">The Commission recognises that other factors—such as changes in economic activity in industries that demand steel fabricated products, technological changes, and changes in markets supplying substitute products—are also important drivers of the performance of these industries. </w:t>
      </w:r>
    </w:p>
    <w:p w14:paraId="13269FBF" w14:textId="77777777" w:rsidR="000F569E" w:rsidRPr="000F569E" w:rsidRDefault="000F569E" w:rsidP="005F4BA0">
      <w:pPr>
        <w:spacing w:before="120" w:after="120"/>
        <w:jc w:val="both"/>
      </w:pPr>
      <w:r w:rsidRPr="000F569E">
        <w:t xml:space="preserve">Australia’s steel fabrication industry is highly diverse, with a large number of businesses producing a wide variety of steel fabricated products that are used in a range of economically significant downstream industries. Three industries—the </w:t>
      </w:r>
      <w:r w:rsidR="00F3766B">
        <w:t>c</w:t>
      </w:r>
      <w:r w:rsidRPr="000F569E">
        <w:t xml:space="preserve">onstruction, </w:t>
      </w:r>
      <w:r w:rsidR="00F3766B">
        <w:t>m</w:t>
      </w:r>
      <w:r w:rsidRPr="000F569E">
        <w:t xml:space="preserve">anufacturing and </w:t>
      </w:r>
      <w:r w:rsidR="00F3766B">
        <w:t>m</w:t>
      </w:r>
      <w:r w:rsidRPr="000F569E">
        <w:t xml:space="preserve">ining industries—are the main consumers of steel fabricated products. </w:t>
      </w:r>
      <w:r w:rsidR="00342F24">
        <w:t>Most</w:t>
      </w:r>
      <w:r w:rsidRPr="000F569E">
        <w:t xml:space="preserve"> steel fabrication businesses are </w:t>
      </w:r>
      <w:r>
        <w:t>small and medium enterprises (</w:t>
      </w:r>
      <w:r w:rsidRPr="000F569E">
        <w:t>SMEs</w:t>
      </w:r>
      <w:r>
        <w:t>)</w:t>
      </w:r>
      <w:r w:rsidR="00F3238E">
        <w:t xml:space="preserve">. </w:t>
      </w:r>
      <w:r w:rsidR="00D6206A">
        <w:t>Around 94</w:t>
      </w:r>
      <w:r w:rsidRPr="000F569E">
        <w:t xml:space="preserve"> per cent of market participants </w:t>
      </w:r>
      <w:r w:rsidR="007A31FD">
        <w:t>have</w:t>
      </w:r>
      <w:r w:rsidRPr="000F569E">
        <w:t xml:space="preserve"> fewer than 20 employees.</w:t>
      </w:r>
    </w:p>
    <w:p w14:paraId="4BCB21DA" w14:textId="77777777" w:rsidR="000F569E" w:rsidRPr="005F45AD" w:rsidRDefault="000F569E" w:rsidP="005F4BA0">
      <w:pPr>
        <w:spacing w:before="120" w:after="120"/>
        <w:jc w:val="both"/>
      </w:pPr>
      <w:r w:rsidRPr="000F569E">
        <w:t>Performance within the industry has varied, reflecting the diversity of products and end</w:t>
      </w:r>
      <w:r w:rsidR="00BE5AEE">
        <w:t xml:space="preserve"> </w:t>
      </w:r>
      <w:r w:rsidRPr="000F569E">
        <w:t>uses across sectors</w:t>
      </w:r>
      <w:r>
        <w:t>.</w:t>
      </w:r>
      <w:r w:rsidRPr="000F569E">
        <w:t xml:space="preserve"> </w:t>
      </w:r>
      <w:r w:rsidRPr="005F45AD">
        <w:t xml:space="preserve">On the demand side, </w:t>
      </w:r>
      <w:r>
        <w:t xml:space="preserve">trends in the </w:t>
      </w:r>
      <w:r w:rsidRPr="005F45AD">
        <w:t xml:space="preserve">three </w:t>
      </w:r>
      <w:r>
        <w:t xml:space="preserve">main </w:t>
      </w:r>
      <w:r w:rsidRPr="005F45AD">
        <w:t>industries</w:t>
      </w:r>
      <w:r>
        <w:t xml:space="preserve"> consuming </w:t>
      </w:r>
      <w:r w:rsidRPr="005F45AD">
        <w:t>steel fabricated products</w:t>
      </w:r>
      <w:r>
        <w:t xml:space="preserve"> have</w:t>
      </w:r>
      <w:r w:rsidRPr="005F45AD">
        <w:t xml:space="preserve"> </w:t>
      </w:r>
      <w:r w:rsidR="00A2399D">
        <w:t>been a key driver of</w:t>
      </w:r>
      <w:r w:rsidRPr="005F45AD">
        <w:t xml:space="preserve"> performance </w:t>
      </w:r>
      <w:r w:rsidR="000F40B6">
        <w:t xml:space="preserve">in the various sectors of the </w:t>
      </w:r>
      <w:r w:rsidRPr="005F45AD">
        <w:t xml:space="preserve">steel fabrication </w:t>
      </w:r>
      <w:r w:rsidR="000F40B6">
        <w:t>industry</w:t>
      </w:r>
      <w:r w:rsidRPr="005F45AD">
        <w:t>.</w:t>
      </w:r>
    </w:p>
    <w:p w14:paraId="4ADE7C44" w14:textId="77777777" w:rsidR="000F569E" w:rsidRPr="000F569E" w:rsidRDefault="000F569E" w:rsidP="005F4BA0">
      <w:pPr>
        <w:spacing w:before="120" w:after="120"/>
        <w:jc w:val="both"/>
      </w:pPr>
      <w:r w:rsidRPr="005F45AD">
        <w:t xml:space="preserve">On the supply side, </w:t>
      </w:r>
      <w:r>
        <w:t xml:space="preserve">continuing global </w:t>
      </w:r>
      <w:r w:rsidRPr="005F45AD">
        <w:t xml:space="preserve">excess capacity </w:t>
      </w:r>
      <w:r>
        <w:t>and over</w:t>
      </w:r>
      <w:r w:rsidRPr="005F45AD">
        <w:t>production of primary steel products</w:t>
      </w:r>
      <w:r w:rsidR="00A2399D">
        <w:t xml:space="preserve"> </w:t>
      </w:r>
      <w:r w:rsidR="00EA1235">
        <w:t>can influence</w:t>
      </w:r>
      <w:r w:rsidR="00A2399D">
        <w:t xml:space="preserve"> </w:t>
      </w:r>
      <w:r>
        <w:t xml:space="preserve">global and Australian steel fabrication </w:t>
      </w:r>
      <w:r w:rsidRPr="0082024C">
        <w:t>industries</w:t>
      </w:r>
      <w:r w:rsidR="00EA1235">
        <w:t xml:space="preserve"> </w:t>
      </w:r>
      <w:r w:rsidR="00F25B00">
        <w:t>i</w:t>
      </w:r>
      <w:r w:rsidR="00EA1235">
        <w:t>n two main ways</w:t>
      </w:r>
      <w:r w:rsidR="00A2399D">
        <w:t xml:space="preserve">. </w:t>
      </w:r>
    </w:p>
    <w:p w14:paraId="54520EE6" w14:textId="77777777" w:rsidR="00A2399D" w:rsidRDefault="002479B1" w:rsidP="005F4BA0">
      <w:pPr>
        <w:spacing w:before="120" w:after="120"/>
        <w:jc w:val="both"/>
      </w:pPr>
      <w:r w:rsidRPr="002479B1">
        <w:t xml:space="preserve">First, </w:t>
      </w:r>
      <w:r w:rsidR="00D6206A">
        <w:t xml:space="preserve">the </w:t>
      </w:r>
      <w:r w:rsidR="00D6206A" w:rsidRPr="00D6206A">
        <w:t xml:space="preserve">ongoing demand/production imbalance </w:t>
      </w:r>
      <w:r w:rsidRPr="002479B1">
        <w:t>of primary steel can flow through into steel fabrication market</w:t>
      </w:r>
      <w:r w:rsidR="00866366">
        <w:t>s</w:t>
      </w:r>
      <w:r w:rsidRPr="002479B1">
        <w:t xml:space="preserve"> and </w:t>
      </w:r>
      <w:r w:rsidR="00D6206A">
        <w:t>distort</w:t>
      </w:r>
      <w:r w:rsidRPr="002479B1">
        <w:t xml:space="preserve"> </w:t>
      </w:r>
      <w:r w:rsidR="00866366">
        <w:t>those</w:t>
      </w:r>
      <w:r w:rsidRPr="002479B1">
        <w:t xml:space="preserve"> </w:t>
      </w:r>
      <w:r w:rsidR="00A2399D">
        <w:t>markets</w:t>
      </w:r>
      <w:r w:rsidRPr="002479B1">
        <w:t xml:space="preserve">. </w:t>
      </w:r>
      <w:r w:rsidR="00D6206A">
        <w:t>An imbalance in</w:t>
      </w:r>
      <w:r w:rsidR="00D6206A" w:rsidRPr="00D6206A">
        <w:t xml:space="preserve"> demand</w:t>
      </w:r>
      <w:r w:rsidR="00D6206A">
        <w:t xml:space="preserve"> and </w:t>
      </w:r>
      <w:r w:rsidR="00D6206A" w:rsidRPr="00D6206A">
        <w:t xml:space="preserve">production </w:t>
      </w:r>
      <w:r w:rsidR="00A2399D">
        <w:t>of steel fabricated products in some regions can lead to dumping of excess production into other markets. This will have adverse effects on steel fabrication industries competing with dumped imports—</w:t>
      </w:r>
      <w:r w:rsidR="00866366">
        <w:t xml:space="preserve">this is </w:t>
      </w:r>
      <w:r w:rsidR="00A2399D">
        <w:t>consistent with the OECD</w:t>
      </w:r>
      <w:r w:rsidR="00866366">
        <w:t>’s concern</w:t>
      </w:r>
      <w:r w:rsidR="00A2399D">
        <w:t xml:space="preserve"> about the displacement effects of trade practices like dumping. </w:t>
      </w:r>
    </w:p>
    <w:p w14:paraId="6B12715B" w14:textId="77777777" w:rsidR="00A25000" w:rsidRDefault="00A25000" w:rsidP="005F4BA0">
      <w:pPr>
        <w:spacing w:before="120" w:after="120"/>
        <w:jc w:val="both"/>
      </w:pPr>
      <w:r>
        <w:t xml:space="preserve">Over the past decade, there has been significant growth in </w:t>
      </w:r>
      <w:r w:rsidRPr="002479B1">
        <w:t>Australia’s imports of selected steel fabricated products</w:t>
      </w:r>
      <w:r>
        <w:t>. Despite some</w:t>
      </w:r>
      <w:r w:rsidRPr="002479B1">
        <w:t xml:space="preserve"> decrease in 2016, they remain historically high compared to a decade earlier. More than 50 per cent of imports came from China and Thailand</w:t>
      </w:r>
      <w:r w:rsidR="005D3A1F">
        <w:t xml:space="preserve"> in 2016</w:t>
      </w:r>
      <w:r>
        <w:t>.</w:t>
      </w:r>
    </w:p>
    <w:p w14:paraId="3D93AE2A" w14:textId="77777777" w:rsidR="005D3A1F" w:rsidRDefault="002479B1" w:rsidP="005F4BA0">
      <w:pPr>
        <w:spacing w:before="120" w:after="120"/>
        <w:jc w:val="both"/>
      </w:pPr>
      <w:r w:rsidRPr="002479B1">
        <w:t xml:space="preserve">Second, </w:t>
      </w:r>
      <w:r w:rsidR="00D6206A">
        <w:t xml:space="preserve">the </w:t>
      </w:r>
      <w:r w:rsidR="00D6206A" w:rsidRPr="00B92F8C">
        <w:t xml:space="preserve">ongoing demand/production imbalance </w:t>
      </w:r>
      <w:r w:rsidR="00D6206A">
        <w:t xml:space="preserve">in </w:t>
      </w:r>
      <w:r w:rsidRPr="002479B1">
        <w:t xml:space="preserve">primary steel </w:t>
      </w:r>
      <w:r w:rsidR="00D6206A">
        <w:t>markets</w:t>
      </w:r>
      <w:r w:rsidRPr="002479B1">
        <w:t xml:space="preserve"> can create distortions in markets for steel fabricated products as a result of responses by some exporters to trade remedies on primary steel products that are being dumped or subsidised.</w:t>
      </w:r>
      <w:r w:rsidR="00EA1235">
        <w:t xml:space="preserve"> Specifically, </w:t>
      </w:r>
      <w:r w:rsidR="005D3A1F">
        <w:t xml:space="preserve">trade remedies on primary steel products </w:t>
      </w:r>
      <w:r w:rsidR="002D7604">
        <w:t>could</w:t>
      </w:r>
      <w:r w:rsidR="009A06E8">
        <w:t>, in some circumstances,</w:t>
      </w:r>
      <w:r w:rsidR="005D3A1F">
        <w:t xml:space="preserve"> result in the diversion of those products into downstream markets, where trade remedies are not in place to address dumping and foreign subsidisation. </w:t>
      </w:r>
    </w:p>
    <w:p w14:paraId="658D4FB5" w14:textId="34B299A2" w:rsidR="00EA1235" w:rsidRDefault="00EA1235" w:rsidP="005F4BA0">
      <w:pPr>
        <w:spacing w:before="120" w:after="120"/>
        <w:jc w:val="both"/>
      </w:pPr>
      <w:r>
        <w:t>While t</w:t>
      </w:r>
      <w:r w:rsidRPr="00EA1235">
        <w:t xml:space="preserve">he Commission </w:t>
      </w:r>
      <w:r>
        <w:t xml:space="preserve">has found some indicative </w:t>
      </w:r>
      <w:r w:rsidR="00FA3FEE">
        <w:t>data</w:t>
      </w:r>
      <w:r>
        <w:t xml:space="preserve"> that suggests such diversion might be occurring for some</w:t>
      </w:r>
      <w:r w:rsidR="00A03AB0">
        <w:t xml:space="preserve"> steel</w:t>
      </w:r>
      <w:r>
        <w:t xml:space="preserve"> fabricated products imported into Australia, it </w:t>
      </w:r>
      <w:r w:rsidRPr="00EA1235">
        <w:t xml:space="preserve">is not </w:t>
      </w:r>
      <w:r>
        <w:t>possible</w:t>
      </w:r>
      <w:r w:rsidRPr="00EA1235">
        <w:t xml:space="preserve"> to draw firm or </w:t>
      </w:r>
      <w:proofErr w:type="spellStart"/>
      <w:r w:rsidRPr="00EA1235">
        <w:t>generalisable</w:t>
      </w:r>
      <w:proofErr w:type="spellEnd"/>
      <w:r w:rsidRPr="00EA1235">
        <w:t xml:space="preserve"> conclusions. This reflects data limitations and, importantly, difficulties in separately identifying the various impacts of the range of supply and demand factors affecting markets for particular steel fabricated products.</w:t>
      </w:r>
      <w:r>
        <w:t xml:space="preserve"> </w:t>
      </w:r>
    </w:p>
    <w:p w14:paraId="7937B369" w14:textId="7247400C" w:rsidR="00EA1235" w:rsidRPr="005D3A1F" w:rsidRDefault="00EA1235" w:rsidP="005F4BA0">
      <w:pPr>
        <w:spacing w:before="120" w:after="120"/>
        <w:jc w:val="both"/>
      </w:pPr>
      <w:r>
        <w:t xml:space="preserve">Where Australian steel fabricators consider they are being materially injured by dumped and/or subsidised fabricated products imported into Australia, and have reasonable grounds for this view, the Commission </w:t>
      </w:r>
      <w:r w:rsidR="00C97A1A">
        <w:t>can</w:t>
      </w:r>
      <w:r>
        <w:t xml:space="preserve"> </w:t>
      </w:r>
      <w:r w:rsidR="00C97A1A" w:rsidRPr="00C97A1A">
        <w:t xml:space="preserve">undertake a thorough and comprehensive </w:t>
      </w:r>
      <w:r w:rsidR="00B47CF5">
        <w:t>investigation</w:t>
      </w:r>
      <w:r w:rsidR="00C97A1A" w:rsidRPr="00C97A1A">
        <w:t xml:space="preserve"> of the specific product markets relevant to the application</w:t>
      </w:r>
      <w:r w:rsidR="00C97A1A">
        <w:t xml:space="preserve">. </w:t>
      </w:r>
    </w:p>
    <w:p w14:paraId="68EAA91F" w14:textId="77777777" w:rsidR="002479B1" w:rsidRDefault="002479B1" w:rsidP="005F4BA0">
      <w:pPr>
        <w:spacing w:before="120" w:after="120"/>
        <w:jc w:val="both"/>
      </w:pPr>
      <w:r w:rsidRPr="003D20FF">
        <w:rPr>
          <w:rFonts w:eastAsia="Calibri"/>
        </w:rPr>
        <w:t xml:space="preserve">Australian steel fabricators have identified </w:t>
      </w:r>
      <w:r w:rsidR="00B47CF5">
        <w:rPr>
          <w:rFonts w:eastAsia="Calibri"/>
        </w:rPr>
        <w:t xml:space="preserve">some </w:t>
      </w:r>
      <w:r w:rsidR="00B47CF5" w:rsidRPr="00B47CF5">
        <w:rPr>
          <w:rFonts w:eastAsia="Calibri"/>
        </w:rPr>
        <w:t>barriers to applying for dumping and countervailing duties</w:t>
      </w:r>
      <w:r w:rsidR="00B47CF5">
        <w:rPr>
          <w:rFonts w:eastAsia="Calibri"/>
        </w:rPr>
        <w:t>, specifically</w:t>
      </w:r>
      <w:r w:rsidR="00B47CF5" w:rsidRPr="00B47CF5">
        <w:rPr>
          <w:rFonts w:eastAsia="Calibri"/>
        </w:rPr>
        <w:t xml:space="preserve"> </w:t>
      </w:r>
      <w:r w:rsidRPr="003D20FF">
        <w:rPr>
          <w:rFonts w:eastAsia="Calibri"/>
        </w:rPr>
        <w:t>the costs of accessing the system, difficulties in meeting the requirement for standing due to the fragmented nature of some segments of the industry, and difficulties in obtaining the required evidence.</w:t>
      </w:r>
      <w:r>
        <w:rPr>
          <w:rFonts w:eastAsia="Calibri"/>
        </w:rPr>
        <w:t xml:space="preserve"> These difficulties are compounded by the large number of SMEs in the industry, which </w:t>
      </w:r>
      <w:r>
        <w:t xml:space="preserve">generally face greater challenges in interacting with the anti-dumping system than larger businesses. </w:t>
      </w:r>
    </w:p>
    <w:p w14:paraId="0D66EC59" w14:textId="77777777" w:rsidR="002479B1" w:rsidRDefault="00B52602" w:rsidP="005F4BA0">
      <w:pPr>
        <w:spacing w:before="120" w:after="120"/>
        <w:jc w:val="both"/>
      </w:pPr>
      <w:r>
        <w:t>Over recent years, t</w:t>
      </w:r>
      <w:r w:rsidR="002479B1">
        <w:t xml:space="preserve">he </w:t>
      </w:r>
      <w:r w:rsidR="008C7AF5">
        <w:t>g</w:t>
      </w:r>
      <w:r w:rsidR="002479B1">
        <w:t xml:space="preserve">overnment and the Commission have implemented a number of actions to facilitate SME access to the anti-dumping system. </w:t>
      </w:r>
      <w:r w:rsidR="00F00EA5">
        <w:t>These include</w:t>
      </w:r>
      <w:r w:rsidR="00FA3FEE">
        <w:t xml:space="preserve"> more</w:t>
      </w:r>
      <w:r w:rsidR="002479B1" w:rsidRPr="00DA0EB9">
        <w:t xml:space="preserve"> guidance</w:t>
      </w:r>
      <w:r w:rsidR="002479B1">
        <w:t xml:space="preserve"> </w:t>
      </w:r>
      <w:r w:rsidR="00F00EA5">
        <w:t>on how the system works; greater</w:t>
      </w:r>
      <w:r w:rsidR="002479B1" w:rsidRPr="00DA0EB9">
        <w:t xml:space="preserve"> transparency</w:t>
      </w:r>
      <w:r w:rsidR="00F00EA5">
        <w:t xml:space="preserve"> about </w:t>
      </w:r>
      <w:r w:rsidR="00FA3FEE">
        <w:t>investigation</w:t>
      </w:r>
      <w:r w:rsidR="00F00EA5">
        <w:t xml:space="preserve"> </w:t>
      </w:r>
      <w:r w:rsidR="00FA3FEE">
        <w:t>approaches</w:t>
      </w:r>
      <w:r w:rsidR="00F00EA5">
        <w:t xml:space="preserve">; and </w:t>
      </w:r>
      <w:r w:rsidR="002479B1">
        <w:t xml:space="preserve">a </w:t>
      </w:r>
      <w:r w:rsidR="002479B1" w:rsidRPr="00EF3B13">
        <w:t>pre-lodgement advice service</w:t>
      </w:r>
      <w:r w:rsidR="00F00EA5">
        <w:t xml:space="preserve"> </w:t>
      </w:r>
      <w:r w:rsidR="00FA3FEE">
        <w:t>for</w:t>
      </w:r>
      <w:r w:rsidR="002479B1">
        <w:t xml:space="preserve"> potential applicants. </w:t>
      </w:r>
      <w:r w:rsidR="00F00EA5">
        <w:t>In addition</w:t>
      </w:r>
      <w:r w:rsidR="002479B1" w:rsidRPr="00DA0EB9">
        <w:t xml:space="preserve">, the </w:t>
      </w:r>
      <w:r w:rsidR="008C7AF5">
        <w:t>g</w:t>
      </w:r>
      <w:r w:rsidR="002479B1" w:rsidRPr="00DA0EB9">
        <w:t xml:space="preserve">overnment has expanded the International Trade Remedies Advisory </w:t>
      </w:r>
      <w:r w:rsidR="002479B1">
        <w:t xml:space="preserve">(ITRA) </w:t>
      </w:r>
      <w:r w:rsidR="002479B1" w:rsidRPr="00DA0EB9">
        <w:t xml:space="preserve">service </w:t>
      </w:r>
      <w:r w:rsidR="002479B1">
        <w:t>which helps</w:t>
      </w:r>
      <w:r w:rsidR="002479B1" w:rsidRPr="00DA0EB9">
        <w:t xml:space="preserve"> Australian SMEs access Australia’s anti-dumping system.</w:t>
      </w:r>
    </w:p>
    <w:p w14:paraId="4085BCE4" w14:textId="77777777" w:rsidR="002479B1" w:rsidRDefault="002479B1" w:rsidP="005F4BA0">
      <w:pPr>
        <w:spacing w:before="120" w:after="120"/>
        <w:jc w:val="both"/>
      </w:pPr>
      <w:r>
        <w:t xml:space="preserve">Stakeholders have proposed further options for improving </w:t>
      </w:r>
      <w:r w:rsidR="00B52602">
        <w:t xml:space="preserve">SME </w:t>
      </w:r>
      <w:r>
        <w:t>access</w:t>
      </w:r>
      <w:r w:rsidR="00FA3FEE">
        <w:t>, including through</w:t>
      </w:r>
      <w:r>
        <w:t xml:space="preserve"> </w:t>
      </w:r>
      <w:r w:rsidR="00AD4607">
        <w:t>expanding</w:t>
      </w:r>
      <w:r w:rsidRPr="002479B1">
        <w:t xml:space="preserve"> knowledge and awareness of the system</w:t>
      </w:r>
      <w:r w:rsidR="00B52602">
        <w:t xml:space="preserve">, </w:t>
      </w:r>
      <w:r w:rsidRPr="002479B1">
        <w:t>simplify</w:t>
      </w:r>
      <w:r w:rsidR="00FA3FEE">
        <w:t>ing</w:t>
      </w:r>
      <w:r w:rsidRPr="002479B1">
        <w:t xml:space="preserve"> the system</w:t>
      </w:r>
      <w:r w:rsidR="00B47CF5">
        <w:t>,</w:t>
      </w:r>
      <w:r w:rsidRPr="002479B1">
        <w:t xml:space="preserve"> </w:t>
      </w:r>
      <w:r w:rsidR="00FA3FEE">
        <w:t xml:space="preserve">and </w:t>
      </w:r>
      <w:r w:rsidR="00FA3FEE" w:rsidRPr="002479B1">
        <w:t>facilitat</w:t>
      </w:r>
      <w:r w:rsidR="00FA3FEE">
        <w:t>ing</w:t>
      </w:r>
      <w:r w:rsidR="00FA3FEE" w:rsidRPr="002479B1">
        <w:t xml:space="preserve"> </w:t>
      </w:r>
      <w:r w:rsidRPr="002479B1">
        <w:t>access to data</w:t>
      </w:r>
      <w:r w:rsidR="00B52602">
        <w:t xml:space="preserve">. </w:t>
      </w:r>
    </w:p>
    <w:p w14:paraId="65AC5742" w14:textId="3B931224" w:rsidR="00692154" w:rsidRPr="00545318" w:rsidRDefault="00B52602" w:rsidP="005F4BA0">
      <w:pPr>
        <w:spacing w:before="120" w:after="120"/>
        <w:jc w:val="both"/>
      </w:pPr>
      <w:r w:rsidRPr="00B52602">
        <w:t xml:space="preserve">The </w:t>
      </w:r>
      <w:r w:rsidR="008C7AF5">
        <w:t>g</w:t>
      </w:r>
      <w:r>
        <w:t>overnment has tasked the D</w:t>
      </w:r>
      <w:r w:rsidRPr="00B52602">
        <w:t>epartment</w:t>
      </w:r>
      <w:r>
        <w:t xml:space="preserve"> of Industry, Innovation and Science</w:t>
      </w:r>
      <w:r w:rsidRPr="00B52602">
        <w:t xml:space="preserve"> </w:t>
      </w:r>
      <w:r>
        <w:t>with</w:t>
      </w:r>
      <w:r w:rsidRPr="00B52602">
        <w:t xml:space="preserve"> undertaking </w:t>
      </w:r>
      <w:r>
        <w:t>a</w:t>
      </w:r>
      <w:r w:rsidRPr="00B52602">
        <w:t xml:space="preserve"> review o</w:t>
      </w:r>
      <w:r>
        <w:t>f</w:t>
      </w:r>
      <w:r w:rsidRPr="00B52602">
        <w:t xml:space="preserve"> SME </w:t>
      </w:r>
      <w:r>
        <w:t>a</w:t>
      </w:r>
      <w:r w:rsidRPr="00B52602">
        <w:t>ccess to obtain a comprehensive understanding of</w:t>
      </w:r>
      <w:r>
        <w:t xml:space="preserve"> the</w:t>
      </w:r>
      <w:r w:rsidRPr="00B52602">
        <w:t xml:space="preserve"> problems and potential solutions. </w:t>
      </w:r>
      <w:r>
        <w:t>The review involve</w:t>
      </w:r>
      <w:r w:rsidR="0026637D">
        <w:t>s</w:t>
      </w:r>
      <w:r>
        <w:t xml:space="preserve"> close</w:t>
      </w:r>
      <w:r w:rsidRPr="00B52602">
        <w:t xml:space="preserve"> consult</w:t>
      </w:r>
      <w:r>
        <w:t>ation</w:t>
      </w:r>
      <w:r w:rsidRPr="00B52602">
        <w:t xml:space="preserve"> </w:t>
      </w:r>
      <w:r>
        <w:t>across</w:t>
      </w:r>
      <w:r w:rsidRPr="00B52602">
        <w:t xml:space="preserve"> government and </w:t>
      </w:r>
      <w:r>
        <w:t xml:space="preserve">with </w:t>
      </w:r>
      <w:r w:rsidRPr="00B52602">
        <w:t>industry stakeholders</w:t>
      </w:r>
      <w:r>
        <w:t>.</w:t>
      </w:r>
    </w:p>
    <w:p w14:paraId="1F9C766A" w14:textId="77777777" w:rsidR="00113DB0" w:rsidRDefault="00113DB0" w:rsidP="00113DB0">
      <w:pPr>
        <w:spacing w:after="200" w:line="276" w:lineRule="auto"/>
        <w:sectPr w:rsidR="00113DB0" w:rsidSect="0092094C">
          <w:footerReference w:type="default" r:id="rId21"/>
          <w:pgSz w:w="11907" w:h="16839" w:code="9"/>
          <w:pgMar w:top="1440" w:right="1440" w:bottom="1134" w:left="1440" w:header="708" w:footer="708" w:gutter="0"/>
          <w:pgNumType w:start="1"/>
          <w:cols w:space="708"/>
          <w:docGrid w:linePitch="360"/>
        </w:sectPr>
      </w:pPr>
      <w:bookmarkStart w:id="0" w:name="_Toc458674142"/>
      <w:bookmarkStart w:id="1" w:name="_Toc460430472"/>
    </w:p>
    <w:p w14:paraId="50778883" w14:textId="77777777" w:rsidR="00113DB0" w:rsidRDefault="00113DB0" w:rsidP="00113DB0">
      <w:pPr>
        <w:pStyle w:val="Heading1"/>
        <w:spacing w:after="240"/>
        <w:ind w:left="431" w:hanging="431"/>
        <w:rPr>
          <w:sz w:val="32"/>
          <w:szCs w:val="32"/>
        </w:rPr>
      </w:pPr>
      <w:bookmarkStart w:id="2" w:name="_Toc487532377"/>
      <w:bookmarkEnd w:id="0"/>
      <w:bookmarkEnd w:id="1"/>
      <w:r>
        <w:rPr>
          <w:sz w:val="32"/>
          <w:szCs w:val="32"/>
        </w:rPr>
        <w:t>Introduction</w:t>
      </w:r>
      <w:bookmarkEnd w:id="2"/>
    </w:p>
    <w:p w14:paraId="14BCF8C9" w14:textId="77777777" w:rsidR="00113DB0" w:rsidRDefault="00113DB0" w:rsidP="00113DB0">
      <w:pPr>
        <w:pBdr>
          <w:top w:val="single" w:sz="4" w:space="1" w:color="auto"/>
          <w:left w:val="single" w:sz="4" w:space="4" w:color="auto"/>
          <w:bottom w:val="single" w:sz="4" w:space="1" w:color="auto"/>
          <w:right w:val="single" w:sz="4" w:space="4" w:color="auto"/>
        </w:pBdr>
        <w:shd w:val="clear" w:color="auto" w:fill="D9E2F3" w:themeFill="accent5" w:themeFillTint="33"/>
        <w:spacing w:after="120"/>
        <w:rPr>
          <w:b/>
        </w:rPr>
      </w:pPr>
      <w:r>
        <w:rPr>
          <w:b/>
        </w:rPr>
        <w:t>Key points</w:t>
      </w:r>
    </w:p>
    <w:p w14:paraId="30A0FFC7" w14:textId="77777777" w:rsidR="00113DB0" w:rsidRDefault="00113DB0" w:rsidP="006878D0">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rsidRPr="00E97DCD">
        <w:t>Australia’s steel fabrication industry is highly diverse</w:t>
      </w:r>
      <w:r>
        <w:t xml:space="preserve">, with a large number of businesses producing a wide </w:t>
      </w:r>
      <w:r w:rsidRPr="00E97DCD">
        <w:t>range of steel fabricated products</w:t>
      </w:r>
      <w:r>
        <w:t>. Many of these businesses are small-medium in size.</w:t>
      </w:r>
    </w:p>
    <w:p w14:paraId="2B813715" w14:textId="77777777" w:rsidR="00113DB0" w:rsidRDefault="00113DB0" w:rsidP="006878D0">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rsidRPr="00E97DCD">
        <w:t>Th</w:t>
      </w:r>
      <w:r>
        <w:t>e purpose of this</w:t>
      </w:r>
      <w:r w:rsidRPr="00E97DCD">
        <w:t xml:space="preserve"> report </w:t>
      </w:r>
      <w:r>
        <w:t>is</w:t>
      </w:r>
      <w:r w:rsidRPr="00E97DCD">
        <w:t xml:space="preserve"> to increase understanding of the key characteristics of the industry, the factors driving demand for steel fabricated products, and the impact</w:t>
      </w:r>
      <w:r w:rsidR="00E855F0">
        <w:t>s</w:t>
      </w:r>
      <w:r w:rsidRPr="00E97DCD">
        <w:t xml:space="preserve"> of developments in global markets on the economic performance of the industry.</w:t>
      </w:r>
    </w:p>
    <w:p w14:paraId="172AE68A" w14:textId="787A3638" w:rsidR="00113DB0" w:rsidRDefault="00113DB0" w:rsidP="006878D0">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rsidRPr="00E97DCD">
        <w:t xml:space="preserve">The Commission’s August 2016 report on steel and aluminium markets </w:t>
      </w:r>
      <w:r>
        <w:t>showed</w:t>
      </w:r>
      <w:r w:rsidRPr="00E97DCD">
        <w:t xml:space="preserve"> that ongoing excess capacity </w:t>
      </w:r>
      <w:r>
        <w:t>in the production of primary (crude</w:t>
      </w:r>
      <w:r w:rsidR="006878D0">
        <w:t xml:space="preserve"> and finished</w:t>
      </w:r>
      <w:r>
        <w:t>) steel products—underpinned by government interventions and market distortions—</w:t>
      </w:r>
      <w:r w:rsidRPr="00E97DCD">
        <w:t>was</w:t>
      </w:r>
      <w:r>
        <w:t xml:space="preserve"> </w:t>
      </w:r>
      <w:r w:rsidRPr="00E97DCD">
        <w:t>one of the most significant challenges currently facing the global steel industry.</w:t>
      </w:r>
      <w:r>
        <w:t xml:space="preserve"> </w:t>
      </w:r>
    </w:p>
    <w:p w14:paraId="63DB01AA" w14:textId="77777777" w:rsidR="00113DB0" w:rsidRDefault="00113DB0" w:rsidP="006878D0">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This report considers how the performance of the downstream steel fabrication industry is affected by trade remedy measures on </w:t>
      </w:r>
      <w:r w:rsidRPr="00015280">
        <w:t>primary steel products</w:t>
      </w:r>
      <w:r>
        <w:t xml:space="preserve"> and </w:t>
      </w:r>
      <w:r w:rsidR="003D22AF">
        <w:t xml:space="preserve">the </w:t>
      </w:r>
      <w:r>
        <w:t xml:space="preserve">ongoing </w:t>
      </w:r>
      <w:r w:rsidR="003D22AF" w:rsidRPr="003D22AF">
        <w:t xml:space="preserve">demand/production imbalance </w:t>
      </w:r>
      <w:r w:rsidR="003D22AF">
        <w:t xml:space="preserve">for </w:t>
      </w:r>
      <w:r>
        <w:t>those products,</w:t>
      </w:r>
      <w:r w:rsidRPr="00015280">
        <w:t xml:space="preserve"> </w:t>
      </w:r>
      <w:r>
        <w:t xml:space="preserve">and identifies a number of other factors driving the performance of the industry. </w:t>
      </w:r>
    </w:p>
    <w:p w14:paraId="63DBC62D" w14:textId="77777777" w:rsidR="00113DB0" w:rsidRDefault="00113DB0" w:rsidP="006878D0">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The report finds there are barriers for steel fabrication businesses in accessing and participating in the trade remedies system and canvasses options for addressing these barriers.</w:t>
      </w:r>
    </w:p>
    <w:p w14:paraId="014E8A03" w14:textId="77777777" w:rsidR="00113DB0" w:rsidRDefault="00113DB0" w:rsidP="00113DB0">
      <w:pPr>
        <w:pStyle w:val="Points"/>
        <w:numPr>
          <w:ilvl w:val="0"/>
          <w:numId w:val="0"/>
        </w:numPr>
      </w:pPr>
    </w:p>
    <w:p w14:paraId="3D114A84" w14:textId="037EF8BC" w:rsidR="00113DB0" w:rsidRDefault="00113DB0" w:rsidP="00512200">
      <w:pPr>
        <w:pStyle w:val="Points"/>
        <w:numPr>
          <w:ilvl w:val="0"/>
          <w:numId w:val="0"/>
        </w:numPr>
        <w:jc w:val="both"/>
      </w:pPr>
      <w:r w:rsidRPr="00096139">
        <w:t>Australia</w:t>
      </w:r>
      <w:r>
        <w:t>’s</w:t>
      </w:r>
      <w:r w:rsidRPr="00096139">
        <w:t xml:space="preserve"> steel fabrication </w:t>
      </w:r>
      <w:r>
        <w:t>industry is highly diverse—</w:t>
      </w:r>
      <w:r w:rsidRPr="00C82759">
        <w:t xml:space="preserve">in the size and structure of businesses operating in the industry, </w:t>
      </w:r>
      <w:r>
        <w:t>in the range of steel fabricated products made by those businesses, and in the customers for their products.</w:t>
      </w:r>
      <w:r w:rsidR="006878D0">
        <w:rPr>
          <w:rStyle w:val="FootnoteReference"/>
        </w:rPr>
        <w:footnoteReference w:id="1"/>
      </w:r>
      <w:r>
        <w:t xml:space="preserve"> This report aims to increase understanding of the key characteristics of the industry, the factors driving demand for </w:t>
      </w:r>
      <w:r w:rsidRPr="00C82759">
        <w:t xml:space="preserve">steel fabricated </w:t>
      </w:r>
      <w:r>
        <w:t>products, and the impact</w:t>
      </w:r>
      <w:r w:rsidR="003D22AF">
        <w:t>s</w:t>
      </w:r>
      <w:r>
        <w:t xml:space="preserve"> of developments in global markets on the economic performance of the industry. </w:t>
      </w:r>
    </w:p>
    <w:p w14:paraId="5B6470FC" w14:textId="77777777" w:rsidR="00113DB0" w:rsidRPr="00303544" w:rsidRDefault="00113DB0" w:rsidP="00512200">
      <w:pPr>
        <w:pStyle w:val="Points"/>
        <w:numPr>
          <w:ilvl w:val="0"/>
          <w:numId w:val="0"/>
        </w:numPr>
        <w:jc w:val="both"/>
      </w:pPr>
      <w:r>
        <w:t xml:space="preserve">In particular, the report sets out the Commission’s findings on implications for Australia’s steel fabrication industry of sustained </w:t>
      </w:r>
      <w:r w:rsidR="00053920">
        <w:t xml:space="preserve">excess capacity and demand/production imbalance in </w:t>
      </w:r>
      <w:r>
        <w:t xml:space="preserve">global steel </w:t>
      </w:r>
      <w:r w:rsidR="00053920">
        <w:t xml:space="preserve">markets </w:t>
      </w:r>
      <w:r>
        <w:t>and the consequent increase in trade remedies on primary (upstream) steel products. The report identifies potential barriers to accessing the anti-dumping system by businesses in</w:t>
      </w:r>
      <w:r w:rsidRPr="00EE7F61">
        <w:t xml:space="preserve"> </w:t>
      </w:r>
      <w:r>
        <w:t>the Australian steel fabrication industry, many of which are small-medium enterprises (SMEs), and</w:t>
      </w:r>
      <w:r w:rsidRPr="00EE7F61">
        <w:rPr>
          <w:rFonts w:asciiTheme="minorHAnsi" w:hAnsiTheme="minorHAnsi" w:cstheme="minorBidi"/>
        </w:rPr>
        <w:t xml:space="preserve"> </w:t>
      </w:r>
      <w:r w:rsidRPr="00EE7F61">
        <w:t>canvasses suggestions for improving access</w:t>
      </w:r>
      <w:r>
        <w:t xml:space="preserve"> to the system. </w:t>
      </w:r>
    </w:p>
    <w:p w14:paraId="374F6058" w14:textId="77777777" w:rsidR="00113DB0" w:rsidRDefault="00113DB0" w:rsidP="00113DB0">
      <w:pPr>
        <w:pStyle w:val="Heading2"/>
      </w:pPr>
      <w:bookmarkStart w:id="3" w:name="_Toc487532378"/>
      <w:bookmarkStart w:id="4" w:name="_Toc458674143"/>
      <w:bookmarkStart w:id="5" w:name="_Toc460430473"/>
      <w:r>
        <w:t>Background</w:t>
      </w:r>
      <w:bookmarkEnd w:id="3"/>
    </w:p>
    <w:p w14:paraId="7B2FDFEA" w14:textId="77777777" w:rsidR="00113DB0" w:rsidRDefault="00113DB0" w:rsidP="00512200">
      <w:pPr>
        <w:pStyle w:val="Points"/>
        <w:numPr>
          <w:ilvl w:val="0"/>
          <w:numId w:val="0"/>
        </w:numPr>
        <w:jc w:val="both"/>
      </w:pPr>
      <w:r w:rsidRPr="00274A29">
        <w:t>In August 2016</w:t>
      </w:r>
      <w:r>
        <w:t xml:space="preserve">, the Commission completed its analysis of global and Australian markets for primary (crude) steel and aluminium products and presented its report to the </w:t>
      </w:r>
      <w:r w:rsidRPr="00274A29">
        <w:t>Commissioner of the Anti-Dumping Commission</w:t>
      </w:r>
      <w:r>
        <w:t xml:space="preserve">. The Commissioner used the Commission’s report in advising the then </w:t>
      </w:r>
      <w:r w:rsidRPr="00360F76">
        <w:t xml:space="preserve">Minister for Industry, Innovation and Science, the Hon. Greg Hunt MP, and the Assistant Minister for Industry, Innovation and Science, the Hon. Craig Laundy MP, </w:t>
      </w:r>
      <w:r>
        <w:t xml:space="preserve">about the impact of global </w:t>
      </w:r>
      <w:r w:rsidR="00053920">
        <w:t xml:space="preserve">excess capacity </w:t>
      </w:r>
      <w:r>
        <w:t xml:space="preserve">and market distortions on the growth and viability of the Australian steel and aluminium sector, and implications for the effectiveness of Australia’s anti-dumping system. </w:t>
      </w:r>
    </w:p>
    <w:p w14:paraId="76AE0CF0" w14:textId="77777777" w:rsidR="00113DB0" w:rsidRDefault="00113DB0" w:rsidP="00512200">
      <w:pPr>
        <w:pStyle w:val="Points"/>
        <w:numPr>
          <w:ilvl w:val="0"/>
          <w:numId w:val="0"/>
        </w:numPr>
        <w:jc w:val="both"/>
      </w:pPr>
      <w:r>
        <w:t xml:space="preserve">In preparing the report, and an earlier report provided to the then Minister </w:t>
      </w:r>
      <w:r w:rsidRPr="00360F76">
        <w:t xml:space="preserve">for Industry, Innovation and Science, the Hon. </w:t>
      </w:r>
      <w:r>
        <w:t xml:space="preserve">Christopher </w:t>
      </w:r>
      <w:proofErr w:type="spellStart"/>
      <w:r>
        <w:t>Pyne</w:t>
      </w:r>
      <w:proofErr w:type="spellEnd"/>
      <w:r w:rsidRPr="00360F76">
        <w:t xml:space="preserve"> MP</w:t>
      </w:r>
      <w:r>
        <w:t>,</w:t>
      </w:r>
      <w:r w:rsidRPr="00360F76">
        <w:t xml:space="preserve"> </w:t>
      </w:r>
      <w:r>
        <w:t>in April 2016, the Commission identified a number of operational improvements to increase the efficiency and effectiveness of the system, which it has been implementing.</w:t>
      </w:r>
      <w:r>
        <w:rPr>
          <w:rStyle w:val="FootnoteReference"/>
        </w:rPr>
        <w:footnoteReference w:id="2"/>
      </w:r>
      <w:r>
        <w:t xml:space="preserve"> While the full benefits of these operational improvements are yet to be realised, there is already evidence of significant operational efficiency gains.</w:t>
      </w:r>
      <w:r>
        <w:rPr>
          <w:rStyle w:val="FootnoteReference"/>
        </w:rPr>
        <w:footnoteReference w:id="3"/>
      </w:r>
    </w:p>
    <w:p w14:paraId="0E3359FD" w14:textId="77777777" w:rsidR="00113DB0" w:rsidRDefault="00113DB0" w:rsidP="00512200">
      <w:pPr>
        <w:pStyle w:val="Points"/>
        <w:numPr>
          <w:ilvl w:val="0"/>
          <w:numId w:val="0"/>
        </w:numPr>
        <w:jc w:val="both"/>
      </w:pPr>
      <w:r w:rsidRPr="00A26866">
        <w:rPr>
          <w:rFonts w:eastAsia="Times New Roman" w:cs="Arial"/>
          <w:lang w:eastAsia="en-AU"/>
        </w:rPr>
        <w:t xml:space="preserve">The Commission </w:t>
      </w:r>
      <w:r>
        <w:rPr>
          <w:rFonts w:eastAsia="Times New Roman" w:cs="Arial"/>
          <w:lang w:eastAsia="en-AU"/>
        </w:rPr>
        <w:t>is</w:t>
      </w:r>
      <w:r w:rsidRPr="00A26866">
        <w:rPr>
          <w:rFonts w:eastAsia="Times New Roman" w:cs="Arial"/>
          <w:lang w:eastAsia="en-AU"/>
        </w:rPr>
        <w:t xml:space="preserve"> also continu</w:t>
      </w:r>
      <w:r>
        <w:rPr>
          <w:rFonts w:eastAsia="Times New Roman" w:cs="Arial"/>
          <w:lang w:eastAsia="en-AU"/>
        </w:rPr>
        <w:t>ing</w:t>
      </w:r>
      <w:r w:rsidRPr="00A26866">
        <w:rPr>
          <w:rFonts w:eastAsia="Times New Roman" w:cs="Arial"/>
          <w:lang w:eastAsia="en-AU"/>
        </w:rPr>
        <w:t xml:space="preserve"> to work with other government agencies, particularly the Department of Immigration and Border Protection</w:t>
      </w:r>
      <w:r>
        <w:rPr>
          <w:rFonts w:eastAsia="Times New Roman" w:cs="Arial"/>
          <w:lang w:eastAsia="en-AU"/>
        </w:rPr>
        <w:t xml:space="preserve"> (DIBP)</w:t>
      </w:r>
      <w:r w:rsidRPr="00A26866">
        <w:rPr>
          <w:rFonts w:eastAsia="Times New Roman" w:cs="Arial"/>
          <w:lang w:eastAsia="en-AU"/>
        </w:rPr>
        <w:t>, to ensure a</w:t>
      </w:r>
      <w:r>
        <w:rPr>
          <w:rFonts w:eastAsia="Times New Roman" w:cs="Arial"/>
          <w:lang w:eastAsia="en-AU"/>
        </w:rPr>
        <w:t>n</w:t>
      </w:r>
      <w:r w:rsidRPr="00A26866">
        <w:rPr>
          <w:rFonts w:eastAsia="Times New Roman" w:cs="Arial"/>
          <w:lang w:eastAsia="en-AU"/>
        </w:rPr>
        <w:t xml:space="preserve"> </w:t>
      </w:r>
      <w:r>
        <w:rPr>
          <w:rFonts w:eastAsia="Times New Roman" w:cs="Arial"/>
          <w:lang w:eastAsia="en-AU"/>
        </w:rPr>
        <w:t>effective</w:t>
      </w:r>
      <w:r w:rsidRPr="00A26866">
        <w:rPr>
          <w:rFonts w:eastAsia="Times New Roman" w:cs="Arial"/>
          <w:lang w:eastAsia="en-AU"/>
        </w:rPr>
        <w:t xml:space="preserve"> whole-of-government approach to implementing </w:t>
      </w:r>
      <w:r>
        <w:rPr>
          <w:rFonts w:eastAsia="Times New Roman" w:cs="Arial"/>
          <w:lang w:eastAsia="en-AU"/>
        </w:rPr>
        <w:t xml:space="preserve">and monitoring </w:t>
      </w:r>
      <w:r w:rsidRPr="00A26866">
        <w:rPr>
          <w:rFonts w:eastAsia="Times New Roman" w:cs="Arial"/>
          <w:lang w:eastAsia="en-AU"/>
        </w:rPr>
        <w:t>trade remedies, including compliance.</w:t>
      </w:r>
    </w:p>
    <w:p w14:paraId="630FE9B1" w14:textId="77777777" w:rsidR="00113DB0" w:rsidRPr="00720D4C" w:rsidRDefault="00113DB0" w:rsidP="00512200">
      <w:pPr>
        <w:pStyle w:val="Points"/>
        <w:numPr>
          <w:ilvl w:val="0"/>
          <w:numId w:val="0"/>
        </w:numPr>
        <w:jc w:val="both"/>
      </w:pPr>
      <w:r>
        <w:t xml:space="preserve">The Commission’s August 2016 report on steel and aluminium markets presented evidence that </w:t>
      </w:r>
      <w:r w:rsidRPr="00720D4C">
        <w:t xml:space="preserve">ongoing excess capacity </w:t>
      </w:r>
      <w:r>
        <w:t>w</w:t>
      </w:r>
      <w:r w:rsidRPr="00720D4C">
        <w:t xml:space="preserve">as one of the most significant challenges currently facing the global steel industry. The large gap between global steelmaking capacity and demand has led to deterioration in the financial situation of steelmakers around the world, and raised concerns about the longer-term economic viability and efficiency of the industry. </w:t>
      </w:r>
      <w:r>
        <w:t>The Commission’s conclusions were consistent with findings of t</w:t>
      </w:r>
      <w:r w:rsidRPr="00720D4C">
        <w:t xml:space="preserve">he Organisation for Economic Development and Co-operation (OECD) </w:t>
      </w:r>
      <w:r>
        <w:t xml:space="preserve">and the G20 nations, which have established mechanisms to </w:t>
      </w:r>
      <w:r w:rsidRPr="007D07AB">
        <w:rPr>
          <w:lang w:val="en"/>
        </w:rPr>
        <w:t xml:space="preserve">address </w:t>
      </w:r>
      <w:r w:rsidR="00053920">
        <w:rPr>
          <w:lang w:val="en"/>
        </w:rPr>
        <w:t xml:space="preserve">excess </w:t>
      </w:r>
      <w:r w:rsidR="00053920" w:rsidRPr="007D07AB">
        <w:rPr>
          <w:lang w:val="en"/>
        </w:rPr>
        <w:t xml:space="preserve">capacity </w:t>
      </w:r>
      <w:r w:rsidRPr="007D07AB">
        <w:rPr>
          <w:lang w:val="en"/>
        </w:rPr>
        <w:t>in the global steel industry</w:t>
      </w:r>
      <w:r>
        <w:t xml:space="preserve"> (including </w:t>
      </w:r>
      <w:r>
        <w:rPr>
          <w:lang w:val="en"/>
        </w:rPr>
        <w:t>a Global Forum on Steel Excess Capacity, formed in December 2016).</w:t>
      </w:r>
      <w:r>
        <w:rPr>
          <w:rStyle w:val="FootnoteReference"/>
          <w:lang w:val="en"/>
        </w:rPr>
        <w:footnoteReference w:id="4"/>
      </w:r>
    </w:p>
    <w:p w14:paraId="748520A3" w14:textId="77777777" w:rsidR="00113DB0" w:rsidRPr="00720D4C" w:rsidRDefault="00113DB0" w:rsidP="00512200">
      <w:pPr>
        <w:pStyle w:val="Points"/>
        <w:numPr>
          <w:ilvl w:val="0"/>
          <w:numId w:val="0"/>
        </w:numPr>
        <w:jc w:val="both"/>
      </w:pPr>
      <w:r w:rsidRPr="00720D4C">
        <w:t xml:space="preserve">In advocating government actions to address market distortions that underpin sustained global </w:t>
      </w:r>
      <w:r>
        <w:t xml:space="preserve">steel </w:t>
      </w:r>
      <w:r w:rsidR="00053920">
        <w:t xml:space="preserve">excess </w:t>
      </w:r>
      <w:r w:rsidR="00053920" w:rsidRPr="00720D4C">
        <w:t>capacity</w:t>
      </w:r>
      <w:r w:rsidRPr="00720D4C">
        <w:t>, the OECD has highlighted that ‘excess capacity in one region can displace production in other regions, thus harming producers in those markets’, including through ‘unfair trade practices such as dumping’.</w:t>
      </w:r>
      <w:r>
        <w:rPr>
          <w:rStyle w:val="FootnoteReference"/>
        </w:rPr>
        <w:footnoteReference w:id="5"/>
      </w:r>
      <w:r w:rsidRPr="00720D4C">
        <w:t xml:space="preserve"> </w:t>
      </w:r>
    </w:p>
    <w:p w14:paraId="3241F84A" w14:textId="39711FB7" w:rsidR="00113DB0" w:rsidRPr="00274A29" w:rsidRDefault="00113DB0" w:rsidP="00512200">
      <w:pPr>
        <w:pStyle w:val="Points"/>
        <w:numPr>
          <w:ilvl w:val="0"/>
          <w:numId w:val="0"/>
        </w:numPr>
        <w:jc w:val="both"/>
      </w:pPr>
      <w:r>
        <w:t>The World Trade Organization (WTO) has highlighted the sharp increase in new trade remedies investigations that occurred over the 12 months to October 2016, reaching its highest level since 2009.</w:t>
      </w:r>
      <w:r w:rsidRPr="00512200">
        <w:rPr>
          <w:rStyle w:val="FootnoteReference"/>
        </w:rPr>
        <w:footnoteReference w:id="6"/>
      </w:r>
      <w:r>
        <w:t xml:space="preserve"> </w:t>
      </w:r>
      <w:r w:rsidR="00512200">
        <w:t>For the seven months to mid-May 2017, there was a slight deceleration of the monthly average of initiations but WTO members continued to initiate more new trade remedy investigations than terminations of trade remedy actions.</w:t>
      </w:r>
      <w:r w:rsidR="00512200">
        <w:rPr>
          <w:rStyle w:val="FootnoteReference"/>
        </w:rPr>
        <w:footnoteReference w:id="7"/>
      </w:r>
      <w:r w:rsidR="00512200">
        <w:t xml:space="preserve"> Many of these investigations relate to primary steel products.</w:t>
      </w:r>
    </w:p>
    <w:p w14:paraId="27DEF817" w14:textId="77777777" w:rsidR="00113DB0" w:rsidRPr="00545318" w:rsidRDefault="00113DB0" w:rsidP="00113DB0">
      <w:pPr>
        <w:pStyle w:val="Heading2"/>
      </w:pPr>
      <w:bookmarkStart w:id="6" w:name="_Toc487532379"/>
      <w:r w:rsidRPr="00545318">
        <w:t>The Commission’s purpose in preparing this market analysis</w:t>
      </w:r>
      <w:bookmarkEnd w:id="4"/>
      <w:bookmarkEnd w:id="5"/>
      <w:bookmarkEnd w:id="6"/>
    </w:p>
    <w:p w14:paraId="2FE04F97" w14:textId="77777777" w:rsidR="00113DB0" w:rsidRDefault="00113DB0" w:rsidP="00113DB0">
      <w:pPr>
        <w:pStyle w:val="Points"/>
        <w:numPr>
          <w:ilvl w:val="0"/>
          <w:numId w:val="0"/>
        </w:numPr>
      </w:pPr>
      <w:bookmarkStart w:id="7" w:name="_Toc458674144"/>
      <w:bookmarkStart w:id="8" w:name="_Toc460430474"/>
      <w:r>
        <w:t xml:space="preserve">Trade remedy measures on </w:t>
      </w:r>
      <w:r w:rsidRPr="00015280">
        <w:t>primary steel products</w:t>
      </w:r>
      <w:r>
        <w:t xml:space="preserve">, coupled with </w:t>
      </w:r>
      <w:r w:rsidR="0077643E">
        <w:t xml:space="preserve">the </w:t>
      </w:r>
      <w:r>
        <w:t xml:space="preserve">ongoing </w:t>
      </w:r>
      <w:r w:rsidR="0077643E">
        <w:t>demand/production imbalance for</w:t>
      </w:r>
      <w:r>
        <w:t xml:space="preserve"> those products,</w:t>
      </w:r>
      <w:r w:rsidRPr="00015280">
        <w:t xml:space="preserve"> </w:t>
      </w:r>
      <w:r>
        <w:t xml:space="preserve">have the potential to affect the performance of the downstream steel fabrication industry. </w:t>
      </w:r>
    </w:p>
    <w:p w14:paraId="4B5A2766" w14:textId="77777777" w:rsidR="00113DB0" w:rsidRDefault="00113DB0" w:rsidP="00862158">
      <w:pPr>
        <w:pStyle w:val="Points"/>
        <w:numPr>
          <w:ilvl w:val="0"/>
          <w:numId w:val="0"/>
        </w:numPr>
        <w:jc w:val="both"/>
      </w:pPr>
      <w:r w:rsidRPr="00797E36">
        <w:t>The Commissioner of the Anti-Dumping Commission directed the Commission to prepare this report to provide evidence-based market intelligence and analysis to the Commissioner</w:t>
      </w:r>
      <w:r>
        <w:t>, the Australian industry</w:t>
      </w:r>
      <w:r w:rsidRPr="00797E36">
        <w:t xml:space="preserve"> and interested members of the Australian community on Australia’s steel fabrication industry</w:t>
      </w:r>
      <w:r>
        <w:t xml:space="preserve"> and how it is being impacted by the global developments outlined above</w:t>
      </w:r>
      <w:r w:rsidRPr="00797E36">
        <w:t xml:space="preserve">. </w:t>
      </w:r>
    </w:p>
    <w:p w14:paraId="5CA66233" w14:textId="77777777" w:rsidR="00113DB0" w:rsidRDefault="00113DB0" w:rsidP="00862158">
      <w:pPr>
        <w:pStyle w:val="Points"/>
        <w:numPr>
          <w:ilvl w:val="0"/>
          <w:numId w:val="0"/>
        </w:numPr>
        <w:jc w:val="both"/>
      </w:pPr>
      <w:r>
        <w:t>A stronger understanding of</w:t>
      </w:r>
      <w:r w:rsidRPr="00797E36">
        <w:rPr>
          <w:rFonts w:asciiTheme="minorHAnsi" w:hAnsiTheme="minorHAnsi" w:cstheme="minorBidi"/>
        </w:rPr>
        <w:t xml:space="preserve"> </w:t>
      </w:r>
      <w:r w:rsidRPr="00797E36">
        <w:t>the industry, the factors driving demand for steel fabricated products, and the impact of developments in global markets on the economic performance of the industry</w:t>
      </w:r>
      <w:r>
        <w:t xml:space="preserve"> has several benefits:</w:t>
      </w:r>
    </w:p>
    <w:p w14:paraId="761218D0" w14:textId="77777777" w:rsidR="00113DB0" w:rsidRDefault="00113DB0" w:rsidP="00862158">
      <w:pPr>
        <w:pStyle w:val="Points"/>
        <w:numPr>
          <w:ilvl w:val="0"/>
          <w:numId w:val="12"/>
        </w:numPr>
        <w:jc w:val="both"/>
      </w:pPr>
      <w:r>
        <w:t xml:space="preserve">It will inform Commission investigations in relation to steel fabricated products, both in analysing the economic condition of the </w:t>
      </w:r>
      <w:r w:rsidRPr="003518DA">
        <w:t xml:space="preserve">applicant </w:t>
      </w:r>
      <w:r>
        <w:t xml:space="preserve">Australian industry and in undertaking the injury and causation analysis. </w:t>
      </w:r>
    </w:p>
    <w:p w14:paraId="2F4EDF0C" w14:textId="77777777" w:rsidR="00113DB0" w:rsidRDefault="00113DB0" w:rsidP="00862158">
      <w:pPr>
        <w:pStyle w:val="Points"/>
        <w:numPr>
          <w:ilvl w:val="0"/>
          <w:numId w:val="12"/>
        </w:numPr>
        <w:jc w:val="both"/>
      </w:pPr>
      <w:r w:rsidRPr="003518DA">
        <w:t xml:space="preserve">It will help to inform </w:t>
      </w:r>
      <w:r>
        <w:t>the Commission’s injury and causation analysis in investigations in relation to primary steel products, where the steel fabrication industry is a major customer and source of demand for the product under investigation.</w:t>
      </w:r>
    </w:p>
    <w:p w14:paraId="7FCF9005" w14:textId="77777777" w:rsidR="00113DB0" w:rsidRDefault="00113DB0" w:rsidP="00862158">
      <w:pPr>
        <w:pStyle w:val="Points"/>
        <w:numPr>
          <w:ilvl w:val="0"/>
          <w:numId w:val="12"/>
        </w:numPr>
        <w:jc w:val="both"/>
      </w:pPr>
      <w:r>
        <w:t>As an industry with a high proportion of SMEs, it provides a valuable case study of the challenges for SMEs in accessing the anti-dumping system—as applicants for measures, as industry participants wishing to make submissions to investigations, and as importers seeking duty assessments and/or reviews of measures.</w:t>
      </w:r>
    </w:p>
    <w:p w14:paraId="58D506A7" w14:textId="77777777" w:rsidR="00113DB0" w:rsidRPr="00797E36" w:rsidRDefault="00113DB0" w:rsidP="00862158">
      <w:pPr>
        <w:pStyle w:val="Points"/>
        <w:numPr>
          <w:ilvl w:val="0"/>
          <w:numId w:val="12"/>
        </w:numPr>
        <w:jc w:val="both"/>
      </w:pPr>
      <w:r>
        <w:t xml:space="preserve">It will contribute to informing the government’s consideration of policy options for further strengthening and improving the efficiency of Australia’s anti-dumping system. </w:t>
      </w:r>
    </w:p>
    <w:p w14:paraId="7F6D11CD" w14:textId="77777777" w:rsidR="00113DB0" w:rsidRPr="00274A29" w:rsidRDefault="00113DB0" w:rsidP="00862158">
      <w:pPr>
        <w:pStyle w:val="Points"/>
        <w:numPr>
          <w:ilvl w:val="0"/>
          <w:numId w:val="0"/>
        </w:numPr>
        <w:jc w:val="both"/>
      </w:pPr>
      <w:r>
        <w:t>Some</w:t>
      </w:r>
      <w:r w:rsidRPr="00274A29">
        <w:t xml:space="preserve"> </w:t>
      </w:r>
      <w:r>
        <w:t xml:space="preserve">of the </w:t>
      </w:r>
      <w:r w:rsidRPr="00274A29">
        <w:t xml:space="preserve">evidence </w:t>
      </w:r>
      <w:r>
        <w:t>obtained during the course of this market analysis was provided to the SME a</w:t>
      </w:r>
      <w:r w:rsidRPr="00274A29">
        <w:t>ccess</w:t>
      </w:r>
      <w:r>
        <w:t xml:space="preserve"> </w:t>
      </w:r>
      <w:r w:rsidRPr="00274A29">
        <w:t xml:space="preserve">sub-committee of the ITRF </w:t>
      </w:r>
      <w:r>
        <w:t>as a</w:t>
      </w:r>
      <w:r w:rsidRPr="00274A29">
        <w:t xml:space="preserve"> </w:t>
      </w:r>
      <w:r>
        <w:t xml:space="preserve">contribution to the sub-committee’s consideration of the challenges for, and barriers to, </w:t>
      </w:r>
      <w:r w:rsidRPr="00274A29">
        <w:t>SME</w:t>
      </w:r>
      <w:r>
        <w:t>s</w:t>
      </w:r>
      <w:r w:rsidRPr="00274A29">
        <w:t xml:space="preserve"> </w:t>
      </w:r>
      <w:r>
        <w:t xml:space="preserve">in </w:t>
      </w:r>
      <w:r w:rsidRPr="00274A29">
        <w:t>access</w:t>
      </w:r>
      <w:r>
        <w:t>ing</w:t>
      </w:r>
      <w:r w:rsidRPr="00274A29">
        <w:t xml:space="preserve"> the anti-dumping system.</w:t>
      </w:r>
    </w:p>
    <w:p w14:paraId="1650DD36" w14:textId="77777777" w:rsidR="00113DB0" w:rsidRPr="00360F76" w:rsidRDefault="00113DB0" w:rsidP="00113DB0">
      <w:pPr>
        <w:pStyle w:val="Heading2"/>
      </w:pPr>
      <w:bookmarkStart w:id="9" w:name="_Toc487532380"/>
      <w:r w:rsidRPr="00360F76">
        <w:t>Government’s policy context</w:t>
      </w:r>
      <w:bookmarkEnd w:id="9"/>
      <w:r w:rsidRPr="00360F76">
        <w:t xml:space="preserve"> </w:t>
      </w:r>
    </w:p>
    <w:p w14:paraId="37431E49" w14:textId="77777777" w:rsidR="00113DB0" w:rsidRPr="00360F76" w:rsidRDefault="00113DB0" w:rsidP="00862158">
      <w:pPr>
        <w:pStyle w:val="Points"/>
        <w:numPr>
          <w:ilvl w:val="0"/>
          <w:numId w:val="0"/>
        </w:numPr>
        <w:jc w:val="both"/>
      </w:pPr>
      <w:r w:rsidRPr="00360F76">
        <w:t>Australia’s trade remedies system operates within the context of the government’s overall economic strategy to promote business growth, employment and global competitiveness. The government’s National Innovation and Science Agenda support</w:t>
      </w:r>
      <w:r w:rsidR="00211415">
        <w:t>s</w:t>
      </w:r>
      <w:r w:rsidRPr="00360F76">
        <w:t xml:space="preserve"> the implementation of the government’s objectives of transitioning businesses to areas of competitive advantage and facilitating innovation and growth. </w:t>
      </w:r>
    </w:p>
    <w:p w14:paraId="24ED9CCE" w14:textId="77777777" w:rsidR="00113DB0" w:rsidRPr="00360F76" w:rsidRDefault="00113DB0" w:rsidP="00862158">
      <w:pPr>
        <w:pStyle w:val="Points"/>
        <w:numPr>
          <w:ilvl w:val="0"/>
          <w:numId w:val="0"/>
        </w:numPr>
        <w:jc w:val="both"/>
      </w:pPr>
      <w:r w:rsidRPr="00360F76">
        <w:t>Th</w:t>
      </w:r>
      <w:r w:rsidR="00211415">
        <w:t>is</w:t>
      </w:r>
      <w:r w:rsidRPr="00360F76">
        <w:t xml:space="preserve"> Agenda</w:t>
      </w:r>
      <w:r w:rsidR="00211415">
        <w:t xml:space="preserve"> i</w:t>
      </w:r>
      <w:r w:rsidRPr="00360F76">
        <w:t>s implemented through a whole</w:t>
      </w:r>
      <w:r>
        <w:t>-</w:t>
      </w:r>
      <w:r w:rsidRPr="00360F76">
        <w:t>of</w:t>
      </w:r>
      <w:r>
        <w:t>-</w:t>
      </w:r>
      <w:r w:rsidRPr="00360F76">
        <w:t xml:space="preserve">government approach which ensures coordination of policies to achieve the government’s objectives. </w:t>
      </w:r>
    </w:p>
    <w:p w14:paraId="4AA54CD9" w14:textId="77777777" w:rsidR="00113DB0" w:rsidRPr="00360F76" w:rsidRDefault="00113DB0" w:rsidP="00862158">
      <w:pPr>
        <w:pStyle w:val="Points"/>
        <w:numPr>
          <w:ilvl w:val="0"/>
          <w:numId w:val="0"/>
        </w:numPr>
        <w:jc w:val="both"/>
      </w:pPr>
      <w:r w:rsidRPr="00360F76">
        <w:t xml:space="preserve">Industry policy has an important role in contributing to the Agenda by enabling growth and productivity for globally competitive industries through a range of policy actions. </w:t>
      </w:r>
    </w:p>
    <w:p w14:paraId="4281FBA5" w14:textId="77777777" w:rsidR="00113DB0" w:rsidRPr="00360F76" w:rsidRDefault="00113DB0" w:rsidP="00862158">
      <w:pPr>
        <w:pStyle w:val="Points"/>
        <w:numPr>
          <w:ilvl w:val="0"/>
          <w:numId w:val="0"/>
        </w:numPr>
        <w:jc w:val="both"/>
      </w:pPr>
      <w:r w:rsidRPr="00360F76">
        <w:t xml:space="preserve">The government’s policy actions in support of trade liberalisation and more open global markets, such as through free trade agreements with Australia’s trading partners, also play a key role in supporting the government’s Agenda. </w:t>
      </w:r>
    </w:p>
    <w:p w14:paraId="0F9FC87A" w14:textId="77777777" w:rsidR="00113DB0" w:rsidRDefault="00113DB0" w:rsidP="00862158">
      <w:pPr>
        <w:pStyle w:val="Points"/>
        <w:numPr>
          <w:ilvl w:val="0"/>
          <w:numId w:val="0"/>
        </w:numPr>
        <w:jc w:val="both"/>
      </w:pPr>
      <w:r w:rsidRPr="00360F76">
        <w:t xml:space="preserve">Australia’s trade remedies system operates within the framework established by the WTO. This framework forms an integral element of a free and open global trading system. Most developed countries and many developing countries also operate trade remedies regimes. </w:t>
      </w:r>
    </w:p>
    <w:p w14:paraId="7FDABA7F" w14:textId="77777777" w:rsidR="005C3863" w:rsidRDefault="002D7604" w:rsidP="00862158">
      <w:pPr>
        <w:spacing w:before="120" w:after="120"/>
        <w:jc w:val="both"/>
      </w:pPr>
      <w:r>
        <w:t xml:space="preserve">It is important to recognise that anti-dumping measures do not seek to stop imports or give an unfair competitive advantage to Australian producers. </w:t>
      </w:r>
      <w:r w:rsidR="005C3863" w:rsidRPr="005C3863">
        <w:t xml:space="preserve">Dumping and foreign government subsidisation of goods exported to Australia is not genuine competition and can distort markets and injure Australian manufacturers. A robust and effective anti-dumping system is an essential part of the </w:t>
      </w:r>
      <w:r w:rsidR="008C7AF5">
        <w:t>g</w:t>
      </w:r>
      <w:r w:rsidR="005C3863" w:rsidRPr="005C3863">
        <w:t>overnment’s commitment to free and fair trad</w:t>
      </w:r>
      <w:r w:rsidR="005C3863">
        <w:t>e.</w:t>
      </w:r>
    </w:p>
    <w:p w14:paraId="05319399" w14:textId="77777777" w:rsidR="00113DB0" w:rsidRPr="00360F76" w:rsidRDefault="00113DB0" w:rsidP="00862158">
      <w:pPr>
        <w:spacing w:before="120" w:after="120"/>
        <w:jc w:val="both"/>
      </w:pPr>
      <w:r w:rsidRPr="00360F76">
        <w:t xml:space="preserve">The purpose of Australia’s trade remedies system is to remedy material injury caused to Australian industries by dumped and subsidised imports and give Australian industries the opportunity to compete with imports on a level playing field. This does not mean that the system does, or should, have the effect of shielding Australian industries from vigorous competition. Strong competitive pressures give industries incentives to continually improve their productivity performance and strive to best meet their customers’ needs. </w:t>
      </w:r>
    </w:p>
    <w:p w14:paraId="59F818FE" w14:textId="77777777" w:rsidR="00113DB0" w:rsidRPr="00270EBC" w:rsidRDefault="00113DB0" w:rsidP="00862158">
      <w:pPr>
        <w:pStyle w:val="Points"/>
        <w:numPr>
          <w:ilvl w:val="0"/>
          <w:numId w:val="0"/>
        </w:numPr>
        <w:jc w:val="both"/>
      </w:pPr>
      <w:r w:rsidRPr="00360F76">
        <w:t>The system includes a number of checks and balances to ensure that trade remedies are limited to remedying the material injury caused by dumped and subsidised imports. These include ensuring that the Commission’s operational policies and practices are consistent with the WTO framework.</w:t>
      </w:r>
    </w:p>
    <w:p w14:paraId="1DE39BE5" w14:textId="77777777" w:rsidR="00113DB0" w:rsidRPr="00545318" w:rsidRDefault="00113DB0" w:rsidP="00113DB0">
      <w:pPr>
        <w:pStyle w:val="Heading2"/>
      </w:pPr>
      <w:bookmarkStart w:id="10" w:name="_Toc458674145"/>
      <w:bookmarkStart w:id="11" w:name="_Toc460430475"/>
      <w:bookmarkStart w:id="12" w:name="_Toc487532381"/>
      <w:bookmarkEnd w:id="7"/>
      <w:bookmarkEnd w:id="8"/>
      <w:r w:rsidRPr="00545318">
        <w:t>Key findings</w:t>
      </w:r>
      <w:bookmarkEnd w:id="10"/>
      <w:bookmarkEnd w:id="11"/>
      <w:bookmarkEnd w:id="12"/>
      <w:r w:rsidRPr="00545318">
        <w:t xml:space="preserve"> </w:t>
      </w:r>
    </w:p>
    <w:p w14:paraId="3FE06EF1" w14:textId="77777777" w:rsidR="00113DB0" w:rsidRPr="005F45AD" w:rsidRDefault="00113DB0" w:rsidP="00862158">
      <w:pPr>
        <w:pStyle w:val="Points"/>
        <w:numPr>
          <w:ilvl w:val="0"/>
          <w:numId w:val="0"/>
        </w:numPr>
        <w:jc w:val="both"/>
      </w:pPr>
      <w:r w:rsidRPr="005F45AD">
        <w:t xml:space="preserve">The Commission’s analysis has found: </w:t>
      </w:r>
    </w:p>
    <w:p w14:paraId="200CE9B8" w14:textId="77777777" w:rsidR="009F5F6E" w:rsidRPr="009F5F6E" w:rsidRDefault="000E4B2F" w:rsidP="00862158">
      <w:pPr>
        <w:numPr>
          <w:ilvl w:val="0"/>
          <w:numId w:val="1"/>
        </w:numPr>
        <w:spacing w:before="120" w:after="120"/>
        <w:jc w:val="both"/>
      </w:pPr>
      <w:r w:rsidRPr="000E4B2F">
        <w:t>Performance has varied across sectors within the industry</w:t>
      </w:r>
      <w:r>
        <w:t xml:space="preserve">, </w:t>
      </w:r>
      <w:r w:rsidR="003D22AF">
        <w:t>which</w:t>
      </w:r>
      <w:r w:rsidRPr="000E4B2F">
        <w:t xml:space="preserve"> </w:t>
      </w:r>
      <w:r>
        <w:t>r</w:t>
      </w:r>
      <w:r w:rsidR="009F5F6E" w:rsidRPr="009F5F6E">
        <w:t>eflect</w:t>
      </w:r>
      <w:r>
        <w:t>s</w:t>
      </w:r>
      <w:r w:rsidR="009F5F6E" w:rsidRPr="009F5F6E">
        <w:t xml:space="preserve"> the diversity of the steel fabrication industry in terms of products and end</w:t>
      </w:r>
      <w:r>
        <w:t xml:space="preserve"> </w:t>
      </w:r>
      <w:r w:rsidR="009F5F6E" w:rsidRPr="009F5F6E">
        <w:t xml:space="preserve">uses. </w:t>
      </w:r>
    </w:p>
    <w:p w14:paraId="2A6F0D57" w14:textId="77777777" w:rsidR="009F5F6E" w:rsidRPr="009F5F6E" w:rsidRDefault="009F5F6E" w:rsidP="00862158">
      <w:pPr>
        <w:numPr>
          <w:ilvl w:val="0"/>
          <w:numId w:val="1"/>
        </w:numPr>
        <w:spacing w:before="120" w:after="120"/>
        <w:jc w:val="both"/>
      </w:pPr>
      <w:r w:rsidRPr="009F5F6E">
        <w:t>On the demand side, three industries—the construction, manufacturing and mining industries—are the main consumers of steel fabricated products, comprising almost 90 per cent of demand for these products. Trends in the economic performance of these industries affect the performance of steel fabrication businesses, noting that businesses producing specialised products may be more affected by specific factors within the broader market.</w:t>
      </w:r>
    </w:p>
    <w:p w14:paraId="015F7FC0" w14:textId="79841E62" w:rsidR="009F5F6E" w:rsidRPr="009F5F6E" w:rsidRDefault="009F5F6E" w:rsidP="00862158">
      <w:pPr>
        <w:numPr>
          <w:ilvl w:val="0"/>
          <w:numId w:val="1"/>
        </w:numPr>
        <w:spacing w:before="120" w:after="120"/>
        <w:jc w:val="both"/>
      </w:pPr>
      <w:r w:rsidRPr="009F5F6E">
        <w:t xml:space="preserve">On the supply side, continuing global excess capacity and </w:t>
      </w:r>
      <w:r w:rsidR="00645CEC">
        <w:t>the demand/production imbalance for</w:t>
      </w:r>
      <w:r w:rsidRPr="009F5F6E">
        <w:t xml:space="preserve"> primary steel products—underpinned by government interventions and market distortions—are impacting on the global and Australian steel fabrication industries. </w:t>
      </w:r>
      <w:r w:rsidR="00645CEC">
        <w:t>The demand/production imbalance for</w:t>
      </w:r>
      <w:r w:rsidRPr="009F5F6E">
        <w:t xml:space="preserve"> primary steel can flow through into the steel fabrication market and lead to </w:t>
      </w:r>
      <w:r w:rsidR="00645CEC">
        <w:t>imbalance</w:t>
      </w:r>
      <w:r w:rsidRPr="009F5F6E">
        <w:t xml:space="preserve"> in the steel fabrication industry. In addition, </w:t>
      </w:r>
      <w:r w:rsidR="00645CEC">
        <w:t xml:space="preserve">the </w:t>
      </w:r>
      <w:r w:rsidRPr="009F5F6E">
        <w:t xml:space="preserve">primary steel </w:t>
      </w:r>
      <w:r w:rsidR="00645CEC">
        <w:t xml:space="preserve">demand/production imbalance </w:t>
      </w:r>
      <w:r w:rsidR="003C3FE7">
        <w:t>may</w:t>
      </w:r>
      <w:r w:rsidRPr="009F5F6E">
        <w:t xml:space="preserve"> create distortions in markets for steel fabricated products as a result of responses by some exporters to trade remedies on primary steel products that are being dumped or subsidised.</w:t>
      </w:r>
    </w:p>
    <w:p w14:paraId="47B4A49E" w14:textId="30FAAEFD" w:rsidR="009F5F6E" w:rsidRPr="009F5F6E" w:rsidRDefault="009F5F6E" w:rsidP="00862158">
      <w:pPr>
        <w:numPr>
          <w:ilvl w:val="0"/>
          <w:numId w:val="1"/>
        </w:numPr>
        <w:spacing w:before="120" w:after="120"/>
        <w:jc w:val="both"/>
      </w:pPr>
      <w:r w:rsidRPr="009F5F6E">
        <w:t xml:space="preserve">Australia’s imports of selected steel fabricated products </w:t>
      </w:r>
      <w:r w:rsidR="00AC4FE8">
        <w:t xml:space="preserve">decreased in 2016, but </w:t>
      </w:r>
      <w:r w:rsidRPr="009F5F6E">
        <w:t xml:space="preserve">were historically high compared to a decade earlier. The Commission found </w:t>
      </w:r>
      <w:r w:rsidR="00625E9B">
        <w:t>that</w:t>
      </w:r>
      <w:r w:rsidRPr="009F5F6E">
        <w:t xml:space="preserve"> imports of </w:t>
      </w:r>
      <w:r w:rsidR="00625E9B">
        <w:t>some steel fabricated</w:t>
      </w:r>
      <w:r w:rsidRPr="009F5F6E">
        <w:t xml:space="preserve"> products </w:t>
      </w:r>
      <w:r w:rsidR="00625E9B">
        <w:t xml:space="preserve">had increased </w:t>
      </w:r>
      <w:r w:rsidRPr="009F5F6E">
        <w:t>following the imposition of measures on the primary steel input to their production</w:t>
      </w:r>
      <w:r w:rsidR="00625E9B">
        <w:t xml:space="preserve"> (although data and analytical constraints meant that a causal link could not be established)</w:t>
      </w:r>
      <w:r w:rsidRPr="009F5F6E">
        <w:t xml:space="preserve">. More than 50 per cent of total steel fabricated imports came from China and Thailand. </w:t>
      </w:r>
    </w:p>
    <w:p w14:paraId="781C2041" w14:textId="77777777" w:rsidR="009F5F6E" w:rsidRPr="009F5F6E" w:rsidRDefault="009F5F6E" w:rsidP="00862158">
      <w:pPr>
        <w:numPr>
          <w:ilvl w:val="0"/>
          <w:numId w:val="1"/>
        </w:numPr>
        <w:spacing w:before="120" w:after="120"/>
        <w:jc w:val="both"/>
      </w:pPr>
      <w:r w:rsidRPr="009F5F6E">
        <w:t xml:space="preserve">While Australia’s anti-dumping system provides a potential remedy to all industries </w:t>
      </w:r>
      <w:r w:rsidR="00625E9B">
        <w:t>that</w:t>
      </w:r>
      <w:r w:rsidR="00625E9B" w:rsidRPr="009F5F6E">
        <w:t xml:space="preserve"> </w:t>
      </w:r>
      <w:r w:rsidRPr="009F5F6E">
        <w:t>are suffering material injury caused by dumping or subsidisation, most applicants for anti-dumping measures on steel products have been from Australian industries producing primary steel products, with relatively few applications in respect of steel fabricated products. In Australia, there are currently two measures in place on steel fabricated products.</w:t>
      </w:r>
    </w:p>
    <w:p w14:paraId="6A0E67A1" w14:textId="7D6C9113" w:rsidR="009F5F6E" w:rsidRPr="009F5F6E" w:rsidRDefault="00625E9B" w:rsidP="00862158">
      <w:pPr>
        <w:numPr>
          <w:ilvl w:val="0"/>
          <w:numId w:val="1"/>
        </w:numPr>
        <w:spacing w:before="120" w:after="120"/>
        <w:jc w:val="both"/>
      </w:pPr>
      <w:r>
        <w:t xml:space="preserve">Some </w:t>
      </w:r>
      <w:r w:rsidR="009F5F6E" w:rsidRPr="009F5F6E">
        <w:t xml:space="preserve">Australian steel fabricators have </w:t>
      </w:r>
      <w:r>
        <w:t>argued that</w:t>
      </w:r>
      <w:r w:rsidRPr="009F5F6E">
        <w:t xml:space="preserve"> </w:t>
      </w:r>
      <w:r w:rsidR="009F5F6E" w:rsidRPr="009F5F6E">
        <w:t xml:space="preserve">the costs of accessing the system (such as legal expenses), difficulties in meeting the requirement for standing due to the fragmented nature of some segments of the industry, and difficulties in obtaining the required evidence </w:t>
      </w:r>
      <w:r>
        <w:t>create</w:t>
      </w:r>
      <w:r w:rsidRPr="009F5F6E">
        <w:t xml:space="preserve"> </w:t>
      </w:r>
      <w:r w:rsidR="009F5F6E" w:rsidRPr="009F5F6E">
        <w:t>barriers to applying for duties</w:t>
      </w:r>
      <w:r>
        <w:t>. Others have identified similar factors, as well as a lack of awareness and understanding of the system, as barriers to participating in investigations and applying for duty assessments and annual reviews</w:t>
      </w:r>
      <w:r w:rsidR="009F5F6E" w:rsidRPr="009F5F6E">
        <w:t>. These difficulties are compounded by the large number of SMEs in the industry, which generally face greater challenges in interacting with the anti-dumping system than larger business</w:t>
      </w:r>
      <w:r w:rsidR="00862158">
        <w:t>es</w:t>
      </w:r>
      <w:r w:rsidR="009F5F6E" w:rsidRPr="009F5F6E">
        <w:t>.</w:t>
      </w:r>
    </w:p>
    <w:p w14:paraId="45AA7BCE" w14:textId="77777777" w:rsidR="009F5F6E" w:rsidRPr="009F5F6E" w:rsidRDefault="009F5F6E" w:rsidP="00862158">
      <w:pPr>
        <w:spacing w:before="120" w:after="120"/>
        <w:jc w:val="both"/>
      </w:pPr>
      <w:r w:rsidRPr="009F5F6E">
        <w:t xml:space="preserve">The challenges faced by SMEs in accessing the anti-dumping system—as applicants for measures, as industry participants wishing to make submissions to investigations, and as importers seeking duty assessments and/or reviews of measures—are well-known. The </w:t>
      </w:r>
      <w:r w:rsidR="008C7AF5">
        <w:t>g</w:t>
      </w:r>
      <w:r w:rsidRPr="009F5F6E">
        <w:t>overnment and the Commission have implemented a number of actions to facilitate SME access to the anti-dumping system. Stakeholders have proposed further options for improving access—by further improving knowledge and awareness of the system, by simplifying the system and facilitating access to data, and by addressing impacts on downstream industries, such as the steel fabrication industry. These options are discussed in chapter 7.</w:t>
      </w:r>
    </w:p>
    <w:p w14:paraId="385C7264" w14:textId="773A85DA" w:rsidR="00EC3375" w:rsidRPr="005F45AD" w:rsidRDefault="004A540F" w:rsidP="00862158">
      <w:pPr>
        <w:spacing w:before="120" w:after="120"/>
        <w:jc w:val="both"/>
      </w:pPr>
      <w:r w:rsidRPr="004A540F">
        <w:t xml:space="preserve">The </w:t>
      </w:r>
      <w:r w:rsidR="008C7AF5">
        <w:t>g</w:t>
      </w:r>
      <w:r w:rsidRPr="004A540F">
        <w:t xml:space="preserve">overnment has tasked the Department of Industry, Innovation and Science with undertaking a review of SME access </w:t>
      </w:r>
      <w:r w:rsidR="005207E5">
        <w:t xml:space="preserve">by the end of 2017 </w:t>
      </w:r>
      <w:r w:rsidRPr="004A540F">
        <w:t>to obtain a comprehensive understanding of the problems and potential solutions. The review involve</w:t>
      </w:r>
      <w:r w:rsidR="00862158">
        <w:t>s</w:t>
      </w:r>
      <w:r w:rsidRPr="004A540F">
        <w:t xml:space="preserve"> close consultation across government and with industry stakeholders.</w:t>
      </w:r>
    </w:p>
    <w:p w14:paraId="4D9D3707" w14:textId="77777777" w:rsidR="00113DB0" w:rsidRDefault="00113DB0" w:rsidP="00113DB0">
      <w:pPr>
        <w:pStyle w:val="Heading2"/>
      </w:pPr>
      <w:bookmarkStart w:id="13" w:name="_Toc458674148"/>
      <w:bookmarkStart w:id="14" w:name="_Toc460430478"/>
      <w:bookmarkStart w:id="15" w:name="_Toc487532382"/>
      <w:r>
        <w:t>Conduct of</w:t>
      </w:r>
      <w:r w:rsidRPr="00545318">
        <w:t xml:space="preserve"> this</w:t>
      </w:r>
      <w:r>
        <w:t xml:space="preserve"> market</w:t>
      </w:r>
      <w:r w:rsidRPr="00545318">
        <w:t xml:space="preserve"> analysis</w:t>
      </w:r>
      <w:bookmarkEnd w:id="13"/>
      <w:bookmarkEnd w:id="14"/>
      <w:bookmarkEnd w:id="15"/>
      <w:r w:rsidRPr="00545318">
        <w:t xml:space="preserve"> </w:t>
      </w:r>
    </w:p>
    <w:p w14:paraId="2354D313" w14:textId="77777777" w:rsidR="00113DB0" w:rsidRPr="00A502AD" w:rsidRDefault="00113DB0" w:rsidP="00862158">
      <w:pPr>
        <w:spacing w:before="120" w:after="120"/>
        <w:jc w:val="both"/>
      </w:pPr>
      <w:bookmarkStart w:id="16" w:name="_Toc447555389"/>
      <w:bookmarkStart w:id="17" w:name="_Toc460430479"/>
      <w:bookmarkEnd w:id="16"/>
      <w:bookmarkEnd w:id="17"/>
      <w:r w:rsidRPr="00A502AD">
        <w:t xml:space="preserve">This analysis was led by the </w:t>
      </w:r>
      <w:r>
        <w:t>Commission’s Anti-Dumping Information Service (</w:t>
      </w:r>
      <w:r w:rsidRPr="00A502AD">
        <w:t>ADIS</w:t>
      </w:r>
      <w:r>
        <w:t>)</w:t>
      </w:r>
      <w:r w:rsidRPr="00A502AD">
        <w:t>, which was established within the Commission to provide targeted economic analysis of trends and trading behaviours across markets. ADIS analysis and market intelligence also strengthen</w:t>
      </w:r>
      <w:r>
        <w:t>s</w:t>
      </w:r>
      <w:r w:rsidRPr="00A502AD">
        <w:t xml:space="preserve"> the evidence base for the Commissioner’s decisions and recommendations. The ADIS was assisted by other areas of the Commission in preparing this report. </w:t>
      </w:r>
    </w:p>
    <w:p w14:paraId="083236FA" w14:textId="77777777" w:rsidR="00113DB0" w:rsidRDefault="00113DB0" w:rsidP="00862158">
      <w:pPr>
        <w:spacing w:before="120" w:after="120"/>
        <w:jc w:val="both"/>
      </w:pPr>
      <w:r>
        <w:t>In addition, t</w:t>
      </w:r>
      <w:r w:rsidRPr="00A502AD">
        <w:t>he Commission has worked closely with other areas of the Department of Industry, Innovation and Science to draw on their economic, market analysis and policy expertise and knowledge of Australian and global steel industries</w:t>
      </w:r>
      <w:r>
        <w:t xml:space="preserve"> and the Australian steel fabrication industry</w:t>
      </w:r>
      <w:r w:rsidRPr="00A502AD">
        <w:t xml:space="preserve">. The Commission used </w:t>
      </w:r>
      <w:r>
        <w:t>data</w:t>
      </w:r>
      <w:r w:rsidRPr="00A502AD">
        <w:t xml:space="preserve"> on </w:t>
      </w:r>
      <w:r>
        <w:t xml:space="preserve">the </w:t>
      </w:r>
      <w:r w:rsidRPr="00A502AD">
        <w:t xml:space="preserve">steel fabrication </w:t>
      </w:r>
      <w:r>
        <w:t xml:space="preserve">industry collected by the Australian Bureau of Statistics (ABS) and information on </w:t>
      </w:r>
      <w:r w:rsidRPr="00A502AD">
        <w:t>trade flows obtained from DIBP.</w:t>
      </w:r>
      <w:r w:rsidR="00D41A11">
        <w:t xml:space="preserve"> The limitations on the use of this data are discussed in the relevant chapters of this report.</w:t>
      </w:r>
    </w:p>
    <w:p w14:paraId="0973DBB5" w14:textId="77777777" w:rsidR="00113DB0" w:rsidRDefault="00113DB0" w:rsidP="00862158">
      <w:pPr>
        <w:spacing w:before="120" w:after="120"/>
        <w:jc w:val="both"/>
      </w:pPr>
      <w:r>
        <w:t>In preparing this report, t</w:t>
      </w:r>
      <w:r w:rsidRPr="00E76AC1">
        <w:t>he</w:t>
      </w:r>
      <w:r>
        <w:t xml:space="preserve"> Commission has consulted widely with industry, including industry associations. Noting the diversity of the industry and the relatively limited availability of detailed statistics on the various industry segments, the Commission considered it was important to hear directly from a wide range of businesses in the industry on their particular experiences and perspectives.</w:t>
      </w:r>
    </w:p>
    <w:p w14:paraId="3CC05BC9" w14:textId="52BAA6BD" w:rsidR="00113DB0" w:rsidRPr="00362E28" w:rsidRDefault="00113DB0" w:rsidP="00862158">
      <w:pPr>
        <w:spacing w:before="120" w:after="120"/>
        <w:jc w:val="both"/>
      </w:pPr>
      <w:r>
        <w:t xml:space="preserve">To this end, the Commission has prepared case studies to illustrate the diversity of businesses making steel fabricated products, the different factors affecting their economic performance, and views about the impact of dumping and/or anti-dumping measures on their businesses. </w:t>
      </w:r>
      <w:r w:rsidRPr="00362E28">
        <w:t xml:space="preserve">The Commission greatly appreciates the willingness of the </w:t>
      </w:r>
      <w:r>
        <w:t xml:space="preserve">case study </w:t>
      </w:r>
      <w:r w:rsidRPr="00362E28">
        <w:t xml:space="preserve">businesses </w:t>
      </w:r>
      <w:r>
        <w:t>to assist the Commission and recognises the time and effort involved for the representatives of these businesses.</w:t>
      </w:r>
    </w:p>
    <w:p w14:paraId="3A8E0E3A" w14:textId="3A0CD80B" w:rsidR="00113DB0" w:rsidRDefault="00113DB0" w:rsidP="00862158">
      <w:pPr>
        <w:spacing w:before="120" w:after="120"/>
        <w:jc w:val="both"/>
      </w:pPr>
      <w:r>
        <w:t xml:space="preserve">Businesses that were willing to provide information for case studies were identified through: industry associations, the International Trade Remedies Advisory Service (ITRA), referrals from other businesses, and publicly available information. The Commission worked directly with </w:t>
      </w:r>
      <w:r w:rsidRPr="006A6185">
        <w:t xml:space="preserve">representatives of </w:t>
      </w:r>
      <w:r>
        <w:t>these businesses to prepare the case studies. The views expressed by the case study participants reflects</w:t>
      </w:r>
      <w:r w:rsidR="00B7532F">
        <w:t xml:space="preserve"> their experiences and </w:t>
      </w:r>
      <w:r>
        <w:t xml:space="preserve">the </w:t>
      </w:r>
      <w:r w:rsidR="00B7532F">
        <w:t>nature</w:t>
      </w:r>
      <w:r>
        <w:t xml:space="preserve"> of their businesses; the views set out in the case studies may not necessarily be shared by the Commission or the Commissioner. </w:t>
      </w:r>
    </w:p>
    <w:p w14:paraId="76C4A999" w14:textId="77777777" w:rsidR="00113DB0" w:rsidRPr="001D5A53" w:rsidRDefault="00113DB0" w:rsidP="00862158">
      <w:pPr>
        <w:spacing w:before="120" w:after="120"/>
        <w:jc w:val="both"/>
      </w:pPr>
      <w:r w:rsidRPr="001D5A53">
        <w:t>The Commission has also taken into account relevant information and views submitted by a range of interested parties in representations to the Minister, in submissions to the Commission and other areas of the Department, through the ITRF</w:t>
      </w:r>
      <w:r>
        <w:t xml:space="preserve"> (including information presented to the SME access sub-committee by a number of SMEs)</w:t>
      </w:r>
      <w:r w:rsidRPr="001D5A53">
        <w:t>, and submissions to the Senate Estimates Economic References Committee inquiry into the future of Australia’s steel industry</w:t>
      </w:r>
      <w:r>
        <w:t>.</w:t>
      </w:r>
      <w:r w:rsidRPr="001D5A53">
        <w:t xml:space="preserve"> </w:t>
      </w:r>
    </w:p>
    <w:p w14:paraId="71AB4D50" w14:textId="77777777" w:rsidR="00113DB0" w:rsidRDefault="00113DB0" w:rsidP="00862158">
      <w:pPr>
        <w:spacing w:before="120" w:after="120"/>
        <w:jc w:val="both"/>
      </w:pPr>
      <w:r w:rsidRPr="001D5A53">
        <w:t xml:space="preserve">Information obtained during the course of the Commission’s investigations and inquiries in respect of steel </w:t>
      </w:r>
      <w:r>
        <w:t xml:space="preserve">and steel fabricated </w:t>
      </w:r>
      <w:r w:rsidRPr="001D5A53">
        <w:t>products has also been taken into account where relevant to the Commission’s analysis</w:t>
      </w:r>
      <w:r>
        <w:t xml:space="preserve"> of the </w:t>
      </w:r>
      <w:r w:rsidRPr="001D5A53">
        <w:t>market</w:t>
      </w:r>
      <w:r>
        <w:t>s for steel fabricated products</w:t>
      </w:r>
      <w:r w:rsidRPr="001D5A53">
        <w:t>.</w:t>
      </w:r>
    </w:p>
    <w:p w14:paraId="53C1E448" w14:textId="363F363E" w:rsidR="00532357" w:rsidRDefault="00532357" w:rsidP="00862158">
      <w:pPr>
        <w:spacing w:before="120" w:after="120"/>
        <w:jc w:val="both"/>
      </w:pPr>
      <w:r>
        <w:t>The Commission notes that forecasts in this report were based on circumstances and available information at the time of writing, which are subject to change. Significant changes in the outlook for global and Australian steel and steel fabricati</w:t>
      </w:r>
      <w:r w:rsidR="00B6275B">
        <w:t>o</w:t>
      </w:r>
      <w:r>
        <w:t xml:space="preserve">n industries may </w:t>
      </w:r>
      <w:r w:rsidR="00A11168">
        <w:t>alter some of</w:t>
      </w:r>
      <w:r>
        <w:t xml:space="preserve"> the conclusions drawn from the analysis.</w:t>
      </w:r>
    </w:p>
    <w:p w14:paraId="505F7F7D" w14:textId="77777777" w:rsidR="00113DB0" w:rsidRDefault="00113DB0" w:rsidP="00113DB0">
      <w:pPr>
        <w:spacing w:after="200" w:line="276" w:lineRule="auto"/>
        <w:rPr>
          <w:rFonts w:asciiTheme="majorHAnsi" w:eastAsiaTheme="majorEastAsia" w:hAnsiTheme="majorHAnsi" w:cstheme="majorBidi"/>
          <w:b/>
          <w:bCs/>
          <w:color w:val="2E74B5" w:themeColor="accent1" w:themeShade="BF"/>
          <w:sz w:val="28"/>
          <w:szCs w:val="28"/>
        </w:rPr>
        <w:sectPr w:rsidR="00113DB0" w:rsidSect="00443357">
          <w:pgSz w:w="11907" w:h="16839" w:code="9"/>
          <w:pgMar w:top="1440" w:right="1440" w:bottom="1134" w:left="1440" w:header="708" w:footer="708" w:gutter="0"/>
          <w:cols w:space="708"/>
          <w:docGrid w:linePitch="360"/>
        </w:sectPr>
      </w:pPr>
    </w:p>
    <w:p w14:paraId="7AAAB65F" w14:textId="77777777" w:rsidR="00113DB0" w:rsidRDefault="00113DB0" w:rsidP="00113DB0">
      <w:pPr>
        <w:pStyle w:val="Heading1"/>
        <w:spacing w:after="360"/>
        <w:ind w:left="431" w:hanging="431"/>
        <w:rPr>
          <w:sz w:val="32"/>
          <w:szCs w:val="32"/>
        </w:rPr>
      </w:pPr>
      <w:bookmarkStart w:id="18" w:name="_Toc468974897"/>
      <w:bookmarkStart w:id="19" w:name="_Toc487532383"/>
      <w:bookmarkStart w:id="20" w:name="_Toc468974898"/>
      <w:bookmarkStart w:id="21" w:name="_Toc468974899"/>
      <w:r>
        <w:rPr>
          <w:sz w:val="32"/>
          <w:szCs w:val="32"/>
        </w:rPr>
        <w:t xml:space="preserve">The </w:t>
      </w:r>
      <w:r w:rsidRPr="006E7AFA">
        <w:rPr>
          <w:sz w:val="32"/>
          <w:szCs w:val="32"/>
        </w:rPr>
        <w:t xml:space="preserve">Australian steel </w:t>
      </w:r>
      <w:r w:rsidR="001B41C3">
        <w:rPr>
          <w:sz w:val="32"/>
          <w:szCs w:val="32"/>
        </w:rPr>
        <w:t xml:space="preserve">manufacturing and </w:t>
      </w:r>
      <w:r w:rsidRPr="006E7AFA">
        <w:rPr>
          <w:sz w:val="32"/>
          <w:szCs w:val="32"/>
        </w:rPr>
        <w:t>fabricat</w:t>
      </w:r>
      <w:r w:rsidR="001B41C3">
        <w:rPr>
          <w:sz w:val="32"/>
          <w:szCs w:val="32"/>
        </w:rPr>
        <w:t>i</w:t>
      </w:r>
      <w:r>
        <w:rPr>
          <w:sz w:val="32"/>
          <w:szCs w:val="32"/>
        </w:rPr>
        <w:t>n</w:t>
      </w:r>
      <w:r w:rsidR="001B41C3">
        <w:rPr>
          <w:sz w:val="32"/>
          <w:szCs w:val="32"/>
        </w:rPr>
        <w:t>g</w:t>
      </w:r>
      <w:r w:rsidRPr="006E7AFA">
        <w:rPr>
          <w:sz w:val="32"/>
          <w:szCs w:val="32"/>
        </w:rPr>
        <w:t xml:space="preserve"> </w:t>
      </w:r>
      <w:bookmarkEnd w:id="18"/>
      <w:r>
        <w:rPr>
          <w:sz w:val="32"/>
          <w:szCs w:val="32"/>
        </w:rPr>
        <w:t>industry</w:t>
      </w:r>
      <w:bookmarkEnd w:id="19"/>
      <w:r w:rsidRPr="006E7AFA">
        <w:rPr>
          <w:sz w:val="32"/>
          <w:szCs w:val="32"/>
        </w:rPr>
        <w:t xml:space="preserve"> </w:t>
      </w:r>
    </w:p>
    <w:p w14:paraId="02236429" w14:textId="77777777" w:rsidR="00113DB0" w:rsidRDefault="00113DB0" w:rsidP="00B73217">
      <w:pPr>
        <w:pBdr>
          <w:top w:val="single" w:sz="4" w:space="1" w:color="auto"/>
          <w:left w:val="single" w:sz="4" w:space="4" w:color="auto"/>
          <w:bottom w:val="single" w:sz="4" w:space="4" w:color="auto"/>
          <w:right w:val="single" w:sz="4" w:space="4" w:color="auto"/>
        </w:pBdr>
        <w:shd w:val="clear" w:color="auto" w:fill="D9E2F3" w:themeFill="accent5" w:themeFillTint="33"/>
        <w:spacing w:after="120"/>
        <w:rPr>
          <w:b/>
        </w:rPr>
      </w:pPr>
      <w:r>
        <w:rPr>
          <w:b/>
        </w:rPr>
        <w:t>Key points</w:t>
      </w:r>
    </w:p>
    <w:p w14:paraId="22C61FEF" w14:textId="12636B8C" w:rsidR="00113DB0" w:rsidRDefault="00113DB0" w:rsidP="00BB35D5">
      <w:pPr>
        <w:pStyle w:val="ListParagraph"/>
        <w:numPr>
          <w:ilvl w:val="0"/>
          <w:numId w:val="9"/>
        </w:numPr>
        <w:pBdr>
          <w:top w:val="single" w:sz="4" w:space="1" w:color="auto"/>
          <w:left w:val="single" w:sz="4" w:space="4" w:color="auto"/>
          <w:bottom w:val="single" w:sz="4" w:space="4" w:color="auto"/>
          <w:right w:val="single" w:sz="4" w:space="4" w:color="auto"/>
        </w:pBdr>
        <w:shd w:val="clear" w:color="auto" w:fill="D9E2F3" w:themeFill="accent5" w:themeFillTint="33"/>
        <w:spacing w:after="120"/>
        <w:ind w:left="357" w:hanging="357"/>
        <w:contextualSpacing w:val="0"/>
        <w:jc w:val="both"/>
      </w:pPr>
      <w:r>
        <w:t xml:space="preserve">Australia’s steel </w:t>
      </w:r>
      <w:r w:rsidR="001B41C3">
        <w:t>fabricating</w:t>
      </w:r>
      <w:r>
        <w:t xml:space="preserve"> industry is a highly diverse industry involved in the </w:t>
      </w:r>
      <w:r w:rsidR="000E4B2F">
        <w:t>manufacture</w:t>
      </w:r>
      <w:r>
        <w:t xml:space="preserve"> of steel </w:t>
      </w:r>
      <w:r w:rsidR="000E4B2F">
        <w:t xml:space="preserve">products </w:t>
      </w:r>
      <w:r>
        <w:t xml:space="preserve">for end-use applications in a range of economically significant downstream industries. Steel </w:t>
      </w:r>
      <w:r w:rsidR="00BB35D5">
        <w:t>fabrication</w:t>
      </w:r>
      <w:r w:rsidR="001B41C3">
        <w:t xml:space="preserve"> </w:t>
      </w:r>
      <w:r>
        <w:t xml:space="preserve">is a </w:t>
      </w:r>
      <w:r w:rsidR="000E4B2F">
        <w:t xml:space="preserve">value-adding </w:t>
      </w:r>
      <w:r>
        <w:t xml:space="preserve">process </w:t>
      </w:r>
      <w:r w:rsidR="000E4B2F">
        <w:t>that transforms finished steel into specific steel products through</w:t>
      </w:r>
      <w:r>
        <w:t xml:space="preserve"> cutting, bending,</w:t>
      </w:r>
      <w:r w:rsidR="000E4B2F">
        <w:t xml:space="preserve"> machining</w:t>
      </w:r>
      <w:r w:rsidR="001B41C3">
        <w:t>, welding,</w:t>
      </w:r>
      <w:r>
        <w:t xml:space="preserve"> and</w:t>
      </w:r>
      <w:r w:rsidR="001B41C3">
        <w:t>/or</w:t>
      </w:r>
      <w:r>
        <w:t xml:space="preserve"> assembling. </w:t>
      </w:r>
    </w:p>
    <w:p w14:paraId="25C3DFA8" w14:textId="66A6CF5A" w:rsidR="00113DB0" w:rsidRDefault="00113DB0" w:rsidP="00BB35D5">
      <w:pPr>
        <w:pStyle w:val="ListParagraph"/>
        <w:numPr>
          <w:ilvl w:val="0"/>
          <w:numId w:val="9"/>
        </w:numPr>
        <w:pBdr>
          <w:top w:val="single" w:sz="4" w:space="1" w:color="auto"/>
          <w:left w:val="single" w:sz="4" w:space="4" w:color="auto"/>
          <w:bottom w:val="single" w:sz="4" w:space="4" w:color="auto"/>
          <w:right w:val="single" w:sz="4" w:space="4" w:color="auto"/>
        </w:pBdr>
        <w:shd w:val="clear" w:color="auto" w:fill="D9E2F3" w:themeFill="accent5" w:themeFillTint="33"/>
        <w:spacing w:after="120"/>
        <w:ind w:left="357" w:hanging="357"/>
        <w:contextualSpacing w:val="0"/>
        <w:jc w:val="both"/>
      </w:pPr>
      <w:r>
        <w:t xml:space="preserve">The </w:t>
      </w:r>
      <w:r w:rsidR="000E4B2F">
        <w:t xml:space="preserve">steel </w:t>
      </w:r>
      <w:r>
        <w:t>supply chain encompasses</w:t>
      </w:r>
      <w:r w:rsidR="00D41A11">
        <w:t xml:space="preserve"> crude</w:t>
      </w:r>
      <w:r>
        <w:t xml:space="preserve"> iron and steel production, through production</w:t>
      </w:r>
      <w:r w:rsidR="00D41A11">
        <w:t xml:space="preserve"> of </w:t>
      </w:r>
      <w:r w:rsidR="000E4B2F">
        <w:t xml:space="preserve">generic </w:t>
      </w:r>
      <w:r w:rsidR="00B50B21">
        <w:t xml:space="preserve">finished </w:t>
      </w:r>
      <w:r w:rsidR="00D41A11">
        <w:t>steel products (like steel sections)</w:t>
      </w:r>
      <w:r>
        <w:t xml:space="preserve">, which </w:t>
      </w:r>
      <w:r w:rsidR="00D41A11">
        <w:t xml:space="preserve">are </w:t>
      </w:r>
      <w:r>
        <w:t xml:space="preserve">then distributed </w:t>
      </w:r>
      <w:r w:rsidR="000E4B2F">
        <w:t xml:space="preserve">to </w:t>
      </w:r>
      <w:r>
        <w:t xml:space="preserve">steel fabricators for </w:t>
      </w:r>
      <w:r w:rsidR="000E4B2F">
        <w:t xml:space="preserve">transformation into specific products for </w:t>
      </w:r>
      <w:r>
        <w:t xml:space="preserve">a range of downstream industries including construction, mining, manufacturing and agriculture. </w:t>
      </w:r>
    </w:p>
    <w:p w14:paraId="6667F39D" w14:textId="08CC4B02" w:rsidR="00113DB0" w:rsidRDefault="00113DB0" w:rsidP="00BB35D5">
      <w:pPr>
        <w:pStyle w:val="ListParagraph"/>
        <w:numPr>
          <w:ilvl w:val="0"/>
          <w:numId w:val="9"/>
        </w:numPr>
        <w:pBdr>
          <w:top w:val="single" w:sz="4" w:space="1" w:color="auto"/>
          <w:left w:val="single" w:sz="4" w:space="4" w:color="auto"/>
          <w:bottom w:val="single" w:sz="4" w:space="4" w:color="auto"/>
          <w:right w:val="single" w:sz="4" w:space="4" w:color="auto"/>
        </w:pBdr>
        <w:shd w:val="clear" w:color="auto" w:fill="D9E2F3" w:themeFill="accent5" w:themeFillTint="33"/>
        <w:spacing w:after="120"/>
        <w:ind w:left="357" w:hanging="357"/>
        <w:contextualSpacing w:val="0"/>
        <w:jc w:val="both"/>
      </w:pPr>
      <w:r>
        <w:t xml:space="preserve">Steel </w:t>
      </w:r>
      <w:r w:rsidR="001B41C3">
        <w:t xml:space="preserve">fabricated </w:t>
      </w:r>
      <w:r>
        <w:t xml:space="preserve">products range from relatively simple structural </w:t>
      </w:r>
      <w:r w:rsidR="000E4B2F">
        <w:t>products, such as doors or windows,</w:t>
      </w:r>
      <w:r>
        <w:t xml:space="preserve"> for use in construction to highly specialised steel</w:t>
      </w:r>
      <w:r w:rsidR="001B41C3">
        <w:t xml:space="preserve"> </w:t>
      </w:r>
      <w:r>
        <w:t>fabricated sections for use in complex engineering or mining projects. Around 9</w:t>
      </w:r>
      <w:r w:rsidR="00A33793">
        <w:t>4</w:t>
      </w:r>
      <w:r>
        <w:t xml:space="preserve"> per cent of market participants are small enterprises with less than 20 employees. Larger vertically integrated firms, such as </w:t>
      </w:r>
      <w:r w:rsidR="005207E5">
        <w:t>Liberty Steel</w:t>
      </w:r>
      <w:r>
        <w:t xml:space="preserve"> and Blue</w:t>
      </w:r>
      <w:r w:rsidR="005207E5">
        <w:t>S</w:t>
      </w:r>
      <w:r>
        <w:t xml:space="preserve">cope, also participate in the market. </w:t>
      </w:r>
    </w:p>
    <w:p w14:paraId="3CF9C818" w14:textId="4EDFA637" w:rsidR="00113DB0" w:rsidRDefault="00113DB0" w:rsidP="00BB35D5">
      <w:pPr>
        <w:pStyle w:val="ListParagraph"/>
        <w:numPr>
          <w:ilvl w:val="0"/>
          <w:numId w:val="9"/>
        </w:numPr>
        <w:pBdr>
          <w:top w:val="single" w:sz="4" w:space="1" w:color="auto"/>
          <w:left w:val="single" w:sz="4" w:space="4" w:color="auto"/>
          <w:bottom w:val="single" w:sz="4" w:space="4" w:color="auto"/>
          <w:right w:val="single" w:sz="4" w:space="4" w:color="auto"/>
        </w:pBdr>
        <w:shd w:val="clear" w:color="auto" w:fill="D9E2F3" w:themeFill="accent5" w:themeFillTint="33"/>
        <w:spacing w:after="120"/>
        <w:ind w:left="357" w:hanging="357"/>
        <w:contextualSpacing w:val="0"/>
        <w:jc w:val="both"/>
      </w:pPr>
      <w:r>
        <w:t xml:space="preserve">The Commission has drawn on Australian Bureau of Statistics (ABS) data in preparing this report. </w:t>
      </w:r>
      <w:r w:rsidR="00B73217">
        <w:t>D</w:t>
      </w:r>
      <w:r>
        <w:t>ata</w:t>
      </w:r>
      <w:r w:rsidR="00B73217">
        <w:t xml:space="preserve"> limitations</w:t>
      </w:r>
      <w:r>
        <w:t xml:space="preserve">, in the context of the wide range of steel fabricated products, </w:t>
      </w:r>
      <w:r w:rsidR="00B73217">
        <w:t>have created some difficulties in obtaining disaggregated statistical information; the Commission has therefore made use of a range of information sources to develop a good understanding of the industry</w:t>
      </w:r>
      <w:r>
        <w:t>.</w:t>
      </w:r>
    </w:p>
    <w:p w14:paraId="557E1670" w14:textId="77777777" w:rsidR="00113DB0" w:rsidRDefault="00113DB0" w:rsidP="00113DB0">
      <w:pPr>
        <w:spacing w:before="120" w:after="120"/>
      </w:pPr>
    </w:p>
    <w:p w14:paraId="612F98BB" w14:textId="3FE3E46A" w:rsidR="00113DB0" w:rsidRDefault="00113DB0" w:rsidP="006C7D76">
      <w:pPr>
        <w:spacing w:before="120" w:after="120"/>
        <w:jc w:val="both"/>
      </w:pPr>
      <w:r>
        <w:t>This chapter describes the types of goods that fall within the definition of steel fabricated products</w:t>
      </w:r>
      <w:r w:rsidR="00FE5B61">
        <w:t xml:space="preserve"> used for preparing this report</w:t>
      </w:r>
      <w:r>
        <w:t xml:space="preserve">, </w:t>
      </w:r>
      <w:r w:rsidR="001A0292">
        <w:t xml:space="preserve">explains </w:t>
      </w:r>
      <w:r>
        <w:t xml:space="preserve">the process of steel </w:t>
      </w:r>
      <w:r w:rsidR="001B41C3">
        <w:t>fabricati</w:t>
      </w:r>
      <w:r w:rsidR="00FE5B61">
        <w:t>o</w:t>
      </w:r>
      <w:r w:rsidR="001B41C3">
        <w:t xml:space="preserve">n, </w:t>
      </w:r>
      <w:r>
        <w:t xml:space="preserve">and </w:t>
      </w:r>
      <w:r w:rsidR="001A0292">
        <w:t xml:space="preserve">notes </w:t>
      </w:r>
      <w:r>
        <w:t xml:space="preserve">the wide variety of such goods. The chapter also </w:t>
      </w:r>
      <w:r w:rsidR="001A0292">
        <w:t xml:space="preserve">describes </w:t>
      </w:r>
      <w:r>
        <w:t xml:space="preserve">the structure of the Australian steel industry and where steel </w:t>
      </w:r>
      <w:r w:rsidR="001B41C3">
        <w:t>fabricati</w:t>
      </w:r>
      <w:r w:rsidR="00FE5B61">
        <w:t>o</w:t>
      </w:r>
      <w:r w:rsidR="001B41C3">
        <w:t xml:space="preserve">n </w:t>
      </w:r>
      <w:r>
        <w:t xml:space="preserve">fits within the supply chain. This chapter then explains the statistical definition of Australian steel </w:t>
      </w:r>
      <w:r w:rsidR="001B41C3">
        <w:t xml:space="preserve">fabricating </w:t>
      </w:r>
      <w:r>
        <w:t xml:space="preserve">used in this report with reference to classifications used by the </w:t>
      </w:r>
      <w:r w:rsidR="00243BA8">
        <w:t>Australian Bureau of Statistics (</w:t>
      </w:r>
      <w:r>
        <w:t>ABS</w:t>
      </w:r>
      <w:r w:rsidR="00243BA8">
        <w:t>)</w:t>
      </w:r>
      <w:r w:rsidR="00FE5B61">
        <w:t>, noting that common industry usage may differ from the definition used in this report</w:t>
      </w:r>
      <w:r>
        <w:t xml:space="preserve">. </w:t>
      </w:r>
    </w:p>
    <w:p w14:paraId="7A033A29" w14:textId="6A7CDDAF" w:rsidR="00113DB0" w:rsidRDefault="00113DB0" w:rsidP="00113DB0">
      <w:pPr>
        <w:pStyle w:val="Heading2"/>
      </w:pPr>
      <w:bookmarkStart w:id="22" w:name="_Toc487532385"/>
      <w:r>
        <w:t xml:space="preserve">What does steel </w:t>
      </w:r>
      <w:r w:rsidR="001B41C3">
        <w:t>fabricati</w:t>
      </w:r>
      <w:r w:rsidR="00FE5B61">
        <w:t>o</w:t>
      </w:r>
      <w:r w:rsidR="001B41C3">
        <w:t xml:space="preserve">n </w:t>
      </w:r>
      <w:r>
        <w:t>comprise?</w:t>
      </w:r>
      <w:bookmarkEnd w:id="22"/>
    </w:p>
    <w:p w14:paraId="68DB3D3D" w14:textId="6C274E82" w:rsidR="00113DB0" w:rsidRDefault="00FE5B61" w:rsidP="006C7D76">
      <w:pPr>
        <w:spacing w:before="120" w:after="120"/>
        <w:jc w:val="both"/>
      </w:pPr>
      <w:r>
        <w:t>F</w:t>
      </w:r>
      <w:r w:rsidR="001B41C3">
        <w:t xml:space="preserve">abricating </w:t>
      </w:r>
      <w:r w:rsidR="00113DB0" w:rsidRPr="00EE7BF5">
        <w:t xml:space="preserve">a </w:t>
      </w:r>
      <w:r w:rsidR="00113DB0">
        <w:t xml:space="preserve">steel </w:t>
      </w:r>
      <w:r w:rsidR="00113DB0" w:rsidRPr="00EE7BF5">
        <w:t xml:space="preserve">product is a value added process that transforms finished </w:t>
      </w:r>
      <w:r w:rsidR="00113DB0">
        <w:t xml:space="preserve">steel </w:t>
      </w:r>
      <w:r w:rsidR="00113DB0" w:rsidRPr="00EE7BF5">
        <w:t>products</w:t>
      </w:r>
      <w:r w:rsidR="00113DB0">
        <w:t xml:space="preserve"> for a variety of end</w:t>
      </w:r>
      <w:r w:rsidR="001A0292">
        <w:t xml:space="preserve"> </w:t>
      </w:r>
      <w:r w:rsidR="00113DB0">
        <w:t>uses</w:t>
      </w:r>
      <w:r w:rsidR="00113DB0" w:rsidRPr="00EE7BF5">
        <w:t xml:space="preserve">. </w:t>
      </w:r>
      <w:r>
        <w:t>Fabrication</w:t>
      </w:r>
      <w:r w:rsidR="001B41C3">
        <w:t xml:space="preserve"> </w:t>
      </w:r>
      <w:r w:rsidR="00113DB0">
        <w:t>is a process that may be used to transform a number of metal products—</w:t>
      </w:r>
      <w:r w:rsidR="001A0292">
        <w:t xml:space="preserve">however, </w:t>
      </w:r>
      <w:r w:rsidR="00113DB0">
        <w:t>more than three quarters of the primary input by value in fabricated products is from steel.</w:t>
      </w:r>
      <w:r w:rsidR="00113DB0" w:rsidRPr="006938FC">
        <w:rPr>
          <w:vertAlign w:val="superscript"/>
        </w:rPr>
        <w:footnoteReference w:id="8"/>
      </w:r>
      <w:r w:rsidR="00113DB0">
        <w:t xml:space="preserve"> The market analysis in this report is focussed on steel products.</w:t>
      </w:r>
    </w:p>
    <w:p w14:paraId="3DC94139" w14:textId="02583D8D" w:rsidR="00113DB0" w:rsidRDefault="00C92405" w:rsidP="006C7D76">
      <w:pPr>
        <w:spacing w:before="120" w:after="120"/>
        <w:jc w:val="both"/>
      </w:pPr>
      <w:r>
        <w:t xml:space="preserve">A range of </w:t>
      </w:r>
      <w:r w:rsidR="00113DB0">
        <w:t xml:space="preserve">processes </w:t>
      </w:r>
      <w:r>
        <w:t xml:space="preserve">are </w:t>
      </w:r>
      <w:r w:rsidR="00113DB0">
        <w:t xml:space="preserve">used in steel </w:t>
      </w:r>
      <w:r w:rsidR="001B41C3">
        <w:t>fabricating</w:t>
      </w:r>
      <w:r w:rsidR="00FE5B61">
        <w:t>, some of which may be described as manufacturing by some industry participants</w:t>
      </w:r>
      <w:r>
        <w:t>. These</w:t>
      </w:r>
      <w:r w:rsidR="00113DB0">
        <w:t xml:space="preserve"> include</w:t>
      </w:r>
      <w:r w:rsidR="00B50B21">
        <w:t>:</w:t>
      </w:r>
    </w:p>
    <w:p w14:paraId="6CD80F68" w14:textId="77777777" w:rsidR="00113DB0" w:rsidRDefault="002954E0" w:rsidP="006C7D76">
      <w:pPr>
        <w:numPr>
          <w:ilvl w:val="0"/>
          <w:numId w:val="1"/>
        </w:numPr>
        <w:spacing w:before="120" w:after="120"/>
        <w:jc w:val="both"/>
      </w:pPr>
      <w:r>
        <w:t>c</w:t>
      </w:r>
      <w:r w:rsidR="00113DB0" w:rsidRPr="00A63D6B">
        <w:t>utting</w:t>
      </w:r>
      <w:r w:rsidR="00113DB0">
        <w:t>—</w:t>
      </w:r>
      <w:r w:rsidR="004813A2">
        <w:t>a</w:t>
      </w:r>
      <w:r w:rsidR="00113DB0">
        <w:t xml:space="preserve"> </w:t>
      </w:r>
      <w:r w:rsidR="00113DB0" w:rsidRPr="00A63D6B">
        <w:t xml:space="preserve">steel section may be cut to </w:t>
      </w:r>
      <w:r w:rsidR="000E4B2F">
        <w:t>size and shape</w:t>
      </w:r>
      <w:r w:rsidR="00113DB0" w:rsidRPr="00A63D6B">
        <w:t xml:space="preserve"> prior to fabrication, depending upon the application required </w:t>
      </w:r>
      <w:r w:rsidR="000E4B2F">
        <w:t>or</w:t>
      </w:r>
      <w:r w:rsidR="00113DB0" w:rsidRPr="00A63D6B">
        <w:t xml:space="preserve"> to prepare for welding</w:t>
      </w:r>
    </w:p>
    <w:p w14:paraId="37D3F19B" w14:textId="77777777" w:rsidR="000E4B2F" w:rsidRPr="00A63D6B" w:rsidRDefault="000E4B2F" w:rsidP="006C7D76">
      <w:pPr>
        <w:numPr>
          <w:ilvl w:val="0"/>
          <w:numId w:val="1"/>
        </w:numPr>
        <w:spacing w:before="120" w:after="120"/>
        <w:jc w:val="both"/>
      </w:pPr>
      <w:r>
        <w:t>machining—removing material through processes such as turning, drilling or bevelling</w:t>
      </w:r>
    </w:p>
    <w:p w14:paraId="58E8A5A4" w14:textId="77777777" w:rsidR="00113DB0" w:rsidRPr="00A63D6B" w:rsidRDefault="002954E0" w:rsidP="006C7D76">
      <w:pPr>
        <w:numPr>
          <w:ilvl w:val="0"/>
          <w:numId w:val="1"/>
        </w:numPr>
        <w:spacing w:before="120" w:after="120"/>
        <w:jc w:val="both"/>
      </w:pPr>
      <w:r>
        <w:t>b</w:t>
      </w:r>
      <w:r w:rsidR="00113DB0" w:rsidRPr="00A63D6B">
        <w:t>ending</w:t>
      </w:r>
      <w:r w:rsidR="00113DB0">
        <w:t>—</w:t>
      </w:r>
      <w:r w:rsidR="004813A2">
        <w:t>a</w:t>
      </w:r>
      <w:r w:rsidR="00113DB0">
        <w:t xml:space="preserve"> </w:t>
      </w:r>
      <w:r w:rsidR="00113DB0" w:rsidRPr="00A63D6B">
        <w:t xml:space="preserve">steel section may be ‘bent’ in order to curve it for a particular application </w:t>
      </w:r>
    </w:p>
    <w:p w14:paraId="702778B7" w14:textId="77777777" w:rsidR="00113DB0" w:rsidRDefault="002954E0" w:rsidP="006C7D76">
      <w:pPr>
        <w:numPr>
          <w:ilvl w:val="0"/>
          <w:numId w:val="1"/>
        </w:numPr>
        <w:spacing w:before="120" w:after="120"/>
        <w:jc w:val="both"/>
      </w:pPr>
      <w:r>
        <w:t>w</w:t>
      </w:r>
      <w:r w:rsidR="00113DB0" w:rsidRPr="00A63D6B">
        <w:t>elding</w:t>
      </w:r>
      <w:r w:rsidR="00113DB0">
        <w:t>—</w:t>
      </w:r>
      <w:r w:rsidR="004813A2">
        <w:t>w</w:t>
      </w:r>
      <w:r w:rsidR="00113DB0" w:rsidRPr="00A63D6B">
        <w:t>elding</w:t>
      </w:r>
      <w:r w:rsidR="00113DB0">
        <w:t xml:space="preserve"> </w:t>
      </w:r>
      <w:r w:rsidR="00113DB0" w:rsidRPr="00A63D6B">
        <w:t xml:space="preserve">is the process of applying heat in order to manipulate and join together materials so that they then act together as a single piece </w:t>
      </w:r>
    </w:p>
    <w:p w14:paraId="354EF327" w14:textId="77777777" w:rsidR="00B50B21" w:rsidRDefault="00B50B21" w:rsidP="006C7D76">
      <w:pPr>
        <w:numPr>
          <w:ilvl w:val="0"/>
          <w:numId w:val="1"/>
        </w:numPr>
        <w:spacing w:before="120" w:after="120"/>
        <w:jc w:val="both"/>
      </w:pPr>
      <w:r>
        <w:t>other types of assembling other than welding</w:t>
      </w:r>
      <w:r w:rsidR="001B41C3">
        <w:t>, such as weaving of wire products</w:t>
      </w:r>
    </w:p>
    <w:p w14:paraId="30D2DD96" w14:textId="77777777" w:rsidR="00B50B21" w:rsidRPr="00A63D6B" w:rsidRDefault="00B50B21" w:rsidP="006C7D76">
      <w:pPr>
        <w:numPr>
          <w:ilvl w:val="0"/>
          <w:numId w:val="1"/>
        </w:numPr>
        <w:spacing w:before="120" w:after="120"/>
        <w:jc w:val="both"/>
      </w:pPr>
      <w:proofErr w:type="gramStart"/>
      <w:r>
        <w:t>coating</w:t>
      </w:r>
      <w:proofErr w:type="gramEnd"/>
      <w:r>
        <w:t xml:space="preserve"> and finishing</w:t>
      </w:r>
      <w:r w:rsidR="00C92405">
        <w:t>—for example,</w:t>
      </w:r>
      <w:r>
        <w:t xml:space="preserve"> galvanising</w:t>
      </w:r>
      <w:r w:rsidR="00C92405">
        <w:t xml:space="preserve"> (the </w:t>
      </w:r>
      <w:r w:rsidR="00C92405" w:rsidRPr="00C92405">
        <w:t>process of applying a protective zinc coating to steel or iron to prevent rusting</w:t>
      </w:r>
      <w:r w:rsidR="00C92405">
        <w:t>)</w:t>
      </w:r>
      <w:r>
        <w:t>.</w:t>
      </w:r>
    </w:p>
    <w:p w14:paraId="248B82BC" w14:textId="7067B558" w:rsidR="00113DB0" w:rsidRDefault="00113DB0" w:rsidP="006C7D76">
      <w:pPr>
        <w:spacing w:before="120" w:after="120"/>
        <w:jc w:val="both"/>
      </w:pPr>
      <w:r>
        <w:t xml:space="preserve">Steel </w:t>
      </w:r>
      <w:r w:rsidR="001B41C3">
        <w:t>fabricati</w:t>
      </w:r>
      <w:r w:rsidR="00606C8C">
        <w:t>o</w:t>
      </w:r>
      <w:r w:rsidR="001B41C3">
        <w:t>n processes or transforms</w:t>
      </w:r>
      <w:r>
        <w:t xml:space="preserve"> </w:t>
      </w:r>
      <w:r w:rsidR="000E4B2F">
        <w:t xml:space="preserve">generic </w:t>
      </w:r>
      <w:r>
        <w:t xml:space="preserve">finished steel products into a range of shapes and forms for end-use applications. In Australia around half of steel fabricated product demand is from the </w:t>
      </w:r>
      <w:r w:rsidR="00D41A11">
        <w:t>c</w:t>
      </w:r>
      <w:r>
        <w:t xml:space="preserve">onstruction industry, with the remainder largely from </w:t>
      </w:r>
      <w:r w:rsidR="00D41A11">
        <w:t>m</w:t>
      </w:r>
      <w:r>
        <w:t xml:space="preserve">anufacturing, </w:t>
      </w:r>
      <w:r w:rsidR="00D41A11">
        <w:t>m</w:t>
      </w:r>
      <w:r>
        <w:t>ining, and agriculture</w:t>
      </w:r>
      <w:r w:rsidR="008474D0">
        <w:t xml:space="preserve"> (see chapter 3 of this report)</w:t>
      </w:r>
      <w:r>
        <w:t xml:space="preserve">. </w:t>
      </w:r>
    </w:p>
    <w:p w14:paraId="17232577" w14:textId="77777777" w:rsidR="00113DB0" w:rsidRDefault="00113DB0" w:rsidP="00113DB0">
      <w:pPr>
        <w:pStyle w:val="Heading3"/>
      </w:pPr>
      <w:bookmarkStart w:id="23" w:name="_Toc487532386"/>
      <w:r>
        <w:t>Examples of steel fabricated products</w:t>
      </w:r>
      <w:bookmarkEnd w:id="23"/>
    </w:p>
    <w:p w14:paraId="3A60FE6D" w14:textId="77777777" w:rsidR="00113DB0" w:rsidRDefault="00113DB0" w:rsidP="0077578B">
      <w:pPr>
        <w:spacing w:before="120" w:after="120"/>
        <w:jc w:val="both"/>
      </w:pPr>
      <w:r w:rsidRPr="00EE7BF5">
        <w:t xml:space="preserve">A diverse range of products may be </w:t>
      </w:r>
      <w:r>
        <w:t xml:space="preserve">categorised as </w:t>
      </w:r>
      <w:r w:rsidRPr="00EE7BF5">
        <w:t>steel fabricated products</w:t>
      </w:r>
      <w:r>
        <w:t>, reflecting the wide range of end-use applications for steel products</w:t>
      </w:r>
      <w:r w:rsidRPr="00EE7BF5">
        <w:t xml:space="preserve">. </w:t>
      </w:r>
      <w:r w:rsidR="001B4ED4">
        <w:t>S</w:t>
      </w:r>
      <w:r>
        <w:t xml:space="preserve">teel fabricated products range in complexity from simple versatile steel shapes to highly customised steel sections for use in specific applications. </w:t>
      </w:r>
    </w:p>
    <w:p w14:paraId="360D7E47" w14:textId="2AFD57F4" w:rsidR="00113DB0" w:rsidRDefault="00113DB0" w:rsidP="0077578B">
      <w:pPr>
        <w:spacing w:before="120" w:after="120"/>
        <w:jc w:val="both"/>
      </w:pPr>
      <w:r>
        <w:t xml:space="preserve">An example of a relatively simple and versatile steel fabrication product would be </w:t>
      </w:r>
      <w:r w:rsidR="00496E63">
        <w:t xml:space="preserve">shapes such as steel window and door frames, gutters or roofing battens </w:t>
      </w:r>
      <w:r>
        <w:t>used in construction and civil engineering</w:t>
      </w:r>
      <w:r w:rsidR="00DC4E40">
        <w:t>.</w:t>
      </w:r>
    </w:p>
    <w:p w14:paraId="3EB24C19" w14:textId="37261213" w:rsidR="00113DB0" w:rsidRDefault="00113DB0" w:rsidP="0077578B">
      <w:pPr>
        <w:spacing w:before="120" w:after="120"/>
        <w:jc w:val="both"/>
      </w:pPr>
      <w:r>
        <w:t xml:space="preserve">Steel fabrication </w:t>
      </w:r>
      <w:r w:rsidR="001B4ED4">
        <w:t xml:space="preserve">can </w:t>
      </w:r>
      <w:r>
        <w:t>also create customised items for use in major projects</w:t>
      </w:r>
      <w:r w:rsidR="001C25D5">
        <w:t>, such as</w:t>
      </w:r>
      <w:r>
        <w:t xml:space="preserve"> a steel </w:t>
      </w:r>
      <w:r w:rsidR="001B41C3">
        <w:t>plate</w:t>
      </w:r>
      <w:r>
        <w:t xml:space="preserve"> section for the hull of a ship or submarine</w:t>
      </w:r>
      <w:r w:rsidR="001C25D5">
        <w:t>, or for precision engineered products, such as high pressure vessels or components for heavy equipment</w:t>
      </w:r>
      <w:r>
        <w:t>. These products will be designed for a specific end-use application,</w:t>
      </w:r>
      <w:r w:rsidR="001B4ED4">
        <w:t xml:space="preserve"> with</w:t>
      </w:r>
      <w:r>
        <w:t xml:space="preserve"> the type of fabrication required identified as part of the design process, and then appropriate steel inputs </w:t>
      </w:r>
      <w:r w:rsidR="001B4ED4">
        <w:t xml:space="preserve">will be </w:t>
      </w:r>
      <w:r>
        <w:t>transformed through welding</w:t>
      </w:r>
      <w:r w:rsidR="002E3BDE">
        <w:t>,</w:t>
      </w:r>
      <w:r>
        <w:t xml:space="preserve"> cutting</w:t>
      </w:r>
      <w:r w:rsidR="002E3BDE">
        <w:t xml:space="preserve"> and other machining processes</w:t>
      </w:r>
      <w:r>
        <w:t>.</w:t>
      </w:r>
    </w:p>
    <w:p w14:paraId="152A5F38" w14:textId="77777777" w:rsidR="00EF3C0F" w:rsidRPr="00EF3C0F" w:rsidRDefault="00EF3C0F" w:rsidP="0077578B">
      <w:pPr>
        <w:spacing w:before="120" w:after="120"/>
        <w:jc w:val="both"/>
        <w:rPr>
          <w:sz w:val="10"/>
          <w:szCs w:val="10"/>
        </w:rPr>
      </w:pPr>
    </w:p>
    <w:p w14:paraId="591E40E9" w14:textId="77777777" w:rsidR="00113DB0" w:rsidRPr="00A34505" w:rsidRDefault="00113DB0" w:rsidP="002E3BDE">
      <w:pPr>
        <w:pStyle w:val="Style4"/>
        <w:keepNext/>
        <w:keepLines/>
        <w:rPr>
          <w:b/>
          <w:sz w:val="24"/>
          <w:szCs w:val="24"/>
        </w:rPr>
      </w:pPr>
      <w:r w:rsidRPr="00A34505">
        <w:rPr>
          <w:b/>
          <w:sz w:val="24"/>
          <w:szCs w:val="24"/>
        </w:rPr>
        <w:t xml:space="preserve">Examples of </w:t>
      </w:r>
      <w:r>
        <w:rPr>
          <w:b/>
          <w:sz w:val="24"/>
          <w:szCs w:val="24"/>
        </w:rPr>
        <w:t>s</w:t>
      </w:r>
      <w:r w:rsidRPr="00A34505">
        <w:rPr>
          <w:b/>
          <w:sz w:val="24"/>
          <w:szCs w:val="24"/>
        </w:rPr>
        <w:t xml:space="preserve">teel </w:t>
      </w:r>
      <w:r>
        <w:rPr>
          <w:b/>
          <w:sz w:val="24"/>
          <w:szCs w:val="24"/>
        </w:rPr>
        <w:t>f</w:t>
      </w:r>
      <w:r w:rsidRPr="00A34505">
        <w:rPr>
          <w:b/>
          <w:sz w:val="24"/>
          <w:szCs w:val="24"/>
        </w:rPr>
        <w:t>abrication businesses</w:t>
      </w:r>
    </w:p>
    <w:p w14:paraId="78ACFEB6" w14:textId="77777777" w:rsidR="00113DB0" w:rsidRPr="000E5848" w:rsidRDefault="00113DB0" w:rsidP="0077578B">
      <w:pPr>
        <w:pStyle w:val="Style4"/>
        <w:keepNext/>
        <w:keepLines/>
        <w:spacing w:before="120" w:after="120"/>
        <w:jc w:val="both"/>
        <w:rPr>
          <w:i/>
        </w:rPr>
      </w:pPr>
      <w:r>
        <w:t xml:space="preserve">A number of companies provided public letters of support to the Australian Steel Institute submission to the Senate Economics References Committee Inquiry into the </w:t>
      </w:r>
      <w:r>
        <w:rPr>
          <w:i/>
        </w:rPr>
        <w:t xml:space="preserve">Future of Australia’s Steel Industry. </w:t>
      </w:r>
      <w:r>
        <w:t>These letters give an indication of the diversity of fabrication products in Australia.</w:t>
      </w:r>
      <w:r>
        <w:rPr>
          <w:i/>
        </w:rPr>
        <w:t xml:space="preserve"> </w:t>
      </w:r>
    </w:p>
    <w:p w14:paraId="1FB484AE" w14:textId="77777777" w:rsidR="00113DB0" w:rsidRPr="00A34505" w:rsidRDefault="00113DB0" w:rsidP="0077578B">
      <w:pPr>
        <w:pStyle w:val="Style4"/>
        <w:keepNext/>
        <w:keepLines/>
        <w:numPr>
          <w:ilvl w:val="0"/>
          <w:numId w:val="16"/>
        </w:numPr>
        <w:spacing w:before="120" w:after="120"/>
        <w:ind w:left="360"/>
        <w:jc w:val="both"/>
      </w:pPr>
      <w:r>
        <w:t>“</w:t>
      </w:r>
      <w:r w:rsidRPr="00A34505">
        <w:t>Our company, R&amp;R Engineering (WA) Pty Ltd trading as Mentis Australia has been operating in Western Australia since 2000. We are a steel fabrication company specialising in the handrail and grating for mining (including Gold, Iron Ore, Coal, Gas, Oil, etc.), petrochemical, power generation, construction, agriculture, paper, food processing and steel fabricators and merchants.</w:t>
      </w:r>
      <w:r>
        <w:t>”</w:t>
      </w:r>
    </w:p>
    <w:p w14:paraId="6B52C4BA" w14:textId="77777777" w:rsidR="00113DB0" w:rsidRPr="00A34505" w:rsidRDefault="00113DB0" w:rsidP="0077578B">
      <w:pPr>
        <w:pStyle w:val="Style4"/>
        <w:keepNext/>
        <w:keepLines/>
        <w:numPr>
          <w:ilvl w:val="0"/>
          <w:numId w:val="16"/>
        </w:numPr>
        <w:spacing w:before="120" w:after="120"/>
        <w:ind w:left="360"/>
        <w:jc w:val="both"/>
      </w:pPr>
      <w:r>
        <w:t>“</w:t>
      </w:r>
      <w:r w:rsidRPr="00A34505">
        <w:t xml:space="preserve">My company, Aardvark Steel Constructions P/L undertakes fabrication and installation of structural steel work for builders in NSW. We are currently completing work on </w:t>
      </w:r>
      <w:proofErr w:type="spellStart"/>
      <w:r w:rsidRPr="00A34505">
        <w:t>Barangaroo</w:t>
      </w:r>
      <w:proofErr w:type="spellEnd"/>
      <w:r w:rsidRPr="00A34505">
        <w:t xml:space="preserve"> and Darling Harbour Live.</w:t>
      </w:r>
      <w:r>
        <w:t>”</w:t>
      </w:r>
      <w:r w:rsidRPr="00A34505">
        <w:t xml:space="preserve"> </w:t>
      </w:r>
    </w:p>
    <w:p w14:paraId="6151F247" w14:textId="77777777" w:rsidR="00113DB0" w:rsidRPr="00A34505" w:rsidRDefault="00113DB0" w:rsidP="0077578B">
      <w:pPr>
        <w:pStyle w:val="Style4"/>
        <w:keepNext/>
        <w:keepLines/>
        <w:numPr>
          <w:ilvl w:val="0"/>
          <w:numId w:val="16"/>
        </w:numPr>
        <w:spacing w:before="120" w:after="120"/>
        <w:ind w:left="360"/>
        <w:jc w:val="both"/>
      </w:pPr>
      <w:r>
        <w:t>“</w:t>
      </w:r>
      <w:r w:rsidRPr="00A34505">
        <w:t>Our company, CDE Structures Pty Ltd, operate in the Construction, Mining, Oil &amp; Gas and general fabrication sectors. We are a regionally based design and fabrication company founded in 2000. We have grown and changed over the years, and have continually invested in the latest modelling and information management software in an attempt to give us an edge over our overseas competitors.</w:t>
      </w:r>
      <w:r>
        <w:t>”</w:t>
      </w:r>
    </w:p>
    <w:p w14:paraId="1FC87E6A" w14:textId="77777777" w:rsidR="00113DB0" w:rsidRDefault="00113DB0" w:rsidP="0077578B">
      <w:pPr>
        <w:pStyle w:val="Style4"/>
        <w:keepNext/>
        <w:keepLines/>
        <w:numPr>
          <w:ilvl w:val="0"/>
          <w:numId w:val="16"/>
        </w:numPr>
        <w:spacing w:before="120" w:after="120"/>
        <w:ind w:left="357" w:hanging="357"/>
        <w:jc w:val="both"/>
      </w:pPr>
      <w:r>
        <w:t>“</w:t>
      </w:r>
      <w:r w:rsidRPr="00A34505">
        <w:t>Our company, Protective Fencing Pty Ltd operate in the steel fabrication and steel wire mesh manufacturing market. We are a regional NSW manufacturer of High Security perimeter fencing and safety mesh products.</w:t>
      </w:r>
      <w:r>
        <w:t>”</w:t>
      </w:r>
    </w:p>
    <w:p w14:paraId="69A65C35" w14:textId="77777777" w:rsidR="00113DB0" w:rsidRPr="002F38E2" w:rsidRDefault="00113DB0" w:rsidP="0077578B">
      <w:pPr>
        <w:pStyle w:val="Style4"/>
        <w:keepNext/>
        <w:jc w:val="both"/>
        <w:rPr>
          <w:sz w:val="20"/>
          <w:szCs w:val="20"/>
        </w:rPr>
      </w:pPr>
      <w:r w:rsidRPr="000E5848">
        <w:rPr>
          <w:i/>
          <w:sz w:val="20"/>
          <w:szCs w:val="20"/>
        </w:rPr>
        <w:t xml:space="preserve">Source: </w:t>
      </w:r>
      <w:r w:rsidRPr="002F38E2">
        <w:rPr>
          <w:sz w:val="20"/>
          <w:szCs w:val="20"/>
        </w:rPr>
        <w:t xml:space="preserve">Public Letters of Support to the Australian Steel Institute submission to the Senate Economics References Committee Inquiry, </w:t>
      </w:r>
      <w:r w:rsidRPr="007E395A">
        <w:rPr>
          <w:i/>
          <w:sz w:val="20"/>
          <w:szCs w:val="20"/>
        </w:rPr>
        <w:t>Future of Australia’s Steel Industry</w:t>
      </w:r>
      <w:r w:rsidRPr="002F38E2">
        <w:rPr>
          <w:sz w:val="20"/>
          <w:szCs w:val="20"/>
        </w:rPr>
        <w:t>,</w:t>
      </w:r>
      <w:r w:rsidR="007E395A">
        <w:rPr>
          <w:sz w:val="20"/>
          <w:szCs w:val="20"/>
        </w:rPr>
        <w:t xml:space="preserve"> February 2016.</w:t>
      </w:r>
    </w:p>
    <w:p w14:paraId="2E2C43D5" w14:textId="77777777" w:rsidR="00113DB0" w:rsidRDefault="00113DB0" w:rsidP="00113DB0">
      <w:pPr>
        <w:spacing w:after="160" w:line="259" w:lineRule="auto"/>
      </w:pPr>
    </w:p>
    <w:p w14:paraId="6EDAA7F7" w14:textId="77777777" w:rsidR="005B1BEB" w:rsidRDefault="005B1BEB" w:rsidP="00113DB0">
      <w:pPr>
        <w:spacing w:after="160" w:line="259" w:lineRule="auto"/>
      </w:pPr>
    </w:p>
    <w:p w14:paraId="556AAE55" w14:textId="77777777" w:rsidR="005B1BEB" w:rsidRDefault="005B1BEB" w:rsidP="00113DB0">
      <w:pPr>
        <w:spacing w:after="160" w:line="259" w:lineRule="auto"/>
      </w:pPr>
    </w:p>
    <w:p w14:paraId="78AED99A" w14:textId="77777777" w:rsidR="005B1BEB" w:rsidRDefault="005B1BEB" w:rsidP="00113DB0">
      <w:pPr>
        <w:spacing w:after="160" w:line="259" w:lineRule="auto"/>
      </w:pPr>
    </w:p>
    <w:p w14:paraId="38A1FCD4" w14:textId="3CAB58D3" w:rsidR="00190E83" w:rsidRDefault="00190E83" w:rsidP="00190E83">
      <w:pPr>
        <w:keepNext/>
        <w:keepLines/>
        <w:pBdr>
          <w:top w:val="single" w:sz="2" w:space="1" w:color="595A5B"/>
        </w:pBdr>
        <w:spacing w:before="360" w:after="240" w:line="240" w:lineRule="atLeast"/>
        <w:jc w:val="both"/>
        <w:rPr>
          <w:rFonts w:ascii="Arial" w:hAnsi="Arial"/>
          <w:bCs/>
          <w:color w:val="5B9BD5" w:themeColor="accent1"/>
          <w:sz w:val="18"/>
          <w:szCs w:val="18"/>
        </w:rPr>
      </w:pPr>
      <w:r w:rsidRPr="0094211A">
        <w:rPr>
          <w:rFonts w:ascii="Arial" w:hAnsi="Arial"/>
          <w:bCs/>
          <w:color w:val="5B9BD5" w:themeColor="accent1"/>
          <w:sz w:val="18"/>
          <w:szCs w:val="18"/>
        </w:rPr>
        <w:t xml:space="preserve">Figure </w:t>
      </w:r>
      <w:r w:rsidRPr="00F908D6">
        <w:rPr>
          <w:rFonts w:ascii="Arial" w:hAnsi="Arial"/>
          <w:bCs/>
          <w:color w:val="5B9BD5" w:themeColor="accent1"/>
          <w:sz w:val="18"/>
          <w:szCs w:val="18"/>
        </w:rPr>
        <w:t>2.3</w:t>
      </w:r>
      <w:r>
        <w:rPr>
          <w:rFonts w:ascii="Arial" w:hAnsi="Arial"/>
          <w:bCs/>
          <w:color w:val="5B9BD5" w:themeColor="accent1"/>
          <w:sz w:val="18"/>
          <w:szCs w:val="18"/>
        </w:rPr>
        <w:t xml:space="preserve">: </w:t>
      </w:r>
      <w:r w:rsidR="007C5DEF">
        <w:rPr>
          <w:rFonts w:ascii="Arial" w:hAnsi="Arial"/>
          <w:bCs/>
          <w:color w:val="5B9BD5" w:themeColor="accent1"/>
          <w:sz w:val="18"/>
          <w:szCs w:val="18"/>
        </w:rPr>
        <w:t>Examples of steel fabricated products</w:t>
      </w:r>
    </w:p>
    <w:tbl>
      <w:tblPr>
        <w:tblStyle w:val="TableGrid"/>
        <w:tblW w:w="9971"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5"/>
        <w:gridCol w:w="4986"/>
      </w:tblGrid>
      <w:tr w:rsidR="005B1BEB" w14:paraId="4996BEA4" w14:textId="77777777" w:rsidTr="005B1BEB">
        <w:trPr>
          <w:trHeight w:val="2420"/>
        </w:trPr>
        <w:tc>
          <w:tcPr>
            <w:tcW w:w="4985" w:type="dxa"/>
          </w:tcPr>
          <w:p w14:paraId="5CA0B19C" w14:textId="39B76469" w:rsidR="005B1BEB" w:rsidRDefault="005B1BEB" w:rsidP="00DE0BE7">
            <w:pPr>
              <w:spacing w:after="160" w:line="259" w:lineRule="auto"/>
              <w:jc w:val="center"/>
            </w:pPr>
            <w:r w:rsidRPr="00DE0BE7">
              <w:rPr>
                <w:noProof/>
                <w:lang w:eastAsia="en-AU"/>
              </w:rPr>
              <w:drawing>
                <wp:inline distT="0" distB="0" distL="0" distR="0" wp14:anchorId="3DCC336A" wp14:editId="218C90D0">
                  <wp:extent cx="2694194" cy="1800000"/>
                  <wp:effectExtent l="0" t="0" r="0" b="0"/>
                  <wp:docPr id="8" name="Picture 8" descr="\\prod.protected.ind\DATA_VI1\user\KLe\desktop\ThinkstockPhotos-86661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protected.ind\DATA_VI1\user\KLe\desktop\ThinkstockPhotos-8666125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4194" cy="1800000"/>
                          </a:xfrm>
                          <a:prstGeom prst="rect">
                            <a:avLst/>
                          </a:prstGeom>
                          <a:noFill/>
                          <a:ln>
                            <a:noFill/>
                          </a:ln>
                        </pic:spPr>
                      </pic:pic>
                    </a:graphicData>
                  </a:graphic>
                </wp:inline>
              </w:drawing>
            </w:r>
          </w:p>
        </w:tc>
        <w:tc>
          <w:tcPr>
            <w:tcW w:w="4985" w:type="dxa"/>
          </w:tcPr>
          <w:p w14:paraId="1BCA91DB" w14:textId="135EE24B" w:rsidR="005B1BEB" w:rsidRDefault="005B1BEB" w:rsidP="00DE0BE7">
            <w:pPr>
              <w:spacing w:after="160" w:line="259" w:lineRule="auto"/>
              <w:jc w:val="center"/>
            </w:pPr>
            <w:r w:rsidRPr="00DE0BE7">
              <w:rPr>
                <w:noProof/>
                <w:lang w:eastAsia="en-AU"/>
              </w:rPr>
              <w:drawing>
                <wp:inline distT="0" distB="0" distL="0" distR="0" wp14:anchorId="11F817A4" wp14:editId="2658E70A">
                  <wp:extent cx="2694194" cy="1800000"/>
                  <wp:effectExtent l="0" t="0" r="0" b="0"/>
                  <wp:docPr id="16" name="Picture 16" descr="\\prod.protected.ind\DATA_VI1\user\KLe\desktop\ThinkstockPhotos-81112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d.protected.ind\DATA_VI1\user\KLe\desktop\ThinkstockPhotos-8111221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4194" cy="1800000"/>
                          </a:xfrm>
                          <a:prstGeom prst="rect">
                            <a:avLst/>
                          </a:prstGeom>
                          <a:noFill/>
                          <a:ln>
                            <a:noFill/>
                          </a:ln>
                        </pic:spPr>
                      </pic:pic>
                    </a:graphicData>
                  </a:graphic>
                </wp:inline>
              </w:drawing>
            </w:r>
          </w:p>
        </w:tc>
      </w:tr>
      <w:tr w:rsidR="005B1BEB" w14:paraId="14F3495B" w14:textId="77777777" w:rsidTr="005B1BEB">
        <w:trPr>
          <w:trHeight w:val="2420"/>
        </w:trPr>
        <w:tc>
          <w:tcPr>
            <w:tcW w:w="4985" w:type="dxa"/>
          </w:tcPr>
          <w:p w14:paraId="371C7524" w14:textId="63CA8CDF" w:rsidR="005B1BEB" w:rsidRDefault="005B1BEB" w:rsidP="00DE0BE7">
            <w:pPr>
              <w:spacing w:after="160" w:line="259" w:lineRule="auto"/>
              <w:jc w:val="center"/>
            </w:pPr>
            <w:r w:rsidRPr="00DE0BE7">
              <w:rPr>
                <w:noProof/>
                <w:lang w:eastAsia="en-AU"/>
              </w:rPr>
              <w:drawing>
                <wp:inline distT="0" distB="0" distL="0" distR="0" wp14:anchorId="12AB2D90" wp14:editId="467FB663">
                  <wp:extent cx="2685247" cy="1800000"/>
                  <wp:effectExtent l="0" t="0" r="1270" b="0"/>
                  <wp:docPr id="9" name="Picture 9" descr="\\prod.protected.ind\DATA_VI1\user\KLe\desktop\ThinkstockPhotos-834948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d.protected.ind\DATA_VI1\user\KLe\desktop\ThinkstockPhotos-83494807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5247" cy="1800000"/>
                          </a:xfrm>
                          <a:prstGeom prst="rect">
                            <a:avLst/>
                          </a:prstGeom>
                          <a:noFill/>
                          <a:ln>
                            <a:noFill/>
                          </a:ln>
                        </pic:spPr>
                      </pic:pic>
                    </a:graphicData>
                  </a:graphic>
                </wp:inline>
              </w:drawing>
            </w:r>
          </w:p>
        </w:tc>
        <w:tc>
          <w:tcPr>
            <w:tcW w:w="4985" w:type="dxa"/>
          </w:tcPr>
          <w:p w14:paraId="59C6BE91" w14:textId="2610EF44" w:rsidR="005B1BEB" w:rsidRDefault="005B1BEB" w:rsidP="00DE0BE7">
            <w:pPr>
              <w:spacing w:after="160" w:line="259" w:lineRule="auto"/>
              <w:jc w:val="center"/>
            </w:pPr>
            <w:r w:rsidRPr="00DE0BE7">
              <w:rPr>
                <w:noProof/>
                <w:lang w:eastAsia="en-AU"/>
              </w:rPr>
              <w:drawing>
                <wp:inline distT="0" distB="0" distL="0" distR="0" wp14:anchorId="62F4C14E" wp14:editId="7B880425">
                  <wp:extent cx="1990000" cy="1800000"/>
                  <wp:effectExtent l="0" t="0" r="0" b="0"/>
                  <wp:docPr id="17" name="Picture 17" descr="\\prod.protected.ind\DATA_VI1\user\KLe\desktop\ThinkstockPhotos-61187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d.protected.ind\DATA_VI1\user\KLe\desktop\ThinkstockPhotos-61187012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90000" cy="1800000"/>
                          </a:xfrm>
                          <a:prstGeom prst="rect">
                            <a:avLst/>
                          </a:prstGeom>
                          <a:noFill/>
                          <a:ln>
                            <a:noFill/>
                          </a:ln>
                        </pic:spPr>
                      </pic:pic>
                    </a:graphicData>
                  </a:graphic>
                </wp:inline>
              </w:drawing>
            </w:r>
          </w:p>
        </w:tc>
      </w:tr>
      <w:tr w:rsidR="005B1BEB" w14:paraId="5F383CA9" w14:textId="77777777" w:rsidTr="005B1BEB">
        <w:trPr>
          <w:trHeight w:val="2405"/>
        </w:trPr>
        <w:tc>
          <w:tcPr>
            <w:tcW w:w="9971" w:type="dxa"/>
            <w:gridSpan w:val="2"/>
          </w:tcPr>
          <w:p w14:paraId="66A263E7" w14:textId="50797D21" w:rsidR="005B1BEB" w:rsidRPr="00DE0BE7" w:rsidRDefault="005B1BEB" w:rsidP="00DE0BE7">
            <w:pPr>
              <w:spacing w:after="160" w:line="259" w:lineRule="auto"/>
              <w:jc w:val="center"/>
              <w:rPr>
                <w:noProof/>
                <w:lang w:eastAsia="en-AU"/>
              </w:rPr>
            </w:pPr>
            <w:r w:rsidRPr="00463E5E">
              <w:rPr>
                <w:noProof/>
                <w:lang w:eastAsia="en-AU"/>
              </w:rPr>
              <w:drawing>
                <wp:inline distT="0" distB="0" distL="0" distR="0" wp14:anchorId="2009BE87" wp14:editId="02E3C7BD">
                  <wp:extent cx="2880000" cy="2880000"/>
                  <wp:effectExtent l="0" t="0" r="0" b="0"/>
                  <wp:docPr id="19" name="Picture 19" descr="\\prod.protected.ind\DATA_VI1\user\KLe\desktop\IMG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protected.ind\DATA_VI1\user\KLe\desktop\IMG_057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r>
    </w:tbl>
    <w:p w14:paraId="0D9507C0" w14:textId="4827FE40" w:rsidR="007C5DEF" w:rsidRPr="00A3469C" w:rsidRDefault="007C5DEF" w:rsidP="007C5DEF">
      <w:pPr>
        <w:keepLines/>
        <w:pBdr>
          <w:bottom w:val="single" w:sz="4" w:space="1" w:color="595A5B"/>
        </w:pBdr>
        <w:spacing w:before="120" w:after="240"/>
        <w:jc w:val="both"/>
        <w:rPr>
          <w:rFonts w:ascii="Arial" w:eastAsia="Times New Roman" w:hAnsi="Arial" w:cs="Arial"/>
          <w:color w:val="22789A"/>
          <w:sz w:val="16"/>
          <w:szCs w:val="20"/>
        </w:rPr>
      </w:pPr>
      <w:r>
        <w:rPr>
          <w:rFonts w:ascii="Arial" w:eastAsia="Times New Roman" w:hAnsi="Arial" w:cs="Arial"/>
          <w:color w:val="22789A"/>
          <w:sz w:val="16"/>
          <w:szCs w:val="20"/>
        </w:rPr>
        <w:t>Note: Heavy duty steel grating; wire steel fence; steel pedestrian bridge; grain silo; external structural steel building frame</w:t>
      </w:r>
    </w:p>
    <w:p w14:paraId="73330F67" w14:textId="77777777" w:rsidR="00113DB0" w:rsidRDefault="00113DB0" w:rsidP="00113DB0">
      <w:pPr>
        <w:pStyle w:val="Heading2"/>
      </w:pPr>
      <w:bookmarkStart w:id="24" w:name="_Toc487532388"/>
      <w:r>
        <w:t>Supply chain for steel fabricated products</w:t>
      </w:r>
      <w:bookmarkEnd w:id="24"/>
    </w:p>
    <w:p w14:paraId="08E2D822" w14:textId="77777777" w:rsidR="00113DB0" w:rsidRDefault="00113DB0" w:rsidP="000437C9">
      <w:pPr>
        <w:keepNext/>
        <w:spacing w:before="120" w:after="120"/>
        <w:jc w:val="both"/>
      </w:pPr>
      <w:r>
        <w:t xml:space="preserve">A simplified diagram of the supply chain </w:t>
      </w:r>
      <w:r w:rsidR="002E3BDE">
        <w:t xml:space="preserve">relating to </w:t>
      </w:r>
      <w:r>
        <w:t>the Australian steel</w:t>
      </w:r>
      <w:r w:rsidR="002E3BDE">
        <w:t xml:space="preserve"> fabrication</w:t>
      </w:r>
      <w:r>
        <w:t xml:space="preserve"> industry is shown below.</w:t>
      </w:r>
    </w:p>
    <w:p w14:paraId="018A519E" w14:textId="156241A6" w:rsidR="00113DB0" w:rsidRDefault="00113DB0" w:rsidP="00113DB0">
      <w:pPr>
        <w:keepNext/>
        <w:keepLines/>
        <w:pBdr>
          <w:top w:val="single" w:sz="2" w:space="1" w:color="595A5B"/>
        </w:pBdr>
        <w:spacing w:before="360" w:after="240" w:line="240" w:lineRule="atLeast"/>
        <w:jc w:val="both"/>
        <w:rPr>
          <w:rFonts w:ascii="Arial" w:hAnsi="Arial"/>
          <w:bCs/>
          <w:color w:val="5B9BD5" w:themeColor="accent1"/>
          <w:sz w:val="18"/>
          <w:szCs w:val="18"/>
        </w:rPr>
      </w:pPr>
      <w:r w:rsidRPr="0094211A">
        <w:rPr>
          <w:rFonts w:ascii="Arial" w:hAnsi="Arial"/>
          <w:bCs/>
          <w:color w:val="5B9BD5" w:themeColor="accent1"/>
          <w:sz w:val="18"/>
          <w:szCs w:val="18"/>
        </w:rPr>
        <w:t xml:space="preserve">Figure </w:t>
      </w:r>
      <w:r w:rsidRPr="00F908D6">
        <w:rPr>
          <w:rFonts w:ascii="Arial" w:hAnsi="Arial"/>
          <w:bCs/>
          <w:color w:val="5B9BD5" w:themeColor="accent1"/>
          <w:sz w:val="18"/>
          <w:szCs w:val="18"/>
        </w:rPr>
        <w:t>2.</w:t>
      </w:r>
      <w:r w:rsidR="00190E83">
        <w:rPr>
          <w:rFonts w:ascii="Arial" w:hAnsi="Arial"/>
          <w:bCs/>
          <w:color w:val="5B9BD5" w:themeColor="accent1"/>
          <w:sz w:val="18"/>
          <w:szCs w:val="18"/>
        </w:rPr>
        <w:t>4</w:t>
      </w:r>
      <w:r w:rsidR="00F908D6">
        <w:rPr>
          <w:rFonts w:ascii="Arial" w:hAnsi="Arial"/>
          <w:bCs/>
          <w:color w:val="5B9BD5" w:themeColor="accent1"/>
          <w:sz w:val="18"/>
          <w:szCs w:val="18"/>
        </w:rPr>
        <w:t>:</w:t>
      </w:r>
      <w:r>
        <w:rPr>
          <w:rFonts w:ascii="Arial" w:hAnsi="Arial"/>
          <w:bCs/>
          <w:color w:val="5B9BD5" w:themeColor="accent1"/>
          <w:sz w:val="18"/>
          <w:szCs w:val="18"/>
        </w:rPr>
        <w:t xml:space="preserve"> </w:t>
      </w:r>
      <w:r w:rsidRPr="00A3469C">
        <w:rPr>
          <w:rFonts w:ascii="Arial" w:hAnsi="Arial"/>
          <w:bCs/>
          <w:color w:val="5B9BD5" w:themeColor="accent1"/>
          <w:sz w:val="18"/>
          <w:szCs w:val="18"/>
        </w:rPr>
        <w:t xml:space="preserve">Supply chain for </w:t>
      </w:r>
      <w:r>
        <w:rPr>
          <w:rFonts w:ascii="Arial" w:hAnsi="Arial"/>
          <w:bCs/>
          <w:color w:val="5B9BD5" w:themeColor="accent1"/>
          <w:sz w:val="18"/>
          <w:szCs w:val="18"/>
        </w:rPr>
        <w:t>crude s</w:t>
      </w:r>
      <w:r w:rsidRPr="00A3469C">
        <w:rPr>
          <w:rFonts w:ascii="Arial" w:hAnsi="Arial"/>
          <w:bCs/>
          <w:color w:val="5B9BD5" w:themeColor="accent1"/>
          <w:sz w:val="18"/>
          <w:szCs w:val="18"/>
        </w:rPr>
        <w:t xml:space="preserve">teel </w:t>
      </w:r>
      <w:r>
        <w:rPr>
          <w:rFonts w:ascii="Arial" w:hAnsi="Arial"/>
          <w:bCs/>
          <w:color w:val="5B9BD5" w:themeColor="accent1"/>
          <w:sz w:val="18"/>
          <w:szCs w:val="18"/>
        </w:rPr>
        <w:t xml:space="preserve">and steel fabricated products </w:t>
      </w:r>
      <w:r w:rsidRPr="00A3469C">
        <w:rPr>
          <w:rFonts w:ascii="Arial" w:hAnsi="Arial"/>
          <w:bCs/>
          <w:color w:val="5B9BD5" w:themeColor="accent1"/>
          <w:sz w:val="18"/>
          <w:szCs w:val="18"/>
        </w:rPr>
        <w:t>in Australia</w:t>
      </w:r>
      <w:r>
        <w:rPr>
          <w:rFonts w:ascii="Arial" w:hAnsi="Arial"/>
          <w:bCs/>
          <w:color w:val="5B9BD5" w:themeColor="accent1"/>
          <w:sz w:val="18"/>
          <w:szCs w:val="18"/>
        </w:rPr>
        <w:t xml:space="preserve"> </w:t>
      </w:r>
    </w:p>
    <w:p w14:paraId="3269D5E5" w14:textId="190EB6D0" w:rsidR="00113DB0" w:rsidRPr="00F0695B" w:rsidRDefault="003E4659" w:rsidP="00113DB0">
      <w:pPr>
        <w:keepNext/>
        <w:keepLines/>
        <w:pBdr>
          <w:top w:val="single" w:sz="2" w:space="1" w:color="595A5B"/>
        </w:pBdr>
        <w:spacing w:before="120" w:after="120" w:line="240" w:lineRule="atLeast"/>
        <w:jc w:val="both"/>
        <w:rPr>
          <w:rFonts w:ascii="Times New Roman" w:hAnsi="Times New Roman" w:cs="Times New Roman"/>
          <w:sz w:val="24"/>
          <w:szCs w:val="24"/>
        </w:rPr>
      </w:pPr>
      <w:r>
        <w:rPr>
          <w:noProof/>
          <w:lang w:eastAsia="en-AU"/>
        </w:rPr>
        <w:drawing>
          <wp:inline distT="0" distB="0" distL="0" distR="0" wp14:anchorId="6487FB8A" wp14:editId="7BD8167B">
            <wp:extent cx="5732145" cy="6202680"/>
            <wp:effectExtent l="0" t="0" r="190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6202680"/>
                    </a:xfrm>
                    <a:prstGeom prst="rect">
                      <a:avLst/>
                    </a:prstGeom>
                  </pic:spPr>
                </pic:pic>
              </a:graphicData>
            </a:graphic>
          </wp:inline>
        </w:drawing>
      </w:r>
    </w:p>
    <w:p w14:paraId="213F6E36" w14:textId="77777777" w:rsidR="00113DB0" w:rsidRPr="00A3469C"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A3469C">
        <w:rPr>
          <w:rFonts w:ascii="Arial" w:eastAsia="Times New Roman" w:hAnsi="Arial" w:cs="Arial"/>
          <w:color w:val="22789A"/>
          <w:sz w:val="16"/>
          <w:szCs w:val="20"/>
        </w:rPr>
        <w:t xml:space="preserve">Source: </w:t>
      </w:r>
      <w:r>
        <w:rPr>
          <w:rFonts w:ascii="Arial" w:eastAsia="Times New Roman" w:hAnsi="Arial" w:cs="Arial"/>
          <w:color w:val="22789A"/>
          <w:sz w:val="16"/>
          <w:szCs w:val="20"/>
        </w:rPr>
        <w:t xml:space="preserve">Anti-Dumping Commission, using multiple sources </w:t>
      </w:r>
    </w:p>
    <w:p w14:paraId="1973DF8E" w14:textId="614CEC4D" w:rsidR="00113DB0" w:rsidRDefault="00113DB0" w:rsidP="00F908D6">
      <w:pPr>
        <w:spacing w:before="120" w:after="120"/>
        <w:jc w:val="both"/>
      </w:pPr>
      <w:r>
        <w:t xml:space="preserve">This supply chain demonstrates that the steel industry produces products following a process that starts with </w:t>
      </w:r>
      <w:r w:rsidR="002E3BDE">
        <w:t xml:space="preserve">crude </w:t>
      </w:r>
      <w:r>
        <w:t xml:space="preserve">iron and steel production, to </w:t>
      </w:r>
      <w:r w:rsidR="002E3BDE">
        <w:t>product mills</w:t>
      </w:r>
      <w:r>
        <w:t xml:space="preserve">, which produce </w:t>
      </w:r>
      <w:r w:rsidR="001C25D5">
        <w:t xml:space="preserve">the finished steel </w:t>
      </w:r>
      <w:r>
        <w:t xml:space="preserve">inputs used by steel fabricators to </w:t>
      </w:r>
      <w:r w:rsidR="00A36A21">
        <w:t>supply</w:t>
      </w:r>
      <w:r>
        <w:t xml:space="preserve"> products that are demanded by a range of downstream end-use industries. For simplicity, the diagram does not show that some crude steel used by end-use industries is not fabricated</w:t>
      </w:r>
      <w:r w:rsidR="001C25D5">
        <w:t xml:space="preserve"> as defined for the purposes of this report</w:t>
      </w:r>
      <w:r>
        <w:t xml:space="preserve"> (for example, some steel is cast or forged for end</w:t>
      </w:r>
      <w:r w:rsidR="00243BA8">
        <w:t xml:space="preserve"> </w:t>
      </w:r>
      <w:r>
        <w:t>use).</w:t>
      </w:r>
    </w:p>
    <w:p w14:paraId="0D5402D3" w14:textId="77777777" w:rsidR="00113DB0" w:rsidRDefault="00113DB0" w:rsidP="00113DB0">
      <w:pPr>
        <w:pStyle w:val="Heading3"/>
      </w:pPr>
      <w:r>
        <w:t xml:space="preserve">Production of crude steel and </w:t>
      </w:r>
      <w:r w:rsidR="001C25D5">
        <w:t>finished</w:t>
      </w:r>
      <w:r>
        <w:t xml:space="preserve"> products</w:t>
      </w:r>
    </w:p>
    <w:p w14:paraId="6AFD0545" w14:textId="77777777" w:rsidR="001C25D5" w:rsidRDefault="001C25D5" w:rsidP="00F908D6">
      <w:pPr>
        <w:spacing w:before="120" w:after="120"/>
        <w:jc w:val="both"/>
      </w:pPr>
      <w:r w:rsidRPr="00893CF1">
        <w:t xml:space="preserve">The </w:t>
      </w:r>
      <w:r>
        <w:t xml:space="preserve">Australian </w:t>
      </w:r>
      <w:r w:rsidRPr="00893CF1">
        <w:t xml:space="preserve">supply chain starts with </w:t>
      </w:r>
      <w:r w:rsidR="00A36A21">
        <w:t xml:space="preserve">either </w:t>
      </w:r>
      <w:r w:rsidRPr="00893CF1">
        <w:t>iron ore shipped from Western Australia and South Australia and combined with coal and limestone</w:t>
      </w:r>
      <w:r>
        <w:t xml:space="preserve"> to produce crude steel in the form of semi-finished products</w:t>
      </w:r>
      <w:r w:rsidR="00A36A21">
        <w:t xml:space="preserve"> or recycled scrap steel</w:t>
      </w:r>
      <w:r>
        <w:t xml:space="preserve">. The semi-finished products are sent to product mills to be turned into finished products: generic flat products (plate, hot rolled coiled); long products (such as rebar, wire rod, structural sections and rails); and </w:t>
      </w:r>
      <w:r w:rsidR="00A36A21">
        <w:t xml:space="preserve">ERW (Electric Resistance Welded) </w:t>
      </w:r>
      <w:r>
        <w:t>tubes.</w:t>
      </w:r>
    </w:p>
    <w:p w14:paraId="07C01B7F" w14:textId="6894C3F2" w:rsidR="00113DB0" w:rsidRDefault="00113DB0" w:rsidP="00F908D6">
      <w:pPr>
        <w:spacing w:before="120" w:after="120"/>
        <w:jc w:val="both"/>
      </w:pPr>
      <w:r>
        <w:t>There are two major domestic crude steel producers in Australia—Blue</w:t>
      </w:r>
      <w:r w:rsidR="002450C3">
        <w:t>S</w:t>
      </w:r>
      <w:r>
        <w:t xml:space="preserve">cope Steel and </w:t>
      </w:r>
      <w:r w:rsidR="005207E5">
        <w:t>Liberty Steel</w:t>
      </w:r>
      <w:r>
        <w:t>.</w:t>
      </w:r>
      <w:r w:rsidR="002450C3">
        <w:rPr>
          <w:rStyle w:val="FootnoteReference"/>
        </w:rPr>
        <w:footnoteReference w:id="9"/>
      </w:r>
      <w:r>
        <w:t xml:space="preserve"> </w:t>
      </w:r>
      <w:r w:rsidR="0084778B">
        <w:t xml:space="preserve">A third crude steel producer, Moly-Cop, produces mainly speciality steel products for the mining industry. </w:t>
      </w:r>
      <w:r>
        <w:t xml:space="preserve">BlueScope and </w:t>
      </w:r>
      <w:r w:rsidR="005207E5">
        <w:t>Li</w:t>
      </w:r>
      <w:r w:rsidR="005207E5" w:rsidRPr="005207E5">
        <w:t>berty Steel</w:t>
      </w:r>
      <w:r w:rsidR="005207E5">
        <w:t xml:space="preserve"> </w:t>
      </w:r>
      <w:r>
        <w:t xml:space="preserve">are vertically integrated, with subsidiary businesses functioning throughout the supply chain. </w:t>
      </w:r>
      <w:r w:rsidR="005207E5">
        <w:t xml:space="preserve">Liberty </w:t>
      </w:r>
      <w:proofErr w:type="spellStart"/>
      <w:r>
        <w:t>OneSteel</w:t>
      </w:r>
      <w:proofErr w:type="spellEnd"/>
      <w:r>
        <w:t xml:space="preserve"> operates steel making and product mills in Whyalla, Laverton, Sydney, and Newcastle</w:t>
      </w:r>
      <w:r w:rsidR="007E6719">
        <w:t>,</w:t>
      </w:r>
      <w:r>
        <w:t xml:space="preserve"> and BlueScope operates steel making</w:t>
      </w:r>
      <w:r w:rsidR="002E3BDE">
        <w:t xml:space="preserve"> and product mills</w:t>
      </w:r>
      <w:r>
        <w:t xml:space="preserve"> in Port Kembla. The volume of Australian crude steel production has fallen in recent years, to approximately </w:t>
      </w:r>
      <w:r w:rsidR="001C25D5">
        <w:t>5</w:t>
      </w:r>
      <w:r>
        <w:t xml:space="preserve"> million tonnes in 2015</w:t>
      </w:r>
      <w:r w:rsidR="001C25D5">
        <w:t>-16</w:t>
      </w:r>
      <w:r>
        <w:t xml:space="preserve"> according to the </w:t>
      </w:r>
      <w:r w:rsidR="001C25D5">
        <w:t>Office of the Chief Economist</w:t>
      </w:r>
      <w:r>
        <w:t>.</w:t>
      </w:r>
      <w:r>
        <w:rPr>
          <w:rStyle w:val="FootnoteReference"/>
        </w:rPr>
        <w:footnoteReference w:id="10"/>
      </w:r>
    </w:p>
    <w:p w14:paraId="6FEB96E6" w14:textId="77777777" w:rsidR="00113DB0" w:rsidRDefault="00EA1D89" w:rsidP="00F908D6">
      <w:pPr>
        <w:spacing w:before="120" w:after="120"/>
        <w:jc w:val="both"/>
      </w:pPr>
      <w:r>
        <w:t xml:space="preserve">In addition to the domestic crude steel producers BlueScope and </w:t>
      </w:r>
      <w:r w:rsidR="005207E5">
        <w:t>Li</w:t>
      </w:r>
      <w:r w:rsidR="005207E5" w:rsidRPr="005207E5">
        <w:t>berty Steel</w:t>
      </w:r>
      <w:r>
        <w:t>, imports are a significant source of steel product inputs</w:t>
      </w:r>
      <w:r w:rsidR="0084778B">
        <w:t xml:space="preserve"> that either compete directly with Australian producers or supplement their supply</w:t>
      </w:r>
      <w:r>
        <w:t xml:space="preserve"> as Australian producers do not produce all types of steel demanded by the Australian market.</w:t>
      </w:r>
    </w:p>
    <w:p w14:paraId="3C08E580" w14:textId="77777777" w:rsidR="00113DB0" w:rsidRDefault="00113DB0" w:rsidP="00113DB0">
      <w:pPr>
        <w:pStyle w:val="Heading3"/>
      </w:pPr>
      <w:r>
        <w:t>Distribution channels</w:t>
      </w:r>
    </w:p>
    <w:p w14:paraId="3C59215D" w14:textId="52BADFF2" w:rsidR="00113DB0" w:rsidRPr="00F0695B" w:rsidRDefault="00113DB0" w:rsidP="007E6719">
      <w:pPr>
        <w:spacing w:before="120" w:after="120"/>
        <w:jc w:val="both"/>
        <w:rPr>
          <w:rFonts w:ascii="Times New Roman" w:hAnsi="Times New Roman" w:cs="Times New Roman"/>
          <w:sz w:val="24"/>
          <w:szCs w:val="24"/>
        </w:rPr>
      </w:pPr>
      <w:r>
        <w:t xml:space="preserve">The Australian steel producers and steel importers (steel trading houses that import steel products) supply the downstream steel </w:t>
      </w:r>
      <w:r w:rsidR="0084778B">
        <w:t>fabricati</w:t>
      </w:r>
      <w:r w:rsidR="00BF0888">
        <w:t>o</w:t>
      </w:r>
      <w:r w:rsidR="0084778B">
        <w:t xml:space="preserve">n </w:t>
      </w:r>
      <w:r>
        <w:t xml:space="preserve">market through distribution channels. Distributors maintain stocks of steel inputs and deliver products to </w:t>
      </w:r>
      <w:r w:rsidR="0084778B">
        <w:t>fabricati</w:t>
      </w:r>
      <w:r w:rsidR="00BF0888">
        <w:t>o</w:t>
      </w:r>
      <w:r w:rsidR="0084778B">
        <w:t xml:space="preserve">n </w:t>
      </w:r>
      <w:r>
        <w:t>businesses across Australia.</w:t>
      </w:r>
      <w:r w:rsidR="00A97200">
        <w:t xml:space="preserve"> Some distributors also do some preliminary </w:t>
      </w:r>
      <w:r w:rsidR="0084778B">
        <w:t xml:space="preserve">manufacturing and/or </w:t>
      </w:r>
      <w:r w:rsidR="00A97200">
        <w:t>fabricatin</w:t>
      </w:r>
      <w:r w:rsidR="0084778B">
        <w:t>g</w:t>
      </w:r>
      <w:r w:rsidR="00A97200">
        <w:t>, such as cutting or drilling, before selling the products to steel fabricators for further processing.</w:t>
      </w:r>
    </w:p>
    <w:p w14:paraId="4261B9A9" w14:textId="182262AD" w:rsidR="00113DB0" w:rsidRDefault="00113DB0" w:rsidP="007E6719">
      <w:pPr>
        <w:spacing w:before="120" w:after="120"/>
        <w:jc w:val="both"/>
      </w:pPr>
      <w:r>
        <w:t xml:space="preserve">BlueScope and </w:t>
      </w:r>
      <w:r w:rsidR="005207E5">
        <w:t>Li</w:t>
      </w:r>
      <w:r w:rsidR="005207E5" w:rsidRPr="005207E5">
        <w:t>berty Steel</w:t>
      </w:r>
      <w:r w:rsidR="005207E5">
        <w:t xml:space="preserve"> </w:t>
      </w:r>
      <w:r>
        <w:t xml:space="preserve">have subsidiary distribution operations. For example, BlueScope distributes steel products through BlueScope </w:t>
      </w:r>
      <w:r w:rsidR="00EA1D89">
        <w:t>Distribution</w:t>
      </w:r>
      <w:r>
        <w:t xml:space="preserve"> supplying to fabricators through </w:t>
      </w:r>
      <w:r w:rsidR="00EA1D89">
        <w:t>numerous</w:t>
      </w:r>
      <w:r>
        <w:t xml:space="preserve"> branches Australia-wide</w:t>
      </w:r>
      <w:r w:rsidR="00EA1D89">
        <w:t>, as well as subsidiaries such as</w:t>
      </w:r>
      <w:r>
        <w:t xml:space="preserve"> </w:t>
      </w:r>
      <w:proofErr w:type="spellStart"/>
      <w:r>
        <w:t>Orrcon</w:t>
      </w:r>
      <w:proofErr w:type="spellEnd"/>
      <w:r>
        <w:t xml:space="preserve"> Steel. </w:t>
      </w:r>
      <w:r w:rsidR="005207E5">
        <w:t>Li</w:t>
      </w:r>
      <w:r w:rsidR="005207E5" w:rsidRPr="005207E5">
        <w:t>berty Steel</w:t>
      </w:r>
      <w:r w:rsidR="005207E5">
        <w:t xml:space="preserve"> </w:t>
      </w:r>
      <w:r>
        <w:t xml:space="preserve">distributes to steel fabricators through its </w:t>
      </w:r>
      <w:proofErr w:type="spellStart"/>
      <w:r>
        <w:t>OneSteel</w:t>
      </w:r>
      <w:proofErr w:type="spellEnd"/>
      <w:r>
        <w:t xml:space="preserve"> Metal Centre</w:t>
      </w:r>
      <w:r w:rsidR="00EA1D89">
        <w:t xml:space="preserve"> and </w:t>
      </w:r>
      <w:r w:rsidR="0084778B">
        <w:t xml:space="preserve">reinforcing businesses </w:t>
      </w:r>
      <w:proofErr w:type="spellStart"/>
      <w:r w:rsidR="0084778B">
        <w:t>OneSteel</w:t>
      </w:r>
      <w:proofErr w:type="spellEnd"/>
      <w:r w:rsidR="0084778B">
        <w:t xml:space="preserve"> Reinforcing and ARC</w:t>
      </w:r>
      <w:r>
        <w:t xml:space="preserve">. </w:t>
      </w:r>
      <w:r w:rsidR="00F81453">
        <w:t>In addition to</w:t>
      </w:r>
      <w:r>
        <w:t xml:space="preserve"> BlueScope and </w:t>
      </w:r>
      <w:r w:rsidR="005207E5">
        <w:t>Li</w:t>
      </w:r>
      <w:r w:rsidR="005207E5" w:rsidRPr="005207E5">
        <w:t>berty Steel</w:t>
      </w:r>
      <w:r>
        <w:t xml:space="preserve">, there are a number of </w:t>
      </w:r>
      <w:r w:rsidR="0084778B">
        <w:t>non-related</w:t>
      </w:r>
      <w:r>
        <w:t xml:space="preserve"> distributors supplying steel product inputs to downstream steel fabricators and to end</w:t>
      </w:r>
      <w:r w:rsidR="00BF0888">
        <w:t xml:space="preserve"> </w:t>
      </w:r>
      <w:r>
        <w:t xml:space="preserve">users. </w:t>
      </w:r>
      <w:r w:rsidR="00F81453">
        <w:t xml:space="preserve">The Ai Group </w:t>
      </w:r>
      <w:r w:rsidR="00DE32C5">
        <w:t>has estimated</w:t>
      </w:r>
      <w:r w:rsidR="00F81453">
        <w:t xml:space="preserve"> that </w:t>
      </w:r>
      <w:r w:rsidR="00DE32C5">
        <w:t>the Australian steel industry comprises a network of more than 160 distribution and warehousing facilities</w:t>
      </w:r>
      <w:r w:rsidR="00F81453">
        <w:t>.</w:t>
      </w:r>
      <w:r w:rsidR="00F81453">
        <w:rPr>
          <w:rStyle w:val="FootnoteReference"/>
        </w:rPr>
        <w:footnoteReference w:id="11"/>
      </w:r>
    </w:p>
    <w:p w14:paraId="3A1C702C" w14:textId="4D156531" w:rsidR="00113DB0" w:rsidRDefault="00113DB0" w:rsidP="00113DB0">
      <w:pPr>
        <w:pStyle w:val="Heading3"/>
      </w:pPr>
      <w:r>
        <w:t>Australian steel fabricators</w:t>
      </w:r>
    </w:p>
    <w:p w14:paraId="70081169" w14:textId="37F32B97" w:rsidR="00113DB0" w:rsidRPr="00853990" w:rsidRDefault="00113DB0" w:rsidP="00BF0888">
      <w:pPr>
        <w:spacing w:before="120" w:after="120"/>
        <w:jc w:val="both"/>
        <w:rPr>
          <w:lang w:val="en"/>
        </w:rPr>
      </w:pPr>
      <w:r>
        <w:t xml:space="preserve">As discussed in section 2.1 above, Australian steel </w:t>
      </w:r>
      <w:r w:rsidR="0084778B">
        <w:t xml:space="preserve">fabricators </w:t>
      </w:r>
      <w:r>
        <w:t xml:space="preserve">use steel product inputs to produce </w:t>
      </w:r>
      <w:r w:rsidR="0084778B">
        <w:t xml:space="preserve">fabricated </w:t>
      </w:r>
      <w:r>
        <w:t xml:space="preserve">steel products through </w:t>
      </w:r>
      <w:r w:rsidR="00EA1D89">
        <w:t xml:space="preserve">processes such as </w:t>
      </w:r>
      <w:r>
        <w:t xml:space="preserve">cutting, bending, </w:t>
      </w:r>
      <w:r w:rsidR="00243BA8">
        <w:t xml:space="preserve">machining, </w:t>
      </w:r>
      <w:r>
        <w:t>and welding</w:t>
      </w:r>
      <w:r w:rsidRPr="00853990">
        <w:t>.</w:t>
      </w:r>
      <w:r>
        <w:t xml:space="preserve"> </w:t>
      </w:r>
      <w:r w:rsidRPr="00853990">
        <w:t xml:space="preserve">The Australian steel </w:t>
      </w:r>
      <w:r w:rsidR="0084778B">
        <w:t>fabricati</w:t>
      </w:r>
      <w:r w:rsidR="00BF0888">
        <w:t>o</w:t>
      </w:r>
      <w:r w:rsidR="0084778B">
        <w:t xml:space="preserve">n </w:t>
      </w:r>
      <w:r w:rsidRPr="00853990">
        <w:t xml:space="preserve">industry is characterised by a diverse range of </w:t>
      </w:r>
      <w:r w:rsidR="0084778B">
        <w:t xml:space="preserve">fabricators </w:t>
      </w:r>
      <w:r w:rsidRPr="00853990">
        <w:t xml:space="preserve">operating across a number of markets. The industry has a total market output of approximately 1.6 million tonnes per annum, with the medium and larger </w:t>
      </w:r>
      <w:r w:rsidR="0084778B">
        <w:t xml:space="preserve">fabricators </w:t>
      </w:r>
      <w:r w:rsidRPr="00853990">
        <w:t>processing approximately 1.1 million tonnes per annum</w:t>
      </w:r>
      <w:r w:rsidR="0084778B">
        <w:t xml:space="preserve"> (excluding reinforcing products and wire products)</w:t>
      </w:r>
      <w:r w:rsidRPr="00853990">
        <w:t>.</w:t>
      </w:r>
      <w:r w:rsidRPr="00853990">
        <w:rPr>
          <w:vertAlign w:val="superscript"/>
        </w:rPr>
        <w:footnoteReference w:id="12"/>
      </w:r>
      <w:r w:rsidRPr="00853990">
        <w:t xml:space="preserve"> While </w:t>
      </w:r>
      <w:r>
        <w:t xml:space="preserve">the </w:t>
      </w:r>
      <w:r w:rsidRPr="00853990">
        <w:t xml:space="preserve">large vertically integrated businesses (BlueScope and </w:t>
      </w:r>
      <w:r w:rsidR="005207E5">
        <w:t>Li</w:t>
      </w:r>
      <w:r w:rsidR="005207E5" w:rsidRPr="005207E5">
        <w:t>berty Steel</w:t>
      </w:r>
      <w:r w:rsidRPr="00853990">
        <w:t>)</w:t>
      </w:r>
      <w:r w:rsidR="000338E1">
        <w:t xml:space="preserve"> have downstream </w:t>
      </w:r>
      <w:r w:rsidR="001750E3">
        <w:t xml:space="preserve">businesses </w:t>
      </w:r>
      <w:r w:rsidR="001750E3" w:rsidRPr="006744B1">
        <w:t xml:space="preserve">(for example, </w:t>
      </w:r>
      <w:r w:rsidR="005127C4" w:rsidRPr="006744B1">
        <w:t xml:space="preserve">BlueScope Buildings, </w:t>
      </w:r>
      <w:proofErr w:type="spellStart"/>
      <w:r w:rsidR="005127C4" w:rsidRPr="006744B1">
        <w:t>Lysaght</w:t>
      </w:r>
      <w:proofErr w:type="spellEnd"/>
      <w:r w:rsidR="005127C4" w:rsidRPr="006744B1">
        <w:t xml:space="preserve"> and </w:t>
      </w:r>
      <w:proofErr w:type="spellStart"/>
      <w:r w:rsidR="005127C4" w:rsidRPr="006744B1">
        <w:t>OneSteel</w:t>
      </w:r>
      <w:proofErr w:type="spellEnd"/>
      <w:r w:rsidR="005127C4" w:rsidRPr="006744B1">
        <w:t xml:space="preserve"> </w:t>
      </w:r>
      <w:proofErr w:type="spellStart"/>
      <w:r w:rsidR="005127C4" w:rsidRPr="006744B1">
        <w:t>Metalcentre</w:t>
      </w:r>
      <w:proofErr w:type="spellEnd"/>
      <w:r w:rsidR="005127C4" w:rsidRPr="006744B1">
        <w:t>)</w:t>
      </w:r>
      <w:r w:rsidR="001750E3" w:rsidRPr="006744B1">
        <w:t xml:space="preserve"> that </w:t>
      </w:r>
      <w:r w:rsidR="000338E1" w:rsidRPr="006744B1">
        <w:t>engage in some activities that are classified by the ABS as steel</w:t>
      </w:r>
      <w:r w:rsidRPr="006744B1">
        <w:t xml:space="preserve"> fabricatin</w:t>
      </w:r>
      <w:r w:rsidR="0084778B">
        <w:t>g</w:t>
      </w:r>
      <w:r w:rsidR="005127C4" w:rsidRPr="006744B1">
        <w:rPr>
          <w:rStyle w:val="FootnoteReference"/>
        </w:rPr>
        <w:footnoteReference w:id="13"/>
      </w:r>
      <w:r w:rsidR="000338E1" w:rsidRPr="006744B1">
        <w:t xml:space="preserve"> (see section 2.3 of this report)</w:t>
      </w:r>
      <w:r w:rsidRPr="00853990">
        <w:t xml:space="preserve">, it is estimated that approximately </w:t>
      </w:r>
      <w:r w:rsidR="00826E08" w:rsidRPr="00853990">
        <w:t>9</w:t>
      </w:r>
      <w:r w:rsidR="00826E08">
        <w:t>4 </w:t>
      </w:r>
      <w:r w:rsidRPr="00853990">
        <w:t xml:space="preserve">per cent of Australian steel </w:t>
      </w:r>
      <w:r w:rsidR="0084778B">
        <w:t xml:space="preserve">fabricating </w:t>
      </w:r>
      <w:r w:rsidRPr="00853990">
        <w:t>businesses have fewer than 20 employees.</w:t>
      </w:r>
      <w:r w:rsidRPr="00853990">
        <w:rPr>
          <w:vertAlign w:val="superscript"/>
          <w:lang w:val="en"/>
        </w:rPr>
        <w:footnoteReference w:id="14"/>
      </w:r>
      <w:r w:rsidRPr="00853990">
        <w:rPr>
          <w:vertAlign w:val="superscript"/>
          <w:lang w:val="en"/>
        </w:rPr>
        <w:t>.</w:t>
      </w:r>
    </w:p>
    <w:p w14:paraId="0090E9A7" w14:textId="5280CACA" w:rsidR="00113DB0" w:rsidRDefault="00113DB0" w:rsidP="00BF0888">
      <w:pPr>
        <w:spacing w:before="120" w:after="120"/>
        <w:jc w:val="both"/>
      </w:pPr>
      <w:r>
        <w:t xml:space="preserve">Steel </w:t>
      </w:r>
      <w:r w:rsidR="0084778B">
        <w:t xml:space="preserve">fabricators </w:t>
      </w:r>
      <w:r>
        <w:t xml:space="preserve">supply to a range of downstream industries (discussed in detail in chapter </w:t>
      </w:r>
      <w:r w:rsidRPr="000E2CE8">
        <w:t>3</w:t>
      </w:r>
      <w:r>
        <w:t xml:space="preserve"> of this report). For some downstream applications, steel </w:t>
      </w:r>
      <w:r w:rsidR="0084778B">
        <w:t xml:space="preserve">fabricators </w:t>
      </w:r>
      <w:r>
        <w:t xml:space="preserve">may face competition from other non-steel product alternatives. </w:t>
      </w:r>
    </w:p>
    <w:p w14:paraId="52604C90" w14:textId="5821736D" w:rsidR="00113DB0" w:rsidRDefault="00113DB0" w:rsidP="00BF0888">
      <w:pPr>
        <w:spacing w:before="120" w:after="120"/>
        <w:jc w:val="both"/>
      </w:pPr>
      <w:r>
        <w:t xml:space="preserve">Steel </w:t>
      </w:r>
      <w:r w:rsidR="0084778B">
        <w:t xml:space="preserve">fabricated </w:t>
      </w:r>
      <w:r>
        <w:t>products may be transported to end-use industries via road, rail or local sea transportation. Depending on the end</w:t>
      </w:r>
      <w:r w:rsidR="00243BA8">
        <w:t xml:space="preserve"> </w:t>
      </w:r>
      <w:r>
        <w:t xml:space="preserve">use, Australian steel </w:t>
      </w:r>
      <w:r w:rsidR="0084778B">
        <w:t xml:space="preserve">fabricators </w:t>
      </w:r>
      <w:r>
        <w:t xml:space="preserve">may offer a range of additional related products and services. These include: project management and design of steel fabricated components including using computer aided design and 3D modelling, assembly and installation of steel </w:t>
      </w:r>
      <w:r w:rsidR="00514C5C">
        <w:t xml:space="preserve">fabricated </w:t>
      </w:r>
      <w:r>
        <w:t xml:space="preserve">components on-site, and painting or finishing or other value adding to a steel </w:t>
      </w:r>
      <w:r w:rsidR="00514C5C">
        <w:t xml:space="preserve">fabricated </w:t>
      </w:r>
      <w:r>
        <w:t xml:space="preserve">product. </w:t>
      </w:r>
    </w:p>
    <w:p w14:paraId="53660030" w14:textId="77777777" w:rsidR="00113DB0" w:rsidRDefault="00113DB0" w:rsidP="00113DB0">
      <w:pPr>
        <w:pStyle w:val="Heading2"/>
      </w:pPr>
      <w:bookmarkStart w:id="25" w:name="_Toc487532389"/>
      <w:r w:rsidRPr="002F4183">
        <w:t>Defining the market</w:t>
      </w:r>
      <w:bookmarkEnd w:id="20"/>
      <w:r>
        <w:t>—data considerations</w:t>
      </w:r>
      <w:bookmarkEnd w:id="25"/>
    </w:p>
    <w:p w14:paraId="0B220882" w14:textId="0807C017" w:rsidR="00113DB0" w:rsidRDefault="00113DB0" w:rsidP="00BF0888">
      <w:pPr>
        <w:spacing w:before="120" w:after="120"/>
        <w:jc w:val="both"/>
      </w:pPr>
      <w:r>
        <w:t>The overview of the supply chain given above describes the total steel supply chain from iron and steel production through to end</w:t>
      </w:r>
      <w:r w:rsidR="00243BA8">
        <w:t xml:space="preserve"> </w:t>
      </w:r>
      <w:r>
        <w:t xml:space="preserve">use. </w:t>
      </w:r>
      <w:r w:rsidRPr="002F4183">
        <w:t xml:space="preserve">Unless otherwise indicated, </w:t>
      </w:r>
      <w:r>
        <w:t xml:space="preserve">this report focuses on </w:t>
      </w:r>
      <w:r w:rsidRPr="002F4183">
        <w:t xml:space="preserve">the Australian </w:t>
      </w:r>
      <w:r>
        <w:t xml:space="preserve">manufacturing </w:t>
      </w:r>
      <w:r w:rsidRPr="002F4183">
        <w:t>industr</w:t>
      </w:r>
      <w:r w:rsidR="00AA273C">
        <w:t xml:space="preserve">y </w:t>
      </w:r>
      <w:r>
        <w:t>s</w:t>
      </w:r>
      <w:r w:rsidR="00AA273C">
        <w:t>ectors</w:t>
      </w:r>
      <w:r>
        <w:t xml:space="preserve"> that </w:t>
      </w:r>
      <w:r w:rsidR="00514C5C">
        <w:t xml:space="preserve">make </w:t>
      </w:r>
      <w:r>
        <w:t>fabricated</w:t>
      </w:r>
      <w:r w:rsidRPr="002F4183">
        <w:t xml:space="preserve"> steel</w:t>
      </w:r>
      <w:r>
        <w:t xml:space="preserve"> products, that is</w:t>
      </w:r>
      <w:r w:rsidRPr="002F4183">
        <w:t xml:space="preserve">, </w:t>
      </w:r>
      <w:r>
        <w:t xml:space="preserve">products made from finished steel materials that have undergone a </w:t>
      </w:r>
      <w:r w:rsidR="00514C5C">
        <w:t>fabricating</w:t>
      </w:r>
      <w:r>
        <w:t xml:space="preserve"> process involving </w:t>
      </w:r>
      <w:r w:rsidRPr="00910305">
        <w:t>cutting, bending</w:t>
      </w:r>
      <w:r w:rsidR="00525DE1">
        <w:t>, machining</w:t>
      </w:r>
      <w:r w:rsidRPr="00910305">
        <w:t xml:space="preserve"> and</w:t>
      </w:r>
      <w:r>
        <w:t>/or</w:t>
      </w:r>
      <w:r w:rsidRPr="00910305">
        <w:t xml:space="preserve"> </w:t>
      </w:r>
      <w:r>
        <w:t xml:space="preserve">welding. </w:t>
      </w:r>
    </w:p>
    <w:p w14:paraId="33AD1940" w14:textId="77777777" w:rsidR="00113DB0" w:rsidRPr="00C67AFF" w:rsidRDefault="00113DB0" w:rsidP="00113DB0">
      <w:pPr>
        <w:keepNext/>
        <w:keepLines/>
        <w:pBdr>
          <w:top w:val="single" w:sz="2" w:space="1" w:color="595A5B"/>
        </w:pBdr>
        <w:spacing w:before="360" w:after="240" w:line="240" w:lineRule="atLeast"/>
        <w:jc w:val="both"/>
        <w:rPr>
          <w:rFonts w:ascii="Arial" w:hAnsi="Arial"/>
          <w:bCs/>
          <w:color w:val="5B9BD5" w:themeColor="accent1"/>
          <w:sz w:val="18"/>
          <w:szCs w:val="18"/>
        </w:rPr>
      </w:pPr>
      <w:r w:rsidRPr="001B095C">
        <w:rPr>
          <w:rFonts w:ascii="Arial" w:hAnsi="Arial"/>
          <w:bCs/>
          <w:color w:val="5B9BD5" w:themeColor="accent1"/>
          <w:sz w:val="18"/>
          <w:szCs w:val="18"/>
        </w:rPr>
        <w:t>Table 2.1:</w:t>
      </w:r>
      <w:r w:rsidRPr="002F4183">
        <w:rPr>
          <w:rFonts w:ascii="Arial" w:hAnsi="Arial"/>
          <w:bCs/>
          <w:color w:val="5B9BD5" w:themeColor="accent1"/>
          <w:sz w:val="18"/>
          <w:szCs w:val="18"/>
        </w:rPr>
        <w:t xml:space="preserve"> </w:t>
      </w:r>
      <w:r>
        <w:rPr>
          <w:rFonts w:ascii="Arial" w:hAnsi="Arial"/>
          <w:bCs/>
          <w:color w:val="5B9BD5" w:themeColor="accent1"/>
          <w:sz w:val="18"/>
          <w:szCs w:val="18"/>
        </w:rPr>
        <w:t xml:space="preserve">Steel </w:t>
      </w:r>
      <w:r w:rsidR="00514C5C" w:rsidRPr="00514C5C">
        <w:rPr>
          <w:rFonts w:ascii="Arial" w:hAnsi="Arial"/>
          <w:bCs/>
          <w:color w:val="5B9BD5" w:themeColor="accent1"/>
          <w:sz w:val="18"/>
          <w:szCs w:val="18"/>
        </w:rPr>
        <w:t xml:space="preserve">manufacturing/fabricating </w:t>
      </w:r>
      <w:r>
        <w:rPr>
          <w:rFonts w:ascii="Arial" w:hAnsi="Arial"/>
          <w:bCs/>
          <w:color w:val="5B9BD5" w:themeColor="accent1"/>
          <w:sz w:val="18"/>
          <w:szCs w:val="18"/>
        </w:rPr>
        <w:t>industry market definition</w:t>
      </w:r>
      <w:r w:rsidRPr="002F4183">
        <w:rPr>
          <w:rFonts w:ascii="Arial" w:hAnsi="Arial"/>
          <w:bCs/>
          <w:color w:val="5B9BD5" w:themeColor="accent1"/>
          <w:sz w:val="18"/>
          <w:szCs w:val="18"/>
        </w:rPr>
        <w:t xml:space="preserve"> </w:t>
      </w:r>
    </w:p>
    <w:tbl>
      <w:tblPr>
        <w:tblW w:w="8964" w:type="dxa"/>
        <w:tblInd w:w="108" w:type="dxa"/>
        <w:shd w:val="clear" w:color="auto" w:fill="DEEAF6" w:themeFill="accent1" w:themeFillTint="33"/>
        <w:tblLook w:val="04A0" w:firstRow="1" w:lastRow="0" w:firstColumn="1" w:lastColumn="0" w:noHBand="0" w:noVBand="1"/>
      </w:tblPr>
      <w:tblGrid>
        <w:gridCol w:w="4428"/>
        <w:gridCol w:w="4536"/>
      </w:tblGrid>
      <w:tr w:rsidR="00113DB0" w:rsidRPr="002F4183" w14:paraId="28C9F403" w14:textId="77777777" w:rsidTr="00443357">
        <w:trPr>
          <w:trHeight w:val="250"/>
        </w:trPr>
        <w:tc>
          <w:tcPr>
            <w:tcW w:w="4428" w:type="dxa"/>
            <w:shd w:val="clear" w:color="auto" w:fill="5B9BD5" w:themeFill="accent1"/>
            <w:noWrap/>
            <w:vAlign w:val="bottom"/>
            <w:hideMark/>
          </w:tcPr>
          <w:p w14:paraId="12AE84AB" w14:textId="77777777" w:rsidR="00113DB0" w:rsidRPr="002F4183" w:rsidRDefault="00113DB0" w:rsidP="00443357">
            <w:pPr>
              <w:keepNext/>
              <w:spacing w:before="120" w:after="120"/>
              <w:rPr>
                <w:rFonts w:ascii="Arial" w:hAnsi="Arial" w:cs="Arial"/>
                <w:i/>
                <w:color w:val="FFFFFF" w:themeColor="background1"/>
                <w:sz w:val="18"/>
                <w:szCs w:val="18"/>
              </w:rPr>
            </w:pPr>
            <w:r>
              <w:rPr>
                <w:rFonts w:ascii="Arial" w:hAnsi="Arial" w:cs="Arial"/>
                <w:i/>
                <w:color w:val="FFFFFF" w:themeColor="background1"/>
                <w:sz w:val="18"/>
                <w:szCs w:val="18"/>
              </w:rPr>
              <w:t> Included</w:t>
            </w:r>
          </w:p>
        </w:tc>
        <w:tc>
          <w:tcPr>
            <w:tcW w:w="4536" w:type="dxa"/>
            <w:shd w:val="clear" w:color="auto" w:fill="5B9BD5" w:themeFill="accent1"/>
            <w:vAlign w:val="bottom"/>
            <w:hideMark/>
          </w:tcPr>
          <w:p w14:paraId="4C24547C" w14:textId="77777777" w:rsidR="00113DB0" w:rsidRPr="002F4183" w:rsidRDefault="00113DB0" w:rsidP="00443357">
            <w:pPr>
              <w:keepNext/>
              <w:spacing w:before="120" w:after="120"/>
              <w:rPr>
                <w:rFonts w:ascii="Arial" w:hAnsi="Arial" w:cs="Arial"/>
                <w:i/>
                <w:color w:val="FFFFFF" w:themeColor="background1"/>
                <w:sz w:val="18"/>
                <w:szCs w:val="18"/>
              </w:rPr>
            </w:pPr>
            <w:r>
              <w:rPr>
                <w:rFonts w:ascii="Arial" w:hAnsi="Arial" w:cs="Arial"/>
                <w:i/>
                <w:color w:val="FFFFFF" w:themeColor="background1"/>
                <w:sz w:val="18"/>
                <w:szCs w:val="18"/>
              </w:rPr>
              <w:t>Excluded</w:t>
            </w:r>
          </w:p>
        </w:tc>
      </w:tr>
      <w:tr w:rsidR="00113DB0" w:rsidRPr="002F4183" w14:paraId="65F870E7" w14:textId="77777777" w:rsidTr="007C279F">
        <w:trPr>
          <w:trHeight w:val="250"/>
        </w:trPr>
        <w:tc>
          <w:tcPr>
            <w:tcW w:w="4428" w:type="dxa"/>
            <w:shd w:val="clear" w:color="auto" w:fill="DEEAF6" w:themeFill="accent1" w:themeFillTint="33"/>
            <w:noWrap/>
            <w:hideMark/>
          </w:tcPr>
          <w:p w14:paraId="66A2DE32" w14:textId="141182D1" w:rsidR="00113DB0" w:rsidRPr="002F4183" w:rsidRDefault="00113DB0" w:rsidP="00BF0888">
            <w:pPr>
              <w:keepNext/>
              <w:keepLines/>
              <w:spacing w:before="60" w:after="60"/>
              <w:jc w:val="both"/>
              <w:rPr>
                <w:rFonts w:ascii="Arial" w:hAnsi="Arial" w:cs="Arial"/>
                <w:i/>
                <w:color w:val="595A5B"/>
                <w:sz w:val="18"/>
                <w:szCs w:val="18"/>
              </w:rPr>
            </w:pPr>
            <w:r>
              <w:rPr>
                <w:rFonts w:ascii="Arial" w:hAnsi="Arial" w:cs="Arial"/>
                <w:color w:val="595A5B"/>
                <w:sz w:val="18"/>
                <w:szCs w:val="18"/>
              </w:rPr>
              <w:t xml:space="preserve">Products that have undergone a </w:t>
            </w:r>
            <w:r w:rsidR="00BF0888">
              <w:rPr>
                <w:rFonts w:ascii="Arial" w:hAnsi="Arial" w:cs="Arial"/>
                <w:color w:val="595A5B"/>
                <w:sz w:val="18"/>
                <w:szCs w:val="18"/>
              </w:rPr>
              <w:t>fabrication</w:t>
            </w:r>
            <w:r>
              <w:rPr>
                <w:rFonts w:ascii="Arial" w:hAnsi="Arial" w:cs="Arial"/>
                <w:color w:val="595A5B"/>
                <w:sz w:val="18"/>
                <w:szCs w:val="18"/>
              </w:rPr>
              <w:t xml:space="preserve"> process involving cutting, bending, </w:t>
            </w:r>
            <w:r w:rsidR="00BF0888">
              <w:rPr>
                <w:rFonts w:ascii="Arial" w:hAnsi="Arial" w:cs="Arial"/>
                <w:color w:val="595A5B"/>
                <w:sz w:val="18"/>
                <w:szCs w:val="18"/>
              </w:rPr>
              <w:t xml:space="preserve">machining, welding, </w:t>
            </w:r>
            <w:r>
              <w:rPr>
                <w:rFonts w:ascii="Arial" w:hAnsi="Arial" w:cs="Arial"/>
                <w:color w:val="595A5B"/>
                <w:sz w:val="18"/>
                <w:szCs w:val="18"/>
              </w:rPr>
              <w:t>and/or assembling</w:t>
            </w:r>
          </w:p>
        </w:tc>
        <w:tc>
          <w:tcPr>
            <w:tcW w:w="4536" w:type="dxa"/>
            <w:shd w:val="clear" w:color="auto" w:fill="DEEAF6" w:themeFill="accent1" w:themeFillTint="33"/>
            <w:vAlign w:val="center"/>
            <w:hideMark/>
          </w:tcPr>
          <w:p w14:paraId="11330C78" w14:textId="77777777" w:rsidR="00113DB0" w:rsidRPr="00C67AFF" w:rsidRDefault="00826E08" w:rsidP="00BF0888">
            <w:pPr>
              <w:pStyle w:val="ListParagraph"/>
              <w:keepNext/>
              <w:keepLines/>
              <w:numPr>
                <w:ilvl w:val="0"/>
                <w:numId w:val="14"/>
              </w:numPr>
              <w:spacing w:before="60" w:after="60"/>
              <w:ind w:left="357" w:hanging="357"/>
              <w:contextualSpacing w:val="0"/>
              <w:jc w:val="both"/>
              <w:rPr>
                <w:rFonts w:ascii="Arial" w:hAnsi="Arial" w:cs="Arial"/>
                <w:color w:val="595A5B"/>
                <w:sz w:val="18"/>
                <w:szCs w:val="18"/>
              </w:rPr>
            </w:pPr>
            <w:r>
              <w:rPr>
                <w:rFonts w:ascii="Arial" w:hAnsi="Arial" w:cs="Arial"/>
                <w:color w:val="595A5B"/>
                <w:sz w:val="18"/>
                <w:szCs w:val="18"/>
              </w:rPr>
              <w:t>Crude,</w:t>
            </w:r>
            <w:r w:rsidR="00113DB0" w:rsidRPr="00C67AFF">
              <w:rPr>
                <w:rFonts w:ascii="Arial" w:hAnsi="Arial" w:cs="Arial"/>
                <w:color w:val="595A5B"/>
                <w:sz w:val="18"/>
                <w:szCs w:val="18"/>
              </w:rPr>
              <w:t xml:space="preserve"> semi-finished </w:t>
            </w:r>
            <w:r>
              <w:rPr>
                <w:rFonts w:ascii="Arial" w:hAnsi="Arial" w:cs="Arial"/>
                <w:color w:val="595A5B"/>
                <w:sz w:val="18"/>
                <w:szCs w:val="18"/>
              </w:rPr>
              <w:t xml:space="preserve">and finished </w:t>
            </w:r>
            <w:r w:rsidR="00113DB0" w:rsidRPr="00C67AFF">
              <w:rPr>
                <w:rFonts w:ascii="Arial" w:hAnsi="Arial" w:cs="Arial"/>
                <w:color w:val="595A5B"/>
                <w:sz w:val="18"/>
                <w:szCs w:val="18"/>
              </w:rPr>
              <w:t>products</w:t>
            </w:r>
          </w:p>
          <w:p w14:paraId="6E720513" w14:textId="0E45D416" w:rsidR="00113DB0" w:rsidRPr="00C67AFF" w:rsidRDefault="00113DB0" w:rsidP="00BF0888">
            <w:pPr>
              <w:pStyle w:val="ListParagraph"/>
              <w:keepNext/>
              <w:keepLines/>
              <w:numPr>
                <w:ilvl w:val="0"/>
                <w:numId w:val="14"/>
              </w:numPr>
              <w:spacing w:before="60" w:after="60"/>
              <w:ind w:left="357" w:hanging="357"/>
              <w:contextualSpacing w:val="0"/>
              <w:jc w:val="both"/>
              <w:rPr>
                <w:rFonts w:ascii="Arial" w:hAnsi="Arial" w:cs="Arial"/>
                <w:color w:val="595A5B"/>
                <w:sz w:val="18"/>
                <w:szCs w:val="18"/>
              </w:rPr>
            </w:pPr>
            <w:r w:rsidRPr="00C67AFF">
              <w:rPr>
                <w:rFonts w:ascii="Arial" w:hAnsi="Arial" w:cs="Arial"/>
                <w:color w:val="595A5B"/>
                <w:sz w:val="18"/>
                <w:szCs w:val="18"/>
              </w:rPr>
              <w:t xml:space="preserve">Steel products that have undergone a manufacturing process involving casting or forging (not </w:t>
            </w:r>
            <w:r w:rsidR="00BF0888">
              <w:rPr>
                <w:rFonts w:ascii="Arial" w:hAnsi="Arial" w:cs="Arial"/>
                <w:color w:val="595A5B"/>
                <w:sz w:val="18"/>
                <w:szCs w:val="18"/>
              </w:rPr>
              <w:t xml:space="preserve">processes defined as </w:t>
            </w:r>
            <w:r w:rsidRPr="00C67AFF">
              <w:rPr>
                <w:rFonts w:ascii="Arial" w:hAnsi="Arial" w:cs="Arial"/>
                <w:color w:val="595A5B"/>
                <w:sz w:val="18"/>
                <w:szCs w:val="18"/>
              </w:rPr>
              <w:t>fabrication)</w:t>
            </w:r>
          </w:p>
          <w:p w14:paraId="27398D8F" w14:textId="3D518754" w:rsidR="00113DB0" w:rsidRPr="00C67AFF" w:rsidRDefault="00113DB0" w:rsidP="00BF0888">
            <w:pPr>
              <w:pStyle w:val="ListParagraph"/>
              <w:keepNext/>
              <w:keepLines/>
              <w:numPr>
                <w:ilvl w:val="0"/>
                <w:numId w:val="14"/>
              </w:numPr>
              <w:spacing w:before="60" w:after="60"/>
              <w:ind w:left="357" w:hanging="357"/>
              <w:contextualSpacing w:val="0"/>
              <w:jc w:val="both"/>
              <w:rPr>
                <w:rFonts w:ascii="Arial" w:hAnsi="Arial" w:cs="Arial"/>
                <w:i/>
                <w:color w:val="595A5B"/>
                <w:sz w:val="18"/>
                <w:szCs w:val="18"/>
              </w:rPr>
            </w:pPr>
            <w:r w:rsidRPr="00C67AFF">
              <w:rPr>
                <w:rFonts w:ascii="Arial" w:hAnsi="Arial" w:cs="Arial"/>
                <w:color w:val="595A5B"/>
                <w:sz w:val="18"/>
                <w:szCs w:val="18"/>
              </w:rPr>
              <w:t xml:space="preserve">End-use industries </w:t>
            </w:r>
            <w:r w:rsidR="00BF0888">
              <w:rPr>
                <w:rFonts w:ascii="Arial" w:hAnsi="Arial" w:cs="Arial"/>
                <w:color w:val="595A5B"/>
                <w:sz w:val="18"/>
                <w:szCs w:val="18"/>
              </w:rPr>
              <w:t>for</w:t>
            </w:r>
            <w:r w:rsidRPr="00C67AFF">
              <w:rPr>
                <w:rFonts w:ascii="Arial" w:hAnsi="Arial" w:cs="Arial"/>
                <w:color w:val="595A5B"/>
                <w:sz w:val="18"/>
                <w:szCs w:val="18"/>
              </w:rPr>
              <w:t xml:space="preserve"> steel fabricated goods, such as </w:t>
            </w:r>
            <w:r w:rsidR="00D41A11">
              <w:rPr>
                <w:rFonts w:ascii="Arial" w:hAnsi="Arial" w:cs="Arial"/>
                <w:color w:val="595A5B"/>
                <w:sz w:val="18"/>
                <w:szCs w:val="18"/>
              </w:rPr>
              <w:t>c</w:t>
            </w:r>
            <w:r w:rsidRPr="00C67AFF">
              <w:rPr>
                <w:rFonts w:ascii="Arial" w:hAnsi="Arial" w:cs="Arial"/>
                <w:color w:val="595A5B"/>
                <w:sz w:val="18"/>
                <w:szCs w:val="18"/>
              </w:rPr>
              <w:t xml:space="preserve">onstruction or </w:t>
            </w:r>
            <w:r w:rsidR="00D41A11">
              <w:rPr>
                <w:rFonts w:ascii="Arial" w:hAnsi="Arial" w:cs="Arial"/>
                <w:color w:val="595A5B"/>
                <w:sz w:val="18"/>
                <w:szCs w:val="18"/>
              </w:rPr>
              <w:t>m</w:t>
            </w:r>
            <w:r w:rsidRPr="00C67AFF">
              <w:rPr>
                <w:rFonts w:ascii="Arial" w:hAnsi="Arial" w:cs="Arial"/>
                <w:color w:val="595A5B"/>
                <w:sz w:val="18"/>
                <w:szCs w:val="18"/>
              </w:rPr>
              <w:t>ining</w:t>
            </w:r>
          </w:p>
        </w:tc>
      </w:tr>
      <w:tr w:rsidR="00113DB0" w:rsidRPr="002F4183" w14:paraId="5BF1248F" w14:textId="77777777" w:rsidTr="007C279F">
        <w:trPr>
          <w:trHeight w:val="250"/>
        </w:trPr>
        <w:tc>
          <w:tcPr>
            <w:tcW w:w="4428" w:type="dxa"/>
            <w:shd w:val="clear" w:color="auto" w:fill="DEEAF6" w:themeFill="accent1" w:themeFillTint="33"/>
            <w:noWrap/>
            <w:hideMark/>
          </w:tcPr>
          <w:p w14:paraId="0710327A" w14:textId="77777777" w:rsidR="00113DB0" w:rsidRPr="002F4183" w:rsidRDefault="00113DB0" w:rsidP="007C279F">
            <w:pPr>
              <w:keepNext/>
              <w:keepLines/>
              <w:spacing w:before="60" w:after="60"/>
              <w:rPr>
                <w:rFonts w:ascii="Arial" w:hAnsi="Arial" w:cs="Arial"/>
                <w:i/>
                <w:color w:val="595A5B"/>
                <w:sz w:val="18"/>
                <w:szCs w:val="18"/>
              </w:rPr>
            </w:pPr>
            <w:r>
              <w:rPr>
                <w:rFonts w:ascii="Arial" w:hAnsi="Arial" w:cs="Arial"/>
                <w:color w:val="595A5B"/>
                <w:sz w:val="18"/>
                <w:szCs w:val="18"/>
              </w:rPr>
              <w:t>Products that have steel as a major input</w:t>
            </w:r>
          </w:p>
        </w:tc>
        <w:tc>
          <w:tcPr>
            <w:tcW w:w="4536" w:type="dxa"/>
            <w:shd w:val="clear" w:color="auto" w:fill="DEEAF6" w:themeFill="accent1" w:themeFillTint="33"/>
            <w:vAlign w:val="center"/>
            <w:hideMark/>
          </w:tcPr>
          <w:p w14:paraId="136D1CA8" w14:textId="77777777" w:rsidR="00113DB0" w:rsidRPr="00C67AFF" w:rsidRDefault="00113DB0" w:rsidP="00BF0888">
            <w:pPr>
              <w:pStyle w:val="ListParagraph"/>
              <w:keepNext/>
              <w:keepLines/>
              <w:numPr>
                <w:ilvl w:val="0"/>
                <w:numId w:val="15"/>
              </w:numPr>
              <w:spacing w:before="60" w:after="60"/>
              <w:ind w:left="357" w:hanging="357"/>
              <w:contextualSpacing w:val="0"/>
              <w:jc w:val="both"/>
              <w:rPr>
                <w:rFonts w:ascii="Arial" w:hAnsi="Arial" w:cs="Arial"/>
                <w:i/>
                <w:color w:val="595A5B"/>
                <w:sz w:val="18"/>
                <w:szCs w:val="18"/>
              </w:rPr>
            </w:pPr>
            <w:r>
              <w:rPr>
                <w:rFonts w:ascii="Arial" w:hAnsi="Arial" w:cs="Arial"/>
                <w:color w:val="595A5B"/>
                <w:sz w:val="18"/>
                <w:szCs w:val="18"/>
              </w:rPr>
              <w:t>Products with different primary metal inputs, such as aluminium, copper, tin and nickel</w:t>
            </w:r>
          </w:p>
        </w:tc>
      </w:tr>
    </w:tbl>
    <w:p w14:paraId="4D145F62"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p>
    <w:p w14:paraId="219C1FD9" w14:textId="15BE690E" w:rsidR="00113DB0" w:rsidRDefault="00113DB0" w:rsidP="00B804DB">
      <w:pPr>
        <w:spacing w:before="120" w:after="120"/>
        <w:jc w:val="both"/>
      </w:pPr>
      <w:r>
        <w:t>The Commission has drawn primarily on ABS data</w:t>
      </w:r>
      <w:r w:rsidR="008A07B2">
        <w:t xml:space="preserve"> for statistical information about the industry</w:t>
      </w:r>
      <w:r>
        <w:t xml:space="preserve">. As noted in this chapter, </w:t>
      </w:r>
      <w:r w:rsidRPr="005D377C">
        <w:t xml:space="preserve">steel </w:t>
      </w:r>
      <w:r w:rsidR="00514C5C">
        <w:t xml:space="preserve">fabricated </w:t>
      </w:r>
      <w:r w:rsidRPr="005D377C">
        <w:t>products come in a range of forms</w:t>
      </w:r>
      <w:r>
        <w:t>.</w:t>
      </w:r>
      <w:r w:rsidRPr="005D377C">
        <w:t xml:space="preserve"> </w:t>
      </w:r>
      <w:r w:rsidR="008A07B2">
        <w:t xml:space="preserve">This diversity means that there are limitations on the amount of </w:t>
      </w:r>
      <w:r w:rsidR="008A07B2" w:rsidRPr="008A07B2">
        <w:t xml:space="preserve">disaggregated statistical information </w:t>
      </w:r>
      <w:r w:rsidR="008A07B2">
        <w:t>that is available on</w:t>
      </w:r>
      <w:r w:rsidR="008A07B2" w:rsidRPr="008A07B2">
        <w:t xml:space="preserve"> </w:t>
      </w:r>
      <w:r w:rsidR="008A07B2">
        <w:t xml:space="preserve">the full </w:t>
      </w:r>
      <w:r w:rsidR="008A07B2" w:rsidRPr="008A07B2">
        <w:t xml:space="preserve">range of steel </w:t>
      </w:r>
      <w:r w:rsidR="00514C5C">
        <w:t xml:space="preserve">fabricated </w:t>
      </w:r>
      <w:r w:rsidR="008A07B2" w:rsidRPr="008A07B2">
        <w:t>products</w:t>
      </w:r>
      <w:r w:rsidR="008A07B2">
        <w:t>.</w:t>
      </w:r>
      <w:r w:rsidR="008A07B2" w:rsidRPr="008A07B2">
        <w:t xml:space="preserve"> </w:t>
      </w:r>
      <w:r w:rsidR="008A07B2">
        <w:t>T</w:t>
      </w:r>
      <w:r w:rsidR="008A07B2" w:rsidRPr="008A07B2">
        <w:t>he Commission has therefore made use of a range of information sources to develop a good understanding of the industry</w:t>
      </w:r>
      <w:r w:rsidR="008F2818">
        <w:t>. In particular, the Commission has collected case study information to supplement the available statistical information and provide a more detailed view of the experiences of selected businesses</w:t>
      </w:r>
      <w:r w:rsidR="008A07B2" w:rsidRPr="008A07B2">
        <w:t>.</w:t>
      </w:r>
      <w:r>
        <w:t xml:space="preserve"> </w:t>
      </w:r>
    </w:p>
    <w:p w14:paraId="7D7E9B39" w14:textId="77777777" w:rsidR="00113DB0" w:rsidRPr="00C67AFF" w:rsidRDefault="00113DB0" w:rsidP="00B804DB">
      <w:pPr>
        <w:spacing w:before="120" w:after="120"/>
        <w:jc w:val="both"/>
      </w:pPr>
      <w:r w:rsidRPr="00C67AFF">
        <w:t xml:space="preserve">The </w:t>
      </w:r>
      <w:r>
        <w:t>A</w:t>
      </w:r>
      <w:r w:rsidRPr="00C67AFF">
        <w:t xml:space="preserve">BS data uses industry definitions drawn from the Australian and New Zealand Standard Industrial Classification (ANZSIC) groups and classes or Australian Harmonized Export Commodity Classification (AHECC) groups. </w:t>
      </w:r>
    </w:p>
    <w:p w14:paraId="7D15E046" w14:textId="77777777" w:rsidR="00113DB0" w:rsidRPr="00C67AFF" w:rsidRDefault="00113DB0" w:rsidP="00B804DB">
      <w:pPr>
        <w:spacing w:before="120" w:after="120"/>
        <w:jc w:val="both"/>
      </w:pPr>
      <w:r>
        <w:t>F</w:t>
      </w:r>
      <w:r w:rsidRPr="00875E69">
        <w:t>or the purpose</w:t>
      </w:r>
      <w:r>
        <w:t>s</w:t>
      </w:r>
      <w:r w:rsidRPr="00875E69">
        <w:t xml:space="preserve"> of this report</w:t>
      </w:r>
      <w:r>
        <w:t>,</w:t>
      </w:r>
      <w:r w:rsidRPr="00875E69">
        <w:t xml:space="preserve"> </w:t>
      </w:r>
      <w:r>
        <w:t>t</w:t>
      </w:r>
      <w:r w:rsidRPr="00C67AFF">
        <w:t xml:space="preserve">he Commission </w:t>
      </w:r>
      <w:r>
        <w:t>has used data for</w:t>
      </w:r>
      <w:r w:rsidRPr="00C67AFF">
        <w:t xml:space="preserve"> the following ANZ</w:t>
      </w:r>
      <w:r>
        <w:t>S</w:t>
      </w:r>
      <w:r w:rsidRPr="00C67AFF">
        <w:t>IC classes within the “fabricated metal product manufacturing” subdivision:</w:t>
      </w:r>
    </w:p>
    <w:p w14:paraId="4B49E653" w14:textId="77777777" w:rsidR="00113DB0" w:rsidRPr="00C67AFF" w:rsidRDefault="00113DB0" w:rsidP="00B804DB">
      <w:pPr>
        <w:numPr>
          <w:ilvl w:val="0"/>
          <w:numId w:val="2"/>
        </w:numPr>
        <w:spacing w:before="120" w:after="120"/>
        <w:jc w:val="both"/>
      </w:pPr>
      <w:r w:rsidRPr="00C67AFF">
        <w:t>Structural Steel Fabricating (2221)</w:t>
      </w:r>
    </w:p>
    <w:p w14:paraId="6D15D298" w14:textId="77777777" w:rsidR="00113DB0" w:rsidRPr="00C67AFF" w:rsidRDefault="00113DB0" w:rsidP="00B804DB">
      <w:pPr>
        <w:numPr>
          <w:ilvl w:val="0"/>
          <w:numId w:val="2"/>
        </w:numPr>
        <w:spacing w:before="120" w:after="120"/>
        <w:jc w:val="both"/>
      </w:pPr>
      <w:r w:rsidRPr="00C67AFF">
        <w:t xml:space="preserve">Prefabricated Metal Building Manufacturing (2222) </w:t>
      </w:r>
    </w:p>
    <w:p w14:paraId="793D0641" w14:textId="77777777" w:rsidR="00113DB0" w:rsidRPr="00C67AFF" w:rsidRDefault="00113DB0" w:rsidP="00B804DB">
      <w:pPr>
        <w:numPr>
          <w:ilvl w:val="0"/>
          <w:numId w:val="2"/>
        </w:numPr>
        <w:spacing w:before="120" w:after="120"/>
        <w:jc w:val="both"/>
      </w:pPr>
      <w:r w:rsidRPr="00C67AFF">
        <w:t>Metal Roof and Guttering Manufacturing (except Aluminium) (2224)</w:t>
      </w:r>
    </w:p>
    <w:p w14:paraId="3525E154" w14:textId="77777777" w:rsidR="00113DB0" w:rsidRPr="00C67AFF" w:rsidRDefault="00113DB0" w:rsidP="00B804DB">
      <w:pPr>
        <w:numPr>
          <w:ilvl w:val="0"/>
          <w:numId w:val="2"/>
        </w:numPr>
        <w:spacing w:before="120" w:after="120"/>
        <w:jc w:val="both"/>
      </w:pPr>
      <w:r w:rsidRPr="00C67AFF">
        <w:t>Other Structural Metal Product Manufacturing (2229)</w:t>
      </w:r>
    </w:p>
    <w:p w14:paraId="094214C8" w14:textId="77777777" w:rsidR="00113DB0" w:rsidRPr="00C67AFF" w:rsidRDefault="00113DB0" w:rsidP="00B804DB">
      <w:pPr>
        <w:numPr>
          <w:ilvl w:val="0"/>
          <w:numId w:val="2"/>
        </w:numPr>
        <w:spacing w:before="120" w:after="120"/>
        <w:jc w:val="both"/>
      </w:pPr>
      <w:r w:rsidRPr="00C67AFF">
        <w:t>Boiler, Tank and Other Heavy Gauge Metal Container Manufacturing (2231)</w:t>
      </w:r>
    </w:p>
    <w:p w14:paraId="4723F826" w14:textId="77777777" w:rsidR="00113DB0" w:rsidRPr="00C67AFF" w:rsidRDefault="00113DB0" w:rsidP="00B804DB">
      <w:pPr>
        <w:numPr>
          <w:ilvl w:val="0"/>
          <w:numId w:val="2"/>
        </w:numPr>
        <w:spacing w:before="120" w:after="120"/>
        <w:jc w:val="both"/>
      </w:pPr>
      <w:r w:rsidRPr="00C67AFF">
        <w:t>Other Metal Container Manufacturing (2239)</w:t>
      </w:r>
    </w:p>
    <w:p w14:paraId="49F3AC2F" w14:textId="77777777" w:rsidR="00113DB0" w:rsidRPr="00C67AFF" w:rsidRDefault="00113DB0" w:rsidP="00B804DB">
      <w:pPr>
        <w:numPr>
          <w:ilvl w:val="0"/>
          <w:numId w:val="2"/>
        </w:numPr>
        <w:spacing w:before="120" w:after="120"/>
        <w:jc w:val="both"/>
      </w:pPr>
      <w:r w:rsidRPr="00C67AFF">
        <w:t>Sheet Metal Product Manufacturing (except Metal Structural and Container Products) (2240)</w:t>
      </w:r>
    </w:p>
    <w:p w14:paraId="242173DF" w14:textId="77777777" w:rsidR="00113DB0" w:rsidRPr="00C67AFF" w:rsidRDefault="00113DB0" w:rsidP="00B804DB">
      <w:pPr>
        <w:numPr>
          <w:ilvl w:val="0"/>
          <w:numId w:val="2"/>
        </w:numPr>
        <w:spacing w:before="120" w:after="120"/>
        <w:jc w:val="both"/>
      </w:pPr>
      <w:r w:rsidRPr="00C67AFF">
        <w:t>Spring and Wire Product Manufacturing (2291)</w:t>
      </w:r>
    </w:p>
    <w:p w14:paraId="326701F6" w14:textId="77777777" w:rsidR="00113DB0" w:rsidRPr="00C67AFF" w:rsidRDefault="00113DB0" w:rsidP="00B804DB">
      <w:pPr>
        <w:numPr>
          <w:ilvl w:val="0"/>
          <w:numId w:val="2"/>
        </w:numPr>
        <w:spacing w:before="120" w:after="120"/>
        <w:jc w:val="both"/>
      </w:pPr>
      <w:r w:rsidRPr="00C67AFF">
        <w:t xml:space="preserve">Other Fabricated Metal Product Manufacturing </w:t>
      </w:r>
      <w:proofErr w:type="spellStart"/>
      <w:r w:rsidRPr="00C67AFF">
        <w:t>n.e.c</w:t>
      </w:r>
      <w:proofErr w:type="spellEnd"/>
      <w:r w:rsidRPr="00C67AFF">
        <w:t>. (2299)</w:t>
      </w:r>
    </w:p>
    <w:p w14:paraId="34C30CF0" w14:textId="4256FF16" w:rsidR="00113DB0" w:rsidRDefault="00113DB0" w:rsidP="00B804DB">
      <w:pPr>
        <w:spacing w:before="120" w:after="120"/>
        <w:jc w:val="both"/>
      </w:pPr>
      <w:r w:rsidRPr="00C67AFF">
        <w:t>These categories represent the Commission’s best estimate of those AN</w:t>
      </w:r>
      <w:r>
        <w:t>ZS</w:t>
      </w:r>
      <w:r w:rsidRPr="00C67AFF">
        <w:t xml:space="preserve">IC classes that include steel </w:t>
      </w:r>
      <w:r w:rsidR="00514C5C">
        <w:t xml:space="preserve">fabricated </w:t>
      </w:r>
      <w:r w:rsidRPr="00C67AFF">
        <w:t xml:space="preserve">products. However, as the subdivision covers </w:t>
      </w:r>
      <w:r w:rsidR="00525DE1">
        <w:t>‘</w:t>
      </w:r>
      <w:r w:rsidRPr="00C67AFF">
        <w:t>fabricated metal</w:t>
      </w:r>
      <w:r w:rsidR="00525DE1">
        <w:t>’</w:t>
      </w:r>
      <w:r>
        <w:t>,</w:t>
      </w:r>
      <w:r w:rsidRPr="00C67AFF">
        <w:t xml:space="preserve"> some categories include both steel and other </w:t>
      </w:r>
      <w:r>
        <w:t>metal</w:t>
      </w:r>
      <w:r w:rsidRPr="00C67AFF">
        <w:t xml:space="preserve"> products. For example, </w:t>
      </w:r>
      <w:r>
        <w:t xml:space="preserve">the </w:t>
      </w:r>
      <w:r w:rsidRPr="00C67AFF">
        <w:t>category ‘prefabricated metal building manufacturing’ (2222) includes ‘prefabricated metal or metal framed buildings (</w:t>
      </w:r>
      <w:proofErr w:type="spellStart"/>
      <w:r w:rsidRPr="00C67AFF">
        <w:t>excl</w:t>
      </w:r>
      <w:proofErr w:type="spellEnd"/>
      <w:r w:rsidRPr="00C67AFF">
        <w:t xml:space="preserve"> aluminium) and other transportable buildings’ (22220010) and ‘aluminium or aluminium framed prefabricated buildings’ (22220020). </w:t>
      </w:r>
    </w:p>
    <w:p w14:paraId="39D43379" w14:textId="3FE35970" w:rsidR="00113DB0" w:rsidRDefault="00525DE1" w:rsidP="00B804DB">
      <w:pPr>
        <w:spacing w:before="120" w:after="120"/>
        <w:jc w:val="both"/>
      </w:pPr>
      <w:r w:rsidRPr="00F43C4B">
        <w:t>Note also</w:t>
      </w:r>
      <w:r>
        <w:t xml:space="preserve"> that ANZSIC class 2293 ‘</w:t>
      </w:r>
      <w:r w:rsidR="00C5497C">
        <w:t>m</w:t>
      </w:r>
      <w:r>
        <w:t xml:space="preserve">etal </w:t>
      </w:r>
      <w:r w:rsidR="00C5497C">
        <w:t>c</w:t>
      </w:r>
      <w:r>
        <w:t xml:space="preserve">oating and </w:t>
      </w:r>
      <w:r w:rsidR="00C5497C">
        <w:t>f</w:t>
      </w:r>
      <w:r>
        <w:t>inishing’ is excluded as units engaged in this class are generally subcontractors for fabricators (that is, they provide a service, rather than manufacture a product).</w:t>
      </w:r>
    </w:p>
    <w:p w14:paraId="1CC76C18" w14:textId="43EDE4A0" w:rsidR="00AA273C" w:rsidRPr="00AA273C" w:rsidRDefault="00AA273C" w:rsidP="00B804DB">
      <w:pPr>
        <w:spacing w:before="120" w:after="120"/>
        <w:jc w:val="both"/>
        <w:sectPr w:rsidR="00AA273C" w:rsidRPr="00AA273C" w:rsidSect="00443357">
          <w:pgSz w:w="11907" w:h="16839" w:code="9"/>
          <w:pgMar w:top="1440" w:right="1440" w:bottom="1134" w:left="1440" w:header="708" w:footer="708" w:gutter="0"/>
          <w:cols w:space="708"/>
          <w:docGrid w:linePitch="360"/>
        </w:sectPr>
      </w:pPr>
      <w:r w:rsidRPr="006744B1">
        <w:t xml:space="preserve">The Commission recognises that the definition of what constitutes a </w:t>
      </w:r>
      <w:r w:rsidR="00514C5C">
        <w:t xml:space="preserve">steel </w:t>
      </w:r>
      <w:r w:rsidRPr="006744B1">
        <w:t xml:space="preserve">fabricated product can vary. </w:t>
      </w:r>
      <w:r w:rsidR="007E574F" w:rsidRPr="006744B1">
        <w:t>F</w:t>
      </w:r>
      <w:r w:rsidRPr="006744B1">
        <w:t xml:space="preserve">or consistency with the available data produced by the ABS, the Commission has adopted the definition of </w:t>
      </w:r>
      <w:r w:rsidR="00514C5C">
        <w:t xml:space="preserve">steel </w:t>
      </w:r>
      <w:r w:rsidRPr="006744B1">
        <w:t>fabricatin</w:t>
      </w:r>
      <w:r w:rsidR="00514C5C">
        <w:t>g</w:t>
      </w:r>
      <w:r w:rsidRPr="006744B1">
        <w:t xml:space="preserve"> used by the ABS. </w:t>
      </w:r>
      <w:r w:rsidR="000E00AB" w:rsidRPr="006744B1">
        <w:t>This may result in a broader</w:t>
      </w:r>
      <w:r w:rsidR="00514C5C">
        <w:t xml:space="preserve"> or narrower</w:t>
      </w:r>
      <w:r w:rsidR="000E00AB" w:rsidRPr="006744B1">
        <w:t xml:space="preserve"> definition of </w:t>
      </w:r>
      <w:r w:rsidR="00514C5C">
        <w:t xml:space="preserve">steel fabricated products </w:t>
      </w:r>
      <w:r w:rsidR="000E00AB" w:rsidRPr="006744B1">
        <w:t xml:space="preserve">than is commonly </w:t>
      </w:r>
      <w:r w:rsidR="00514C5C">
        <w:t>used</w:t>
      </w:r>
      <w:r w:rsidR="000E00AB" w:rsidRPr="006744B1">
        <w:t xml:space="preserve"> in some parts of the Australian industry. </w:t>
      </w:r>
      <w:r w:rsidR="007E574F" w:rsidRPr="006744B1">
        <w:t xml:space="preserve">Due to data limitations, some products that are not fabricated could potentially be captured in the data, despite the Commission’s efforts to exclude </w:t>
      </w:r>
      <w:r w:rsidR="00514C5C">
        <w:t>such</w:t>
      </w:r>
      <w:r w:rsidR="007E574F" w:rsidRPr="006744B1">
        <w:t xml:space="preserve"> products to the extent possible given those limitations.</w:t>
      </w:r>
    </w:p>
    <w:p w14:paraId="298AA4F8" w14:textId="3995BEA8" w:rsidR="00113DB0" w:rsidRDefault="00113DB0" w:rsidP="00113DB0">
      <w:pPr>
        <w:pStyle w:val="Heading1"/>
        <w:spacing w:after="360"/>
        <w:ind w:left="431" w:hanging="431"/>
        <w:rPr>
          <w:sz w:val="32"/>
          <w:szCs w:val="32"/>
        </w:rPr>
      </w:pPr>
      <w:bookmarkStart w:id="26" w:name="_Toc487532390"/>
      <w:r w:rsidRPr="00D84E7B">
        <w:rPr>
          <w:sz w:val="32"/>
          <w:szCs w:val="32"/>
        </w:rPr>
        <w:t>Demand for steel fabricated products</w:t>
      </w:r>
      <w:bookmarkEnd w:id="26"/>
      <w:r w:rsidRPr="00D84E7B">
        <w:rPr>
          <w:sz w:val="32"/>
          <w:szCs w:val="32"/>
        </w:rPr>
        <w:t xml:space="preserve"> </w:t>
      </w:r>
      <w:bookmarkEnd w:id="21"/>
    </w:p>
    <w:p w14:paraId="46E7862D" w14:textId="77777777" w:rsidR="00113DB0" w:rsidRDefault="00113DB0" w:rsidP="00113DB0">
      <w:pPr>
        <w:pBdr>
          <w:top w:val="single" w:sz="4" w:space="1" w:color="auto"/>
          <w:left w:val="single" w:sz="4" w:space="4" w:color="auto"/>
          <w:bottom w:val="single" w:sz="4" w:space="1" w:color="auto"/>
          <w:right w:val="single" w:sz="4" w:space="4" w:color="auto"/>
        </w:pBdr>
        <w:shd w:val="clear" w:color="auto" w:fill="D9E2F3" w:themeFill="accent5" w:themeFillTint="33"/>
        <w:spacing w:after="120"/>
        <w:rPr>
          <w:b/>
        </w:rPr>
      </w:pPr>
      <w:r>
        <w:rPr>
          <w:b/>
        </w:rPr>
        <w:t>Key points</w:t>
      </w:r>
    </w:p>
    <w:p w14:paraId="3B133C26" w14:textId="4834B5A1" w:rsidR="00113DB0" w:rsidRDefault="00113DB0" w:rsidP="00EE27F1">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Three industries—the </w:t>
      </w:r>
      <w:r w:rsidR="00D41A11">
        <w:t>c</w:t>
      </w:r>
      <w:r>
        <w:t xml:space="preserve">onstruction, </w:t>
      </w:r>
      <w:r w:rsidR="00D41A11">
        <w:t>m</w:t>
      </w:r>
      <w:r>
        <w:t xml:space="preserve">anufacturing and </w:t>
      </w:r>
      <w:r w:rsidR="00D41A11">
        <w:t>m</w:t>
      </w:r>
      <w:r>
        <w:t xml:space="preserve">ining industries—are the main consumers of steel </w:t>
      </w:r>
      <w:r w:rsidR="00693C28">
        <w:t xml:space="preserve">fabricated </w:t>
      </w:r>
      <w:r>
        <w:t xml:space="preserve">products, comprising almost 90 per cent of demand for these products. </w:t>
      </w:r>
    </w:p>
    <w:p w14:paraId="6BF74270" w14:textId="7074525E" w:rsidR="00113DB0" w:rsidRDefault="00113DB0" w:rsidP="00EE27F1">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These industries demand a wide variety of steel </w:t>
      </w:r>
      <w:r w:rsidR="00693C28">
        <w:t xml:space="preserve">fabricated </w:t>
      </w:r>
      <w:r>
        <w:t xml:space="preserve">products for a diverse range of uses. The performance of the steel </w:t>
      </w:r>
      <w:r w:rsidR="00693C28">
        <w:t>fabricati</w:t>
      </w:r>
      <w:r w:rsidR="00EE27F1">
        <w:t>o</w:t>
      </w:r>
      <w:r w:rsidR="00693C28">
        <w:t xml:space="preserve">n </w:t>
      </w:r>
      <w:r>
        <w:t>industry as a whole, and of the diverse sectors within the industry, are driven, in large part, by changes in demand from these industries.</w:t>
      </w:r>
    </w:p>
    <w:p w14:paraId="07BCAB37" w14:textId="0441987C" w:rsidR="00113DB0" w:rsidRDefault="00113DB0" w:rsidP="00EE27F1">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The largest consumer of steel </w:t>
      </w:r>
      <w:r w:rsidR="00693C28">
        <w:t xml:space="preserve">fabricated </w:t>
      </w:r>
      <w:r>
        <w:t xml:space="preserve">products is the </w:t>
      </w:r>
      <w:r w:rsidR="00D41A11">
        <w:t>c</w:t>
      </w:r>
      <w:r>
        <w:t xml:space="preserve">onstruction industry, which accounts for half of total demand for these products in Australia. Strong growth in building construction, particularly residential construction, has led to strong demand for steel </w:t>
      </w:r>
      <w:r w:rsidR="00693C28">
        <w:t xml:space="preserve">fabricated </w:t>
      </w:r>
      <w:r>
        <w:t xml:space="preserve">products used in </w:t>
      </w:r>
      <w:r w:rsidR="00D83E13">
        <w:t>c</w:t>
      </w:r>
      <w:r>
        <w:t xml:space="preserve">onstruction and demand is expected to remain strong in the near future. In contrast, demand for steel </w:t>
      </w:r>
      <w:r w:rsidR="00693C28">
        <w:t xml:space="preserve">fabricated </w:t>
      </w:r>
      <w:r>
        <w:t xml:space="preserve">products used in engineering construction (typically for infrastructure) has fallen since the end of the investment phase of the mining boom, despite some offset from </w:t>
      </w:r>
      <w:r w:rsidR="00693C28">
        <w:t xml:space="preserve">a significant </w:t>
      </w:r>
      <w:r>
        <w:t>increase</w:t>
      </w:r>
      <w:r w:rsidR="00693C28">
        <w:t xml:space="preserve"> in</w:t>
      </w:r>
      <w:r>
        <w:t xml:space="preserve"> investment in transport infrastructure.</w:t>
      </w:r>
    </w:p>
    <w:p w14:paraId="6C011F71" w14:textId="5F256FE0" w:rsidR="00113DB0" w:rsidRDefault="00113DB0" w:rsidP="00EE27F1">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The </w:t>
      </w:r>
      <w:r w:rsidR="0036618A">
        <w:t>m</w:t>
      </w:r>
      <w:r>
        <w:t xml:space="preserve">anufacturing industry is the second largest consumer of steel </w:t>
      </w:r>
      <w:r w:rsidR="00693C28">
        <w:t xml:space="preserve">fabricated </w:t>
      </w:r>
      <w:r>
        <w:t>products. This industry</w:t>
      </w:r>
      <w:r w:rsidR="00826E08">
        <w:t>’s share of GDP has declined</w:t>
      </w:r>
      <w:r>
        <w:t xml:space="preserve"> </w:t>
      </w:r>
      <w:r w:rsidR="00826E08">
        <w:t>over an extended period</w:t>
      </w:r>
      <w:r>
        <w:t xml:space="preserve">, resulting in lower overall demand for steel </w:t>
      </w:r>
      <w:r w:rsidR="00693C28">
        <w:t xml:space="preserve">fabricated </w:t>
      </w:r>
      <w:r>
        <w:t xml:space="preserve">products used in </w:t>
      </w:r>
      <w:r w:rsidR="00693C28">
        <w:t xml:space="preserve">the </w:t>
      </w:r>
      <w:r w:rsidR="0036618A">
        <w:t>m</w:t>
      </w:r>
      <w:r>
        <w:t>anufacturing</w:t>
      </w:r>
      <w:r w:rsidR="00693C28">
        <w:t xml:space="preserve"> industry</w:t>
      </w:r>
      <w:r>
        <w:t>.</w:t>
      </w:r>
    </w:p>
    <w:p w14:paraId="02201051" w14:textId="083B471A" w:rsidR="00113DB0" w:rsidRDefault="00113DB0" w:rsidP="00EE27F1">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In the mining industry, which is the third largest consumer of steel </w:t>
      </w:r>
      <w:r w:rsidR="00693C28">
        <w:t xml:space="preserve">fabricated </w:t>
      </w:r>
      <w:r>
        <w:t xml:space="preserve">products, demand increased significantly during the </w:t>
      </w:r>
      <w:r w:rsidRPr="003C2C20">
        <w:t>investment phase of the mining boom</w:t>
      </w:r>
      <w:r>
        <w:t xml:space="preserve"> and has fallen significantly since the end of this phase in 2012. Capital expenditure in the industry has fallen back to close to its long-term average, with the prospect of further decline in the near term.</w:t>
      </w:r>
    </w:p>
    <w:p w14:paraId="231E9406" w14:textId="7727C143" w:rsidR="00113DB0" w:rsidRDefault="00113DB0" w:rsidP="00EE27F1">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While these overall trends in the three largest consumers of steel </w:t>
      </w:r>
      <w:r w:rsidR="00693C28">
        <w:t xml:space="preserve">fabricated </w:t>
      </w:r>
      <w:r>
        <w:t xml:space="preserve">products are important drivers of demand for these products, certain sectors of the steel </w:t>
      </w:r>
      <w:r w:rsidR="00693C28">
        <w:t>fabricati</w:t>
      </w:r>
      <w:r w:rsidR="00EE27F1">
        <w:t>o</w:t>
      </w:r>
      <w:r w:rsidR="00693C28">
        <w:t xml:space="preserve">n </w:t>
      </w:r>
      <w:r>
        <w:t xml:space="preserve">industry produce specialised products that have more specific demand drivers. This chapter includes a detailed description of selected sectors of the steel </w:t>
      </w:r>
      <w:r w:rsidR="008C373C">
        <w:t>fabricati</w:t>
      </w:r>
      <w:r w:rsidR="00EE27F1">
        <w:t>o</w:t>
      </w:r>
      <w:r w:rsidR="008C373C">
        <w:t xml:space="preserve">n </w:t>
      </w:r>
      <w:r>
        <w:t xml:space="preserve">industry to give a fuller picture of the diversity of the industry and its demand drivers. </w:t>
      </w:r>
    </w:p>
    <w:p w14:paraId="67215E2E" w14:textId="2D0940B3" w:rsidR="00113DB0" w:rsidRDefault="00113DB0" w:rsidP="00EE27F1">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Australia’s exports of selected steel </w:t>
      </w:r>
      <w:r w:rsidR="008C373C">
        <w:t xml:space="preserve">fabricated </w:t>
      </w:r>
      <w:r>
        <w:t>products reached a ten year high of $288 million in 2016. Exports are concentrated in two major products groups—structures and parts of structures, and metal fasteners. Indonesia and New Zealand are the major export markets for these products.</w:t>
      </w:r>
    </w:p>
    <w:p w14:paraId="0626FDCE" w14:textId="1A6C8230" w:rsidR="004C76CB" w:rsidRDefault="004C76CB" w:rsidP="00EE27F1">
      <w:pPr>
        <w:pStyle w:val="ListParagraph"/>
        <w:numPr>
          <w:ilvl w:val="0"/>
          <w:numId w:val="9"/>
        </w:numPr>
        <w:pBdr>
          <w:top w:val="single" w:sz="4" w:space="1" w:color="auto"/>
          <w:left w:val="single" w:sz="4" w:space="4" w:color="auto"/>
          <w:bottom w:val="single" w:sz="4" w:space="1" w:color="auto"/>
          <w:right w:val="single" w:sz="4" w:space="4" w:color="auto"/>
        </w:pBdr>
        <w:shd w:val="clear" w:color="auto" w:fill="D9E2F3" w:themeFill="accent5" w:themeFillTint="33"/>
        <w:spacing w:after="120"/>
        <w:ind w:left="357" w:hanging="357"/>
        <w:contextualSpacing w:val="0"/>
        <w:jc w:val="both"/>
      </w:pPr>
      <w:r>
        <w:t xml:space="preserve">Import penetration varies across the </w:t>
      </w:r>
      <w:r w:rsidRPr="004808AC">
        <w:t xml:space="preserve">steel </w:t>
      </w:r>
      <w:r>
        <w:t xml:space="preserve">fabricated </w:t>
      </w:r>
      <w:r w:rsidRPr="004808AC">
        <w:t>industry</w:t>
      </w:r>
      <w:r>
        <w:t>. While the market share of imports is high in some sectors, other sectors have some degree of natural import protection because their products are bulky and expensive to transport or have customised design requirements.</w:t>
      </w:r>
    </w:p>
    <w:p w14:paraId="20E37B50" w14:textId="77777777" w:rsidR="00113DB0" w:rsidRDefault="00113DB0" w:rsidP="00113DB0"/>
    <w:p w14:paraId="51FE7DBC" w14:textId="3E1E4C2F" w:rsidR="00113DB0" w:rsidRDefault="00113DB0" w:rsidP="00EE27F1">
      <w:pPr>
        <w:spacing w:before="120" w:after="120"/>
        <w:jc w:val="both"/>
      </w:pPr>
      <w:r>
        <w:t xml:space="preserve">This chapter identifies the main sources of demand for steel </w:t>
      </w:r>
      <w:r w:rsidR="008C373C">
        <w:t xml:space="preserve">fabricated </w:t>
      </w:r>
      <w:r>
        <w:t xml:space="preserve">products and describes trends in demand from the three main industries that use steel </w:t>
      </w:r>
      <w:r w:rsidR="008C373C">
        <w:t xml:space="preserve">fabricated </w:t>
      </w:r>
      <w:r>
        <w:t xml:space="preserve">products. Changes in demand in these industries will affect different sectors </w:t>
      </w:r>
      <w:r w:rsidRPr="00E55392">
        <w:t xml:space="preserve">of the steel </w:t>
      </w:r>
      <w:r w:rsidR="008C373C">
        <w:t xml:space="preserve">fabricated </w:t>
      </w:r>
      <w:r w:rsidRPr="00E55392">
        <w:t>industry</w:t>
      </w:r>
      <w:r>
        <w:t xml:space="preserve"> differently, depending on the products made by the various sectors (which, as noted in chapter 2, are diverse) and which industry or parts of an industry are the main users of those products.</w:t>
      </w:r>
    </w:p>
    <w:p w14:paraId="2B2A6EB0" w14:textId="3E5915FB" w:rsidR="00113DB0" w:rsidRDefault="00113DB0" w:rsidP="00EE27F1">
      <w:pPr>
        <w:spacing w:before="120" w:after="120"/>
        <w:jc w:val="both"/>
      </w:pPr>
      <w:r>
        <w:t xml:space="preserve">Section 3.1 of this chapter discusses trends in demand in the Australian </w:t>
      </w:r>
      <w:r w:rsidR="00D41A11">
        <w:t>c</w:t>
      </w:r>
      <w:r>
        <w:t xml:space="preserve">onstruction, </w:t>
      </w:r>
      <w:r w:rsidR="00D41A11">
        <w:t>m</w:t>
      </w:r>
      <w:r>
        <w:t xml:space="preserve">anufacturing and </w:t>
      </w:r>
      <w:r w:rsidR="00D41A11">
        <w:t>m</w:t>
      </w:r>
      <w:r>
        <w:t xml:space="preserve">ining industries. Section 3.2 briefly discusses demand from export markets for Australian steel </w:t>
      </w:r>
      <w:r w:rsidR="008C373C">
        <w:t xml:space="preserve">fabricated </w:t>
      </w:r>
      <w:r>
        <w:t xml:space="preserve">products. Section 3.3 provides more detailed information about trends in demand and performance of selected sectors of the steel </w:t>
      </w:r>
      <w:r w:rsidR="008C373C">
        <w:t>fabricati</w:t>
      </w:r>
      <w:r w:rsidR="00EE27F1">
        <w:t>o</w:t>
      </w:r>
      <w:r w:rsidR="008C373C">
        <w:t xml:space="preserve">n </w:t>
      </w:r>
      <w:r>
        <w:t>industry, highlighting the diversity of the industry and the demand drivers of its performance.</w:t>
      </w:r>
    </w:p>
    <w:p w14:paraId="15E5242A" w14:textId="77777777" w:rsidR="00693C28" w:rsidRPr="00D84E7B" w:rsidRDefault="00693C28" w:rsidP="00EE27F1">
      <w:pPr>
        <w:spacing w:before="120" w:after="120"/>
        <w:jc w:val="both"/>
      </w:pPr>
      <w:r>
        <w:t xml:space="preserve">The forecasts in this chapter were based on circumstances and </w:t>
      </w:r>
      <w:r w:rsidRPr="00693C28">
        <w:t xml:space="preserve">available </w:t>
      </w:r>
      <w:r>
        <w:t xml:space="preserve">information at the time of writing this report, which are subject to change. </w:t>
      </w:r>
    </w:p>
    <w:p w14:paraId="12A92B03" w14:textId="52784728" w:rsidR="00113DB0" w:rsidRDefault="00113DB0" w:rsidP="00113DB0">
      <w:pPr>
        <w:pStyle w:val="Heading2"/>
      </w:pPr>
      <w:bookmarkStart w:id="27" w:name="_Toc487532391"/>
      <w:r>
        <w:t xml:space="preserve">Drivers of demand for steel </w:t>
      </w:r>
      <w:r w:rsidR="008C373C">
        <w:t xml:space="preserve">fabricated </w:t>
      </w:r>
      <w:r>
        <w:t>products</w:t>
      </w:r>
      <w:bookmarkEnd w:id="27"/>
    </w:p>
    <w:p w14:paraId="7EE3DE10" w14:textId="2C5890FC" w:rsidR="00113DB0" w:rsidRPr="00F05A66" w:rsidRDefault="00113DB0" w:rsidP="00113DB0">
      <w:pPr>
        <w:pStyle w:val="Heading3"/>
        <w:spacing w:after="120"/>
      </w:pPr>
      <w:bookmarkStart w:id="28" w:name="_Toc487532392"/>
      <w:r>
        <w:t>Trends in d</w:t>
      </w:r>
      <w:r w:rsidRPr="00F05A66">
        <w:t xml:space="preserve">emand for steel </w:t>
      </w:r>
      <w:r w:rsidR="008C373C">
        <w:t xml:space="preserve">fabricated </w:t>
      </w:r>
      <w:r w:rsidRPr="00F05A66">
        <w:t>products in Australia</w:t>
      </w:r>
      <w:bookmarkEnd w:id="28"/>
    </w:p>
    <w:p w14:paraId="06CB1310" w14:textId="472CBA7F" w:rsidR="00113DB0" w:rsidRPr="002F4183" w:rsidRDefault="00113DB0" w:rsidP="00EE27F1">
      <w:pPr>
        <w:spacing w:before="120" w:after="120"/>
        <w:jc w:val="both"/>
      </w:pPr>
      <w:r w:rsidRPr="002F4183">
        <w:t>In Australia</w:t>
      </w:r>
      <w:r>
        <w:t>, about</w:t>
      </w:r>
      <w:r w:rsidRPr="002F4183">
        <w:t xml:space="preserve"> </w:t>
      </w:r>
      <w:r>
        <w:t>88</w:t>
      </w:r>
      <w:r w:rsidRPr="002F4183">
        <w:t xml:space="preserve"> per cent of steel </w:t>
      </w:r>
      <w:r w:rsidR="008C373C">
        <w:t xml:space="preserve">fabricated </w:t>
      </w:r>
      <w:r w:rsidRPr="002F4183">
        <w:t>products are purchased by three industries. These are:</w:t>
      </w:r>
    </w:p>
    <w:p w14:paraId="37A6FB0B" w14:textId="77777777" w:rsidR="00113DB0" w:rsidRPr="002F4183" w:rsidRDefault="00D41A11" w:rsidP="00EE27F1">
      <w:pPr>
        <w:numPr>
          <w:ilvl w:val="0"/>
          <w:numId w:val="10"/>
        </w:numPr>
        <w:spacing w:before="120" w:after="120"/>
        <w:jc w:val="both"/>
      </w:pPr>
      <w:r>
        <w:t>c</w:t>
      </w:r>
      <w:r w:rsidR="00113DB0">
        <w:t>onstruction</w:t>
      </w:r>
      <w:r w:rsidR="00113DB0" w:rsidRPr="002F4183">
        <w:t xml:space="preserve"> </w:t>
      </w:r>
      <w:r w:rsidR="00113DB0">
        <w:t>(50.3</w:t>
      </w:r>
      <w:r w:rsidR="00113DB0" w:rsidRPr="002F4183">
        <w:t xml:space="preserve"> per cent)</w:t>
      </w:r>
    </w:p>
    <w:p w14:paraId="1BF9B19C" w14:textId="77777777" w:rsidR="00113DB0" w:rsidRPr="002F4183" w:rsidRDefault="00D41A11" w:rsidP="00EE27F1">
      <w:pPr>
        <w:numPr>
          <w:ilvl w:val="0"/>
          <w:numId w:val="10"/>
        </w:numPr>
        <w:spacing w:before="120" w:after="120"/>
        <w:jc w:val="both"/>
      </w:pPr>
      <w:r>
        <w:t>m</w:t>
      </w:r>
      <w:r w:rsidR="00113DB0">
        <w:t>anufacturing</w:t>
      </w:r>
      <w:r w:rsidR="00113DB0" w:rsidRPr="002F4183">
        <w:t xml:space="preserve"> (</w:t>
      </w:r>
      <w:r w:rsidR="00113DB0">
        <w:t>20.5</w:t>
      </w:r>
      <w:r w:rsidR="00113DB0" w:rsidRPr="002F4183">
        <w:t xml:space="preserve"> per cent)</w:t>
      </w:r>
    </w:p>
    <w:p w14:paraId="551F74A1" w14:textId="77777777" w:rsidR="00113DB0" w:rsidRPr="002F4183" w:rsidRDefault="00D41A11" w:rsidP="00EE27F1">
      <w:pPr>
        <w:numPr>
          <w:ilvl w:val="0"/>
          <w:numId w:val="10"/>
        </w:numPr>
        <w:spacing w:before="120" w:after="120"/>
        <w:jc w:val="both"/>
      </w:pPr>
      <w:proofErr w:type="gramStart"/>
      <w:r>
        <w:t>m</w:t>
      </w:r>
      <w:r w:rsidR="00113DB0">
        <w:t>ining</w:t>
      </w:r>
      <w:proofErr w:type="gramEnd"/>
      <w:r w:rsidR="00113DB0" w:rsidRPr="002F4183">
        <w:t xml:space="preserve"> (</w:t>
      </w:r>
      <w:r w:rsidR="00113DB0">
        <w:t>17.2</w:t>
      </w:r>
      <w:r w:rsidR="00113DB0" w:rsidRPr="002F4183">
        <w:t xml:space="preserve"> per cent)</w:t>
      </w:r>
      <w:r w:rsidR="00113DB0">
        <w:t>.</w:t>
      </w:r>
    </w:p>
    <w:p w14:paraId="32CA1EDA" w14:textId="1C216DB0" w:rsidR="00113DB0" w:rsidRPr="002F4183" w:rsidRDefault="00113DB0" w:rsidP="00EE27F1">
      <w:pPr>
        <w:spacing w:before="120" w:after="120"/>
        <w:jc w:val="both"/>
      </w:pPr>
      <w:r w:rsidRPr="002F4183">
        <w:t>Combined</w:t>
      </w:r>
      <w:r>
        <w:t>,</w:t>
      </w:r>
      <w:r w:rsidRPr="002F4183">
        <w:t xml:space="preserve"> these industries purchased $1</w:t>
      </w:r>
      <w:r>
        <w:t>1</w:t>
      </w:r>
      <w:r w:rsidRPr="002F4183">
        <w:t>.</w:t>
      </w:r>
      <w:r>
        <w:t>6</w:t>
      </w:r>
      <w:r w:rsidRPr="002F4183">
        <w:t xml:space="preserve"> billion of steel </w:t>
      </w:r>
      <w:r w:rsidR="008C373C">
        <w:t xml:space="preserve">fabricated </w:t>
      </w:r>
      <w:r>
        <w:t>products</w:t>
      </w:r>
      <w:r w:rsidRPr="002F4183">
        <w:t xml:space="preserve"> in 201</w:t>
      </w:r>
      <w:r>
        <w:t>3</w:t>
      </w:r>
      <w:r>
        <w:noBreakHyphen/>
      </w:r>
      <w:r w:rsidRPr="002F4183">
        <w:t>1</w:t>
      </w:r>
      <w:r>
        <w:t>4</w:t>
      </w:r>
      <w:r w:rsidRPr="002F4183">
        <w:t xml:space="preserve">. Table </w:t>
      </w:r>
      <w:r w:rsidR="00A969AD">
        <w:t>3</w:t>
      </w:r>
      <w:r w:rsidRPr="002F4183">
        <w:t xml:space="preserve">.1 presents </w:t>
      </w:r>
      <w:r>
        <w:t xml:space="preserve">more </w:t>
      </w:r>
      <w:r w:rsidRPr="002F4183">
        <w:t xml:space="preserve">information on the </w:t>
      </w:r>
      <w:r>
        <w:t xml:space="preserve">three </w:t>
      </w:r>
      <w:r w:rsidRPr="002F4183">
        <w:t>major consumers of steel products</w:t>
      </w:r>
      <w:r>
        <w:t xml:space="preserve">. The consumption of </w:t>
      </w:r>
      <w:r w:rsidR="008C373C">
        <w:t xml:space="preserve">fabricated </w:t>
      </w:r>
      <w:r>
        <w:t xml:space="preserve">steel across the </w:t>
      </w:r>
      <w:r w:rsidR="00D41A11">
        <w:t>c</w:t>
      </w:r>
      <w:r>
        <w:t xml:space="preserve">onstruction, </w:t>
      </w:r>
      <w:r w:rsidR="00D41A11">
        <w:t>m</w:t>
      </w:r>
      <w:r>
        <w:t xml:space="preserve">anufacturing and </w:t>
      </w:r>
      <w:r w:rsidR="00D41A11">
        <w:t>m</w:t>
      </w:r>
      <w:r>
        <w:t xml:space="preserve">ining industries are interrelated—growth in construction activity requires more </w:t>
      </w:r>
      <w:r w:rsidR="008C373C">
        <w:t xml:space="preserve">fabricated </w:t>
      </w:r>
      <w:r>
        <w:t xml:space="preserve">steel and manufactured goods, which require more mined materials, and more mining production requires more construction. </w:t>
      </w:r>
      <w:r w:rsidR="00A969AD">
        <w:t>M</w:t>
      </w:r>
      <w:r>
        <w:t xml:space="preserve">ining-related </w:t>
      </w:r>
      <w:r w:rsidR="00D41A11">
        <w:t>c</w:t>
      </w:r>
      <w:r>
        <w:t>onstruction can be up to half of engineering construction value.</w:t>
      </w:r>
    </w:p>
    <w:p w14:paraId="0F0E6D49" w14:textId="77777777" w:rsidR="00113DB0" w:rsidRPr="002F4183" w:rsidRDefault="00113DB0" w:rsidP="00113DB0">
      <w:pPr>
        <w:keepNext/>
        <w:keepLines/>
        <w:pBdr>
          <w:top w:val="single" w:sz="2" w:space="1" w:color="595A5B"/>
        </w:pBdr>
        <w:spacing w:before="36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Table </w:t>
      </w:r>
      <w:r>
        <w:rPr>
          <w:rFonts w:ascii="Arial" w:hAnsi="Arial"/>
          <w:bCs/>
          <w:color w:val="5B9BD5" w:themeColor="accent1"/>
          <w:sz w:val="18"/>
          <w:szCs w:val="18"/>
        </w:rPr>
        <w:t>3</w:t>
      </w:r>
      <w:r w:rsidRPr="002F4183">
        <w:rPr>
          <w:rFonts w:ascii="Arial" w:hAnsi="Arial"/>
          <w:bCs/>
          <w:color w:val="5B9BD5" w:themeColor="accent1"/>
          <w:sz w:val="18"/>
          <w:szCs w:val="18"/>
        </w:rPr>
        <w:t xml:space="preserve">.1: Top three industries purchasing steel </w:t>
      </w:r>
      <w:r w:rsidR="008C373C" w:rsidRPr="008C373C">
        <w:rPr>
          <w:rFonts w:ascii="Arial" w:hAnsi="Arial"/>
          <w:bCs/>
          <w:color w:val="5B9BD5" w:themeColor="accent1"/>
          <w:sz w:val="18"/>
          <w:szCs w:val="18"/>
        </w:rPr>
        <w:t xml:space="preserve">manufactured/fabricated </w:t>
      </w:r>
      <w:r w:rsidRPr="002F4183">
        <w:rPr>
          <w:rFonts w:ascii="Arial" w:hAnsi="Arial"/>
          <w:bCs/>
          <w:color w:val="5B9BD5" w:themeColor="accent1"/>
          <w:sz w:val="18"/>
          <w:szCs w:val="18"/>
        </w:rPr>
        <w:t>products by value, 201</w:t>
      </w:r>
      <w:r>
        <w:rPr>
          <w:rFonts w:ascii="Arial" w:hAnsi="Arial"/>
          <w:bCs/>
          <w:color w:val="5B9BD5" w:themeColor="accent1"/>
          <w:sz w:val="18"/>
          <w:szCs w:val="18"/>
        </w:rPr>
        <w:t>3</w:t>
      </w:r>
      <w:r w:rsidRPr="002F4183">
        <w:rPr>
          <w:rFonts w:ascii="Arial" w:hAnsi="Arial"/>
          <w:bCs/>
          <w:color w:val="5B9BD5" w:themeColor="accent1"/>
          <w:sz w:val="18"/>
          <w:szCs w:val="18"/>
        </w:rPr>
        <w:t>–1</w:t>
      </w:r>
      <w:r>
        <w:rPr>
          <w:rFonts w:ascii="Arial" w:hAnsi="Arial"/>
          <w:bCs/>
          <w:color w:val="5B9BD5" w:themeColor="accent1"/>
          <w:sz w:val="18"/>
          <w:szCs w:val="18"/>
        </w:rPr>
        <w:t>4</w:t>
      </w:r>
      <w:r w:rsidRPr="002F4183">
        <w:rPr>
          <w:rFonts w:ascii="Arial" w:hAnsi="Arial"/>
          <w:bCs/>
          <w:color w:val="5B9BD5" w:themeColor="accent1"/>
          <w:sz w:val="18"/>
          <w:szCs w:val="18"/>
        </w:rPr>
        <w:t xml:space="preserve"> </w:t>
      </w:r>
    </w:p>
    <w:tbl>
      <w:tblPr>
        <w:tblW w:w="9088" w:type="dxa"/>
        <w:tblInd w:w="108" w:type="dxa"/>
        <w:shd w:val="clear" w:color="auto" w:fill="DEEAF6" w:themeFill="accent1" w:themeFillTint="33"/>
        <w:tblLook w:val="04A0" w:firstRow="1" w:lastRow="0" w:firstColumn="1" w:lastColumn="0" w:noHBand="0" w:noVBand="1"/>
      </w:tblPr>
      <w:tblGrid>
        <w:gridCol w:w="3153"/>
        <w:gridCol w:w="2158"/>
        <w:gridCol w:w="1208"/>
        <w:gridCol w:w="1320"/>
        <w:gridCol w:w="1249"/>
      </w:tblGrid>
      <w:tr w:rsidR="00113DB0" w:rsidRPr="002F4183" w14:paraId="0F5130A2" w14:textId="77777777" w:rsidTr="00443357">
        <w:trPr>
          <w:trHeight w:val="250"/>
        </w:trPr>
        <w:tc>
          <w:tcPr>
            <w:tcW w:w="3153" w:type="dxa"/>
            <w:shd w:val="clear" w:color="auto" w:fill="5B9BD5" w:themeFill="accent1"/>
            <w:noWrap/>
            <w:vAlign w:val="bottom"/>
            <w:hideMark/>
          </w:tcPr>
          <w:p w14:paraId="37834610" w14:textId="77777777" w:rsidR="00113DB0" w:rsidRPr="002F4183" w:rsidRDefault="00113DB0" w:rsidP="00443357">
            <w:pPr>
              <w:keepNext/>
              <w:spacing w:before="120" w:after="120"/>
              <w:rPr>
                <w:rFonts w:ascii="Arial" w:hAnsi="Arial" w:cs="Arial"/>
                <w:i/>
                <w:color w:val="FFFFFF" w:themeColor="background1"/>
                <w:sz w:val="18"/>
                <w:szCs w:val="18"/>
              </w:rPr>
            </w:pPr>
            <w:r w:rsidRPr="002F4183">
              <w:rPr>
                <w:rFonts w:ascii="Arial" w:hAnsi="Arial" w:cs="Arial"/>
                <w:i/>
                <w:color w:val="FFFFFF" w:themeColor="background1"/>
                <w:sz w:val="18"/>
                <w:szCs w:val="18"/>
              </w:rPr>
              <w:t> Industry</w:t>
            </w:r>
          </w:p>
        </w:tc>
        <w:tc>
          <w:tcPr>
            <w:tcW w:w="1905" w:type="dxa"/>
            <w:shd w:val="clear" w:color="auto" w:fill="5B9BD5" w:themeFill="accent1"/>
            <w:vAlign w:val="bottom"/>
            <w:hideMark/>
          </w:tcPr>
          <w:p w14:paraId="4223A4A9" w14:textId="77777777" w:rsidR="00113DB0" w:rsidRPr="002F4183" w:rsidRDefault="00113DB0" w:rsidP="00443357">
            <w:pPr>
              <w:keepNext/>
              <w:spacing w:before="120" w:after="120"/>
              <w:jc w:val="right"/>
              <w:rPr>
                <w:rFonts w:ascii="Arial" w:hAnsi="Arial" w:cs="Arial"/>
                <w:i/>
                <w:color w:val="FFFFFF" w:themeColor="background1"/>
                <w:sz w:val="18"/>
                <w:szCs w:val="18"/>
              </w:rPr>
            </w:pPr>
            <w:r w:rsidRPr="002F4183">
              <w:rPr>
                <w:rFonts w:ascii="Arial" w:hAnsi="Arial" w:cs="Arial"/>
                <w:i/>
                <w:color w:val="FFFFFF" w:themeColor="background1"/>
                <w:sz w:val="18"/>
                <w:szCs w:val="18"/>
              </w:rPr>
              <w:t xml:space="preserve">Steel </w:t>
            </w:r>
            <w:r w:rsidR="008C373C" w:rsidRPr="008C373C">
              <w:rPr>
                <w:rFonts w:ascii="Arial" w:hAnsi="Arial" w:cs="Arial"/>
                <w:i/>
                <w:color w:val="FFFFFF" w:themeColor="background1"/>
                <w:sz w:val="18"/>
                <w:szCs w:val="18"/>
              </w:rPr>
              <w:t xml:space="preserve">manufactured/fabricated </w:t>
            </w:r>
            <w:r w:rsidRPr="002F4183">
              <w:rPr>
                <w:rFonts w:ascii="Arial" w:hAnsi="Arial" w:cs="Arial"/>
                <w:i/>
                <w:color w:val="FFFFFF" w:themeColor="background1"/>
                <w:sz w:val="18"/>
                <w:szCs w:val="18"/>
              </w:rPr>
              <w:t>supply ($ millions)</w:t>
            </w:r>
          </w:p>
        </w:tc>
        <w:tc>
          <w:tcPr>
            <w:tcW w:w="1297" w:type="dxa"/>
            <w:shd w:val="clear" w:color="auto" w:fill="5B9BD5" w:themeFill="accent1"/>
            <w:vAlign w:val="bottom"/>
            <w:hideMark/>
          </w:tcPr>
          <w:p w14:paraId="6C70C0DB" w14:textId="77777777" w:rsidR="00113DB0" w:rsidRPr="002F4183" w:rsidRDefault="00113DB0" w:rsidP="00443357">
            <w:pPr>
              <w:keepNext/>
              <w:spacing w:before="120" w:after="120"/>
              <w:jc w:val="right"/>
              <w:rPr>
                <w:rFonts w:ascii="Arial" w:hAnsi="Arial" w:cs="Arial"/>
                <w:i/>
                <w:color w:val="FFFFFF" w:themeColor="background1"/>
                <w:sz w:val="18"/>
                <w:szCs w:val="18"/>
              </w:rPr>
            </w:pPr>
            <w:r w:rsidRPr="002F4183">
              <w:rPr>
                <w:rFonts w:ascii="Arial" w:hAnsi="Arial" w:cs="Arial"/>
                <w:i/>
                <w:color w:val="FFFFFF" w:themeColor="background1"/>
                <w:sz w:val="18"/>
                <w:szCs w:val="18"/>
              </w:rPr>
              <w:t>Share of steel input (per cent)</w:t>
            </w:r>
          </w:p>
        </w:tc>
        <w:tc>
          <w:tcPr>
            <w:tcW w:w="1396" w:type="dxa"/>
            <w:shd w:val="clear" w:color="auto" w:fill="5B9BD5" w:themeFill="accent1"/>
            <w:vAlign w:val="bottom"/>
            <w:hideMark/>
          </w:tcPr>
          <w:p w14:paraId="3CA38D1E" w14:textId="77777777" w:rsidR="00113DB0" w:rsidRPr="002F4183" w:rsidRDefault="00113DB0" w:rsidP="00443357">
            <w:pPr>
              <w:keepNext/>
              <w:spacing w:before="120" w:after="120"/>
              <w:jc w:val="right"/>
              <w:rPr>
                <w:rFonts w:ascii="Arial" w:hAnsi="Arial" w:cs="Arial"/>
                <w:i/>
                <w:color w:val="FFFFFF" w:themeColor="background1"/>
                <w:sz w:val="18"/>
                <w:szCs w:val="18"/>
              </w:rPr>
            </w:pPr>
            <w:r w:rsidRPr="002F4183">
              <w:rPr>
                <w:rFonts w:ascii="Arial" w:hAnsi="Arial" w:cs="Arial"/>
                <w:i/>
                <w:color w:val="FFFFFF" w:themeColor="background1"/>
                <w:sz w:val="18"/>
                <w:szCs w:val="18"/>
              </w:rPr>
              <w:t>Import supply ($ millions)</w:t>
            </w:r>
          </w:p>
        </w:tc>
        <w:tc>
          <w:tcPr>
            <w:tcW w:w="1337" w:type="dxa"/>
            <w:shd w:val="clear" w:color="auto" w:fill="5B9BD5" w:themeFill="accent1"/>
            <w:vAlign w:val="bottom"/>
            <w:hideMark/>
          </w:tcPr>
          <w:p w14:paraId="69697F9A" w14:textId="77777777" w:rsidR="00113DB0" w:rsidRPr="002F4183" w:rsidRDefault="00113DB0" w:rsidP="00443357">
            <w:pPr>
              <w:keepNext/>
              <w:spacing w:before="120" w:after="120"/>
              <w:jc w:val="right"/>
              <w:rPr>
                <w:rFonts w:ascii="Arial" w:hAnsi="Arial" w:cs="Arial"/>
                <w:i/>
                <w:color w:val="FFFFFF" w:themeColor="background1"/>
                <w:sz w:val="18"/>
                <w:szCs w:val="18"/>
              </w:rPr>
            </w:pPr>
            <w:r w:rsidRPr="002F4183">
              <w:rPr>
                <w:rFonts w:ascii="Arial" w:hAnsi="Arial" w:cs="Arial"/>
                <w:i/>
                <w:color w:val="FFFFFF" w:themeColor="background1"/>
                <w:sz w:val="18"/>
                <w:szCs w:val="18"/>
              </w:rPr>
              <w:t xml:space="preserve">Import share of supply </w:t>
            </w:r>
            <w:r w:rsidRPr="002F4183">
              <w:rPr>
                <w:rFonts w:ascii="Arial" w:hAnsi="Arial" w:cs="Arial"/>
                <w:i/>
                <w:color w:val="FFFFFF" w:themeColor="background1"/>
                <w:sz w:val="18"/>
                <w:szCs w:val="18"/>
              </w:rPr>
              <w:br/>
              <w:t>(per cent)</w:t>
            </w:r>
          </w:p>
        </w:tc>
      </w:tr>
      <w:tr w:rsidR="00113DB0" w:rsidRPr="002F4183" w14:paraId="4240FD85" w14:textId="77777777" w:rsidTr="00443357">
        <w:trPr>
          <w:trHeight w:val="250"/>
        </w:trPr>
        <w:tc>
          <w:tcPr>
            <w:tcW w:w="3153" w:type="dxa"/>
            <w:shd w:val="clear" w:color="auto" w:fill="DEEAF6" w:themeFill="accent1" w:themeFillTint="33"/>
            <w:noWrap/>
            <w:vAlign w:val="center"/>
            <w:hideMark/>
          </w:tcPr>
          <w:p w14:paraId="38C369BB" w14:textId="77777777" w:rsidR="00113DB0" w:rsidRPr="002F4183" w:rsidRDefault="00113DB0" w:rsidP="00443357">
            <w:pPr>
              <w:keepNext/>
              <w:keepLines/>
              <w:spacing w:before="60" w:after="60"/>
              <w:rPr>
                <w:rFonts w:ascii="Arial" w:hAnsi="Arial" w:cs="Arial"/>
                <w:i/>
                <w:color w:val="595A5B"/>
                <w:sz w:val="18"/>
                <w:szCs w:val="18"/>
              </w:rPr>
            </w:pPr>
            <w:r w:rsidRPr="00FA1DCC">
              <w:rPr>
                <w:rFonts w:ascii="Arial" w:hAnsi="Arial" w:cs="Arial"/>
                <w:color w:val="595A5B"/>
                <w:sz w:val="18"/>
                <w:szCs w:val="18"/>
              </w:rPr>
              <w:t>Construction</w:t>
            </w:r>
          </w:p>
        </w:tc>
        <w:tc>
          <w:tcPr>
            <w:tcW w:w="1905" w:type="dxa"/>
            <w:shd w:val="clear" w:color="auto" w:fill="DEEAF6" w:themeFill="accent1" w:themeFillTint="33"/>
            <w:vAlign w:val="center"/>
            <w:hideMark/>
          </w:tcPr>
          <w:p w14:paraId="3BBBEB39"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6</w:t>
            </w:r>
            <w:r w:rsidRPr="002F4183">
              <w:rPr>
                <w:rFonts w:ascii="Arial" w:hAnsi="Arial" w:cs="Arial"/>
                <w:color w:val="595A5B"/>
                <w:sz w:val="18"/>
                <w:szCs w:val="18"/>
              </w:rPr>
              <w:t>,</w:t>
            </w:r>
            <w:r>
              <w:rPr>
                <w:rFonts w:ascii="Arial" w:hAnsi="Arial" w:cs="Arial"/>
                <w:color w:val="595A5B"/>
                <w:sz w:val="18"/>
                <w:szCs w:val="18"/>
              </w:rPr>
              <w:t>637</w:t>
            </w:r>
          </w:p>
        </w:tc>
        <w:tc>
          <w:tcPr>
            <w:tcW w:w="1297" w:type="dxa"/>
            <w:shd w:val="clear" w:color="auto" w:fill="DEEAF6" w:themeFill="accent1" w:themeFillTint="33"/>
            <w:vAlign w:val="center"/>
            <w:hideMark/>
          </w:tcPr>
          <w:p w14:paraId="333BBDB4"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50.2</w:t>
            </w:r>
          </w:p>
        </w:tc>
        <w:tc>
          <w:tcPr>
            <w:tcW w:w="1396" w:type="dxa"/>
            <w:shd w:val="clear" w:color="auto" w:fill="DEEAF6" w:themeFill="accent1" w:themeFillTint="33"/>
            <w:vAlign w:val="center"/>
            <w:hideMark/>
          </w:tcPr>
          <w:p w14:paraId="15E96D9F"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1</w:t>
            </w:r>
            <w:r w:rsidRPr="002F4183">
              <w:rPr>
                <w:rFonts w:ascii="Arial" w:hAnsi="Arial" w:cs="Arial"/>
                <w:color w:val="595A5B"/>
                <w:sz w:val="18"/>
                <w:szCs w:val="18"/>
              </w:rPr>
              <w:t>,</w:t>
            </w:r>
            <w:r>
              <w:rPr>
                <w:rFonts w:ascii="Arial" w:hAnsi="Arial" w:cs="Arial"/>
                <w:color w:val="595A5B"/>
                <w:sz w:val="18"/>
                <w:szCs w:val="18"/>
              </w:rPr>
              <w:t>742</w:t>
            </w:r>
          </w:p>
        </w:tc>
        <w:tc>
          <w:tcPr>
            <w:tcW w:w="1337" w:type="dxa"/>
            <w:shd w:val="clear" w:color="auto" w:fill="DEEAF6" w:themeFill="accent1" w:themeFillTint="33"/>
            <w:vAlign w:val="center"/>
            <w:hideMark/>
          </w:tcPr>
          <w:p w14:paraId="371F2E53" w14:textId="77777777" w:rsidR="00113DB0" w:rsidRPr="002F4183" w:rsidRDefault="00113DB0" w:rsidP="00443357">
            <w:pPr>
              <w:keepNext/>
              <w:keepLines/>
              <w:spacing w:before="60" w:after="60"/>
              <w:jc w:val="right"/>
              <w:rPr>
                <w:rFonts w:ascii="Arial" w:hAnsi="Arial" w:cs="Arial"/>
                <w:i/>
                <w:color w:val="595A5B"/>
                <w:sz w:val="18"/>
                <w:szCs w:val="18"/>
              </w:rPr>
            </w:pPr>
            <w:r w:rsidRPr="002F4183">
              <w:rPr>
                <w:rFonts w:ascii="Arial" w:hAnsi="Arial" w:cs="Arial"/>
                <w:color w:val="595A5B"/>
                <w:sz w:val="18"/>
                <w:szCs w:val="18"/>
              </w:rPr>
              <w:t>3</w:t>
            </w:r>
            <w:r>
              <w:rPr>
                <w:rFonts w:ascii="Arial" w:hAnsi="Arial" w:cs="Arial"/>
                <w:color w:val="595A5B"/>
                <w:sz w:val="18"/>
                <w:szCs w:val="18"/>
              </w:rPr>
              <w:t>0</w:t>
            </w:r>
            <w:r w:rsidRPr="002F4183">
              <w:rPr>
                <w:rFonts w:ascii="Arial" w:hAnsi="Arial" w:cs="Arial"/>
                <w:color w:val="595A5B"/>
                <w:sz w:val="18"/>
                <w:szCs w:val="18"/>
              </w:rPr>
              <w:t>.</w:t>
            </w:r>
            <w:r>
              <w:rPr>
                <w:rFonts w:ascii="Arial" w:hAnsi="Arial" w:cs="Arial"/>
                <w:color w:val="595A5B"/>
                <w:sz w:val="18"/>
                <w:szCs w:val="18"/>
              </w:rPr>
              <w:t>9</w:t>
            </w:r>
          </w:p>
        </w:tc>
      </w:tr>
      <w:tr w:rsidR="00113DB0" w:rsidRPr="002F4183" w14:paraId="7D73A2F3" w14:textId="77777777" w:rsidTr="00443357">
        <w:trPr>
          <w:trHeight w:val="250"/>
        </w:trPr>
        <w:tc>
          <w:tcPr>
            <w:tcW w:w="3153" w:type="dxa"/>
            <w:shd w:val="clear" w:color="auto" w:fill="DEEAF6" w:themeFill="accent1" w:themeFillTint="33"/>
            <w:noWrap/>
            <w:vAlign w:val="center"/>
            <w:hideMark/>
          </w:tcPr>
          <w:p w14:paraId="524AA936" w14:textId="77777777" w:rsidR="00113DB0" w:rsidRPr="002F4183" w:rsidRDefault="00113DB0" w:rsidP="00443357">
            <w:pPr>
              <w:keepNext/>
              <w:keepLines/>
              <w:spacing w:before="60" w:after="60"/>
              <w:rPr>
                <w:rFonts w:ascii="Arial" w:hAnsi="Arial" w:cs="Arial"/>
                <w:i/>
                <w:color w:val="595A5B"/>
                <w:sz w:val="18"/>
                <w:szCs w:val="18"/>
              </w:rPr>
            </w:pPr>
            <w:r w:rsidRPr="00FA1DCC">
              <w:rPr>
                <w:rFonts w:ascii="Arial" w:hAnsi="Arial" w:cs="Arial"/>
                <w:color w:val="595A5B"/>
                <w:sz w:val="18"/>
                <w:szCs w:val="18"/>
              </w:rPr>
              <w:t>Manufacturing</w:t>
            </w:r>
          </w:p>
        </w:tc>
        <w:tc>
          <w:tcPr>
            <w:tcW w:w="1905" w:type="dxa"/>
            <w:shd w:val="clear" w:color="auto" w:fill="DEEAF6" w:themeFill="accent1" w:themeFillTint="33"/>
            <w:vAlign w:val="center"/>
            <w:hideMark/>
          </w:tcPr>
          <w:p w14:paraId="154A6AEA"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2,699</w:t>
            </w:r>
          </w:p>
        </w:tc>
        <w:tc>
          <w:tcPr>
            <w:tcW w:w="1297" w:type="dxa"/>
            <w:shd w:val="clear" w:color="auto" w:fill="DEEAF6" w:themeFill="accent1" w:themeFillTint="33"/>
            <w:vAlign w:val="center"/>
            <w:hideMark/>
          </w:tcPr>
          <w:p w14:paraId="62F454DE"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20</w:t>
            </w:r>
            <w:r w:rsidRPr="002F4183">
              <w:rPr>
                <w:rFonts w:ascii="Arial" w:hAnsi="Arial" w:cs="Arial"/>
                <w:color w:val="595A5B"/>
                <w:sz w:val="18"/>
                <w:szCs w:val="18"/>
              </w:rPr>
              <w:t>.</w:t>
            </w:r>
            <w:r>
              <w:rPr>
                <w:rFonts w:ascii="Arial" w:hAnsi="Arial" w:cs="Arial"/>
                <w:color w:val="595A5B"/>
                <w:sz w:val="18"/>
                <w:szCs w:val="18"/>
              </w:rPr>
              <w:t>5</w:t>
            </w:r>
          </w:p>
        </w:tc>
        <w:tc>
          <w:tcPr>
            <w:tcW w:w="1396" w:type="dxa"/>
            <w:shd w:val="clear" w:color="auto" w:fill="DEEAF6" w:themeFill="accent1" w:themeFillTint="33"/>
            <w:vAlign w:val="center"/>
            <w:hideMark/>
          </w:tcPr>
          <w:p w14:paraId="5268BBE3"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540</w:t>
            </w:r>
          </w:p>
        </w:tc>
        <w:tc>
          <w:tcPr>
            <w:tcW w:w="1337" w:type="dxa"/>
            <w:shd w:val="clear" w:color="auto" w:fill="DEEAF6" w:themeFill="accent1" w:themeFillTint="33"/>
            <w:vAlign w:val="center"/>
            <w:hideMark/>
          </w:tcPr>
          <w:p w14:paraId="16FCDB3E"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35</w:t>
            </w:r>
            <w:r w:rsidRPr="002F4183">
              <w:rPr>
                <w:rFonts w:ascii="Arial" w:hAnsi="Arial" w:cs="Arial"/>
                <w:color w:val="595A5B"/>
                <w:sz w:val="18"/>
                <w:szCs w:val="18"/>
              </w:rPr>
              <w:t>.</w:t>
            </w:r>
            <w:r>
              <w:rPr>
                <w:rFonts w:ascii="Arial" w:hAnsi="Arial" w:cs="Arial"/>
                <w:color w:val="595A5B"/>
                <w:sz w:val="18"/>
                <w:szCs w:val="18"/>
              </w:rPr>
              <w:t>0</w:t>
            </w:r>
          </w:p>
        </w:tc>
      </w:tr>
      <w:tr w:rsidR="00113DB0" w:rsidRPr="002F4183" w14:paraId="750C91DE" w14:textId="77777777" w:rsidTr="00443357">
        <w:trPr>
          <w:trHeight w:val="250"/>
        </w:trPr>
        <w:tc>
          <w:tcPr>
            <w:tcW w:w="3153" w:type="dxa"/>
            <w:shd w:val="clear" w:color="auto" w:fill="DEEAF6" w:themeFill="accent1" w:themeFillTint="33"/>
            <w:noWrap/>
            <w:vAlign w:val="center"/>
            <w:hideMark/>
          </w:tcPr>
          <w:p w14:paraId="583F44C7" w14:textId="77777777" w:rsidR="00113DB0" w:rsidRPr="002F4183" w:rsidRDefault="00113DB0" w:rsidP="00443357">
            <w:pPr>
              <w:keepNext/>
              <w:keepLines/>
              <w:spacing w:before="60" w:after="60"/>
              <w:rPr>
                <w:rFonts w:ascii="Arial" w:hAnsi="Arial" w:cs="Arial"/>
                <w:i/>
                <w:color w:val="595A5B"/>
                <w:sz w:val="18"/>
                <w:szCs w:val="18"/>
              </w:rPr>
            </w:pPr>
            <w:r>
              <w:rPr>
                <w:rFonts w:ascii="Arial" w:hAnsi="Arial" w:cs="Arial"/>
                <w:color w:val="595A5B"/>
                <w:sz w:val="18"/>
                <w:szCs w:val="18"/>
              </w:rPr>
              <w:t>Mining</w:t>
            </w:r>
          </w:p>
        </w:tc>
        <w:tc>
          <w:tcPr>
            <w:tcW w:w="1905" w:type="dxa"/>
            <w:shd w:val="clear" w:color="auto" w:fill="DEEAF6" w:themeFill="accent1" w:themeFillTint="33"/>
            <w:vAlign w:val="center"/>
            <w:hideMark/>
          </w:tcPr>
          <w:p w14:paraId="0E3E73EB"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2,273</w:t>
            </w:r>
          </w:p>
        </w:tc>
        <w:tc>
          <w:tcPr>
            <w:tcW w:w="1297" w:type="dxa"/>
            <w:shd w:val="clear" w:color="auto" w:fill="DEEAF6" w:themeFill="accent1" w:themeFillTint="33"/>
            <w:vAlign w:val="center"/>
            <w:hideMark/>
          </w:tcPr>
          <w:p w14:paraId="0CF1A7E3"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17</w:t>
            </w:r>
            <w:r w:rsidRPr="002F4183">
              <w:rPr>
                <w:rFonts w:ascii="Arial" w:hAnsi="Arial" w:cs="Arial"/>
                <w:color w:val="595A5B"/>
                <w:sz w:val="18"/>
                <w:szCs w:val="18"/>
              </w:rPr>
              <w:t>.</w:t>
            </w:r>
            <w:r>
              <w:rPr>
                <w:rFonts w:ascii="Arial" w:hAnsi="Arial" w:cs="Arial"/>
                <w:color w:val="595A5B"/>
                <w:sz w:val="18"/>
                <w:szCs w:val="18"/>
              </w:rPr>
              <w:t>2</w:t>
            </w:r>
          </w:p>
        </w:tc>
        <w:tc>
          <w:tcPr>
            <w:tcW w:w="1396" w:type="dxa"/>
            <w:shd w:val="clear" w:color="auto" w:fill="DEEAF6" w:themeFill="accent1" w:themeFillTint="33"/>
            <w:vAlign w:val="center"/>
            <w:hideMark/>
          </w:tcPr>
          <w:p w14:paraId="2DC254B5"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608</w:t>
            </w:r>
          </w:p>
        </w:tc>
        <w:tc>
          <w:tcPr>
            <w:tcW w:w="1337" w:type="dxa"/>
            <w:shd w:val="clear" w:color="auto" w:fill="DEEAF6" w:themeFill="accent1" w:themeFillTint="33"/>
            <w:vAlign w:val="center"/>
            <w:hideMark/>
          </w:tcPr>
          <w:p w14:paraId="133861CC" w14:textId="77777777" w:rsidR="00113DB0" w:rsidRPr="002F4183" w:rsidRDefault="00113DB0" w:rsidP="00443357">
            <w:pPr>
              <w:keepNext/>
              <w:keepLines/>
              <w:spacing w:before="60" w:after="60"/>
              <w:jc w:val="right"/>
              <w:rPr>
                <w:rFonts w:ascii="Arial" w:hAnsi="Arial" w:cs="Arial"/>
                <w:i/>
                <w:color w:val="595A5B"/>
                <w:sz w:val="18"/>
                <w:szCs w:val="18"/>
              </w:rPr>
            </w:pPr>
            <w:r>
              <w:rPr>
                <w:rFonts w:ascii="Arial" w:hAnsi="Arial" w:cs="Arial"/>
                <w:color w:val="595A5B"/>
                <w:sz w:val="18"/>
                <w:szCs w:val="18"/>
              </w:rPr>
              <w:t>52</w:t>
            </w:r>
            <w:r w:rsidRPr="002F4183">
              <w:rPr>
                <w:rFonts w:ascii="Arial" w:hAnsi="Arial" w:cs="Arial"/>
                <w:color w:val="595A5B"/>
                <w:sz w:val="18"/>
                <w:szCs w:val="18"/>
              </w:rPr>
              <w:t>.</w:t>
            </w:r>
            <w:r>
              <w:rPr>
                <w:rFonts w:ascii="Arial" w:hAnsi="Arial" w:cs="Arial"/>
                <w:color w:val="595A5B"/>
                <w:sz w:val="18"/>
                <w:szCs w:val="18"/>
              </w:rPr>
              <w:t>8</w:t>
            </w:r>
          </w:p>
        </w:tc>
      </w:tr>
      <w:tr w:rsidR="00113DB0" w:rsidRPr="002F4183" w14:paraId="492AC758" w14:textId="77777777" w:rsidTr="00443357">
        <w:trPr>
          <w:trHeight w:val="250"/>
        </w:trPr>
        <w:tc>
          <w:tcPr>
            <w:tcW w:w="3153" w:type="dxa"/>
            <w:shd w:val="clear" w:color="auto" w:fill="DEEAF6" w:themeFill="accent1" w:themeFillTint="33"/>
            <w:noWrap/>
            <w:vAlign w:val="center"/>
            <w:hideMark/>
          </w:tcPr>
          <w:p w14:paraId="7E44EBC7" w14:textId="77777777" w:rsidR="00113DB0" w:rsidRPr="002F4183" w:rsidRDefault="00113DB0" w:rsidP="00443357">
            <w:pPr>
              <w:keepNext/>
              <w:keepLines/>
              <w:spacing w:before="60" w:after="60"/>
              <w:rPr>
                <w:rFonts w:ascii="Arial" w:hAnsi="Arial" w:cs="Arial"/>
                <w:b/>
                <w:i/>
                <w:color w:val="595A5B"/>
                <w:sz w:val="18"/>
                <w:szCs w:val="18"/>
              </w:rPr>
            </w:pPr>
            <w:r w:rsidRPr="002F4183">
              <w:rPr>
                <w:rFonts w:ascii="Arial" w:hAnsi="Arial" w:cs="Arial"/>
                <w:b/>
                <w:color w:val="595A5B"/>
                <w:sz w:val="18"/>
                <w:szCs w:val="18"/>
              </w:rPr>
              <w:t xml:space="preserve">Top three industries by value </w:t>
            </w:r>
          </w:p>
        </w:tc>
        <w:tc>
          <w:tcPr>
            <w:tcW w:w="1905" w:type="dxa"/>
            <w:shd w:val="clear" w:color="auto" w:fill="DEEAF6" w:themeFill="accent1" w:themeFillTint="33"/>
            <w:vAlign w:val="center"/>
            <w:hideMark/>
          </w:tcPr>
          <w:p w14:paraId="3516347E" w14:textId="77777777" w:rsidR="00113DB0" w:rsidRPr="002F4183" w:rsidRDefault="00113DB0" w:rsidP="00443357">
            <w:pPr>
              <w:keepNext/>
              <w:keepLines/>
              <w:spacing w:before="60" w:after="60"/>
              <w:jc w:val="right"/>
              <w:rPr>
                <w:rFonts w:ascii="Arial" w:hAnsi="Arial" w:cs="Arial"/>
                <w:b/>
                <w:i/>
                <w:color w:val="595A5B"/>
                <w:sz w:val="18"/>
                <w:szCs w:val="18"/>
              </w:rPr>
            </w:pPr>
            <w:r w:rsidRPr="002F4183">
              <w:rPr>
                <w:rFonts w:ascii="Arial" w:hAnsi="Arial" w:cs="Arial"/>
                <w:b/>
                <w:color w:val="595A5B"/>
                <w:sz w:val="18"/>
                <w:szCs w:val="18"/>
              </w:rPr>
              <w:t>1</w:t>
            </w:r>
            <w:r>
              <w:rPr>
                <w:rFonts w:ascii="Arial" w:hAnsi="Arial" w:cs="Arial"/>
                <w:b/>
                <w:color w:val="595A5B"/>
                <w:sz w:val="18"/>
                <w:szCs w:val="18"/>
              </w:rPr>
              <w:t>1</w:t>
            </w:r>
            <w:r w:rsidRPr="002F4183">
              <w:rPr>
                <w:rFonts w:ascii="Arial" w:hAnsi="Arial" w:cs="Arial"/>
                <w:b/>
                <w:color w:val="595A5B"/>
                <w:sz w:val="18"/>
                <w:szCs w:val="18"/>
              </w:rPr>
              <w:t>,</w:t>
            </w:r>
            <w:r>
              <w:rPr>
                <w:rFonts w:ascii="Arial" w:hAnsi="Arial" w:cs="Arial"/>
                <w:b/>
                <w:color w:val="595A5B"/>
                <w:sz w:val="18"/>
                <w:szCs w:val="18"/>
              </w:rPr>
              <w:t>609</w:t>
            </w:r>
          </w:p>
        </w:tc>
        <w:tc>
          <w:tcPr>
            <w:tcW w:w="1297" w:type="dxa"/>
            <w:shd w:val="clear" w:color="auto" w:fill="DEEAF6" w:themeFill="accent1" w:themeFillTint="33"/>
            <w:vAlign w:val="center"/>
            <w:hideMark/>
          </w:tcPr>
          <w:p w14:paraId="2FE8A1B6" w14:textId="77777777" w:rsidR="00113DB0" w:rsidRPr="002F4183" w:rsidRDefault="00113DB0" w:rsidP="00443357">
            <w:pPr>
              <w:keepNext/>
              <w:keepLines/>
              <w:spacing w:before="60" w:after="60"/>
              <w:jc w:val="right"/>
              <w:rPr>
                <w:rFonts w:ascii="Arial" w:hAnsi="Arial" w:cs="Arial"/>
                <w:b/>
                <w:i/>
                <w:color w:val="595A5B"/>
                <w:sz w:val="18"/>
                <w:szCs w:val="18"/>
              </w:rPr>
            </w:pPr>
            <w:r>
              <w:rPr>
                <w:rFonts w:ascii="Arial" w:hAnsi="Arial" w:cs="Arial"/>
                <w:b/>
                <w:color w:val="595A5B"/>
                <w:sz w:val="18"/>
                <w:szCs w:val="18"/>
              </w:rPr>
              <w:t>88</w:t>
            </w:r>
            <w:r w:rsidRPr="002F4183">
              <w:rPr>
                <w:rFonts w:ascii="Arial" w:hAnsi="Arial" w:cs="Arial"/>
                <w:b/>
                <w:color w:val="595A5B"/>
                <w:sz w:val="18"/>
                <w:szCs w:val="18"/>
              </w:rPr>
              <w:t>.</w:t>
            </w:r>
            <w:r>
              <w:rPr>
                <w:rFonts w:ascii="Arial" w:hAnsi="Arial" w:cs="Arial"/>
                <w:b/>
                <w:color w:val="595A5B"/>
                <w:sz w:val="18"/>
                <w:szCs w:val="18"/>
              </w:rPr>
              <w:t>0</w:t>
            </w:r>
          </w:p>
        </w:tc>
        <w:tc>
          <w:tcPr>
            <w:tcW w:w="1396" w:type="dxa"/>
            <w:shd w:val="clear" w:color="auto" w:fill="DEEAF6" w:themeFill="accent1" w:themeFillTint="33"/>
            <w:vAlign w:val="center"/>
            <w:hideMark/>
          </w:tcPr>
          <w:p w14:paraId="0A909817" w14:textId="77777777" w:rsidR="00113DB0" w:rsidRPr="002F4183" w:rsidRDefault="00113DB0" w:rsidP="00443357">
            <w:pPr>
              <w:keepNext/>
              <w:keepLines/>
              <w:spacing w:before="60" w:after="60"/>
              <w:jc w:val="right"/>
              <w:rPr>
                <w:rFonts w:ascii="Arial" w:hAnsi="Arial" w:cs="Arial"/>
                <w:b/>
                <w:i/>
                <w:color w:val="595A5B"/>
                <w:sz w:val="18"/>
                <w:szCs w:val="18"/>
              </w:rPr>
            </w:pPr>
            <w:r>
              <w:rPr>
                <w:rFonts w:ascii="Arial" w:hAnsi="Arial" w:cs="Arial"/>
                <w:b/>
                <w:color w:val="595A5B"/>
                <w:sz w:val="18"/>
                <w:szCs w:val="18"/>
              </w:rPr>
              <w:t>5</w:t>
            </w:r>
            <w:r w:rsidRPr="002F4183">
              <w:rPr>
                <w:rFonts w:ascii="Arial" w:hAnsi="Arial" w:cs="Arial"/>
                <w:b/>
                <w:color w:val="595A5B"/>
                <w:sz w:val="18"/>
                <w:szCs w:val="18"/>
              </w:rPr>
              <w:t>,</w:t>
            </w:r>
            <w:r>
              <w:rPr>
                <w:rFonts w:ascii="Arial" w:hAnsi="Arial" w:cs="Arial"/>
                <w:b/>
                <w:color w:val="595A5B"/>
                <w:sz w:val="18"/>
                <w:szCs w:val="18"/>
              </w:rPr>
              <w:t>937</w:t>
            </w:r>
            <w:r w:rsidRPr="002F4183">
              <w:rPr>
                <w:rFonts w:ascii="Arial" w:hAnsi="Arial" w:cs="Arial"/>
                <w:b/>
                <w:color w:val="595A5B"/>
                <w:sz w:val="18"/>
                <w:szCs w:val="18"/>
              </w:rPr>
              <w:t>.</w:t>
            </w:r>
            <w:r>
              <w:rPr>
                <w:rFonts w:ascii="Arial" w:hAnsi="Arial" w:cs="Arial"/>
                <w:b/>
                <w:color w:val="595A5B"/>
                <w:sz w:val="18"/>
                <w:szCs w:val="18"/>
              </w:rPr>
              <w:t>4</w:t>
            </w:r>
          </w:p>
        </w:tc>
        <w:tc>
          <w:tcPr>
            <w:tcW w:w="1337" w:type="dxa"/>
            <w:shd w:val="clear" w:color="auto" w:fill="DEEAF6" w:themeFill="accent1" w:themeFillTint="33"/>
            <w:vAlign w:val="center"/>
            <w:hideMark/>
          </w:tcPr>
          <w:p w14:paraId="68275D14" w14:textId="77777777" w:rsidR="00113DB0" w:rsidRPr="002F4183" w:rsidRDefault="00113DB0" w:rsidP="00443357">
            <w:pPr>
              <w:keepNext/>
              <w:keepLines/>
              <w:spacing w:before="60" w:after="60"/>
              <w:jc w:val="right"/>
              <w:rPr>
                <w:rFonts w:ascii="Arial" w:hAnsi="Arial" w:cs="Arial"/>
                <w:b/>
                <w:i/>
                <w:color w:val="595A5B"/>
                <w:sz w:val="18"/>
                <w:szCs w:val="18"/>
              </w:rPr>
            </w:pPr>
            <w:r>
              <w:rPr>
                <w:rFonts w:ascii="Arial" w:hAnsi="Arial" w:cs="Arial"/>
                <w:b/>
                <w:color w:val="595A5B"/>
                <w:sz w:val="18"/>
                <w:szCs w:val="18"/>
              </w:rPr>
              <w:t>33</w:t>
            </w:r>
            <w:r w:rsidRPr="002F4183">
              <w:rPr>
                <w:rFonts w:ascii="Arial" w:hAnsi="Arial" w:cs="Arial"/>
                <w:b/>
                <w:color w:val="595A5B"/>
                <w:sz w:val="18"/>
                <w:szCs w:val="18"/>
              </w:rPr>
              <w:t>.</w:t>
            </w:r>
            <w:r>
              <w:rPr>
                <w:rFonts w:ascii="Arial" w:hAnsi="Arial" w:cs="Arial"/>
                <w:b/>
                <w:color w:val="595A5B"/>
                <w:sz w:val="18"/>
                <w:szCs w:val="18"/>
              </w:rPr>
              <w:t>9</w:t>
            </w:r>
          </w:p>
        </w:tc>
      </w:tr>
    </w:tbl>
    <w:p w14:paraId="092E5736" w14:textId="77777777" w:rsidR="00113DB0" w:rsidRPr="002F4183" w:rsidRDefault="00113DB0" w:rsidP="00113DB0">
      <w:pPr>
        <w:keepLines/>
        <w:pBdr>
          <w:bottom w:val="single" w:sz="4" w:space="1" w:color="595A5B"/>
        </w:pBdr>
        <w:spacing w:before="120"/>
        <w:jc w:val="both"/>
        <w:rPr>
          <w:rFonts w:ascii="Arial" w:eastAsia="Times New Roman" w:hAnsi="Arial" w:cs="Arial"/>
          <w:color w:val="22789A"/>
          <w:sz w:val="16"/>
          <w:szCs w:val="20"/>
        </w:rPr>
      </w:pPr>
      <w:r w:rsidRPr="002F4183">
        <w:rPr>
          <w:rFonts w:ascii="Arial" w:eastAsia="Times New Roman" w:hAnsi="Arial" w:cs="Arial"/>
          <w:color w:val="22789A"/>
          <w:sz w:val="16"/>
          <w:szCs w:val="20"/>
        </w:rPr>
        <w:t>Note</w:t>
      </w:r>
      <w:r>
        <w:rPr>
          <w:rFonts w:ascii="Arial" w:eastAsia="Times New Roman" w:hAnsi="Arial" w:cs="Arial"/>
          <w:color w:val="22789A"/>
          <w:sz w:val="16"/>
          <w:szCs w:val="20"/>
        </w:rPr>
        <w:t>s</w:t>
      </w:r>
      <w:r w:rsidRPr="002F4183">
        <w:rPr>
          <w:rFonts w:ascii="Arial" w:eastAsia="Times New Roman" w:hAnsi="Arial" w:cs="Arial"/>
          <w:color w:val="22789A"/>
          <w:sz w:val="16"/>
          <w:szCs w:val="20"/>
        </w:rPr>
        <w:t xml:space="preserve">: Industries that have the highest demand, by value, for </w:t>
      </w:r>
      <w:r>
        <w:rPr>
          <w:rFonts w:ascii="Arial" w:eastAsia="Times New Roman" w:hAnsi="Arial" w:cs="Arial"/>
          <w:color w:val="22789A"/>
          <w:sz w:val="16"/>
          <w:szCs w:val="20"/>
        </w:rPr>
        <w:t>s</w:t>
      </w:r>
      <w:r w:rsidRPr="002F4183">
        <w:rPr>
          <w:rFonts w:ascii="Arial" w:eastAsia="Times New Roman" w:hAnsi="Arial" w:cs="Arial"/>
          <w:color w:val="22789A"/>
          <w:sz w:val="16"/>
          <w:szCs w:val="20"/>
        </w:rPr>
        <w:t xml:space="preserve">teel </w:t>
      </w:r>
      <w:r w:rsidR="008C373C" w:rsidRPr="008C373C">
        <w:rPr>
          <w:rFonts w:ascii="Arial" w:eastAsia="Times New Roman" w:hAnsi="Arial" w:cs="Arial"/>
          <w:color w:val="22789A"/>
          <w:sz w:val="16"/>
          <w:szCs w:val="20"/>
        </w:rPr>
        <w:t xml:space="preserve">manufactured/fabricated </w:t>
      </w:r>
      <w:r w:rsidRPr="002F4183">
        <w:rPr>
          <w:rFonts w:ascii="Arial" w:eastAsia="Times New Roman" w:hAnsi="Arial" w:cs="Arial"/>
          <w:color w:val="22789A"/>
          <w:sz w:val="16"/>
          <w:szCs w:val="20"/>
        </w:rPr>
        <w:t xml:space="preserve">products. </w:t>
      </w:r>
    </w:p>
    <w:p w14:paraId="51D456BB"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Source: ABS, Australian National Accounts: Input-Output Tables, 201</w:t>
      </w:r>
      <w:r>
        <w:rPr>
          <w:rFonts w:ascii="Arial" w:eastAsia="Times New Roman" w:hAnsi="Arial" w:cs="Arial"/>
          <w:color w:val="22789A"/>
          <w:sz w:val="16"/>
          <w:szCs w:val="20"/>
        </w:rPr>
        <w:t>3</w:t>
      </w:r>
      <w:r w:rsidRPr="002F4183">
        <w:rPr>
          <w:rFonts w:ascii="Arial" w:eastAsia="Times New Roman" w:hAnsi="Arial" w:cs="Arial"/>
          <w:color w:val="22789A"/>
          <w:sz w:val="16"/>
          <w:szCs w:val="20"/>
        </w:rPr>
        <w:t>-1</w:t>
      </w:r>
      <w:r>
        <w:rPr>
          <w:rFonts w:ascii="Arial" w:eastAsia="Times New Roman" w:hAnsi="Arial" w:cs="Arial"/>
          <w:color w:val="22789A"/>
          <w:sz w:val="16"/>
          <w:szCs w:val="20"/>
        </w:rPr>
        <w:t>4</w:t>
      </w:r>
      <w:r w:rsidRPr="002F4183">
        <w:rPr>
          <w:rFonts w:ascii="Arial" w:eastAsia="Times New Roman" w:hAnsi="Arial" w:cs="Arial"/>
          <w:color w:val="22789A"/>
          <w:sz w:val="16"/>
          <w:szCs w:val="20"/>
        </w:rPr>
        <w:t xml:space="preserve"> cat. no. 5209.0.55.001.</w:t>
      </w:r>
    </w:p>
    <w:p w14:paraId="5A1032E7" w14:textId="363144A7" w:rsidR="00113DB0" w:rsidRPr="002F4183" w:rsidRDefault="00113DB0" w:rsidP="0090039F">
      <w:pPr>
        <w:spacing w:before="120" w:after="120"/>
        <w:jc w:val="both"/>
      </w:pPr>
      <w:r w:rsidRPr="002F4183">
        <w:t xml:space="preserve">As </w:t>
      </w:r>
      <w:r w:rsidR="008C373C">
        <w:t xml:space="preserve">fabricated </w:t>
      </w:r>
      <w:r w:rsidRPr="002F4183">
        <w:t>steel is an intermedia</w:t>
      </w:r>
      <w:r>
        <w:t>te</w:t>
      </w:r>
      <w:r w:rsidRPr="002F4183">
        <w:t xml:space="preserve"> product, </w:t>
      </w:r>
      <w:r>
        <w:t xml:space="preserve">the economic performance of </w:t>
      </w:r>
      <w:r w:rsidR="00826E08">
        <w:t xml:space="preserve">the </w:t>
      </w:r>
      <w:r w:rsidR="00D41A11">
        <w:t>c</w:t>
      </w:r>
      <w:r>
        <w:t xml:space="preserve">onstruction, </w:t>
      </w:r>
      <w:r w:rsidR="00D41A11">
        <w:t>m</w:t>
      </w:r>
      <w:r>
        <w:t xml:space="preserve">anufacturing and </w:t>
      </w:r>
      <w:r w:rsidR="00D41A11">
        <w:t>m</w:t>
      </w:r>
      <w:r>
        <w:t xml:space="preserve">ining industries largely drives the performance of the </w:t>
      </w:r>
      <w:r w:rsidR="008C373C">
        <w:t>steel fabricati</w:t>
      </w:r>
      <w:r w:rsidR="0090039F">
        <w:t>o</w:t>
      </w:r>
      <w:r w:rsidR="008C373C">
        <w:t xml:space="preserve">n </w:t>
      </w:r>
      <w:r>
        <w:t xml:space="preserve">industry. </w:t>
      </w:r>
      <w:r w:rsidRPr="002F4183">
        <w:t xml:space="preserve">Figures </w:t>
      </w:r>
      <w:r w:rsidR="00A969AD">
        <w:t>3</w:t>
      </w:r>
      <w:r w:rsidRPr="002F4183">
        <w:t>.</w:t>
      </w:r>
      <w:r>
        <w:t>1</w:t>
      </w:r>
      <w:r w:rsidRPr="002F4183">
        <w:t xml:space="preserve"> and </w:t>
      </w:r>
      <w:r w:rsidR="00A969AD">
        <w:t>3</w:t>
      </w:r>
      <w:r w:rsidRPr="002F4183">
        <w:t>.</w:t>
      </w:r>
      <w:r>
        <w:t>2</w:t>
      </w:r>
      <w:r w:rsidRPr="002F4183">
        <w:t xml:space="preserve"> illustrate how these three sectors have </w:t>
      </w:r>
      <w:r>
        <w:t>changed</w:t>
      </w:r>
      <w:r w:rsidRPr="002F4183">
        <w:t xml:space="preserve"> over time in terms of output and employment. </w:t>
      </w:r>
      <w:r>
        <w:t xml:space="preserve">Over the past decade, output in both </w:t>
      </w:r>
      <w:r w:rsidR="00E5082A">
        <w:t>m</w:t>
      </w:r>
      <w:r>
        <w:t xml:space="preserve">ining and </w:t>
      </w:r>
      <w:r w:rsidR="00E5082A">
        <w:t>c</w:t>
      </w:r>
      <w:r>
        <w:t xml:space="preserve">onstruction has increased, but </w:t>
      </w:r>
      <w:r w:rsidR="00E5082A">
        <w:t>m</w:t>
      </w:r>
      <w:r>
        <w:t xml:space="preserve">anufacturing output has declined as part of a long term trend. </w:t>
      </w:r>
      <w:r w:rsidRPr="00ED6760">
        <w:t xml:space="preserve">Construction employment continues to rise </w:t>
      </w:r>
      <w:r>
        <w:t xml:space="preserve">but </w:t>
      </w:r>
      <w:r w:rsidR="00E5082A">
        <w:t>m</w:t>
      </w:r>
      <w:r>
        <w:t>ining is beginning to level out after six years of particularly strong growth in the 2000s.</w:t>
      </w:r>
    </w:p>
    <w:p w14:paraId="3A7DA222" w14:textId="77777777" w:rsidR="00113DB0" w:rsidRPr="002F4183" w:rsidRDefault="00113DB0" w:rsidP="00113DB0">
      <w:pPr>
        <w:keepNext/>
        <w:keepLines/>
        <w:pBdr>
          <w:top w:val="single" w:sz="2" w:space="1" w:color="595A5B"/>
        </w:pBdr>
        <w:spacing w:before="36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sidRPr="002F4183">
        <w:rPr>
          <w:rFonts w:ascii="Arial" w:hAnsi="Arial"/>
          <w:bCs/>
          <w:color w:val="5B9BD5" w:themeColor="accent1"/>
          <w:sz w:val="18"/>
          <w:szCs w:val="18"/>
        </w:rPr>
        <w:fldChar w:fldCharType="begin"/>
      </w:r>
      <w:r w:rsidRPr="002F4183">
        <w:rPr>
          <w:rFonts w:ascii="Arial" w:hAnsi="Arial"/>
          <w:bCs/>
          <w:color w:val="5B9BD5" w:themeColor="accent1"/>
          <w:sz w:val="18"/>
          <w:szCs w:val="18"/>
        </w:rPr>
        <w:instrText xml:space="preserve"> STYLEREF 1 \s </w:instrText>
      </w:r>
      <w:r w:rsidRPr="002F4183">
        <w:rPr>
          <w:rFonts w:ascii="Arial" w:hAnsi="Arial"/>
          <w:bCs/>
          <w:color w:val="5B9BD5" w:themeColor="accent1"/>
          <w:sz w:val="18"/>
          <w:szCs w:val="18"/>
        </w:rPr>
        <w:fldChar w:fldCharType="separate"/>
      </w:r>
      <w:r w:rsidR="00FF1BA5">
        <w:rPr>
          <w:rFonts w:ascii="Arial" w:hAnsi="Arial"/>
          <w:bCs/>
          <w:noProof/>
          <w:color w:val="5B9BD5" w:themeColor="accent1"/>
          <w:sz w:val="18"/>
          <w:szCs w:val="18"/>
        </w:rPr>
        <w:t>3</w:t>
      </w:r>
      <w:r w:rsidRPr="002F4183">
        <w:rPr>
          <w:rFonts w:ascii="Arial" w:hAnsi="Arial"/>
          <w:bCs/>
          <w:noProof/>
          <w:color w:val="5B9BD5" w:themeColor="accent1"/>
          <w:sz w:val="18"/>
          <w:szCs w:val="18"/>
        </w:rPr>
        <w:fldChar w:fldCharType="end"/>
      </w:r>
      <w:r w:rsidRPr="002F4183">
        <w:rPr>
          <w:rFonts w:ascii="Arial" w:hAnsi="Arial"/>
          <w:bCs/>
          <w:color w:val="5B9BD5" w:themeColor="accent1"/>
          <w:sz w:val="18"/>
          <w:szCs w:val="18"/>
        </w:rPr>
        <w:t>.</w:t>
      </w:r>
      <w:r>
        <w:rPr>
          <w:rFonts w:ascii="Arial" w:hAnsi="Arial"/>
          <w:bCs/>
          <w:color w:val="5B9BD5" w:themeColor="accent1"/>
          <w:sz w:val="18"/>
          <w:szCs w:val="18"/>
        </w:rPr>
        <w:t>1</w:t>
      </w:r>
      <w:r w:rsidRPr="002F4183">
        <w:rPr>
          <w:rFonts w:ascii="Arial" w:hAnsi="Arial"/>
          <w:bCs/>
          <w:color w:val="5B9BD5" w:themeColor="accent1"/>
          <w:sz w:val="18"/>
          <w:szCs w:val="18"/>
        </w:rPr>
        <w:t>: Industry Value Add</w:t>
      </w:r>
      <w:r>
        <w:rPr>
          <w:rFonts w:ascii="Arial" w:hAnsi="Arial"/>
          <w:bCs/>
          <w:color w:val="5B9BD5" w:themeColor="accent1"/>
          <w:sz w:val="18"/>
          <w:szCs w:val="18"/>
        </w:rPr>
        <w:t>ed</w:t>
      </w:r>
      <w:r w:rsidRPr="002F4183">
        <w:rPr>
          <w:rFonts w:ascii="Arial" w:hAnsi="Arial"/>
          <w:bCs/>
          <w:color w:val="5B9BD5" w:themeColor="accent1"/>
          <w:sz w:val="18"/>
          <w:szCs w:val="18"/>
        </w:rPr>
        <w:t xml:space="preserve"> for top three industries purchasing steel </w:t>
      </w:r>
      <w:r w:rsidR="008C373C" w:rsidRPr="008C373C">
        <w:rPr>
          <w:rFonts w:ascii="Arial" w:hAnsi="Arial"/>
          <w:bCs/>
          <w:color w:val="5B9BD5" w:themeColor="accent1"/>
          <w:sz w:val="18"/>
          <w:szCs w:val="18"/>
        </w:rPr>
        <w:t xml:space="preserve">manufactured/fabricated </w:t>
      </w:r>
      <w:r w:rsidRPr="002F4183">
        <w:rPr>
          <w:rFonts w:ascii="Arial" w:hAnsi="Arial"/>
          <w:bCs/>
          <w:color w:val="5B9BD5" w:themeColor="accent1"/>
          <w:sz w:val="18"/>
          <w:szCs w:val="18"/>
        </w:rPr>
        <w:t>products, by value, 200</w:t>
      </w:r>
      <w:r>
        <w:rPr>
          <w:rFonts w:ascii="Arial" w:hAnsi="Arial"/>
          <w:bCs/>
          <w:color w:val="5B9BD5" w:themeColor="accent1"/>
          <w:sz w:val="18"/>
          <w:szCs w:val="18"/>
        </w:rPr>
        <w:t>5</w:t>
      </w:r>
      <w:r w:rsidRPr="002F4183">
        <w:rPr>
          <w:rFonts w:ascii="Arial" w:hAnsi="Arial"/>
          <w:bCs/>
          <w:color w:val="5B9BD5" w:themeColor="accent1"/>
          <w:sz w:val="18"/>
          <w:szCs w:val="18"/>
        </w:rPr>
        <w:t>-0</w:t>
      </w:r>
      <w:r>
        <w:rPr>
          <w:rFonts w:ascii="Arial" w:hAnsi="Arial"/>
          <w:bCs/>
          <w:color w:val="5B9BD5" w:themeColor="accent1"/>
          <w:sz w:val="18"/>
          <w:szCs w:val="18"/>
        </w:rPr>
        <w:t>6</w:t>
      </w:r>
      <w:r w:rsidRPr="002F4183">
        <w:rPr>
          <w:rFonts w:ascii="Arial" w:hAnsi="Arial"/>
          <w:bCs/>
          <w:color w:val="5B9BD5" w:themeColor="accent1"/>
          <w:sz w:val="18"/>
          <w:szCs w:val="18"/>
        </w:rPr>
        <w:t xml:space="preserve"> to 201</w:t>
      </w:r>
      <w:r>
        <w:rPr>
          <w:rFonts w:ascii="Arial" w:hAnsi="Arial"/>
          <w:bCs/>
          <w:color w:val="5B9BD5" w:themeColor="accent1"/>
          <w:sz w:val="18"/>
          <w:szCs w:val="18"/>
        </w:rPr>
        <w:t>5</w:t>
      </w:r>
      <w:r w:rsidRPr="002F4183">
        <w:rPr>
          <w:rFonts w:ascii="Arial" w:hAnsi="Arial"/>
          <w:bCs/>
          <w:color w:val="5B9BD5" w:themeColor="accent1"/>
          <w:sz w:val="18"/>
          <w:szCs w:val="18"/>
        </w:rPr>
        <w:t>-1</w:t>
      </w:r>
      <w:r>
        <w:rPr>
          <w:rFonts w:ascii="Arial" w:hAnsi="Arial"/>
          <w:bCs/>
          <w:color w:val="5B9BD5" w:themeColor="accent1"/>
          <w:sz w:val="18"/>
          <w:szCs w:val="18"/>
        </w:rPr>
        <w:t>6</w:t>
      </w:r>
    </w:p>
    <w:tbl>
      <w:tblPr>
        <w:tblStyle w:val="OCETable5"/>
        <w:tblW w:w="9039" w:type="dxa"/>
        <w:tblLayout w:type="fixed"/>
        <w:tblLook w:val="04A0" w:firstRow="1" w:lastRow="0" w:firstColumn="1" w:lastColumn="0" w:noHBand="0" w:noVBand="1"/>
      </w:tblPr>
      <w:tblGrid>
        <w:gridCol w:w="9039"/>
      </w:tblGrid>
      <w:tr w:rsidR="00113DB0" w:rsidRPr="002F4183" w14:paraId="2402D9A6" w14:textId="77777777" w:rsidTr="00443357">
        <w:trPr>
          <w:cnfStyle w:val="100000000000" w:firstRow="1" w:lastRow="0" w:firstColumn="0" w:lastColumn="0" w:oddVBand="0" w:evenVBand="0" w:oddHBand="0" w:evenHBand="0" w:firstRowFirstColumn="0" w:firstRowLastColumn="0" w:lastRowFirstColumn="0" w:lastRowLastColumn="0"/>
        </w:trPr>
        <w:tc>
          <w:tcPr>
            <w:tcW w:w="9039" w:type="dxa"/>
            <w:shd w:val="clear" w:color="auto" w:fill="auto"/>
          </w:tcPr>
          <w:p w14:paraId="00C1C082" w14:textId="77777777" w:rsidR="00113DB0" w:rsidRPr="002F4183" w:rsidRDefault="00113DB0" w:rsidP="00443357">
            <w:pPr>
              <w:keepNext/>
              <w:keepLines/>
              <w:jc w:val="center"/>
              <w:rPr>
                <w:rFonts w:ascii="Arial" w:hAnsi="Arial"/>
                <w:color w:val="595A5B"/>
              </w:rPr>
            </w:pPr>
            <w:r>
              <w:rPr>
                <w:noProof/>
                <w:lang w:eastAsia="en-AU"/>
              </w:rPr>
              <w:drawing>
                <wp:inline distT="0" distB="0" distL="0" distR="0" wp14:anchorId="09037E50" wp14:editId="66118A78">
                  <wp:extent cx="5602605" cy="2905125"/>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14:paraId="1C648568" w14:textId="77777777" w:rsidR="00113DB0" w:rsidRPr="002F4183" w:rsidRDefault="00113DB0" w:rsidP="00113DB0">
      <w:pPr>
        <w:keepLines/>
        <w:pBdr>
          <w:bottom w:val="single" w:sz="4" w:space="1" w:color="595A5B"/>
        </w:pBdr>
        <w:spacing w:before="120" w:after="12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Notes: </w:t>
      </w:r>
      <w:r>
        <w:rPr>
          <w:rFonts w:ascii="Arial" w:eastAsia="Times New Roman" w:hAnsi="Arial" w:cs="Arial"/>
          <w:color w:val="22789A"/>
          <w:sz w:val="16"/>
          <w:szCs w:val="20"/>
        </w:rPr>
        <w:t>Chain volume measures</w:t>
      </w:r>
      <w:r w:rsidRPr="002F4183">
        <w:rPr>
          <w:rFonts w:ascii="Arial" w:eastAsia="Times New Roman" w:hAnsi="Arial" w:cs="Arial"/>
          <w:color w:val="22789A"/>
          <w:sz w:val="16"/>
          <w:szCs w:val="20"/>
        </w:rPr>
        <w:t>.</w:t>
      </w:r>
    </w:p>
    <w:p w14:paraId="575EAC6D"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Sources: ABS, </w:t>
      </w:r>
      <w:r w:rsidRPr="00EC2DC5">
        <w:rPr>
          <w:rFonts w:ascii="Arial" w:eastAsia="Times New Roman" w:hAnsi="Arial" w:cs="Arial"/>
          <w:color w:val="22789A"/>
          <w:sz w:val="16"/>
          <w:szCs w:val="20"/>
        </w:rPr>
        <w:t>Australian S</w:t>
      </w:r>
      <w:r>
        <w:rPr>
          <w:rFonts w:ascii="Arial" w:eastAsia="Times New Roman" w:hAnsi="Arial" w:cs="Arial"/>
          <w:color w:val="22789A"/>
          <w:sz w:val="16"/>
          <w:szCs w:val="20"/>
        </w:rPr>
        <w:t>ystem of National Accounts, 2015-16</w:t>
      </w:r>
      <w:r w:rsidRPr="002F4183">
        <w:rPr>
          <w:rFonts w:ascii="Arial" w:eastAsia="Times New Roman" w:hAnsi="Arial" w:cs="Arial"/>
          <w:color w:val="22789A"/>
          <w:sz w:val="16"/>
          <w:szCs w:val="20"/>
        </w:rPr>
        <w:t xml:space="preserve">, cat. </w:t>
      </w:r>
      <w:proofErr w:type="gramStart"/>
      <w:r w:rsidRPr="002F4183">
        <w:rPr>
          <w:rFonts w:ascii="Arial" w:eastAsia="Times New Roman" w:hAnsi="Arial" w:cs="Arial"/>
          <w:color w:val="22789A"/>
          <w:sz w:val="16"/>
          <w:szCs w:val="20"/>
        </w:rPr>
        <w:t>no</w:t>
      </w:r>
      <w:proofErr w:type="gramEnd"/>
      <w:r w:rsidRPr="002F4183">
        <w:rPr>
          <w:rFonts w:ascii="Arial" w:eastAsia="Times New Roman" w:hAnsi="Arial" w:cs="Arial"/>
          <w:color w:val="22789A"/>
          <w:sz w:val="16"/>
          <w:szCs w:val="20"/>
        </w:rPr>
        <w:t xml:space="preserve">. </w:t>
      </w:r>
      <w:r>
        <w:rPr>
          <w:rFonts w:ascii="Arial" w:eastAsia="Times New Roman" w:hAnsi="Arial" w:cs="Arial"/>
          <w:color w:val="22789A"/>
          <w:sz w:val="16"/>
          <w:szCs w:val="20"/>
        </w:rPr>
        <w:t>5204</w:t>
      </w:r>
      <w:r w:rsidRPr="002F4183">
        <w:rPr>
          <w:rFonts w:ascii="Arial" w:eastAsia="Times New Roman" w:hAnsi="Arial" w:cs="Arial"/>
          <w:color w:val="22789A"/>
          <w:sz w:val="16"/>
          <w:szCs w:val="20"/>
        </w:rPr>
        <w:t>.0.</w:t>
      </w:r>
    </w:p>
    <w:p w14:paraId="6609B849" w14:textId="77777777" w:rsidR="00113DB0" w:rsidRPr="002F4183" w:rsidRDefault="00113DB0" w:rsidP="00113DB0">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3</w:t>
      </w:r>
      <w:r w:rsidRPr="002F4183">
        <w:rPr>
          <w:rFonts w:ascii="Arial" w:hAnsi="Arial"/>
          <w:bCs/>
          <w:color w:val="5B9BD5" w:themeColor="accent1"/>
          <w:sz w:val="18"/>
          <w:szCs w:val="18"/>
        </w:rPr>
        <w:t>.</w:t>
      </w:r>
      <w:r>
        <w:rPr>
          <w:rFonts w:ascii="Arial" w:hAnsi="Arial"/>
          <w:bCs/>
          <w:color w:val="5B9BD5" w:themeColor="accent1"/>
          <w:sz w:val="18"/>
          <w:szCs w:val="18"/>
        </w:rPr>
        <w:t>2</w:t>
      </w:r>
      <w:r w:rsidRPr="002F4183">
        <w:rPr>
          <w:rFonts w:ascii="Arial" w:hAnsi="Arial"/>
          <w:bCs/>
          <w:color w:val="5B9BD5" w:themeColor="accent1"/>
          <w:sz w:val="18"/>
          <w:szCs w:val="18"/>
        </w:rPr>
        <w:t>: Employment for</w:t>
      </w:r>
      <w:r>
        <w:rPr>
          <w:rFonts w:ascii="Arial" w:hAnsi="Arial"/>
          <w:bCs/>
          <w:color w:val="5B9BD5" w:themeColor="accent1"/>
          <w:sz w:val="18"/>
          <w:szCs w:val="18"/>
        </w:rPr>
        <w:t xml:space="preserve"> the</w:t>
      </w:r>
      <w:r w:rsidRPr="002F4183">
        <w:rPr>
          <w:rFonts w:ascii="Arial" w:hAnsi="Arial"/>
          <w:bCs/>
          <w:color w:val="5B9BD5" w:themeColor="accent1"/>
          <w:sz w:val="18"/>
          <w:szCs w:val="18"/>
        </w:rPr>
        <w:t xml:space="preserve"> top three industries purchasing steel </w:t>
      </w:r>
      <w:r w:rsidR="005A5451" w:rsidRPr="005A5451">
        <w:rPr>
          <w:rFonts w:ascii="Arial" w:hAnsi="Arial"/>
          <w:bCs/>
          <w:color w:val="5B9BD5" w:themeColor="accent1"/>
          <w:sz w:val="18"/>
          <w:szCs w:val="18"/>
        </w:rPr>
        <w:t xml:space="preserve">manufactured/fabricated </w:t>
      </w:r>
      <w:r w:rsidRPr="002F4183">
        <w:rPr>
          <w:rFonts w:ascii="Arial" w:hAnsi="Arial"/>
          <w:bCs/>
          <w:color w:val="5B9BD5" w:themeColor="accent1"/>
          <w:sz w:val="18"/>
          <w:szCs w:val="18"/>
        </w:rPr>
        <w:t xml:space="preserve">products, </w:t>
      </w:r>
      <w:r>
        <w:rPr>
          <w:rFonts w:ascii="Arial" w:hAnsi="Arial"/>
          <w:bCs/>
          <w:color w:val="5B9BD5" w:themeColor="accent1"/>
          <w:sz w:val="18"/>
          <w:szCs w:val="18"/>
        </w:rPr>
        <w:t xml:space="preserve">February </w:t>
      </w:r>
      <w:r w:rsidRPr="002F4183">
        <w:rPr>
          <w:rFonts w:ascii="Arial" w:hAnsi="Arial"/>
          <w:bCs/>
          <w:color w:val="5B9BD5" w:themeColor="accent1"/>
          <w:sz w:val="18"/>
          <w:szCs w:val="18"/>
        </w:rPr>
        <w:t>200</w:t>
      </w:r>
      <w:r>
        <w:rPr>
          <w:rFonts w:ascii="Arial" w:hAnsi="Arial"/>
          <w:bCs/>
          <w:color w:val="5B9BD5" w:themeColor="accent1"/>
          <w:sz w:val="18"/>
          <w:szCs w:val="18"/>
        </w:rPr>
        <w:t>7</w:t>
      </w:r>
      <w:r w:rsidRPr="002F4183">
        <w:rPr>
          <w:rFonts w:ascii="Arial" w:hAnsi="Arial"/>
          <w:bCs/>
          <w:color w:val="5B9BD5" w:themeColor="accent1"/>
          <w:sz w:val="18"/>
          <w:szCs w:val="18"/>
        </w:rPr>
        <w:t xml:space="preserve"> to </w:t>
      </w:r>
      <w:r>
        <w:rPr>
          <w:rFonts w:ascii="Arial" w:hAnsi="Arial"/>
          <w:bCs/>
          <w:color w:val="5B9BD5" w:themeColor="accent1"/>
          <w:sz w:val="18"/>
          <w:szCs w:val="18"/>
        </w:rPr>
        <w:t xml:space="preserve">February </w:t>
      </w:r>
      <w:r w:rsidRPr="002F4183">
        <w:rPr>
          <w:rFonts w:ascii="Arial" w:hAnsi="Arial"/>
          <w:bCs/>
          <w:color w:val="5B9BD5" w:themeColor="accent1"/>
          <w:sz w:val="18"/>
          <w:szCs w:val="18"/>
        </w:rPr>
        <w:t>201</w:t>
      </w:r>
      <w:r>
        <w:rPr>
          <w:rFonts w:ascii="Arial" w:hAnsi="Arial"/>
          <w:bCs/>
          <w:color w:val="5B9BD5" w:themeColor="accent1"/>
          <w:sz w:val="18"/>
          <w:szCs w:val="18"/>
        </w:rPr>
        <w:t>7</w:t>
      </w:r>
    </w:p>
    <w:p w14:paraId="1DEFB338" w14:textId="77777777" w:rsidR="00113DB0" w:rsidRPr="002F4183" w:rsidRDefault="00113DB0" w:rsidP="00113DB0">
      <w:pPr>
        <w:keepNext/>
        <w:keepLines/>
        <w:jc w:val="center"/>
        <w:rPr>
          <w:rFonts w:ascii="Arial" w:hAnsi="Arial"/>
          <w:color w:val="595A5B"/>
          <w:sz w:val="18"/>
        </w:rPr>
      </w:pPr>
      <w:r>
        <w:rPr>
          <w:noProof/>
          <w:lang w:eastAsia="en-AU"/>
        </w:rPr>
        <w:drawing>
          <wp:inline distT="0" distB="0" distL="0" distR="0" wp14:anchorId="49F9FB67" wp14:editId="162E8825">
            <wp:extent cx="5732145" cy="3439160"/>
            <wp:effectExtent l="0" t="0" r="1905" b="889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FBB3800" w14:textId="77777777" w:rsidR="00113DB0" w:rsidRPr="002F4183" w:rsidRDefault="00113DB0" w:rsidP="00113DB0">
      <w:pPr>
        <w:keepLines/>
        <w:pBdr>
          <w:bottom w:val="single" w:sz="4" w:space="1" w:color="595A5B"/>
        </w:pBdr>
        <w:spacing w:before="120" w:after="12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Pr>
          <w:rFonts w:ascii="Arial" w:eastAsia="Times New Roman" w:hAnsi="Arial" w:cs="Arial"/>
          <w:color w:val="22789A"/>
          <w:sz w:val="16"/>
          <w:szCs w:val="20"/>
        </w:rPr>
        <w:t>Trend data</w:t>
      </w:r>
      <w:r w:rsidRPr="002F4183">
        <w:rPr>
          <w:rFonts w:ascii="Arial" w:eastAsia="Times New Roman" w:hAnsi="Arial" w:cs="Arial"/>
          <w:color w:val="22789A"/>
          <w:sz w:val="16"/>
          <w:szCs w:val="20"/>
        </w:rPr>
        <w:t>.</w:t>
      </w:r>
    </w:p>
    <w:p w14:paraId="1C600483"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ABS, Labour Force, Australia, Detailed, Quarterly, </w:t>
      </w:r>
      <w:r>
        <w:rPr>
          <w:rFonts w:ascii="Arial" w:eastAsia="Times New Roman" w:hAnsi="Arial" w:cs="Arial"/>
          <w:color w:val="22789A"/>
          <w:sz w:val="16"/>
          <w:szCs w:val="20"/>
        </w:rPr>
        <w:t>February</w:t>
      </w:r>
      <w:r w:rsidRPr="002F4183">
        <w:rPr>
          <w:rFonts w:ascii="Arial" w:eastAsia="Times New Roman" w:hAnsi="Arial" w:cs="Arial"/>
          <w:color w:val="22789A"/>
          <w:sz w:val="16"/>
          <w:szCs w:val="20"/>
        </w:rPr>
        <w:t xml:space="preserve"> 201</w:t>
      </w:r>
      <w:r>
        <w:rPr>
          <w:rFonts w:ascii="Arial" w:eastAsia="Times New Roman" w:hAnsi="Arial" w:cs="Arial"/>
          <w:color w:val="22789A"/>
          <w:sz w:val="16"/>
          <w:szCs w:val="20"/>
        </w:rPr>
        <w:t>7</w:t>
      </w:r>
      <w:r w:rsidRPr="002F4183">
        <w:rPr>
          <w:rFonts w:ascii="Arial" w:eastAsia="Times New Roman" w:hAnsi="Arial" w:cs="Arial"/>
          <w:color w:val="22789A"/>
          <w:sz w:val="16"/>
          <w:szCs w:val="20"/>
        </w:rPr>
        <w:t>, cat. no. 6291.0.55.003.</w:t>
      </w:r>
    </w:p>
    <w:p w14:paraId="2A99C505" w14:textId="77777777" w:rsidR="00113DB0" w:rsidRPr="00F05A66" w:rsidRDefault="00113DB0" w:rsidP="00113DB0">
      <w:pPr>
        <w:pStyle w:val="Heading3"/>
        <w:spacing w:after="120"/>
      </w:pPr>
      <w:bookmarkStart w:id="29" w:name="_Toc487532393"/>
      <w:r>
        <w:t>Demand f</w:t>
      </w:r>
      <w:r w:rsidRPr="00F05A66">
        <w:t>r</w:t>
      </w:r>
      <w:r>
        <w:t xml:space="preserve">om </w:t>
      </w:r>
      <w:r w:rsidR="00E5082A">
        <w:t>c</w:t>
      </w:r>
      <w:r>
        <w:t>onstruction</w:t>
      </w:r>
      <w:bookmarkEnd w:id="29"/>
    </w:p>
    <w:p w14:paraId="682829D4" w14:textId="2124EAA4" w:rsidR="00113DB0" w:rsidRDefault="00113DB0" w:rsidP="0090039F">
      <w:pPr>
        <w:spacing w:before="120" w:after="120"/>
        <w:jc w:val="both"/>
      </w:pPr>
      <w:r>
        <w:t xml:space="preserve">Over half of all steel </w:t>
      </w:r>
      <w:r w:rsidR="006049EB">
        <w:t xml:space="preserve">fabricated </w:t>
      </w:r>
      <w:r>
        <w:t xml:space="preserve">supply goes to the </w:t>
      </w:r>
      <w:r w:rsidR="00E5082A">
        <w:t>c</w:t>
      </w:r>
      <w:r>
        <w:t xml:space="preserve">onstruction industry. Developments in this industry are an important driver of demand for steel </w:t>
      </w:r>
      <w:r w:rsidR="006049EB">
        <w:t xml:space="preserve">fabricated </w:t>
      </w:r>
      <w:r>
        <w:t>products and of the performance of steel fabricators. Over the last ten years, t</w:t>
      </w:r>
      <w:r w:rsidRPr="002F4183">
        <w:t xml:space="preserve">he </w:t>
      </w:r>
      <w:r w:rsidR="00E5082A">
        <w:t>c</w:t>
      </w:r>
      <w:r w:rsidRPr="002F4183">
        <w:t xml:space="preserve">onstruction </w:t>
      </w:r>
      <w:r w:rsidR="002E755F">
        <w:t>I</w:t>
      </w:r>
      <w:r w:rsidR="002E755F" w:rsidRPr="002F4183">
        <w:t xml:space="preserve">ndustry </w:t>
      </w:r>
      <w:r w:rsidRPr="002F4183">
        <w:t xml:space="preserve">Value Add has grown </w:t>
      </w:r>
      <w:r>
        <w:t>at</w:t>
      </w:r>
      <w:r w:rsidRPr="002F4183">
        <w:t xml:space="preserve"> </w:t>
      </w:r>
      <w:r>
        <w:t>3.8 per cent per</w:t>
      </w:r>
      <w:r w:rsidRPr="002F4183">
        <w:t xml:space="preserve"> year </w:t>
      </w:r>
      <w:r>
        <w:t xml:space="preserve">and </w:t>
      </w:r>
      <w:r w:rsidRPr="002F4183">
        <w:t xml:space="preserve">employment in the industry has grown from around </w:t>
      </w:r>
      <w:r>
        <w:t>933</w:t>
      </w:r>
      <w:r w:rsidRPr="002F4183">
        <w:t>,</w:t>
      </w:r>
      <w:r>
        <w:t>1</w:t>
      </w:r>
      <w:r w:rsidRPr="002F4183">
        <w:t xml:space="preserve">00 persons to nearly </w:t>
      </w:r>
      <w:r>
        <w:t>1,098</w:t>
      </w:r>
      <w:r w:rsidRPr="002F4183">
        <w:t>,</w:t>
      </w:r>
      <w:r>
        <w:t>5</w:t>
      </w:r>
      <w:r w:rsidRPr="002F4183">
        <w:t>00</w:t>
      </w:r>
      <w:r>
        <w:t xml:space="preserve"> (based on ABS data). It is now the largest industry in the economy. </w:t>
      </w:r>
    </w:p>
    <w:p w14:paraId="67D9A220" w14:textId="77777777" w:rsidR="00113DB0" w:rsidRPr="00B3231A" w:rsidRDefault="00113DB0" w:rsidP="00B3231A">
      <w:pPr>
        <w:keepNext/>
        <w:spacing w:before="120" w:after="120"/>
        <w:rPr>
          <w:i/>
          <w:color w:val="2E74B5" w:themeColor="accent1" w:themeShade="BF"/>
        </w:rPr>
      </w:pPr>
      <w:bookmarkStart w:id="30" w:name="_Toc487532394"/>
      <w:r w:rsidRPr="00B3231A">
        <w:rPr>
          <w:i/>
          <w:color w:val="2E74B5" w:themeColor="accent1" w:themeShade="BF"/>
        </w:rPr>
        <w:t>Building construction</w:t>
      </w:r>
      <w:bookmarkEnd w:id="30"/>
    </w:p>
    <w:p w14:paraId="232D85FC" w14:textId="7164FA38" w:rsidR="00113DB0" w:rsidRDefault="00113DB0" w:rsidP="0090039F">
      <w:pPr>
        <w:spacing w:before="120" w:after="120"/>
        <w:jc w:val="both"/>
      </w:pPr>
      <w:r>
        <w:t>Since 2006, all sectors of building construction have increased in chain volume measure terms</w:t>
      </w:r>
      <w:r w:rsidR="00082334">
        <w:t xml:space="preserve"> (see Figure 3.3)</w:t>
      </w:r>
      <w:r>
        <w:t>. New houses and alterations to existing property have slightly increased (by $0.7 billion over the ten years) but the biggest increase was in total non-residential construction ($4.6 billion). Total other residential building construction (unit development) has also been strong ($1.0 billion increase) and 88.8 per cent of unit approvals (89.9 per cent by value) has been in capital cities.</w:t>
      </w:r>
      <w:r w:rsidDel="008E1312">
        <w:t xml:space="preserve"> </w:t>
      </w:r>
    </w:p>
    <w:p w14:paraId="2479DEA7" w14:textId="77777777" w:rsidR="00113DB0" w:rsidRPr="002F4183" w:rsidRDefault="00113DB0" w:rsidP="00113DB0">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3</w:t>
      </w:r>
      <w:r w:rsidRPr="002F4183">
        <w:rPr>
          <w:rFonts w:ascii="Arial" w:hAnsi="Arial"/>
          <w:bCs/>
          <w:color w:val="5B9BD5" w:themeColor="accent1"/>
          <w:sz w:val="18"/>
          <w:szCs w:val="18"/>
        </w:rPr>
        <w:t>.</w:t>
      </w:r>
      <w:r>
        <w:rPr>
          <w:rFonts w:ascii="Arial" w:hAnsi="Arial"/>
          <w:bCs/>
          <w:color w:val="5B9BD5" w:themeColor="accent1"/>
          <w:sz w:val="18"/>
          <w:szCs w:val="18"/>
        </w:rPr>
        <w:t>3</w:t>
      </w:r>
      <w:r w:rsidRPr="002F4183">
        <w:rPr>
          <w:rFonts w:ascii="Arial" w:hAnsi="Arial"/>
          <w:bCs/>
          <w:color w:val="5B9BD5" w:themeColor="accent1"/>
          <w:sz w:val="18"/>
          <w:szCs w:val="18"/>
        </w:rPr>
        <w:t xml:space="preserve">: </w:t>
      </w:r>
      <w:r>
        <w:rPr>
          <w:rFonts w:ascii="Arial" w:hAnsi="Arial"/>
          <w:bCs/>
          <w:color w:val="5B9BD5" w:themeColor="accent1"/>
          <w:sz w:val="18"/>
          <w:szCs w:val="18"/>
        </w:rPr>
        <w:t>Value of Building Work Done by sector</w:t>
      </w:r>
      <w:r w:rsidRPr="002F4183">
        <w:rPr>
          <w:rFonts w:ascii="Arial" w:hAnsi="Arial"/>
          <w:bCs/>
          <w:color w:val="5B9BD5" w:themeColor="accent1"/>
          <w:sz w:val="18"/>
          <w:szCs w:val="18"/>
        </w:rPr>
        <w:t xml:space="preserve">, </w:t>
      </w:r>
      <w:r>
        <w:rPr>
          <w:rFonts w:ascii="Arial" w:hAnsi="Arial"/>
          <w:bCs/>
          <w:color w:val="5B9BD5" w:themeColor="accent1"/>
          <w:sz w:val="18"/>
          <w:szCs w:val="18"/>
        </w:rPr>
        <w:t xml:space="preserve">December </w:t>
      </w:r>
      <w:r w:rsidRPr="002F4183">
        <w:rPr>
          <w:rFonts w:ascii="Arial" w:hAnsi="Arial"/>
          <w:bCs/>
          <w:color w:val="5B9BD5" w:themeColor="accent1"/>
          <w:sz w:val="18"/>
          <w:szCs w:val="18"/>
        </w:rPr>
        <w:t>200</w:t>
      </w:r>
      <w:r>
        <w:rPr>
          <w:rFonts w:ascii="Arial" w:hAnsi="Arial"/>
          <w:bCs/>
          <w:color w:val="5B9BD5" w:themeColor="accent1"/>
          <w:sz w:val="18"/>
          <w:szCs w:val="18"/>
        </w:rPr>
        <w:t>6</w:t>
      </w:r>
      <w:r w:rsidRPr="002F4183">
        <w:rPr>
          <w:rFonts w:ascii="Arial" w:hAnsi="Arial"/>
          <w:bCs/>
          <w:color w:val="5B9BD5" w:themeColor="accent1"/>
          <w:sz w:val="18"/>
          <w:szCs w:val="18"/>
        </w:rPr>
        <w:t xml:space="preserve"> to </w:t>
      </w:r>
      <w:r>
        <w:rPr>
          <w:rFonts w:ascii="Arial" w:hAnsi="Arial"/>
          <w:bCs/>
          <w:color w:val="5B9BD5" w:themeColor="accent1"/>
          <w:sz w:val="18"/>
          <w:szCs w:val="18"/>
        </w:rPr>
        <w:t xml:space="preserve">December </w:t>
      </w:r>
      <w:r w:rsidRPr="002F4183">
        <w:rPr>
          <w:rFonts w:ascii="Arial" w:hAnsi="Arial"/>
          <w:bCs/>
          <w:color w:val="5B9BD5" w:themeColor="accent1"/>
          <w:sz w:val="18"/>
          <w:szCs w:val="18"/>
        </w:rPr>
        <w:t>201</w:t>
      </w:r>
      <w:r>
        <w:rPr>
          <w:rFonts w:ascii="Arial" w:hAnsi="Arial"/>
          <w:bCs/>
          <w:color w:val="5B9BD5" w:themeColor="accent1"/>
          <w:sz w:val="18"/>
          <w:szCs w:val="18"/>
        </w:rPr>
        <w:t>6</w:t>
      </w:r>
    </w:p>
    <w:p w14:paraId="725F78CB" w14:textId="77777777" w:rsidR="00113DB0" w:rsidRDefault="00113DB0" w:rsidP="00113DB0">
      <w:pPr>
        <w:keepNext/>
        <w:keepLines/>
        <w:jc w:val="center"/>
        <w:rPr>
          <w:rFonts w:ascii="Arial" w:eastAsia="Times New Roman" w:hAnsi="Arial" w:cs="Arial"/>
          <w:color w:val="22789A"/>
          <w:sz w:val="16"/>
          <w:szCs w:val="20"/>
        </w:rPr>
      </w:pPr>
      <w:r>
        <w:rPr>
          <w:noProof/>
          <w:lang w:eastAsia="en-AU"/>
        </w:rPr>
        <w:drawing>
          <wp:inline distT="0" distB="0" distL="0" distR="0" wp14:anchorId="1229B23C" wp14:editId="64A76383">
            <wp:extent cx="5732145" cy="2714625"/>
            <wp:effectExtent l="0" t="0" r="190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3A9F290" w14:textId="77777777" w:rsidR="00113DB0" w:rsidRPr="002F4183" w:rsidRDefault="00113DB0" w:rsidP="00113DB0">
      <w:pPr>
        <w:keepNext/>
        <w:keepLines/>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Pr>
          <w:rFonts w:ascii="Arial" w:eastAsia="Times New Roman" w:hAnsi="Arial" w:cs="Arial"/>
          <w:color w:val="22789A"/>
          <w:sz w:val="16"/>
          <w:szCs w:val="20"/>
        </w:rPr>
        <w:t>Chain volume measures; trend data</w:t>
      </w:r>
      <w:r w:rsidRPr="002F4183">
        <w:rPr>
          <w:rFonts w:ascii="Arial" w:eastAsia="Times New Roman" w:hAnsi="Arial" w:cs="Arial"/>
          <w:color w:val="22789A"/>
          <w:sz w:val="16"/>
          <w:szCs w:val="20"/>
        </w:rPr>
        <w:t>.</w:t>
      </w:r>
    </w:p>
    <w:p w14:paraId="39CB7107"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ABS, </w:t>
      </w:r>
      <w:r w:rsidRPr="00FE74A5">
        <w:rPr>
          <w:rFonts w:ascii="Arial" w:eastAsia="Times New Roman" w:hAnsi="Arial" w:cs="Arial"/>
          <w:color w:val="22789A"/>
          <w:sz w:val="16"/>
          <w:szCs w:val="20"/>
        </w:rPr>
        <w:t xml:space="preserve">Building Activity, Australia, </w:t>
      </w:r>
      <w:r w:rsidR="00D05A8A">
        <w:rPr>
          <w:rFonts w:ascii="Arial" w:eastAsia="Times New Roman" w:hAnsi="Arial" w:cs="Arial"/>
          <w:color w:val="22789A"/>
          <w:sz w:val="16"/>
          <w:szCs w:val="20"/>
        </w:rPr>
        <w:t>Dec</w:t>
      </w:r>
      <w:r w:rsidRPr="00D05A8A">
        <w:rPr>
          <w:rFonts w:ascii="Arial" w:eastAsia="Times New Roman" w:hAnsi="Arial" w:cs="Arial"/>
          <w:color w:val="22789A"/>
          <w:sz w:val="16"/>
          <w:szCs w:val="20"/>
        </w:rPr>
        <w:t xml:space="preserve"> 2016</w:t>
      </w:r>
      <w:r w:rsidRPr="002F4183">
        <w:rPr>
          <w:rFonts w:ascii="Arial" w:eastAsia="Times New Roman" w:hAnsi="Arial" w:cs="Arial"/>
          <w:color w:val="22789A"/>
          <w:sz w:val="16"/>
          <w:szCs w:val="20"/>
        </w:rPr>
        <w:t xml:space="preserve">, cat. </w:t>
      </w:r>
      <w:proofErr w:type="gramStart"/>
      <w:r w:rsidRPr="002F4183">
        <w:rPr>
          <w:rFonts w:ascii="Arial" w:eastAsia="Times New Roman" w:hAnsi="Arial" w:cs="Arial"/>
          <w:color w:val="22789A"/>
          <w:sz w:val="16"/>
          <w:szCs w:val="20"/>
        </w:rPr>
        <w:t>no</w:t>
      </w:r>
      <w:proofErr w:type="gramEnd"/>
      <w:r w:rsidRPr="002F4183">
        <w:rPr>
          <w:rFonts w:ascii="Arial" w:eastAsia="Times New Roman" w:hAnsi="Arial" w:cs="Arial"/>
          <w:color w:val="22789A"/>
          <w:sz w:val="16"/>
          <w:szCs w:val="20"/>
        </w:rPr>
        <w:t xml:space="preserve">. </w:t>
      </w:r>
      <w:r w:rsidRPr="00FE74A5">
        <w:rPr>
          <w:rFonts w:ascii="Arial" w:eastAsia="Times New Roman" w:hAnsi="Arial" w:cs="Arial"/>
          <w:color w:val="22789A"/>
          <w:sz w:val="16"/>
          <w:szCs w:val="20"/>
        </w:rPr>
        <w:t>8752.0</w:t>
      </w:r>
      <w:r>
        <w:rPr>
          <w:rFonts w:ascii="Arial" w:eastAsia="Times New Roman" w:hAnsi="Arial" w:cs="Arial"/>
          <w:color w:val="22789A"/>
          <w:sz w:val="16"/>
          <w:szCs w:val="20"/>
        </w:rPr>
        <w:t>, table</w:t>
      </w:r>
      <w:r w:rsidR="00D05A8A">
        <w:rPr>
          <w:rFonts w:ascii="Arial" w:eastAsia="Times New Roman" w:hAnsi="Arial" w:cs="Arial"/>
          <w:color w:val="22789A"/>
          <w:sz w:val="16"/>
          <w:szCs w:val="20"/>
        </w:rPr>
        <w:t>s</w:t>
      </w:r>
      <w:r>
        <w:rPr>
          <w:rFonts w:ascii="Arial" w:eastAsia="Times New Roman" w:hAnsi="Arial" w:cs="Arial"/>
          <w:color w:val="22789A"/>
          <w:sz w:val="16"/>
          <w:szCs w:val="20"/>
        </w:rPr>
        <w:t xml:space="preserve"> 1 &amp; 3</w:t>
      </w:r>
      <w:r w:rsidRPr="002F4183">
        <w:rPr>
          <w:rFonts w:ascii="Arial" w:eastAsia="Times New Roman" w:hAnsi="Arial" w:cs="Arial"/>
          <w:color w:val="22789A"/>
          <w:sz w:val="16"/>
          <w:szCs w:val="20"/>
        </w:rPr>
        <w:t>.</w:t>
      </w:r>
    </w:p>
    <w:p w14:paraId="4CBBF6E7" w14:textId="6DBEBAD0" w:rsidR="00113DB0" w:rsidRDefault="00113DB0" w:rsidP="0090039F">
      <w:pPr>
        <w:spacing w:before="120" w:after="120"/>
        <w:jc w:val="both"/>
      </w:pPr>
      <w:r>
        <w:t xml:space="preserve">Future demand for steel </w:t>
      </w:r>
      <w:r w:rsidR="006049EB">
        <w:t xml:space="preserve">fabricated </w:t>
      </w:r>
      <w:r>
        <w:t xml:space="preserve">products from building construction sectors are expected to remain strong. There is a record amount of outstanding work to complete, the majority of which is in residential construction (see Figure 3.4). </w:t>
      </w:r>
      <w:r w:rsidR="00D1666C">
        <w:t>Based on</w:t>
      </w:r>
      <w:r w:rsidR="003640CF">
        <w:t xml:space="preserve"> </w:t>
      </w:r>
      <w:r w:rsidR="00D1666C">
        <w:t>ABS collected</w:t>
      </w:r>
      <w:r w:rsidR="003640CF">
        <w:t xml:space="preserve"> data, it</w:t>
      </w:r>
      <w:r>
        <w:t xml:space="preserve"> </w:t>
      </w:r>
      <w:r w:rsidR="003640CF">
        <w:t>has been</w:t>
      </w:r>
      <w:r>
        <w:t xml:space="preserve"> estimated that there is $82 billion worth of work in the pipeline. Near term, the demand for steel and its transformative products is expected to increase.</w:t>
      </w:r>
    </w:p>
    <w:p w14:paraId="61FBE231" w14:textId="77777777" w:rsidR="00113DB0" w:rsidRPr="002F4183" w:rsidRDefault="00113DB0" w:rsidP="00113DB0">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sidR="00156140">
        <w:rPr>
          <w:rFonts w:ascii="Arial" w:hAnsi="Arial"/>
          <w:bCs/>
          <w:color w:val="5B9BD5" w:themeColor="accent1"/>
          <w:sz w:val="18"/>
          <w:szCs w:val="18"/>
        </w:rPr>
        <w:t>3</w:t>
      </w:r>
      <w:r w:rsidRPr="002F4183">
        <w:rPr>
          <w:rFonts w:ascii="Arial" w:hAnsi="Arial"/>
          <w:bCs/>
          <w:color w:val="5B9BD5" w:themeColor="accent1"/>
          <w:sz w:val="18"/>
          <w:szCs w:val="18"/>
        </w:rPr>
        <w:t xml:space="preserve">.4: </w:t>
      </w:r>
      <w:r>
        <w:rPr>
          <w:rFonts w:ascii="Arial" w:hAnsi="Arial"/>
          <w:bCs/>
          <w:color w:val="5B9BD5" w:themeColor="accent1"/>
          <w:sz w:val="18"/>
          <w:szCs w:val="18"/>
        </w:rPr>
        <w:t>Value of Building work yet to be done</w:t>
      </w:r>
      <w:r w:rsidRPr="002F4183">
        <w:rPr>
          <w:rFonts w:ascii="Arial" w:hAnsi="Arial"/>
          <w:bCs/>
          <w:color w:val="5B9BD5" w:themeColor="accent1"/>
          <w:sz w:val="18"/>
          <w:szCs w:val="18"/>
        </w:rPr>
        <w:t xml:space="preserve">, </w:t>
      </w:r>
      <w:r>
        <w:rPr>
          <w:rFonts w:ascii="Arial" w:hAnsi="Arial"/>
          <w:bCs/>
          <w:color w:val="5B9BD5" w:themeColor="accent1"/>
          <w:sz w:val="18"/>
          <w:szCs w:val="18"/>
        </w:rPr>
        <w:t xml:space="preserve">December </w:t>
      </w:r>
      <w:r w:rsidRPr="002F4183">
        <w:rPr>
          <w:rFonts w:ascii="Arial" w:hAnsi="Arial"/>
          <w:bCs/>
          <w:color w:val="5B9BD5" w:themeColor="accent1"/>
          <w:sz w:val="18"/>
          <w:szCs w:val="18"/>
        </w:rPr>
        <w:t>200</w:t>
      </w:r>
      <w:r>
        <w:rPr>
          <w:rFonts w:ascii="Arial" w:hAnsi="Arial"/>
          <w:bCs/>
          <w:color w:val="5B9BD5" w:themeColor="accent1"/>
          <w:sz w:val="18"/>
          <w:szCs w:val="18"/>
        </w:rPr>
        <w:t>6</w:t>
      </w:r>
      <w:r w:rsidRPr="002F4183">
        <w:rPr>
          <w:rFonts w:ascii="Arial" w:hAnsi="Arial"/>
          <w:bCs/>
          <w:color w:val="5B9BD5" w:themeColor="accent1"/>
          <w:sz w:val="18"/>
          <w:szCs w:val="18"/>
        </w:rPr>
        <w:t xml:space="preserve"> to </w:t>
      </w:r>
      <w:r>
        <w:rPr>
          <w:rFonts w:ascii="Arial" w:hAnsi="Arial"/>
          <w:bCs/>
          <w:color w:val="5B9BD5" w:themeColor="accent1"/>
          <w:sz w:val="18"/>
          <w:szCs w:val="18"/>
        </w:rPr>
        <w:t xml:space="preserve">December </w:t>
      </w:r>
      <w:r w:rsidRPr="002F4183">
        <w:rPr>
          <w:rFonts w:ascii="Arial" w:hAnsi="Arial"/>
          <w:bCs/>
          <w:color w:val="5B9BD5" w:themeColor="accent1"/>
          <w:sz w:val="18"/>
          <w:szCs w:val="18"/>
        </w:rPr>
        <w:t>201</w:t>
      </w:r>
      <w:r>
        <w:rPr>
          <w:rFonts w:ascii="Arial" w:hAnsi="Arial"/>
          <w:bCs/>
          <w:color w:val="5B9BD5" w:themeColor="accent1"/>
          <w:sz w:val="18"/>
          <w:szCs w:val="18"/>
        </w:rPr>
        <w:t>6</w:t>
      </w:r>
    </w:p>
    <w:p w14:paraId="17216FAF" w14:textId="77777777" w:rsidR="00113DB0" w:rsidRDefault="00113DB0" w:rsidP="00113DB0">
      <w:pPr>
        <w:keepNext/>
        <w:keepLines/>
        <w:jc w:val="center"/>
        <w:rPr>
          <w:rFonts w:ascii="Arial" w:eastAsia="Times New Roman" w:hAnsi="Arial" w:cs="Arial"/>
          <w:color w:val="22789A"/>
          <w:sz w:val="16"/>
          <w:szCs w:val="20"/>
        </w:rPr>
      </w:pPr>
      <w:r>
        <w:rPr>
          <w:noProof/>
          <w:lang w:eastAsia="en-AU"/>
        </w:rPr>
        <w:drawing>
          <wp:inline distT="0" distB="0" distL="0" distR="0" wp14:anchorId="04A18FE1" wp14:editId="451964CF">
            <wp:extent cx="5692775" cy="2566035"/>
            <wp:effectExtent l="0" t="0" r="3175" b="571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8C6460B" w14:textId="77777777" w:rsidR="00113DB0" w:rsidRPr="002F4183" w:rsidRDefault="00113DB0" w:rsidP="00113DB0">
      <w:pPr>
        <w:keepNext/>
        <w:keepLines/>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Pr>
          <w:rFonts w:ascii="Arial" w:eastAsia="Times New Roman" w:hAnsi="Arial" w:cs="Arial"/>
          <w:color w:val="22789A"/>
          <w:sz w:val="16"/>
          <w:szCs w:val="20"/>
        </w:rPr>
        <w:t>Chain volume measures; trend data</w:t>
      </w:r>
      <w:r w:rsidRPr="002F4183">
        <w:rPr>
          <w:rFonts w:ascii="Arial" w:eastAsia="Times New Roman" w:hAnsi="Arial" w:cs="Arial"/>
          <w:color w:val="22789A"/>
          <w:sz w:val="16"/>
          <w:szCs w:val="20"/>
        </w:rPr>
        <w:t>.</w:t>
      </w:r>
    </w:p>
    <w:p w14:paraId="6979FA0C"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ABS, </w:t>
      </w:r>
      <w:r w:rsidRPr="00FE74A5">
        <w:rPr>
          <w:rFonts w:ascii="Arial" w:eastAsia="Times New Roman" w:hAnsi="Arial" w:cs="Arial"/>
          <w:color w:val="22789A"/>
          <w:sz w:val="16"/>
          <w:szCs w:val="20"/>
        </w:rPr>
        <w:t xml:space="preserve">Building Activity, Australia, </w:t>
      </w:r>
      <w:r w:rsidR="00D05A8A">
        <w:rPr>
          <w:rFonts w:ascii="Arial" w:eastAsia="Times New Roman" w:hAnsi="Arial" w:cs="Arial"/>
          <w:color w:val="22789A"/>
          <w:sz w:val="16"/>
          <w:szCs w:val="20"/>
        </w:rPr>
        <w:t>Dec</w:t>
      </w:r>
      <w:r w:rsidRPr="00D05A8A">
        <w:rPr>
          <w:rFonts w:ascii="Arial" w:eastAsia="Times New Roman" w:hAnsi="Arial" w:cs="Arial"/>
          <w:color w:val="22789A"/>
          <w:sz w:val="16"/>
          <w:szCs w:val="20"/>
        </w:rPr>
        <w:t xml:space="preserve"> 2016,</w:t>
      </w:r>
      <w:r w:rsidRPr="002F4183">
        <w:rPr>
          <w:rFonts w:ascii="Arial" w:eastAsia="Times New Roman" w:hAnsi="Arial" w:cs="Arial"/>
          <w:color w:val="22789A"/>
          <w:sz w:val="16"/>
          <w:szCs w:val="20"/>
        </w:rPr>
        <w:t xml:space="preserve"> cat. </w:t>
      </w:r>
      <w:proofErr w:type="gramStart"/>
      <w:r w:rsidRPr="002F4183">
        <w:rPr>
          <w:rFonts w:ascii="Arial" w:eastAsia="Times New Roman" w:hAnsi="Arial" w:cs="Arial"/>
          <w:color w:val="22789A"/>
          <w:sz w:val="16"/>
          <w:szCs w:val="20"/>
        </w:rPr>
        <w:t>no</w:t>
      </w:r>
      <w:proofErr w:type="gramEnd"/>
      <w:r w:rsidRPr="002F4183">
        <w:rPr>
          <w:rFonts w:ascii="Arial" w:eastAsia="Times New Roman" w:hAnsi="Arial" w:cs="Arial"/>
          <w:color w:val="22789A"/>
          <w:sz w:val="16"/>
          <w:szCs w:val="20"/>
        </w:rPr>
        <w:t xml:space="preserve">. </w:t>
      </w:r>
      <w:r w:rsidRPr="00FE74A5">
        <w:rPr>
          <w:rFonts w:ascii="Arial" w:eastAsia="Times New Roman" w:hAnsi="Arial" w:cs="Arial"/>
          <w:color w:val="22789A"/>
          <w:sz w:val="16"/>
          <w:szCs w:val="20"/>
        </w:rPr>
        <w:t>8752.0</w:t>
      </w:r>
      <w:r>
        <w:rPr>
          <w:rFonts w:ascii="Arial" w:eastAsia="Times New Roman" w:hAnsi="Arial" w:cs="Arial"/>
          <w:color w:val="22789A"/>
          <w:sz w:val="16"/>
          <w:szCs w:val="20"/>
        </w:rPr>
        <w:t>, table 78</w:t>
      </w:r>
      <w:r w:rsidRPr="002F4183">
        <w:rPr>
          <w:rFonts w:ascii="Arial" w:eastAsia="Times New Roman" w:hAnsi="Arial" w:cs="Arial"/>
          <w:color w:val="22789A"/>
          <w:sz w:val="16"/>
          <w:szCs w:val="20"/>
        </w:rPr>
        <w:t>.</w:t>
      </w:r>
    </w:p>
    <w:p w14:paraId="077A877D" w14:textId="77777777" w:rsidR="00113DB0" w:rsidRPr="00B3231A" w:rsidRDefault="00113DB0" w:rsidP="00B3231A">
      <w:pPr>
        <w:keepNext/>
        <w:spacing w:before="120" w:after="120"/>
        <w:rPr>
          <w:i/>
          <w:color w:val="2E74B5" w:themeColor="accent1" w:themeShade="BF"/>
        </w:rPr>
      </w:pPr>
      <w:bookmarkStart w:id="31" w:name="_Toc487532395"/>
      <w:r w:rsidRPr="00B3231A">
        <w:rPr>
          <w:i/>
          <w:color w:val="2E74B5" w:themeColor="accent1" w:themeShade="BF"/>
        </w:rPr>
        <w:t>Engineering construction</w:t>
      </w:r>
      <w:bookmarkEnd w:id="31"/>
    </w:p>
    <w:p w14:paraId="02AC73D2" w14:textId="77777777" w:rsidR="00113DB0" w:rsidRDefault="00113DB0" w:rsidP="00B371D3">
      <w:pPr>
        <w:spacing w:before="120" w:after="120"/>
        <w:jc w:val="both"/>
      </w:pPr>
      <w:r>
        <w:t xml:space="preserve">Engineering construction activity is, to a large extent, driven by investment by </w:t>
      </w:r>
      <w:r w:rsidR="00826E08">
        <w:t xml:space="preserve">the mining and </w:t>
      </w:r>
      <w:r>
        <w:t xml:space="preserve">infrastructure industries and government. The increase and subsequent decrease in total engineering construction work has been primarily driven by the </w:t>
      </w:r>
      <w:r w:rsidR="0036618A">
        <w:t>m</w:t>
      </w:r>
      <w:r>
        <w:t>ining industry. From 2006 to 2011, engineering construction increased about 10 per cent per annum. During the final years of the mining investment phase, growth in investment was three to four times this. Since 2012 (and post the commodities boom), mining construction has fallen, with total engineering construction following this downward trend.</w:t>
      </w:r>
    </w:p>
    <w:p w14:paraId="2CE3F59D" w14:textId="77777777" w:rsidR="00113DB0" w:rsidRDefault="00113DB0" w:rsidP="00B371D3">
      <w:pPr>
        <w:spacing w:before="120" w:after="120"/>
        <w:jc w:val="both"/>
      </w:pPr>
      <w:r>
        <w:t xml:space="preserve">The transport sector also </w:t>
      </w:r>
      <w:r w:rsidR="002E755F">
        <w:t xml:space="preserve">received </w:t>
      </w:r>
      <w:r>
        <w:t>a boost from the mining investment phase and has fallen since. Investment in railways at its peak at the end of 2012 was more than double its pre- and post-boom levels. Investment in harbours has fallen even more, with investment down almost 90 per cent since its peak at the end of 2012.</w:t>
      </w:r>
    </w:p>
    <w:p w14:paraId="405255F7" w14:textId="77777777" w:rsidR="00113DB0" w:rsidRPr="002F4183" w:rsidRDefault="00113DB0" w:rsidP="00113DB0">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3</w:t>
      </w:r>
      <w:r w:rsidRPr="002F4183">
        <w:rPr>
          <w:rFonts w:ascii="Arial" w:hAnsi="Arial"/>
          <w:bCs/>
          <w:color w:val="5B9BD5" w:themeColor="accent1"/>
          <w:sz w:val="18"/>
          <w:szCs w:val="18"/>
        </w:rPr>
        <w:t>.</w:t>
      </w:r>
      <w:r>
        <w:rPr>
          <w:rFonts w:ascii="Arial" w:hAnsi="Arial"/>
          <w:bCs/>
          <w:color w:val="5B9BD5" w:themeColor="accent1"/>
          <w:sz w:val="18"/>
          <w:szCs w:val="18"/>
        </w:rPr>
        <w:t>5</w:t>
      </w:r>
      <w:r w:rsidRPr="002F4183">
        <w:rPr>
          <w:rFonts w:ascii="Arial" w:hAnsi="Arial"/>
          <w:bCs/>
          <w:color w:val="5B9BD5" w:themeColor="accent1"/>
          <w:sz w:val="18"/>
          <w:szCs w:val="18"/>
        </w:rPr>
        <w:t xml:space="preserve">: </w:t>
      </w:r>
      <w:r>
        <w:rPr>
          <w:rFonts w:ascii="Arial" w:hAnsi="Arial"/>
          <w:bCs/>
          <w:color w:val="5B9BD5" w:themeColor="accent1"/>
          <w:sz w:val="18"/>
          <w:szCs w:val="18"/>
        </w:rPr>
        <w:t>Value of Engineering Construction by sector</w:t>
      </w:r>
      <w:r w:rsidRPr="002F4183">
        <w:rPr>
          <w:rFonts w:ascii="Arial" w:hAnsi="Arial"/>
          <w:bCs/>
          <w:color w:val="5B9BD5" w:themeColor="accent1"/>
          <w:sz w:val="18"/>
          <w:szCs w:val="18"/>
        </w:rPr>
        <w:t xml:space="preserve">, </w:t>
      </w:r>
      <w:r>
        <w:rPr>
          <w:rFonts w:ascii="Arial" w:hAnsi="Arial"/>
          <w:bCs/>
          <w:color w:val="5B9BD5" w:themeColor="accent1"/>
          <w:sz w:val="18"/>
          <w:szCs w:val="18"/>
        </w:rPr>
        <w:t xml:space="preserve">December </w:t>
      </w:r>
      <w:r w:rsidRPr="002F4183">
        <w:rPr>
          <w:rFonts w:ascii="Arial" w:hAnsi="Arial"/>
          <w:bCs/>
          <w:color w:val="5B9BD5" w:themeColor="accent1"/>
          <w:sz w:val="18"/>
          <w:szCs w:val="18"/>
        </w:rPr>
        <w:t>200</w:t>
      </w:r>
      <w:r>
        <w:rPr>
          <w:rFonts w:ascii="Arial" w:hAnsi="Arial"/>
          <w:bCs/>
          <w:color w:val="5B9BD5" w:themeColor="accent1"/>
          <w:sz w:val="18"/>
          <w:szCs w:val="18"/>
        </w:rPr>
        <w:t>6</w:t>
      </w:r>
      <w:r w:rsidRPr="002F4183">
        <w:rPr>
          <w:rFonts w:ascii="Arial" w:hAnsi="Arial"/>
          <w:bCs/>
          <w:color w:val="5B9BD5" w:themeColor="accent1"/>
          <w:sz w:val="18"/>
          <w:szCs w:val="18"/>
        </w:rPr>
        <w:t xml:space="preserve"> to </w:t>
      </w:r>
      <w:r>
        <w:rPr>
          <w:rFonts w:ascii="Arial" w:hAnsi="Arial"/>
          <w:bCs/>
          <w:color w:val="5B9BD5" w:themeColor="accent1"/>
          <w:sz w:val="18"/>
          <w:szCs w:val="18"/>
        </w:rPr>
        <w:t xml:space="preserve">December </w:t>
      </w:r>
      <w:r w:rsidRPr="002F4183">
        <w:rPr>
          <w:rFonts w:ascii="Arial" w:hAnsi="Arial"/>
          <w:bCs/>
          <w:color w:val="5B9BD5" w:themeColor="accent1"/>
          <w:sz w:val="18"/>
          <w:szCs w:val="18"/>
        </w:rPr>
        <w:t>201</w:t>
      </w:r>
      <w:r>
        <w:rPr>
          <w:rFonts w:ascii="Arial" w:hAnsi="Arial"/>
          <w:bCs/>
          <w:color w:val="5B9BD5" w:themeColor="accent1"/>
          <w:sz w:val="18"/>
          <w:szCs w:val="18"/>
        </w:rPr>
        <w:t>6</w:t>
      </w:r>
    </w:p>
    <w:p w14:paraId="31B8AB9D" w14:textId="77777777" w:rsidR="00113DB0" w:rsidRDefault="00113DB0" w:rsidP="00113DB0">
      <w:pPr>
        <w:keepNext/>
        <w:keepLines/>
        <w:jc w:val="center"/>
        <w:rPr>
          <w:rFonts w:ascii="Arial" w:eastAsia="Times New Roman" w:hAnsi="Arial" w:cs="Arial"/>
          <w:color w:val="22789A"/>
          <w:sz w:val="16"/>
          <w:szCs w:val="20"/>
        </w:rPr>
      </w:pPr>
      <w:r>
        <w:rPr>
          <w:noProof/>
          <w:lang w:eastAsia="en-AU"/>
        </w:rPr>
        <w:drawing>
          <wp:inline distT="0" distB="0" distL="0" distR="0" wp14:anchorId="7A3D2A45" wp14:editId="178B8770">
            <wp:extent cx="5732145" cy="2623185"/>
            <wp:effectExtent l="0" t="0" r="1905" b="571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49C796F" w14:textId="77777777" w:rsidR="00113DB0" w:rsidRPr="002F4183" w:rsidRDefault="00113DB0" w:rsidP="00113DB0">
      <w:pPr>
        <w:keepNext/>
        <w:keepLines/>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Pr>
          <w:rFonts w:ascii="Arial" w:eastAsia="Times New Roman" w:hAnsi="Arial" w:cs="Arial"/>
          <w:color w:val="22789A"/>
          <w:sz w:val="16"/>
          <w:szCs w:val="20"/>
        </w:rPr>
        <w:t>Original data</w:t>
      </w:r>
      <w:r w:rsidRPr="002F4183">
        <w:rPr>
          <w:rFonts w:ascii="Arial" w:eastAsia="Times New Roman" w:hAnsi="Arial" w:cs="Arial"/>
          <w:color w:val="22789A"/>
          <w:sz w:val="16"/>
          <w:szCs w:val="20"/>
        </w:rPr>
        <w:t>.</w:t>
      </w:r>
    </w:p>
    <w:p w14:paraId="51EB512B"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ABS, </w:t>
      </w:r>
      <w:r w:rsidRPr="005A1B0B">
        <w:rPr>
          <w:rFonts w:ascii="Arial" w:eastAsia="Times New Roman" w:hAnsi="Arial" w:cs="Arial"/>
          <w:color w:val="22789A"/>
          <w:sz w:val="16"/>
          <w:szCs w:val="20"/>
        </w:rPr>
        <w:t xml:space="preserve">Engineering Construction Activity, Australia, </w:t>
      </w:r>
      <w:r>
        <w:rPr>
          <w:rFonts w:ascii="Arial" w:eastAsia="Times New Roman" w:hAnsi="Arial" w:cs="Arial"/>
          <w:color w:val="22789A"/>
          <w:sz w:val="16"/>
          <w:szCs w:val="20"/>
        </w:rPr>
        <w:t>Dec</w:t>
      </w:r>
      <w:r w:rsidRPr="005A1B0B">
        <w:rPr>
          <w:rFonts w:ascii="Arial" w:eastAsia="Times New Roman" w:hAnsi="Arial" w:cs="Arial"/>
          <w:color w:val="22789A"/>
          <w:sz w:val="16"/>
          <w:szCs w:val="20"/>
        </w:rPr>
        <w:t xml:space="preserve"> 2016</w:t>
      </w:r>
      <w:r w:rsidRPr="002F4183">
        <w:rPr>
          <w:rFonts w:ascii="Arial" w:eastAsia="Times New Roman" w:hAnsi="Arial" w:cs="Arial"/>
          <w:color w:val="22789A"/>
          <w:sz w:val="16"/>
          <w:szCs w:val="20"/>
        </w:rPr>
        <w:t xml:space="preserve">, cat. </w:t>
      </w:r>
      <w:proofErr w:type="gramStart"/>
      <w:r w:rsidRPr="002F4183">
        <w:rPr>
          <w:rFonts w:ascii="Arial" w:eastAsia="Times New Roman" w:hAnsi="Arial" w:cs="Arial"/>
          <w:color w:val="22789A"/>
          <w:sz w:val="16"/>
          <w:szCs w:val="20"/>
        </w:rPr>
        <w:t>no</w:t>
      </w:r>
      <w:proofErr w:type="gramEnd"/>
      <w:r w:rsidRPr="002F4183">
        <w:rPr>
          <w:rFonts w:ascii="Arial" w:eastAsia="Times New Roman" w:hAnsi="Arial" w:cs="Arial"/>
          <w:color w:val="22789A"/>
          <w:sz w:val="16"/>
          <w:szCs w:val="20"/>
        </w:rPr>
        <w:t xml:space="preserve">. </w:t>
      </w:r>
      <w:r>
        <w:rPr>
          <w:rFonts w:ascii="Arial" w:eastAsia="Times New Roman" w:hAnsi="Arial" w:cs="Arial"/>
          <w:color w:val="22789A"/>
          <w:sz w:val="16"/>
          <w:szCs w:val="20"/>
        </w:rPr>
        <w:t>876</w:t>
      </w:r>
      <w:r w:rsidRPr="00FE74A5">
        <w:rPr>
          <w:rFonts w:ascii="Arial" w:eastAsia="Times New Roman" w:hAnsi="Arial" w:cs="Arial"/>
          <w:color w:val="22789A"/>
          <w:sz w:val="16"/>
          <w:szCs w:val="20"/>
        </w:rPr>
        <w:t>2.0</w:t>
      </w:r>
      <w:r>
        <w:rPr>
          <w:rFonts w:ascii="Arial" w:eastAsia="Times New Roman" w:hAnsi="Arial" w:cs="Arial"/>
          <w:color w:val="22789A"/>
          <w:sz w:val="16"/>
          <w:szCs w:val="20"/>
        </w:rPr>
        <w:t>, table 6</w:t>
      </w:r>
      <w:r w:rsidRPr="002F4183">
        <w:rPr>
          <w:rFonts w:ascii="Arial" w:eastAsia="Times New Roman" w:hAnsi="Arial" w:cs="Arial"/>
          <w:color w:val="22789A"/>
          <w:sz w:val="16"/>
          <w:szCs w:val="20"/>
        </w:rPr>
        <w:t>.</w:t>
      </w:r>
    </w:p>
    <w:p w14:paraId="4B95C127" w14:textId="77777777" w:rsidR="00113DB0" w:rsidRDefault="00113DB0" w:rsidP="00B371D3">
      <w:pPr>
        <w:spacing w:before="120" w:after="120"/>
        <w:jc w:val="both"/>
      </w:pPr>
      <w:r>
        <w:t xml:space="preserve">The value of engineering construction work yet to be done has fallen significantly, now sitting at less than half its value in 2012. With </w:t>
      </w:r>
      <w:r w:rsidR="0036618A">
        <w:t>m</w:t>
      </w:r>
      <w:r>
        <w:t xml:space="preserve">ining investment continuing to decrease, there is potential for this to drop further in the coming years. The only growth area is in future </w:t>
      </w:r>
      <w:r w:rsidR="002E755F">
        <w:t>t</w:t>
      </w:r>
      <w:r>
        <w:t xml:space="preserve">ransport construction. This has been driven by investment in roads, highways and subdivisions and to a lesser extent railway construction. These two sectors are offsetting the drag that future construction in harbors is having in the </w:t>
      </w:r>
      <w:r w:rsidR="002E755F">
        <w:t>t</w:t>
      </w:r>
      <w:r>
        <w:t>ransport sector. In 2013, future construction in roads and harbours was the same at $</w:t>
      </w:r>
      <w:r w:rsidR="002E755F">
        <w:t>9 </w:t>
      </w:r>
      <w:r>
        <w:t>billion; at end December 2016, future road construction had increased to $18.8 billion while future harbo</w:t>
      </w:r>
      <w:r w:rsidR="00A969AD">
        <w:t>u</w:t>
      </w:r>
      <w:r>
        <w:t xml:space="preserve">r construction was expected to </w:t>
      </w:r>
      <w:r w:rsidR="002E755F">
        <w:t>fall significantly to</w:t>
      </w:r>
      <w:r>
        <w:t xml:space="preserve"> $0.8 billion.</w:t>
      </w:r>
    </w:p>
    <w:p w14:paraId="4B1FC989" w14:textId="77777777" w:rsidR="00113DB0" w:rsidRPr="002F4183" w:rsidRDefault="00113DB0" w:rsidP="00113DB0">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3</w:t>
      </w:r>
      <w:r w:rsidRPr="002F4183">
        <w:rPr>
          <w:rFonts w:ascii="Arial" w:hAnsi="Arial"/>
          <w:bCs/>
          <w:color w:val="5B9BD5" w:themeColor="accent1"/>
          <w:sz w:val="18"/>
          <w:szCs w:val="18"/>
        </w:rPr>
        <w:t>.</w:t>
      </w:r>
      <w:r>
        <w:rPr>
          <w:rFonts w:ascii="Arial" w:hAnsi="Arial"/>
          <w:bCs/>
          <w:color w:val="5B9BD5" w:themeColor="accent1"/>
          <w:sz w:val="18"/>
          <w:szCs w:val="18"/>
        </w:rPr>
        <w:t>6</w:t>
      </w:r>
      <w:r w:rsidRPr="002F4183">
        <w:rPr>
          <w:rFonts w:ascii="Arial" w:hAnsi="Arial"/>
          <w:bCs/>
          <w:color w:val="5B9BD5" w:themeColor="accent1"/>
          <w:sz w:val="18"/>
          <w:szCs w:val="18"/>
        </w:rPr>
        <w:t xml:space="preserve">: </w:t>
      </w:r>
      <w:r>
        <w:rPr>
          <w:rFonts w:ascii="Arial" w:hAnsi="Arial"/>
          <w:bCs/>
          <w:color w:val="5B9BD5" w:themeColor="accent1"/>
          <w:sz w:val="18"/>
          <w:szCs w:val="18"/>
        </w:rPr>
        <w:t>Value of Engineering Construction work yet to be done</w:t>
      </w:r>
      <w:r w:rsidRPr="002F4183">
        <w:rPr>
          <w:rFonts w:ascii="Arial" w:hAnsi="Arial"/>
          <w:bCs/>
          <w:color w:val="5B9BD5" w:themeColor="accent1"/>
          <w:sz w:val="18"/>
          <w:szCs w:val="18"/>
        </w:rPr>
        <w:t xml:space="preserve">, </w:t>
      </w:r>
      <w:r>
        <w:rPr>
          <w:rFonts w:ascii="Arial" w:hAnsi="Arial"/>
          <w:bCs/>
          <w:color w:val="5B9BD5" w:themeColor="accent1"/>
          <w:sz w:val="18"/>
          <w:szCs w:val="18"/>
        </w:rPr>
        <w:t xml:space="preserve">December </w:t>
      </w:r>
      <w:r w:rsidRPr="002F4183">
        <w:rPr>
          <w:rFonts w:ascii="Arial" w:hAnsi="Arial"/>
          <w:bCs/>
          <w:color w:val="5B9BD5" w:themeColor="accent1"/>
          <w:sz w:val="18"/>
          <w:szCs w:val="18"/>
        </w:rPr>
        <w:t>200</w:t>
      </w:r>
      <w:r>
        <w:rPr>
          <w:rFonts w:ascii="Arial" w:hAnsi="Arial"/>
          <w:bCs/>
          <w:color w:val="5B9BD5" w:themeColor="accent1"/>
          <w:sz w:val="18"/>
          <w:szCs w:val="18"/>
        </w:rPr>
        <w:t>6</w:t>
      </w:r>
      <w:r w:rsidRPr="002F4183">
        <w:rPr>
          <w:rFonts w:ascii="Arial" w:hAnsi="Arial"/>
          <w:bCs/>
          <w:color w:val="5B9BD5" w:themeColor="accent1"/>
          <w:sz w:val="18"/>
          <w:szCs w:val="18"/>
        </w:rPr>
        <w:t xml:space="preserve"> to </w:t>
      </w:r>
      <w:r>
        <w:rPr>
          <w:rFonts w:ascii="Arial" w:hAnsi="Arial"/>
          <w:bCs/>
          <w:color w:val="5B9BD5" w:themeColor="accent1"/>
          <w:sz w:val="18"/>
          <w:szCs w:val="18"/>
        </w:rPr>
        <w:t xml:space="preserve">December </w:t>
      </w:r>
      <w:r w:rsidRPr="002F4183">
        <w:rPr>
          <w:rFonts w:ascii="Arial" w:hAnsi="Arial"/>
          <w:bCs/>
          <w:color w:val="5B9BD5" w:themeColor="accent1"/>
          <w:sz w:val="18"/>
          <w:szCs w:val="18"/>
        </w:rPr>
        <w:t>201</w:t>
      </w:r>
      <w:r>
        <w:rPr>
          <w:rFonts w:ascii="Arial" w:hAnsi="Arial"/>
          <w:bCs/>
          <w:color w:val="5B9BD5" w:themeColor="accent1"/>
          <w:sz w:val="18"/>
          <w:szCs w:val="18"/>
        </w:rPr>
        <w:t>6</w:t>
      </w:r>
    </w:p>
    <w:p w14:paraId="1D837AD7" w14:textId="77777777" w:rsidR="00113DB0" w:rsidRDefault="00113DB0" w:rsidP="00113DB0">
      <w:pPr>
        <w:keepNext/>
        <w:keepLines/>
        <w:jc w:val="center"/>
        <w:rPr>
          <w:rFonts w:ascii="Arial" w:eastAsia="Times New Roman" w:hAnsi="Arial" w:cs="Arial"/>
          <w:color w:val="22789A"/>
          <w:sz w:val="16"/>
          <w:szCs w:val="20"/>
        </w:rPr>
      </w:pPr>
      <w:r>
        <w:rPr>
          <w:noProof/>
          <w:lang w:eastAsia="en-AU"/>
        </w:rPr>
        <w:drawing>
          <wp:inline distT="0" distB="0" distL="0" distR="0" wp14:anchorId="5ED79C97" wp14:editId="109F42F2">
            <wp:extent cx="5732145" cy="2623185"/>
            <wp:effectExtent l="0" t="0" r="1905" b="571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80C5D6D" w14:textId="77777777" w:rsidR="00113DB0" w:rsidRPr="002F4183" w:rsidRDefault="00113DB0" w:rsidP="00113DB0">
      <w:pPr>
        <w:keepNext/>
        <w:keepLines/>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Pr>
          <w:rFonts w:ascii="Arial" w:eastAsia="Times New Roman" w:hAnsi="Arial" w:cs="Arial"/>
          <w:color w:val="22789A"/>
          <w:sz w:val="16"/>
          <w:szCs w:val="20"/>
        </w:rPr>
        <w:t>Original data</w:t>
      </w:r>
      <w:r w:rsidRPr="002F4183">
        <w:rPr>
          <w:rFonts w:ascii="Arial" w:eastAsia="Times New Roman" w:hAnsi="Arial" w:cs="Arial"/>
          <w:color w:val="22789A"/>
          <w:sz w:val="16"/>
          <w:szCs w:val="20"/>
        </w:rPr>
        <w:t>.</w:t>
      </w:r>
    </w:p>
    <w:p w14:paraId="6D68F7D6"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ABS, </w:t>
      </w:r>
      <w:r w:rsidRPr="005A1B0B">
        <w:rPr>
          <w:rFonts w:ascii="Arial" w:eastAsia="Times New Roman" w:hAnsi="Arial" w:cs="Arial"/>
          <w:color w:val="22789A"/>
          <w:sz w:val="16"/>
          <w:szCs w:val="20"/>
        </w:rPr>
        <w:t xml:space="preserve">Engineering Construction Activity, Australia, </w:t>
      </w:r>
      <w:r>
        <w:rPr>
          <w:rFonts w:ascii="Arial" w:eastAsia="Times New Roman" w:hAnsi="Arial" w:cs="Arial"/>
          <w:color w:val="22789A"/>
          <w:sz w:val="16"/>
          <w:szCs w:val="20"/>
        </w:rPr>
        <w:t>Dec</w:t>
      </w:r>
      <w:r w:rsidRPr="005A1B0B">
        <w:rPr>
          <w:rFonts w:ascii="Arial" w:eastAsia="Times New Roman" w:hAnsi="Arial" w:cs="Arial"/>
          <w:color w:val="22789A"/>
          <w:sz w:val="16"/>
          <w:szCs w:val="20"/>
        </w:rPr>
        <w:t xml:space="preserve"> 2016</w:t>
      </w:r>
      <w:r w:rsidRPr="002F4183">
        <w:rPr>
          <w:rFonts w:ascii="Arial" w:eastAsia="Times New Roman" w:hAnsi="Arial" w:cs="Arial"/>
          <w:color w:val="22789A"/>
          <w:sz w:val="16"/>
          <w:szCs w:val="20"/>
        </w:rPr>
        <w:t xml:space="preserve">, cat. </w:t>
      </w:r>
      <w:proofErr w:type="gramStart"/>
      <w:r w:rsidRPr="002F4183">
        <w:rPr>
          <w:rFonts w:ascii="Arial" w:eastAsia="Times New Roman" w:hAnsi="Arial" w:cs="Arial"/>
          <w:color w:val="22789A"/>
          <w:sz w:val="16"/>
          <w:szCs w:val="20"/>
        </w:rPr>
        <w:t>no</w:t>
      </w:r>
      <w:proofErr w:type="gramEnd"/>
      <w:r w:rsidRPr="002F4183">
        <w:rPr>
          <w:rFonts w:ascii="Arial" w:eastAsia="Times New Roman" w:hAnsi="Arial" w:cs="Arial"/>
          <w:color w:val="22789A"/>
          <w:sz w:val="16"/>
          <w:szCs w:val="20"/>
        </w:rPr>
        <w:t xml:space="preserve">. </w:t>
      </w:r>
      <w:r>
        <w:rPr>
          <w:rFonts w:ascii="Arial" w:eastAsia="Times New Roman" w:hAnsi="Arial" w:cs="Arial"/>
          <w:color w:val="22789A"/>
          <w:sz w:val="16"/>
          <w:szCs w:val="20"/>
        </w:rPr>
        <w:t>876</w:t>
      </w:r>
      <w:r w:rsidRPr="00FE74A5">
        <w:rPr>
          <w:rFonts w:ascii="Arial" w:eastAsia="Times New Roman" w:hAnsi="Arial" w:cs="Arial"/>
          <w:color w:val="22789A"/>
          <w:sz w:val="16"/>
          <w:szCs w:val="20"/>
        </w:rPr>
        <w:t>2.0</w:t>
      </w:r>
      <w:r>
        <w:rPr>
          <w:rFonts w:ascii="Arial" w:eastAsia="Times New Roman" w:hAnsi="Arial" w:cs="Arial"/>
          <w:color w:val="22789A"/>
          <w:sz w:val="16"/>
          <w:szCs w:val="20"/>
        </w:rPr>
        <w:t>, table 6</w:t>
      </w:r>
      <w:r w:rsidRPr="002F4183">
        <w:rPr>
          <w:rFonts w:ascii="Arial" w:eastAsia="Times New Roman" w:hAnsi="Arial" w:cs="Arial"/>
          <w:color w:val="22789A"/>
          <w:sz w:val="16"/>
          <w:szCs w:val="20"/>
        </w:rPr>
        <w:t>.</w:t>
      </w:r>
    </w:p>
    <w:p w14:paraId="726C12A6" w14:textId="69E8B77C" w:rsidR="00B371D3" w:rsidRDefault="00B371D3" w:rsidP="00707084">
      <w:pPr>
        <w:spacing w:before="120" w:after="120"/>
        <w:jc w:val="both"/>
      </w:pPr>
      <w:bookmarkStart w:id="32" w:name="_Toc487532396"/>
      <w:r>
        <w:t>A private forecaster BIS Oxford Economics has similarly forecast strong transport construction, particularly for road and rail projects</w:t>
      </w:r>
      <w:r w:rsidR="00542494">
        <w:t xml:space="preserve">. Details of the </w:t>
      </w:r>
      <w:r w:rsidR="00707084">
        <w:t>major</w:t>
      </w:r>
      <w:r w:rsidR="00542494">
        <w:t xml:space="preserve"> projects are shown in</w:t>
      </w:r>
      <w:r>
        <w:t xml:space="preserve"> Figure 3.7.</w:t>
      </w:r>
      <w:r w:rsidR="00307930">
        <w:t xml:space="preserve"> </w:t>
      </w:r>
    </w:p>
    <w:p w14:paraId="660A2C8E" w14:textId="6A1D79F0" w:rsidR="00CD7E92" w:rsidRPr="002F4183" w:rsidRDefault="00CD7E92" w:rsidP="00CD7E92">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3</w:t>
      </w:r>
      <w:r w:rsidRPr="002F4183">
        <w:rPr>
          <w:rFonts w:ascii="Arial" w:hAnsi="Arial"/>
          <w:bCs/>
          <w:color w:val="5B9BD5" w:themeColor="accent1"/>
          <w:sz w:val="18"/>
          <w:szCs w:val="18"/>
        </w:rPr>
        <w:t>.</w:t>
      </w:r>
      <w:r>
        <w:rPr>
          <w:rFonts w:ascii="Arial" w:hAnsi="Arial"/>
          <w:bCs/>
          <w:color w:val="5B9BD5" w:themeColor="accent1"/>
          <w:sz w:val="18"/>
          <w:szCs w:val="18"/>
        </w:rPr>
        <w:t>7</w:t>
      </w:r>
      <w:r w:rsidRPr="002F4183">
        <w:rPr>
          <w:rFonts w:ascii="Arial" w:hAnsi="Arial"/>
          <w:bCs/>
          <w:color w:val="5B9BD5" w:themeColor="accent1"/>
          <w:sz w:val="18"/>
          <w:szCs w:val="18"/>
        </w:rPr>
        <w:t xml:space="preserve">: </w:t>
      </w:r>
      <w:r>
        <w:rPr>
          <w:rFonts w:ascii="Arial" w:hAnsi="Arial"/>
          <w:bCs/>
          <w:color w:val="5B9BD5" w:themeColor="accent1"/>
          <w:sz w:val="18"/>
          <w:szCs w:val="18"/>
        </w:rPr>
        <w:t>Major transport projects</w:t>
      </w:r>
      <w:r w:rsidR="008317E3">
        <w:rPr>
          <w:rFonts w:ascii="Arial" w:hAnsi="Arial"/>
          <w:bCs/>
          <w:color w:val="5B9BD5" w:themeColor="accent1"/>
          <w:sz w:val="18"/>
          <w:szCs w:val="18"/>
        </w:rPr>
        <w:t>, forecasts for decade to 2026,</w:t>
      </w:r>
      <w:r>
        <w:rPr>
          <w:rFonts w:ascii="Arial" w:hAnsi="Arial"/>
          <w:bCs/>
          <w:color w:val="5B9BD5" w:themeColor="accent1"/>
          <w:sz w:val="18"/>
          <w:szCs w:val="18"/>
        </w:rPr>
        <w:t xml:space="preserve"> as at February </w:t>
      </w:r>
      <w:r w:rsidRPr="002F4183">
        <w:rPr>
          <w:rFonts w:ascii="Arial" w:hAnsi="Arial"/>
          <w:bCs/>
          <w:color w:val="5B9BD5" w:themeColor="accent1"/>
          <w:sz w:val="18"/>
          <w:szCs w:val="18"/>
        </w:rPr>
        <w:t>201</w:t>
      </w:r>
      <w:r>
        <w:rPr>
          <w:rFonts w:ascii="Arial" w:hAnsi="Arial"/>
          <w:bCs/>
          <w:color w:val="5B9BD5" w:themeColor="accent1"/>
          <w:sz w:val="18"/>
          <w:szCs w:val="18"/>
        </w:rPr>
        <w:t>7</w:t>
      </w:r>
    </w:p>
    <w:p w14:paraId="5176BEC9" w14:textId="032B1BFE" w:rsidR="00B371D3" w:rsidRDefault="00B371D3" w:rsidP="00B371D3">
      <w:pPr>
        <w:spacing w:before="120" w:after="120"/>
      </w:pPr>
      <w:r>
        <w:rPr>
          <w:noProof/>
          <w:lang w:eastAsia="en-AU"/>
        </w:rPr>
        <w:drawing>
          <wp:inline distT="0" distB="0" distL="0" distR="0" wp14:anchorId="44205463" wp14:editId="275232D5">
            <wp:extent cx="5648325" cy="61722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48325" cy="6172200"/>
                    </a:xfrm>
                    <a:prstGeom prst="rect">
                      <a:avLst/>
                    </a:prstGeom>
                  </pic:spPr>
                </pic:pic>
              </a:graphicData>
            </a:graphic>
          </wp:inline>
        </w:drawing>
      </w:r>
    </w:p>
    <w:p w14:paraId="57198096" w14:textId="36E047A4" w:rsidR="00307930" w:rsidRPr="002F4183" w:rsidRDefault="00307930" w:rsidP="0030793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w:t>
      </w:r>
      <w:r w:rsidRPr="00307930">
        <w:rPr>
          <w:rFonts w:ascii="Arial" w:eastAsia="Times New Roman" w:hAnsi="Arial" w:cs="Arial"/>
          <w:color w:val="22789A"/>
          <w:sz w:val="16"/>
          <w:szCs w:val="20"/>
        </w:rPr>
        <w:t>BIS Oxford Economics, ‘Major Transport Projects – Wave, Tsunami or Higher Tide?</w:t>
      </w:r>
      <w:proofErr w:type="gramStart"/>
      <w:r>
        <w:rPr>
          <w:rFonts w:ascii="Arial" w:eastAsia="Times New Roman" w:hAnsi="Arial" w:cs="Arial"/>
          <w:color w:val="22789A"/>
          <w:sz w:val="16"/>
          <w:szCs w:val="20"/>
        </w:rPr>
        <w:t>’</w:t>
      </w:r>
      <w:r w:rsidRPr="00307930">
        <w:rPr>
          <w:rFonts w:ascii="Arial" w:eastAsia="Times New Roman" w:hAnsi="Arial" w:cs="Arial"/>
          <w:color w:val="22789A"/>
          <w:sz w:val="16"/>
          <w:szCs w:val="20"/>
        </w:rPr>
        <w:t>,</w:t>
      </w:r>
      <w:proofErr w:type="gramEnd"/>
      <w:r w:rsidRPr="00307930">
        <w:rPr>
          <w:rFonts w:ascii="Arial" w:eastAsia="Times New Roman" w:hAnsi="Arial" w:cs="Arial"/>
          <w:color w:val="22789A"/>
          <w:sz w:val="16"/>
          <w:szCs w:val="20"/>
        </w:rPr>
        <w:t xml:space="preserve"> Blog post by Adrian Hart with contributions from Ronal Kumar, 23 February 2017, </w:t>
      </w:r>
      <w:hyperlink r:id="rId35" w:history="1">
        <w:r w:rsidRPr="00307930">
          <w:rPr>
            <w:rFonts w:ascii="Arial" w:eastAsia="Times New Roman" w:hAnsi="Arial" w:cs="Arial"/>
            <w:color w:val="22789A"/>
            <w:sz w:val="16"/>
            <w:szCs w:val="20"/>
          </w:rPr>
          <w:t>www2.bis.com.au/im-major-transport-projects-feb17.html</w:t>
        </w:r>
      </w:hyperlink>
      <w:r w:rsidRPr="002F4183">
        <w:rPr>
          <w:rFonts w:ascii="Arial" w:eastAsia="Times New Roman" w:hAnsi="Arial" w:cs="Arial"/>
          <w:color w:val="22789A"/>
          <w:sz w:val="16"/>
          <w:szCs w:val="20"/>
        </w:rPr>
        <w:t>.</w:t>
      </w:r>
      <w:r>
        <w:rPr>
          <w:rFonts w:ascii="Arial" w:eastAsia="Times New Roman" w:hAnsi="Arial" w:cs="Arial"/>
          <w:color w:val="22789A"/>
          <w:sz w:val="16"/>
          <w:szCs w:val="20"/>
        </w:rPr>
        <w:t xml:space="preserve"> </w:t>
      </w:r>
    </w:p>
    <w:p w14:paraId="6EF8B364" w14:textId="77777777" w:rsidR="00113DB0" w:rsidRPr="00F05A66" w:rsidRDefault="00113DB0" w:rsidP="00113DB0">
      <w:pPr>
        <w:pStyle w:val="Heading3"/>
        <w:spacing w:after="120"/>
      </w:pPr>
      <w:r>
        <w:t>Demand f</w:t>
      </w:r>
      <w:r w:rsidRPr="00F05A66">
        <w:t>r</w:t>
      </w:r>
      <w:r>
        <w:t xml:space="preserve">om </w:t>
      </w:r>
      <w:r w:rsidR="00E5082A">
        <w:t>m</w:t>
      </w:r>
      <w:r>
        <w:t>anufacturing</w:t>
      </w:r>
      <w:bookmarkEnd w:id="32"/>
    </w:p>
    <w:p w14:paraId="5606FDD6" w14:textId="169E8267" w:rsidR="00113DB0" w:rsidRDefault="00113DB0" w:rsidP="00707084">
      <w:pPr>
        <w:spacing w:before="120" w:after="120"/>
        <w:jc w:val="both"/>
      </w:pPr>
      <w:r>
        <w:t xml:space="preserve">The </w:t>
      </w:r>
      <w:r w:rsidR="0036618A">
        <w:t>m</w:t>
      </w:r>
      <w:r>
        <w:t xml:space="preserve">anufacturing industry is the second largest user of steel </w:t>
      </w:r>
      <w:r w:rsidR="006049EB">
        <w:t xml:space="preserve">fabricated </w:t>
      </w:r>
      <w:r>
        <w:t xml:space="preserve">products. It uses steel </w:t>
      </w:r>
      <w:r w:rsidR="006049EB">
        <w:t xml:space="preserve">fabricated </w:t>
      </w:r>
      <w:r>
        <w:t xml:space="preserve">goods for a variety of purposes, including in manufacturing processes (such as a </w:t>
      </w:r>
      <w:r w:rsidR="006049EB">
        <w:t>grain silo</w:t>
      </w:r>
      <w:r>
        <w:t xml:space="preserve">) or as direct inputs to products (such as the springs in furniture). </w:t>
      </w:r>
    </w:p>
    <w:p w14:paraId="6544D3FB" w14:textId="7189E4C1" w:rsidR="00113DB0" w:rsidRDefault="00113DB0" w:rsidP="00707084">
      <w:pPr>
        <w:spacing w:before="120" w:after="120"/>
        <w:jc w:val="both"/>
      </w:pPr>
      <w:r>
        <w:t xml:space="preserve">The </w:t>
      </w:r>
      <w:r w:rsidR="0036618A">
        <w:t>m</w:t>
      </w:r>
      <w:r>
        <w:t>anufacturing industry share of GDP has decline</w:t>
      </w:r>
      <w:r w:rsidR="00826E08">
        <w:t>d over an extended period</w:t>
      </w:r>
      <w:r>
        <w:t xml:space="preserve"> although recent data is mixed. In terms of employment, in the 12 months to February 2017, the </w:t>
      </w:r>
      <w:r w:rsidR="0036618A">
        <w:t>m</w:t>
      </w:r>
      <w:r>
        <w:t xml:space="preserve">anufacturing industry has added 39,900 employees (7.4 per cent). Many of the areas that grew use steel </w:t>
      </w:r>
      <w:r w:rsidR="006049EB">
        <w:t xml:space="preserve">fabricated </w:t>
      </w:r>
      <w:r>
        <w:t xml:space="preserve">goods. </w:t>
      </w:r>
    </w:p>
    <w:p w14:paraId="1C852AD6" w14:textId="77777777" w:rsidR="00113DB0" w:rsidRDefault="00113DB0" w:rsidP="00707084">
      <w:pPr>
        <w:spacing w:before="120" w:after="120"/>
        <w:jc w:val="both"/>
      </w:pPr>
      <w:r>
        <w:t xml:space="preserve">Other metrics are not showing the same improvement. Gross value added for the industry decreased over 23 consecutive quarters since September 2011, with the decline accelerating in the past year. The Producer Price Index shows both input and output prices largely static since 2011. The Business Indicators index also shows a decrease in the </w:t>
      </w:r>
      <w:r w:rsidR="0036618A">
        <w:t>m</w:t>
      </w:r>
      <w:r>
        <w:t xml:space="preserve">anufacturing industry. In chain volume measure, inventories, sales and profits have been in long term decline. </w:t>
      </w:r>
    </w:p>
    <w:p w14:paraId="3BC927BD" w14:textId="77777777" w:rsidR="00113DB0" w:rsidRPr="00F05A66" w:rsidRDefault="00113DB0" w:rsidP="00113DB0">
      <w:pPr>
        <w:pStyle w:val="Heading3"/>
      </w:pPr>
      <w:bookmarkStart w:id="33" w:name="_Toc487532397"/>
      <w:bookmarkStart w:id="34" w:name="_Toc487532398"/>
      <w:bookmarkEnd w:id="33"/>
      <w:r>
        <w:t>Demand f</w:t>
      </w:r>
      <w:r w:rsidRPr="00F05A66">
        <w:t>r</w:t>
      </w:r>
      <w:r>
        <w:t xml:space="preserve">om </w:t>
      </w:r>
      <w:r w:rsidR="00E5082A">
        <w:t>m</w:t>
      </w:r>
      <w:r>
        <w:t>ining</w:t>
      </w:r>
      <w:bookmarkEnd w:id="34"/>
    </w:p>
    <w:p w14:paraId="2F0648E4" w14:textId="62AE64BD" w:rsidR="00113DB0" w:rsidRDefault="00113DB0" w:rsidP="00707084">
      <w:pPr>
        <w:spacing w:before="120" w:after="120"/>
        <w:jc w:val="both"/>
      </w:pPr>
      <w:r>
        <w:t xml:space="preserve">The </w:t>
      </w:r>
      <w:r w:rsidR="0036618A">
        <w:t>m</w:t>
      </w:r>
      <w:r>
        <w:t xml:space="preserve">ining industry is the third largest purchaser of steel </w:t>
      </w:r>
      <w:r w:rsidR="006049EB">
        <w:t xml:space="preserve">fabricated </w:t>
      </w:r>
      <w:r>
        <w:t xml:space="preserve">products. </w:t>
      </w:r>
    </w:p>
    <w:p w14:paraId="1F271465" w14:textId="62DF99C6" w:rsidR="00113DB0" w:rsidRDefault="00113DB0" w:rsidP="00707084">
      <w:pPr>
        <w:spacing w:before="120" w:after="120"/>
        <w:jc w:val="both"/>
      </w:pPr>
      <w:r w:rsidRPr="00AF7065">
        <w:t xml:space="preserve">The mining investment phase increased the number and size of mines in Australia. </w:t>
      </w:r>
      <w:r>
        <w:t>Figure 3.</w:t>
      </w:r>
      <w:r w:rsidR="00687B7A">
        <w:t>8</w:t>
      </w:r>
      <w:r>
        <w:t xml:space="preserve"> shows the</w:t>
      </w:r>
      <w:r w:rsidRPr="00AF7065">
        <w:t xml:space="preserve"> majority of private expenditure </w:t>
      </w:r>
      <w:r>
        <w:t xml:space="preserve">in </w:t>
      </w:r>
      <w:r w:rsidR="0036618A">
        <w:t>m</w:t>
      </w:r>
      <w:r>
        <w:t>ining</w:t>
      </w:r>
      <w:r w:rsidRPr="00AF7065">
        <w:t xml:space="preserve"> was on building and structures </w:t>
      </w:r>
      <w:r>
        <w:t>from</w:t>
      </w:r>
      <w:r w:rsidRPr="00AF7065">
        <w:t xml:space="preserve"> 2011 to 2016.</w:t>
      </w:r>
      <w:r>
        <w:t xml:space="preserve"> Expenditure on equipment, plant and machinery in contrast is much lower and has been relatively constant. Total private expenditure is expected to continue to decline and is now not far above its long term average.</w:t>
      </w:r>
    </w:p>
    <w:p w14:paraId="394617B2" w14:textId="41EC97B6" w:rsidR="00113DB0" w:rsidRPr="002F4183" w:rsidRDefault="00113DB0" w:rsidP="00113DB0">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3</w:t>
      </w:r>
      <w:r w:rsidRPr="002F4183">
        <w:rPr>
          <w:rFonts w:ascii="Arial" w:hAnsi="Arial"/>
          <w:bCs/>
          <w:color w:val="5B9BD5" w:themeColor="accent1"/>
          <w:sz w:val="18"/>
          <w:szCs w:val="18"/>
        </w:rPr>
        <w:t>.</w:t>
      </w:r>
      <w:r w:rsidR="00687B7A">
        <w:rPr>
          <w:rFonts w:ascii="Arial" w:hAnsi="Arial"/>
          <w:bCs/>
          <w:color w:val="5B9BD5" w:themeColor="accent1"/>
          <w:sz w:val="18"/>
          <w:szCs w:val="18"/>
        </w:rPr>
        <w:t>8</w:t>
      </w:r>
      <w:r w:rsidRPr="002F4183">
        <w:rPr>
          <w:rFonts w:ascii="Arial" w:hAnsi="Arial"/>
          <w:bCs/>
          <w:color w:val="5B9BD5" w:themeColor="accent1"/>
          <w:sz w:val="18"/>
          <w:szCs w:val="18"/>
        </w:rPr>
        <w:t xml:space="preserve">: </w:t>
      </w:r>
      <w:r>
        <w:rPr>
          <w:rFonts w:ascii="Arial" w:hAnsi="Arial"/>
          <w:bCs/>
          <w:color w:val="5B9BD5" w:themeColor="accent1"/>
          <w:sz w:val="18"/>
          <w:szCs w:val="18"/>
        </w:rPr>
        <w:t>Private actual expenditure in Mining</w:t>
      </w:r>
      <w:r w:rsidRPr="002F4183">
        <w:rPr>
          <w:rFonts w:ascii="Arial" w:hAnsi="Arial"/>
          <w:bCs/>
          <w:color w:val="5B9BD5" w:themeColor="accent1"/>
          <w:sz w:val="18"/>
          <w:szCs w:val="18"/>
        </w:rPr>
        <w:t xml:space="preserve">, </w:t>
      </w:r>
      <w:r>
        <w:rPr>
          <w:rFonts w:ascii="Arial" w:hAnsi="Arial"/>
          <w:bCs/>
          <w:color w:val="5B9BD5" w:themeColor="accent1"/>
          <w:sz w:val="18"/>
          <w:szCs w:val="18"/>
        </w:rPr>
        <w:t xml:space="preserve">March </w:t>
      </w:r>
      <w:r w:rsidRPr="002F4183">
        <w:rPr>
          <w:rFonts w:ascii="Arial" w:hAnsi="Arial"/>
          <w:bCs/>
          <w:color w:val="5B9BD5" w:themeColor="accent1"/>
          <w:sz w:val="18"/>
          <w:szCs w:val="18"/>
        </w:rPr>
        <w:t>200</w:t>
      </w:r>
      <w:r>
        <w:rPr>
          <w:rFonts w:ascii="Arial" w:hAnsi="Arial"/>
          <w:bCs/>
          <w:color w:val="5B9BD5" w:themeColor="accent1"/>
          <w:sz w:val="18"/>
          <w:szCs w:val="18"/>
        </w:rPr>
        <w:t>7</w:t>
      </w:r>
      <w:r w:rsidRPr="002F4183">
        <w:rPr>
          <w:rFonts w:ascii="Arial" w:hAnsi="Arial"/>
          <w:bCs/>
          <w:color w:val="5B9BD5" w:themeColor="accent1"/>
          <w:sz w:val="18"/>
          <w:szCs w:val="18"/>
        </w:rPr>
        <w:t xml:space="preserve"> to </w:t>
      </w:r>
      <w:r>
        <w:rPr>
          <w:rFonts w:ascii="Arial" w:hAnsi="Arial"/>
          <w:bCs/>
          <w:color w:val="5B9BD5" w:themeColor="accent1"/>
          <w:sz w:val="18"/>
          <w:szCs w:val="18"/>
        </w:rPr>
        <w:t xml:space="preserve">March </w:t>
      </w:r>
      <w:r w:rsidRPr="002F4183">
        <w:rPr>
          <w:rFonts w:ascii="Arial" w:hAnsi="Arial"/>
          <w:bCs/>
          <w:color w:val="5B9BD5" w:themeColor="accent1"/>
          <w:sz w:val="18"/>
          <w:szCs w:val="18"/>
        </w:rPr>
        <w:t>201</w:t>
      </w:r>
      <w:r>
        <w:rPr>
          <w:rFonts w:ascii="Arial" w:hAnsi="Arial"/>
          <w:bCs/>
          <w:color w:val="5B9BD5" w:themeColor="accent1"/>
          <w:sz w:val="18"/>
          <w:szCs w:val="18"/>
        </w:rPr>
        <w:t>7</w:t>
      </w:r>
    </w:p>
    <w:p w14:paraId="5107D98F" w14:textId="77777777" w:rsidR="00113DB0" w:rsidRDefault="00113DB0" w:rsidP="00113DB0">
      <w:pPr>
        <w:keepNext/>
        <w:keepLines/>
        <w:jc w:val="center"/>
        <w:rPr>
          <w:rFonts w:ascii="Arial" w:eastAsia="Times New Roman" w:hAnsi="Arial" w:cs="Arial"/>
          <w:color w:val="22789A"/>
          <w:sz w:val="16"/>
          <w:szCs w:val="20"/>
        </w:rPr>
      </w:pPr>
      <w:r>
        <w:rPr>
          <w:noProof/>
          <w:lang w:eastAsia="en-AU"/>
        </w:rPr>
        <w:drawing>
          <wp:inline distT="0" distB="0" distL="0" distR="0" wp14:anchorId="48D7FB94" wp14:editId="20DB496A">
            <wp:extent cx="5732145" cy="2623185"/>
            <wp:effectExtent l="0" t="0" r="1905" b="571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532313F" w14:textId="77777777" w:rsidR="00113DB0" w:rsidRPr="002F4183" w:rsidRDefault="00113DB0" w:rsidP="00113DB0">
      <w:pPr>
        <w:keepNext/>
        <w:keepLines/>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Pr>
          <w:rFonts w:ascii="Arial" w:eastAsia="Times New Roman" w:hAnsi="Arial" w:cs="Arial"/>
          <w:color w:val="22789A"/>
          <w:sz w:val="16"/>
          <w:szCs w:val="20"/>
        </w:rPr>
        <w:t>Original data</w:t>
      </w:r>
      <w:r w:rsidRPr="002F4183">
        <w:rPr>
          <w:rFonts w:ascii="Arial" w:eastAsia="Times New Roman" w:hAnsi="Arial" w:cs="Arial"/>
          <w:color w:val="22789A"/>
          <w:sz w:val="16"/>
          <w:szCs w:val="20"/>
        </w:rPr>
        <w:t>.</w:t>
      </w:r>
    </w:p>
    <w:p w14:paraId="6197FFBF"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ABS, </w:t>
      </w:r>
      <w:r w:rsidRPr="008A073B">
        <w:rPr>
          <w:rFonts w:ascii="Arial" w:eastAsia="Times New Roman" w:hAnsi="Arial" w:cs="Arial"/>
          <w:color w:val="22789A"/>
          <w:sz w:val="16"/>
          <w:szCs w:val="20"/>
        </w:rPr>
        <w:t xml:space="preserve">Private New Capital Expenditure and Expected Expenditure, Australia, </w:t>
      </w:r>
      <w:r>
        <w:rPr>
          <w:rFonts w:ascii="Arial" w:eastAsia="Times New Roman" w:hAnsi="Arial" w:cs="Arial"/>
          <w:color w:val="22789A"/>
          <w:sz w:val="16"/>
          <w:szCs w:val="20"/>
        </w:rPr>
        <w:t>Mar</w:t>
      </w:r>
      <w:r w:rsidRPr="008A073B">
        <w:rPr>
          <w:rFonts w:ascii="Arial" w:eastAsia="Times New Roman" w:hAnsi="Arial" w:cs="Arial"/>
          <w:color w:val="22789A"/>
          <w:sz w:val="16"/>
          <w:szCs w:val="20"/>
        </w:rPr>
        <w:t xml:space="preserve"> 201</w:t>
      </w:r>
      <w:r>
        <w:rPr>
          <w:rFonts w:ascii="Arial" w:eastAsia="Times New Roman" w:hAnsi="Arial" w:cs="Arial"/>
          <w:color w:val="22789A"/>
          <w:sz w:val="16"/>
          <w:szCs w:val="20"/>
        </w:rPr>
        <w:t>7</w:t>
      </w:r>
      <w:r w:rsidRPr="002F4183">
        <w:rPr>
          <w:rFonts w:ascii="Arial" w:eastAsia="Times New Roman" w:hAnsi="Arial" w:cs="Arial"/>
          <w:color w:val="22789A"/>
          <w:sz w:val="16"/>
          <w:szCs w:val="20"/>
        </w:rPr>
        <w:t xml:space="preserve">, cat. </w:t>
      </w:r>
      <w:proofErr w:type="gramStart"/>
      <w:r w:rsidRPr="002F4183">
        <w:rPr>
          <w:rFonts w:ascii="Arial" w:eastAsia="Times New Roman" w:hAnsi="Arial" w:cs="Arial"/>
          <w:color w:val="22789A"/>
          <w:sz w:val="16"/>
          <w:szCs w:val="20"/>
        </w:rPr>
        <w:t>no</w:t>
      </w:r>
      <w:proofErr w:type="gramEnd"/>
      <w:r w:rsidRPr="002F4183">
        <w:rPr>
          <w:rFonts w:ascii="Arial" w:eastAsia="Times New Roman" w:hAnsi="Arial" w:cs="Arial"/>
          <w:color w:val="22789A"/>
          <w:sz w:val="16"/>
          <w:szCs w:val="20"/>
        </w:rPr>
        <w:t xml:space="preserve">. </w:t>
      </w:r>
      <w:r>
        <w:rPr>
          <w:rFonts w:ascii="Arial" w:eastAsia="Times New Roman" w:hAnsi="Arial" w:cs="Arial"/>
          <w:color w:val="22789A"/>
          <w:sz w:val="16"/>
          <w:szCs w:val="20"/>
        </w:rPr>
        <w:t>5625</w:t>
      </w:r>
      <w:r w:rsidRPr="00FE74A5">
        <w:rPr>
          <w:rFonts w:ascii="Arial" w:eastAsia="Times New Roman" w:hAnsi="Arial" w:cs="Arial"/>
          <w:color w:val="22789A"/>
          <w:sz w:val="16"/>
          <w:szCs w:val="20"/>
        </w:rPr>
        <w:t>.0</w:t>
      </w:r>
      <w:r>
        <w:rPr>
          <w:rFonts w:ascii="Arial" w:eastAsia="Times New Roman" w:hAnsi="Arial" w:cs="Arial"/>
          <w:color w:val="22789A"/>
          <w:sz w:val="16"/>
          <w:szCs w:val="20"/>
        </w:rPr>
        <w:t>, table 1A</w:t>
      </w:r>
      <w:r w:rsidRPr="002F4183">
        <w:rPr>
          <w:rFonts w:ascii="Arial" w:eastAsia="Times New Roman" w:hAnsi="Arial" w:cs="Arial"/>
          <w:color w:val="22789A"/>
          <w:sz w:val="16"/>
          <w:szCs w:val="20"/>
        </w:rPr>
        <w:t>.</w:t>
      </w:r>
    </w:p>
    <w:p w14:paraId="04254B9B" w14:textId="6A96A3EA" w:rsidR="00CB490F" w:rsidRDefault="00CB490F" w:rsidP="00707084">
      <w:pPr>
        <w:spacing w:before="120" w:after="120"/>
        <w:jc w:val="both"/>
      </w:pPr>
      <w:r w:rsidRPr="00CB490F">
        <w:t>Real investment in Australia’s mining industry edged down by 2.3 per cent in the June quarter 2017, as a result of a drop in investment in buildings and structures. Plant and machinery investment rose marginally, but remains a relatively small share (15 per cent) of total investment.</w:t>
      </w:r>
      <w:r>
        <w:rPr>
          <w:rStyle w:val="FootnoteReference"/>
        </w:rPr>
        <w:footnoteReference w:id="15"/>
      </w:r>
    </w:p>
    <w:p w14:paraId="1F3B35A1" w14:textId="523BD864" w:rsidR="00113DB0" w:rsidRDefault="00113DB0" w:rsidP="00707084">
      <w:pPr>
        <w:spacing w:before="120" w:after="120"/>
        <w:jc w:val="both"/>
      </w:pPr>
      <w:r w:rsidRPr="00A24105">
        <w:t>Expected short and long</w:t>
      </w:r>
      <w:r>
        <w:t>-</w:t>
      </w:r>
      <w:r w:rsidRPr="00A24105">
        <w:t>term capital expenditure</w:t>
      </w:r>
      <w:r>
        <w:t xml:space="preserve"> in </w:t>
      </w:r>
      <w:r w:rsidR="0036618A">
        <w:t>m</w:t>
      </w:r>
      <w:r>
        <w:t>ining</w:t>
      </w:r>
      <w:r w:rsidRPr="00A24105">
        <w:t xml:space="preserve"> has </w:t>
      </w:r>
      <w:r>
        <w:t>fallen</w:t>
      </w:r>
      <w:r w:rsidRPr="00A24105">
        <w:t xml:space="preserve"> back to 2006 level</w:t>
      </w:r>
      <w:r>
        <w:t>s</w:t>
      </w:r>
      <w:r w:rsidR="00687B7A">
        <w:t xml:space="preserve"> (</w:t>
      </w:r>
      <w:r w:rsidR="00082334">
        <w:t xml:space="preserve">see </w:t>
      </w:r>
      <w:r w:rsidR="00687B7A">
        <w:t>Figure 3.9)</w:t>
      </w:r>
      <w:r w:rsidRPr="00A24105">
        <w:t>. Short</w:t>
      </w:r>
      <w:r>
        <w:t>-</w:t>
      </w:r>
      <w:r w:rsidRPr="00A24105">
        <w:t xml:space="preserve">term building and structures expenditure increased rapidly from 2009 to 2012. It is consistently the highest source of expenditure in the </w:t>
      </w:r>
      <w:r w:rsidR="0036618A">
        <w:t>m</w:t>
      </w:r>
      <w:r w:rsidRPr="00A24105">
        <w:t>ining industry. Long term expenditure also increased but peaked slightly later than short term investment.</w:t>
      </w:r>
      <w:r w:rsidDel="00A24105">
        <w:t xml:space="preserve"> </w:t>
      </w:r>
    </w:p>
    <w:p w14:paraId="3D8522E7" w14:textId="609B57BC" w:rsidR="00113DB0" w:rsidRPr="002F4183" w:rsidRDefault="00113DB0" w:rsidP="00113DB0">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3</w:t>
      </w:r>
      <w:r w:rsidRPr="002F4183">
        <w:rPr>
          <w:rFonts w:ascii="Arial" w:hAnsi="Arial"/>
          <w:bCs/>
          <w:color w:val="5B9BD5" w:themeColor="accent1"/>
          <w:sz w:val="18"/>
          <w:szCs w:val="18"/>
        </w:rPr>
        <w:t>.</w:t>
      </w:r>
      <w:r w:rsidR="00687B7A">
        <w:rPr>
          <w:rFonts w:ascii="Arial" w:hAnsi="Arial"/>
          <w:bCs/>
          <w:color w:val="5B9BD5" w:themeColor="accent1"/>
          <w:sz w:val="18"/>
          <w:szCs w:val="18"/>
        </w:rPr>
        <w:t>9</w:t>
      </w:r>
      <w:r w:rsidRPr="002F4183">
        <w:rPr>
          <w:rFonts w:ascii="Arial" w:hAnsi="Arial"/>
          <w:bCs/>
          <w:color w:val="5B9BD5" w:themeColor="accent1"/>
          <w:sz w:val="18"/>
          <w:szCs w:val="18"/>
        </w:rPr>
        <w:t xml:space="preserve">: </w:t>
      </w:r>
      <w:r w:rsidRPr="008A073B">
        <w:rPr>
          <w:rFonts w:ascii="Arial" w:hAnsi="Arial"/>
          <w:bCs/>
          <w:color w:val="5B9BD5" w:themeColor="accent1"/>
          <w:sz w:val="18"/>
          <w:szCs w:val="18"/>
        </w:rPr>
        <w:t xml:space="preserve">Private </w:t>
      </w:r>
      <w:r>
        <w:rPr>
          <w:rFonts w:ascii="Arial" w:hAnsi="Arial"/>
          <w:bCs/>
          <w:color w:val="5B9BD5" w:themeColor="accent1"/>
          <w:sz w:val="18"/>
          <w:szCs w:val="18"/>
        </w:rPr>
        <w:t>expected expenditure in Mining, March</w:t>
      </w:r>
      <w:r w:rsidRPr="008A073B">
        <w:rPr>
          <w:rFonts w:ascii="Arial" w:hAnsi="Arial"/>
          <w:bCs/>
          <w:color w:val="5B9BD5" w:themeColor="accent1"/>
          <w:sz w:val="18"/>
          <w:szCs w:val="18"/>
        </w:rPr>
        <w:t xml:space="preserve"> 200</w:t>
      </w:r>
      <w:r>
        <w:rPr>
          <w:rFonts w:ascii="Arial" w:hAnsi="Arial"/>
          <w:bCs/>
          <w:color w:val="5B9BD5" w:themeColor="accent1"/>
          <w:sz w:val="18"/>
          <w:szCs w:val="18"/>
        </w:rPr>
        <w:t>7</w:t>
      </w:r>
      <w:r w:rsidRPr="008A073B">
        <w:rPr>
          <w:rFonts w:ascii="Arial" w:hAnsi="Arial"/>
          <w:bCs/>
          <w:color w:val="5B9BD5" w:themeColor="accent1"/>
          <w:sz w:val="18"/>
          <w:szCs w:val="18"/>
        </w:rPr>
        <w:t xml:space="preserve"> to </w:t>
      </w:r>
      <w:r>
        <w:rPr>
          <w:rFonts w:ascii="Arial" w:hAnsi="Arial"/>
          <w:bCs/>
          <w:color w:val="5B9BD5" w:themeColor="accent1"/>
          <w:sz w:val="18"/>
          <w:szCs w:val="18"/>
        </w:rPr>
        <w:t>March</w:t>
      </w:r>
      <w:r w:rsidRPr="008A073B">
        <w:rPr>
          <w:rFonts w:ascii="Arial" w:hAnsi="Arial"/>
          <w:bCs/>
          <w:color w:val="5B9BD5" w:themeColor="accent1"/>
          <w:sz w:val="18"/>
          <w:szCs w:val="18"/>
        </w:rPr>
        <w:t xml:space="preserve"> 201</w:t>
      </w:r>
      <w:r>
        <w:rPr>
          <w:rFonts w:ascii="Arial" w:hAnsi="Arial"/>
          <w:bCs/>
          <w:color w:val="5B9BD5" w:themeColor="accent1"/>
          <w:sz w:val="18"/>
          <w:szCs w:val="18"/>
        </w:rPr>
        <w:t>7</w:t>
      </w:r>
    </w:p>
    <w:p w14:paraId="3798C159" w14:textId="77777777" w:rsidR="00113DB0" w:rsidRDefault="00113DB0" w:rsidP="00113DB0">
      <w:pPr>
        <w:keepNext/>
        <w:keepLines/>
        <w:jc w:val="center"/>
        <w:rPr>
          <w:rFonts w:ascii="Arial" w:eastAsia="Times New Roman" w:hAnsi="Arial" w:cs="Arial"/>
          <w:color w:val="22789A"/>
          <w:sz w:val="16"/>
          <w:szCs w:val="20"/>
        </w:rPr>
      </w:pPr>
      <w:r>
        <w:rPr>
          <w:noProof/>
          <w:lang w:eastAsia="en-AU"/>
        </w:rPr>
        <w:drawing>
          <wp:inline distT="0" distB="0" distL="0" distR="0" wp14:anchorId="179C2986" wp14:editId="5CF1AE21">
            <wp:extent cx="5732145" cy="2623185"/>
            <wp:effectExtent l="0" t="0" r="1905" b="571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A3E4D78" w14:textId="77777777" w:rsidR="00113DB0" w:rsidRPr="002F4183" w:rsidRDefault="00113DB0" w:rsidP="00113DB0">
      <w:pPr>
        <w:keepNext/>
        <w:keepLines/>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Pr>
          <w:rFonts w:ascii="Arial" w:eastAsia="Times New Roman" w:hAnsi="Arial" w:cs="Arial"/>
          <w:color w:val="22789A"/>
          <w:sz w:val="16"/>
          <w:szCs w:val="20"/>
        </w:rPr>
        <w:t>Original data</w:t>
      </w:r>
      <w:r w:rsidRPr="002F4183">
        <w:rPr>
          <w:rFonts w:ascii="Arial" w:eastAsia="Times New Roman" w:hAnsi="Arial" w:cs="Arial"/>
          <w:color w:val="22789A"/>
          <w:sz w:val="16"/>
          <w:szCs w:val="20"/>
        </w:rPr>
        <w:t>.</w:t>
      </w:r>
    </w:p>
    <w:p w14:paraId="432EE224"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ABS, </w:t>
      </w:r>
      <w:r w:rsidRPr="008A073B">
        <w:rPr>
          <w:rFonts w:ascii="Arial" w:eastAsia="Times New Roman" w:hAnsi="Arial" w:cs="Arial"/>
          <w:color w:val="22789A"/>
          <w:sz w:val="16"/>
          <w:szCs w:val="20"/>
        </w:rPr>
        <w:t xml:space="preserve">Private New Capital Expenditure and Expected Expenditure, Australia, </w:t>
      </w:r>
      <w:r>
        <w:rPr>
          <w:rFonts w:ascii="Arial" w:eastAsia="Times New Roman" w:hAnsi="Arial" w:cs="Arial"/>
          <w:color w:val="22789A"/>
          <w:sz w:val="16"/>
          <w:szCs w:val="20"/>
        </w:rPr>
        <w:t xml:space="preserve">Mar 2017, cat. </w:t>
      </w:r>
      <w:proofErr w:type="gramStart"/>
      <w:r>
        <w:rPr>
          <w:rFonts w:ascii="Arial" w:eastAsia="Times New Roman" w:hAnsi="Arial" w:cs="Arial"/>
          <w:color w:val="22789A"/>
          <w:sz w:val="16"/>
          <w:szCs w:val="20"/>
        </w:rPr>
        <w:t>no</w:t>
      </w:r>
      <w:proofErr w:type="gramEnd"/>
      <w:r>
        <w:rPr>
          <w:rFonts w:ascii="Arial" w:eastAsia="Times New Roman" w:hAnsi="Arial" w:cs="Arial"/>
          <w:color w:val="22789A"/>
          <w:sz w:val="16"/>
          <w:szCs w:val="20"/>
        </w:rPr>
        <w:t>. 5625.0, table 1B &amp; 1C</w:t>
      </w:r>
      <w:r w:rsidRPr="008A073B">
        <w:rPr>
          <w:rFonts w:ascii="Arial" w:eastAsia="Times New Roman" w:hAnsi="Arial" w:cs="Arial"/>
          <w:color w:val="22789A"/>
          <w:sz w:val="16"/>
          <w:szCs w:val="20"/>
        </w:rPr>
        <w:t>.</w:t>
      </w:r>
    </w:p>
    <w:p w14:paraId="78A64821" w14:textId="57792C06" w:rsidR="00113DB0" w:rsidRDefault="00113DB0" w:rsidP="00113DB0">
      <w:pPr>
        <w:pStyle w:val="Heading2"/>
      </w:pPr>
      <w:bookmarkStart w:id="35" w:name="_Toc487532399"/>
      <w:bookmarkStart w:id="36" w:name="_Toc487532400"/>
      <w:bookmarkEnd w:id="35"/>
      <w:r>
        <w:t xml:space="preserve">Australian </w:t>
      </w:r>
      <w:r w:rsidR="006049EB">
        <w:t xml:space="preserve">exports of </w:t>
      </w:r>
      <w:r>
        <w:t xml:space="preserve">steel </w:t>
      </w:r>
      <w:bookmarkEnd w:id="36"/>
      <w:r w:rsidR="006049EB">
        <w:t>fabricated products</w:t>
      </w:r>
    </w:p>
    <w:p w14:paraId="1E2A1E04" w14:textId="77D242F0" w:rsidR="00113DB0" w:rsidRDefault="00113DB0" w:rsidP="00CB490F">
      <w:pPr>
        <w:spacing w:before="120" w:after="120"/>
        <w:jc w:val="both"/>
      </w:pPr>
      <w:r>
        <w:t xml:space="preserve">Australia’s exports of selected steel </w:t>
      </w:r>
      <w:r w:rsidR="006049EB">
        <w:t xml:space="preserve">fabricated </w:t>
      </w:r>
      <w:r>
        <w:t>products reached a ten year high of $288 million in 2016. This represents an average annual growth rate of 2.8 per cent over the decade or 6.0 per cent per annum since the low in 2010.</w:t>
      </w:r>
    </w:p>
    <w:p w14:paraId="50CE3507" w14:textId="353FF590" w:rsidR="00113DB0" w:rsidRPr="002F4183" w:rsidRDefault="00113DB0" w:rsidP="00113DB0">
      <w:pPr>
        <w:keepNext/>
        <w:keepLines/>
        <w:pBdr>
          <w:top w:val="single" w:sz="2" w:space="1" w:color="595A5B"/>
        </w:pBdr>
        <w:spacing w:before="360" w:after="240" w:line="240" w:lineRule="atLeast"/>
        <w:jc w:val="both"/>
        <w:rPr>
          <w:rFonts w:ascii="Arial" w:hAnsi="Arial"/>
          <w:bCs/>
          <w:color w:val="5B9BD5" w:themeColor="accent1"/>
          <w:sz w:val="18"/>
          <w:szCs w:val="18"/>
        </w:rPr>
      </w:pPr>
      <w:r>
        <w:rPr>
          <w:rFonts w:ascii="Arial" w:hAnsi="Arial"/>
          <w:bCs/>
          <w:color w:val="5B9BD5" w:themeColor="accent1"/>
          <w:sz w:val="18"/>
          <w:szCs w:val="18"/>
        </w:rPr>
        <w:t xml:space="preserve">Figure </w:t>
      </w:r>
      <w:r w:rsidR="00826E08">
        <w:rPr>
          <w:rFonts w:ascii="Arial" w:hAnsi="Arial"/>
          <w:bCs/>
          <w:color w:val="5B9BD5" w:themeColor="accent1"/>
          <w:sz w:val="18"/>
          <w:szCs w:val="18"/>
        </w:rPr>
        <w:t>3</w:t>
      </w:r>
      <w:r>
        <w:rPr>
          <w:rFonts w:ascii="Arial" w:hAnsi="Arial"/>
          <w:bCs/>
          <w:color w:val="5B9BD5" w:themeColor="accent1"/>
          <w:sz w:val="18"/>
          <w:szCs w:val="18"/>
        </w:rPr>
        <w:t>.</w:t>
      </w:r>
      <w:r w:rsidR="00687B7A">
        <w:rPr>
          <w:rFonts w:ascii="Arial" w:hAnsi="Arial"/>
          <w:bCs/>
          <w:color w:val="5B9BD5" w:themeColor="accent1"/>
          <w:sz w:val="18"/>
          <w:szCs w:val="18"/>
        </w:rPr>
        <w:t>10</w:t>
      </w:r>
      <w:r w:rsidRPr="002F4183">
        <w:rPr>
          <w:rFonts w:ascii="Arial" w:hAnsi="Arial"/>
          <w:bCs/>
          <w:color w:val="5B9BD5" w:themeColor="accent1"/>
          <w:sz w:val="18"/>
          <w:szCs w:val="18"/>
        </w:rPr>
        <w:t xml:space="preserve">: Australian </w:t>
      </w:r>
      <w:r w:rsidR="006049EB">
        <w:rPr>
          <w:rFonts w:ascii="Arial" w:hAnsi="Arial"/>
          <w:bCs/>
          <w:color w:val="5B9BD5" w:themeColor="accent1"/>
          <w:sz w:val="18"/>
          <w:szCs w:val="18"/>
        </w:rPr>
        <w:t xml:space="preserve">steel </w:t>
      </w:r>
      <w:r w:rsidR="006049EB" w:rsidRPr="006049EB">
        <w:rPr>
          <w:rFonts w:ascii="Arial" w:hAnsi="Arial"/>
          <w:bCs/>
          <w:color w:val="5B9BD5" w:themeColor="accent1"/>
          <w:sz w:val="18"/>
          <w:szCs w:val="18"/>
        </w:rPr>
        <w:t>manufactured/fabricated</w:t>
      </w:r>
      <w:r w:rsidRPr="002F4183">
        <w:rPr>
          <w:rFonts w:ascii="Arial" w:hAnsi="Arial"/>
          <w:bCs/>
          <w:color w:val="5B9BD5" w:themeColor="accent1"/>
          <w:sz w:val="18"/>
          <w:szCs w:val="18"/>
        </w:rPr>
        <w:t xml:space="preserve"> </w:t>
      </w:r>
      <w:r>
        <w:rPr>
          <w:rFonts w:ascii="Arial" w:hAnsi="Arial"/>
          <w:bCs/>
          <w:color w:val="5B9BD5" w:themeColor="accent1"/>
          <w:sz w:val="18"/>
          <w:szCs w:val="18"/>
        </w:rPr>
        <w:t>exports, 2006 to 2016</w:t>
      </w:r>
    </w:p>
    <w:p w14:paraId="11D52284" w14:textId="5D182EA7" w:rsidR="00113DB0" w:rsidRPr="002F4183" w:rsidRDefault="00D728D6" w:rsidP="00113DB0">
      <w:pPr>
        <w:spacing w:after="200" w:line="276" w:lineRule="auto"/>
      </w:pPr>
      <w:r>
        <w:rPr>
          <w:noProof/>
          <w:lang w:eastAsia="en-AU"/>
        </w:rPr>
        <w:drawing>
          <wp:inline distT="0" distB="0" distL="0" distR="0" wp14:anchorId="6767AFBD" wp14:editId="57E6C96A">
            <wp:extent cx="5732145" cy="2835275"/>
            <wp:effectExtent l="0" t="0" r="1905" b="317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899D4AE" w14:textId="77777777" w:rsidR="00113DB0" w:rsidRPr="002F4183" w:rsidRDefault="00113DB0" w:rsidP="00113DB0">
      <w:pPr>
        <w:keepLines/>
        <w:pBdr>
          <w:bottom w:val="single" w:sz="4" w:space="1" w:color="595A5B"/>
        </w:pBdr>
        <w:spacing w:before="120" w:after="12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Notes: </w:t>
      </w:r>
      <w:r>
        <w:rPr>
          <w:rFonts w:ascii="Arial" w:eastAsia="Times New Roman" w:hAnsi="Arial" w:cs="Arial"/>
          <w:color w:val="22789A"/>
          <w:sz w:val="16"/>
          <w:szCs w:val="20"/>
        </w:rPr>
        <w:t xml:space="preserve">This analysis does not include the </w:t>
      </w:r>
      <w:proofErr w:type="spellStart"/>
      <w:r>
        <w:rPr>
          <w:rFonts w:ascii="Arial" w:eastAsia="Times New Roman" w:hAnsi="Arial" w:cs="Arial"/>
          <w:color w:val="22789A"/>
          <w:sz w:val="16"/>
          <w:szCs w:val="20"/>
        </w:rPr>
        <w:t>c</w:t>
      </w:r>
      <w:r w:rsidRPr="00B94376">
        <w:rPr>
          <w:rFonts w:ascii="Arial" w:eastAsia="Times New Roman" w:hAnsi="Arial" w:cs="Arial"/>
          <w:color w:val="22789A"/>
          <w:sz w:val="16"/>
          <w:szCs w:val="20"/>
        </w:rPr>
        <w:t>onfidentialised</w:t>
      </w:r>
      <w:proofErr w:type="spellEnd"/>
      <w:r>
        <w:rPr>
          <w:rFonts w:ascii="Arial" w:eastAsia="Times New Roman" w:hAnsi="Arial" w:cs="Arial"/>
          <w:color w:val="22789A"/>
          <w:sz w:val="16"/>
          <w:szCs w:val="20"/>
        </w:rPr>
        <w:t xml:space="preserve"> cells from the international trade dataset.</w:t>
      </w:r>
      <w:r w:rsidRPr="002F4183">
        <w:rPr>
          <w:rFonts w:ascii="Arial" w:eastAsia="Times New Roman" w:hAnsi="Arial" w:cs="Arial"/>
          <w:color w:val="22789A"/>
          <w:sz w:val="16"/>
          <w:szCs w:val="20"/>
        </w:rPr>
        <w:t xml:space="preserve"> </w:t>
      </w:r>
    </w:p>
    <w:p w14:paraId="0080EFEE"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Sources: ABS, International Trade, Australia, cat. </w:t>
      </w:r>
      <w:proofErr w:type="gramStart"/>
      <w:r w:rsidRPr="002F4183">
        <w:rPr>
          <w:rFonts w:ascii="Arial" w:eastAsia="Times New Roman" w:hAnsi="Arial" w:cs="Arial"/>
          <w:color w:val="22789A"/>
          <w:sz w:val="16"/>
          <w:szCs w:val="20"/>
        </w:rPr>
        <w:t>no</w:t>
      </w:r>
      <w:proofErr w:type="gramEnd"/>
      <w:r w:rsidRPr="002F4183">
        <w:rPr>
          <w:rFonts w:ascii="Arial" w:eastAsia="Times New Roman" w:hAnsi="Arial" w:cs="Arial"/>
          <w:color w:val="22789A"/>
          <w:sz w:val="16"/>
          <w:szCs w:val="20"/>
        </w:rPr>
        <w:t>. 5465.0.</w:t>
      </w:r>
    </w:p>
    <w:p w14:paraId="109B34BA" w14:textId="207CB026" w:rsidR="00113DB0" w:rsidRDefault="00D728D6" w:rsidP="00CB490F">
      <w:pPr>
        <w:spacing w:before="120" w:after="120"/>
        <w:jc w:val="both"/>
      </w:pPr>
      <w:r w:rsidRPr="00D728D6">
        <w:t xml:space="preserve">Almost half of exports in 2016 went to New Zealand (22.0 per cent) and Indonesia (21.4 per cent). The destination of exports is more concentrated than ten years ago when these two countries together comprised 36.5 per cent of exports. Since 2013, these two countries have been Australia’s largest export markets. Indonesia has been Australia’s fastest growing market, increasing at an annual rate of 30.4 per cent over the past five years. </w:t>
      </w:r>
      <w:r w:rsidR="00113DB0">
        <w:t>A majority of exports fall into two product groups (AHECC heading</w:t>
      </w:r>
      <w:r w:rsidR="00CB490F">
        <w:t>—</w:t>
      </w:r>
      <w:r w:rsidR="00113DB0">
        <w:t>4-digit level)</w:t>
      </w:r>
      <w:r w:rsidR="00CB490F">
        <w:t xml:space="preserve">. Of total exports, </w:t>
      </w:r>
      <w:r w:rsidR="00113DB0">
        <w:t>29.5 per cent are structures and parts of structures which include doors, windows, equipment for scaffolding, and bridges</w:t>
      </w:r>
      <w:r w:rsidR="00CB490F">
        <w:t>, while</w:t>
      </w:r>
      <w:r w:rsidR="00113DB0">
        <w:t xml:space="preserve"> </w:t>
      </w:r>
      <w:r w:rsidR="00CB490F">
        <w:t>a</w:t>
      </w:r>
      <w:r w:rsidR="00113DB0">
        <w:t xml:space="preserve">nother 26.3 per cent are cotters, cotter-pins and other non-threaded articles. </w:t>
      </w:r>
    </w:p>
    <w:p w14:paraId="2D42715A" w14:textId="4FA51663" w:rsidR="00113DB0" w:rsidRPr="002F4183" w:rsidRDefault="00113DB0" w:rsidP="00113DB0">
      <w:pPr>
        <w:pStyle w:val="Heading2"/>
      </w:pPr>
      <w:bookmarkStart w:id="37" w:name="_Toc487532401"/>
      <w:r>
        <w:t xml:space="preserve">Detailed description of selected sectors of the Australian steel </w:t>
      </w:r>
      <w:r w:rsidR="006049EB">
        <w:t>fabricati</w:t>
      </w:r>
      <w:r w:rsidR="00CB490F">
        <w:t>o</w:t>
      </w:r>
      <w:r w:rsidR="006049EB">
        <w:t xml:space="preserve">n </w:t>
      </w:r>
      <w:r>
        <w:t>industry</w:t>
      </w:r>
      <w:bookmarkEnd w:id="37"/>
    </w:p>
    <w:p w14:paraId="690362DC" w14:textId="734F97B0" w:rsidR="00113DB0" w:rsidRDefault="00113DB0" w:rsidP="0004485D">
      <w:pPr>
        <w:spacing w:before="120" w:after="120"/>
        <w:jc w:val="both"/>
      </w:pPr>
      <w:bookmarkStart w:id="38" w:name="_Toc468974900"/>
      <w:bookmarkStart w:id="39" w:name="_Toc468974902"/>
      <w:bookmarkEnd w:id="38"/>
      <w:r>
        <w:t xml:space="preserve">Steel </w:t>
      </w:r>
      <w:r w:rsidR="006049EB">
        <w:t>fabricati</w:t>
      </w:r>
      <w:r w:rsidR="00CB490F">
        <w:t>o</w:t>
      </w:r>
      <w:r w:rsidR="006049EB">
        <w:t xml:space="preserve">n </w:t>
      </w:r>
      <w:r>
        <w:t xml:space="preserve">production is very diverse. This section gives more detailed information about trends in demand and performance for selected sectors of the steel </w:t>
      </w:r>
      <w:r w:rsidR="006049EB">
        <w:t>fabricati</w:t>
      </w:r>
      <w:r w:rsidR="00CB490F">
        <w:t>o</w:t>
      </w:r>
      <w:r w:rsidR="006049EB">
        <w:t xml:space="preserve">n </w:t>
      </w:r>
      <w:r>
        <w:t xml:space="preserve">industry. It includes information about imports of these products where they are significant. The information is sourced from the </w:t>
      </w:r>
      <w:r w:rsidR="002E755F">
        <w:t>ABS</w:t>
      </w:r>
      <w:r>
        <w:t xml:space="preserve"> and IBIS World.</w:t>
      </w:r>
    </w:p>
    <w:p w14:paraId="41F4719B" w14:textId="42F68925" w:rsidR="007E574F" w:rsidRDefault="007E574F" w:rsidP="0004485D">
      <w:pPr>
        <w:spacing w:before="120" w:after="120"/>
        <w:jc w:val="both"/>
      </w:pPr>
      <w:r w:rsidRPr="006744B1">
        <w:t xml:space="preserve">As noted in chapter 2 of this report, </w:t>
      </w:r>
      <w:r w:rsidR="0056509B" w:rsidRPr="006744B1">
        <w:t xml:space="preserve">the Commission recognises that the definition of what constitutes a </w:t>
      </w:r>
      <w:r w:rsidR="006049EB">
        <w:t xml:space="preserve">fabricated </w:t>
      </w:r>
      <w:r w:rsidR="0056509B" w:rsidRPr="006744B1">
        <w:t>product</w:t>
      </w:r>
      <w:r w:rsidR="0004485D">
        <w:t>, and the terms used to describe these products (as fabricated or manufactured),</w:t>
      </w:r>
      <w:r w:rsidR="0056509B" w:rsidRPr="006744B1">
        <w:t xml:space="preserve"> can vary across industry participants and other stakeholders. For consistency with the available data produced by the ABS, the Commission has adopted the definition of </w:t>
      </w:r>
      <w:r w:rsidR="006049EB">
        <w:t xml:space="preserve">steel fabricated product </w:t>
      </w:r>
      <w:r w:rsidR="0056509B" w:rsidRPr="006744B1">
        <w:t xml:space="preserve">used by the ABS. This may result in a broader </w:t>
      </w:r>
      <w:r w:rsidR="006049EB">
        <w:t xml:space="preserve">or narrower </w:t>
      </w:r>
      <w:r w:rsidR="0056509B" w:rsidRPr="006744B1">
        <w:t xml:space="preserve">definition of fabrication than is commonly </w:t>
      </w:r>
      <w:r w:rsidR="006049EB">
        <w:t>used</w:t>
      </w:r>
      <w:r w:rsidR="0056509B" w:rsidRPr="006744B1">
        <w:t xml:space="preserve"> in some parts of the Australian industry. Due to data limitations, some products that are not </w:t>
      </w:r>
      <w:r w:rsidR="006049EB">
        <w:t xml:space="preserve">fabricated </w:t>
      </w:r>
      <w:r w:rsidR="0056509B" w:rsidRPr="006744B1">
        <w:t xml:space="preserve">could potentially be captured in the data, despite the Commission’s efforts to exclude </w:t>
      </w:r>
      <w:r w:rsidR="006049EB">
        <w:t>such</w:t>
      </w:r>
      <w:r w:rsidR="0056509B" w:rsidRPr="006744B1">
        <w:t xml:space="preserve"> products to the extent possible given those limitations.</w:t>
      </w:r>
    </w:p>
    <w:p w14:paraId="59B71F6C" w14:textId="77777777" w:rsidR="00113DB0" w:rsidRDefault="00113DB0" w:rsidP="0004485D">
      <w:pPr>
        <w:spacing w:before="120" w:after="120"/>
        <w:jc w:val="both"/>
      </w:pPr>
      <w:r>
        <w:t xml:space="preserve">Table 3.2 shows employment trends for the four industry sectors discussed in detail in this section. </w:t>
      </w:r>
    </w:p>
    <w:p w14:paraId="613D6373" w14:textId="3ACD4792" w:rsidR="00113DB0" w:rsidRPr="002F4183" w:rsidRDefault="00113DB0" w:rsidP="00113DB0">
      <w:pPr>
        <w:keepNext/>
        <w:keepLines/>
        <w:pBdr>
          <w:top w:val="single" w:sz="2" w:space="1" w:color="595A5B"/>
        </w:pBdr>
        <w:spacing w:before="36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Table </w:t>
      </w:r>
      <w:r>
        <w:rPr>
          <w:rFonts w:ascii="Arial" w:hAnsi="Arial"/>
          <w:bCs/>
          <w:color w:val="5B9BD5" w:themeColor="accent1"/>
          <w:sz w:val="18"/>
          <w:szCs w:val="18"/>
        </w:rPr>
        <w:t>3</w:t>
      </w:r>
      <w:r w:rsidRPr="002F4183">
        <w:rPr>
          <w:rFonts w:ascii="Arial" w:hAnsi="Arial"/>
          <w:bCs/>
          <w:color w:val="5B9BD5" w:themeColor="accent1"/>
          <w:sz w:val="18"/>
          <w:szCs w:val="18"/>
        </w:rPr>
        <w:t>.</w:t>
      </w:r>
      <w:r>
        <w:rPr>
          <w:rFonts w:ascii="Arial" w:hAnsi="Arial"/>
          <w:bCs/>
          <w:color w:val="5B9BD5" w:themeColor="accent1"/>
          <w:sz w:val="18"/>
          <w:szCs w:val="18"/>
        </w:rPr>
        <w:t>2</w:t>
      </w:r>
      <w:r w:rsidRPr="002F4183">
        <w:rPr>
          <w:rFonts w:ascii="Arial" w:hAnsi="Arial"/>
          <w:bCs/>
          <w:color w:val="5B9BD5" w:themeColor="accent1"/>
          <w:sz w:val="18"/>
          <w:szCs w:val="18"/>
        </w:rPr>
        <w:t xml:space="preserve">: Total steel </w:t>
      </w:r>
      <w:r w:rsidR="006049EB" w:rsidRPr="006049EB">
        <w:rPr>
          <w:rFonts w:ascii="Arial" w:hAnsi="Arial"/>
          <w:bCs/>
          <w:color w:val="5B9BD5" w:themeColor="accent1"/>
          <w:sz w:val="18"/>
          <w:szCs w:val="18"/>
        </w:rPr>
        <w:t>fabricat</w:t>
      </w:r>
      <w:r w:rsidR="006049EB">
        <w:rPr>
          <w:rFonts w:ascii="Arial" w:hAnsi="Arial"/>
          <w:bCs/>
          <w:color w:val="5B9BD5" w:themeColor="accent1"/>
          <w:sz w:val="18"/>
          <w:szCs w:val="18"/>
        </w:rPr>
        <w:t>i</w:t>
      </w:r>
      <w:r w:rsidR="0004485D">
        <w:rPr>
          <w:rFonts w:ascii="Arial" w:hAnsi="Arial"/>
          <w:bCs/>
          <w:color w:val="5B9BD5" w:themeColor="accent1"/>
          <w:sz w:val="18"/>
          <w:szCs w:val="18"/>
        </w:rPr>
        <w:t>o</w:t>
      </w:r>
      <w:r w:rsidR="006049EB">
        <w:rPr>
          <w:rFonts w:ascii="Arial" w:hAnsi="Arial"/>
          <w:bCs/>
          <w:color w:val="5B9BD5" w:themeColor="accent1"/>
          <w:sz w:val="18"/>
          <w:szCs w:val="18"/>
        </w:rPr>
        <w:t>n</w:t>
      </w:r>
      <w:r w:rsidR="0004485D">
        <w:rPr>
          <w:rFonts w:ascii="Arial" w:hAnsi="Arial"/>
          <w:bCs/>
          <w:color w:val="5B9BD5" w:themeColor="accent1"/>
          <w:sz w:val="18"/>
          <w:szCs w:val="18"/>
        </w:rPr>
        <w:t xml:space="preserve"> industry</w:t>
      </w:r>
      <w:r w:rsidR="006049EB" w:rsidRPr="006049EB">
        <w:rPr>
          <w:rFonts w:ascii="Arial" w:hAnsi="Arial"/>
          <w:bCs/>
          <w:color w:val="5B9BD5" w:themeColor="accent1"/>
          <w:sz w:val="18"/>
          <w:szCs w:val="18"/>
        </w:rPr>
        <w:t xml:space="preserve"> </w:t>
      </w:r>
      <w:r w:rsidRPr="002F4183">
        <w:rPr>
          <w:rFonts w:ascii="Arial" w:hAnsi="Arial"/>
          <w:bCs/>
          <w:color w:val="5B9BD5" w:themeColor="accent1"/>
          <w:sz w:val="18"/>
          <w:szCs w:val="18"/>
        </w:rPr>
        <w:t>employment (‘000), 200</w:t>
      </w:r>
      <w:r>
        <w:rPr>
          <w:rFonts w:ascii="Arial" w:hAnsi="Arial"/>
          <w:bCs/>
          <w:color w:val="5B9BD5" w:themeColor="accent1"/>
          <w:sz w:val="18"/>
          <w:szCs w:val="18"/>
        </w:rPr>
        <w:t>7</w:t>
      </w:r>
      <w:r w:rsidRPr="002F4183">
        <w:rPr>
          <w:rFonts w:ascii="Arial" w:hAnsi="Arial"/>
          <w:bCs/>
          <w:color w:val="5B9BD5" w:themeColor="accent1"/>
          <w:sz w:val="18"/>
          <w:szCs w:val="18"/>
        </w:rPr>
        <w:t>-201</w:t>
      </w:r>
      <w:r w:rsidR="00315183">
        <w:rPr>
          <w:rFonts w:ascii="Arial" w:hAnsi="Arial"/>
          <w:bCs/>
          <w:color w:val="5B9BD5" w:themeColor="accent1"/>
          <w:sz w:val="18"/>
          <w:szCs w:val="18"/>
        </w:rPr>
        <w:t>6</w:t>
      </w:r>
    </w:p>
    <w:tbl>
      <w:tblPr>
        <w:tblStyle w:val="OCETable5"/>
        <w:tblW w:w="9139" w:type="dxa"/>
        <w:shd w:val="clear" w:color="auto" w:fill="DEEAF6" w:themeFill="accent1" w:themeFillTint="33"/>
        <w:tblLayout w:type="fixed"/>
        <w:tblLook w:val="04A0" w:firstRow="1" w:lastRow="0" w:firstColumn="1" w:lastColumn="0" w:noHBand="0" w:noVBand="1"/>
      </w:tblPr>
      <w:tblGrid>
        <w:gridCol w:w="1877"/>
        <w:gridCol w:w="277"/>
        <w:gridCol w:w="698"/>
        <w:gridCol w:w="699"/>
        <w:gridCol w:w="698"/>
        <w:gridCol w:w="699"/>
        <w:gridCol w:w="698"/>
        <w:gridCol w:w="699"/>
        <w:gridCol w:w="698"/>
        <w:gridCol w:w="699"/>
        <w:gridCol w:w="698"/>
        <w:gridCol w:w="699"/>
      </w:tblGrid>
      <w:tr w:rsidR="00EB694B" w:rsidRPr="002F4183" w14:paraId="75619C5C" w14:textId="77777777" w:rsidTr="00183F8F">
        <w:trPr>
          <w:cnfStyle w:val="100000000000" w:firstRow="1" w:lastRow="0" w:firstColumn="0" w:lastColumn="0" w:oddVBand="0" w:evenVBand="0" w:oddHBand="0" w:evenHBand="0" w:firstRowFirstColumn="0" w:firstRowLastColumn="0" w:lastRowFirstColumn="0" w:lastRowLastColumn="0"/>
          <w:trHeight w:val="258"/>
        </w:trPr>
        <w:tc>
          <w:tcPr>
            <w:tcW w:w="1877" w:type="dxa"/>
            <w:noWrap/>
            <w:hideMark/>
          </w:tcPr>
          <w:p w14:paraId="0B1D1E3A" w14:textId="77777777" w:rsidR="00EB694B" w:rsidRPr="002F4183" w:rsidRDefault="00EB694B" w:rsidP="00443357">
            <w:pPr>
              <w:keepNext/>
              <w:spacing w:before="120" w:after="120"/>
              <w:rPr>
                <w:rFonts w:ascii="Arial" w:hAnsi="Arial" w:cs="Arial"/>
                <w:i/>
                <w:color w:val="FFFFFF" w:themeColor="background1"/>
                <w:szCs w:val="18"/>
              </w:rPr>
            </w:pPr>
            <w:r w:rsidRPr="002F4183">
              <w:rPr>
                <w:rFonts w:ascii="Arial" w:hAnsi="Arial" w:cs="Arial"/>
                <w:i/>
                <w:color w:val="FFFFFF" w:themeColor="background1"/>
                <w:szCs w:val="18"/>
              </w:rPr>
              <w:t>Industry</w:t>
            </w:r>
          </w:p>
        </w:tc>
        <w:tc>
          <w:tcPr>
            <w:tcW w:w="277" w:type="dxa"/>
          </w:tcPr>
          <w:p w14:paraId="771D5CAD" w14:textId="77777777" w:rsidR="00EB694B" w:rsidRPr="002F4183" w:rsidRDefault="00EB694B" w:rsidP="00443357">
            <w:pPr>
              <w:keepNext/>
              <w:spacing w:before="120" w:after="120"/>
              <w:jc w:val="right"/>
              <w:rPr>
                <w:rFonts w:ascii="Arial" w:hAnsi="Arial" w:cs="Arial"/>
                <w:i/>
                <w:color w:val="FFFFFF" w:themeColor="background1"/>
                <w:szCs w:val="18"/>
              </w:rPr>
            </w:pPr>
          </w:p>
        </w:tc>
        <w:tc>
          <w:tcPr>
            <w:tcW w:w="698" w:type="dxa"/>
            <w:noWrap/>
            <w:vAlign w:val="center"/>
            <w:hideMark/>
          </w:tcPr>
          <w:p w14:paraId="3C794F3C"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2007</w:t>
            </w:r>
          </w:p>
        </w:tc>
        <w:tc>
          <w:tcPr>
            <w:tcW w:w="699" w:type="dxa"/>
            <w:noWrap/>
            <w:vAlign w:val="center"/>
            <w:hideMark/>
          </w:tcPr>
          <w:p w14:paraId="14E18A57"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2008</w:t>
            </w:r>
          </w:p>
        </w:tc>
        <w:tc>
          <w:tcPr>
            <w:tcW w:w="698" w:type="dxa"/>
            <w:noWrap/>
            <w:vAlign w:val="center"/>
            <w:hideMark/>
          </w:tcPr>
          <w:p w14:paraId="2B84E168"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2009</w:t>
            </w:r>
          </w:p>
        </w:tc>
        <w:tc>
          <w:tcPr>
            <w:tcW w:w="699" w:type="dxa"/>
            <w:noWrap/>
            <w:vAlign w:val="center"/>
            <w:hideMark/>
          </w:tcPr>
          <w:p w14:paraId="23C8164B"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2010</w:t>
            </w:r>
          </w:p>
        </w:tc>
        <w:tc>
          <w:tcPr>
            <w:tcW w:w="698" w:type="dxa"/>
            <w:noWrap/>
            <w:vAlign w:val="center"/>
            <w:hideMark/>
          </w:tcPr>
          <w:p w14:paraId="4E0C07F9"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2011</w:t>
            </w:r>
          </w:p>
        </w:tc>
        <w:tc>
          <w:tcPr>
            <w:tcW w:w="699" w:type="dxa"/>
            <w:noWrap/>
            <w:vAlign w:val="center"/>
            <w:hideMark/>
          </w:tcPr>
          <w:p w14:paraId="3E9AB54C"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2012</w:t>
            </w:r>
          </w:p>
        </w:tc>
        <w:tc>
          <w:tcPr>
            <w:tcW w:w="698" w:type="dxa"/>
            <w:noWrap/>
            <w:vAlign w:val="center"/>
            <w:hideMark/>
          </w:tcPr>
          <w:p w14:paraId="5029F648"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2013</w:t>
            </w:r>
          </w:p>
        </w:tc>
        <w:tc>
          <w:tcPr>
            <w:tcW w:w="699" w:type="dxa"/>
            <w:noWrap/>
            <w:vAlign w:val="center"/>
            <w:hideMark/>
          </w:tcPr>
          <w:p w14:paraId="74DA018B"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2014</w:t>
            </w:r>
          </w:p>
        </w:tc>
        <w:tc>
          <w:tcPr>
            <w:tcW w:w="698" w:type="dxa"/>
            <w:noWrap/>
            <w:vAlign w:val="center"/>
            <w:hideMark/>
          </w:tcPr>
          <w:p w14:paraId="6A7A2615"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2015</w:t>
            </w:r>
          </w:p>
        </w:tc>
        <w:tc>
          <w:tcPr>
            <w:tcW w:w="699" w:type="dxa"/>
            <w:noWrap/>
            <w:vAlign w:val="center"/>
            <w:hideMark/>
          </w:tcPr>
          <w:p w14:paraId="6B13E5BE" w14:textId="77777777" w:rsidR="00EB694B" w:rsidRPr="002F4183" w:rsidRDefault="00EB694B" w:rsidP="00443357">
            <w:pPr>
              <w:keepNext/>
              <w:spacing w:before="120" w:after="120"/>
              <w:jc w:val="right"/>
              <w:rPr>
                <w:rFonts w:ascii="Arial" w:hAnsi="Arial" w:cs="Arial"/>
                <w:i/>
                <w:color w:val="FFFFFF" w:themeColor="background1"/>
                <w:szCs w:val="18"/>
              </w:rPr>
            </w:pPr>
            <w:r>
              <w:rPr>
                <w:rFonts w:ascii="Arial" w:hAnsi="Arial" w:cs="Arial"/>
                <w:i/>
                <w:color w:val="FFFFFF" w:themeColor="background1"/>
                <w:szCs w:val="18"/>
              </w:rPr>
              <w:t>2016</w:t>
            </w:r>
          </w:p>
        </w:tc>
      </w:tr>
      <w:tr w:rsidR="00EB694B" w:rsidRPr="002F4183" w14:paraId="12206FCD" w14:textId="77777777" w:rsidTr="00183F8F">
        <w:trPr>
          <w:trHeight w:val="258"/>
        </w:trPr>
        <w:tc>
          <w:tcPr>
            <w:tcW w:w="1877" w:type="dxa"/>
            <w:noWrap/>
            <w:vAlign w:val="center"/>
            <w:hideMark/>
          </w:tcPr>
          <w:p w14:paraId="3CB87CD1" w14:textId="77777777" w:rsidR="00EB694B" w:rsidRPr="002F4183" w:rsidRDefault="00EB694B" w:rsidP="00443357">
            <w:pPr>
              <w:keepNext/>
              <w:keepLines/>
              <w:spacing w:before="60" w:after="60"/>
              <w:rPr>
                <w:rFonts w:ascii="Arial" w:hAnsi="Arial" w:cs="Arial"/>
                <w:color w:val="595A5B"/>
                <w:szCs w:val="18"/>
              </w:rPr>
            </w:pPr>
            <w:r>
              <w:rPr>
                <w:rFonts w:ascii="Arial" w:hAnsi="Arial" w:cs="Arial"/>
                <w:color w:val="595A5B"/>
                <w:szCs w:val="18"/>
              </w:rPr>
              <w:t>Structural Metal Product Manufacturing</w:t>
            </w:r>
          </w:p>
        </w:tc>
        <w:tc>
          <w:tcPr>
            <w:tcW w:w="277" w:type="dxa"/>
          </w:tcPr>
          <w:p w14:paraId="0C994076" w14:textId="77777777" w:rsidR="00EB694B" w:rsidRPr="002F4183" w:rsidRDefault="00EB694B" w:rsidP="00443357">
            <w:pPr>
              <w:keepNext/>
              <w:keepLines/>
              <w:spacing w:before="60" w:after="60"/>
              <w:jc w:val="right"/>
              <w:rPr>
                <w:rFonts w:ascii="Arial" w:hAnsi="Arial" w:cs="Arial"/>
                <w:color w:val="595A5B"/>
                <w:szCs w:val="18"/>
              </w:rPr>
            </w:pPr>
          </w:p>
        </w:tc>
        <w:tc>
          <w:tcPr>
            <w:tcW w:w="698" w:type="dxa"/>
            <w:noWrap/>
            <w:hideMark/>
          </w:tcPr>
          <w:p w14:paraId="6E4A9CDF" w14:textId="77777777" w:rsidR="00EB694B" w:rsidRPr="002F4183" w:rsidRDefault="00EB694B" w:rsidP="00443357">
            <w:pPr>
              <w:keepNext/>
              <w:keepLines/>
              <w:spacing w:before="60" w:after="60"/>
              <w:jc w:val="right"/>
              <w:rPr>
                <w:rFonts w:ascii="Arial" w:hAnsi="Arial" w:cs="Arial"/>
                <w:color w:val="595A5B"/>
                <w:szCs w:val="18"/>
              </w:rPr>
            </w:pPr>
            <w:r>
              <w:t>18</w:t>
            </w:r>
            <w:r w:rsidRPr="005015AE">
              <w:t>.4</w:t>
            </w:r>
          </w:p>
        </w:tc>
        <w:tc>
          <w:tcPr>
            <w:tcW w:w="699" w:type="dxa"/>
            <w:noWrap/>
            <w:hideMark/>
          </w:tcPr>
          <w:p w14:paraId="3F710515" w14:textId="77777777" w:rsidR="00EB694B" w:rsidRPr="002F4183" w:rsidRDefault="00EB694B" w:rsidP="00443357">
            <w:pPr>
              <w:keepNext/>
              <w:keepLines/>
              <w:spacing w:before="60" w:after="60"/>
              <w:jc w:val="right"/>
              <w:rPr>
                <w:rFonts w:ascii="Arial" w:hAnsi="Arial" w:cs="Arial"/>
                <w:color w:val="595A5B"/>
                <w:szCs w:val="18"/>
              </w:rPr>
            </w:pPr>
            <w:r>
              <w:t>18.0</w:t>
            </w:r>
          </w:p>
        </w:tc>
        <w:tc>
          <w:tcPr>
            <w:tcW w:w="698" w:type="dxa"/>
            <w:noWrap/>
            <w:hideMark/>
          </w:tcPr>
          <w:p w14:paraId="6DDCCA06" w14:textId="77777777" w:rsidR="00EB694B" w:rsidRPr="002F4183" w:rsidRDefault="00EB694B" w:rsidP="00443357">
            <w:pPr>
              <w:keepNext/>
              <w:keepLines/>
              <w:spacing w:before="60" w:after="60"/>
              <w:jc w:val="right"/>
              <w:rPr>
                <w:rFonts w:ascii="Arial" w:hAnsi="Arial" w:cs="Arial"/>
                <w:color w:val="595A5B"/>
                <w:szCs w:val="18"/>
              </w:rPr>
            </w:pPr>
            <w:r>
              <w:t>16.3</w:t>
            </w:r>
          </w:p>
        </w:tc>
        <w:tc>
          <w:tcPr>
            <w:tcW w:w="699" w:type="dxa"/>
            <w:noWrap/>
            <w:hideMark/>
          </w:tcPr>
          <w:p w14:paraId="4A3F2863" w14:textId="77777777" w:rsidR="00EB694B" w:rsidRPr="002F4183" w:rsidRDefault="00EB694B" w:rsidP="00443357">
            <w:pPr>
              <w:keepNext/>
              <w:keepLines/>
              <w:spacing w:before="60" w:after="60"/>
              <w:jc w:val="right"/>
              <w:rPr>
                <w:rFonts w:ascii="Arial" w:hAnsi="Arial" w:cs="Arial"/>
                <w:color w:val="595A5B"/>
                <w:szCs w:val="18"/>
              </w:rPr>
            </w:pPr>
            <w:r>
              <w:t>16.8</w:t>
            </w:r>
          </w:p>
        </w:tc>
        <w:tc>
          <w:tcPr>
            <w:tcW w:w="698" w:type="dxa"/>
            <w:noWrap/>
            <w:hideMark/>
          </w:tcPr>
          <w:p w14:paraId="73FD407E" w14:textId="77777777" w:rsidR="00EB694B" w:rsidRPr="002F4183" w:rsidRDefault="00EB694B" w:rsidP="00443357">
            <w:pPr>
              <w:keepNext/>
              <w:keepLines/>
              <w:spacing w:before="60" w:after="60"/>
              <w:jc w:val="right"/>
              <w:rPr>
                <w:rFonts w:ascii="Arial" w:hAnsi="Arial" w:cs="Arial"/>
                <w:color w:val="595A5B"/>
                <w:szCs w:val="18"/>
              </w:rPr>
            </w:pPr>
            <w:r>
              <w:t>17.7</w:t>
            </w:r>
          </w:p>
        </w:tc>
        <w:tc>
          <w:tcPr>
            <w:tcW w:w="699" w:type="dxa"/>
            <w:noWrap/>
            <w:hideMark/>
          </w:tcPr>
          <w:p w14:paraId="55A01C81" w14:textId="77777777" w:rsidR="00EB694B" w:rsidRPr="002F4183" w:rsidRDefault="00EB694B" w:rsidP="00443357">
            <w:pPr>
              <w:keepNext/>
              <w:keepLines/>
              <w:spacing w:before="60" w:after="60"/>
              <w:jc w:val="right"/>
              <w:rPr>
                <w:rFonts w:ascii="Arial" w:hAnsi="Arial" w:cs="Arial"/>
                <w:color w:val="595A5B"/>
                <w:szCs w:val="18"/>
              </w:rPr>
            </w:pPr>
            <w:r>
              <w:t>16.2</w:t>
            </w:r>
          </w:p>
        </w:tc>
        <w:tc>
          <w:tcPr>
            <w:tcW w:w="698" w:type="dxa"/>
            <w:noWrap/>
            <w:hideMark/>
          </w:tcPr>
          <w:p w14:paraId="7A726F14" w14:textId="77777777" w:rsidR="00EB694B" w:rsidRPr="002F4183" w:rsidRDefault="00EB694B" w:rsidP="00443357">
            <w:pPr>
              <w:keepNext/>
              <w:keepLines/>
              <w:spacing w:before="60" w:after="60"/>
              <w:jc w:val="right"/>
              <w:rPr>
                <w:rFonts w:ascii="Arial" w:hAnsi="Arial" w:cs="Arial"/>
                <w:color w:val="595A5B"/>
                <w:szCs w:val="18"/>
              </w:rPr>
            </w:pPr>
            <w:r>
              <w:t>13</w:t>
            </w:r>
            <w:r w:rsidRPr="005015AE">
              <w:t>.9</w:t>
            </w:r>
          </w:p>
        </w:tc>
        <w:tc>
          <w:tcPr>
            <w:tcW w:w="699" w:type="dxa"/>
            <w:noWrap/>
            <w:hideMark/>
          </w:tcPr>
          <w:p w14:paraId="131C59E4" w14:textId="77777777" w:rsidR="00EB694B" w:rsidRPr="002F4183" w:rsidRDefault="00EB694B" w:rsidP="00443357">
            <w:pPr>
              <w:keepNext/>
              <w:keepLines/>
              <w:spacing w:before="60" w:after="60"/>
              <w:jc w:val="right"/>
              <w:rPr>
                <w:rFonts w:ascii="Arial" w:hAnsi="Arial" w:cs="Arial"/>
                <w:color w:val="595A5B"/>
                <w:szCs w:val="18"/>
              </w:rPr>
            </w:pPr>
            <w:r>
              <w:t>16.4</w:t>
            </w:r>
          </w:p>
        </w:tc>
        <w:tc>
          <w:tcPr>
            <w:tcW w:w="698" w:type="dxa"/>
            <w:noWrap/>
            <w:hideMark/>
          </w:tcPr>
          <w:p w14:paraId="41B12A9D" w14:textId="77777777" w:rsidR="00EB694B" w:rsidRPr="002F4183" w:rsidRDefault="00EB694B" w:rsidP="00443357">
            <w:pPr>
              <w:keepNext/>
              <w:keepLines/>
              <w:spacing w:before="60" w:after="60"/>
              <w:jc w:val="right"/>
              <w:rPr>
                <w:rFonts w:ascii="Arial" w:hAnsi="Arial" w:cs="Arial"/>
                <w:color w:val="595A5B"/>
                <w:szCs w:val="18"/>
              </w:rPr>
            </w:pPr>
            <w:r>
              <w:t>15.2</w:t>
            </w:r>
          </w:p>
        </w:tc>
        <w:tc>
          <w:tcPr>
            <w:tcW w:w="699" w:type="dxa"/>
            <w:noWrap/>
            <w:hideMark/>
          </w:tcPr>
          <w:p w14:paraId="44BC9802" w14:textId="77777777" w:rsidR="00EB694B" w:rsidRPr="002F4183" w:rsidRDefault="00EB694B" w:rsidP="00443357">
            <w:pPr>
              <w:keepNext/>
              <w:keepLines/>
              <w:spacing w:before="60" w:after="60"/>
              <w:jc w:val="right"/>
              <w:rPr>
                <w:rFonts w:ascii="Arial" w:hAnsi="Arial" w:cs="Arial"/>
                <w:color w:val="595A5B"/>
                <w:szCs w:val="18"/>
              </w:rPr>
            </w:pPr>
            <w:r>
              <w:t>13.5</w:t>
            </w:r>
          </w:p>
        </w:tc>
      </w:tr>
      <w:tr w:rsidR="00EB694B" w:rsidRPr="002F4183" w14:paraId="624D7FB5" w14:textId="77777777" w:rsidTr="00183F8F">
        <w:trPr>
          <w:trHeight w:val="258"/>
        </w:trPr>
        <w:tc>
          <w:tcPr>
            <w:tcW w:w="1877" w:type="dxa"/>
            <w:noWrap/>
            <w:vAlign w:val="center"/>
            <w:hideMark/>
          </w:tcPr>
          <w:p w14:paraId="016DD49B" w14:textId="77777777" w:rsidR="00EB694B" w:rsidRPr="002F4183" w:rsidRDefault="00EB694B" w:rsidP="00443357">
            <w:pPr>
              <w:keepNext/>
              <w:keepLines/>
              <w:spacing w:before="60" w:after="60"/>
              <w:rPr>
                <w:rFonts w:ascii="Arial" w:hAnsi="Arial" w:cs="Arial"/>
                <w:color w:val="595A5B"/>
                <w:szCs w:val="18"/>
              </w:rPr>
            </w:pPr>
            <w:r>
              <w:rPr>
                <w:rFonts w:ascii="Arial" w:hAnsi="Arial" w:cs="Arial"/>
                <w:color w:val="595A5B"/>
                <w:szCs w:val="18"/>
              </w:rPr>
              <w:t>Metal Container Manufacturing</w:t>
            </w:r>
          </w:p>
        </w:tc>
        <w:tc>
          <w:tcPr>
            <w:tcW w:w="277" w:type="dxa"/>
          </w:tcPr>
          <w:p w14:paraId="6D81FC92" w14:textId="77777777" w:rsidR="00EB694B" w:rsidRPr="002F4183" w:rsidRDefault="00EB694B" w:rsidP="00443357">
            <w:pPr>
              <w:keepNext/>
              <w:keepLines/>
              <w:spacing w:before="60" w:after="60"/>
              <w:jc w:val="right"/>
              <w:rPr>
                <w:rFonts w:ascii="Arial" w:hAnsi="Arial" w:cs="Arial"/>
                <w:color w:val="595A5B"/>
                <w:szCs w:val="18"/>
              </w:rPr>
            </w:pPr>
          </w:p>
        </w:tc>
        <w:tc>
          <w:tcPr>
            <w:tcW w:w="698" w:type="dxa"/>
            <w:noWrap/>
            <w:hideMark/>
          </w:tcPr>
          <w:p w14:paraId="2EC36B12" w14:textId="77777777" w:rsidR="00EB694B" w:rsidRPr="002F4183" w:rsidRDefault="00EB694B" w:rsidP="00443357">
            <w:pPr>
              <w:keepNext/>
              <w:keepLines/>
              <w:spacing w:before="60" w:after="60"/>
              <w:jc w:val="right"/>
              <w:rPr>
                <w:rFonts w:ascii="Arial" w:hAnsi="Arial" w:cs="Arial"/>
                <w:color w:val="595A5B"/>
                <w:szCs w:val="18"/>
              </w:rPr>
            </w:pPr>
            <w:r>
              <w:t>9.6</w:t>
            </w:r>
          </w:p>
        </w:tc>
        <w:tc>
          <w:tcPr>
            <w:tcW w:w="699" w:type="dxa"/>
            <w:noWrap/>
            <w:hideMark/>
          </w:tcPr>
          <w:p w14:paraId="19EF647D" w14:textId="77777777" w:rsidR="00EB694B" w:rsidRPr="002F4183" w:rsidRDefault="00EB694B" w:rsidP="00443357">
            <w:pPr>
              <w:keepNext/>
              <w:keepLines/>
              <w:spacing w:before="60" w:after="60"/>
              <w:jc w:val="right"/>
              <w:rPr>
                <w:rFonts w:ascii="Arial" w:hAnsi="Arial" w:cs="Arial"/>
                <w:color w:val="595A5B"/>
                <w:szCs w:val="18"/>
              </w:rPr>
            </w:pPr>
            <w:r>
              <w:t>8.5</w:t>
            </w:r>
          </w:p>
        </w:tc>
        <w:tc>
          <w:tcPr>
            <w:tcW w:w="698" w:type="dxa"/>
            <w:noWrap/>
            <w:hideMark/>
          </w:tcPr>
          <w:p w14:paraId="0FEEC5D0" w14:textId="77777777" w:rsidR="00EB694B" w:rsidRPr="002F4183" w:rsidRDefault="00EB694B" w:rsidP="00443357">
            <w:pPr>
              <w:keepNext/>
              <w:keepLines/>
              <w:spacing w:before="60" w:after="60"/>
              <w:jc w:val="right"/>
              <w:rPr>
                <w:rFonts w:ascii="Arial" w:hAnsi="Arial" w:cs="Arial"/>
                <w:color w:val="595A5B"/>
                <w:szCs w:val="18"/>
              </w:rPr>
            </w:pPr>
            <w:r>
              <w:t>8.0</w:t>
            </w:r>
          </w:p>
        </w:tc>
        <w:tc>
          <w:tcPr>
            <w:tcW w:w="699" w:type="dxa"/>
            <w:noWrap/>
            <w:hideMark/>
          </w:tcPr>
          <w:p w14:paraId="56276B18" w14:textId="77777777" w:rsidR="00EB694B" w:rsidRPr="002F4183" w:rsidRDefault="00EB694B" w:rsidP="00443357">
            <w:pPr>
              <w:keepNext/>
              <w:keepLines/>
              <w:spacing w:before="60" w:after="60"/>
              <w:jc w:val="right"/>
              <w:rPr>
                <w:rFonts w:ascii="Arial" w:hAnsi="Arial" w:cs="Arial"/>
                <w:color w:val="595A5B"/>
                <w:szCs w:val="18"/>
              </w:rPr>
            </w:pPr>
            <w:r>
              <w:t>8.7</w:t>
            </w:r>
          </w:p>
        </w:tc>
        <w:tc>
          <w:tcPr>
            <w:tcW w:w="698" w:type="dxa"/>
            <w:noWrap/>
            <w:hideMark/>
          </w:tcPr>
          <w:p w14:paraId="414449D7" w14:textId="77777777" w:rsidR="00EB694B" w:rsidRPr="002F4183" w:rsidRDefault="00EB694B" w:rsidP="00443357">
            <w:pPr>
              <w:keepNext/>
              <w:keepLines/>
              <w:spacing w:before="60" w:after="60"/>
              <w:jc w:val="right"/>
              <w:rPr>
                <w:rFonts w:ascii="Arial" w:hAnsi="Arial" w:cs="Arial"/>
                <w:color w:val="595A5B"/>
                <w:szCs w:val="18"/>
              </w:rPr>
            </w:pPr>
            <w:r>
              <w:t>6.5</w:t>
            </w:r>
          </w:p>
        </w:tc>
        <w:tc>
          <w:tcPr>
            <w:tcW w:w="699" w:type="dxa"/>
            <w:noWrap/>
            <w:hideMark/>
          </w:tcPr>
          <w:p w14:paraId="73D199F0" w14:textId="77777777" w:rsidR="00EB694B" w:rsidRPr="002F4183" w:rsidRDefault="00EB694B" w:rsidP="00443357">
            <w:pPr>
              <w:keepNext/>
              <w:keepLines/>
              <w:spacing w:before="60" w:after="60"/>
              <w:jc w:val="right"/>
              <w:rPr>
                <w:rFonts w:ascii="Arial" w:hAnsi="Arial" w:cs="Arial"/>
                <w:color w:val="595A5B"/>
                <w:szCs w:val="18"/>
              </w:rPr>
            </w:pPr>
            <w:r>
              <w:t>5.8</w:t>
            </w:r>
          </w:p>
        </w:tc>
        <w:tc>
          <w:tcPr>
            <w:tcW w:w="698" w:type="dxa"/>
            <w:noWrap/>
            <w:hideMark/>
          </w:tcPr>
          <w:p w14:paraId="4B0B8E6A" w14:textId="77777777" w:rsidR="00EB694B" w:rsidRPr="002F4183" w:rsidRDefault="00EB694B" w:rsidP="00443357">
            <w:pPr>
              <w:keepNext/>
              <w:keepLines/>
              <w:spacing w:before="60" w:after="60"/>
              <w:jc w:val="right"/>
              <w:rPr>
                <w:rFonts w:ascii="Arial" w:hAnsi="Arial" w:cs="Arial"/>
                <w:color w:val="595A5B"/>
                <w:szCs w:val="18"/>
              </w:rPr>
            </w:pPr>
            <w:r>
              <w:t>5.8</w:t>
            </w:r>
          </w:p>
        </w:tc>
        <w:tc>
          <w:tcPr>
            <w:tcW w:w="699" w:type="dxa"/>
            <w:noWrap/>
            <w:hideMark/>
          </w:tcPr>
          <w:p w14:paraId="156346A9" w14:textId="77777777" w:rsidR="00EB694B" w:rsidRPr="002F4183" w:rsidRDefault="00EB694B" w:rsidP="00443357">
            <w:pPr>
              <w:keepNext/>
              <w:keepLines/>
              <w:spacing w:before="60" w:after="60"/>
              <w:jc w:val="right"/>
              <w:rPr>
                <w:rFonts w:ascii="Arial" w:hAnsi="Arial" w:cs="Arial"/>
                <w:color w:val="595A5B"/>
                <w:szCs w:val="18"/>
              </w:rPr>
            </w:pPr>
            <w:r>
              <w:t>9.2</w:t>
            </w:r>
          </w:p>
        </w:tc>
        <w:tc>
          <w:tcPr>
            <w:tcW w:w="698" w:type="dxa"/>
            <w:noWrap/>
            <w:hideMark/>
          </w:tcPr>
          <w:p w14:paraId="1C9A862E" w14:textId="77777777" w:rsidR="00EB694B" w:rsidRPr="002F4183" w:rsidRDefault="00EB694B" w:rsidP="00443357">
            <w:pPr>
              <w:keepNext/>
              <w:keepLines/>
              <w:spacing w:before="60" w:after="60"/>
              <w:jc w:val="right"/>
              <w:rPr>
                <w:rFonts w:ascii="Arial" w:hAnsi="Arial" w:cs="Arial"/>
                <w:color w:val="595A5B"/>
                <w:szCs w:val="18"/>
              </w:rPr>
            </w:pPr>
            <w:r>
              <w:t>6.6</w:t>
            </w:r>
          </w:p>
        </w:tc>
        <w:tc>
          <w:tcPr>
            <w:tcW w:w="699" w:type="dxa"/>
            <w:noWrap/>
            <w:hideMark/>
          </w:tcPr>
          <w:p w14:paraId="6F1A62CF" w14:textId="77777777" w:rsidR="00EB694B" w:rsidRPr="002F4183" w:rsidRDefault="00EB694B" w:rsidP="00443357">
            <w:pPr>
              <w:keepNext/>
              <w:keepLines/>
              <w:spacing w:before="60" w:after="60"/>
              <w:jc w:val="right"/>
              <w:rPr>
                <w:rFonts w:ascii="Arial" w:hAnsi="Arial" w:cs="Arial"/>
                <w:color w:val="595A5B"/>
                <w:szCs w:val="18"/>
              </w:rPr>
            </w:pPr>
            <w:r>
              <w:t>7.8</w:t>
            </w:r>
          </w:p>
        </w:tc>
      </w:tr>
      <w:tr w:rsidR="00EB694B" w:rsidRPr="002F4183" w14:paraId="0C0C1B70" w14:textId="77777777" w:rsidTr="00183F8F">
        <w:trPr>
          <w:trHeight w:val="258"/>
        </w:trPr>
        <w:tc>
          <w:tcPr>
            <w:tcW w:w="1877" w:type="dxa"/>
            <w:noWrap/>
            <w:vAlign w:val="center"/>
            <w:hideMark/>
          </w:tcPr>
          <w:p w14:paraId="52291ACB" w14:textId="77777777" w:rsidR="00EB694B" w:rsidRPr="002F4183" w:rsidRDefault="00EB694B" w:rsidP="00443357">
            <w:pPr>
              <w:keepNext/>
              <w:keepLines/>
              <w:spacing w:before="60" w:after="60"/>
              <w:rPr>
                <w:rFonts w:ascii="Arial" w:hAnsi="Arial" w:cs="Arial"/>
                <w:color w:val="595A5B"/>
                <w:szCs w:val="18"/>
              </w:rPr>
            </w:pPr>
            <w:r>
              <w:rPr>
                <w:rFonts w:ascii="Arial" w:hAnsi="Arial" w:cs="Arial"/>
                <w:color w:val="595A5B"/>
                <w:szCs w:val="18"/>
              </w:rPr>
              <w:t>Sheet Metal Product Manufacturing</w:t>
            </w:r>
          </w:p>
        </w:tc>
        <w:tc>
          <w:tcPr>
            <w:tcW w:w="277" w:type="dxa"/>
          </w:tcPr>
          <w:p w14:paraId="0DF5C7FF" w14:textId="77777777" w:rsidR="00EB694B" w:rsidRPr="002F4183" w:rsidRDefault="00EB694B" w:rsidP="00443357">
            <w:pPr>
              <w:keepNext/>
              <w:keepLines/>
              <w:spacing w:before="60" w:after="60"/>
              <w:jc w:val="right"/>
              <w:rPr>
                <w:rFonts w:ascii="Arial" w:hAnsi="Arial" w:cs="Arial"/>
                <w:color w:val="595A5B"/>
                <w:szCs w:val="18"/>
              </w:rPr>
            </w:pPr>
          </w:p>
        </w:tc>
        <w:tc>
          <w:tcPr>
            <w:tcW w:w="698" w:type="dxa"/>
            <w:noWrap/>
            <w:hideMark/>
          </w:tcPr>
          <w:p w14:paraId="29064AD8" w14:textId="77777777" w:rsidR="00EB694B" w:rsidRPr="002F4183" w:rsidRDefault="00EB694B" w:rsidP="00443357">
            <w:pPr>
              <w:keepNext/>
              <w:keepLines/>
              <w:spacing w:before="60" w:after="60"/>
              <w:jc w:val="right"/>
              <w:rPr>
                <w:rFonts w:ascii="Arial" w:hAnsi="Arial" w:cs="Arial"/>
                <w:color w:val="595A5B"/>
                <w:szCs w:val="18"/>
              </w:rPr>
            </w:pPr>
            <w:r>
              <w:t>1.1</w:t>
            </w:r>
          </w:p>
        </w:tc>
        <w:tc>
          <w:tcPr>
            <w:tcW w:w="699" w:type="dxa"/>
            <w:noWrap/>
            <w:hideMark/>
          </w:tcPr>
          <w:p w14:paraId="717205B3" w14:textId="77777777" w:rsidR="00EB694B" w:rsidRPr="002F4183" w:rsidRDefault="00EB694B" w:rsidP="00443357">
            <w:pPr>
              <w:keepNext/>
              <w:keepLines/>
              <w:spacing w:before="60" w:after="60"/>
              <w:jc w:val="right"/>
              <w:rPr>
                <w:rFonts w:ascii="Arial" w:hAnsi="Arial" w:cs="Arial"/>
                <w:color w:val="595A5B"/>
                <w:szCs w:val="18"/>
              </w:rPr>
            </w:pPr>
            <w:r w:rsidRPr="00AA7B59">
              <w:t>0.9</w:t>
            </w:r>
          </w:p>
        </w:tc>
        <w:tc>
          <w:tcPr>
            <w:tcW w:w="698" w:type="dxa"/>
            <w:noWrap/>
            <w:hideMark/>
          </w:tcPr>
          <w:p w14:paraId="3E519DF0" w14:textId="77777777" w:rsidR="00EB694B" w:rsidRPr="002F4183" w:rsidRDefault="00EB694B" w:rsidP="00443357">
            <w:pPr>
              <w:keepNext/>
              <w:keepLines/>
              <w:spacing w:before="60" w:after="60"/>
              <w:jc w:val="right"/>
              <w:rPr>
                <w:rFonts w:ascii="Arial" w:hAnsi="Arial" w:cs="Arial"/>
                <w:color w:val="595A5B"/>
                <w:szCs w:val="18"/>
              </w:rPr>
            </w:pPr>
            <w:r>
              <w:t>1.0</w:t>
            </w:r>
          </w:p>
        </w:tc>
        <w:tc>
          <w:tcPr>
            <w:tcW w:w="699" w:type="dxa"/>
            <w:noWrap/>
            <w:hideMark/>
          </w:tcPr>
          <w:p w14:paraId="5C24C80B" w14:textId="77777777" w:rsidR="00EB694B" w:rsidRPr="002F4183" w:rsidRDefault="00EB694B" w:rsidP="00443357">
            <w:pPr>
              <w:keepNext/>
              <w:keepLines/>
              <w:spacing w:before="60" w:after="60"/>
              <w:jc w:val="right"/>
              <w:rPr>
                <w:rFonts w:ascii="Arial" w:hAnsi="Arial" w:cs="Arial"/>
                <w:color w:val="595A5B"/>
                <w:szCs w:val="18"/>
              </w:rPr>
            </w:pPr>
            <w:r>
              <w:t>1.2</w:t>
            </w:r>
          </w:p>
        </w:tc>
        <w:tc>
          <w:tcPr>
            <w:tcW w:w="698" w:type="dxa"/>
            <w:noWrap/>
            <w:hideMark/>
          </w:tcPr>
          <w:p w14:paraId="0A1B2F42" w14:textId="77777777" w:rsidR="00EB694B" w:rsidRPr="002F4183" w:rsidRDefault="00EB694B" w:rsidP="00443357">
            <w:pPr>
              <w:keepNext/>
              <w:keepLines/>
              <w:spacing w:before="60" w:after="60"/>
              <w:jc w:val="right"/>
              <w:rPr>
                <w:rFonts w:ascii="Arial" w:hAnsi="Arial" w:cs="Arial"/>
                <w:color w:val="595A5B"/>
                <w:szCs w:val="18"/>
              </w:rPr>
            </w:pPr>
            <w:r w:rsidRPr="00AA7B59">
              <w:t>1.0</w:t>
            </w:r>
          </w:p>
        </w:tc>
        <w:tc>
          <w:tcPr>
            <w:tcW w:w="699" w:type="dxa"/>
            <w:noWrap/>
            <w:hideMark/>
          </w:tcPr>
          <w:p w14:paraId="4FF0A19C" w14:textId="77777777" w:rsidR="00EB694B" w:rsidRPr="002F4183" w:rsidRDefault="00EB694B" w:rsidP="00443357">
            <w:pPr>
              <w:keepNext/>
              <w:keepLines/>
              <w:spacing w:before="60" w:after="60"/>
              <w:jc w:val="right"/>
              <w:rPr>
                <w:rFonts w:ascii="Arial" w:hAnsi="Arial" w:cs="Arial"/>
                <w:color w:val="595A5B"/>
                <w:szCs w:val="18"/>
              </w:rPr>
            </w:pPr>
            <w:r>
              <w:t>1.2</w:t>
            </w:r>
          </w:p>
        </w:tc>
        <w:tc>
          <w:tcPr>
            <w:tcW w:w="698" w:type="dxa"/>
            <w:noWrap/>
            <w:hideMark/>
          </w:tcPr>
          <w:p w14:paraId="5D74C512" w14:textId="77777777" w:rsidR="00EB694B" w:rsidRPr="002F4183" w:rsidRDefault="00EB694B" w:rsidP="00443357">
            <w:pPr>
              <w:keepNext/>
              <w:keepLines/>
              <w:spacing w:before="60" w:after="60"/>
              <w:jc w:val="right"/>
              <w:rPr>
                <w:rFonts w:ascii="Arial" w:hAnsi="Arial" w:cs="Arial"/>
                <w:color w:val="595A5B"/>
                <w:szCs w:val="18"/>
              </w:rPr>
            </w:pPr>
            <w:r>
              <w:t>0.6</w:t>
            </w:r>
          </w:p>
        </w:tc>
        <w:tc>
          <w:tcPr>
            <w:tcW w:w="699" w:type="dxa"/>
            <w:noWrap/>
            <w:hideMark/>
          </w:tcPr>
          <w:p w14:paraId="63B936DA" w14:textId="77777777" w:rsidR="00EB694B" w:rsidRPr="002F4183" w:rsidRDefault="00EB694B" w:rsidP="00443357">
            <w:pPr>
              <w:keepNext/>
              <w:keepLines/>
              <w:spacing w:before="60" w:after="60"/>
              <w:jc w:val="right"/>
              <w:rPr>
                <w:rFonts w:ascii="Arial" w:hAnsi="Arial" w:cs="Arial"/>
                <w:color w:val="595A5B"/>
                <w:szCs w:val="18"/>
              </w:rPr>
            </w:pPr>
            <w:r>
              <w:t>0.8</w:t>
            </w:r>
          </w:p>
        </w:tc>
        <w:tc>
          <w:tcPr>
            <w:tcW w:w="698" w:type="dxa"/>
            <w:noWrap/>
            <w:hideMark/>
          </w:tcPr>
          <w:p w14:paraId="537A37F0" w14:textId="77777777" w:rsidR="00EB694B" w:rsidRPr="002F4183" w:rsidRDefault="00EB694B" w:rsidP="00443357">
            <w:pPr>
              <w:keepNext/>
              <w:keepLines/>
              <w:spacing w:before="60" w:after="60"/>
              <w:jc w:val="right"/>
              <w:rPr>
                <w:rFonts w:ascii="Arial" w:hAnsi="Arial" w:cs="Arial"/>
                <w:color w:val="595A5B"/>
                <w:szCs w:val="18"/>
              </w:rPr>
            </w:pPr>
            <w:r>
              <w:t>1.0</w:t>
            </w:r>
          </w:p>
        </w:tc>
        <w:tc>
          <w:tcPr>
            <w:tcW w:w="699" w:type="dxa"/>
            <w:noWrap/>
            <w:hideMark/>
          </w:tcPr>
          <w:p w14:paraId="12C0DDDD" w14:textId="77777777" w:rsidR="00EB694B" w:rsidRPr="002F4183" w:rsidRDefault="00EB694B" w:rsidP="00443357">
            <w:pPr>
              <w:keepNext/>
              <w:keepLines/>
              <w:spacing w:before="60" w:after="60"/>
              <w:jc w:val="right"/>
              <w:rPr>
                <w:rFonts w:ascii="Arial" w:hAnsi="Arial" w:cs="Arial"/>
                <w:color w:val="595A5B"/>
                <w:szCs w:val="18"/>
              </w:rPr>
            </w:pPr>
            <w:r>
              <w:t>0.9</w:t>
            </w:r>
          </w:p>
        </w:tc>
      </w:tr>
      <w:tr w:rsidR="00EB694B" w:rsidRPr="002F4183" w14:paraId="4BB6C738" w14:textId="77777777" w:rsidTr="00183F8F">
        <w:trPr>
          <w:trHeight w:val="258"/>
        </w:trPr>
        <w:tc>
          <w:tcPr>
            <w:tcW w:w="1877" w:type="dxa"/>
            <w:noWrap/>
            <w:vAlign w:val="center"/>
            <w:hideMark/>
          </w:tcPr>
          <w:p w14:paraId="47855B59" w14:textId="77777777" w:rsidR="00EB694B" w:rsidRPr="002F4183" w:rsidRDefault="00EB694B" w:rsidP="00443357">
            <w:pPr>
              <w:keepNext/>
              <w:keepLines/>
              <w:spacing w:before="60" w:after="60"/>
              <w:rPr>
                <w:rFonts w:ascii="Arial" w:hAnsi="Arial" w:cs="Arial"/>
                <w:color w:val="595A5B"/>
                <w:szCs w:val="18"/>
              </w:rPr>
            </w:pPr>
            <w:r>
              <w:rPr>
                <w:rFonts w:ascii="Arial" w:hAnsi="Arial" w:cs="Arial"/>
                <w:color w:val="595A5B"/>
                <w:szCs w:val="18"/>
              </w:rPr>
              <w:t>Other Fabricated Metal Product Manufacturing</w:t>
            </w:r>
          </w:p>
        </w:tc>
        <w:tc>
          <w:tcPr>
            <w:tcW w:w="277" w:type="dxa"/>
          </w:tcPr>
          <w:p w14:paraId="620E3FFE" w14:textId="77777777" w:rsidR="00EB694B" w:rsidRPr="002F4183" w:rsidRDefault="00EB694B" w:rsidP="00443357">
            <w:pPr>
              <w:keepNext/>
              <w:keepLines/>
              <w:spacing w:before="60" w:after="60"/>
              <w:jc w:val="right"/>
              <w:rPr>
                <w:rFonts w:ascii="Arial" w:hAnsi="Arial" w:cs="Arial"/>
                <w:color w:val="595A5B"/>
                <w:szCs w:val="18"/>
              </w:rPr>
            </w:pPr>
          </w:p>
        </w:tc>
        <w:tc>
          <w:tcPr>
            <w:tcW w:w="698" w:type="dxa"/>
            <w:noWrap/>
            <w:hideMark/>
          </w:tcPr>
          <w:p w14:paraId="57B9EB3C" w14:textId="77777777" w:rsidR="00EB694B" w:rsidRPr="002F4183" w:rsidRDefault="00EB694B" w:rsidP="00443357">
            <w:pPr>
              <w:keepNext/>
              <w:keepLines/>
              <w:spacing w:before="60" w:after="60"/>
              <w:jc w:val="right"/>
              <w:rPr>
                <w:rFonts w:ascii="Arial" w:hAnsi="Arial" w:cs="Arial"/>
                <w:color w:val="595A5B"/>
                <w:szCs w:val="18"/>
              </w:rPr>
            </w:pPr>
            <w:r>
              <w:t>7.4</w:t>
            </w:r>
          </w:p>
        </w:tc>
        <w:tc>
          <w:tcPr>
            <w:tcW w:w="699" w:type="dxa"/>
            <w:noWrap/>
            <w:hideMark/>
          </w:tcPr>
          <w:p w14:paraId="12822F39" w14:textId="77777777" w:rsidR="00EB694B" w:rsidRPr="002F4183" w:rsidRDefault="00EB694B" w:rsidP="00443357">
            <w:pPr>
              <w:keepNext/>
              <w:keepLines/>
              <w:spacing w:before="60" w:after="60"/>
              <w:jc w:val="right"/>
              <w:rPr>
                <w:rFonts w:ascii="Arial" w:hAnsi="Arial" w:cs="Arial"/>
                <w:color w:val="595A5B"/>
                <w:szCs w:val="18"/>
              </w:rPr>
            </w:pPr>
            <w:r w:rsidRPr="001A2593">
              <w:t>7.2</w:t>
            </w:r>
          </w:p>
        </w:tc>
        <w:tc>
          <w:tcPr>
            <w:tcW w:w="698" w:type="dxa"/>
            <w:noWrap/>
            <w:hideMark/>
          </w:tcPr>
          <w:p w14:paraId="275A49B1" w14:textId="77777777" w:rsidR="00EB694B" w:rsidRPr="002F4183" w:rsidRDefault="00EB694B" w:rsidP="00443357">
            <w:pPr>
              <w:keepNext/>
              <w:keepLines/>
              <w:spacing w:before="60" w:after="60"/>
              <w:jc w:val="right"/>
              <w:rPr>
                <w:rFonts w:ascii="Arial" w:hAnsi="Arial" w:cs="Arial"/>
                <w:color w:val="595A5B"/>
                <w:szCs w:val="18"/>
              </w:rPr>
            </w:pPr>
            <w:r w:rsidRPr="001A2593">
              <w:t>7.4</w:t>
            </w:r>
          </w:p>
        </w:tc>
        <w:tc>
          <w:tcPr>
            <w:tcW w:w="699" w:type="dxa"/>
            <w:noWrap/>
            <w:hideMark/>
          </w:tcPr>
          <w:p w14:paraId="4DC9D6AE" w14:textId="77777777" w:rsidR="00EB694B" w:rsidRPr="002F4183" w:rsidRDefault="00EB694B" w:rsidP="00443357">
            <w:pPr>
              <w:keepNext/>
              <w:keepLines/>
              <w:spacing w:before="60" w:after="60"/>
              <w:jc w:val="right"/>
              <w:rPr>
                <w:rFonts w:ascii="Arial" w:hAnsi="Arial" w:cs="Arial"/>
                <w:color w:val="595A5B"/>
                <w:szCs w:val="18"/>
              </w:rPr>
            </w:pPr>
            <w:r>
              <w:t>6.2</w:t>
            </w:r>
          </w:p>
        </w:tc>
        <w:tc>
          <w:tcPr>
            <w:tcW w:w="698" w:type="dxa"/>
            <w:noWrap/>
            <w:hideMark/>
          </w:tcPr>
          <w:p w14:paraId="533DA0B6" w14:textId="77777777" w:rsidR="00EB694B" w:rsidRPr="002F4183" w:rsidRDefault="00EB694B" w:rsidP="00443357">
            <w:pPr>
              <w:keepNext/>
              <w:keepLines/>
              <w:spacing w:before="60" w:after="60"/>
              <w:jc w:val="right"/>
              <w:rPr>
                <w:rFonts w:ascii="Arial" w:hAnsi="Arial" w:cs="Arial"/>
                <w:color w:val="595A5B"/>
                <w:szCs w:val="18"/>
              </w:rPr>
            </w:pPr>
            <w:r>
              <w:t>4.7</w:t>
            </w:r>
          </w:p>
        </w:tc>
        <w:tc>
          <w:tcPr>
            <w:tcW w:w="699" w:type="dxa"/>
            <w:noWrap/>
            <w:hideMark/>
          </w:tcPr>
          <w:p w14:paraId="7E4B353D" w14:textId="77777777" w:rsidR="00EB694B" w:rsidRPr="002F4183" w:rsidRDefault="00EB694B" w:rsidP="00443357">
            <w:pPr>
              <w:keepNext/>
              <w:keepLines/>
              <w:spacing w:before="60" w:after="60"/>
              <w:jc w:val="right"/>
              <w:rPr>
                <w:rFonts w:ascii="Arial" w:hAnsi="Arial" w:cs="Arial"/>
                <w:color w:val="595A5B"/>
                <w:szCs w:val="18"/>
              </w:rPr>
            </w:pPr>
            <w:r>
              <w:t>4.9</w:t>
            </w:r>
          </w:p>
        </w:tc>
        <w:tc>
          <w:tcPr>
            <w:tcW w:w="698" w:type="dxa"/>
            <w:noWrap/>
            <w:hideMark/>
          </w:tcPr>
          <w:p w14:paraId="26465E2C" w14:textId="77777777" w:rsidR="00EB694B" w:rsidRPr="002F4183" w:rsidRDefault="00EB694B" w:rsidP="00443357">
            <w:pPr>
              <w:keepNext/>
              <w:keepLines/>
              <w:spacing w:before="60" w:after="60"/>
              <w:jc w:val="right"/>
              <w:rPr>
                <w:rFonts w:ascii="Arial" w:hAnsi="Arial" w:cs="Arial"/>
                <w:color w:val="595A5B"/>
                <w:szCs w:val="18"/>
              </w:rPr>
            </w:pPr>
            <w:r>
              <w:t>4.7</w:t>
            </w:r>
          </w:p>
        </w:tc>
        <w:tc>
          <w:tcPr>
            <w:tcW w:w="699" w:type="dxa"/>
            <w:noWrap/>
            <w:hideMark/>
          </w:tcPr>
          <w:p w14:paraId="74977EF2" w14:textId="77777777" w:rsidR="00EB694B" w:rsidRPr="002F4183" w:rsidRDefault="00EB694B" w:rsidP="00443357">
            <w:pPr>
              <w:keepNext/>
              <w:keepLines/>
              <w:spacing w:before="60" w:after="60"/>
              <w:jc w:val="right"/>
              <w:rPr>
                <w:rFonts w:ascii="Arial" w:hAnsi="Arial" w:cs="Arial"/>
                <w:color w:val="595A5B"/>
                <w:szCs w:val="18"/>
              </w:rPr>
            </w:pPr>
            <w:r>
              <w:t>5.0</w:t>
            </w:r>
          </w:p>
        </w:tc>
        <w:tc>
          <w:tcPr>
            <w:tcW w:w="698" w:type="dxa"/>
            <w:noWrap/>
            <w:hideMark/>
          </w:tcPr>
          <w:p w14:paraId="72EDF642" w14:textId="77777777" w:rsidR="00EB694B" w:rsidRPr="002F4183" w:rsidRDefault="00EB694B" w:rsidP="00443357">
            <w:pPr>
              <w:keepNext/>
              <w:keepLines/>
              <w:spacing w:before="60" w:after="60"/>
              <w:jc w:val="right"/>
              <w:rPr>
                <w:rFonts w:ascii="Arial" w:hAnsi="Arial" w:cs="Arial"/>
                <w:color w:val="595A5B"/>
                <w:szCs w:val="18"/>
              </w:rPr>
            </w:pPr>
            <w:r w:rsidRPr="001A2593">
              <w:t>5.2</w:t>
            </w:r>
          </w:p>
        </w:tc>
        <w:tc>
          <w:tcPr>
            <w:tcW w:w="699" w:type="dxa"/>
            <w:noWrap/>
            <w:hideMark/>
          </w:tcPr>
          <w:p w14:paraId="2E0D34FE" w14:textId="77777777" w:rsidR="00EB694B" w:rsidRPr="002F4183" w:rsidRDefault="00EB694B" w:rsidP="00443357">
            <w:pPr>
              <w:keepNext/>
              <w:keepLines/>
              <w:spacing w:before="60" w:after="60"/>
              <w:jc w:val="right"/>
              <w:rPr>
                <w:rFonts w:ascii="Arial" w:hAnsi="Arial" w:cs="Arial"/>
                <w:color w:val="595A5B"/>
                <w:szCs w:val="18"/>
              </w:rPr>
            </w:pPr>
            <w:r>
              <w:t>4.3</w:t>
            </w:r>
          </w:p>
        </w:tc>
      </w:tr>
      <w:tr w:rsidR="00EB694B" w:rsidRPr="002F4183" w14:paraId="76F44B66" w14:textId="77777777" w:rsidTr="00183F8F">
        <w:trPr>
          <w:trHeight w:val="358"/>
        </w:trPr>
        <w:tc>
          <w:tcPr>
            <w:tcW w:w="1877" w:type="dxa"/>
            <w:noWrap/>
            <w:vAlign w:val="center"/>
            <w:hideMark/>
          </w:tcPr>
          <w:p w14:paraId="3E058C1B" w14:textId="77777777" w:rsidR="00EB694B" w:rsidRPr="002F4183" w:rsidRDefault="00EB694B" w:rsidP="00443357">
            <w:pPr>
              <w:keepNext/>
              <w:keepLines/>
              <w:spacing w:before="60" w:after="60"/>
              <w:rPr>
                <w:rFonts w:ascii="Arial" w:hAnsi="Arial" w:cs="Arial"/>
                <w:b/>
                <w:color w:val="595A5B"/>
                <w:szCs w:val="18"/>
              </w:rPr>
            </w:pPr>
            <w:r w:rsidRPr="002F4183">
              <w:rPr>
                <w:rFonts w:ascii="Arial" w:hAnsi="Arial" w:cs="Arial"/>
                <w:b/>
                <w:color w:val="595A5B"/>
                <w:szCs w:val="18"/>
              </w:rPr>
              <w:t xml:space="preserve">Total </w:t>
            </w:r>
          </w:p>
        </w:tc>
        <w:tc>
          <w:tcPr>
            <w:tcW w:w="277" w:type="dxa"/>
          </w:tcPr>
          <w:p w14:paraId="75DCBCB3" w14:textId="77777777" w:rsidR="00EB694B" w:rsidRPr="002F4183" w:rsidRDefault="00EB694B" w:rsidP="00443357">
            <w:pPr>
              <w:keepNext/>
              <w:keepLines/>
              <w:spacing w:before="60" w:after="60"/>
              <w:jc w:val="right"/>
              <w:rPr>
                <w:rFonts w:ascii="Arial" w:hAnsi="Arial" w:cs="Arial"/>
                <w:b/>
                <w:color w:val="595A5B"/>
                <w:szCs w:val="18"/>
              </w:rPr>
            </w:pPr>
          </w:p>
        </w:tc>
        <w:tc>
          <w:tcPr>
            <w:tcW w:w="698" w:type="dxa"/>
            <w:noWrap/>
            <w:hideMark/>
          </w:tcPr>
          <w:p w14:paraId="30401783" w14:textId="77777777" w:rsidR="00EB694B" w:rsidRPr="002F4183" w:rsidRDefault="00EB694B" w:rsidP="00443357">
            <w:pPr>
              <w:keepNext/>
              <w:keepLines/>
              <w:spacing w:before="60" w:after="60"/>
              <w:jc w:val="right"/>
              <w:rPr>
                <w:rFonts w:ascii="Arial" w:hAnsi="Arial" w:cs="Arial"/>
                <w:b/>
                <w:color w:val="595A5B"/>
                <w:szCs w:val="18"/>
              </w:rPr>
            </w:pPr>
            <w:r>
              <w:t>36.6</w:t>
            </w:r>
          </w:p>
        </w:tc>
        <w:tc>
          <w:tcPr>
            <w:tcW w:w="699" w:type="dxa"/>
            <w:noWrap/>
            <w:hideMark/>
          </w:tcPr>
          <w:p w14:paraId="25D2D96E" w14:textId="77777777" w:rsidR="00EB694B" w:rsidRPr="002F4183" w:rsidRDefault="00EB694B" w:rsidP="00443357">
            <w:pPr>
              <w:keepNext/>
              <w:keepLines/>
              <w:spacing w:before="60" w:after="60"/>
              <w:jc w:val="right"/>
              <w:rPr>
                <w:rFonts w:ascii="Arial" w:hAnsi="Arial" w:cs="Arial"/>
                <w:b/>
                <w:color w:val="595A5B"/>
                <w:szCs w:val="18"/>
              </w:rPr>
            </w:pPr>
            <w:r>
              <w:t>34.7</w:t>
            </w:r>
          </w:p>
        </w:tc>
        <w:tc>
          <w:tcPr>
            <w:tcW w:w="698" w:type="dxa"/>
            <w:noWrap/>
            <w:hideMark/>
          </w:tcPr>
          <w:p w14:paraId="24EC0676" w14:textId="77777777" w:rsidR="00EB694B" w:rsidRPr="002F4183" w:rsidRDefault="00EB694B" w:rsidP="00443357">
            <w:pPr>
              <w:keepNext/>
              <w:keepLines/>
              <w:spacing w:before="60" w:after="60"/>
              <w:jc w:val="right"/>
              <w:rPr>
                <w:rFonts w:ascii="Arial" w:hAnsi="Arial" w:cs="Arial"/>
                <w:b/>
                <w:color w:val="595A5B"/>
                <w:szCs w:val="18"/>
              </w:rPr>
            </w:pPr>
            <w:r w:rsidRPr="003E53D7">
              <w:t>32.6</w:t>
            </w:r>
          </w:p>
        </w:tc>
        <w:tc>
          <w:tcPr>
            <w:tcW w:w="699" w:type="dxa"/>
            <w:noWrap/>
            <w:hideMark/>
          </w:tcPr>
          <w:p w14:paraId="0DC0AADF" w14:textId="77777777" w:rsidR="00EB694B" w:rsidRPr="002F4183" w:rsidRDefault="00EB694B" w:rsidP="00443357">
            <w:pPr>
              <w:keepNext/>
              <w:keepLines/>
              <w:spacing w:before="60" w:after="60"/>
              <w:jc w:val="right"/>
              <w:rPr>
                <w:rFonts w:ascii="Arial" w:hAnsi="Arial" w:cs="Arial"/>
                <w:b/>
                <w:color w:val="595A5B"/>
                <w:szCs w:val="18"/>
              </w:rPr>
            </w:pPr>
            <w:r>
              <w:t>32.9</w:t>
            </w:r>
          </w:p>
        </w:tc>
        <w:tc>
          <w:tcPr>
            <w:tcW w:w="698" w:type="dxa"/>
            <w:noWrap/>
            <w:hideMark/>
          </w:tcPr>
          <w:p w14:paraId="3367E3DC" w14:textId="77777777" w:rsidR="00EB694B" w:rsidRPr="002F4183" w:rsidRDefault="00EB694B" w:rsidP="00443357">
            <w:pPr>
              <w:keepNext/>
              <w:keepLines/>
              <w:spacing w:before="60" w:after="60"/>
              <w:jc w:val="right"/>
              <w:rPr>
                <w:rFonts w:ascii="Arial" w:hAnsi="Arial" w:cs="Arial"/>
                <w:b/>
                <w:color w:val="595A5B"/>
                <w:szCs w:val="18"/>
              </w:rPr>
            </w:pPr>
            <w:r>
              <w:t>29.9</w:t>
            </w:r>
          </w:p>
        </w:tc>
        <w:tc>
          <w:tcPr>
            <w:tcW w:w="699" w:type="dxa"/>
            <w:noWrap/>
            <w:hideMark/>
          </w:tcPr>
          <w:p w14:paraId="339D4743" w14:textId="77777777" w:rsidR="00EB694B" w:rsidRPr="002F4183" w:rsidRDefault="00EB694B" w:rsidP="00443357">
            <w:pPr>
              <w:keepNext/>
              <w:keepLines/>
              <w:spacing w:before="60" w:after="60"/>
              <w:jc w:val="right"/>
              <w:rPr>
                <w:rFonts w:ascii="Arial" w:hAnsi="Arial" w:cs="Arial"/>
                <w:b/>
                <w:color w:val="595A5B"/>
                <w:szCs w:val="18"/>
              </w:rPr>
            </w:pPr>
            <w:r>
              <w:t>28.1</w:t>
            </w:r>
          </w:p>
        </w:tc>
        <w:tc>
          <w:tcPr>
            <w:tcW w:w="698" w:type="dxa"/>
            <w:noWrap/>
            <w:hideMark/>
          </w:tcPr>
          <w:p w14:paraId="33C3B519" w14:textId="77777777" w:rsidR="00EB694B" w:rsidRPr="002F4183" w:rsidRDefault="00EB694B" w:rsidP="00443357">
            <w:pPr>
              <w:keepNext/>
              <w:keepLines/>
              <w:spacing w:before="60" w:after="60"/>
              <w:jc w:val="right"/>
              <w:rPr>
                <w:rFonts w:ascii="Arial" w:hAnsi="Arial" w:cs="Arial"/>
                <w:b/>
                <w:color w:val="595A5B"/>
                <w:szCs w:val="18"/>
              </w:rPr>
            </w:pPr>
            <w:r>
              <w:t>24.9</w:t>
            </w:r>
          </w:p>
        </w:tc>
        <w:tc>
          <w:tcPr>
            <w:tcW w:w="699" w:type="dxa"/>
            <w:noWrap/>
            <w:hideMark/>
          </w:tcPr>
          <w:p w14:paraId="76075F2A" w14:textId="77777777" w:rsidR="00EB694B" w:rsidRPr="002F4183" w:rsidRDefault="00EB694B" w:rsidP="00443357">
            <w:pPr>
              <w:keepNext/>
              <w:keepLines/>
              <w:spacing w:before="60" w:after="60"/>
              <w:jc w:val="right"/>
              <w:rPr>
                <w:rFonts w:ascii="Arial" w:hAnsi="Arial" w:cs="Arial"/>
                <w:b/>
                <w:color w:val="595A5B"/>
                <w:szCs w:val="18"/>
              </w:rPr>
            </w:pPr>
            <w:r>
              <w:t>31.3</w:t>
            </w:r>
          </w:p>
        </w:tc>
        <w:tc>
          <w:tcPr>
            <w:tcW w:w="698" w:type="dxa"/>
            <w:noWrap/>
            <w:hideMark/>
          </w:tcPr>
          <w:p w14:paraId="13DABB5B" w14:textId="77777777" w:rsidR="00EB694B" w:rsidRPr="002F4183" w:rsidRDefault="00EB694B" w:rsidP="00443357">
            <w:pPr>
              <w:keepNext/>
              <w:keepLines/>
              <w:spacing w:before="60" w:after="60"/>
              <w:jc w:val="right"/>
              <w:rPr>
                <w:rFonts w:ascii="Arial" w:hAnsi="Arial" w:cs="Arial"/>
                <w:b/>
                <w:color w:val="595A5B"/>
                <w:szCs w:val="18"/>
              </w:rPr>
            </w:pPr>
            <w:r>
              <w:t>28.0</w:t>
            </w:r>
          </w:p>
        </w:tc>
        <w:tc>
          <w:tcPr>
            <w:tcW w:w="699" w:type="dxa"/>
            <w:noWrap/>
            <w:hideMark/>
          </w:tcPr>
          <w:p w14:paraId="49525784" w14:textId="77777777" w:rsidR="00EB694B" w:rsidRPr="002F4183" w:rsidRDefault="00EB694B" w:rsidP="00443357">
            <w:pPr>
              <w:keepNext/>
              <w:keepLines/>
              <w:spacing w:before="60" w:after="60"/>
              <w:jc w:val="right"/>
              <w:rPr>
                <w:rFonts w:ascii="Arial" w:hAnsi="Arial" w:cs="Arial"/>
                <w:b/>
                <w:color w:val="595A5B"/>
                <w:szCs w:val="18"/>
              </w:rPr>
            </w:pPr>
            <w:r>
              <w:t>26.5</w:t>
            </w:r>
          </w:p>
        </w:tc>
      </w:tr>
    </w:tbl>
    <w:p w14:paraId="14FD9034" w14:textId="77777777" w:rsidR="00113DB0" w:rsidRPr="002F4183" w:rsidRDefault="00113DB0" w:rsidP="00113DB0">
      <w:pPr>
        <w:keepLines/>
        <w:pBdr>
          <w:bottom w:val="single" w:sz="4" w:space="1" w:color="595A5B"/>
        </w:pBdr>
        <w:spacing w:before="120" w:after="120"/>
        <w:jc w:val="both"/>
        <w:rPr>
          <w:rFonts w:ascii="Arial" w:eastAsia="Times New Roman" w:hAnsi="Arial" w:cs="Arial"/>
          <w:color w:val="22789A"/>
          <w:sz w:val="16"/>
          <w:szCs w:val="20"/>
        </w:rPr>
      </w:pPr>
      <w:r w:rsidRPr="002F4183">
        <w:rPr>
          <w:rFonts w:ascii="Arial" w:eastAsia="Times New Roman" w:hAnsi="Arial" w:cs="Arial"/>
          <w:color w:val="22789A"/>
          <w:sz w:val="16"/>
          <w:szCs w:val="20"/>
        </w:rPr>
        <w:t>Notes: Based on four quarter averages</w:t>
      </w:r>
      <w:r>
        <w:rPr>
          <w:rFonts w:ascii="Arial" w:eastAsia="Times New Roman" w:hAnsi="Arial" w:cs="Arial"/>
          <w:color w:val="22789A"/>
          <w:sz w:val="16"/>
          <w:szCs w:val="20"/>
        </w:rPr>
        <w:t xml:space="preserve"> to May</w:t>
      </w:r>
      <w:r w:rsidRPr="002F4183">
        <w:rPr>
          <w:rFonts w:ascii="Arial" w:eastAsia="Times New Roman" w:hAnsi="Arial" w:cs="Arial"/>
          <w:color w:val="22789A"/>
          <w:sz w:val="16"/>
          <w:szCs w:val="20"/>
        </w:rPr>
        <w:t xml:space="preserve">. Steel employment is </w:t>
      </w:r>
      <w:r>
        <w:rPr>
          <w:rFonts w:ascii="Arial" w:eastAsia="Times New Roman" w:hAnsi="Arial" w:cs="Arial"/>
          <w:color w:val="22789A"/>
          <w:sz w:val="16"/>
          <w:szCs w:val="20"/>
        </w:rPr>
        <w:t>defined as ANZSIC sub-division 21.</w:t>
      </w:r>
    </w:p>
    <w:p w14:paraId="5E91D003"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ABS, Labour Force, Australia, Detailed, Quarterly, </w:t>
      </w:r>
      <w:r>
        <w:rPr>
          <w:rFonts w:ascii="Arial" w:eastAsia="Times New Roman" w:hAnsi="Arial" w:cs="Arial"/>
          <w:color w:val="22789A"/>
          <w:sz w:val="16"/>
          <w:szCs w:val="20"/>
        </w:rPr>
        <w:t>February</w:t>
      </w:r>
      <w:r w:rsidRPr="002F4183">
        <w:rPr>
          <w:rFonts w:ascii="Arial" w:eastAsia="Times New Roman" w:hAnsi="Arial" w:cs="Arial"/>
          <w:color w:val="22789A"/>
          <w:sz w:val="16"/>
          <w:szCs w:val="20"/>
        </w:rPr>
        <w:t xml:space="preserve"> 201</w:t>
      </w:r>
      <w:r>
        <w:rPr>
          <w:rFonts w:ascii="Arial" w:eastAsia="Times New Roman" w:hAnsi="Arial" w:cs="Arial"/>
          <w:color w:val="22789A"/>
          <w:sz w:val="16"/>
          <w:szCs w:val="20"/>
        </w:rPr>
        <w:t>7</w:t>
      </w:r>
      <w:r w:rsidRPr="002F4183">
        <w:rPr>
          <w:rFonts w:ascii="Arial" w:eastAsia="Times New Roman" w:hAnsi="Arial" w:cs="Arial"/>
          <w:color w:val="22789A"/>
          <w:sz w:val="16"/>
          <w:szCs w:val="20"/>
        </w:rPr>
        <w:t>, cat.no. 6291.0.55.003, EQ06.</w:t>
      </w:r>
    </w:p>
    <w:p w14:paraId="1AE5FAFA" w14:textId="77777777" w:rsidR="00113DB0" w:rsidRPr="00603D8B" w:rsidRDefault="00113DB0" w:rsidP="00113DB0">
      <w:pPr>
        <w:pStyle w:val="Heading3"/>
      </w:pPr>
      <w:bookmarkStart w:id="40" w:name="_Toc487532402"/>
      <w:r w:rsidRPr="008C587C">
        <w:t xml:space="preserve">Structural </w:t>
      </w:r>
      <w:r w:rsidR="002170BD">
        <w:t>m</w:t>
      </w:r>
      <w:r w:rsidRPr="008C587C">
        <w:t xml:space="preserve">etal </w:t>
      </w:r>
      <w:r w:rsidR="002170BD">
        <w:t>p</w:t>
      </w:r>
      <w:r w:rsidRPr="008C587C">
        <w:t xml:space="preserve">roduct </w:t>
      </w:r>
      <w:r w:rsidR="002170BD">
        <w:t>m</w:t>
      </w:r>
      <w:r w:rsidRPr="008C587C">
        <w:t>anufacturing</w:t>
      </w:r>
      <w:bookmarkEnd w:id="40"/>
    </w:p>
    <w:p w14:paraId="03DA1447" w14:textId="022B4D7D" w:rsidR="00113DB0" w:rsidRDefault="00113DB0" w:rsidP="0004485D">
      <w:pPr>
        <w:spacing w:before="120" w:after="120"/>
        <w:jc w:val="both"/>
      </w:pPr>
      <w:r w:rsidRPr="00DD74B2">
        <w:t xml:space="preserve">Structural metal </w:t>
      </w:r>
      <w:r>
        <w:t>is estimated to make up</w:t>
      </w:r>
      <w:r w:rsidRPr="00DD74B2">
        <w:t xml:space="preserve"> </w:t>
      </w:r>
      <w:r>
        <w:t>five</w:t>
      </w:r>
      <w:r w:rsidRPr="00DD74B2">
        <w:t xml:space="preserve"> per cent of</w:t>
      </w:r>
      <w:r>
        <w:t xml:space="preserve"> </w:t>
      </w:r>
      <w:r w:rsidR="0036618A">
        <w:t>m</w:t>
      </w:r>
      <w:r w:rsidRPr="00DD74B2">
        <w:t>anufacturing’s Industry Value Added</w:t>
      </w:r>
      <w:r>
        <w:t xml:space="preserve"> and </w:t>
      </w:r>
      <w:r w:rsidR="00406066">
        <w:t>wa</w:t>
      </w:r>
      <w:r>
        <w:t xml:space="preserve">s estimated </w:t>
      </w:r>
      <w:r w:rsidR="00406066">
        <w:t xml:space="preserve">in February 2017 </w:t>
      </w:r>
      <w:r>
        <w:t>to employ</w:t>
      </w:r>
      <w:r w:rsidRPr="00DD74B2">
        <w:t xml:space="preserve"> </w:t>
      </w:r>
      <w:r>
        <w:t>1</w:t>
      </w:r>
      <w:r w:rsidR="00406066">
        <w:t>9</w:t>
      </w:r>
      <w:r>
        <w:t>,700 people</w:t>
      </w:r>
      <w:r w:rsidR="0004485D">
        <w:t xml:space="preserve"> (up from 13, 500 in mid-2016)</w:t>
      </w:r>
      <w:r>
        <w:t xml:space="preserve">, making it the highest employing sector in steel </w:t>
      </w:r>
      <w:r w:rsidR="006049EB">
        <w:t>fabricating</w:t>
      </w:r>
      <w:r>
        <w:t xml:space="preserve">. This </w:t>
      </w:r>
      <w:r w:rsidR="00406066">
        <w:t>was</w:t>
      </w:r>
      <w:r>
        <w:t xml:space="preserve"> a ten-year high for this sector of the steel </w:t>
      </w:r>
      <w:r w:rsidR="006049EB">
        <w:t>fabricati</w:t>
      </w:r>
      <w:r w:rsidR="0004485D">
        <w:t>o</w:t>
      </w:r>
      <w:r w:rsidR="006049EB">
        <w:t xml:space="preserve">n </w:t>
      </w:r>
      <w:r>
        <w:t>industry.</w:t>
      </w:r>
    </w:p>
    <w:p w14:paraId="604897E5" w14:textId="77777777" w:rsidR="00113DB0" w:rsidRPr="00A1117F" w:rsidRDefault="00113DB0" w:rsidP="00113DB0">
      <w:pPr>
        <w:keepNext/>
        <w:spacing w:before="120" w:after="120"/>
        <w:rPr>
          <w:i/>
          <w:color w:val="5B9BD5" w:themeColor="accent1"/>
        </w:rPr>
      </w:pPr>
      <w:bookmarkStart w:id="41" w:name="_Toc487532403"/>
      <w:r w:rsidRPr="00A1117F">
        <w:rPr>
          <w:i/>
          <w:color w:val="5B9BD5" w:themeColor="accent1"/>
        </w:rPr>
        <w:t xml:space="preserve">Structural </w:t>
      </w:r>
      <w:r w:rsidR="002170BD">
        <w:rPr>
          <w:i/>
          <w:color w:val="5B9BD5" w:themeColor="accent1"/>
        </w:rPr>
        <w:t>s</w:t>
      </w:r>
      <w:r w:rsidRPr="00A1117F">
        <w:rPr>
          <w:i/>
          <w:color w:val="5B9BD5" w:themeColor="accent1"/>
        </w:rPr>
        <w:t xml:space="preserve">teel </w:t>
      </w:r>
      <w:r w:rsidR="002170BD">
        <w:rPr>
          <w:i/>
          <w:color w:val="5B9BD5" w:themeColor="accent1"/>
        </w:rPr>
        <w:t>f</w:t>
      </w:r>
      <w:r w:rsidRPr="00A1117F">
        <w:rPr>
          <w:i/>
          <w:color w:val="5B9BD5" w:themeColor="accent1"/>
        </w:rPr>
        <w:t>abricating</w:t>
      </w:r>
      <w:bookmarkEnd w:id="41"/>
    </w:p>
    <w:p w14:paraId="5BF81D8E" w14:textId="77777777" w:rsidR="00113DB0" w:rsidRDefault="00113DB0" w:rsidP="0004485D">
      <w:pPr>
        <w:spacing w:before="120" w:after="120"/>
        <w:jc w:val="both"/>
      </w:pPr>
      <w:r>
        <w:t xml:space="preserve">Structural steel fabricating produces a variety of goods, ranging from relatively simple reinforcing </w:t>
      </w:r>
      <w:r w:rsidR="002101E3">
        <w:t>bars</w:t>
      </w:r>
      <w:r>
        <w:t xml:space="preserve"> to highly engineered, custom-built structural components. Structural steel products are primarily used in the construction of building and infrastructure projects. The demand for structural steel is also affected by competition from substitute products, such as reinforced concrete, brick, timber and aluminium. As seen in Figure 3.3, non-residential demand</w:t>
      </w:r>
      <w:r w:rsidR="00406066">
        <w:t>, as measured by the value of building work done,</w:t>
      </w:r>
      <w:r>
        <w:t xml:space="preserve"> has been steady since 2011. The second area of demand, from transportation infrastructure, has increased in value over the past couple of years, approaching its 2012 peak. Finally, </w:t>
      </w:r>
      <w:r w:rsidR="0036618A">
        <w:t>m</w:t>
      </w:r>
      <w:r>
        <w:t>ining investment has been in decline since the peak of the commodities boom.</w:t>
      </w:r>
    </w:p>
    <w:p w14:paraId="5892C9F8" w14:textId="31555B47" w:rsidR="00113DB0" w:rsidRDefault="00113DB0" w:rsidP="0004485D">
      <w:pPr>
        <w:spacing w:before="120" w:after="120"/>
        <w:jc w:val="both"/>
      </w:pPr>
      <w:bookmarkStart w:id="42" w:name="_Toc487532404"/>
      <w:r>
        <w:t>This industry sector has a medium level of concentration. Blue</w:t>
      </w:r>
      <w:r w:rsidR="00406066">
        <w:t>S</w:t>
      </w:r>
      <w:r>
        <w:t xml:space="preserve">cope and </w:t>
      </w:r>
      <w:r w:rsidR="005207E5">
        <w:t>Li</w:t>
      </w:r>
      <w:r w:rsidR="005207E5" w:rsidRPr="005207E5">
        <w:t xml:space="preserve">berty </w:t>
      </w:r>
      <w:proofErr w:type="spellStart"/>
      <w:r w:rsidR="005207E5" w:rsidRPr="005207E5">
        <w:t>OneSteel</w:t>
      </w:r>
      <w:proofErr w:type="spellEnd"/>
      <w:r w:rsidR="005207E5">
        <w:t xml:space="preserve"> </w:t>
      </w:r>
      <w:r>
        <w:t xml:space="preserve">have about 40 per cent market share. </w:t>
      </w:r>
      <w:proofErr w:type="spellStart"/>
      <w:r>
        <w:t>Bluescope</w:t>
      </w:r>
      <w:proofErr w:type="spellEnd"/>
      <w:r>
        <w:t xml:space="preserve"> and </w:t>
      </w:r>
      <w:r w:rsidR="005207E5">
        <w:t>Li</w:t>
      </w:r>
      <w:r w:rsidR="005207E5" w:rsidRPr="005207E5">
        <w:t xml:space="preserve">berty </w:t>
      </w:r>
      <w:proofErr w:type="spellStart"/>
      <w:r w:rsidR="005207E5" w:rsidRPr="005207E5">
        <w:t>OneSteel</w:t>
      </w:r>
      <w:proofErr w:type="spellEnd"/>
      <w:r w:rsidR="005207E5">
        <w:t xml:space="preserve"> </w:t>
      </w:r>
      <w:r>
        <w:t>are vertical</w:t>
      </w:r>
      <w:r w:rsidR="00406066">
        <w:t>ly</w:t>
      </w:r>
      <w:r>
        <w:t xml:space="preserve"> integrated businesses, with a range of businesses through the supply chain, from primary steel production to fabrication and distribution. </w:t>
      </w:r>
      <w:r w:rsidRPr="009E6BBF">
        <w:t>Structural steel fabricating</w:t>
      </w:r>
      <w:r w:rsidR="002101E3">
        <w:t xml:space="preserve"> and reinforcing</w:t>
      </w:r>
      <w:r w:rsidRPr="009E6BBF">
        <w:t xml:space="preserve"> </w:t>
      </w:r>
      <w:r>
        <w:t>is their main fabrication business.</w:t>
      </w:r>
    </w:p>
    <w:p w14:paraId="125B12D4" w14:textId="77777777" w:rsidR="00113DB0" w:rsidRDefault="00113DB0" w:rsidP="0004485D">
      <w:pPr>
        <w:spacing w:before="120" w:after="120"/>
        <w:jc w:val="both"/>
      </w:pPr>
      <w:r>
        <w:t xml:space="preserve">Imports of </w:t>
      </w:r>
      <w:r w:rsidR="002170BD">
        <w:t>s</w:t>
      </w:r>
      <w:r>
        <w:t xml:space="preserve">tructural </w:t>
      </w:r>
      <w:r w:rsidR="002170BD">
        <w:t>s</w:t>
      </w:r>
      <w:r>
        <w:t xml:space="preserve">teel </w:t>
      </w:r>
      <w:r w:rsidR="002170BD">
        <w:t>f</w:t>
      </w:r>
      <w:r>
        <w:t xml:space="preserve">abricating </w:t>
      </w:r>
      <w:r w:rsidR="002170BD">
        <w:t xml:space="preserve">products </w:t>
      </w:r>
      <w:r>
        <w:t>are expected to make up 31.9 per cent of domestic demand in 2016-17, a substantial increase from 5.4 per cent in 2006-07. Exports increased by 10 per cent per year over the five years to 2015-16 but this was off a relatively low base. Imports are roughly 20 times the value of exports.</w:t>
      </w:r>
    </w:p>
    <w:p w14:paraId="4AEDF96D" w14:textId="77777777" w:rsidR="00113DB0" w:rsidRPr="00A1117F" w:rsidRDefault="00113DB0" w:rsidP="00113DB0">
      <w:pPr>
        <w:keepNext/>
        <w:spacing w:before="120" w:after="120"/>
        <w:rPr>
          <w:i/>
          <w:color w:val="5B9BD5" w:themeColor="accent1"/>
        </w:rPr>
      </w:pPr>
      <w:r w:rsidRPr="00A1117F">
        <w:rPr>
          <w:i/>
          <w:color w:val="5B9BD5" w:themeColor="accent1"/>
        </w:rPr>
        <w:t xml:space="preserve">Prefabricated </w:t>
      </w:r>
      <w:r w:rsidR="002170BD">
        <w:rPr>
          <w:i/>
          <w:color w:val="5B9BD5" w:themeColor="accent1"/>
        </w:rPr>
        <w:t>m</w:t>
      </w:r>
      <w:r w:rsidRPr="00A1117F">
        <w:rPr>
          <w:i/>
          <w:color w:val="5B9BD5" w:themeColor="accent1"/>
        </w:rPr>
        <w:t xml:space="preserve">etal </w:t>
      </w:r>
      <w:r w:rsidR="002170BD">
        <w:rPr>
          <w:i/>
          <w:color w:val="5B9BD5" w:themeColor="accent1"/>
        </w:rPr>
        <w:t>b</w:t>
      </w:r>
      <w:r w:rsidRPr="00A1117F">
        <w:rPr>
          <w:i/>
          <w:color w:val="5B9BD5" w:themeColor="accent1"/>
        </w:rPr>
        <w:t xml:space="preserve">uilding </w:t>
      </w:r>
      <w:r w:rsidR="002170BD">
        <w:rPr>
          <w:i/>
          <w:color w:val="5B9BD5" w:themeColor="accent1"/>
        </w:rPr>
        <w:t>m</w:t>
      </w:r>
      <w:r w:rsidRPr="00A1117F">
        <w:rPr>
          <w:i/>
          <w:color w:val="5B9BD5" w:themeColor="accent1"/>
        </w:rPr>
        <w:t>anufacturing</w:t>
      </w:r>
      <w:bookmarkEnd w:id="42"/>
    </w:p>
    <w:p w14:paraId="26869D18" w14:textId="77777777" w:rsidR="00113DB0" w:rsidRDefault="00113DB0" w:rsidP="0004485D">
      <w:pPr>
        <w:spacing w:before="120" w:after="120"/>
        <w:jc w:val="both"/>
      </w:pPr>
      <w:r>
        <w:t xml:space="preserve">The prefabricated metal building </w:t>
      </w:r>
      <w:r w:rsidR="00E5082A">
        <w:t>m</w:t>
      </w:r>
      <w:r>
        <w:t xml:space="preserve">anufacturing industry sector supplies portable buildings </w:t>
      </w:r>
      <w:proofErr w:type="gramStart"/>
      <w:r>
        <w:t>to</w:t>
      </w:r>
      <w:proofErr w:type="gramEnd"/>
      <w:r>
        <w:t xml:space="preserve"> many downstream users, including </w:t>
      </w:r>
      <w:r w:rsidR="00E5082A">
        <w:t>m</w:t>
      </w:r>
      <w:r>
        <w:t xml:space="preserve">ining and </w:t>
      </w:r>
      <w:r w:rsidR="00E5082A">
        <w:t>c</w:t>
      </w:r>
      <w:r>
        <w:t>onstruction companies, schools, tourist operators and households. The range of products is diverse and includes medium-density housing, site offices, accommodation units, ticketing booths and staff amenities such as bathrooms and mess halls.</w:t>
      </w:r>
    </w:p>
    <w:p w14:paraId="15457B09" w14:textId="77777777" w:rsidR="00113DB0" w:rsidRDefault="00113DB0" w:rsidP="0004485D">
      <w:pPr>
        <w:spacing w:before="120" w:after="120"/>
        <w:jc w:val="both"/>
      </w:pPr>
      <w:r>
        <w:t xml:space="preserve">This industry sector has been in decline since 2012-13. Sales and service income has fallen by 19.7 per cent since this time, with Industry Value Added dropping 26.8 per cent. Imports are expected to account for 7.5 per cent of domestic demand in 2016-17. Both imports and exports are relatively low, due to the high cost associated with transporting these bulky products. </w:t>
      </w:r>
    </w:p>
    <w:p w14:paraId="258DCF87" w14:textId="77777777" w:rsidR="00113DB0" w:rsidRDefault="00113DB0" w:rsidP="0004485D">
      <w:pPr>
        <w:spacing w:before="120" w:after="120"/>
        <w:jc w:val="both"/>
      </w:pPr>
      <w:r>
        <w:t>In comparison to the other industry sectors examined in this section, this sector has a more diverse demand side. Agriculture and major events are sectors that demand these goods. Agricultural demand is likely to increase in the near future and Australia’s hosting of major events, including the 2018 Commonwealth Games, is expected to add to short-term demand.</w:t>
      </w:r>
    </w:p>
    <w:p w14:paraId="4C5F3DEB" w14:textId="77777777" w:rsidR="00113DB0" w:rsidRDefault="00113DB0" w:rsidP="0004485D">
      <w:pPr>
        <w:spacing w:before="120" w:after="120"/>
        <w:jc w:val="both"/>
      </w:pPr>
      <w:bookmarkStart w:id="43" w:name="_Toc487532405"/>
      <w:r>
        <w:t>The three biggest companies, ATCO, Ausco Modular and Fleetwood, account for an estimated 38.5 per cent of total revenue. This industry sector has a below average level of concentration, with a relatively large proportion of small businesses.</w:t>
      </w:r>
    </w:p>
    <w:p w14:paraId="7CD72BF8" w14:textId="77777777" w:rsidR="00113DB0" w:rsidRPr="00A1117F" w:rsidRDefault="00113DB0" w:rsidP="00113DB0">
      <w:pPr>
        <w:keepNext/>
        <w:spacing w:before="120" w:after="120"/>
        <w:rPr>
          <w:i/>
          <w:color w:val="5B9BD5" w:themeColor="accent1"/>
        </w:rPr>
      </w:pPr>
      <w:r w:rsidRPr="00A1117F">
        <w:rPr>
          <w:i/>
          <w:color w:val="5B9BD5" w:themeColor="accent1"/>
        </w:rPr>
        <w:t xml:space="preserve">Metal </w:t>
      </w:r>
      <w:r w:rsidR="002170BD">
        <w:rPr>
          <w:i/>
          <w:color w:val="5B9BD5" w:themeColor="accent1"/>
        </w:rPr>
        <w:t>r</w:t>
      </w:r>
      <w:r w:rsidRPr="00A1117F">
        <w:rPr>
          <w:i/>
          <w:color w:val="5B9BD5" w:themeColor="accent1"/>
        </w:rPr>
        <w:t xml:space="preserve">oof and </w:t>
      </w:r>
      <w:r w:rsidR="002170BD">
        <w:rPr>
          <w:i/>
          <w:color w:val="5B9BD5" w:themeColor="accent1"/>
        </w:rPr>
        <w:t>g</w:t>
      </w:r>
      <w:r w:rsidRPr="00A1117F">
        <w:rPr>
          <w:i/>
          <w:color w:val="5B9BD5" w:themeColor="accent1"/>
        </w:rPr>
        <w:t xml:space="preserve">uttering </w:t>
      </w:r>
      <w:r w:rsidR="002170BD">
        <w:rPr>
          <w:i/>
          <w:color w:val="5B9BD5" w:themeColor="accent1"/>
        </w:rPr>
        <w:t>m</w:t>
      </w:r>
      <w:r w:rsidRPr="00A1117F">
        <w:rPr>
          <w:i/>
          <w:color w:val="5B9BD5" w:themeColor="accent1"/>
        </w:rPr>
        <w:t>anufacturing</w:t>
      </w:r>
      <w:bookmarkEnd w:id="43"/>
    </w:p>
    <w:p w14:paraId="65BED3DC" w14:textId="77777777" w:rsidR="00113DB0" w:rsidRDefault="00113DB0" w:rsidP="0004485D">
      <w:pPr>
        <w:spacing w:before="120" w:after="120"/>
        <w:jc w:val="both"/>
      </w:pPr>
      <w:r>
        <w:t xml:space="preserve">Trends in the housing and non-residential building markets heavily influence the fortunes of the </w:t>
      </w:r>
      <w:r w:rsidR="002170BD">
        <w:t>m</w:t>
      </w:r>
      <w:r>
        <w:t xml:space="preserve">etal </w:t>
      </w:r>
      <w:r w:rsidR="002170BD">
        <w:t>r</w:t>
      </w:r>
      <w:r>
        <w:t xml:space="preserve">oof and </w:t>
      </w:r>
      <w:r w:rsidR="002170BD">
        <w:t>g</w:t>
      </w:r>
      <w:r>
        <w:t xml:space="preserve">uttering </w:t>
      </w:r>
      <w:r w:rsidR="002170BD">
        <w:t>m</w:t>
      </w:r>
      <w:r>
        <w:t>anufacturing sector. A significant constraint on its growth comes from its heavy exposure to competition from substitute products, such as aluminium, ceramic and concrete roofing and PVC guttering systems. Concrete and ceramic roof tiles currently hold about 65 per cent of the residential roofing market, with metal roofing accounting for the balance.</w:t>
      </w:r>
    </w:p>
    <w:p w14:paraId="64D2880B" w14:textId="77777777" w:rsidR="00113DB0" w:rsidRDefault="00113DB0" w:rsidP="0004485D">
      <w:pPr>
        <w:spacing w:before="120" w:after="120"/>
        <w:jc w:val="both"/>
      </w:pPr>
      <w:r>
        <w:t xml:space="preserve">The industry sector has a high concentration of ownership with the four largest players accounting for an estimated 83.4 per cent of industry revenue in 2015-16. </w:t>
      </w:r>
      <w:r w:rsidR="002170BD">
        <w:t>I</w:t>
      </w:r>
      <w:r>
        <w:t>n this sector</w:t>
      </w:r>
      <w:r w:rsidR="002170BD">
        <w:t>, 29.1 per cent of firms</w:t>
      </w:r>
      <w:r>
        <w:t xml:space="preserve"> have a turnover of $2 million or more, compared to the </w:t>
      </w:r>
      <w:r w:rsidR="0036618A">
        <w:t>m</w:t>
      </w:r>
      <w:r>
        <w:t>anufacturing average of 15.0 per cent.</w:t>
      </w:r>
    </w:p>
    <w:p w14:paraId="7BBA0820" w14:textId="77777777" w:rsidR="00113DB0" w:rsidRDefault="00113DB0" w:rsidP="0004485D">
      <w:pPr>
        <w:spacing w:before="120" w:after="120"/>
        <w:jc w:val="both"/>
      </w:pPr>
      <w:r>
        <w:t xml:space="preserve">There is minimal international trade in the </w:t>
      </w:r>
      <w:r w:rsidR="002170BD">
        <w:t>m</w:t>
      </w:r>
      <w:r>
        <w:t xml:space="preserve">etal </w:t>
      </w:r>
      <w:r w:rsidR="002170BD">
        <w:t>r</w:t>
      </w:r>
      <w:r>
        <w:t xml:space="preserve">oof and </w:t>
      </w:r>
      <w:r w:rsidR="002170BD">
        <w:t>g</w:t>
      </w:r>
      <w:r>
        <w:t xml:space="preserve">uttering </w:t>
      </w:r>
      <w:r w:rsidR="002170BD">
        <w:t>m</w:t>
      </w:r>
      <w:r>
        <w:t>anufacturing sector, reflecting the low value and bulky nature of the product.</w:t>
      </w:r>
    </w:p>
    <w:p w14:paraId="2AD6B6AD" w14:textId="77777777" w:rsidR="00113DB0" w:rsidRPr="00691970" w:rsidRDefault="00113DB0" w:rsidP="0004485D">
      <w:pPr>
        <w:spacing w:before="120" w:after="120"/>
        <w:jc w:val="both"/>
      </w:pPr>
      <w:r>
        <w:t xml:space="preserve">Sales and service income has been strong. Since 2011-12, it has been growing at 17.8 per cent per annum and has almost doubled in value. Industry Value Added also increased at 18.6 per cent per annum, but this is coming off a low base. </w:t>
      </w:r>
    </w:p>
    <w:p w14:paraId="0A2AD8DA" w14:textId="77777777" w:rsidR="00113DB0" w:rsidRPr="00A1117F" w:rsidRDefault="00113DB0" w:rsidP="00113DB0">
      <w:pPr>
        <w:keepNext/>
        <w:spacing w:before="120" w:after="120"/>
        <w:rPr>
          <w:i/>
          <w:color w:val="5B9BD5" w:themeColor="accent1"/>
        </w:rPr>
      </w:pPr>
      <w:bookmarkStart w:id="44" w:name="_Toc487532406"/>
      <w:r w:rsidRPr="00A1117F">
        <w:rPr>
          <w:i/>
          <w:color w:val="5B9BD5" w:themeColor="accent1"/>
        </w:rPr>
        <w:t xml:space="preserve">Other </w:t>
      </w:r>
      <w:r w:rsidR="002170BD">
        <w:rPr>
          <w:i/>
          <w:color w:val="5B9BD5" w:themeColor="accent1"/>
        </w:rPr>
        <w:t>s</w:t>
      </w:r>
      <w:r w:rsidRPr="00A1117F">
        <w:rPr>
          <w:i/>
          <w:color w:val="5B9BD5" w:themeColor="accent1"/>
        </w:rPr>
        <w:t xml:space="preserve">tructural </w:t>
      </w:r>
      <w:r w:rsidR="002170BD">
        <w:rPr>
          <w:i/>
          <w:color w:val="5B9BD5" w:themeColor="accent1"/>
        </w:rPr>
        <w:t>m</w:t>
      </w:r>
      <w:r w:rsidRPr="00A1117F">
        <w:rPr>
          <w:i/>
          <w:color w:val="5B9BD5" w:themeColor="accent1"/>
        </w:rPr>
        <w:t xml:space="preserve">etal </w:t>
      </w:r>
      <w:r w:rsidR="002170BD">
        <w:rPr>
          <w:i/>
          <w:color w:val="5B9BD5" w:themeColor="accent1"/>
        </w:rPr>
        <w:t>p</w:t>
      </w:r>
      <w:r w:rsidRPr="00A1117F">
        <w:rPr>
          <w:i/>
          <w:color w:val="5B9BD5" w:themeColor="accent1"/>
        </w:rPr>
        <w:t xml:space="preserve">roduct </w:t>
      </w:r>
      <w:r w:rsidR="002170BD">
        <w:rPr>
          <w:i/>
          <w:color w:val="5B9BD5" w:themeColor="accent1"/>
        </w:rPr>
        <w:t>m</w:t>
      </w:r>
      <w:r w:rsidRPr="00A1117F">
        <w:rPr>
          <w:i/>
          <w:color w:val="5B9BD5" w:themeColor="accent1"/>
        </w:rPr>
        <w:t>anufacturing</w:t>
      </w:r>
      <w:bookmarkEnd w:id="44"/>
    </w:p>
    <w:p w14:paraId="28CDDA0B" w14:textId="77777777" w:rsidR="00113DB0" w:rsidRDefault="00113DB0" w:rsidP="00592D58">
      <w:pPr>
        <w:spacing w:before="120" w:after="120"/>
        <w:jc w:val="both"/>
      </w:pPr>
      <w:r>
        <w:t xml:space="preserve">The products manufactured by the other structural metal product sector include garage doors, window shutters, metal doors, door and window frames, and curtain walls. The sector also supplies products used in infrastructure projects such as railings and steel grates, and customised door and shutter systems for road-freight vehicles (trucks and vans). </w:t>
      </w:r>
    </w:p>
    <w:p w14:paraId="7C32B055" w14:textId="77777777" w:rsidR="00113DB0" w:rsidRDefault="00113DB0" w:rsidP="00592D58">
      <w:pPr>
        <w:spacing w:before="120" w:after="120"/>
        <w:jc w:val="both"/>
      </w:pPr>
      <w:r>
        <w:t xml:space="preserve">International trade is low in this industry sector as structural metal components are typically large and expensive to transport over long distances and </w:t>
      </w:r>
      <w:r w:rsidR="003D6CB3">
        <w:t>many products have</w:t>
      </w:r>
      <w:r>
        <w:t xml:space="preserve"> customised design requirements</w:t>
      </w:r>
      <w:r w:rsidR="003D6CB3">
        <w:t>; therefore,</w:t>
      </w:r>
      <w:r>
        <w:t xml:space="preserve"> most products are manufactured in Australia. </w:t>
      </w:r>
    </w:p>
    <w:p w14:paraId="3FA3B300" w14:textId="77777777" w:rsidR="00113DB0" w:rsidRDefault="00113DB0" w:rsidP="00592D58">
      <w:pPr>
        <w:spacing w:before="120" w:after="120"/>
        <w:jc w:val="both"/>
      </w:pPr>
      <w:r>
        <w:t>As the product mix is highly fragmented and diverse, so is this industry sector at the firm level. There is a higher than average proportion of small and medium businesses, with the largest firms (those with more than 200 employees or turnover greater than $2 million) having less than seven per cent market share.</w:t>
      </w:r>
    </w:p>
    <w:p w14:paraId="0616E63D" w14:textId="77777777" w:rsidR="00113DB0" w:rsidRPr="00666AC2" w:rsidRDefault="00113DB0" w:rsidP="00592D58">
      <w:pPr>
        <w:spacing w:before="120" w:after="120"/>
        <w:jc w:val="both"/>
      </w:pPr>
      <w:r>
        <w:t xml:space="preserve">Industry </w:t>
      </w:r>
      <w:r w:rsidR="002170BD">
        <w:t>V</w:t>
      </w:r>
      <w:r>
        <w:t xml:space="preserve">alue </w:t>
      </w:r>
      <w:r w:rsidR="002170BD">
        <w:t>A</w:t>
      </w:r>
      <w:r>
        <w:t>dded and the value of sales have been flat since 2010-11. An increase in industry productivity has resulted in employment decreasing over the same period.</w:t>
      </w:r>
    </w:p>
    <w:p w14:paraId="378B6077" w14:textId="77777777" w:rsidR="00113DB0" w:rsidRPr="00603D8B" w:rsidRDefault="00113DB0" w:rsidP="00113DB0">
      <w:pPr>
        <w:pStyle w:val="Heading3"/>
      </w:pPr>
      <w:bookmarkStart w:id="45" w:name="_Toc487532407"/>
      <w:r w:rsidRPr="008C587C">
        <w:t xml:space="preserve">Metal </w:t>
      </w:r>
      <w:r w:rsidR="002170BD">
        <w:t>c</w:t>
      </w:r>
      <w:r w:rsidRPr="008C587C">
        <w:t xml:space="preserve">ontainer </w:t>
      </w:r>
      <w:r w:rsidR="002170BD">
        <w:t>m</w:t>
      </w:r>
      <w:r w:rsidRPr="008C587C">
        <w:t>anufacturing</w:t>
      </w:r>
      <w:bookmarkEnd w:id="45"/>
    </w:p>
    <w:p w14:paraId="790098CF" w14:textId="77777777" w:rsidR="00113DB0" w:rsidRPr="00666AC2" w:rsidRDefault="00113DB0" w:rsidP="00592D58">
      <w:pPr>
        <w:spacing w:before="120" w:after="120"/>
        <w:jc w:val="both"/>
      </w:pPr>
      <w:r>
        <w:t xml:space="preserve">Metal </w:t>
      </w:r>
      <w:r w:rsidR="002170BD">
        <w:t>c</w:t>
      </w:r>
      <w:r>
        <w:t xml:space="preserve">ontainer </w:t>
      </w:r>
      <w:r w:rsidR="002170BD">
        <w:t>m</w:t>
      </w:r>
      <w:r>
        <w:t xml:space="preserve">anufacturing represents a small part of the Australian economy at less than one per cent of </w:t>
      </w:r>
      <w:r w:rsidR="0036618A">
        <w:t>m</w:t>
      </w:r>
      <w:r>
        <w:t xml:space="preserve">anufacturing’s </w:t>
      </w:r>
      <w:r w:rsidR="00A474D1">
        <w:t xml:space="preserve">Industry </w:t>
      </w:r>
      <w:r w:rsidR="002170BD">
        <w:t>Value Added</w:t>
      </w:r>
      <w:r>
        <w:t>, sales and employment. Employment has been volatile over the 2006-16 period. Industry Value Added has been steady and sales and service income have increased at almost one per cent per annum.</w:t>
      </w:r>
    </w:p>
    <w:p w14:paraId="26F32667" w14:textId="77777777" w:rsidR="00113DB0" w:rsidRPr="00A1117F" w:rsidRDefault="00113DB0" w:rsidP="00113DB0">
      <w:pPr>
        <w:keepNext/>
        <w:spacing w:before="120" w:after="120"/>
        <w:rPr>
          <w:i/>
          <w:color w:val="5B9BD5" w:themeColor="accent1"/>
        </w:rPr>
      </w:pPr>
      <w:bookmarkStart w:id="46" w:name="_Toc487532408"/>
      <w:r w:rsidRPr="00A1117F">
        <w:rPr>
          <w:i/>
          <w:color w:val="5B9BD5" w:themeColor="accent1"/>
        </w:rPr>
        <w:t xml:space="preserve">Boiler and </w:t>
      </w:r>
      <w:r w:rsidR="00A474D1">
        <w:rPr>
          <w:i/>
          <w:color w:val="5B9BD5" w:themeColor="accent1"/>
        </w:rPr>
        <w:t>t</w:t>
      </w:r>
      <w:r w:rsidRPr="00A1117F">
        <w:rPr>
          <w:i/>
          <w:color w:val="5B9BD5" w:themeColor="accent1"/>
        </w:rPr>
        <w:t xml:space="preserve">ank </w:t>
      </w:r>
      <w:r w:rsidR="00A474D1">
        <w:rPr>
          <w:i/>
          <w:color w:val="5B9BD5" w:themeColor="accent1"/>
        </w:rPr>
        <w:t>m</w:t>
      </w:r>
      <w:r w:rsidRPr="00A1117F">
        <w:rPr>
          <w:i/>
          <w:color w:val="5B9BD5" w:themeColor="accent1"/>
        </w:rPr>
        <w:t>anufacturing</w:t>
      </w:r>
      <w:bookmarkEnd w:id="46"/>
    </w:p>
    <w:p w14:paraId="5914F1CB" w14:textId="77777777" w:rsidR="00113DB0" w:rsidRDefault="00113DB0" w:rsidP="00592D58">
      <w:pPr>
        <w:spacing w:before="120" w:after="120"/>
        <w:jc w:val="both"/>
      </w:pPr>
      <w:r>
        <w:t>Firms in this industry sector use heavy gauge metals to manufacture metal boiler and tank products, which include steam boilers, pressure tanks, storage tanks and other metal containers.</w:t>
      </w:r>
      <w:r w:rsidRPr="00666AC2">
        <w:t xml:space="preserve"> The </w:t>
      </w:r>
      <w:r w:rsidR="00A474D1">
        <w:t>b</w:t>
      </w:r>
      <w:r w:rsidRPr="00666AC2">
        <w:t xml:space="preserve">oiler and </w:t>
      </w:r>
      <w:r w:rsidR="00A474D1">
        <w:t>t</w:t>
      </w:r>
      <w:r w:rsidRPr="00666AC2">
        <w:t xml:space="preserve">ank </w:t>
      </w:r>
      <w:r w:rsidR="00A474D1">
        <w:t>m</w:t>
      </w:r>
      <w:r w:rsidRPr="00666AC2">
        <w:t xml:space="preserve">anufacturing </w:t>
      </w:r>
      <w:r>
        <w:t xml:space="preserve">sector </w:t>
      </w:r>
      <w:r w:rsidRPr="00666AC2">
        <w:t xml:space="preserve">has a highly fragmented structure with a low market share concentration. </w:t>
      </w:r>
      <w:r>
        <w:t>N</w:t>
      </w:r>
      <w:r w:rsidRPr="00666AC2">
        <w:t xml:space="preserve">o companies employ </w:t>
      </w:r>
      <w:r w:rsidR="003D6CB3">
        <w:t>more than</w:t>
      </w:r>
      <w:r w:rsidR="003D6CB3" w:rsidRPr="00666AC2">
        <w:t xml:space="preserve"> </w:t>
      </w:r>
      <w:r w:rsidRPr="00666AC2">
        <w:t>200 staff and 97.</w:t>
      </w:r>
      <w:r>
        <w:t>7</w:t>
      </w:r>
      <w:r w:rsidRPr="00666AC2">
        <w:t xml:space="preserve"> per cent employ </w:t>
      </w:r>
      <w:r>
        <w:t>fewer</w:t>
      </w:r>
      <w:r w:rsidRPr="00666AC2">
        <w:t xml:space="preserve"> than 20. This is the lowest</w:t>
      </w:r>
      <w:r>
        <w:t xml:space="preserve"> concentration</w:t>
      </w:r>
      <w:r w:rsidRPr="00666AC2">
        <w:t xml:space="preserve"> of the industries </w:t>
      </w:r>
      <w:r>
        <w:t xml:space="preserve">examined </w:t>
      </w:r>
      <w:r w:rsidRPr="00666AC2">
        <w:t xml:space="preserve">in this report. </w:t>
      </w:r>
    </w:p>
    <w:p w14:paraId="138CD150" w14:textId="77777777" w:rsidR="00113DB0" w:rsidRPr="00FD7709" w:rsidRDefault="00113DB0" w:rsidP="00592D58">
      <w:pPr>
        <w:spacing w:before="120" w:after="120"/>
        <w:jc w:val="both"/>
      </w:pPr>
      <w:r>
        <w:t xml:space="preserve">Industry Value Added </w:t>
      </w:r>
      <w:r w:rsidRPr="00D40164">
        <w:t xml:space="preserve">and </w:t>
      </w:r>
      <w:r w:rsidR="00A474D1">
        <w:t>s</w:t>
      </w:r>
      <w:r w:rsidRPr="00D40164">
        <w:t xml:space="preserve">ales and service income </w:t>
      </w:r>
      <w:r>
        <w:t xml:space="preserve">are </w:t>
      </w:r>
      <w:r w:rsidR="003D6CB3">
        <w:t xml:space="preserve">now </w:t>
      </w:r>
      <w:r w:rsidRPr="00D40164">
        <w:t xml:space="preserve">about </w:t>
      </w:r>
      <w:r>
        <w:t>40</w:t>
      </w:r>
      <w:r w:rsidRPr="00D40164">
        <w:t xml:space="preserve"> per cent lower than the peak in 2012</w:t>
      </w:r>
      <w:r>
        <w:t>-</w:t>
      </w:r>
      <w:r w:rsidRPr="00D40164">
        <w:t>13</w:t>
      </w:r>
      <w:r w:rsidRPr="00FD7709">
        <w:t>.</w:t>
      </w:r>
    </w:p>
    <w:p w14:paraId="1C46B85D" w14:textId="77777777" w:rsidR="00113DB0" w:rsidRPr="00A1117F" w:rsidRDefault="00113DB0" w:rsidP="00113DB0">
      <w:pPr>
        <w:keepNext/>
        <w:spacing w:before="120" w:after="120"/>
        <w:rPr>
          <w:i/>
          <w:color w:val="5B9BD5" w:themeColor="accent1"/>
        </w:rPr>
      </w:pPr>
      <w:bookmarkStart w:id="47" w:name="_Toc487532409"/>
      <w:r w:rsidRPr="00A1117F">
        <w:rPr>
          <w:i/>
          <w:color w:val="5B9BD5" w:themeColor="accent1"/>
        </w:rPr>
        <w:t xml:space="preserve">Other </w:t>
      </w:r>
      <w:r w:rsidR="00A474D1">
        <w:rPr>
          <w:i/>
          <w:color w:val="5B9BD5" w:themeColor="accent1"/>
        </w:rPr>
        <w:t>m</w:t>
      </w:r>
      <w:r w:rsidRPr="00A1117F">
        <w:rPr>
          <w:i/>
          <w:color w:val="5B9BD5" w:themeColor="accent1"/>
        </w:rPr>
        <w:t xml:space="preserve">etal </w:t>
      </w:r>
      <w:r w:rsidR="00A474D1">
        <w:rPr>
          <w:i/>
          <w:color w:val="5B9BD5" w:themeColor="accent1"/>
        </w:rPr>
        <w:t>c</w:t>
      </w:r>
      <w:r w:rsidRPr="00A1117F">
        <w:rPr>
          <w:i/>
          <w:color w:val="5B9BD5" w:themeColor="accent1"/>
        </w:rPr>
        <w:t xml:space="preserve">ontainer </w:t>
      </w:r>
      <w:r w:rsidR="00A474D1">
        <w:rPr>
          <w:i/>
          <w:color w:val="5B9BD5" w:themeColor="accent1"/>
        </w:rPr>
        <w:t>m</w:t>
      </w:r>
      <w:r w:rsidRPr="00A1117F">
        <w:rPr>
          <w:i/>
          <w:color w:val="5B9BD5" w:themeColor="accent1"/>
        </w:rPr>
        <w:t>anufacturing</w:t>
      </w:r>
      <w:bookmarkEnd w:id="47"/>
    </w:p>
    <w:p w14:paraId="601B9A81" w14:textId="77777777" w:rsidR="00113DB0" w:rsidRDefault="00113DB0" w:rsidP="00592D58">
      <w:pPr>
        <w:spacing w:before="120" w:after="120"/>
        <w:jc w:val="both"/>
      </w:pPr>
      <w:r>
        <w:t xml:space="preserve">This industry sector consists of companies that manufacture metal containers such as bins, cans and drums for use in a variety of applications. Sales and service income has been increasing at </w:t>
      </w:r>
      <w:r w:rsidR="003D6CB3">
        <w:t xml:space="preserve">an average </w:t>
      </w:r>
      <w:r>
        <w:t xml:space="preserve">5.0 per cent </w:t>
      </w:r>
      <w:r w:rsidR="003D6CB3">
        <w:t>a year</w:t>
      </w:r>
      <w:r>
        <w:t xml:space="preserve"> since 2010-2011 and Industry Value Added at 4.7 per cent </w:t>
      </w:r>
      <w:r w:rsidR="003D6CB3">
        <w:t>a year</w:t>
      </w:r>
      <w:r>
        <w:t>. While growing, the industry sector is experiencing pressure from competition from low priced imports as well as substitute products made from different materials.</w:t>
      </w:r>
    </w:p>
    <w:p w14:paraId="1E033516" w14:textId="77777777" w:rsidR="00113DB0" w:rsidRDefault="00113DB0" w:rsidP="00592D58">
      <w:pPr>
        <w:spacing w:before="120" w:after="120"/>
        <w:jc w:val="both"/>
      </w:pPr>
      <w:r>
        <w:t>In the past, the main driver of demand for other metal container manufacturing products has been the food manufacturing industry</w:t>
      </w:r>
      <w:r w:rsidR="003D6CB3">
        <w:t>.</w:t>
      </w:r>
      <w:r>
        <w:t xml:space="preserve"> </w:t>
      </w:r>
      <w:r w:rsidR="003D6CB3">
        <w:t>T</w:t>
      </w:r>
      <w:r>
        <w:t xml:space="preserve">his industry’s demand for steel cans will continue to benefit </w:t>
      </w:r>
      <w:r w:rsidR="00A474D1">
        <w:t>producers in the o</w:t>
      </w:r>
      <w:r>
        <w:t xml:space="preserve">ther </w:t>
      </w:r>
      <w:r w:rsidR="00A474D1">
        <w:t>m</w:t>
      </w:r>
      <w:r>
        <w:t xml:space="preserve">etal </w:t>
      </w:r>
      <w:r w:rsidR="00A474D1">
        <w:t>c</w:t>
      </w:r>
      <w:r>
        <w:t xml:space="preserve">ontainer </w:t>
      </w:r>
      <w:r w:rsidR="00A474D1">
        <w:t>m</w:t>
      </w:r>
      <w:r>
        <w:t>anufactur</w:t>
      </w:r>
      <w:r w:rsidR="00A474D1">
        <w:t>ing sector</w:t>
      </w:r>
      <w:r>
        <w:t>.</w:t>
      </w:r>
    </w:p>
    <w:p w14:paraId="7C1847E2" w14:textId="77777777" w:rsidR="00113DB0" w:rsidRPr="00666AC2" w:rsidRDefault="00113DB0" w:rsidP="00592D58">
      <w:pPr>
        <w:spacing w:before="120" w:after="120"/>
        <w:jc w:val="both"/>
      </w:pPr>
      <w:r>
        <w:t>The sector has a moderate level of concentration. The top four firms (</w:t>
      </w:r>
      <w:proofErr w:type="spellStart"/>
      <w:r>
        <w:t>Orora</w:t>
      </w:r>
      <w:proofErr w:type="spellEnd"/>
      <w:r>
        <w:t xml:space="preserve">, Visy, </w:t>
      </w:r>
      <w:proofErr w:type="spellStart"/>
      <w:r>
        <w:t>Jamestrong</w:t>
      </w:r>
      <w:proofErr w:type="spellEnd"/>
      <w:r>
        <w:t xml:space="preserve"> Packaging and National Can Industries) account for 59.7 per cent of industry revenue. Almost 14 per cent of firms employ more than 20 people and over 66 per cent have a turnover of $200,000 or more, which is well above the </w:t>
      </w:r>
      <w:r w:rsidR="0036618A">
        <w:t>m</w:t>
      </w:r>
      <w:r>
        <w:t>anufacturing industry average.</w:t>
      </w:r>
    </w:p>
    <w:p w14:paraId="4A8AA076" w14:textId="77777777" w:rsidR="00113DB0" w:rsidRPr="00603D8B" w:rsidRDefault="00113DB0" w:rsidP="00113DB0">
      <w:pPr>
        <w:pStyle w:val="Heading3"/>
      </w:pPr>
      <w:bookmarkStart w:id="48" w:name="_Toc487532410"/>
      <w:r w:rsidRPr="008C587C">
        <w:t xml:space="preserve">Sheet </w:t>
      </w:r>
      <w:r w:rsidR="00A474D1">
        <w:t>m</w:t>
      </w:r>
      <w:r w:rsidRPr="008C587C">
        <w:t xml:space="preserve">etal </w:t>
      </w:r>
      <w:r w:rsidR="00A474D1">
        <w:t>p</w:t>
      </w:r>
      <w:r w:rsidRPr="008C587C">
        <w:t xml:space="preserve">roduct </w:t>
      </w:r>
      <w:r w:rsidR="00A474D1">
        <w:t>m</w:t>
      </w:r>
      <w:r w:rsidRPr="008C587C">
        <w:t>anufacturing</w:t>
      </w:r>
      <w:bookmarkEnd w:id="48"/>
    </w:p>
    <w:p w14:paraId="433AB658" w14:textId="77777777" w:rsidR="00113DB0" w:rsidRDefault="00113DB0" w:rsidP="00592D58">
      <w:pPr>
        <w:spacing w:before="120" w:after="120"/>
        <w:jc w:val="both"/>
      </w:pPr>
      <w:r>
        <w:t xml:space="preserve">Demand for products produced by the </w:t>
      </w:r>
      <w:r w:rsidR="00A474D1">
        <w:t>s</w:t>
      </w:r>
      <w:r>
        <w:t xml:space="preserve">heet </w:t>
      </w:r>
      <w:r w:rsidR="00A474D1">
        <w:t>m</w:t>
      </w:r>
      <w:r>
        <w:t xml:space="preserve">etal </w:t>
      </w:r>
      <w:r w:rsidR="00A474D1">
        <w:t>p</w:t>
      </w:r>
      <w:r>
        <w:t xml:space="preserve">roduct </w:t>
      </w:r>
      <w:r w:rsidR="00A474D1">
        <w:t>m</w:t>
      </w:r>
      <w:r>
        <w:t xml:space="preserve">anufacturing sector </w:t>
      </w:r>
      <w:r w:rsidRPr="00666AC2">
        <w:t>come from the non-residential building construction, manufacturing and air-conditioning and heating services. Sheet metal product manufacturers are typically small in scale and target narrow regional or product markets, which results in a fragmented industry</w:t>
      </w:r>
      <w:r>
        <w:t xml:space="preserve"> structure</w:t>
      </w:r>
      <w:r w:rsidRPr="00666AC2">
        <w:t>.</w:t>
      </w:r>
      <w:r>
        <w:t xml:space="preserve"> T</w:t>
      </w:r>
      <w:r w:rsidRPr="00666AC2">
        <w:t>he biggest player in th</w:t>
      </w:r>
      <w:r>
        <w:t>is</w:t>
      </w:r>
      <w:r w:rsidRPr="00666AC2">
        <w:t xml:space="preserve"> industry </w:t>
      </w:r>
      <w:r>
        <w:t xml:space="preserve">sector </w:t>
      </w:r>
      <w:r w:rsidRPr="00666AC2">
        <w:t xml:space="preserve">is GWA Group Ltd with a market share of 3.1 per cent. Strong and increasing competition has characterised the </w:t>
      </w:r>
      <w:r>
        <w:t>sector</w:t>
      </w:r>
      <w:r w:rsidRPr="00666AC2">
        <w:t xml:space="preserve"> over the past five years, forcing many smaller enterprises to exit</w:t>
      </w:r>
      <w:r>
        <w:t xml:space="preserve"> the sector</w:t>
      </w:r>
      <w:r w:rsidRPr="00666AC2">
        <w:t xml:space="preserve">. </w:t>
      </w:r>
    </w:p>
    <w:p w14:paraId="3E7221E4" w14:textId="77777777" w:rsidR="00113DB0" w:rsidRPr="00E9152C" w:rsidRDefault="00113DB0" w:rsidP="00592D58">
      <w:pPr>
        <w:spacing w:before="120" w:after="120"/>
        <w:jc w:val="both"/>
      </w:pPr>
      <w:bookmarkStart w:id="49" w:name="_Toc487532411"/>
      <w:r w:rsidRPr="00666AC2">
        <w:t xml:space="preserve">Sales and service income has been decreasing by </w:t>
      </w:r>
      <w:r w:rsidR="003D6CB3">
        <w:t xml:space="preserve">an average </w:t>
      </w:r>
      <w:r>
        <w:t>7.6</w:t>
      </w:r>
      <w:r w:rsidRPr="00666AC2">
        <w:t xml:space="preserve"> per cent </w:t>
      </w:r>
      <w:r w:rsidR="003D6CB3">
        <w:t>a</w:t>
      </w:r>
      <w:r w:rsidR="003D6CB3" w:rsidRPr="00666AC2">
        <w:t xml:space="preserve"> </w:t>
      </w:r>
      <w:r w:rsidRPr="00666AC2">
        <w:t>year since 2011</w:t>
      </w:r>
      <w:r>
        <w:t>-</w:t>
      </w:r>
      <w:r w:rsidRPr="00666AC2">
        <w:t>12</w:t>
      </w:r>
      <w:r>
        <w:t xml:space="preserve">, with Industry Value Added decreasing at 7.9 per cent </w:t>
      </w:r>
      <w:r w:rsidR="003D6CB3">
        <w:t xml:space="preserve">a </w:t>
      </w:r>
      <w:r>
        <w:t>year</w:t>
      </w:r>
      <w:r w:rsidRPr="00666AC2">
        <w:t>.</w:t>
      </w:r>
      <w:r>
        <w:t xml:space="preserve"> Employment has been slightly decreasing as well. According to the ABS National Accounts, about 47.3 per cent of this sector’s supply by value is coming from steel fabricated products (while other products are produced from other metals such as tin).</w:t>
      </w:r>
    </w:p>
    <w:p w14:paraId="3B8AEC17" w14:textId="77777777" w:rsidR="00113DB0" w:rsidRPr="00603D8B" w:rsidRDefault="00113DB0" w:rsidP="00113DB0">
      <w:pPr>
        <w:pStyle w:val="Heading3"/>
      </w:pPr>
      <w:r w:rsidRPr="008C587C">
        <w:t xml:space="preserve">Other </w:t>
      </w:r>
      <w:r w:rsidR="00A474D1">
        <w:t>f</w:t>
      </w:r>
      <w:r w:rsidRPr="008C587C">
        <w:t xml:space="preserve">abricated </w:t>
      </w:r>
      <w:r w:rsidR="00A474D1">
        <w:t>m</w:t>
      </w:r>
      <w:r w:rsidRPr="008C587C">
        <w:t xml:space="preserve">etal </w:t>
      </w:r>
      <w:r w:rsidR="00A474D1">
        <w:t>p</w:t>
      </w:r>
      <w:r w:rsidRPr="008C587C">
        <w:t xml:space="preserve">roduct </w:t>
      </w:r>
      <w:r w:rsidR="00A474D1">
        <w:t>m</w:t>
      </w:r>
      <w:r w:rsidRPr="008C587C">
        <w:t>anufacturing</w:t>
      </w:r>
      <w:bookmarkEnd w:id="49"/>
    </w:p>
    <w:p w14:paraId="5B8FF40A" w14:textId="77777777" w:rsidR="00113DB0" w:rsidRPr="00E9152C" w:rsidRDefault="00A474D1" w:rsidP="00592D58">
      <w:pPr>
        <w:spacing w:before="120" w:after="120"/>
        <w:jc w:val="both"/>
      </w:pPr>
      <w:r>
        <w:t>The o</w:t>
      </w:r>
      <w:r w:rsidR="00113DB0">
        <w:t xml:space="preserve">ther </w:t>
      </w:r>
      <w:r>
        <w:t>f</w:t>
      </w:r>
      <w:r w:rsidR="00113DB0">
        <w:t xml:space="preserve">abricated </w:t>
      </w:r>
      <w:r>
        <w:t>m</w:t>
      </w:r>
      <w:r w:rsidR="00113DB0">
        <w:t xml:space="preserve">etal </w:t>
      </w:r>
      <w:r>
        <w:t>p</w:t>
      </w:r>
      <w:r w:rsidR="00113DB0">
        <w:t xml:space="preserve">roduct </w:t>
      </w:r>
      <w:r>
        <w:t>m</w:t>
      </w:r>
      <w:r w:rsidR="00113DB0">
        <w:t xml:space="preserve">anufacturing </w:t>
      </w:r>
      <w:r>
        <w:t xml:space="preserve">sector </w:t>
      </w:r>
      <w:r w:rsidR="00113DB0">
        <w:t xml:space="preserve">is a small part of the Australian economy, making up 2.9 per cent of </w:t>
      </w:r>
      <w:r w:rsidR="0036618A">
        <w:t>m</w:t>
      </w:r>
      <w:r w:rsidR="00113DB0">
        <w:t xml:space="preserve">anufacturing </w:t>
      </w:r>
      <w:r>
        <w:t>Industry Value Added</w:t>
      </w:r>
      <w:r w:rsidR="00113DB0">
        <w:t xml:space="preserve"> and 2.1 per cent of sales and service income. The contribution to the overall economy has been decreasing and employment has been shrinking since 2006, but employment has risen in recent quarters.</w:t>
      </w:r>
    </w:p>
    <w:p w14:paraId="3C91FAA0" w14:textId="77777777" w:rsidR="00113DB0" w:rsidRPr="00A1117F" w:rsidRDefault="00113DB0" w:rsidP="00113DB0">
      <w:pPr>
        <w:keepNext/>
        <w:spacing w:before="120" w:after="120"/>
        <w:rPr>
          <w:i/>
          <w:color w:val="5B9BD5" w:themeColor="accent1"/>
        </w:rPr>
      </w:pPr>
      <w:bookmarkStart w:id="50" w:name="_Toc487532412"/>
      <w:r w:rsidRPr="00A1117F">
        <w:rPr>
          <w:i/>
          <w:color w:val="5B9BD5" w:themeColor="accent1"/>
        </w:rPr>
        <w:t xml:space="preserve">Spring and </w:t>
      </w:r>
      <w:r w:rsidR="00A474D1">
        <w:rPr>
          <w:i/>
          <w:color w:val="5B9BD5" w:themeColor="accent1"/>
        </w:rPr>
        <w:t>w</w:t>
      </w:r>
      <w:r w:rsidRPr="00A1117F">
        <w:rPr>
          <w:i/>
          <w:color w:val="5B9BD5" w:themeColor="accent1"/>
        </w:rPr>
        <w:t xml:space="preserve">ire </w:t>
      </w:r>
      <w:r w:rsidR="00A474D1">
        <w:rPr>
          <w:i/>
          <w:color w:val="5B9BD5" w:themeColor="accent1"/>
        </w:rPr>
        <w:t>p</w:t>
      </w:r>
      <w:r w:rsidRPr="00A1117F">
        <w:rPr>
          <w:i/>
          <w:color w:val="5B9BD5" w:themeColor="accent1"/>
        </w:rPr>
        <w:t xml:space="preserve">roduct </w:t>
      </w:r>
      <w:r w:rsidR="00A474D1">
        <w:rPr>
          <w:i/>
          <w:color w:val="5B9BD5" w:themeColor="accent1"/>
        </w:rPr>
        <w:t>m</w:t>
      </w:r>
      <w:r w:rsidRPr="00A1117F">
        <w:rPr>
          <w:i/>
          <w:color w:val="5B9BD5" w:themeColor="accent1"/>
        </w:rPr>
        <w:t>anufacturing</w:t>
      </w:r>
      <w:bookmarkEnd w:id="50"/>
    </w:p>
    <w:p w14:paraId="4748A18B" w14:textId="77777777" w:rsidR="00113DB0" w:rsidRDefault="00113DB0" w:rsidP="00592D58">
      <w:pPr>
        <w:spacing w:before="120" w:after="120"/>
        <w:jc w:val="both"/>
      </w:pPr>
      <w:r>
        <w:t xml:space="preserve">The </w:t>
      </w:r>
      <w:r w:rsidR="00A474D1">
        <w:t>s</w:t>
      </w:r>
      <w:r>
        <w:t xml:space="preserve">pring and </w:t>
      </w:r>
      <w:r w:rsidR="00A474D1">
        <w:t>w</w:t>
      </w:r>
      <w:r>
        <w:t xml:space="preserve">ire </w:t>
      </w:r>
      <w:r w:rsidR="00A474D1">
        <w:t>p</w:t>
      </w:r>
      <w:r>
        <w:t xml:space="preserve">roduct </w:t>
      </w:r>
      <w:r w:rsidR="00A474D1">
        <w:t>m</w:t>
      </w:r>
      <w:r>
        <w:t xml:space="preserve">anufacturing sector is a mature sector, with most product lines well established. Agriculture is a key driver of demand for products in the sector, largely for the construction of fences and animal pens. Other demand drivers include furniture and automotive manufacturing, </w:t>
      </w:r>
      <w:r w:rsidR="00E5082A">
        <w:t>c</w:t>
      </w:r>
      <w:r>
        <w:t xml:space="preserve">onstruction and </w:t>
      </w:r>
      <w:r w:rsidR="00E5082A">
        <w:t>m</w:t>
      </w:r>
      <w:r>
        <w:t xml:space="preserve">ining. The performance of </w:t>
      </w:r>
      <w:r w:rsidR="00971647">
        <w:t>a</w:t>
      </w:r>
      <w:r>
        <w:t xml:space="preserve">griculture, furniture and automotive manufacturing is a strong driver of spring and wire production. </w:t>
      </w:r>
    </w:p>
    <w:p w14:paraId="486A2E08" w14:textId="77777777" w:rsidR="00113DB0" w:rsidRDefault="00113DB0" w:rsidP="00592D58">
      <w:pPr>
        <w:spacing w:before="120" w:after="120"/>
        <w:jc w:val="both"/>
      </w:pPr>
      <w:r>
        <w:t xml:space="preserve">This sector has a high level of concentration—over nine per cent of firms employ 20 or more people (compared to the </w:t>
      </w:r>
      <w:r w:rsidR="0036618A">
        <w:t>m</w:t>
      </w:r>
      <w:r>
        <w:t xml:space="preserve">anufacturing average of 7.4 per cent) and 21 per cent of firms have a turnover of $2 million or more (the third highest of </w:t>
      </w:r>
      <w:r w:rsidR="0036618A">
        <w:t>m</w:t>
      </w:r>
      <w:r>
        <w:t xml:space="preserve">anufacturing industries considered in this appendix). </w:t>
      </w:r>
      <w:r w:rsidR="003D6CB3">
        <w:t>F</w:t>
      </w:r>
      <w:r>
        <w:t>our companies</w:t>
      </w:r>
      <w:r w:rsidR="003D6CB3">
        <w:t xml:space="preserve"> together hold 61.3 per cent of market share</w:t>
      </w:r>
      <w:r>
        <w:t xml:space="preserve">, with </w:t>
      </w:r>
      <w:r w:rsidR="005207E5">
        <w:t>Li</w:t>
      </w:r>
      <w:r w:rsidR="005207E5" w:rsidRPr="005207E5">
        <w:t xml:space="preserve">berty </w:t>
      </w:r>
      <w:proofErr w:type="spellStart"/>
      <w:r w:rsidR="005207E5" w:rsidRPr="005207E5">
        <w:t>OneSteel</w:t>
      </w:r>
      <w:proofErr w:type="spellEnd"/>
      <w:r w:rsidR="005207E5">
        <w:t xml:space="preserve"> </w:t>
      </w:r>
      <w:r>
        <w:t>the largest at 43.6 per cent.</w:t>
      </w:r>
    </w:p>
    <w:p w14:paraId="2C74CF43" w14:textId="77777777" w:rsidR="00113DB0" w:rsidRDefault="00113DB0" w:rsidP="00592D58">
      <w:pPr>
        <w:spacing w:before="120" w:after="120"/>
        <w:jc w:val="both"/>
      </w:pPr>
      <w:r>
        <w:t>Sales have remained steady over the past five years but Industry Value Added over this period has decreased slightly.</w:t>
      </w:r>
    </w:p>
    <w:p w14:paraId="183FF577" w14:textId="77777777" w:rsidR="00113DB0" w:rsidRPr="00A1117F" w:rsidRDefault="00113DB0" w:rsidP="00113DB0">
      <w:pPr>
        <w:keepNext/>
        <w:spacing w:before="120" w:after="120"/>
        <w:rPr>
          <w:i/>
          <w:color w:val="5B9BD5" w:themeColor="accent1"/>
        </w:rPr>
      </w:pPr>
      <w:bookmarkStart w:id="51" w:name="_Toc487532413"/>
      <w:r w:rsidRPr="00A1117F">
        <w:rPr>
          <w:i/>
          <w:color w:val="5B9BD5" w:themeColor="accent1"/>
        </w:rPr>
        <w:t xml:space="preserve">Fabricated </w:t>
      </w:r>
      <w:r w:rsidR="00A474D1">
        <w:rPr>
          <w:i/>
          <w:color w:val="5B9BD5" w:themeColor="accent1"/>
        </w:rPr>
        <w:t>m</w:t>
      </w:r>
      <w:r w:rsidRPr="00A1117F">
        <w:rPr>
          <w:i/>
          <w:color w:val="5B9BD5" w:themeColor="accent1"/>
        </w:rPr>
        <w:t xml:space="preserve">etal </w:t>
      </w:r>
      <w:r w:rsidR="00A474D1">
        <w:rPr>
          <w:i/>
          <w:color w:val="5B9BD5" w:themeColor="accent1"/>
        </w:rPr>
        <w:t>p</w:t>
      </w:r>
      <w:r w:rsidRPr="00A1117F">
        <w:rPr>
          <w:i/>
          <w:color w:val="5B9BD5" w:themeColor="accent1"/>
        </w:rPr>
        <w:t xml:space="preserve">roduct </w:t>
      </w:r>
      <w:r w:rsidR="00A474D1">
        <w:rPr>
          <w:i/>
          <w:color w:val="5B9BD5" w:themeColor="accent1"/>
        </w:rPr>
        <w:t>m</w:t>
      </w:r>
      <w:r w:rsidRPr="00A1117F">
        <w:rPr>
          <w:i/>
          <w:color w:val="5B9BD5" w:themeColor="accent1"/>
        </w:rPr>
        <w:t>anufacturing</w:t>
      </w:r>
      <w:bookmarkEnd w:id="51"/>
    </w:p>
    <w:p w14:paraId="68B88B94" w14:textId="77777777" w:rsidR="00113DB0" w:rsidRDefault="00113DB0" w:rsidP="00592D58">
      <w:pPr>
        <w:spacing w:before="120" w:after="120"/>
        <w:jc w:val="both"/>
      </w:pPr>
      <w:r>
        <w:t xml:space="preserve">This is a diverse sector—of the 19 products made by the sector, only one (metal blinds and awnings) is considered a steel fabricated product. This product has been under pressure from imports (accounting for 61.2 per cent of domestic demand) and substitute products. The industry sector in general is highly fragmented and has remained steady in terms of sales, </w:t>
      </w:r>
      <w:r w:rsidR="00A474D1">
        <w:t>Industry Value Added</w:t>
      </w:r>
      <w:r>
        <w:t xml:space="preserve"> and employment.</w:t>
      </w:r>
    </w:p>
    <w:p w14:paraId="0ACF9332" w14:textId="77777777" w:rsidR="00113DB0" w:rsidRDefault="00113DB0" w:rsidP="00113DB0">
      <w:pPr>
        <w:pStyle w:val="Heading2"/>
      </w:pPr>
      <w:r>
        <w:t>Concluding observations</w:t>
      </w:r>
    </w:p>
    <w:p w14:paraId="584EA441" w14:textId="56C00A41" w:rsidR="00113DB0" w:rsidRDefault="00113DB0" w:rsidP="00592D58">
      <w:pPr>
        <w:spacing w:before="120" w:after="120"/>
        <w:jc w:val="both"/>
      </w:pPr>
      <w:r>
        <w:t xml:space="preserve">Three industries—the </w:t>
      </w:r>
      <w:r w:rsidR="00E5082A">
        <w:t>c</w:t>
      </w:r>
      <w:r>
        <w:t xml:space="preserve">onstruction, </w:t>
      </w:r>
      <w:r w:rsidR="00E5082A">
        <w:t>m</w:t>
      </w:r>
      <w:r>
        <w:t xml:space="preserve">anufacturing and </w:t>
      </w:r>
      <w:r w:rsidR="00E5082A">
        <w:t>m</w:t>
      </w:r>
      <w:r>
        <w:t xml:space="preserve">ining industries—are the main consumers of steel </w:t>
      </w:r>
      <w:r w:rsidR="006049EB">
        <w:t xml:space="preserve">fabricated </w:t>
      </w:r>
      <w:r>
        <w:t xml:space="preserve">products. These industries demand a wide variety of steel </w:t>
      </w:r>
      <w:r w:rsidR="006049EB">
        <w:t xml:space="preserve">fabricated </w:t>
      </w:r>
      <w:r>
        <w:t xml:space="preserve">products for a diverse range of uses. The performance of the steel </w:t>
      </w:r>
      <w:r w:rsidR="006049EB">
        <w:t>fabricati</w:t>
      </w:r>
      <w:r w:rsidR="00592D58">
        <w:t>o</w:t>
      </w:r>
      <w:r w:rsidR="006049EB">
        <w:t xml:space="preserve">n </w:t>
      </w:r>
      <w:r>
        <w:t>industry as a whole, and of the diverse sectors within the industry, are driven, in large part, by changes in demand from these industries.</w:t>
      </w:r>
    </w:p>
    <w:p w14:paraId="5C002934" w14:textId="7CCEC8B7" w:rsidR="00113DB0" w:rsidRDefault="00113DB0" w:rsidP="00592D58">
      <w:pPr>
        <w:spacing w:before="120" w:after="120"/>
        <w:jc w:val="both"/>
      </w:pPr>
      <w:r>
        <w:t xml:space="preserve">The largest consumer of steel </w:t>
      </w:r>
      <w:r w:rsidR="006049EB">
        <w:t xml:space="preserve">fabricated </w:t>
      </w:r>
      <w:r>
        <w:t xml:space="preserve">products is the </w:t>
      </w:r>
      <w:r w:rsidR="00E5082A">
        <w:t>c</w:t>
      </w:r>
      <w:r>
        <w:t xml:space="preserve">onstruction industry, which accounts for half of total demand for these products in Australia. Strong growth in building construction, particularly residential construction, has led to strong demand for steel </w:t>
      </w:r>
      <w:r w:rsidR="006049EB">
        <w:t xml:space="preserve">fabricated </w:t>
      </w:r>
      <w:r>
        <w:t xml:space="preserve">products used in construction and supported the performance of sectors supplying these products, such as the </w:t>
      </w:r>
      <w:r w:rsidR="00A474D1">
        <w:t>m</w:t>
      </w:r>
      <w:r>
        <w:t xml:space="preserve">etal </w:t>
      </w:r>
      <w:r w:rsidR="00A474D1">
        <w:t>r</w:t>
      </w:r>
      <w:r>
        <w:t xml:space="preserve">oof and </w:t>
      </w:r>
      <w:r w:rsidR="00A474D1">
        <w:t>g</w:t>
      </w:r>
      <w:r>
        <w:t xml:space="preserve">uttering </w:t>
      </w:r>
      <w:r w:rsidR="00A474D1">
        <w:t>m</w:t>
      </w:r>
      <w:r>
        <w:t xml:space="preserve">anufacturing sector. </w:t>
      </w:r>
    </w:p>
    <w:p w14:paraId="0D3996B2" w14:textId="77777777" w:rsidR="00113DB0" w:rsidRPr="00267E75" w:rsidRDefault="00113DB0" w:rsidP="00592D58">
      <w:pPr>
        <w:spacing w:before="120" w:after="120"/>
        <w:jc w:val="both"/>
      </w:pPr>
      <w:r>
        <w:t xml:space="preserve">In contrast, demand for steel fabricated products used in engineering construction (typically for infrastructure) has fallen since the end of the investment phase of the mining boom, despite some offset from increased investment in transport infrastructure. Sectors supplying these products, such as </w:t>
      </w:r>
      <w:r w:rsidR="00A474D1">
        <w:t>the p</w:t>
      </w:r>
      <w:r w:rsidRPr="00267E75">
        <w:t xml:space="preserve">refabricated </w:t>
      </w:r>
      <w:r w:rsidR="00A474D1">
        <w:t>m</w:t>
      </w:r>
      <w:r w:rsidRPr="00267E75">
        <w:t xml:space="preserve">etal </w:t>
      </w:r>
      <w:r w:rsidR="00A474D1">
        <w:t>b</w:t>
      </w:r>
      <w:r w:rsidRPr="00267E75">
        <w:t xml:space="preserve">uilding </w:t>
      </w:r>
      <w:r w:rsidR="00A474D1">
        <w:t>m</w:t>
      </w:r>
      <w:r w:rsidRPr="00267E75">
        <w:t>anufacturing</w:t>
      </w:r>
      <w:r w:rsidR="00A474D1">
        <w:t xml:space="preserve"> sector</w:t>
      </w:r>
      <w:r>
        <w:t>, have experienced a decline in performance since the end of the mining boom’s investment phase.</w:t>
      </w:r>
    </w:p>
    <w:p w14:paraId="7556E63B" w14:textId="132CD8DC" w:rsidR="00113DB0" w:rsidRDefault="00113DB0" w:rsidP="00592D58">
      <w:pPr>
        <w:spacing w:before="120" w:after="120"/>
        <w:jc w:val="both"/>
      </w:pPr>
      <w:r>
        <w:t xml:space="preserve">The </w:t>
      </w:r>
      <w:r w:rsidRPr="00267E75">
        <w:t xml:space="preserve">long term decline </w:t>
      </w:r>
      <w:r>
        <w:t xml:space="preserve">in the </w:t>
      </w:r>
      <w:r w:rsidRPr="00267E75">
        <w:t xml:space="preserve">second largest consumer of steel </w:t>
      </w:r>
      <w:r w:rsidR="006049EB">
        <w:t xml:space="preserve">fabricated </w:t>
      </w:r>
      <w:r w:rsidRPr="00267E75">
        <w:t>products</w:t>
      </w:r>
      <w:r>
        <w:t xml:space="preserve">—the </w:t>
      </w:r>
      <w:r w:rsidR="0036618A">
        <w:t>m</w:t>
      </w:r>
      <w:r>
        <w:t xml:space="preserve">anufacturing industry—has led to lower overall demand for steel </w:t>
      </w:r>
      <w:r w:rsidR="006049EB">
        <w:t xml:space="preserve">fabricated </w:t>
      </w:r>
      <w:r>
        <w:t xml:space="preserve">products used in </w:t>
      </w:r>
      <w:r w:rsidR="0036618A">
        <w:t>m</w:t>
      </w:r>
      <w:r>
        <w:t>anufacturing. This has had a negative impact on s</w:t>
      </w:r>
      <w:r w:rsidRPr="0032577F">
        <w:t>ectors supplying products</w:t>
      </w:r>
      <w:r>
        <w:t xml:space="preserve"> used in the </w:t>
      </w:r>
      <w:r w:rsidR="0036618A">
        <w:t>m</w:t>
      </w:r>
      <w:r>
        <w:t>anufacturing industry</w:t>
      </w:r>
      <w:r w:rsidRPr="0032577F">
        <w:t xml:space="preserve">, such as </w:t>
      </w:r>
      <w:r>
        <w:t xml:space="preserve">the </w:t>
      </w:r>
      <w:r w:rsidR="00A474D1">
        <w:t>s</w:t>
      </w:r>
      <w:r>
        <w:t xml:space="preserve">heet </w:t>
      </w:r>
      <w:r w:rsidR="00A474D1">
        <w:t>m</w:t>
      </w:r>
      <w:r>
        <w:t xml:space="preserve">etal </w:t>
      </w:r>
      <w:r w:rsidR="00A474D1">
        <w:t>p</w:t>
      </w:r>
      <w:r>
        <w:t xml:space="preserve">roduct </w:t>
      </w:r>
      <w:r w:rsidR="00A474D1">
        <w:t>m</w:t>
      </w:r>
      <w:r>
        <w:t>anufacturing sector.</w:t>
      </w:r>
    </w:p>
    <w:p w14:paraId="21CB4EC9" w14:textId="28B3D2D8" w:rsidR="00113DB0" w:rsidRDefault="00113DB0" w:rsidP="00592D58">
      <w:pPr>
        <w:spacing w:before="120" w:after="120"/>
        <w:jc w:val="both"/>
      </w:pPr>
      <w:r>
        <w:t xml:space="preserve">In the third largest consumer of steel </w:t>
      </w:r>
      <w:r w:rsidR="006049EB">
        <w:t xml:space="preserve">fabricated </w:t>
      </w:r>
      <w:r>
        <w:t>products</w:t>
      </w:r>
      <w:r w:rsidRPr="0032577F">
        <w:t xml:space="preserve">—the </w:t>
      </w:r>
      <w:r w:rsidR="0036618A">
        <w:t>m</w:t>
      </w:r>
      <w:r>
        <w:t>ining</w:t>
      </w:r>
      <w:r w:rsidRPr="0032577F">
        <w:t xml:space="preserve"> industry—</w:t>
      </w:r>
      <w:r>
        <w:t xml:space="preserve">demand increased significantly during the investment phase of the mining boom and has fallen significantly since the end of this phase in 2012. This has affected sectors supplying the </w:t>
      </w:r>
      <w:r w:rsidR="0036618A">
        <w:t>m</w:t>
      </w:r>
      <w:r>
        <w:t xml:space="preserve">ining industry, including </w:t>
      </w:r>
      <w:r w:rsidR="00A474D1">
        <w:t>the s</w:t>
      </w:r>
      <w:r w:rsidRPr="009E6BBF">
        <w:t xml:space="preserve">tructural </w:t>
      </w:r>
      <w:r w:rsidR="00A474D1">
        <w:t>s</w:t>
      </w:r>
      <w:r w:rsidRPr="009E6BBF">
        <w:t xml:space="preserve">teel </w:t>
      </w:r>
      <w:r w:rsidR="00A474D1">
        <w:t>f</w:t>
      </w:r>
      <w:r w:rsidRPr="009E6BBF">
        <w:t>abricating</w:t>
      </w:r>
      <w:r>
        <w:t xml:space="preserve"> </w:t>
      </w:r>
      <w:r w:rsidR="00A474D1">
        <w:t xml:space="preserve">sector </w:t>
      </w:r>
      <w:r>
        <w:t xml:space="preserve">and </w:t>
      </w:r>
      <w:r w:rsidR="00A474D1">
        <w:t>p</w:t>
      </w:r>
      <w:r w:rsidRPr="00267E75">
        <w:t xml:space="preserve">refabricated </w:t>
      </w:r>
      <w:r w:rsidR="00A474D1">
        <w:t>m</w:t>
      </w:r>
      <w:r w:rsidRPr="00267E75">
        <w:t xml:space="preserve">etal </w:t>
      </w:r>
      <w:r w:rsidR="00A474D1">
        <w:t>b</w:t>
      </w:r>
      <w:r w:rsidRPr="00267E75">
        <w:t xml:space="preserve">uilding </w:t>
      </w:r>
      <w:r w:rsidR="00A474D1">
        <w:t>m</w:t>
      </w:r>
      <w:r w:rsidRPr="00267E75">
        <w:t>anufacturing</w:t>
      </w:r>
      <w:r w:rsidR="00A474D1">
        <w:t xml:space="preserve"> sector</w:t>
      </w:r>
      <w:r>
        <w:t>.</w:t>
      </w:r>
    </w:p>
    <w:p w14:paraId="0F9A377C" w14:textId="569C1EA0" w:rsidR="00113DB0" w:rsidRDefault="00113DB0" w:rsidP="00592D58">
      <w:pPr>
        <w:spacing w:before="120" w:after="120"/>
        <w:jc w:val="both"/>
      </w:pPr>
      <w:r>
        <w:t xml:space="preserve">However, certain sectors of the steel </w:t>
      </w:r>
      <w:r w:rsidR="006049EB">
        <w:t>fabricati</w:t>
      </w:r>
      <w:r w:rsidR="00592D58">
        <w:t>o</w:t>
      </w:r>
      <w:r w:rsidR="006049EB">
        <w:t xml:space="preserve">n </w:t>
      </w:r>
      <w:r>
        <w:t xml:space="preserve">industry produce specialised products that have more specific demand drivers. For example, demand from the agriculture industry has supported the performance of the </w:t>
      </w:r>
      <w:r w:rsidR="00A474D1">
        <w:t>p</w:t>
      </w:r>
      <w:r w:rsidRPr="004808AC">
        <w:t xml:space="preserve">refabricated </w:t>
      </w:r>
      <w:r w:rsidR="00A474D1">
        <w:t>m</w:t>
      </w:r>
      <w:r w:rsidRPr="004808AC">
        <w:t xml:space="preserve">etal </w:t>
      </w:r>
      <w:r w:rsidR="00A474D1">
        <w:t>b</w:t>
      </w:r>
      <w:r w:rsidRPr="004808AC">
        <w:t xml:space="preserve">uilding </w:t>
      </w:r>
      <w:r w:rsidR="00A474D1">
        <w:t>m</w:t>
      </w:r>
      <w:r w:rsidRPr="004808AC">
        <w:t>anufacturing</w:t>
      </w:r>
      <w:r>
        <w:t xml:space="preserve"> sector and the </w:t>
      </w:r>
      <w:r w:rsidR="00A474D1">
        <w:t>s</w:t>
      </w:r>
      <w:r>
        <w:t xml:space="preserve">pring and </w:t>
      </w:r>
      <w:r w:rsidR="00A474D1">
        <w:t>w</w:t>
      </w:r>
      <w:r>
        <w:t xml:space="preserve">ire </w:t>
      </w:r>
      <w:r w:rsidR="00A474D1">
        <w:t>p</w:t>
      </w:r>
      <w:r>
        <w:t xml:space="preserve">roduct </w:t>
      </w:r>
      <w:r w:rsidR="00A474D1">
        <w:t>m</w:t>
      </w:r>
      <w:r>
        <w:t xml:space="preserve">anufacturing sector (especially fabricators of fences and pens) while demand from furniture manufacturing (which is likely to be correlated with activity in residential construction) has also supported </w:t>
      </w:r>
      <w:r w:rsidRPr="004808AC">
        <w:t xml:space="preserve">the </w:t>
      </w:r>
      <w:r w:rsidR="00A474D1">
        <w:t>s</w:t>
      </w:r>
      <w:r w:rsidRPr="004808AC">
        <w:t xml:space="preserve">pring and </w:t>
      </w:r>
      <w:r w:rsidR="00A474D1">
        <w:t>w</w:t>
      </w:r>
      <w:r w:rsidRPr="004808AC">
        <w:t xml:space="preserve">ire </w:t>
      </w:r>
      <w:r w:rsidR="00A474D1">
        <w:t>p</w:t>
      </w:r>
      <w:r w:rsidRPr="004808AC">
        <w:t xml:space="preserve">roduct </w:t>
      </w:r>
      <w:r w:rsidR="00A474D1">
        <w:t>m</w:t>
      </w:r>
      <w:r w:rsidRPr="004808AC">
        <w:t>anufacturing secto</w:t>
      </w:r>
      <w:r>
        <w:t>r.</w:t>
      </w:r>
    </w:p>
    <w:p w14:paraId="2A4F47F2" w14:textId="3D79B14F" w:rsidR="00113DB0" w:rsidRDefault="00113DB0" w:rsidP="00592D58">
      <w:pPr>
        <w:spacing w:before="120" w:after="120"/>
        <w:jc w:val="both"/>
      </w:pPr>
      <w:r>
        <w:t xml:space="preserve">This diversity in the demand drivers of performance in the steel </w:t>
      </w:r>
      <w:r w:rsidR="006049EB">
        <w:t>fabricati</w:t>
      </w:r>
      <w:r w:rsidR="00592D58">
        <w:t>o</w:t>
      </w:r>
      <w:r w:rsidR="006049EB">
        <w:t xml:space="preserve">n </w:t>
      </w:r>
      <w:r>
        <w:t>industry is also reflected in differences in competitive pressures from substitutes. Substitution to competing products made of materials other than steel has been particularly important for businesses producing steel roofing and guttering, steel containers and structural steel products.</w:t>
      </w:r>
    </w:p>
    <w:p w14:paraId="3E87D5B9" w14:textId="0F76CD32" w:rsidR="00113DB0" w:rsidRDefault="00113DB0" w:rsidP="00592D58">
      <w:pPr>
        <w:spacing w:before="120" w:after="120"/>
        <w:jc w:val="both"/>
      </w:pPr>
      <w:r>
        <w:t xml:space="preserve">Import </w:t>
      </w:r>
      <w:r w:rsidR="00A474D1">
        <w:t xml:space="preserve">penetration </w:t>
      </w:r>
      <w:r>
        <w:t xml:space="preserve">varies across the </w:t>
      </w:r>
      <w:r w:rsidRPr="004808AC">
        <w:t xml:space="preserve">steel </w:t>
      </w:r>
      <w:r w:rsidR="006049EB">
        <w:t xml:space="preserve">fabricated </w:t>
      </w:r>
      <w:r w:rsidRPr="004808AC">
        <w:t>industry</w:t>
      </w:r>
      <w:r>
        <w:t>. While the market share of imports is high in some sectors, other sectors have some degree of natural import protection because their products are bulky and expensive to transport (such as pr</w:t>
      </w:r>
      <w:r w:rsidRPr="004808AC">
        <w:t xml:space="preserve">efabricated </w:t>
      </w:r>
      <w:r>
        <w:t>steel</w:t>
      </w:r>
      <w:r w:rsidRPr="004808AC">
        <w:t xml:space="preserve"> </w:t>
      </w:r>
      <w:r>
        <w:t>b</w:t>
      </w:r>
      <w:r w:rsidRPr="004808AC">
        <w:t>uilding</w:t>
      </w:r>
      <w:r>
        <w:t>s and steel roofing and guttering) and some products also have customised design requirements (such as other structural steel products).</w:t>
      </w:r>
    </w:p>
    <w:p w14:paraId="7C1EE6A1" w14:textId="68B2C1ED" w:rsidR="00113DB0" w:rsidRDefault="00113DB0" w:rsidP="00592D58">
      <w:pPr>
        <w:spacing w:before="120" w:after="120"/>
        <w:jc w:val="both"/>
      </w:pPr>
      <w:r>
        <w:t xml:space="preserve">There is also diversity in structure across different sectors of the </w:t>
      </w:r>
      <w:r w:rsidRPr="00222708">
        <w:t xml:space="preserve">steel </w:t>
      </w:r>
      <w:r w:rsidR="006049EB">
        <w:t xml:space="preserve">fabricated </w:t>
      </w:r>
      <w:r>
        <w:t xml:space="preserve">industry. The </w:t>
      </w:r>
      <w:r w:rsidRPr="00853990">
        <w:t xml:space="preserve">large vertically integrated businesses (BlueScope and </w:t>
      </w:r>
      <w:r w:rsidR="005207E5">
        <w:t>Li</w:t>
      </w:r>
      <w:r w:rsidR="005207E5" w:rsidRPr="005207E5">
        <w:t xml:space="preserve">berty </w:t>
      </w:r>
      <w:proofErr w:type="spellStart"/>
      <w:r w:rsidR="005207E5" w:rsidRPr="005207E5">
        <w:t>OneSteel</w:t>
      </w:r>
      <w:proofErr w:type="spellEnd"/>
      <w:r w:rsidRPr="00853990">
        <w:t xml:space="preserve">) have downstream </w:t>
      </w:r>
      <w:r w:rsidR="006049EB">
        <w:t>fabricatin</w:t>
      </w:r>
      <w:r w:rsidR="00592D58">
        <w:t>g</w:t>
      </w:r>
      <w:r w:rsidR="006049EB">
        <w:t xml:space="preserve"> </w:t>
      </w:r>
      <w:r w:rsidRPr="00853990">
        <w:t>businesses</w:t>
      </w:r>
      <w:r>
        <w:t xml:space="preserve"> that operate in some sectors of </w:t>
      </w:r>
      <w:r w:rsidRPr="00222708">
        <w:t>the industry</w:t>
      </w:r>
      <w:r w:rsidRPr="00853990">
        <w:t>,</w:t>
      </w:r>
      <w:r>
        <w:t xml:space="preserve"> such as </w:t>
      </w:r>
      <w:r w:rsidR="00A474D1">
        <w:t>the s</w:t>
      </w:r>
      <w:r w:rsidRPr="00222708">
        <w:t xml:space="preserve">tructural </w:t>
      </w:r>
      <w:r w:rsidR="00A474D1">
        <w:t>s</w:t>
      </w:r>
      <w:r w:rsidRPr="00222708">
        <w:t xml:space="preserve">teel </w:t>
      </w:r>
      <w:r w:rsidR="00A474D1">
        <w:t>f</w:t>
      </w:r>
      <w:r w:rsidRPr="00222708">
        <w:t>abricating</w:t>
      </w:r>
      <w:r w:rsidRPr="00853990">
        <w:t xml:space="preserve"> </w:t>
      </w:r>
      <w:r w:rsidR="00A474D1">
        <w:t xml:space="preserve">sector </w:t>
      </w:r>
      <w:r>
        <w:t xml:space="preserve">and </w:t>
      </w:r>
      <w:r w:rsidR="00A474D1">
        <w:t>the s</w:t>
      </w:r>
      <w:r w:rsidRPr="004808AC">
        <w:t xml:space="preserve">pring and </w:t>
      </w:r>
      <w:r w:rsidR="00A474D1">
        <w:t>w</w:t>
      </w:r>
      <w:r w:rsidRPr="004808AC">
        <w:t xml:space="preserve">ire </w:t>
      </w:r>
      <w:r w:rsidR="00A474D1">
        <w:t>p</w:t>
      </w:r>
      <w:r w:rsidRPr="004808AC">
        <w:t xml:space="preserve">roduct </w:t>
      </w:r>
      <w:r w:rsidR="00A474D1">
        <w:t>m</w:t>
      </w:r>
      <w:r w:rsidRPr="004808AC">
        <w:t>anufacturing</w:t>
      </w:r>
      <w:r w:rsidR="00A474D1">
        <w:t xml:space="preserve"> sector</w:t>
      </w:r>
      <w:r>
        <w:t>. However, across the industry as a whole,</w:t>
      </w:r>
      <w:r w:rsidRPr="004808AC">
        <w:t xml:space="preserve"> </w:t>
      </w:r>
      <w:r w:rsidRPr="00853990">
        <w:t xml:space="preserve">it </w:t>
      </w:r>
      <w:r>
        <w:t>has been</w:t>
      </w:r>
      <w:r w:rsidRPr="00853990">
        <w:t xml:space="preserve"> estimated that approximately 9</w:t>
      </w:r>
      <w:r w:rsidR="00A474D1">
        <w:t>4</w:t>
      </w:r>
      <w:r>
        <w:t> </w:t>
      </w:r>
      <w:r w:rsidRPr="00853990">
        <w:t xml:space="preserve">per cent of Australian steel </w:t>
      </w:r>
      <w:r w:rsidR="006049EB">
        <w:t xml:space="preserve">fabricating </w:t>
      </w:r>
      <w:r w:rsidRPr="00853990">
        <w:t>businesses have fewer than 20 employees.</w:t>
      </w:r>
      <w:r w:rsidR="00770178">
        <w:rPr>
          <w:lang w:val="en"/>
        </w:rPr>
        <w:t xml:space="preserve"> Sectors</w:t>
      </w:r>
      <w:r w:rsidRPr="00222708">
        <w:t xml:space="preserve"> with a high proportion of SMEs include </w:t>
      </w:r>
      <w:r w:rsidR="00A474D1">
        <w:t>the p</w:t>
      </w:r>
      <w:r w:rsidRPr="00267E75">
        <w:t xml:space="preserve">refabricated </w:t>
      </w:r>
      <w:r w:rsidR="00A474D1">
        <w:t>m</w:t>
      </w:r>
      <w:r w:rsidRPr="00267E75">
        <w:t xml:space="preserve">etal </w:t>
      </w:r>
      <w:r w:rsidR="00A474D1">
        <w:t>b</w:t>
      </w:r>
      <w:r w:rsidRPr="00267E75">
        <w:t xml:space="preserve">uilding </w:t>
      </w:r>
      <w:r w:rsidR="00A474D1">
        <w:t>m</w:t>
      </w:r>
      <w:r w:rsidRPr="00267E75">
        <w:t>anufacturing</w:t>
      </w:r>
      <w:r>
        <w:t xml:space="preserve"> </w:t>
      </w:r>
      <w:r w:rsidR="00A474D1">
        <w:t xml:space="preserve">sector </w:t>
      </w:r>
      <w:r>
        <w:t xml:space="preserve">and </w:t>
      </w:r>
      <w:r w:rsidR="00A474D1">
        <w:t>the s</w:t>
      </w:r>
      <w:r w:rsidRPr="00222708">
        <w:t xml:space="preserve">heet </w:t>
      </w:r>
      <w:r w:rsidR="00A474D1">
        <w:t>m</w:t>
      </w:r>
      <w:r w:rsidRPr="00222708">
        <w:t xml:space="preserve">etal </w:t>
      </w:r>
      <w:r w:rsidR="00A474D1">
        <w:t>p</w:t>
      </w:r>
      <w:r w:rsidRPr="00222708">
        <w:t xml:space="preserve">roduct </w:t>
      </w:r>
      <w:r w:rsidR="00A474D1">
        <w:t>m</w:t>
      </w:r>
      <w:r w:rsidRPr="00222708">
        <w:t>anufacturing</w:t>
      </w:r>
      <w:r w:rsidR="00A474D1">
        <w:t xml:space="preserve"> sector</w:t>
      </w:r>
      <w:r>
        <w:t>.</w:t>
      </w:r>
    </w:p>
    <w:bookmarkEnd w:id="39"/>
    <w:p w14:paraId="4882B92E" w14:textId="77777777" w:rsidR="00113DB0" w:rsidRDefault="00113DB0" w:rsidP="00113DB0">
      <w:pPr>
        <w:spacing w:before="120" w:after="120"/>
        <w:sectPr w:rsidR="00113DB0" w:rsidSect="00061C8A">
          <w:pgSz w:w="11907" w:h="16839" w:code="9"/>
          <w:pgMar w:top="1440" w:right="1440" w:bottom="1134" w:left="1440" w:header="709" w:footer="709" w:gutter="0"/>
          <w:cols w:space="708"/>
          <w:docGrid w:linePitch="360"/>
        </w:sectPr>
      </w:pPr>
    </w:p>
    <w:p w14:paraId="5A06FBF1" w14:textId="5A338956" w:rsidR="00113DB0" w:rsidRDefault="00113DB0" w:rsidP="00113DB0">
      <w:pPr>
        <w:pStyle w:val="Heading1"/>
        <w:spacing w:after="360"/>
        <w:ind w:left="431" w:hanging="431"/>
        <w:rPr>
          <w:sz w:val="32"/>
          <w:szCs w:val="32"/>
        </w:rPr>
      </w:pPr>
      <w:bookmarkStart w:id="52" w:name="_Toc487532415"/>
      <w:r w:rsidRPr="002B6DAE">
        <w:rPr>
          <w:sz w:val="32"/>
          <w:szCs w:val="32"/>
        </w:rPr>
        <w:t xml:space="preserve">Global steel markets and </w:t>
      </w:r>
      <w:r>
        <w:rPr>
          <w:sz w:val="32"/>
          <w:szCs w:val="32"/>
        </w:rPr>
        <w:t xml:space="preserve">implications for </w:t>
      </w:r>
      <w:r w:rsidRPr="002B6DAE">
        <w:rPr>
          <w:sz w:val="32"/>
          <w:szCs w:val="32"/>
        </w:rPr>
        <w:t>the</w:t>
      </w:r>
      <w:r>
        <w:rPr>
          <w:sz w:val="32"/>
          <w:szCs w:val="32"/>
        </w:rPr>
        <w:t xml:space="preserve"> supply of</w:t>
      </w:r>
      <w:r w:rsidRPr="002B6DAE">
        <w:rPr>
          <w:sz w:val="32"/>
          <w:szCs w:val="32"/>
        </w:rPr>
        <w:t xml:space="preserve"> steel </w:t>
      </w:r>
      <w:bookmarkEnd w:id="52"/>
      <w:r w:rsidR="002101E3">
        <w:t xml:space="preserve">fabricated </w:t>
      </w:r>
      <w:r>
        <w:rPr>
          <w:sz w:val="32"/>
          <w:szCs w:val="32"/>
        </w:rPr>
        <w:t>products</w:t>
      </w:r>
      <w:r w:rsidRPr="002B6DAE">
        <w:rPr>
          <w:sz w:val="32"/>
          <w:szCs w:val="32"/>
        </w:rPr>
        <w:t xml:space="preserve"> </w:t>
      </w:r>
    </w:p>
    <w:p w14:paraId="1E50B1B8" w14:textId="29E344B7" w:rsidR="00E63F1B" w:rsidRDefault="00E63F1B" w:rsidP="00E63F1B">
      <w:pPr>
        <w:pStyle w:val="Points"/>
        <w:numPr>
          <w:ilvl w:val="0"/>
          <w:numId w:val="0"/>
        </w:numPr>
        <w:pBdr>
          <w:top w:val="single" w:sz="4" w:space="1" w:color="auto"/>
          <w:left w:val="single" w:sz="4" w:space="4" w:color="auto"/>
          <w:bottom w:val="single" w:sz="4" w:space="1" w:color="auto"/>
          <w:right w:val="single" w:sz="4" w:space="4" w:color="auto"/>
        </w:pBdr>
        <w:shd w:val="clear" w:color="auto" w:fill="DEEAF6" w:themeFill="accent1" w:themeFillTint="33"/>
      </w:pPr>
      <w:r w:rsidRPr="00E63F1B">
        <w:rPr>
          <w:b/>
        </w:rPr>
        <w:t>Key points</w:t>
      </w:r>
    </w:p>
    <w:p w14:paraId="5D1A3355" w14:textId="77777777" w:rsidR="00113DB0" w:rsidRDefault="00E47475" w:rsidP="00E63F1B">
      <w:pPr>
        <w:pStyle w:val="Points"/>
        <w:pBdr>
          <w:top w:val="single" w:sz="4" w:space="1" w:color="auto"/>
          <w:left w:val="single" w:sz="4" w:space="4" w:color="auto"/>
          <w:bottom w:val="single" w:sz="4" w:space="1" w:color="auto"/>
          <w:right w:val="single" w:sz="4" w:space="4" w:color="auto"/>
        </w:pBdr>
        <w:shd w:val="clear" w:color="auto" w:fill="DEEAF6" w:themeFill="accent1" w:themeFillTint="33"/>
        <w:ind w:left="357" w:hanging="357"/>
        <w:jc w:val="both"/>
      </w:pPr>
      <w:r>
        <w:t xml:space="preserve">Despite signs of a </w:t>
      </w:r>
      <w:r w:rsidRPr="00E47475">
        <w:rPr>
          <w:lang w:val="en"/>
        </w:rPr>
        <w:t>modest recovery in the global steel market, considerable structural imbalances remain</w:t>
      </w:r>
      <w:r>
        <w:rPr>
          <w:lang w:val="en"/>
        </w:rPr>
        <w:t xml:space="preserve">, </w:t>
      </w:r>
      <w:r>
        <w:t>e</w:t>
      </w:r>
      <w:r w:rsidRPr="00092B18">
        <w:t>xcess capacity</w:t>
      </w:r>
      <w:r>
        <w:t xml:space="preserve"> </w:t>
      </w:r>
      <w:r w:rsidRPr="00092B18">
        <w:t>remains a significant issue</w:t>
      </w:r>
      <w:r>
        <w:t>,</w:t>
      </w:r>
      <w:r w:rsidRPr="00092B18">
        <w:t xml:space="preserve"> </w:t>
      </w:r>
      <w:r w:rsidRPr="00E47475">
        <w:rPr>
          <w:lang w:val="en"/>
        </w:rPr>
        <w:t xml:space="preserve">and </w:t>
      </w:r>
      <w:r>
        <w:rPr>
          <w:lang w:val="en"/>
        </w:rPr>
        <w:t>investments</w:t>
      </w:r>
      <w:r w:rsidRPr="00E47475">
        <w:rPr>
          <w:lang w:val="en"/>
        </w:rPr>
        <w:t xml:space="preserve"> in </w:t>
      </w:r>
      <w:r>
        <w:rPr>
          <w:lang w:val="en"/>
        </w:rPr>
        <w:t xml:space="preserve">new </w:t>
      </w:r>
      <w:r w:rsidRPr="00E47475">
        <w:rPr>
          <w:lang w:val="en"/>
        </w:rPr>
        <w:t>steelmaking capacity</w:t>
      </w:r>
      <w:r w:rsidRPr="00E47475">
        <w:t xml:space="preserve"> </w:t>
      </w:r>
      <w:r>
        <w:t>have continued</w:t>
      </w:r>
      <w:r w:rsidRPr="00092B18">
        <w:t>.</w:t>
      </w:r>
      <w:r>
        <w:t xml:space="preserve"> Economically inefficient </w:t>
      </w:r>
      <w:r w:rsidRPr="00270EBC">
        <w:t>government interventions and trad</w:t>
      </w:r>
      <w:r>
        <w:t>ing</w:t>
      </w:r>
      <w:r w:rsidRPr="00270EBC">
        <w:t xml:space="preserve"> restrictions </w:t>
      </w:r>
      <w:r w:rsidR="00A33793">
        <w:t xml:space="preserve">have been </w:t>
      </w:r>
      <w:r>
        <w:t xml:space="preserve">widely recognised as a major cause of the continuing failure to address </w:t>
      </w:r>
      <w:r w:rsidR="00053920">
        <w:t xml:space="preserve">excess capacity </w:t>
      </w:r>
      <w:r>
        <w:t xml:space="preserve">and </w:t>
      </w:r>
      <w:r w:rsidR="00053920">
        <w:t xml:space="preserve">the sustained demand/production imbalance for </w:t>
      </w:r>
      <w:r>
        <w:t>primary steel products.</w:t>
      </w:r>
    </w:p>
    <w:p w14:paraId="51303C10" w14:textId="44E4B39E" w:rsidR="00E47475" w:rsidRDefault="00E47475" w:rsidP="00E63F1B">
      <w:pPr>
        <w:pStyle w:val="Points"/>
        <w:pBdr>
          <w:top w:val="single" w:sz="4" w:space="1" w:color="auto"/>
          <w:left w:val="single" w:sz="4" w:space="4" w:color="auto"/>
          <w:bottom w:val="single" w:sz="4" w:space="1" w:color="auto"/>
          <w:right w:val="single" w:sz="4" w:space="4" w:color="auto"/>
        </w:pBdr>
        <w:shd w:val="clear" w:color="auto" w:fill="DEEAF6" w:themeFill="accent1" w:themeFillTint="33"/>
        <w:ind w:left="357" w:hanging="357"/>
        <w:jc w:val="both"/>
      </w:pPr>
      <w:r>
        <w:t xml:space="preserve">While Australia’s imports of selected steel </w:t>
      </w:r>
      <w:r w:rsidR="002101E3">
        <w:t xml:space="preserve">fabricated </w:t>
      </w:r>
      <w:r>
        <w:t>products decreased in 2016, they remain historically high compared to a decade earlier, despite the end of the investment phase of the mining boom in 2012. The main product group imported in 2016 was structures and parts of structures.</w:t>
      </w:r>
      <w:r w:rsidR="00F75B5B">
        <w:t xml:space="preserve"> More than</w:t>
      </w:r>
      <w:r w:rsidR="00F75B5B" w:rsidRPr="002803CB">
        <w:t xml:space="preserve"> 50</w:t>
      </w:r>
      <w:r w:rsidR="00F75B5B">
        <w:t> </w:t>
      </w:r>
      <w:r w:rsidR="00F75B5B" w:rsidRPr="002803CB">
        <w:t>per cent of imports c</w:t>
      </w:r>
      <w:r w:rsidR="00F75B5B">
        <w:t>a</w:t>
      </w:r>
      <w:r w:rsidR="00F75B5B" w:rsidRPr="002803CB">
        <w:t>me from China and Thailand</w:t>
      </w:r>
      <w:r w:rsidR="00F75B5B">
        <w:t>.</w:t>
      </w:r>
    </w:p>
    <w:p w14:paraId="427D1924" w14:textId="211EBCC6" w:rsidR="00E47475" w:rsidRDefault="00E47475" w:rsidP="00E63F1B">
      <w:pPr>
        <w:pStyle w:val="Points"/>
        <w:pBdr>
          <w:top w:val="single" w:sz="4" w:space="1" w:color="auto"/>
          <w:left w:val="single" w:sz="4" w:space="4" w:color="auto"/>
          <w:bottom w:val="single" w:sz="4" w:space="1" w:color="auto"/>
          <w:right w:val="single" w:sz="4" w:space="4" w:color="auto"/>
        </w:pBdr>
        <w:shd w:val="clear" w:color="auto" w:fill="DEEAF6" w:themeFill="accent1" w:themeFillTint="33"/>
        <w:ind w:left="357" w:hanging="357"/>
        <w:jc w:val="both"/>
      </w:pPr>
      <w:r w:rsidRPr="00E47475">
        <w:t xml:space="preserve">Continuing </w:t>
      </w:r>
      <w:r w:rsidR="00053920">
        <w:t xml:space="preserve">excess </w:t>
      </w:r>
      <w:r w:rsidR="00053920" w:rsidRPr="00E47475">
        <w:t xml:space="preserve">capacity </w:t>
      </w:r>
      <w:r w:rsidRPr="00E47475">
        <w:t xml:space="preserve">and </w:t>
      </w:r>
      <w:r w:rsidR="00053920">
        <w:t>demand/</w:t>
      </w:r>
      <w:r w:rsidR="00053920" w:rsidRPr="00E47475">
        <w:t>production</w:t>
      </w:r>
      <w:r w:rsidR="00053920">
        <w:t xml:space="preserve"> imbalance</w:t>
      </w:r>
      <w:r w:rsidR="00053920" w:rsidRPr="00E47475">
        <w:t xml:space="preserve"> </w:t>
      </w:r>
      <w:r w:rsidRPr="00E47475">
        <w:t xml:space="preserve">in global primary steel markets influence steel </w:t>
      </w:r>
      <w:r w:rsidR="002101E3">
        <w:t>fabricati</w:t>
      </w:r>
      <w:r w:rsidR="00E63F1B">
        <w:t>o</w:t>
      </w:r>
      <w:r w:rsidR="002101E3">
        <w:t xml:space="preserve">n </w:t>
      </w:r>
      <w:r w:rsidRPr="00E47475">
        <w:t>industries</w:t>
      </w:r>
      <w:r w:rsidR="00AD50BF">
        <w:t>.</w:t>
      </w:r>
      <w:r w:rsidRPr="00E47475">
        <w:t xml:space="preserve"> </w:t>
      </w:r>
      <w:r w:rsidR="00C52018">
        <w:t>The demand/</w:t>
      </w:r>
      <w:r w:rsidR="00C52018" w:rsidRPr="00E47475">
        <w:t>production</w:t>
      </w:r>
      <w:r w:rsidR="00C52018">
        <w:t xml:space="preserve"> imbalance</w:t>
      </w:r>
      <w:r w:rsidR="00C52018" w:rsidRPr="00E47475">
        <w:t xml:space="preserve"> </w:t>
      </w:r>
      <w:r w:rsidR="00C52018">
        <w:t xml:space="preserve">in </w:t>
      </w:r>
      <w:r w:rsidR="00AD50BF">
        <w:t xml:space="preserve">primary steel </w:t>
      </w:r>
      <w:r w:rsidR="00C52018">
        <w:t xml:space="preserve">markets </w:t>
      </w:r>
      <w:r w:rsidR="0028535E">
        <w:t>may</w:t>
      </w:r>
      <w:r w:rsidR="00AD50BF">
        <w:t xml:space="preserve"> flow through </w:t>
      </w:r>
      <w:r w:rsidRPr="00E47475">
        <w:t xml:space="preserve">into the steel </w:t>
      </w:r>
      <w:r w:rsidR="002101E3">
        <w:t>fabricati</w:t>
      </w:r>
      <w:r w:rsidR="00E63F1B">
        <w:t>o</w:t>
      </w:r>
      <w:r w:rsidR="002101E3">
        <w:t xml:space="preserve">n </w:t>
      </w:r>
      <w:r w:rsidRPr="00E47475">
        <w:t>market</w:t>
      </w:r>
      <w:r w:rsidR="00AD50BF">
        <w:t xml:space="preserve"> and lead to</w:t>
      </w:r>
      <w:r w:rsidRPr="00E47475">
        <w:t xml:space="preserve"> </w:t>
      </w:r>
      <w:r w:rsidR="00C52018">
        <w:t xml:space="preserve">an imbalance </w:t>
      </w:r>
      <w:r w:rsidR="00AD50BF">
        <w:t xml:space="preserve">in </w:t>
      </w:r>
      <w:r w:rsidRPr="00E47475">
        <w:t xml:space="preserve">steel </w:t>
      </w:r>
      <w:r w:rsidR="002101E3">
        <w:t xml:space="preserve">fabricated </w:t>
      </w:r>
      <w:r w:rsidR="00C52018">
        <w:t>product markets</w:t>
      </w:r>
      <w:r w:rsidR="00AD50BF">
        <w:t>.</w:t>
      </w:r>
      <w:r w:rsidRPr="00E47475">
        <w:t xml:space="preserve"> </w:t>
      </w:r>
      <w:r w:rsidR="00415CF2">
        <w:t>Primary steel</w:t>
      </w:r>
      <w:r w:rsidR="00AD50BF">
        <w:t xml:space="preserve"> </w:t>
      </w:r>
      <w:r w:rsidR="00C52018">
        <w:t>market imbalances</w:t>
      </w:r>
      <w:r w:rsidR="00C52018" w:rsidRPr="00E47475">
        <w:t xml:space="preserve"> </w:t>
      </w:r>
      <w:r w:rsidR="0028535E">
        <w:t>may</w:t>
      </w:r>
      <w:r w:rsidR="00AD50BF">
        <w:t xml:space="preserve"> also create </w:t>
      </w:r>
      <w:r w:rsidRPr="00E47475">
        <w:t xml:space="preserve">distortions in markets for steel </w:t>
      </w:r>
      <w:r w:rsidR="002101E3">
        <w:t xml:space="preserve">fabricated </w:t>
      </w:r>
      <w:r w:rsidRPr="00E47475">
        <w:t xml:space="preserve">products </w:t>
      </w:r>
      <w:r w:rsidR="00AD50BF">
        <w:t>as a result of</w:t>
      </w:r>
      <w:r w:rsidRPr="00E47475">
        <w:t xml:space="preserve"> responses </w:t>
      </w:r>
      <w:r w:rsidR="00AD50BF">
        <w:t>by</w:t>
      </w:r>
      <w:r w:rsidRPr="00E47475">
        <w:t xml:space="preserve"> some exporters to trade remedies on primary steel products that are being dumped or subsidised.</w:t>
      </w:r>
    </w:p>
    <w:p w14:paraId="543A400F" w14:textId="5E45DBF3" w:rsidR="00A33793" w:rsidRDefault="00AD50BF" w:rsidP="00E63F1B">
      <w:pPr>
        <w:pStyle w:val="Points"/>
        <w:pBdr>
          <w:top w:val="single" w:sz="4" w:space="1" w:color="auto"/>
          <w:left w:val="single" w:sz="4" w:space="4" w:color="auto"/>
          <w:bottom w:val="single" w:sz="4" w:space="1" w:color="auto"/>
          <w:right w:val="single" w:sz="4" w:space="4" w:color="auto"/>
        </w:pBdr>
        <w:shd w:val="clear" w:color="auto" w:fill="DEEAF6" w:themeFill="accent1" w:themeFillTint="33"/>
        <w:ind w:left="357" w:hanging="357"/>
        <w:jc w:val="both"/>
      </w:pPr>
      <w:r>
        <w:t xml:space="preserve">Some Australian steel </w:t>
      </w:r>
      <w:r w:rsidR="002101E3">
        <w:t xml:space="preserve">fabricators </w:t>
      </w:r>
      <w:r>
        <w:t xml:space="preserve">have expressed concern about the downstream impacts of anti-dumping duties on primary steel products. </w:t>
      </w:r>
      <w:r w:rsidR="00A9076B">
        <w:t>However there has also been widespread support for a level playing field for all Australian industries.</w:t>
      </w:r>
    </w:p>
    <w:p w14:paraId="59B87250" w14:textId="731CF8BC" w:rsidR="00AD50BF" w:rsidRDefault="00A33793" w:rsidP="00E63F1B">
      <w:pPr>
        <w:pStyle w:val="Points"/>
        <w:pBdr>
          <w:top w:val="single" w:sz="4" w:space="1" w:color="auto"/>
          <w:left w:val="single" w:sz="4" w:space="4" w:color="auto"/>
          <w:bottom w:val="single" w:sz="4" w:space="1" w:color="auto"/>
          <w:right w:val="single" w:sz="4" w:space="4" w:color="auto"/>
        </w:pBdr>
        <w:shd w:val="clear" w:color="auto" w:fill="DEEAF6" w:themeFill="accent1" w:themeFillTint="33"/>
        <w:ind w:left="357" w:hanging="357"/>
        <w:jc w:val="both"/>
      </w:pPr>
      <w:r>
        <w:t>D</w:t>
      </w:r>
      <w:r w:rsidR="00AD50BF" w:rsidRPr="00AD50BF">
        <w:t xml:space="preserve">istortions to global steel </w:t>
      </w:r>
      <w:r w:rsidR="002101E3">
        <w:t>fabricati</w:t>
      </w:r>
      <w:r w:rsidR="00E63F1B">
        <w:t>o</w:t>
      </w:r>
      <w:r w:rsidR="002101E3">
        <w:t xml:space="preserve">n </w:t>
      </w:r>
      <w:r w:rsidR="00AD50BF" w:rsidRPr="00AD50BF">
        <w:t xml:space="preserve">markets caused by dumping and foreign subsidisation </w:t>
      </w:r>
      <w:r w:rsidR="00C52018">
        <w:t>can</w:t>
      </w:r>
      <w:r>
        <w:t xml:space="preserve"> have</w:t>
      </w:r>
      <w:r w:rsidR="00AD50BF" w:rsidRPr="00AD50BF">
        <w:t xml:space="preserve"> </w:t>
      </w:r>
      <w:r w:rsidR="00AD50BF">
        <w:t>negative impacts on</w:t>
      </w:r>
      <w:r w:rsidR="00AD50BF" w:rsidRPr="00AD50BF">
        <w:t xml:space="preserve"> Australian steel fabricators.</w:t>
      </w:r>
    </w:p>
    <w:p w14:paraId="1406525D" w14:textId="77777777" w:rsidR="00113DB0" w:rsidRDefault="00113DB0" w:rsidP="00113DB0"/>
    <w:p w14:paraId="51927175" w14:textId="56E7E135" w:rsidR="004965BD" w:rsidRDefault="00224DCE" w:rsidP="002A6DB2">
      <w:pPr>
        <w:pStyle w:val="Points"/>
        <w:numPr>
          <w:ilvl w:val="0"/>
          <w:numId w:val="0"/>
        </w:numPr>
        <w:jc w:val="both"/>
      </w:pPr>
      <w:r>
        <w:t xml:space="preserve">This chapter </w:t>
      </w:r>
      <w:r w:rsidR="00092B18">
        <w:t>describes current condition</w:t>
      </w:r>
      <w:r w:rsidR="00011EA5">
        <w:t>s</w:t>
      </w:r>
      <w:r w:rsidR="00092B18">
        <w:t xml:space="preserve"> </w:t>
      </w:r>
      <w:r w:rsidR="00011EA5">
        <w:t>in</w:t>
      </w:r>
      <w:r w:rsidR="00092B18">
        <w:t xml:space="preserve"> global markets for primary steel products and for steel </w:t>
      </w:r>
      <w:r w:rsidR="002101E3">
        <w:t xml:space="preserve">fabricated </w:t>
      </w:r>
      <w:r w:rsidR="00092B18">
        <w:t xml:space="preserve">products, to the extent possible given data limitations. It updates the analysis of </w:t>
      </w:r>
      <w:r w:rsidR="00092B18" w:rsidRPr="00092B18">
        <w:t>global markets for primary steel products</w:t>
      </w:r>
      <w:r w:rsidR="00092B18">
        <w:t xml:space="preserve"> contained in the Commission’s August 2016 report and assesses the implications of developments in these markets for the downstream markets for </w:t>
      </w:r>
      <w:r w:rsidR="00092B18" w:rsidRPr="00092B18">
        <w:t xml:space="preserve">steel </w:t>
      </w:r>
      <w:r w:rsidR="002101E3">
        <w:t xml:space="preserve">fabricated </w:t>
      </w:r>
      <w:r w:rsidR="00092B18" w:rsidRPr="00092B18">
        <w:t>products</w:t>
      </w:r>
      <w:r w:rsidR="00092B18">
        <w:t xml:space="preserve">. The implications on these downstream markets of trade remedies on primary steel products is also considered. </w:t>
      </w:r>
    </w:p>
    <w:p w14:paraId="7A176DC4" w14:textId="3AD22FF2" w:rsidR="00224DCE" w:rsidRDefault="00092B18" w:rsidP="002A6DB2">
      <w:pPr>
        <w:pStyle w:val="Points"/>
        <w:numPr>
          <w:ilvl w:val="0"/>
          <w:numId w:val="0"/>
        </w:numPr>
        <w:jc w:val="both"/>
      </w:pPr>
      <w:r>
        <w:t xml:space="preserve">Other </w:t>
      </w:r>
      <w:r w:rsidR="004965BD">
        <w:t xml:space="preserve">factors relevant to supply conditions in the Australian </w:t>
      </w:r>
      <w:r w:rsidR="004965BD" w:rsidRPr="004965BD">
        <w:t xml:space="preserve">steel </w:t>
      </w:r>
      <w:r w:rsidR="002101E3">
        <w:t>fabricati</w:t>
      </w:r>
      <w:r w:rsidR="002A6DB2">
        <w:t>o</w:t>
      </w:r>
      <w:r w:rsidR="002101E3">
        <w:t xml:space="preserve">n </w:t>
      </w:r>
      <w:r w:rsidR="004965BD">
        <w:t xml:space="preserve">industry are briefly identified; however, the focus of this chapter is on the impacts of dumping and foreign subsidisation of steel products for Australian steel fabricators. </w:t>
      </w:r>
    </w:p>
    <w:p w14:paraId="6FDAF75B" w14:textId="4B79609F" w:rsidR="00C52018" w:rsidRDefault="00C52018" w:rsidP="002A6DB2">
      <w:pPr>
        <w:pStyle w:val="Points"/>
        <w:numPr>
          <w:ilvl w:val="0"/>
          <w:numId w:val="0"/>
        </w:numPr>
        <w:jc w:val="both"/>
      </w:pPr>
      <w:r>
        <w:t xml:space="preserve">As noted in chapter 3, changes in demand conditions are also important in determining the performance of producers of steel </w:t>
      </w:r>
      <w:r w:rsidR="002101E3">
        <w:t xml:space="preserve">fabricated </w:t>
      </w:r>
      <w:r>
        <w:t>products.</w:t>
      </w:r>
    </w:p>
    <w:p w14:paraId="3E504157" w14:textId="77777777" w:rsidR="00443357" w:rsidRDefault="00443357" w:rsidP="00443357">
      <w:pPr>
        <w:pStyle w:val="Heading2"/>
      </w:pPr>
      <w:r>
        <w:t>Global steel market conditions</w:t>
      </w:r>
    </w:p>
    <w:p w14:paraId="27E77402" w14:textId="77777777" w:rsidR="00113DB0" w:rsidRDefault="00443357" w:rsidP="002A6DB2">
      <w:pPr>
        <w:pStyle w:val="Points"/>
        <w:numPr>
          <w:ilvl w:val="0"/>
          <w:numId w:val="0"/>
        </w:numPr>
        <w:jc w:val="both"/>
      </w:pPr>
      <w:r w:rsidRPr="00B000C6">
        <w:t>In August 201</w:t>
      </w:r>
      <w:r w:rsidR="00B000C6">
        <w:t>6</w:t>
      </w:r>
      <w:r>
        <w:t>, t</w:t>
      </w:r>
      <w:r w:rsidR="00113DB0" w:rsidRPr="00270EBC">
        <w:t>he Commission report</w:t>
      </w:r>
      <w:r>
        <w:t>ed</w:t>
      </w:r>
      <w:r w:rsidR="00113DB0" w:rsidRPr="00270EBC">
        <w:t xml:space="preserve"> to the Commissioner </w:t>
      </w:r>
      <w:r w:rsidR="00224DCE">
        <w:t>on its analysis of global and Australian markets for primary (crude) steel and aluminium products. The report highlighted</w:t>
      </w:r>
      <w:r w:rsidR="00113DB0" w:rsidRPr="00270EBC">
        <w:t xml:space="preserve"> </w:t>
      </w:r>
      <w:r w:rsidR="00224DCE">
        <w:t xml:space="preserve">the impact of global </w:t>
      </w:r>
      <w:r w:rsidR="00053920">
        <w:t xml:space="preserve">excess capacity </w:t>
      </w:r>
      <w:r w:rsidR="00224DCE">
        <w:t xml:space="preserve">and market distortions on the growth and viability of the Australian steel </w:t>
      </w:r>
      <w:r w:rsidR="00E53E70">
        <w:t>(</w:t>
      </w:r>
      <w:r w:rsidR="00224DCE">
        <w:t>and aluminium</w:t>
      </w:r>
      <w:r w:rsidR="00E53E70">
        <w:t>)</w:t>
      </w:r>
      <w:r w:rsidR="00224DCE">
        <w:t xml:space="preserve"> sector, and implications for the effectiveness of Australia’s anti-dumping system.</w:t>
      </w:r>
    </w:p>
    <w:p w14:paraId="755A3C8D" w14:textId="77777777" w:rsidR="00DA4B76" w:rsidRDefault="00DA4B76" w:rsidP="00DF6DD9">
      <w:pPr>
        <w:pStyle w:val="Heading3"/>
      </w:pPr>
      <w:r>
        <w:t>Overview of global primary steel market conditions over the decade to 2016</w:t>
      </w:r>
    </w:p>
    <w:p w14:paraId="21D1E689" w14:textId="77777777" w:rsidR="00092B18" w:rsidRPr="00092B18" w:rsidRDefault="00092B18" w:rsidP="00AD3F59">
      <w:pPr>
        <w:pStyle w:val="Points"/>
        <w:numPr>
          <w:ilvl w:val="0"/>
          <w:numId w:val="0"/>
        </w:numPr>
        <w:jc w:val="both"/>
      </w:pPr>
      <w:r>
        <w:t>Prior</w:t>
      </w:r>
      <w:r w:rsidRPr="00092B18">
        <w:t xml:space="preserve"> to the </w:t>
      </w:r>
      <w:r>
        <w:t>global financial crisis (GFC)</w:t>
      </w:r>
      <w:r w:rsidRPr="00092B18">
        <w:t xml:space="preserve">, demand for steel products </w:t>
      </w:r>
      <w:r w:rsidR="00E53E70">
        <w:t>had grown</w:t>
      </w:r>
      <w:r>
        <w:t xml:space="preserve"> rapidly, </w:t>
      </w:r>
      <w:r w:rsidRPr="00092B18">
        <w:t>reach</w:t>
      </w:r>
      <w:r>
        <w:t>ing</w:t>
      </w:r>
      <w:r w:rsidRPr="00092B18">
        <w:t xml:space="preserve"> unprecedented levels, supported by rapid investment in new infrastructure in China. China’s consumption of steel grew each year by an average of ten per cent up until 2013. The </w:t>
      </w:r>
      <w:r>
        <w:t>growth</w:t>
      </w:r>
      <w:r w:rsidRPr="00092B18">
        <w:t xml:space="preserve"> in demand contributed to significant increases in producer margins</w:t>
      </w:r>
      <w:r>
        <w:t xml:space="preserve"> which, together with expectations of continuing strong demand for </w:t>
      </w:r>
      <w:r w:rsidRPr="00092B18">
        <w:t>steel products</w:t>
      </w:r>
      <w:r>
        <w:t xml:space="preserve">, </w:t>
      </w:r>
      <w:r w:rsidRPr="00092B18">
        <w:t>encouraged large-scale investment in new capacity. China, a net importer of steel as late as 2006, is now the world’s largest producer</w:t>
      </w:r>
      <w:r>
        <w:t xml:space="preserve"> and also </w:t>
      </w:r>
      <w:r w:rsidRPr="00092B18">
        <w:t xml:space="preserve">the world’s largest net exporter of steel. </w:t>
      </w:r>
    </w:p>
    <w:p w14:paraId="0C85CC3F" w14:textId="77777777" w:rsidR="00092B18" w:rsidRPr="00092B18" w:rsidRDefault="00092B18" w:rsidP="00AD3F59">
      <w:pPr>
        <w:pStyle w:val="Points"/>
        <w:numPr>
          <w:ilvl w:val="0"/>
          <w:numId w:val="0"/>
        </w:numPr>
        <w:jc w:val="both"/>
      </w:pPr>
      <w:r w:rsidRPr="00092B18">
        <w:t xml:space="preserve">While prices and margins </w:t>
      </w:r>
      <w:r w:rsidR="00E53E70">
        <w:t xml:space="preserve">for primary steel producers </w:t>
      </w:r>
      <w:r w:rsidRPr="00092B18">
        <w:t xml:space="preserve">would have been expected to return to more </w:t>
      </w:r>
      <w:r w:rsidR="00E53E70">
        <w:t>‘</w:t>
      </w:r>
      <w:r w:rsidRPr="00092B18">
        <w:t>normal</w:t>
      </w:r>
      <w:r w:rsidR="00E53E70">
        <w:t>’</w:t>
      </w:r>
      <w:r w:rsidRPr="00092B18">
        <w:t xml:space="preserve"> levels once global capacity caught up with demand, the GFC, a subsequent slowdown in global economic activity and an acceleration of China’s economic transition (from investment-led growth to being more consumption-based) resulted in prices and margins falling below </w:t>
      </w:r>
      <w:r w:rsidR="00E53E70">
        <w:t>‘</w:t>
      </w:r>
      <w:r w:rsidRPr="00092B18">
        <w:t>normal</w:t>
      </w:r>
      <w:r w:rsidR="00E53E70">
        <w:t>’</w:t>
      </w:r>
      <w:r w:rsidRPr="00092B18">
        <w:t xml:space="preserve"> long-term (underlying) levels. </w:t>
      </w:r>
    </w:p>
    <w:p w14:paraId="03F94264" w14:textId="77777777" w:rsidR="00092B18" w:rsidRPr="00092B18" w:rsidRDefault="00092B18" w:rsidP="00AD3F59">
      <w:pPr>
        <w:pStyle w:val="Points"/>
        <w:numPr>
          <w:ilvl w:val="0"/>
          <w:numId w:val="0"/>
        </w:numPr>
        <w:jc w:val="both"/>
      </w:pPr>
      <w:r w:rsidRPr="00092B18">
        <w:t xml:space="preserve">Prices for steel </w:t>
      </w:r>
      <w:r w:rsidR="00E53E70">
        <w:t>remain significantly below</w:t>
      </w:r>
      <w:r w:rsidRPr="00092B18">
        <w:t xml:space="preserve"> their pre-GFC peaks</w:t>
      </w:r>
      <w:r w:rsidR="00E90413">
        <w:t>,</w:t>
      </w:r>
      <w:r w:rsidRPr="00092B18">
        <w:t xml:space="preserve"> which has reduced margins and increased the financial pressure on producers. In some cases, producer margins are negative. Inventories remain at high levels and steel utilisation rates, which were as high as 85 per cent or more pre-GFC, </w:t>
      </w:r>
      <w:r w:rsidR="00DF6DD9">
        <w:t>were</w:t>
      </w:r>
      <w:r w:rsidRPr="00092B18">
        <w:t xml:space="preserve"> much lower </w:t>
      </w:r>
      <w:r w:rsidR="00DF6DD9">
        <w:t xml:space="preserve">in 2016 </w:t>
      </w:r>
      <w:r w:rsidRPr="00092B18">
        <w:t xml:space="preserve">at 75 per cent. </w:t>
      </w:r>
    </w:p>
    <w:p w14:paraId="0C749DF8" w14:textId="77777777" w:rsidR="00E53E70" w:rsidRDefault="00092B18" w:rsidP="00AD3F59">
      <w:pPr>
        <w:pStyle w:val="Points"/>
        <w:numPr>
          <w:ilvl w:val="0"/>
          <w:numId w:val="0"/>
        </w:numPr>
        <w:jc w:val="both"/>
      </w:pPr>
      <w:r w:rsidRPr="00092B18">
        <w:t xml:space="preserve">Excess capacity—a problem that afflicts the steel industry during every downturn in the business cycle—remains a significant issue for the sector. </w:t>
      </w:r>
      <w:r w:rsidR="00E53E70" w:rsidRPr="00E53E70">
        <w:t xml:space="preserve">While steel is a cyclical industry, the OECD has </w:t>
      </w:r>
      <w:r w:rsidR="00E53E70">
        <w:t xml:space="preserve">stated </w:t>
      </w:r>
      <w:r w:rsidR="00E53E70" w:rsidRPr="00E53E70">
        <w:t>that ‘the current downturn is of particular concern given its depth and length’, suggesting that it appears ‘perhaps worse’ than the cyclical downturn experienced from 1997 to 2002.</w:t>
      </w:r>
      <w:r w:rsidR="00E53E70">
        <w:rPr>
          <w:rStyle w:val="FootnoteReference"/>
        </w:rPr>
        <w:footnoteReference w:id="16"/>
      </w:r>
      <w:r w:rsidR="00E53E70" w:rsidRPr="00E53E70">
        <w:t xml:space="preserve"> </w:t>
      </w:r>
      <w:r w:rsidR="00E53E70" w:rsidRPr="00E53E70">
        <w:rPr>
          <w:color w:val="000000"/>
        </w:rPr>
        <w:t xml:space="preserve">The OECD has identified excess capacity as one of the most significant challenges currently facing the global steel industry. </w:t>
      </w:r>
    </w:p>
    <w:p w14:paraId="70DCE9F0" w14:textId="77777777" w:rsidR="00224DCE" w:rsidRPr="00270EBC" w:rsidRDefault="00092B18" w:rsidP="00AD3F59">
      <w:pPr>
        <w:pStyle w:val="Points"/>
        <w:numPr>
          <w:ilvl w:val="0"/>
          <w:numId w:val="0"/>
        </w:numPr>
        <w:jc w:val="both"/>
      </w:pPr>
      <w:r w:rsidRPr="00092B18">
        <w:t>The growing gap between global steelmaking capacity and demand has led to a deterioration in the financial situation of steelmakers, and raised</w:t>
      </w:r>
      <w:r>
        <w:t xml:space="preserve"> concerns about the longer-term economic viability and efficiency of the industry. Despite this, new investment</w:t>
      </w:r>
      <w:r w:rsidR="00E53E70">
        <w:t>s in steelmaking capacity</w:t>
      </w:r>
      <w:r>
        <w:t xml:space="preserve"> </w:t>
      </w:r>
      <w:r w:rsidR="00E53E70">
        <w:t xml:space="preserve">have continued </w:t>
      </w:r>
      <w:r>
        <w:t>in many parts of the world</w:t>
      </w:r>
      <w:r w:rsidR="00E53E70">
        <w:t>.</w:t>
      </w:r>
    </w:p>
    <w:p w14:paraId="66079AE4" w14:textId="77777777" w:rsidR="00113DB0" w:rsidRDefault="00E6509F" w:rsidP="00AD3F59">
      <w:pPr>
        <w:pStyle w:val="Points"/>
        <w:numPr>
          <w:ilvl w:val="0"/>
          <w:numId w:val="0"/>
        </w:numPr>
        <w:jc w:val="both"/>
      </w:pPr>
      <w:r>
        <w:t>In its August 2016 report, t</w:t>
      </w:r>
      <w:r w:rsidR="00113DB0" w:rsidRPr="00270EBC">
        <w:t xml:space="preserve">he Commission identified evidence of government interventions and trade restrictions that influence market behaviours and decision-making by producers in Asian </w:t>
      </w:r>
      <w:r w:rsidR="00011EA5">
        <w:t xml:space="preserve">primary </w:t>
      </w:r>
      <w:r w:rsidR="00113DB0" w:rsidRPr="00270EBC">
        <w:t>steel markets in ways that diverge from competitive market behaviours and commercial decisions. The Commission’s analysis support</w:t>
      </w:r>
      <w:r>
        <w:t>ed</w:t>
      </w:r>
      <w:r w:rsidR="00113DB0" w:rsidRPr="00270EBC">
        <w:t xml:space="preserve"> a finding that the impacts of economically inefficient market interventions in Asia have amplified, and are likely to have extended the duration of, the current cyclical global downturn and the resulting difficult operating conditions faced by the Australian steel industries.</w:t>
      </w:r>
      <w:r w:rsidR="008E3BB5">
        <w:rPr>
          <w:rStyle w:val="FootnoteReference"/>
        </w:rPr>
        <w:footnoteReference w:id="17"/>
      </w:r>
      <w:r w:rsidR="00113DB0" w:rsidRPr="00270EBC">
        <w:t xml:space="preserve"> </w:t>
      </w:r>
    </w:p>
    <w:p w14:paraId="4CCDFCA9" w14:textId="77777777" w:rsidR="00E6509F" w:rsidRDefault="00E6509F" w:rsidP="00AD3F59">
      <w:pPr>
        <w:pStyle w:val="Points"/>
        <w:numPr>
          <w:ilvl w:val="0"/>
          <w:numId w:val="0"/>
        </w:numPr>
        <w:jc w:val="both"/>
        <w:rPr>
          <w:color w:val="000000"/>
        </w:rPr>
      </w:pPr>
      <w:r>
        <w:t xml:space="preserve">These findings were consistent with conclusions reached by the OECD and the G20 nations. </w:t>
      </w:r>
      <w:r w:rsidRPr="00E53E70">
        <w:rPr>
          <w:color w:val="000000"/>
        </w:rPr>
        <w:t>In 201</w:t>
      </w:r>
      <w:r>
        <w:rPr>
          <w:color w:val="000000"/>
        </w:rPr>
        <w:t>5</w:t>
      </w:r>
      <w:r w:rsidRPr="00E53E70">
        <w:rPr>
          <w:color w:val="000000"/>
        </w:rPr>
        <w:t xml:space="preserve">, </w:t>
      </w:r>
      <w:r>
        <w:rPr>
          <w:color w:val="000000"/>
        </w:rPr>
        <w:t xml:space="preserve">analysis by </w:t>
      </w:r>
      <w:r w:rsidRPr="00E53E70">
        <w:rPr>
          <w:color w:val="000000"/>
        </w:rPr>
        <w:t>the OECD’s Directorate for Science, Technology and Innovation identified two main reasons for excess capacity—cyclical market downturns and government interventions and other market distortions.</w:t>
      </w:r>
      <w:r>
        <w:rPr>
          <w:color w:val="000000"/>
        </w:rPr>
        <w:t xml:space="preserve"> In relation to </w:t>
      </w:r>
      <w:r w:rsidRPr="00E53E70">
        <w:rPr>
          <w:color w:val="000000"/>
        </w:rPr>
        <w:t>government interventions</w:t>
      </w:r>
      <w:r>
        <w:rPr>
          <w:color w:val="000000"/>
        </w:rPr>
        <w:t>, the OECD stated that:</w:t>
      </w:r>
    </w:p>
    <w:p w14:paraId="1562C573" w14:textId="77777777" w:rsidR="00E6509F" w:rsidRPr="00E6509F" w:rsidRDefault="00E6509F" w:rsidP="00AD3F59">
      <w:pPr>
        <w:autoSpaceDE w:val="0"/>
        <w:autoSpaceDN w:val="0"/>
        <w:adjustRightInd w:val="0"/>
        <w:ind w:left="720"/>
        <w:jc w:val="both"/>
        <w:rPr>
          <w:rFonts w:ascii="Calibri" w:hAnsi="Calibri" w:cs="Calibri"/>
          <w:i/>
          <w:color w:val="000000"/>
        </w:rPr>
      </w:pPr>
      <w:r w:rsidRPr="00E6509F">
        <w:rPr>
          <w:rFonts w:ascii="Calibri" w:hAnsi="Calibri" w:cs="Calibri"/>
          <w:i/>
          <w:color w:val="000000"/>
        </w:rPr>
        <w:t xml:space="preserve">… </w:t>
      </w:r>
      <w:proofErr w:type="gramStart"/>
      <w:r w:rsidRPr="00E6509F">
        <w:rPr>
          <w:rFonts w:ascii="Calibri" w:hAnsi="Calibri" w:cs="Calibri"/>
          <w:i/>
          <w:color w:val="000000"/>
        </w:rPr>
        <w:t>excess</w:t>
      </w:r>
      <w:proofErr w:type="gramEnd"/>
      <w:r w:rsidRPr="00E6509F">
        <w:rPr>
          <w:rFonts w:ascii="Calibri" w:hAnsi="Calibri" w:cs="Calibri"/>
          <w:i/>
          <w:color w:val="000000"/>
        </w:rPr>
        <w:t xml:space="preserve"> capacity that persists over time can also be indicative of government actions that hinder adjustments that would normally occur in competitive markets. Due to the importance and strategic nature of the steel industry to many national economies, a tendency during market downturns is to preserve the capacity of the industry, in order to alleviate unemployment and other social problems that would otherwise occur due to capacity closure. In addition, in some large net steel-importing regions, governments are also interested in moving towards greater “self-sufficiency” in steel production in order to reduce their dependency on imports … despite current market conditions, a large number of new projects are taking place, which will increase global crude steelmaking capacity significantly in coming years. </w:t>
      </w:r>
    </w:p>
    <w:p w14:paraId="093D8F64" w14:textId="77777777" w:rsidR="00E6509F" w:rsidRDefault="00E6509F" w:rsidP="00AD3F59">
      <w:pPr>
        <w:autoSpaceDE w:val="0"/>
        <w:autoSpaceDN w:val="0"/>
        <w:adjustRightInd w:val="0"/>
        <w:ind w:left="720"/>
        <w:jc w:val="both"/>
        <w:rPr>
          <w:rFonts w:ascii="Calibri" w:hAnsi="Calibri" w:cs="Calibri"/>
          <w:i/>
          <w:color w:val="000000"/>
        </w:rPr>
      </w:pPr>
      <w:r w:rsidRPr="00E6509F">
        <w:rPr>
          <w:rFonts w:ascii="Calibri" w:hAnsi="Calibri" w:cs="Calibri"/>
          <w:i/>
          <w:color w:val="000000"/>
        </w:rPr>
        <w:t xml:space="preserve">… Specific concerns related to government steel policies include government subsidies </w:t>
      </w:r>
      <w:r>
        <w:rPr>
          <w:rFonts w:ascii="Calibri" w:hAnsi="Calibri" w:cs="Calibri"/>
          <w:i/>
          <w:color w:val="000000"/>
        </w:rPr>
        <w:t xml:space="preserve">… </w:t>
      </w:r>
      <w:r w:rsidRPr="00E6509F">
        <w:rPr>
          <w:rFonts w:ascii="Calibri" w:hAnsi="Calibri" w:cs="Calibri"/>
          <w:i/>
          <w:color w:val="000000"/>
        </w:rPr>
        <w:t>continued approvals for new steel facilities</w:t>
      </w:r>
      <w:r>
        <w:rPr>
          <w:rFonts w:ascii="Calibri" w:hAnsi="Calibri" w:cs="Calibri"/>
          <w:i/>
          <w:color w:val="000000"/>
        </w:rPr>
        <w:t xml:space="preserve"> …</w:t>
      </w:r>
      <w:r w:rsidRPr="00E6509F">
        <w:rPr>
          <w:rFonts w:ascii="Calibri" w:hAnsi="Calibri" w:cs="Calibri"/>
          <w:i/>
          <w:color w:val="000000"/>
        </w:rPr>
        <w:t xml:space="preserve"> </w:t>
      </w:r>
      <w:r>
        <w:rPr>
          <w:rFonts w:ascii="Calibri" w:hAnsi="Calibri" w:cs="Calibri"/>
          <w:i/>
          <w:color w:val="000000"/>
        </w:rPr>
        <w:t xml:space="preserve">and </w:t>
      </w:r>
      <w:r w:rsidRPr="00E6509F">
        <w:rPr>
          <w:rFonts w:ascii="Calibri" w:hAnsi="Calibri" w:cs="Calibri"/>
          <w:i/>
          <w:color w:val="000000"/>
        </w:rPr>
        <w:t>the activities of government financial agencies</w:t>
      </w:r>
      <w:r>
        <w:rPr>
          <w:rFonts w:ascii="Calibri" w:hAnsi="Calibri" w:cs="Calibri"/>
          <w:i/>
          <w:color w:val="000000"/>
        </w:rPr>
        <w:t xml:space="preserve"> …</w:t>
      </w:r>
      <w:r w:rsidRPr="00E6509F">
        <w:rPr>
          <w:rFonts w:ascii="Calibri" w:hAnsi="Calibri" w:cs="Calibri"/>
          <w:i/>
          <w:color w:val="000000"/>
        </w:rPr>
        <w:t xml:space="preserve"> </w:t>
      </w:r>
      <w:r>
        <w:rPr>
          <w:rStyle w:val="FootnoteReference"/>
          <w:rFonts w:ascii="Calibri" w:hAnsi="Calibri" w:cs="Calibri"/>
          <w:i/>
          <w:color w:val="000000"/>
        </w:rPr>
        <w:footnoteReference w:id="18"/>
      </w:r>
    </w:p>
    <w:p w14:paraId="19B2B52A" w14:textId="77777777" w:rsidR="005D75D0" w:rsidRPr="005D75D0" w:rsidRDefault="005D75D0" w:rsidP="00AD3F59">
      <w:pPr>
        <w:pStyle w:val="Points"/>
        <w:numPr>
          <w:ilvl w:val="0"/>
          <w:numId w:val="0"/>
        </w:numPr>
        <w:jc w:val="both"/>
        <w:rPr>
          <w:color w:val="000000"/>
          <w:lang w:val="en"/>
        </w:rPr>
      </w:pPr>
      <w:r w:rsidRPr="005D75D0">
        <w:rPr>
          <w:color w:val="000000"/>
        </w:rPr>
        <w:t xml:space="preserve">Concerns about the economic and social impacts of continuing global steel </w:t>
      </w:r>
      <w:r w:rsidR="00053920">
        <w:rPr>
          <w:color w:val="000000"/>
        </w:rPr>
        <w:t xml:space="preserve">excess </w:t>
      </w:r>
      <w:r w:rsidR="00053920" w:rsidRPr="005D75D0">
        <w:rPr>
          <w:color w:val="000000"/>
        </w:rPr>
        <w:t xml:space="preserve">capacity </w:t>
      </w:r>
      <w:r w:rsidR="00546B8E">
        <w:rPr>
          <w:color w:val="000000"/>
        </w:rPr>
        <w:t xml:space="preserve">have </w:t>
      </w:r>
      <w:r w:rsidRPr="005D75D0">
        <w:rPr>
          <w:color w:val="000000"/>
        </w:rPr>
        <w:t xml:space="preserve">led the OECD and the G20 group of nations </w:t>
      </w:r>
      <w:r>
        <w:rPr>
          <w:color w:val="000000"/>
        </w:rPr>
        <w:t xml:space="preserve">to </w:t>
      </w:r>
      <w:r w:rsidRPr="005D75D0">
        <w:rPr>
          <w:color w:val="000000"/>
        </w:rPr>
        <w:t xml:space="preserve">establish mechanisms to </w:t>
      </w:r>
      <w:r w:rsidRPr="005D75D0">
        <w:rPr>
          <w:color w:val="000000"/>
          <w:lang w:val="en"/>
        </w:rPr>
        <w:t xml:space="preserve">address </w:t>
      </w:r>
      <w:r w:rsidR="00053920">
        <w:rPr>
          <w:color w:val="000000"/>
          <w:lang w:val="en"/>
        </w:rPr>
        <w:t xml:space="preserve">excess </w:t>
      </w:r>
      <w:r w:rsidR="00053920" w:rsidRPr="005D75D0">
        <w:rPr>
          <w:color w:val="000000"/>
          <w:lang w:val="en"/>
        </w:rPr>
        <w:t xml:space="preserve">capacity </w:t>
      </w:r>
      <w:r w:rsidRPr="005D75D0">
        <w:rPr>
          <w:color w:val="000000"/>
          <w:lang w:val="en"/>
        </w:rPr>
        <w:t>in the global steel industry,</w:t>
      </w:r>
      <w:r w:rsidRPr="005D75D0">
        <w:rPr>
          <w:color w:val="000000"/>
        </w:rPr>
        <w:t xml:space="preserve"> including </w:t>
      </w:r>
      <w:r w:rsidRPr="005D75D0">
        <w:rPr>
          <w:color w:val="000000"/>
          <w:lang w:val="en"/>
        </w:rPr>
        <w:t>a Global Forum on Steel Excess Capacity (</w:t>
      </w:r>
      <w:r w:rsidR="00546B8E">
        <w:rPr>
          <w:color w:val="000000"/>
          <w:lang w:val="en"/>
        </w:rPr>
        <w:t>established by the G20 group</w:t>
      </w:r>
      <w:r w:rsidRPr="005D75D0">
        <w:rPr>
          <w:color w:val="000000"/>
          <w:lang w:val="en"/>
        </w:rPr>
        <w:t xml:space="preserve"> in December 2016).</w:t>
      </w:r>
      <w:r w:rsidRPr="005D75D0">
        <w:rPr>
          <w:color w:val="000000"/>
          <w:vertAlign w:val="superscript"/>
          <w:lang w:val="en"/>
        </w:rPr>
        <w:footnoteReference w:id="19"/>
      </w:r>
      <w:r w:rsidRPr="005D75D0">
        <w:rPr>
          <w:color w:val="000000"/>
          <w:lang w:val="en"/>
        </w:rPr>
        <w:t xml:space="preserve"> </w:t>
      </w:r>
    </w:p>
    <w:p w14:paraId="77DCCAD2" w14:textId="77777777" w:rsidR="005D75D0" w:rsidRPr="005D75D0" w:rsidRDefault="005D75D0" w:rsidP="00AD3F59">
      <w:pPr>
        <w:pStyle w:val="Points"/>
        <w:numPr>
          <w:ilvl w:val="0"/>
          <w:numId w:val="0"/>
        </w:numPr>
        <w:jc w:val="both"/>
        <w:rPr>
          <w:color w:val="000000"/>
          <w:lang w:val="en"/>
        </w:rPr>
      </w:pPr>
      <w:r w:rsidRPr="005D75D0">
        <w:rPr>
          <w:color w:val="000000"/>
          <w:lang w:val="en"/>
        </w:rPr>
        <w:t>The adverse impacts</w:t>
      </w:r>
      <w:r w:rsidRPr="005D75D0">
        <w:rPr>
          <w:color w:val="000000"/>
        </w:rPr>
        <w:t xml:space="preserve"> of continuing global steel </w:t>
      </w:r>
      <w:r w:rsidR="00053920">
        <w:rPr>
          <w:color w:val="000000"/>
        </w:rPr>
        <w:t xml:space="preserve">excess </w:t>
      </w:r>
      <w:r w:rsidR="00053920" w:rsidRPr="005D75D0">
        <w:rPr>
          <w:color w:val="000000"/>
        </w:rPr>
        <w:t>capacity</w:t>
      </w:r>
      <w:r w:rsidR="00053920" w:rsidRPr="005D75D0">
        <w:rPr>
          <w:color w:val="000000"/>
          <w:lang w:val="en"/>
        </w:rPr>
        <w:t xml:space="preserve"> </w:t>
      </w:r>
      <w:r w:rsidRPr="005D75D0">
        <w:rPr>
          <w:color w:val="000000"/>
          <w:lang w:val="en"/>
        </w:rPr>
        <w:t xml:space="preserve">included </w:t>
      </w:r>
      <w:r w:rsidRPr="005D75D0">
        <w:rPr>
          <w:color w:val="000000"/>
        </w:rPr>
        <w:t>the potential, identified by the OECD, that ‘excess capacity in one region can displace production in other regions, thus harming producers in those markets’, including through ‘unfair trade practices such as dumping’.</w:t>
      </w:r>
      <w:r w:rsidRPr="005D75D0">
        <w:rPr>
          <w:color w:val="000000"/>
          <w:vertAlign w:val="superscript"/>
        </w:rPr>
        <w:footnoteReference w:id="20"/>
      </w:r>
      <w:r w:rsidRPr="005D75D0">
        <w:rPr>
          <w:color w:val="000000"/>
        </w:rPr>
        <w:t xml:space="preserve"> These concerns were also emphasised at the April 2016 OECD high-level steel symposium</w:t>
      </w:r>
      <w:r>
        <w:rPr>
          <w:color w:val="000000"/>
        </w:rPr>
        <w:t>, which drew</w:t>
      </w:r>
      <w:r w:rsidRPr="005D75D0">
        <w:rPr>
          <w:color w:val="000000"/>
        </w:rPr>
        <w:t xml:space="preserve"> attention to the significant increase in the use of trade </w:t>
      </w:r>
      <w:r w:rsidR="00525E46" w:rsidRPr="005D75D0">
        <w:rPr>
          <w:color w:val="000000"/>
        </w:rPr>
        <w:t>defence</w:t>
      </w:r>
      <w:r w:rsidRPr="005D75D0">
        <w:rPr>
          <w:color w:val="000000"/>
        </w:rPr>
        <w:t xml:space="preserve"> instruments to address ‘unfair trade resulting from current global excess capacity’, noting that these instruments would only provide temporary relief against unfair trade and not long-lasting solutions for the broader industry.</w:t>
      </w:r>
      <w:r>
        <w:rPr>
          <w:rStyle w:val="FootnoteReference"/>
          <w:color w:val="000000"/>
        </w:rPr>
        <w:footnoteReference w:id="21"/>
      </w:r>
    </w:p>
    <w:p w14:paraId="6C5DCDD3" w14:textId="77777777" w:rsidR="00113DB0" w:rsidRDefault="00DF6DD9" w:rsidP="00DF6DD9">
      <w:pPr>
        <w:pStyle w:val="Heading3"/>
      </w:pPr>
      <w:r>
        <w:t>Recent developments in global primary steel markets</w:t>
      </w:r>
    </w:p>
    <w:p w14:paraId="65AE1B73" w14:textId="77777777" w:rsidR="00713131" w:rsidRDefault="007901A4" w:rsidP="00AD3F59">
      <w:pPr>
        <w:pStyle w:val="Points"/>
        <w:numPr>
          <w:ilvl w:val="0"/>
          <w:numId w:val="0"/>
        </w:numPr>
        <w:jc w:val="both"/>
        <w:rPr>
          <w:lang w:val="en"/>
        </w:rPr>
      </w:pPr>
      <w:r w:rsidRPr="007901A4">
        <w:rPr>
          <w:lang w:val="en"/>
        </w:rPr>
        <w:t>In March 2017, the</w:t>
      </w:r>
      <w:r w:rsidR="00713131" w:rsidRPr="007901A4">
        <w:rPr>
          <w:lang w:val="en"/>
        </w:rPr>
        <w:t xml:space="preserve"> OECD Steel Committee</w:t>
      </w:r>
      <w:r w:rsidRPr="007901A4">
        <w:rPr>
          <w:lang w:val="en"/>
        </w:rPr>
        <w:t xml:space="preserve"> noted that while there were signs of</w:t>
      </w:r>
      <w:r w:rsidR="00713131" w:rsidRPr="007901A4">
        <w:rPr>
          <w:lang w:val="en"/>
        </w:rPr>
        <w:t xml:space="preserve"> </w:t>
      </w:r>
      <w:r w:rsidRPr="007901A4">
        <w:rPr>
          <w:lang w:val="en"/>
        </w:rPr>
        <w:t>a</w:t>
      </w:r>
      <w:r w:rsidR="00713131" w:rsidRPr="007901A4">
        <w:rPr>
          <w:lang w:val="en"/>
        </w:rPr>
        <w:t xml:space="preserve"> </w:t>
      </w:r>
      <w:r w:rsidRPr="007901A4">
        <w:rPr>
          <w:lang w:val="en"/>
        </w:rPr>
        <w:t>‘</w:t>
      </w:r>
      <w:r w:rsidR="00713131" w:rsidRPr="007901A4">
        <w:rPr>
          <w:lang w:val="en"/>
        </w:rPr>
        <w:t>modest recovery in the global steel market</w:t>
      </w:r>
      <w:r w:rsidRPr="007901A4">
        <w:rPr>
          <w:lang w:val="en"/>
        </w:rPr>
        <w:t>’</w:t>
      </w:r>
      <w:r w:rsidR="00713131" w:rsidRPr="007901A4">
        <w:rPr>
          <w:lang w:val="en"/>
        </w:rPr>
        <w:t xml:space="preserve">, </w:t>
      </w:r>
      <w:r w:rsidRPr="007901A4">
        <w:rPr>
          <w:lang w:val="en"/>
        </w:rPr>
        <w:t>it</w:t>
      </w:r>
      <w:r w:rsidR="00713131" w:rsidRPr="007901A4">
        <w:rPr>
          <w:lang w:val="en"/>
        </w:rPr>
        <w:t xml:space="preserve"> stressed that considerable structural imbalances remain </w:t>
      </w:r>
      <w:r w:rsidRPr="007901A4">
        <w:rPr>
          <w:lang w:val="en"/>
        </w:rPr>
        <w:t xml:space="preserve">and expressed </w:t>
      </w:r>
      <w:r w:rsidR="00713131" w:rsidRPr="007901A4">
        <w:rPr>
          <w:lang w:val="en"/>
        </w:rPr>
        <w:t>concerns about</w:t>
      </w:r>
      <w:r w:rsidRPr="007901A4">
        <w:rPr>
          <w:lang w:val="en"/>
        </w:rPr>
        <w:t xml:space="preserve"> continuing</w:t>
      </w:r>
      <w:r w:rsidR="00713131" w:rsidRPr="007901A4">
        <w:rPr>
          <w:lang w:val="en"/>
        </w:rPr>
        <w:t xml:space="preserve"> increases in steelmaking capacity</w:t>
      </w:r>
      <w:r w:rsidRPr="007901A4">
        <w:rPr>
          <w:lang w:val="en"/>
        </w:rPr>
        <w:t>.</w:t>
      </w:r>
      <w:r w:rsidRPr="00613440">
        <w:rPr>
          <w:vertAlign w:val="superscript"/>
        </w:rPr>
        <w:footnoteReference w:id="22"/>
      </w:r>
      <w:r w:rsidR="00613440">
        <w:rPr>
          <w:lang w:val="en"/>
        </w:rPr>
        <w:t xml:space="preserve"> </w:t>
      </w:r>
      <w:r w:rsidRPr="007901A4">
        <w:rPr>
          <w:lang w:val="en"/>
        </w:rPr>
        <w:t>The Committee</w:t>
      </w:r>
      <w:r w:rsidR="00713131" w:rsidRPr="007901A4">
        <w:rPr>
          <w:lang w:val="en"/>
        </w:rPr>
        <w:t xml:space="preserve"> reiterated the urgency of addressing the excess capacity problem</w:t>
      </w:r>
      <w:r w:rsidRPr="007901A4">
        <w:rPr>
          <w:lang w:val="en"/>
        </w:rPr>
        <w:t>,</w:t>
      </w:r>
      <w:r w:rsidR="00713131" w:rsidRPr="007901A4">
        <w:rPr>
          <w:lang w:val="en"/>
        </w:rPr>
        <w:t xml:space="preserve"> </w:t>
      </w:r>
      <w:r w:rsidRPr="007901A4">
        <w:rPr>
          <w:lang w:val="en"/>
        </w:rPr>
        <w:t>noting with concern the evidence of ‘</w:t>
      </w:r>
      <w:r w:rsidR="00713131" w:rsidRPr="007901A4">
        <w:rPr>
          <w:lang w:val="en"/>
        </w:rPr>
        <w:t>mounting trade frictions</w:t>
      </w:r>
      <w:r w:rsidRPr="007901A4">
        <w:rPr>
          <w:lang w:val="en"/>
        </w:rPr>
        <w:t>’.</w:t>
      </w:r>
    </w:p>
    <w:p w14:paraId="635FF819" w14:textId="77777777" w:rsidR="00951431" w:rsidRDefault="00951431" w:rsidP="00AD3F59">
      <w:pPr>
        <w:pStyle w:val="Points"/>
        <w:numPr>
          <w:ilvl w:val="0"/>
          <w:numId w:val="0"/>
        </w:numPr>
        <w:jc w:val="both"/>
        <w:rPr>
          <w:lang w:val="en"/>
        </w:rPr>
      </w:pPr>
      <w:r>
        <w:rPr>
          <w:lang w:val="en"/>
        </w:rPr>
        <w:t xml:space="preserve">In July 2017, the </w:t>
      </w:r>
      <w:r w:rsidR="0015145F">
        <w:rPr>
          <w:lang w:val="en"/>
        </w:rPr>
        <w:t xml:space="preserve">leaders of the </w:t>
      </w:r>
      <w:r>
        <w:rPr>
          <w:lang w:val="en"/>
        </w:rPr>
        <w:t xml:space="preserve">G20 nations </w:t>
      </w:r>
      <w:r w:rsidR="006C3092">
        <w:rPr>
          <w:lang w:val="en"/>
        </w:rPr>
        <w:t>expressed concern about continuing excess capacity and ‘urgently call for the removal of market-distorting subsidies and other types of support by governments and related entities’.</w:t>
      </w:r>
      <w:r w:rsidR="006C3092">
        <w:rPr>
          <w:rStyle w:val="FootnoteReference"/>
          <w:lang w:val="en"/>
        </w:rPr>
        <w:footnoteReference w:id="23"/>
      </w:r>
      <w:r w:rsidR="006C3092">
        <w:rPr>
          <w:lang w:val="en"/>
        </w:rPr>
        <w:t xml:space="preserve"> </w:t>
      </w:r>
      <w:r w:rsidR="006C7534">
        <w:rPr>
          <w:lang w:val="en"/>
        </w:rPr>
        <w:t>They called on all members of the Global Forum in Steel Excess Capacity to ‘rapidly develop concrete policy solutions that reduce steel excess capacity’.</w:t>
      </w:r>
      <w:r w:rsidR="006C7534">
        <w:rPr>
          <w:rStyle w:val="FootnoteReference"/>
          <w:lang w:val="en"/>
        </w:rPr>
        <w:footnoteReference w:id="24"/>
      </w:r>
    </w:p>
    <w:p w14:paraId="73BDB171" w14:textId="77777777" w:rsidR="0043729F" w:rsidRDefault="0043729F" w:rsidP="00AD3F59">
      <w:pPr>
        <w:pStyle w:val="Points"/>
        <w:numPr>
          <w:ilvl w:val="0"/>
          <w:numId w:val="0"/>
        </w:numPr>
        <w:jc w:val="both"/>
        <w:rPr>
          <w:lang w:val="en"/>
        </w:rPr>
      </w:pPr>
      <w:r w:rsidRPr="00B37C6B">
        <w:rPr>
          <w:lang w:val="en"/>
        </w:rPr>
        <w:t xml:space="preserve">Excess capacity </w:t>
      </w:r>
      <w:r>
        <w:rPr>
          <w:lang w:val="en"/>
        </w:rPr>
        <w:t xml:space="preserve">in global steel markets </w:t>
      </w:r>
      <w:r w:rsidRPr="00B37C6B">
        <w:rPr>
          <w:lang w:val="en"/>
        </w:rPr>
        <w:t xml:space="preserve">remains considerable, capacity </w:t>
      </w:r>
      <w:proofErr w:type="spellStart"/>
      <w:r w:rsidRPr="00B37C6B">
        <w:rPr>
          <w:lang w:val="en"/>
        </w:rPr>
        <w:t>utilisation</w:t>
      </w:r>
      <w:proofErr w:type="spellEnd"/>
      <w:r w:rsidRPr="00B37C6B">
        <w:rPr>
          <w:lang w:val="en"/>
        </w:rPr>
        <w:t xml:space="preserve"> rates continue to be very low, and the financial situation is still challenging for most companies.</w:t>
      </w:r>
      <w:r w:rsidR="008B3082">
        <w:rPr>
          <w:rStyle w:val="FootnoteReference"/>
          <w:lang w:val="en"/>
        </w:rPr>
        <w:footnoteReference w:id="25"/>
      </w:r>
      <w:r>
        <w:rPr>
          <w:lang w:val="en"/>
        </w:rPr>
        <w:t xml:space="preserve"> </w:t>
      </w:r>
    </w:p>
    <w:p w14:paraId="4F4D3E80" w14:textId="340560D7" w:rsidR="00713131" w:rsidRPr="007901A4" w:rsidRDefault="0043729F" w:rsidP="00AD3F59">
      <w:pPr>
        <w:pStyle w:val="Points"/>
        <w:numPr>
          <w:ilvl w:val="0"/>
          <w:numId w:val="0"/>
        </w:numPr>
        <w:jc w:val="both"/>
        <w:rPr>
          <w:lang w:val="en"/>
        </w:rPr>
      </w:pPr>
      <w:r>
        <w:rPr>
          <w:lang w:val="en"/>
        </w:rPr>
        <w:t xml:space="preserve">The capacity overhang will not be resolved in the foreseeable future by increases in global demand for steel. </w:t>
      </w:r>
      <w:r w:rsidR="00713131" w:rsidRPr="007901A4">
        <w:rPr>
          <w:lang w:val="en"/>
        </w:rPr>
        <w:t>The World Steel Association's preliminary assessment suggests that steel demand recovered by only 1</w:t>
      </w:r>
      <w:r w:rsidR="00A4364F">
        <w:rPr>
          <w:lang w:val="en"/>
        </w:rPr>
        <w:t> per cent</w:t>
      </w:r>
      <w:r w:rsidR="00713131" w:rsidRPr="007901A4">
        <w:rPr>
          <w:lang w:val="en"/>
        </w:rPr>
        <w:t xml:space="preserve"> in 2016, following a decline of 3</w:t>
      </w:r>
      <w:r w:rsidR="001756DD">
        <w:rPr>
          <w:lang w:val="en"/>
        </w:rPr>
        <w:t>.3</w:t>
      </w:r>
      <w:r w:rsidR="00A4364F">
        <w:rPr>
          <w:lang w:val="en"/>
        </w:rPr>
        <w:t> per cent</w:t>
      </w:r>
      <w:r w:rsidR="00713131" w:rsidRPr="007901A4">
        <w:rPr>
          <w:lang w:val="en"/>
        </w:rPr>
        <w:t xml:space="preserve"> in 2015. </w:t>
      </w:r>
      <w:r w:rsidR="00A4364F">
        <w:rPr>
          <w:lang w:val="en"/>
        </w:rPr>
        <w:t xml:space="preserve">A modest recovery in global economic growth </w:t>
      </w:r>
      <w:r w:rsidR="00E57F9F">
        <w:rPr>
          <w:lang w:val="en"/>
        </w:rPr>
        <w:t>over the medium term</w:t>
      </w:r>
      <w:r w:rsidR="00A4364F">
        <w:rPr>
          <w:rStyle w:val="FootnoteReference"/>
          <w:lang w:val="en"/>
        </w:rPr>
        <w:footnoteReference w:id="26"/>
      </w:r>
      <w:r w:rsidR="00A4364F">
        <w:rPr>
          <w:lang w:val="en"/>
        </w:rPr>
        <w:t xml:space="preserve"> is expected to support </w:t>
      </w:r>
      <w:r w:rsidR="00B37C6B">
        <w:rPr>
          <w:lang w:val="en"/>
        </w:rPr>
        <w:t>stronger</w:t>
      </w:r>
      <w:r w:rsidR="00693ACE">
        <w:rPr>
          <w:lang w:val="en"/>
        </w:rPr>
        <w:t xml:space="preserve"> growth in </w:t>
      </w:r>
      <w:r w:rsidR="00A4364F">
        <w:rPr>
          <w:lang w:val="en"/>
        </w:rPr>
        <w:t>steel d</w:t>
      </w:r>
      <w:r w:rsidR="00713131" w:rsidRPr="007901A4">
        <w:rPr>
          <w:lang w:val="en"/>
        </w:rPr>
        <w:t>emand</w:t>
      </w:r>
      <w:r w:rsidR="00A4364F">
        <w:rPr>
          <w:lang w:val="en"/>
        </w:rPr>
        <w:t xml:space="preserve"> </w:t>
      </w:r>
      <w:r w:rsidR="00693ACE">
        <w:rPr>
          <w:lang w:val="en"/>
        </w:rPr>
        <w:t>but</w:t>
      </w:r>
      <w:r w:rsidR="00713131" w:rsidRPr="007901A4">
        <w:rPr>
          <w:lang w:val="en"/>
        </w:rPr>
        <w:t xml:space="preserve"> </w:t>
      </w:r>
      <w:r w:rsidR="00B37C6B">
        <w:rPr>
          <w:lang w:val="en"/>
        </w:rPr>
        <w:t xml:space="preserve">growth rates are </w:t>
      </w:r>
      <w:r w:rsidR="00713131" w:rsidRPr="007901A4">
        <w:rPr>
          <w:lang w:val="en"/>
        </w:rPr>
        <w:t>expected to remain modest</w:t>
      </w:r>
      <w:r w:rsidR="000252CF">
        <w:rPr>
          <w:lang w:val="en"/>
        </w:rPr>
        <w:t>.</w:t>
      </w:r>
      <w:r w:rsidR="00713131" w:rsidRPr="007901A4">
        <w:rPr>
          <w:lang w:val="en"/>
        </w:rPr>
        <w:t xml:space="preserve"> </w:t>
      </w:r>
      <w:r w:rsidR="000252CF">
        <w:rPr>
          <w:lang w:val="en"/>
        </w:rPr>
        <w:t>While</w:t>
      </w:r>
      <w:r w:rsidR="000252CF" w:rsidRPr="007901A4">
        <w:rPr>
          <w:lang w:val="en"/>
        </w:rPr>
        <w:t xml:space="preserve"> Chin</w:t>
      </w:r>
      <w:r w:rsidR="000252CF">
        <w:rPr>
          <w:lang w:val="en"/>
        </w:rPr>
        <w:t>a’s apparent</w:t>
      </w:r>
      <w:r w:rsidR="000252CF" w:rsidRPr="007901A4">
        <w:rPr>
          <w:lang w:val="en"/>
        </w:rPr>
        <w:t xml:space="preserve"> </w:t>
      </w:r>
      <w:r w:rsidR="00713131" w:rsidRPr="007901A4">
        <w:rPr>
          <w:lang w:val="en"/>
        </w:rPr>
        <w:t>steel demand</w:t>
      </w:r>
      <w:r w:rsidR="000252CF">
        <w:rPr>
          <w:lang w:val="en"/>
        </w:rPr>
        <w:t xml:space="preserve"> grew 9.7 per cent year-on-year in the first half of 2017, it is expected to decline in 2018 and 2019 as government investment in infrastructure eases, and as a renewed focus on financial stability</w:t>
      </w:r>
      <w:r w:rsidR="00E57F9F">
        <w:rPr>
          <w:lang w:val="en"/>
        </w:rPr>
        <w:t xml:space="preserve"> and supply-side reforms </w:t>
      </w:r>
      <w:r w:rsidR="000252CF">
        <w:rPr>
          <w:lang w:val="en"/>
        </w:rPr>
        <w:t>dampens private investment.</w:t>
      </w:r>
      <w:r w:rsidR="000252CF">
        <w:rPr>
          <w:rStyle w:val="FootnoteReference"/>
          <w:lang w:val="en"/>
        </w:rPr>
        <w:footnoteReference w:id="27"/>
      </w:r>
      <w:r w:rsidR="000252CF">
        <w:rPr>
          <w:lang w:val="en"/>
        </w:rPr>
        <w:t xml:space="preserve"> As China</w:t>
      </w:r>
      <w:r w:rsidR="000252CF" w:rsidRPr="007901A4">
        <w:rPr>
          <w:lang w:val="en"/>
        </w:rPr>
        <w:t xml:space="preserve"> accounts for </w:t>
      </w:r>
      <w:r w:rsidR="000252CF">
        <w:rPr>
          <w:lang w:val="en"/>
        </w:rPr>
        <w:t xml:space="preserve">around </w:t>
      </w:r>
      <w:r w:rsidR="000252CF" w:rsidRPr="007901A4">
        <w:rPr>
          <w:lang w:val="en"/>
        </w:rPr>
        <w:t>4</w:t>
      </w:r>
      <w:r w:rsidR="000252CF">
        <w:rPr>
          <w:lang w:val="en"/>
        </w:rPr>
        <w:t>3 per cent</w:t>
      </w:r>
      <w:r w:rsidR="000252CF" w:rsidRPr="007901A4">
        <w:rPr>
          <w:lang w:val="en"/>
        </w:rPr>
        <w:t xml:space="preserve"> of</w:t>
      </w:r>
      <w:r w:rsidR="000252CF">
        <w:rPr>
          <w:lang w:val="en"/>
        </w:rPr>
        <w:t xml:space="preserve"> total</w:t>
      </w:r>
      <w:r w:rsidR="000252CF" w:rsidRPr="007901A4">
        <w:rPr>
          <w:lang w:val="en"/>
        </w:rPr>
        <w:t xml:space="preserve"> </w:t>
      </w:r>
      <w:r w:rsidR="000252CF">
        <w:rPr>
          <w:lang w:val="en"/>
        </w:rPr>
        <w:t>world steel consumption, even modest declines in consumption will weigh on total world steel consumption</w:t>
      </w:r>
      <w:r w:rsidR="00713131" w:rsidRPr="007901A4">
        <w:rPr>
          <w:lang w:val="en"/>
        </w:rPr>
        <w:t xml:space="preserve">. </w:t>
      </w:r>
    </w:p>
    <w:p w14:paraId="6163977B" w14:textId="77777777" w:rsidR="0043729F" w:rsidRPr="007901A4" w:rsidRDefault="007C0881" w:rsidP="00AD3F59">
      <w:pPr>
        <w:pStyle w:val="Points"/>
        <w:numPr>
          <w:ilvl w:val="0"/>
          <w:numId w:val="0"/>
        </w:numPr>
        <w:jc w:val="both"/>
        <w:rPr>
          <w:lang w:val="en"/>
        </w:rPr>
      </w:pPr>
      <w:r>
        <w:rPr>
          <w:lang w:val="en"/>
        </w:rPr>
        <w:t>Further, t</w:t>
      </w:r>
      <w:r w:rsidR="0043729F" w:rsidRPr="007901A4">
        <w:rPr>
          <w:lang w:val="en"/>
        </w:rPr>
        <w:t xml:space="preserve">he global steel industry’s crude steelmaking capacity continues to increase. The amount of steelmaking capacity closed between January and December 2016 was offset by new capacity additions, resulting in a net increase of 32.4 million </w:t>
      </w:r>
      <w:proofErr w:type="spellStart"/>
      <w:r w:rsidR="0043729F" w:rsidRPr="007901A4">
        <w:rPr>
          <w:lang w:val="en"/>
        </w:rPr>
        <w:t>tonnes</w:t>
      </w:r>
      <w:proofErr w:type="spellEnd"/>
      <w:r w:rsidR="0043729F" w:rsidRPr="007901A4">
        <w:rPr>
          <w:lang w:val="en"/>
        </w:rPr>
        <w:t xml:space="preserve"> per year (</w:t>
      </w:r>
      <w:proofErr w:type="spellStart"/>
      <w:r w:rsidR="0043729F" w:rsidRPr="007901A4">
        <w:rPr>
          <w:lang w:val="en"/>
        </w:rPr>
        <w:t>tpy</w:t>
      </w:r>
      <w:proofErr w:type="spellEnd"/>
      <w:r w:rsidR="0043729F" w:rsidRPr="007901A4">
        <w:rPr>
          <w:lang w:val="en"/>
        </w:rPr>
        <w:t>) in 2016 (1.4</w:t>
      </w:r>
      <w:r>
        <w:rPr>
          <w:lang w:val="en"/>
        </w:rPr>
        <w:t> per cent</w:t>
      </w:r>
      <w:r w:rsidR="0043729F" w:rsidRPr="007901A4">
        <w:rPr>
          <w:lang w:val="en"/>
        </w:rPr>
        <w:t>)</w:t>
      </w:r>
      <w:r>
        <w:rPr>
          <w:lang w:val="en"/>
        </w:rPr>
        <w:t>,</w:t>
      </w:r>
      <w:r w:rsidR="0043729F" w:rsidRPr="007901A4">
        <w:rPr>
          <w:lang w:val="en"/>
        </w:rPr>
        <w:t xml:space="preserve"> to a level of 2,389.7 million </w:t>
      </w:r>
      <w:proofErr w:type="spellStart"/>
      <w:r w:rsidR="0043729F" w:rsidRPr="007901A4">
        <w:rPr>
          <w:lang w:val="en"/>
        </w:rPr>
        <w:t>tpy</w:t>
      </w:r>
      <w:proofErr w:type="spellEnd"/>
      <w:r w:rsidR="0043729F" w:rsidRPr="007901A4">
        <w:rPr>
          <w:lang w:val="en"/>
        </w:rPr>
        <w:t xml:space="preserve"> from 2,357.3 million </w:t>
      </w:r>
      <w:proofErr w:type="spellStart"/>
      <w:r w:rsidR="0043729F" w:rsidRPr="007901A4">
        <w:rPr>
          <w:lang w:val="en"/>
        </w:rPr>
        <w:t>tpy</w:t>
      </w:r>
      <w:proofErr w:type="spellEnd"/>
      <w:r w:rsidR="0043729F" w:rsidRPr="007901A4">
        <w:rPr>
          <w:lang w:val="en"/>
        </w:rPr>
        <w:t xml:space="preserve"> in 2015.</w:t>
      </w:r>
      <w:r>
        <w:rPr>
          <w:rStyle w:val="FootnoteReference"/>
          <w:lang w:val="en"/>
        </w:rPr>
        <w:footnoteReference w:id="28"/>
      </w:r>
      <w:r>
        <w:rPr>
          <w:lang w:val="en"/>
        </w:rPr>
        <w:t xml:space="preserve"> Despite continuing excess capacity, the OECD </w:t>
      </w:r>
      <w:r w:rsidRPr="007C0881">
        <w:rPr>
          <w:lang w:val="en"/>
        </w:rPr>
        <w:t xml:space="preserve">Steel Committee noted </w:t>
      </w:r>
      <w:r>
        <w:rPr>
          <w:lang w:val="en"/>
        </w:rPr>
        <w:t xml:space="preserve">in March 2017 </w:t>
      </w:r>
      <w:r w:rsidRPr="007C0881">
        <w:rPr>
          <w:lang w:val="en"/>
        </w:rPr>
        <w:t>that</w:t>
      </w:r>
      <w:r>
        <w:rPr>
          <w:lang w:val="en"/>
        </w:rPr>
        <w:t xml:space="preserve"> available data</w:t>
      </w:r>
      <w:r w:rsidR="0043729F" w:rsidRPr="007901A4">
        <w:rPr>
          <w:lang w:val="en"/>
        </w:rPr>
        <w:t xml:space="preserve"> suggest</w:t>
      </w:r>
      <w:r>
        <w:rPr>
          <w:lang w:val="en"/>
        </w:rPr>
        <w:t>ed</w:t>
      </w:r>
      <w:r w:rsidR="0043729F" w:rsidRPr="007901A4">
        <w:rPr>
          <w:lang w:val="en"/>
        </w:rPr>
        <w:t xml:space="preserve"> that nearly 40 </w:t>
      </w:r>
      <w:r w:rsidR="00E90413" w:rsidRPr="00A91E2F">
        <w:rPr>
          <w:lang w:val="en"/>
        </w:rPr>
        <w:t xml:space="preserve">million metric </w:t>
      </w:r>
      <w:proofErr w:type="spellStart"/>
      <w:r w:rsidR="00E90413" w:rsidRPr="00A91E2F">
        <w:rPr>
          <w:lang w:val="en"/>
        </w:rPr>
        <w:t>tonnes</w:t>
      </w:r>
      <w:proofErr w:type="spellEnd"/>
      <w:r w:rsidR="00E90413" w:rsidRPr="00A91E2F">
        <w:rPr>
          <w:lang w:val="en"/>
        </w:rPr>
        <w:t xml:space="preserve"> (</w:t>
      </w:r>
      <w:proofErr w:type="spellStart"/>
      <w:r w:rsidR="00E90413" w:rsidRPr="00A91E2F">
        <w:rPr>
          <w:lang w:val="en"/>
        </w:rPr>
        <w:t>mmt</w:t>
      </w:r>
      <w:proofErr w:type="spellEnd"/>
      <w:r w:rsidR="00E90413" w:rsidRPr="00A91E2F">
        <w:rPr>
          <w:lang w:val="en"/>
        </w:rPr>
        <w:t>)</w:t>
      </w:r>
      <w:r w:rsidR="00E90413">
        <w:rPr>
          <w:lang w:val="en"/>
        </w:rPr>
        <w:t xml:space="preserve"> </w:t>
      </w:r>
      <w:r w:rsidR="0043729F" w:rsidRPr="007901A4">
        <w:rPr>
          <w:lang w:val="en"/>
        </w:rPr>
        <w:t xml:space="preserve">of gross capacity additions are currently underway and could come on stream during the three-year period of 2017-19, while an additional 53.6 </w:t>
      </w:r>
      <w:proofErr w:type="spellStart"/>
      <w:r w:rsidR="0043729F" w:rsidRPr="007901A4">
        <w:rPr>
          <w:lang w:val="en"/>
        </w:rPr>
        <w:t>mmt</w:t>
      </w:r>
      <w:proofErr w:type="spellEnd"/>
      <w:r w:rsidR="0043729F" w:rsidRPr="007901A4">
        <w:rPr>
          <w:lang w:val="en"/>
        </w:rPr>
        <w:t xml:space="preserve"> of capacity additions are in the planning stages for possible start-up during the same time period</w:t>
      </w:r>
      <w:r>
        <w:rPr>
          <w:lang w:val="en"/>
        </w:rPr>
        <w:t>.</w:t>
      </w:r>
    </w:p>
    <w:p w14:paraId="44B72180" w14:textId="034048CC" w:rsidR="00A91E2F" w:rsidRDefault="00A91E2F" w:rsidP="00AD3F59">
      <w:pPr>
        <w:pStyle w:val="Points"/>
        <w:numPr>
          <w:ilvl w:val="0"/>
          <w:numId w:val="0"/>
        </w:numPr>
        <w:jc w:val="both"/>
        <w:rPr>
          <w:lang w:val="en"/>
        </w:rPr>
      </w:pPr>
      <w:r w:rsidRPr="00A91E2F">
        <w:rPr>
          <w:lang w:val="en"/>
        </w:rPr>
        <w:t>In 2016, world steel production increased by 0.8 per cent to 1,628.5</w:t>
      </w:r>
      <w:r w:rsidR="00E90413">
        <w:rPr>
          <w:lang w:val="en"/>
        </w:rPr>
        <w:t xml:space="preserve"> </w:t>
      </w:r>
      <w:proofErr w:type="spellStart"/>
      <w:r w:rsidR="00E90413">
        <w:rPr>
          <w:lang w:val="en"/>
        </w:rPr>
        <w:t>mmt</w:t>
      </w:r>
      <w:proofErr w:type="spellEnd"/>
      <w:r w:rsidRPr="00A91E2F">
        <w:rPr>
          <w:lang w:val="en"/>
        </w:rPr>
        <w:t xml:space="preserve">, driven, in large part, by a 1.2 per cent increase in China (to 808.4 </w:t>
      </w:r>
      <w:proofErr w:type="spellStart"/>
      <w:r w:rsidRPr="00A91E2F">
        <w:rPr>
          <w:lang w:val="en"/>
        </w:rPr>
        <w:t>mmt</w:t>
      </w:r>
      <w:proofErr w:type="spellEnd"/>
      <w:r w:rsidRPr="00A91E2F">
        <w:rPr>
          <w:lang w:val="en"/>
        </w:rPr>
        <w:t>) and rapid growth of 7 per cent in the Middle East.</w:t>
      </w:r>
      <w:r w:rsidRPr="00A91E2F">
        <w:rPr>
          <w:vertAlign w:val="superscript"/>
          <w:lang w:val="en"/>
        </w:rPr>
        <w:footnoteReference w:id="29"/>
      </w:r>
      <w:r w:rsidRPr="00A91E2F">
        <w:rPr>
          <w:lang w:val="en"/>
        </w:rPr>
        <w:t xml:space="preserve"> </w:t>
      </w:r>
      <w:r w:rsidR="00940EE4">
        <w:rPr>
          <w:lang w:val="en"/>
        </w:rPr>
        <w:t>This followed a fall of 3.3 per cent in 2015.</w:t>
      </w:r>
      <w:r w:rsidR="00940EE4">
        <w:rPr>
          <w:rStyle w:val="FootnoteReference"/>
          <w:lang w:val="en"/>
        </w:rPr>
        <w:footnoteReference w:id="30"/>
      </w:r>
      <w:r w:rsidR="00940EE4">
        <w:rPr>
          <w:lang w:val="en"/>
        </w:rPr>
        <w:t xml:space="preserve"> </w:t>
      </w:r>
      <w:r w:rsidRPr="00A91E2F">
        <w:rPr>
          <w:lang w:val="en"/>
        </w:rPr>
        <w:t xml:space="preserve">Annual world steel production is forecast to continue to grow—at </w:t>
      </w:r>
      <w:r w:rsidR="00AC4FE8">
        <w:rPr>
          <w:lang w:val="en"/>
        </w:rPr>
        <w:t>4.1</w:t>
      </w:r>
      <w:r w:rsidRPr="00A91E2F">
        <w:rPr>
          <w:lang w:val="en"/>
        </w:rPr>
        <w:t xml:space="preserve"> per cent in 2017, </w:t>
      </w:r>
      <w:r w:rsidR="00AC4FE8">
        <w:rPr>
          <w:lang w:val="en"/>
        </w:rPr>
        <w:t>0.7</w:t>
      </w:r>
      <w:r w:rsidRPr="00A91E2F">
        <w:rPr>
          <w:lang w:val="en"/>
        </w:rPr>
        <w:t xml:space="preserve"> per cent in 2018 and 0.</w:t>
      </w:r>
      <w:r w:rsidR="00AC4FE8">
        <w:rPr>
          <w:lang w:val="en"/>
        </w:rPr>
        <w:t>7</w:t>
      </w:r>
      <w:r w:rsidR="00AC4FE8" w:rsidRPr="00A91E2F">
        <w:rPr>
          <w:lang w:val="en"/>
        </w:rPr>
        <w:t xml:space="preserve"> </w:t>
      </w:r>
      <w:r w:rsidRPr="00A91E2F">
        <w:rPr>
          <w:lang w:val="en"/>
        </w:rPr>
        <w:t>per cent in 2019. A marginal decline in Chinese steel production (as infrastructure and construction activity there slows) is expected to be outweighed by strong steel production growth in the rest of the world, particularly in India.</w:t>
      </w:r>
      <w:r w:rsidRPr="00A91E2F">
        <w:rPr>
          <w:vertAlign w:val="superscript"/>
          <w:lang w:val="en"/>
        </w:rPr>
        <w:footnoteReference w:id="31"/>
      </w:r>
    </w:p>
    <w:p w14:paraId="4B69D9F5" w14:textId="4D39C8CD" w:rsidR="00725C82" w:rsidRDefault="007D09DB" w:rsidP="00AD3F59">
      <w:pPr>
        <w:pStyle w:val="Points"/>
        <w:numPr>
          <w:ilvl w:val="0"/>
          <w:numId w:val="0"/>
        </w:numPr>
        <w:jc w:val="both"/>
      </w:pPr>
      <w:r w:rsidRPr="007D09DB">
        <w:t xml:space="preserve">India’s steel production </w:t>
      </w:r>
      <w:r w:rsidR="00725C82">
        <w:t>grew at a</w:t>
      </w:r>
      <w:r w:rsidR="00725C82" w:rsidRPr="00725C82">
        <w:t xml:space="preserve"> relatively subdued </w:t>
      </w:r>
      <w:r w:rsidR="00725C82">
        <w:t>r</w:t>
      </w:r>
      <w:r w:rsidR="00725C82" w:rsidRPr="00725C82">
        <w:t>at</w:t>
      </w:r>
      <w:r w:rsidR="00725C82">
        <w:t>e of</w:t>
      </w:r>
      <w:r w:rsidR="00725C82" w:rsidRPr="00725C82">
        <w:t xml:space="preserve"> 2.4 per cent year-on-year in the three months to July</w:t>
      </w:r>
      <w:r w:rsidR="00725C82">
        <w:t xml:space="preserve">, following </w:t>
      </w:r>
      <w:r w:rsidR="00725C82" w:rsidRPr="00725C82">
        <w:t xml:space="preserve">the double-digit growth of late 2016 and early 2017 </w:t>
      </w:r>
      <w:r w:rsidR="00725C82">
        <w:t>when</w:t>
      </w:r>
      <w:r w:rsidRPr="007D09DB">
        <w:t xml:space="preserve"> new capacity continued to be completed.</w:t>
      </w:r>
      <w:r>
        <w:t xml:space="preserve"> </w:t>
      </w:r>
      <w:r w:rsidR="00725C82" w:rsidRPr="00725C82">
        <w:t xml:space="preserve">Strong steel production growth is forecast for 2018 and 2019, supported by ongoing new additions to capacity, and accelerating demand growth from government investment in urban development and infrastructure. </w:t>
      </w:r>
      <w:r w:rsidR="000942D7">
        <w:t>India’s N</w:t>
      </w:r>
      <w:r w:rsidR="00725C82" w:rsidRPr="00725C82">
        <w:t>ational Steel Policy 2017</w:t>
      </w:r>
      <w:r w:rsidR="000942D7">
        <w:t xml:space="preserve"> sets </w:t>
      </w:r>
      <w:r w:rsidR="00725C82" w:rsidRPr="00725C82">
        <w:t xml:space="preserve">official targets </w:t>
      </w:r>
      <w:r w:rsidR="000942D7">
        <w:t>for growth in the steel industry</w:t>
      </w:r>
      <w:r w:rsidR="00725C82">
        <w:t>.</w:t>
      </w:r>
      <w:r w:rsidR="000942D7">
        <w:rPr>
          <w:rStyle w:val="FootnoteReference"/>
        </w:rPr>
        <w:footnoteReference w:id="32"/>
      </w:r>
    </w:p>
    <w:p w14:paraId="408D00D8" w14:textId="74E10955" w:rsidR="007D09DB" w:rsidRPr="00A91E2F" w:rsidRDefault="007D09DB" w:rsidP="000942D7">
      <w:pPr>
        <w:pStyle w:val="Default"/>
        <w:jc w:val="both"/>
        <w:rPr>
          <w:lang w:val="en"/>
        </w:rPr>
      </w:pPr>
      <w:r w:rsidRPr="00DE4AA9">
        <w:rPr>
          <w:sz w:val="22"/>
          <w:szCs w:val="22"/>
        </w:rPr>
        <w:t xml:space="preserve">Steel production in the rest of the world (excluding China and India) </w:t>
      </w:r>
      <w:r w:rsidR="00267C77" w:rsidRPr="00DE4AA9">
        <w:rPr>
          <w:sz w:val="22"/>
          <w:szCs w:val="22"/>
        </w:rPr>
        <w:t xml:space="preserve">has </w:t>
      </w:r>
      <w:r w:rsidR="000942D7" w:rsidRPr="00DE4AA9">
        <w:rPr>
          <w:sz w:val="22"/>
          <w:szCs w:val="22"/>
        </w:rPr>
        <w:t>continue</w:t>
      </w:r>
      <w:r w:rsidR="00267C77" w:rsidRPr="00DE4AA9">
        <w:rPr>
          <w:sz w:val="22"/>
          <w:szCs w:val="22"/>
        </w:rPr>
        <w:t>d</w:t>
      </w:r>
      <w:r w:rsidR="000942D7" w:rsidRPr="00DE4AA9">
        <w:rPr>
          <w:sz w:val="22"/>
          <w:szCs w:val="22"/>
        </w:rPr>
        <w:t xml:space="preserve"> to grow, reflecting an ongoing, steady improvement in global business confidence and industrial production indicators, and new additions to steel production capacity. In 2018 and 2019</w:t>
      </w:r>
      <w:r w:rsidR="00267C77" w:rsidRPr="00DE4AA9">
        <w:rPr>
          <w:sz w:val="22"/>
          <w:szCs w:val="22"/>
        </w:rPr>
        <w:t>,</w:t>
      </w:r>
      <w:r w:rsidR="000942D7" w:rsidRPr="00DE4AA9">
        <w:rPr>
          <w:sz w:val="22"/>
          <w:szCs w:val="22"/>
        </w:rPr>
        <w:t xml:space="preserve"> the pace of production growth across the rest of the world is forecast to slow but remain relatively robust, supported by an ongoing recovery in developed economies and accelerating growth in emerging markets and developing economies.</w:t>
      </w:r>
      <w:r w:rsidRPr="00DE4AA9">
        <w:rPr>
          <w:rStyle w:val="FootnoteReference"/>
          <w:sz w:val="22"/>
          <w:szCs w:val="22"/>
        </w:rPr>
        <w:footnoteReference w:id="33"/>
      </w:r>
      <w:r w:rsidR="00267C77" w:rsidRPr="00DE4AA9">
        <w:rPr>
          <w:sz w:val="22"/>
          <w:szCs w:val="22"/>
        </w:rPr>
        <w:t xml:space="preserve"> Crude steel production growth is expected to outpace crude steel consumption growth in 2018 and 2019, maintaining the imbalance between demand and production.</w:t>
      </w:r>
      <w:r w:rsidR="00267C77">
        <w:rPr>
          <w:rStyle w:val="FootnoteReference"/>
        </w:rPr>
        <w:footnoteReference w:id="34"/>
      </w:r>
    </w:p>
    <w:p w14:paraId="188487F9" w14:textId="77777777" w:rsidR="0007171B" w:rsidRDefault="007D09DB" w:rsidP="00A74A36">
      <w:pPr>
        <w:pStyle w:val="Points"/>
        <w:numPr>
          <w:ilvl w:val="0"/>
          <w:numId w:val="0"/>
        </w:numPr>
        <w:jc w:val="both"/>
      </w:pPr>
      <w:r w:rsidRPr="00415CF2">
        <w:t>T</w:t>
      </w:r>
      <w:r w:rsidR="00A91E2F" w:rsidRPr="00415CF2">
        <w:t xml:space="preserve">here are risks that global production will exceed demand by a greater amount than forecast </w:t>
      </w:r>
      <w:r w:rsidR="00A74A36">
        <w:t>if</w:t>
      </w:r>
      <w:r w:rsidR="00A91E2F" w:rsidRPr="00415CF2">
        <w:t xml:space="preserve"> governments </w:t>
      </w:r>
      <w:r w:rsidR="00A91E2F">
        <w:t xml:space="preserve">prioritise economic growth and stability over policy measures to address excess capacity. For example, after a decline in production in 2016, Chinese crude steel production reached a record level in </w:t>
      </w:r>
      <w:r w:rsidR="00FE2D7B">
        <w:t xml:space="preserve">June </w:t>
      </w:r>
      <w:r w:rsidR="00A91E2F">
        <w:t>2017</w:t>
      </w:r>
      <w:r w:rsidR="0098479F">
        <w:t>, based on World Steel Association data (see Figure 4.1)</w:t>
      </w:r>
      <w:r w:rsidR="00A91E2F">
        <w:t>.</w:t>
      </w:r>
      <w:r w:rsidR="00A74A36">
        <w:t xml:space="preserve"> </w:t>
      </w:r>
      <w:r w:rsidR="0090659D">
        <w:t>T</w:t>
      </w:r>
      <w:r w:rsidR="00A74A36">
        <w:t xml:space="preserve">he increase in production, in response to higher steel prices, </w:t>
      </w:r>
      <w:r w:rsidR="00A74A36" w:rsidRPr="00A74A36">
        <w:t xml:space="preserve">may </w:t>
      </w:r>
      <w:r w:rsidR="00A74A36">
        <w:t>reflect</w:t>
      </w:r>
      <w:r w:rsidR="00A74A36" w:rsidRPr="00A74A36">
        <w:t xml:space="preserve"> speculative stockpiling and futures trading, due to concerns of supply shortages following government announcements on the winter curtailment policy and supply-side reforms.</w:t>
      </w:r>
      <w:r w:rsidR="00A74A36">
        <w:rPr>
          <w:rStyle w:val="FootnoteReference"/>
        </w:rPr>
        <w:footnoteReference w:id="35"/>
      </w:r>
      <w:r w:rsidR="00A74A36" w:rsidRPr="00A74A36">
        <w:t xml:space="preserve"> </w:t>
      </w:r>
    </w:p>
    <w:p w14:paraId="696E84B6" w14:textId="29E15DF5" w:rsidR="00A74A36" w:rsidRPr="00A74A36" w:rsidRDefault="0090659D" w:rsidP="00A74A36">
      <w:pPr>
        <w:pStyle w:val="Points"/>
        <w:numPr>
          <w:ilvl w:val="0"/>
          <w:numId w:val="0"/>
        </w:numPr>
        <w:jc w:val="both"/>
      </w:pPr>
      <w:r>
        <w:t xml:space="preserve">However, in the </w:t>
      </w:r>
      <w:r w:rsidR="00320D31">
        <w:t xml:space="preserve">short to </w:t>
      </w:r>
      <w:r>
        <w:t>medium-term, w</w:t>
      </w:r>
      <w:r w:rsidRPr="0090659D">
        <w:t>ith small, less efficient mills</w:t>
      </w:r>
      <w:r w:rsidR="00320D31">
        <w:t xml:space="preserve"> and </w:t>
      </w:r>
      <w:r w:rsidRPr="0090659D">
        <w:t>smelters being squeezed out of the industry in China—in order to raise the efficiency of energy usage in Chinese industry—the remaining large/efficient producers face reduced competition. The resultant increased margins for those surviving producers has tended, and will tend, to encourage increased production, eventually restoring Chinese production to pre-rationalisation levels.</w:t>
      </w:r>
      <w:r w:rsidR="0007171B">
        <w:rPr>
          <w:rStyle w:val="FootnoteReference"/>
        </w:rPr>
        <w:footnoteReference w:id="36"/>
      </w:r>
    </w:p>
    <w:p w14:paraId="77E727BD" w14:textId="77777777" w:rsidR="000252CF" w:rsidRPr="002F4183" w:rsidRDefault="000252CF" w:rsidP="000252CF">
      <w:pPr>
        <w:keepNext/>
        <w:keepLines/>
        <w:pBdr>
          <w:top w:val="single" w:sz="2" w:space="1" w:color="595A5B"/>
        </w:pBdr>
        <w:spacing w:before="12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4</w:t>
      </w:r>
      <w:r w:rsidRPr="002F4183">
        <w:rPr>
          <w:rFonts w:ascii="Arial" w:hAnsi="Arial"/>
          <w:bCs/>
          <w:color w:val="5B9BD5" w:themeColor="accent1"/>
          <w:sz w:val="18"/>
          <w:szCs w:val="18"/>
        </w:rPr>
        <w:t>.</w:t>
      </w:r>
      <w:r>
        <w:rPr>
          <w:rFonts w:ascii="Arial" w:hAnsi="Arial"/>
          <w:bCs/>
          <w:color w:val="5B9BD5" w:themeColor="accent1"/>
          <w:sz w:val="18"/>
          <w:szCs w:val="18"/>
        </w:rPr>
        <w:t>1</w:t>
      </w:r>
      <w:r w:rsidRPr="002F4183">
        <w:rPr>
          <w:rFonts w:ascii="Arial" w:hAnsi="Arial"/>
          <w:bCs/>
          <w:color w:val="5B9BD5" w:themeColor="accent1"/>
          <w:sz w:val="18"/>
          <w:szCs w:val="18"/>
        </w:rPr>
        <w:t xml:space="preserve">: </w:t>
      </w:r>
      <w:r w:rsidRPr="00761294">
        <w:rPr>
          <w:rFonts w:ascii="Arial" w:hAnsi="Arial"/>
          <w:bCs/>
          <w:color w:val="5B9BD5" w:themeColor="accent1"/>
          <w:sz w:val="18"/>
          <w:szCs w:val="18"/>
        </w:rPr>
        <w:t xml:space="preserve">Chinese crude steel production, </w:t>
      </w:r>
      <w:r>
        <w:rPr>
          <w:rFonts w:ascii="Arial" w:hAnsi="Arial"/>
          <w:bCs/>
          <w:color w:val="5B9BD5" w:themeColor="accent1"/>
          <w:sz w:val="18"/>
          <w:szCs w:val="18"/>
        </w:rPr>
        <w:t>January 2000</w:t>
      </w:r>
      <w:r w:rsidRPr="00761294">
        <w:rPr>
          <w:rFonts w:ascii="Arial" w:hAnsi="Arial"/>
          <w:bCs/>
          <w:color w:val="5B9BD5" w:themeColor="accent1"/>
          <w:sz w:val="18"/>
          <w:szCs w:val="18"/>
        </w:rPr>
        <w:t xml:space="preserve"> to June 2017</w:t>
      </w:r>
    </w:p>
    <w:p w14:paraId="79EC8235" w14:textId="77777777" w:rsidR="000252CF" w:rsidRDefault="000252CF" w:rsidP="000252CF">
      <w:pPr>
        <w:keepNext/>
        <w:keepLines/>
        <w:jc w:val="center"/>
        <w:rPr>
          <w:rFonts w:ascii="Arial" w:eastAsia="Times New Roman" w:hAnsi="Arial" w:cs="Arial"/>
          <w:color w:val="22789A"/>
          <w:sz w:val="16"/>
          <w:szCs w:val="20"/>
        </w:rPr>
      </w:pPr>
      <w:r>
        <w:rPr>
          <w:noProof/>
          <w:lang w:eastAsia="en-AU"/>
        </w:rPr>
        <w:drawing>
          <wp:inline distT="0" distB="0" distL="0" distR="0" wp14:anchorId="3904F005" wp14:editId="0D78B428">
            <wp:extent cx="5731510" cy="2623185"/>
            <wp:effectExtent l="0" t="0" r="2540" b="571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14C1189" w14:textId="77777777" w:rsidR="000252CF" w:rsidRPr="002F4183" w:rsidRDefault="000252CF" w:rsidP="000252CF">
      <w:pPr>
        <w:keepNext/>
        <w:keepLines/>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Pr>
          <w:rFonts w:ascii="Arial" w:eastAsia="Times New Roman" w:hAnsi="Arial" w:cs="Arial"/>
          <w:color w:val="22789A"/>
          <w:sz w:val="16"/>
          <w:szCs w:val="20"/>
        </w:rPr>
        <w:t>Monthly data</w:t>
      </w:r>
      <w:r w:rsidRPr="002F4183">
        <w:rPr>
          <w:rFonts w:ascii="Arial" w:eastAsia="Times New Roman" w:hAnsi="Arial" w:cs="Arial"/>
          <w:color w:val="22789A"/>
          <w:sz w:val="16"/>
          <w:szCs w:val="20"/>
        </w:rPr>
        <w:t>.</w:t>
      </w:r>
    </w:p>
    <w:p w14:paraId="5E4965FF" w14:textId="77777777" w:rsidR="000252CF" w:rsidRPr="001856CC" w:rsidRDefault="000252CF" w:rsidP="000252CF">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 </w:t>
      </w:r>
      <w:r w:rsidRPr="00C52003">
        <w:rPr>
          <w:rFonts w:ascii="Arial" w:eastAsia="Times New Roman" w:hAnsi="Arial" w:cs="Arial"/>
          <w:color w:val="22789A"/>
          <w:sz w:val="16"/>
          <w:szCs w:val="20"/>
        </w:rPr>
        <w:t>Bloomberg (2017) World Steel Association</w:t>
      </w:r>
      <w:r w:rsidRPr="002F4183">
        <w:rPr>
          <w:rFonts w:ascii="Arial" w:eastAsia="Times New Roman" w:hAnsi="Arial" w:cs="Arial"/>
          <w:color w:val="22789A"/>
          <w:sz w:val="16"/>
          <w:szCs w:val="20"/>
        </w:rPr>
        <w:t>.</w:t>
      </w:r>
    </w:p>
    <w:p w14:paraId="40DACE71" w14:textId="77777777" w:rsidR="007D09DB" w:rsidRDefault="007D09DB" w:rsidP="007D09DB">
      <w:pPr>
        <w:pStyle w:val="Points"/>
        <w:numPr>
          <w:ilvl w:val="0"/>
          <w:numId w:val="0"/>
        </w:numPr>
      </w:pPr>
      <w:r>
        <w:t xml:space="preserve">In regard to global trade in primary steel products, </w:t>
      </w:r>
      <w:r w:rsidRPr="007D09DB">
        <w:t>Chinese steel exports were down by 26 per cent in the first five months of 2017</w:t>
      </w:r>
      <w:r w:rsidR="002C5014">
        <w:t xml:space="preserve">, partly due to stronger domestic demand and partly due to </w:t>
      </w:r>
      <w:r w:rsidR="004129B4">
        <w:t>increasing trade restrictions in other countries on Chinese imports</w:t>
      </w:r>
      <w:r w:rsidRPr="007D09DB">
        <w:t>.</w:t>
      </w:r>
      <w:r w:rsidRPr="007D09DB">
        <w:rPr>
          <w:vertAlign w:val="superscript"/>
        </w:rPr>
        <w:footnoteReference w:id="37"/>
      </w:r>
      <w:r w:rsidRPr="007D09DB">
        <w:t xml:space="preserve"> </w:t>
      </w:r>
      <w:r w:rsidR="0098479F">
        <w:t>In India, d</w:t>
      </w:r>
      <w:r w:rsidRPr="007D09DB">
        <w:t xml:space="preserve">omestic consumption has not entirely absorbed growing </w:t>
      </w:r>
      <w:r w:rsidR="0098479F">
        <w:t xml:space="preserve">steel </w:t>
      </w:r>
      <w:r w:rsidRPr="007D09DB">
        <w:t xml:space="preserve">output </w:t>
      </w:r>
      <w:r w:rsidR="00510968">
        <w:t xml:space="preserve">and </w:t>
      </w:r>
      <w:r w:rsidRPr="007D09DB">
        <w:t>exports of steel have surged</w:t>
      </w:r>
      <w:r>
        <w:t>,</w:t>
      </w:r>
      <w:r w:rsidRPr="007D09DB">
        <w:t xml:space="preserve"> although from a low base</w:t>
      </w:r>
      <w:r w:rsidR="00510968">
        <w:t xml:space="preserve">, </w:t>
      </w:r>
      <w:r w:rsidRPr="007D09DB">
        <w:t xml:space="preserve">growing by 142 per cent year-on-year in April 2017. </w:t>
      </w:r>
      <w:r w:rsidR="004129B4">
        <w:t>Indian s</w:t>
      </w:r>
      <w:r w:rsidRPr="007D09DB">
        <w:t>teel imports decreased by 23 per cent over the same period, driven by both increased domestic production and restrictive trade policies. India remains on track to overtake Japan as the world’s second largest steel producer in 2018, with production forecast to grow by 7.0 per cent to 110 million tonnes, and by a further 6.3 per cent in 2019 to 117 million tonnes.</w:t>
      </w:r>
      <w:r w:rsidR="004129B4">
        <w:rPr>
          <w:rStyle w:val="FootnoteReference"/>
        </w:rPr>
        <w:footnoteReference w:id="38"/>
      </w:r>
      <w:r w:rsidRPr="007D09DB">
        <w:t xml:space="preserve"> </w:t>
      </w:r>
    </w:p>
    <w:p w14:paraId="252E8C16" w14:textId="4D80D382" w:rsidR="00934569" w:rsidRDefault="00934569" w:rsidP="00934569">
      <w:pPr>
        <w:pStyle w:val="Heading3"/>
      </w:pPr>
      <w:r>
        <w:t>China’s steel fabricati</w:t>
      </w:r>
      <w:r w:rsidR="006C6A97">
        <w:t>o</w:t>
      </w:r>
      <w:r>
        <w:t>n industry</w:t>
      </w:r>
    </w:p>
    <w:p w14:paraId="05C0E2F7" w14:textId="24BDB0D5" w:rsidR="00CC0393" w:rsidRDefault="00A65740" w:rsidP="006C6A97">
      <w:pPr>
        <w:pStyle w:val="Points"/>
        <w:numPr>
          <w:ilvl w:val="0"/>
          <w:numId w:val="0"/>
        </w:numPr>
        <w:jc w:val="both"/>
      </w:pPr>
      <w:r>
        <w:t>The Commission has found limited</w:t>
      </w:r>
      <w:r w:rsidR="00747165">
        <w:t xml:space="preserve"> information</w:t>
      </w:r>
      <w:r>
        <w:t xml:space="preserve"> and analysis</w:t>
      </w:r>
      <w:r w:rsidR="00747165">
        <w:t xml:space="preserve"> is </w:t>
      </w:r>
      <w:r>
        <w:t xml:space="preserve">publicly </w:t>
      </w:r>
      <w:r w:rsidR="00747165">
        <w:t xml:space="preserve">available </w:t>
      </w:r>
      <w:r w:rsidR="00934569">
        <w:t xml:space="preserve">on the global steel </w:t>
      </w:r>
      <w:r w:rsidR="002101E3">
        <w:t>fabricati</w:t>
      </w:r>
      <w:r w:rsidR="006C6A97">
        <w:t>o</w:t>
      </w:r>
      <w:r w:rsidR="002101E3">
        <w:t xml:space="preserve">n </w:t>
      </w:r>
      <w:r w:rsidR="00934569">
        <w:t xml:space="preserve">industry. </w:t>
      </w:r>
    </w:p>
    <w:p w14:paraId="53CFCF55" w14:textId="7B3BED90" w:rsidR="00CC0393" w:rsidRDefault="00A65740" w:rsidP="006C6A97">
      <w:pPr>
        <w:pStyle w:val="Points"/>
        <w:numPr>
          <w:ilvl w:val="0"/>
          <w:numId w:val="0"/>
        </w:numPr>
        <w:jc w:val="both"/>
      </w:pPr>
      <w:r>
        <w:t>This section focuses on</w:t>
      </w:r>
      <w:r w:rsidR="00934569">
        <w:t xml:space="preserve"> China</w:t>
      </w:r>
      <w:r>
        <w:t xml:space="preserve"> as a major supplier of steel </w:t>
      </w:r>
      <w:r w:rsidR="002101E3">
        <w:t xml:space="preserve">fabricated </w:t>
      </w:r>
      <w:r>
        <w:t xml:space="preserve">products and a large supplier of steel </w:t>
      </w:r>
      <w:r w:rsidR="002101E3">
        <w:t xml:space="preserve">fabricated </w:t>
      </w:r>
      <w:r>
        <w:t>imports to Australia (see section 4.2 below)</w:t>
      </w:r>
      <w:r w:rsidR="00934569">
        <w:t>.</w:t>
      </w:r>
      <w:r w:rsidR="00CC0393">
        <w:t xml:space="preserve"> The Commission has drawn on information in a December 2016 IBISWorld report on the Chinese metal fabrication industry. While the report discusses metal fabrication as a whole, steel </w:t>
      </w:r>
      <w:r w:rsidR="002101E3">
        <w:t xml:space="preserve">fabricated </w:t>
      </w:r>
      <w:r w:rsidR="00CC0393">
        <w:t xml:space="preserve">products comprise the majority of industry output at 57.8 per cent, while the remainder of the industry consists of iron </w:t>
      </w:r>
      <w:r w:rsidR="00E90413">
        <w:t xml:space="preserve">fabricated </w:t>
      </w:r>
      <w:r w:rsidR="00CC0393">
        <w:t xml:space="preserve">products 21.7 per cent, aluminium </w:t>
      </w:r>
      <w:r w:rsidR="00E90413">
        <w:t xml:space="preserve">fabricated </w:t>
      </w:r>
      <w:r w:rsidR="00CC0393">
        <w:t>products 17.3 per cent, and other 3.2 per cent.</w:t>
      </w:r>
    </w:p>
    <w:p w14:paraId="6651D328" w14:textId="77777777" w:rsidR="00934569" w:rsidRDefault="00934569" w:rsidP="006C6A97">
      <w:pPr>
        <w:pStyle w:val="Points"/>
        <w:numPr>
          <w:ilvl w:val="0"/>
          <w:numId w:val="0"/>
        </w:numPr>
        <w:jc w:val="both"/>
      </w:pPr>
      <w:r w:rsidRPr="00C00925">
        <w:t>In the five-year period through 2016, the</w:t>
      </w:r>
      <w:r>
        <w:t xml:space="preserve"> </w:t>
      </w:r>
      <w:r w:rsidR="00A65740">
        <w:t xml:space="preserve">Chinese metal </w:t>
      </w:r>
      <w:r w:rsidRPr="00C00925">
        <w:t xml:space="preserve">fabrication industry </w:t>
      </w:r>
      <w:r w:rsidR="00A65740">
        <w:t xml:space="preserve">grew at an average </w:t>
      </w:r>
      <w:r w:rsidRPr="00C00925">
        <w:t>annuali</w:t>
      </w:r>
      <w:r w:rsidR="00A65740">
        <w:t>s</w:t>
      </w:r>
      <w:r w:rsidRPr="00C00925">
        <w:t xml:space="preserve">ed </w:t>
      </w:r>
      <w:r w:rsidR="00A65740">
        <w:t>rate</w:t>
      </w:r>
      <w:r w:rsidRPr="00C00925">
        <w:t xml:space="preserve"> of 8</w:t>
      </w:r>
      <w:r>
        <w:t xml:space="preserve"> per cent</w:t>
      </w:r>
      <w:r w:rsidRPr="00C00925">
        <w:t xml:space="preserve"> to </w:t>
      </w:r>
      <w:r w:rsidR="00A65740">
        <w:t xml:space="preserve">reach </w:t>
      </w:r>
      <w:r w:rsidRPr="00C00925">
        <w:t xml:space="preserve">$167 billion in 2016. </w:t>
      </w:r>
      <w:r w:rsidRPr="009A1047">
        <w:t>In 2016, Chinese exports were estimated to total $16.0 billion and account</w:t>
      </w:r>
      <w:r>
        <w:t>ed</w:t>
      </w:r>
      <w:r w:rsidRPr="009A1047">
        <w:t xml:space="preserve"> for 9.6</w:t>
      </w:r>
      <w:r w:rsidR="00A65740">
        <w:t xml:space="preserve"> per cent</w:t>
      </w:r>
      <w:r w:rsidRPr="009A1047">
        <w:t xml:space="preserve"> of total industry revenue.</w:t>
      </w:r>
      <w:r w:rsidRPr="00A65740">
        <w:rPr>
          <w:vertAlign w:val="superscript"/>
        </w:rPr>
        <w:footnoteReference w:id="39"/>
      </w:r>
      <w:r w:rsidRPr="00934569">
        <w:t xml:space="preserve"> </w:t>
      </w:r>
      <w:r w:rsidRPr="009A1047">
        <w:t xml:space="preserve">China Customs information indicated that the major export destinations in 2015 </w:t>
      </w:r>
      <w:r>
        <w:t>were</w:t>
      </w:r>
      <w:r w:rsidRPr="009A1047">
        <w:t xml:space="preserve"> Japan (10.6</w:t>
      </w:r>
      <w:r w:rsidR="00A65740">
        <w:t xml:space="preserve"> per cent</w:t>
      </w:r>
      <w:r w:rsidRPr="009A1047">
        <w:t xml:space="preserve"> of export value), South Korea (7.6</w:t>
      </w:r>
      <w:r w:rsidR="00A65740">
        <w:t xml:space="preserve"> per cent</w:t>
      </w:r>
      <w:r w:rsidRPr="009A1047">
        <w:t>), the United States (6.5</w:t>
      </w:r>
      <w:r w:rsidR="00A65740">
        <w:t xml:space="preserve"> per cent</w:t>
      </w:r>
      <w:r w:rsidRPr="009A1047">
        <w:t>), and Australia (6.0</w:t>
      </w:r>
      <w:r w:rsidR="00A65740">
        <w:t xml:space="preserve"> per cent</w:t>
      </w:r>
      <w:r w:rsidRPr="009A1047">
        <w:t>)</w:t>
      </w:r>
      <w:r>
        <w:t>.</w:t>
      </w:r>
      <w:r w:rsidRPr="00A65740">
        <w:rPr>
          <w:vertAlign w:val="superscript"/>
        </w:rPr>
        <w:footnoteReference w:id="40"/>
      </w:r>
      <w:r>
        <w:t xml:space="preserve"> </w:t>
      </w:r>
    </w:p>
    <w:p w14:paraId="6C1E9938" w14:textId="7EBE7E6F" w:rsidR="00934569" w:rsidRDefault="00A65740" w:rsidP="006C6A97">
      <w:pPr>
        <w:pStyle w:val="Points"/>
        <w:numPr>
          <w:ilvl w:val="0"/>
          <w:numId w:val="0"/>
        </w:numPr>
        <w:jc w:val="both"/>
      </w:pPr>
      <w:r>
        <w:t>In 2016, around</w:t>
      </w:r>
      <w:r w:rsidR="00934569">
        <w:t xml:space="preserve"> </w:t>
      </w:r>
      <w:r w:rsidR="00934569" w:rsidRPr="00605B98">
        <w:t xml:space="preserve">8,644 </w:t>
      </w:r>
      <w:r w:rsidR="00934569">
        <w:t>metal fabricating entities</w:t>
      </w:r>
      <w:r w:rsidR="00934569" w:rsidRPr="00605B98">
        <w:t xml:space="preserve"> operate</w:t>
      </w:r>
      <w:r>
        <w:t>d</w:t>
      </w:r>
      <w:r w:rsidR="00934569" w:rsidRPr="00605B98">
        <w:t xml:space="preserve"> in China, an increase from 6,585 in 2011, reflecting annuali</w:t>
      </w:r>
      <w:r w:rsidR="00E90413">
        <w:t>s</w:t>
      </w:r>
      <w:r w:rsidR="00934569" w:rsidRPr="00605B98">
        <w:t>ed growth of 5.6</w:t>
      </w:r>
      <w:r>
        <w:t xml:space="preserve"> per cent</w:t>
      </w:r>
      <w:r w:rsidR="00934569" w:rsidRPr="00605B98">
        <w:t xml:space="preserve"> over the period. </w:t>
      </w:r>
      <w:r w:rsidR="00934569" w:rsidRPr="004A031F">
        <w:t>Over the five years</w:t>
      </w:r>
      <w:r>
        <w:t xml:space="preserve"> to 2021</w:t>
      </w:r>
      <w:r w:rsidR="00934569" w:rsidRPr="004A031F">
        <w:t xml:space="preserve">, the number of enterprises </w:t>
      </w:r>
      <w:r>
        <w:t>was</w:t>
      </w:r>
      <w:r w:rsidR="00934569" w:rsidRPr="004A031F">
        <w:t xml:space="preserve"> forecast to increase at an annuali</w:t>
      </w:r>
      <w:r>
        <w:t>s</w:t>
      </w:r>
      <w:r w:rsidR="00934569" w:rsidRPr="004A031F">
        <w:t>ed rate of 4.3</w:t>
      </w:r>
      <w:r>
        <w:t xml:space="preserve"> per cent</w:t>
      </w:r>
      <w:r w:rsidR="00934569" w:rsidRPr="004A031F">
        <w:t xml:space="preserve"> to 10,689</w:t>
      </w:r>
      <w:r w:rsidR="00934569">
        <w:t>.</w:t>
      </w:r>
      <w:r w:rsidR="00934569" w:rsidRPr="00A65740">
        <w:rPr>
          <w:vertAlign w:val="superscript"/>
        </w:rPr>
        <w:footnoteReference w:id="41"/>
      </w:r>
      <w:r w:rsidR="00934569" w:rsidRPr="00A65740">
        <w:rPr>
          <w:vertAlign w:val="superscript"/>
        </w:rPr>
        <w:t xml:space="preserve"> </w:t>
      </w:r>
      <w:r>
        <w:t>T</w:t>
      </w:r>
      <w:r w:rsidR="00934569">
        <w:t xml:space="preserve">he </w:t>
      </w:r>
      <w:r w:rsidR="00934569" w:rsidRPr="00605B98">
        <w:t>industry employ</w:t>
      </w:r>
      <w:r>
        <w:t>ed</w:t>
      </w:r>
      <w:r w:rsidR="00934569" w:rsidRPr="00605B98">
        <w:t xml:space="preserve"> </w:t>
      </w:r>
      <w:r>
        <w:t>around</w:t>
      </w:r>
      <w:r w:rsidR="00934569" w:rsidRPr="00605B98">
        <w:t xml:space="preserve"> 1.3 million workers</w:t>
      </w:r>
      <w:r>
        <w:t xml:space="preserve"> in 2016</w:t>
      </w:r>
      <w:r w:rsidR="00934569">
        <w:t>.</w:t>
      </w:r>
      <w:r w:rsidR="00934569" w:rsidRPr="008F59B1">
        <w:rPr>
          <w:vertAlign w:val="superscript"/>
        </w:rPr>
        <w:footnoteReference w:id="42"/>
      </w:r>
      <w:r w:rsidR="00934569" w:rsidRPr="00934569">
        <w:t xml:space="preserve"> </w:t>
      </w:r>
    </w:p>
    <w:p w14:paraId="6CE8E490" w14:textId="77777777" w:rsidR="00113DB0" w:rsidRDefault="00113DB0" w:rsidP="00113DB0">
      <w:pPr>
        <w:pStyle w:val="Heading2"/>
      </w:pPr>
      <w:bookmarkStart w:id="53" w:name="_Toc487532416"/>
      <w:r w:rsidRPr="002B6DAE">
        <w:t>Australian steel imports</w:t>
      </w:r>
      <w:bookmarkEnd w:id="53"/>
    </w:p>
    <w:p w14:paraId="3D9565D1" w14:textId="77777777" w:rsidR="00113DB0" w:rsidRPr="002803CB" w:rsidRDefault="002803CB" w:rsidP="006C6A97">
      <w:pPr>
        <w:pStyle w:val="Points"/>
        <w:numPr>
          <w:ilvl w:val="0"/>
          <w:numId w:val="0"/>
        </w:numPr>
        <w:jc w:val="both"/>
      </w:pPr>
      <w:r>
        <w:t xml:space="preserve">Australia is a net importer of crude steel. In 2015, </w:t>
      </w:r>
      <w:r w:rsidR="00113DB0" w:rsidRPr="002803CB">
        <w:t xml:space="preserve">Australia’s production </w:t>
      </w:r>
      <w:r>
        <w:t xml:space="preserve">of crude steel </w:t>
      </w:r>
      <w:r w:rsidR="00113DB0" w:rsidRPr="002803CB">
        <w:t>was 4,925,000 metric tons, accounting for less than 0.3 per cent of world production. Australia’s apparent steel consumption was 6,968,000, with net imports making up the difference between production and consumption.</w:t>
      </w:r>
      <w:r w:rsidR="006672C5">
        <w:rPr>
          <w:rStyle w:val="FootnoteReference"/>
        </w:rPr>
        <w:footnoteReference w:id="43"/>
      </w:r>
    </w:p>
    <w:p w14:paraId="276FE65C" w14:textId="77777777" w:rsidR="002F41D4" w:rsidRDefault="00113DB0" w:rsidP="006C6A97">
      <w:pPr>
        <w:pStyle w:val="Points"/>
        <w:numPr>
          <w:ilvl w:val="0"/>
          <w:numId w:val="0"/>
        </w:numPr>
        <w:jc w:val="both"/>
      </w:pPr>
      <w:r w:rsidRPr="002803CB">
        <w:t>Australia is also a net importer of indirect steel. Indirect steel is the steel that is contained in manufactured goods, which includes fabricated and non-fabricated goods. In 2014, Australia exported 829,000 tons of indirect steel</w:t>
      </w:r>
      <w:r w:rsidR="00CF7A37">
        <w:t xml:space="preserve"> and</w:t>
      </w:r>
      <w:r w:rsidRPr="002803CB">
        <w:t xml:space="preserve"> imported 5,6</w:t>
      </w:r>
      <w:r w:rsidR="002F41D4">
        <w:t>56,000 tons of indirect steel.</w:t>
      </w:r>
      <w:r w:rsidR="00AC0A0D">
        <w:rPr>
          <w:rStyle w:val="FootnoteReference"/>
        </w:rPr>
        <w:footnoteReference w:id="44"/>
      </w:r>
      <w:r w:rsidR="002F41D4">
        <w:t xml:space="preserve"> </w:t>
      </w:r>
    </w:p>
    <w:p w14:paraId="0AE50C53" w14:textId="77777777" w:rsidR="00113DB0" w:rsidRDefault="002F41D4" w:rsidP="006C6A97">
      <w:pPr>
        <w:pStyle w:val="Points"/>
        <w:numPr>
          <w:ilvl w:val="0"/>
          <w:numId w:val="0"/>
        </w:numPr>
        <w:jc w:val="both"/>
      </w:pPr>
      <w:r>
        <w:t xml:space="preserve">The Commission has estimated that </w:t>
      </w:r>
      <w:r w:rsidR="00113DB0" w:rsidRPr="002803CB">
        <w:t>Australia imported $2.5</w:t>
      </w:r>
      <w:r w:rsidR="00CF7A37">
        <w:t> </w:t>
      </w:r>
      <w:r w:rsidR="00113DB0" w:rsidRPr="002803CB">
        <w:t>billion</w:t>
      </w:r>
      <w:r w:rsidR="00CF7A37">
        <w:t xml:space="preserve"> of </w:t>
      </w:r>
      <w:r w:rsidR="00345FA6">
        <w:t xml:space="preserve">selected </w:t>
      </w:r>
      <w:r w:rsidR="00CF7A37">
        <w:t xml:space="preserve">steel </w:t>
      </w:r>
      <w:r w:rsidR="002101E3">
        <w:t xml:space="preserve">manufactured/fabricated </w:t>
      </w:r>
      <w:r w:rsidR="00CF7A37">
        <w:t>products</w:t>
      </w:r>
      <w:r w:rsidR="00345FA6">
        <w:t xml:space="preserve"> (as defined in chapter 2)</w:t>
      </w:r>
      <w:r>
        <w:t xml:space="preserve"> in 2016</w:t>
      </w:r>
      <w:r w:rsidR="00113DB0" w:rsidRPr="002803CB">
        <w:t xml:space="preserve">. </w:t>
      </w:r>
      <w:r w:rsidR="00CF7A37">
        <w:t>More than</w:t>
      </w:r>
      <w:r w:rsidR="00113DB0" w:rsidRPr="002803CB">
        <w:t xml:space="preserve"> 50</w:t>
      </w:r>
      <w:r>
        <w:t> </w:t>
      </w:r>
      <w:r w:rsidR="00113DB0" w:rsidRPr="002803CB">
        <w:t>per cent of imports come from China (38.</w:t>
      </w:r>
      <w:r w:rsidR="00E90413" w:rsidRPr="002803CB">
        <w:t>9</w:t>
      </w:r>
      <w:r w:rsidR="00E90413">
        <w:t> </w:t>
      </w:r>
      <w:r w:rsidR="00113DB0" w:rsidRPr="002803CB">
        <w:t>per cent) and Thailand (22.0 per cent).</w:t>
      </w:r>
      <w:r>
        <w:t xml:space="preserve"> </w:t>
      </w:r>
    </w:p>
    <w:p w14:paraId="101688C6" w14:textId="77777777" w:rsidR="00487847" w:rsidRDefault="00487847" w:rsidP="006C6A97">
      <w:pPr>
        <w:spacing w:before="120" w:after="120"/>
        <w:jc w:val="both"/>
      </w:pPr>
      <w:r w:rsidRPr="00290420">
        <w:t xml:space="preserve">Chinese imports have </w:t>
      </w:r>
      <w:r>
        <w:t>grown</w:t>
      </w:r>
      <w:r w:rsidRPr="00290420">
        <w:t xml:space="preserve"> by </w:t>
      </w:r>
      <w:r>
        <w:t xml:space="preserve">an average </w:t>
      </w:r>
      <w:r w:rsidRPr="00290420">
        <w:t xml:space="preserve">15.4 per cent </w:t>
      </w:r>
      <w:r>
        <w:t>a year</w:t>
      </w:r>
      <w:r w:rsidRPr="00290420">
        <w:t xml:space="preserve">. This increase accounted for about half of the total </w:t>
      </w:r>
      <w:r>
        <w:t>increase in</w:t>
      </w:r>
      <w:r w:rsidRPr="00290420">
        <w:t xml:space="preserve"> imports</w:t>
      </w:r>
      <w:r>
        <w:t xml:space="preserve"> in the past decade</w:t>
      </w:r>
      <w:r w:rsidRPr="00290420">
        <w:t>.</w:t>
      </w:r>
    </w:p>
    <w:p w14:paraId="4B89C562" w14:textId="77777777" w:rsidR="00113DB0" w:rsidRPr="002F4183" w:rsidRDefault="00113DB0" w:rsidP="005F566C">
      <w:pPr>
        <w:keepNext/>
        <w:keepLines/>
        <w:pBdr>
          <w:top w:val="single" w:sz="2" w:space="1" w:color="595A5B"/>
        </w:pBdr>
        <w:spacing w:before="360" w:after="240" w:line="240" w:lineRule="atLeast"/>
        <w:jc w:val="both"/>
        <w:rPr>
          <w:rFonts w:ascii="Arial" w:hAnsi="Arial"/>
          <w:bCs/>
          <w:color w:val="5B9BD5" w:themeColor="accent1"/>
          <w:sz w:val="18"/>
          <w:szCs w:val="18"/>
        </w:rPr>
      </w:pPr>
      <w:r>
        <w:rPr>
          <w:rFonts w:ascii="Arial" w:hAnsi="Arial"/>
          <w:bCs/>
          <w:color w:val="5B9BD5" w:themeColor="accent1"/>
          <w:sz w:val="18"/>
          <w:szCs w:val="18"/>
        </w:rPr>
        <w:t xml:space="preserve">Figure </w:t>
      </w:r>
      <w:r w:rsidR="00CF7A37">
        <w:rPr>
          <w:rFonts w:ascii="Arial" w:hAnsi="Arial"/>
          <w:bCs/>
          <w:color w:val="5B9BD5" w:themeColor="accent1"/>
          <w:sz w:val="18"/>
          <w:szCs w:val="18"/>
        </w:rPr>
        <w:t>4.2</w:t>
      </w:r>
      <w:r w:rsidRPr="002F4183">
        <w:rPr>
          <w:rFonts w:ascii="Arial" w:hAnsi="Arial"/>
          <w:bCs/>
          <w:color w:val="5B9BD5" w:themeColor="accent1"/>
          <w:sz w:val="18"/>
          <w:szCs w:val="18"/>
        </w:rPr>
        <w:t xml:space="preserve">: Australian </w:t>
      </w:r>
      <w:r w:rsidR="002101E3">
        <w:rPr>
          <w:rFonts w:ascii="Arial" w:hAnsi="Arial"/>
          <w:bCs/>
          <w:color w:val="5B9BD5" w:themeColor="accent1"/>
          <w:sz w:val="18"/>
          <w:szCs w:val="18"/>
        </w:rPr>
        <w:t xml:space="preserve">steel </w:t>
      </w:r>
      <w:r w:rsidR="002101E3" w:rsidRPr="002101E3">
        <w:rPr>
          <w:rFonts w:ascii="Arial" w:hAnsi="Arial"/>
          <w:bCs/>
          <w:color w:val="5B9BD5" w:themeColor="accent1"/>
          <w:sz w:val="18"/>
          <w:szCs w:val="18"/>
        </w:rPr>
        <w:t>manufactured/fabricated</w:t>
      </w:r>
      <w:r>
        <w:rPr>
          <w:rFonts w:ascii="Arial" w:hAnsi="Arial"/>
          <w:bCs/>
          <w:color w:val="5B9BD5" w:themeColor="accent1"/>
          <w:sz w:val="18"/>
          <w:szCs w:val="18"/>
        </w:rPr>
        <w:t xml:space="preserve"> imports, 2006 to 2016</w:t>
      </w:r>
    </w:p>
    <w:p w14:paraId="7F6615F1" w14:textId="462FB369" w:rsidR="00113DB0" w:rsidRPr="002F4183" w:rsidRDefault="00D728D6" w:rsidP="005F566C">
      <w:pPr>
        <w:keepNext/>
        <w:keepLines/>
        <w:spacing w:after="200" w:line="276" w:lineRule="auto"/>
      </w:pPr>
      <w:r>
        <w:rPr>
          <w:noProof/>
          <w:lang w:eastAsia="en-AU"/>
        </w:rPr>
        <w:drawing>
          <wp:inline distT="0" distB="0" distL="0" distR="0" wp14:anchorId="1508B52C" wp14:editId="1C1F3C3D">
            <wp:extent cx="5731510" cy="2776855"/>
            <wp:effectExtent l="0" t="0" r="2540" b="444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noProof/>
          <w:lang w:eastAsia="en-AU"/>
        </w:rPr>
        <w:t xml:space="preserve"> </w:t>
      </w:r>
    </w:p>
    <w:p w14:paraId="0A64BA7C" w14:textId="77777777" w:rsidR="00113DB0" w:rsidRPr="002F4183" w:rsidRDefault="00113DB0" w:rsidP="005F566C">
      <w:pPr>
        <w:keepNext/>
        <w:keepLines/>
        <w:pBdr>
          <w:bottom w:val="single" w:sz="4" w:space="1" w:color="595A5B"/>
        </w:pBdr>
        <w:spacing w:before="120" w:after="12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Note: </w:t>
      </w:r>
      <w:r w:rsidRPr="00B94376">
        <w:rPr>
          <w:rFonts w:ascii="Arial" w:eastAsia="Times New Roman" w:hAnsi="Arial" w:cs="Arial"/>
          <w:color w:val="22789A"/>
          <w:sz w:val="16"/>
          <w:szCs w:val="20"/>
        </w:rPr>
        <w:t xml:space="preserve">This analysis does not include the </w:t>
      </w:r>
      <w:proofErr w:type="spellStart"/>
      <w:r w:rsidRPr="00B94376">
        <w:rPr>
          <w:rFonts w:ascii="Arial" w:eastAsia="Times New Roman" w:hAnsi="Arial" w:cs="Arial"/>
          <w:color w:val="22789A"/>
          <w:sz w:val="16"/>
          <w:szCs w:val="20"/>
        </w:rPr>
        <w:t>confidentialised</w:t>
      </w:r>
      <w:proofErr w:type="spellEnd"/>
      <w:r w:rsidRPr="00B94376">
        <w:rPr>
          <w:rFonts w:ascii="Arial" w:eastAsia="Times New Roman" w:hAnsi="Arial" w:cs="Arial"/>
          <w:color w:val="22789A"/>
          <w:sz w:val="16"/>
          <w:szCs w:val="20"/>
        </w:rPr>
        <w:t xml:space="preserve"> cells from the international trade dataset</w:t>
      </w:r>
      <w:r w:rsidRPr="002F4183">
        <w:rPr>
          <w:rFonts w:ascii="Arial" w:eastAsia="Times New Roman" w:hAnsi="Arial" w:cs="Arial"/>
          <w:color w:val="22789A"/>
          <w:sz w:val="16"/>
          <w:szCs w:val="20"/>
        </w:rPr>
        <w:t xml:space="preserve">. </w:t>
      </w:r>
    </w:p>
    <w:p w14:paraId="5552EB4E" w14:textId="77777777" w:rsidR="00113DB0" w:rsidRPr="002F4183" w:rsidRDefault="00113DB0" w:rsidP="00113DB0">
      <w:pPr>
        <w:keepLines/>
        <w:pBdr>
          <w:bottom w:val="single" w:sz="4" w:space="1" w:color="595A5B"/>
        </w:pBdr>
        <w:spacing w:before="120" w:after="240"/>
        <w:jc w:val="both"/>
        <w:rPr>
          <w:rFonts w:ascii="Arial" w:eastAsia="Times New Roman" w:hAnsi="Arial" w:cs="Arial"/>
          <w:color w:val="22789A"/>
          <w:sz w:val="16"/>
          <w:szCs w:val="20"/>
        </w:rPr>
      </w:pPr>
      <w:r w:rsidRPr="002F4183">
        <w:rPr>
          <w:rFonts w:ascii="Arial" w:eastAsia="Times New Roman" w:hAnsi="Arial" w:cs="Arial"/>
          <w:color w:val="22789A"/>
          <w:sz w:val="16"/>
          <w:szCs w:val="20"/>
        </w:rPr>
        <w:t xml:space="preserve">Sources: ABS, International Trade, Australia, cat. </w:t>
      </w:r>
      <w:proofErr w:type="gramStart"/>
      <w:r w:rsidRPr="002F4183">
        <w:rPr>
          <w:rFonts w:ascii="Arial" w:eastAsia="Times New Roman" w:hAnsi="Arial" w:cs="Arial"/>
          <w:color w:val="22789A"/>
          <w:sz w:val="16"/>
          <w:szCs w:val="20"/>
        </w:rPr>
        <w:t>no</w:t>
      </w:r>
      <w:proofErr w:type="gramEnd"/>
      <w:r w:rsidRPr="002F4183">
        <w:rPr>
          <w:rFonts w:ascii="Arial" w:eastAsia="Times New Roman" w:hAnsi="Arial" w:cs="Arial"/>
          <w:color w:val="22789A"/>
          <w:sz w:val="16"/>
          <w:szCs w:val="20"/>
        </w:rPr>
        <w:t>. 5465.0.</w:t>
      </w:r>
    </w:p>
    <w:p w14:paraId="6919FB61" w14:textId="77777777" w:rsidR="002F41D4" w:rsidRDefault="002F41D4" w:rsidP="005B7EC2">
      <w:pPr>
        <w:spacing w:before="120" w:after="120"/>
        <w:jc w:val="both"/>
      </w:pPr>
      <w:r>
        <w:t xml:space="preserve">While Australia’s imports of selected steel </w:t>
      </w:r>
      <w:r w:rsidR="002101E3">
        <w:t xml:space="preserve">manufactured/fabricated </w:t>
      </w:r>
      <w:r>
        <w:t>products decreased in 2016, they remain historically high compared to a decade earlier</w:t>
      </w:r>
      <w:r w:rsidR="002E0FAF">
        <w:t xml:space="preserve"> </w:t>
      </w:r>
      <w:r w:rsidR="002E0FAF" w:rsidRPr="002E0FAF">
        <w:t>(see Figure 4.2)</w:t>
      </w:r>
      <w:r>
        <w:t xml:space="preserve">, </w:t>
      </w:r>
      <w:proofErr w:type="gramStart"/>
      <w:r>
        <w:t>despite</w:t>
      </w:r>
      <w:proofErr w:type="gramEnd"/>
      <w:r>
        <w:t xml:space="preserve"> the end of the investment phase of the mining boom in 2012.</w:t>
      </w:r>
      <w:r w:rsidR="002E0FAF">
        <w:t xml:space="preserve"> The </w:t>
      </w:r>
      <w:r w:rsidR="002E0FAF" w:rsidRPr="002803CB">
        <w:t xml:space="preserve">32.5 per cent </w:t>
      </w:r>
      <w:r w:rsidR="002E0FAF">
        <w:t>decline in imports in 2016 compared to the previous year is likely to reflect, in large part, reduced demand for products used in engineering construction and mining-related investment (see chapter 3).</w:t>
      </w:r>
    </w:p>
    <w:p w14:paraId="24CDB598" w14:textId="77777777" w:rsidR="00113DB0" w:rsidRDefault="00113DB0" w:rsidP="005B7EC2">
      <w:pPr>
        <w:spacing w:before="120" w:after="120"/>
        <w:jc w:val="both"/>
      </w:pPr>
      <w:r>
        <w:t xml:space="preserve">The main product group imported in 2016 was structures and parts of structures. These accounted for 61.2 per cent of Australian imports in 2016. These products include racks, shelves, brackets and equipment for scaffolding. </w:t>
      </w:r>
      <w:r w:rsidR="00487847">
        <w:t xml:space="preserve">As noted in chapter 3, these products are typically used for construction and infrastructure projects, including </w:t>
      </w:r>
      <w:r w:rsidR="0036618A">
        <w:t>m</w:t>
      </w:r>
      <w:r w:rsidR="00487847">
        <w:t>ining-related infrastructure.</w:t>
      </w:r>
    </w:p>
    <w:p w14:paraId="02BC5DA4" w14:textId="77777777" w:rsidR="00DE32C5" w:rsidRDefault="00DE32C5" w:rsidP="005B7EC2">
      <w:pPr>
        <w:spacing w:before="120" w:after="120"/>
        <w:jc w:val="both"/>
      </w:pPr>
      <w:r>
        <w:t xml:space="preserve">The Ai Group submitted in 2016 to </w:t>
      </w:r>
      <w:r w:rsidR="002E0FAF">
        <w:t xml:space="preserve">the </w:t>
      </w:r>
      <w:r>
        <w:t xml:space="preserve">Senate Estimates </w:t>
      </w:r>
      <w:r w:rsidR="002E0FAF">
        <w:t>I</w:t>
      </w:r>
      <w:r>
        <w:t xml:space="preserve">nquiry </w:t>
      </w:r>
      <w:r w:rsidR="002E0FAF">
        <w:t xml:space="preserve">into the Future of Australia’s Steel Industry </w:t>
      </w:r>
      <w:r>
        <w:t>that:</w:t>
      </w:r>
    </w:p>
    <w:p w14:paraId="0F6112C1" w14:textId="77777777" w:rsidR="00DE32C5" w:rsidRPr="005B7EC2" w:rsidRDefault="00DE32C5" w:rsidP="005B7EC2">
      <w:pPr>
        <w:autoSpaceDE w:val="0"/>
        <w:autoSpaceDN w:val="0"/>
        <w:adjustRightInd w:val="0"/>
        <w:ind w:left="576"/>
        <w:jc w:val="both"/>
        <w:rPr>
          <w:rFonts w:ascii="Calibri" w:hAnsi="Calibri" w:cs="Calibri"/>
          <w:i/>
        </w:rPr>
      </w:pPr>
      <w:r w:rsidRPr="005B7EC2">
        <w:rPr>
          <w:rFonts w:ascii="Calibri" w:hAnsi="Calibri" w:cs="Calibri"/>
          <w:i/>
        </w:rPr>
        <w:t>Import penetration is a major pressure point for many businesses engaged in the steel fabrication sectors. For instance, in the major structural steel segment, import competition is expected to have surged almost fourfold in the past five years, accounting for 22.2% of domestic demand in 2014-15 (IBISWorld). For lighter fabricated steel products, competitive pressures have been particularly compounded by the high levels of standardised and low-value added products which have elevated the degree of price-based competition. In the fabricated metals product sector where iron and steel is a principal material input, import penetration rose from 52.4% of domestic demand in 2010-11 to around 56.8% in 2014-15 and is projected to account for 59.5% of domestic demand by 2020-21.</w:t>
      </w:r>
      <w:r w:rsidRPr="005B7EC2">
        <w:rPr>
          <w:rStyle w:val="FootnoteReference"/>
          <w:rFonts w:ascii="Calibri" w:hAnsi="Calibri" w:cs="Calibri"/>
          <w:i/>
        </w:rPr>
        <w:footnoteReference w:id="45"/>
      </w:r>
    </w:p>
    <w:p w14:paraId="1A19361B" w14:textId="77777777" w:rsidR="002E0FAF" w:rsidRPr="002E0FAF" w:rsidRDefault="002E0FAF" w:rsidP="005B7EC2">
      <w:pPr>
        <w:spacing w:before="120" w:after="120"/>
        <w:jc w:val="both"/>
      </w:pPr>
      <w:r>
        <w:t>While trade is important for the growth of the Australian economy and living standards, through its contribution to productivity improvement, innovation and consumer choice, it is important that trading behaviours are not distorted by inefficient government interventions and unfair trading practices like dumping.</w:t>
      </w:r>
    </w:p>
    <w:p w14:paraId="543D78EF" w14:textId="1D775BF5" w:rsidR="00113DB0" w:rsidRDefault="0083777A" w:rsidP="00113DB0">
      <w:pPr>
        <w:pStyle w:val="Heading2"/>
      </w:pPr>
      <w:bookmarkStart w:id="54" w:name="_Toc487532417"/>
      <w:r>
        <w:t>Implications of g</w:t>
      </w:r>
      <w:r w:rsidR="00113DB0">
        <w:t>lobal steel market</w:t>
      </w:r>
      <w:r>
        <w:t xml:space="preserve"> development</w:t>
      </w:r>
      <w:r w:rsidR="00113DB0">
        <w:t xml:space="preserve">s </w:t>
      </w:r>
      <w:r>
        <w:t>for the</w:t>
      </w:r>
      <w:r w:rsidR="00113DB0">
        <w:t xml:space="preserve"> Australian steel </w:t>
      </w:r>
      <w:bookmarkEnd w:id="54"/>
      <w:r w:rsidR="002101E3">
        <w:t>fabricati</w:t>
      </w:r>
      <w:r w:rsidR="00237370">
        <w:t>o</w:t>
      </w:r>
      <w:r w:rsidR="002101E3">
        <w:t xml:space="preserve">n </w:t>
      </w:r>
      <w:r>
        <w:t>industry</w:t>
      </w:r>
    </w:p>
    <w:p w14:paraId="55553B78" w14:textId="57E87FA4" w:rsidR="00113DB0" w:rsidRDefault="00113DB0" w:rsidP="00237370">
      <w:pPr>
        <w:spacing w:before="120" w:after="120"/>
        <w:jc w:val="both"/>
      </w:pPr>
      <w:r>
        <w:t xml:space="preserve">Primary steel products </w:t>
      </w:r>
      <w:r w:rsidR="00CC0393">
        <w:t xml:space="preserve">comprise a significant proportion of the inputs </w:t>
      </w:r>
      <w:r w:rsidR="00405202">
        <w:t xml:space="preserve">to </w:t>
      </w:r>
      <w:r w:rsidR="00CC0393">
        <w:t>making</w:t>
      </w:r>
      <w:r>
        <w:t xml:space="preserve"> steel </w:t>
      </w:r>
      <w:r w:rsidR="002101E3">
        <w:t xml:space="preserve">fabricated </w:t>
      </w:r>
      <w:r>
        <w:t>products</w:t>
      </w:r>
      <w:r w:rsidR="00CC0393">
        <w:t>.</w:t>
      </w:r>
      <w:r>
        <w:t xml:space="preserve"> </w:t>
      </w:r>
      <w:r w:rsidR="00CC0393">
        <w:t>Developments in g</w:t>
      </w:r>
      <w:r>
        <w:t xml:space="preserve">lobal </w:t>
      </w:r>
      <w:r w:rsidR="00CC0393">
        <w:t xml:space="preserve">primary </w:t>
      </w:r>
      <w:r>
        <w:t>steel market</w:t>
      </w:r>
      <w:r w:rsidR="00CC0393">
        <w:t>s</w:t>
      </w:r>
      <w:r>
        <w:t xml:space="preserve"> </w:t>
      </w:r>
      <w:r w:rsidR="00CC0393">
        <w:t>therefore</w:t>
      </w:r>
      <w:r>
        <w:t xml:space="preserve"> impact </w:t>
      </w:r>
      <w:r w:rsidR="00405202">
        <w:t xml:space="preserve">on </w:t>
      </w:r>
      <w:r>
        <w:t xml:space="preserve">global and Australian steel </w:t>
      </w:r>
      <w:r w:rsidR="002101E3">
        <w:t>fabricati</w:t>
      </w:r>
      <w:r w:rsidR="00237370">
        <w:t>o</w:t>
      </w:r>
      <w:r w:rsidR="002101E3">
        <w:t xml:space="preserve">n </w:t>
      </w:r>
      <w:r>
        <w:t xml:space="preserve">industries. </w:t>
      </w:r>
    </w:p>
    <w:p w14:paraId="41D751D8" w14:textId="645FF5B4" w:rsidR="00405202" w:rsidRDefault="00405202" w:rsidP="00237370">
      <w:pPr>
        <w:spacing w:before="120" w:after="120"/>
        <w:jc w:val="both"/>
      </w:pPr>
      <w:r>
        <w:t>Continuing</w:t>
      </w:r>
      <w:r w:rsidR="008E3BB5">
        <w:t xml:space="preserve"> excess capacity </w:t>
      </w:r>
      <w:r>
        <w:t xml:space="preserve">and </w:t>
      </w:r>
      <w:r w:rsidR="009D4610">
        <w:t xml:space="preserve">the demand/production imbalance </w:t>
      </w:r>
      <w:r>
        <w:t>in global primary s</w:t>
      </w:r>
      <w:r w:rsidR="0086120C">
        <w:t xml:space="preserve">teel markets </w:t>
      </w:r>
      <w:r w:rsidR="00546B8E">
        <w:t xml:space="preserve">could </w:t>
      </w:r>
      <w:r w:rsidR="003C55BF">
        <w:t>i</w:t>
      </w:r>
      <w:r>
        <w:t>n</w:t>
      </w:r>
      <w:r w:rsidR="003C55BF">
        <w:t>fluence</w:t>
      </w:r>
      <w:r>
        <w:t xml:space="preserve"> </w:t>
      </w:r>
      <w:r w:rsidRPr="00405202">
        <w:t xml:space="preserve">steel </w:t>
      </w:r>
      <w:r w:rsidR="002101E3">
        <w:t>fabricati</w:t>
      </w:r>
      <w:r w:rsidR="00237370">
        <w:t>o</w:t>
      </w:r>
      <w:r w:rsidR="002101E3">
        <w:t xml:space="preserve">n </w:t>
      </w:r>
      <w:r w:rsidRPr="00405202">
        <w:t>industries</w:t>
      </w:r>
      <w:r w:rsidR="0086120C">
        <w:t xml:space="preserve">: </w:t>
      </w:r>
      <w:r w:rsidR="006F4A18">
        <w:t xml:space="preserve">through the flow-through of that </w:t>
      </w:r>
      <w:r w:rsidR="009D4610">
        <w:t xml:space="preserve">imbalance </w:t>
      </w:r>
      <w:r w:rsidR="006F4A18">
        <w:t xml:space="preserve">into </w:t>
      </w:r>
      <w:r w:rsidR="00361964">
        <w:t xml:space="preserve">the steel </w:t>
      </w:r>
      <w:r w:rsidR="002101E3">
        <w:t>fabricati</w:t>
      </w:r>
      <w:r w:rsidR="00237370">
        <w:t>o</w:t>
      </w:r>
      <w:r w:rsidR="002101E3">
        <w:t xml:space="preserve">n </w:t>
      </w:r>
      <w:r w:rsidR="00361964">
        <w:t xml:space="preserve">market </w:t>
      </w:r>
      <w:r w:rsidR="003C55BF">
        <w:t>via</w:t>
      </w:r>
      <w:r w:rsidR="00361964">
        <w:t xml:space="preserve"> an</w:t>
      </w:r>
      <w:r w:rsidR="0086120C">
        <w:t xml:space="preserve"> i</w:t>
      </w:r>
      <w:r w:rsidR="00361964">
        <w:t xml:space="preserve">ncrease in </w:t>
      </w:r>
      <w:r w:rsidR="0086120C">
        <w:t>the supply</w:t>
      </w:r>
      <w:r w:rsidR="00361964">
        <w:t xml:space="preserve">, and reduction in </w:t>
      </w:r>
      <w:r w:rsidR="0086120C">
        <w:t xml:space="preserve">the price, of a major input to steel </w:t>
      </w:r>
      <w:r w:rsidR="002101E3">
        <w:t>fabricating</w:t>
      </w:r>
      <w:r w:rsidR="0086120C">
        <w:t>; and through</w:t>
      </w:r>
      <w:r w:rsidR="00361964">
        <w:t xml:space="preserve"> distortions in</w:t>
      </w:r>
      <w:r w:rsidR="00361964" w:rsidRPr="00361964">
        <w:t xml:space="preserve"> </w:t>
      </w:r>
      <w:r w:rsidR="00361964">
        <w:t xml:space="preserve">markets for steel </w:t>
      </w:r>
      <w:r w:rsidR="002101E3">
        <w:t xml:space="preserve">fabricated </w:t>
      </w:r>
      <w:r w:rsidR="00361964">
        <w:t xml:space="preserve">products caused by the responses of some exporters to trade remedies on </w:t>
      </w:r>
      <w:r w:rsidR="006F4A18">
        <w:t>primary steel products</w:t>
      </w:r>
      <w:r w:rsidR="00361964">
        <w:t xml:space="preserve"> that are being dumped or subsidised</w:t>
      </w:r>
      <w:r>
        <w:t>.</w:t>
      </w:r>
    </w:p>
    <w:p w14:paraId="7C6BB0D8" w14:textId="2C9CC7CB" w:rsidR="00BC47F2" w:rsidRDefault="00BC47F2" w:rsidP="00BC47F2">
      <w:pPr>
        <w:pStyle w:val="Heading3"/>
      </w:pPr>
      <w:r>
        <w:t xml:space="preserve">Flow-through of primary steel </w:t>
      </w:r>
      <w:r w:rsidR="00A9076B">
        <w:t xml:space="preserve">demand/production imbalances </w:t>
      </w:r>
      <w:r>
        <w:t xml:space="preserve">into </w:t>
      </w:r>
      <w:r w:rsidRPr="00405202">
        <w:t xml:space="preserve">steel </w:t>
      </w:r>
      <w:r w:rsidR="002101E3">
        <w:t>fabricati</w:t>
      </w:r>
      <w:r w:rsidR="00237370">
        <w:t>o</w:t>
      </w:r>
      <w:r w:rsidR="002101E3">
        <w:t xml:space="preserve">n </w:t>
      </w:r>
      <w:r>
        <w:t>markets</w:t>
      </w:r>
    </w:p>
    <w:p w14:paraId="4A6C4574" w14:textId="6F2F020B" w:rsidR="00034412" w:rsidRDefault="009D4610" w:rsidP="00350E33">
      <w:pPr>
        <w:spacing w:before="120" w:after="120"/>
        <w:jc w:val="both"/>
      </w:pPr>
      <w:r>
        <w:t>Using economic supply and demand analysis, demand</w:t>
      </w:r>
      <w:r w:rsidR="00A9076B">
        <w:t>/production imbalances</w:t>
      </w:r>
      <w:r w:rsidR="00A9076B" w:rsidRPr="00034412">
        <w:t xml:space="preserve"> </w:t>
      </w:r>
      <w:r w:rsidR="00034412" w:rsidRPr="00034412">
        <w:t>in global primary steel markets</w:t>
      </w:r>
      <w:r w:rsidR="00A9076B">
        <w:t xml:space="preserve"> </w:t>
      </w:r>
      <w:r>
        <w:t xml:space="preserve">could </w:t>
      </w:r>
      <w:r w:rsidR="00350E33">
        <w:t xml:space="preserve">be expected to </w:t>
      </w:r>
      <w:r w:rsidR="00034412">
        <w:t xml:space="preserve">flow through into the global steel </w:t>
      </w:r>
      <w:r w:rsidR="002101E3">
        <w:t>fabricati</w:t>
      </w:r>
      <w:r w:rsidR="00237370">
        <w:t>o</w:t>
      </w:r>
      <w:r w:rsidR="002101E3">
        <w:t xml:space="preserve">n </w:t>
      </w:r>
      <w:r w:rsidR="00034412">
        <w:t xml:space="preserve">market in the following way. </w:t>
      </w:r>
      <w:r w:rsidR="0086120C">
        <w:t>A</w:t>
      </w:r>
      <w:r w:rsidR="00405202">
        <w:t xml:space="preserve">s noted in section 4.1.1 above, </w:t>
      </w:r>
      <w:r w:rsidR="00405202" w:rsidRPr="00092B18">
        <w:t xml:space="preserve">steel </w:t>
      </w:r>
      <w:r w:rsidR="00405202">
        <w:t>prices remain significantly below</w:t>
      </w:r>
      <w:r w:rsidR="00405202" w:rsidRPr="00092B18">
        <w:t xml:space="preserve"> their pre-GFC peaks</w:t>
      </w:r>
      <w:r w:rsidR="00405202">
        <w:t>, inventories are high, and steel producers face</w:t>
      </w:r>
      <w:r w:rsidR="00405202" w:rsidRPr="00092B18">
        <w:t xml:space="preserve"> reduced margins and financial pressure</w:t>
      </w:r>
      <w:r w:rsidR="00405202">
        <w:t xml:space="preserve">s. Low </w:t>
      </w:r>
      <w:r w:rsidR="003C55BF">
        <w:t xml:space="preserve">prices for </w:t>
      </w:r>
      <w:r w:rsidR="00405202">
        <w:t>primary steel input</w:t>
      </w:r>
      <w:r w:rsidR="003C55BF">
        <w:t>s</w:t>
      </w:r>
      <w:r w:rsidR="00405202">
        <w:t xml:space="preserve"> </w:t>
      </w:r>
      <w:r w:rsidR="003C55BF">
        <w:t>used in</w:t>
      </w:r>
      <w:r w:rsidR="00405202">
        <w:t xml:space="preserve"> making steel </w:t>
      </w:r>
      <w:r w:rsidR="002101E3">
        <w:t xml:space="preserve">fabricated </w:t>
      </w:r>
      <w:r w:rsidR="00405202">
        <w:t xml:space="preserve">products </w:t>
      </w:r>
      <w:r w:rsidR="00546B8E">
        <w:t>may</w:t>
      </w:r>
      <w:r>
        <w:t xml:space="preserve"> </w:t>
      </w:r>
      <w:r w:rsidR="00405202">
        <w:t>increase the supp</w:t>
      </w:r>
      <w:r w:rsidR="003C55BF">
        <w:t xml:space="preserve">ly of steel </w:t>
      </w:r>
      <w:r w:rsidR="002101E3">
        <w:t xml:space="preserve">fabricated </w:t>
      </w:r>
      <w:r w:rsidR="003C55BF">
        <w:t>products</w:t>
      </w:r>
      <w:r w:rsidR="00405202">
        <w:t xml:space="preserve"> </w:t>
      </w:r>
      <w:r w:rsidR="003C55BF">
        <w:t>(</w:t>
      </w:r>
      <w:r w:rsidR="006F4A18">
        <w:t xml:space="preserve">when </w:t>
      </w:r>
      <w:r w:rsidR="00405202">
        <w:t xml:space="preserve">other </w:t>
      </w:r>
      <w:r w:rsidR="003C55BF">
        <w:t>market factors</w:t>
      </w:r>
      <w:r w:rsidR="00405202">
        <w:t xml:space="preserve"> </w:t>
      </w:r>
      <w:r w:rsidR="006F4A18">
        <w:t>are</w:t>
      </w:r>
      <w:r w:rsidR="00405202">
        <w:t xml:space="preserve"> </w:t>
      </w:r>
      <w:r w:rsidR="006F4A18">
        <w:t>unchanged</w:t>
      </w:r>
      <w:r w:rsidR="003C55BF">
        <w:t>)</w:t>
      </w:r>
      <w:r w:rsidR="00405202">
        <w:t>.</w:t>
      </w:r>
      <w:r w:rsidR="00482198">
        <w:t xml:space="preserve"> </w:t>
      </w:r>
    </w:p>
    <w:p w14:paraId="36B15E10" w14:textId="661BA41C" w:rsidR="00405202" w:rsidRDefault="00482198" w:rsidP="00350E33">
      <w:pPr>
        <w:spacing w:before="120" w:after="120"/>
        <w:jc w:val="both"/>
      </w:pPr>
      <w:r>
        <w:t xml:space="preserve">A corollary of </w:t>
      </w:r>
      <w:r w:rsidR="009D4610">
        <w:t xml:space="preserve">an expected </w:t>
      </w:r>
      <w:r>
        <w:t xml:space="preserve">increase in the domestic supply of </w:t>
      </w:r>
      <w:r w:rsidR="002101E3">
        <w:t xml:space="preserve">fabricated </w:t>
      </w:r>
      <w:r>
        <w:t xml:space="preserve">products—in </w:t>
      </w:r>
      <w:r w:rsidRPr="00482198">
        <w:t xml:space="preserve">countries where </w:t>
      </w:r>
      <w:r w:rsidR="00053920">
        <w:t xml:space="preserve">excess </w:t>
      </w:r>
      <w:r w:rsidR="00053920" w:rsidRPr="00482198">
        <w:t xml:space="preserve">capacity </w:t>
      </w:r>
      <w:r w:rsidRPr="00482198">
        <w:t xml:space="preserve">and </w:t>
      </w:r>
      <w:r w:rsidR="00053920">
        <w:t>the demand/</w:t>
      </w:r>
      <w:r w:rsidR="00053920" w:rsidRPr="00482198">
        <w:t xml:space="preserve">production </w:t>
      </w:r>
      <w:r w:rsidR="00053920">
        <w:t xml:space="preserve">imbalance </w:t>
      </w:r>
      <w:r w:rsidRPr="00482198">
        <w:t>of primary steel products is high and primary steel prices are low (including where they are sold below the full cost of production)</w:t>
      </w:r>
      <w:r>
        <w:t xml:space="preserve">—is an oversupply of these </w:t>
      </w:r>
      <w:r w:rsidR="002101E3">
        <w:t xml:space="preserve">fabricated </w:t>
      </w:r>
      <w:r>
        <w:t>products compared to domestic demand.</w:t>
      </w:r>
      <w:r>
        <w:rPr>
          <w:rStyle w:val="FootnoteReference"/>
        </w:rPr>
        <w:footnoteReference w:id="46"/>
      </w:r>
      <w:r>
        <w:t xml:space="preserve"> </w:t>
      </w:r>
      <w:r w:rsidR="009D4610">
        <w:t>In other words, the ongoing demand/production imbalances</w:t>
      </w:r>
      <w:r w:rsidR="009D4610" w:rsidRPr="00034412">
        <w:t xml:space="preserve"> in global primary steel market</w:t>
      </w:r>
      <w:r w:rsidR="009D4610">
        <w:t>s could lead to demand/production imbalances</w:t>
      </w:r>
      <w:r w:rsidR="009D4610" w:rsidRPr="00034412">
        <w:t xml:space="preserve"> in </w:t>
      </w:r>
      <w:r w:rsidR="009D4610">
        <w:t xml:space="preserve">steel </w:t>
      </w:r>
      <w:r w:rsidR="002101E3">
        <w:t xml:space="preserve">fabricated </w:t>
      </w:r>
      <w:r w:rsidR="009D4610">
        <w:t xml:space="preserve">product </w:t>
      </w:r>
      <w:r w:rsidR="009D4610" w:rsidRPr="00034412">
        <w:t>market</w:t>
      </w:r>
      <w:r w:rsidR="009D4610">
        <w:t>s.</w:t>
      </w:r>
    </w:p>
    <w:p w14:paraId="4D726D5E" w14:textId="3AE4FD1E" w:rsidR="00405202" w:rsidRDefault="00405202" w:rsidP="00350E33">
      <w:pPr>
        <w:spacing w:before="120" w:after="120"/>
        <w:jc w:val="both"/>
      </w:pPr>
      <w:r>
        <w:t>Steel fabricators</w:t>
      </w:r>
      <w:r w:rsidR="001D7CE1">
        <w:t xml:space="preserve"> in countries where there is a domestic </w:t>
      </w:r>
      <w:r w:rsidR="009D4610">
        <w:t>demand/production imbalance</w:t>
      </w:r>
      <w:r w:rsidR="009D4610" w:rsidRPr="00034412">
        <w:t xml:space="preserve"> </w:t>
      </w:r>
      <w:r w:rsidR="009D4610">
        <w:t>c</w:t>
      </w:r>
      <w:r w:rsidR="00482198">
        <w:t>ould be expected to</w:t>
      </w:r>
      <w:r>
        <w:t xml:space="preserve"> </w:t>
      </w:r>
      <w:r w:rsidR="001D7CE1">
        <w:t>seek export markets, especially for products that are of high-value and/or easily transportable. The low price of a major input to their production would give them</w:t>
      </w:r>
      <w:r>
        <w:t xml:space="preserve"> </w:t>
      </w:r>
      <w:r w:rsidR="00482198">
        <w:t>a</w:t>
      </w:r>
      <w:r>
        <w:t xml:space="preserve"> competitive advantage over fabricators in other countries. </w:t>
      </w:r>
      <w:r w:rsidR="001D7CE1">
        <w:t>In this way, the</w:t>
      </w:r>
      <w:r w:rsidR="009D4610">
        <w:t xml:space="preserve"> sustained</w:t>
      </w:r>
      <w:r w:rsidR="001D7CE1">
        <w:t xml:space="preserve"> </w:t>
      </w:r>
      <w:r w:rsidR="009D4610">
        <w:t>demand/production imbalance</w:t>
      </w:r>
      <w:r w:rsidR="009D4610" w:rsidRPr="00034412">
        <w:t xml:space="preserve"> in global market</w:t>
      </w:r>
      <w:r w:rsidR="009D4610">
        <w:t>s</w:t>
      </w:r>
      <w:r w:rsidR="002101E3">
        <w:t xml:space="preserve"> </w:t>
      </w:r>
      <w:r w:rsidR="009D4610">
        <w:t xml:space="preserve">for </w:t>
      </w:r>
      <w:r w:rsidR="001D7CE1">
        <w:t>primary steel products</w:t>
      </w:r>
      <w:r w:rsidR="00A360F8">
        <w:t xml:space="preserve"> </w:t>
      </w:r>
      <w:r w:rsidR="009D4610">
        <w:t xml:space="preserve">could </w:t>
      </w:r>
      <w:r w:rsidR="00A360F8">
        <w:t xml:space="preserve">have an adverse effect on </w:t>
      </w:r>
      <w:r>
        <w:t>Australian steel fabricators</w:t>
      </w:r>
      <w:r w:rsidR="00A360F8">
        <w:t>.</w:t>
      </w:r>
      <w:r>
        <w:t xml:space="preserve"> </w:t>
      </w:r>
    </w:p>
    <w:p w14:paraId="39DA9C05" w14:textId="44998F12" w:rsidR="00BC47F2" w:rsidRDefault="00BC47F2" w:rsidP="00BC47F2">
      <w:pPr>
        <w:pStyle w:val="Heading3"/>
      </w:pPr>
      <w:r>
        <w:t>Distortions in</w:t>
      </w:r>
      <w:r w:rsidRPr="00361964">
        <w:t xml:space="preserve"> </w:t>
      </w:r>
      <w:r w:rsidRPr="00BC47F2">
        <w:t xml:space="preserve">steel </w:t>
      </w:r>
      <w:r w:rsidR="002101E3">
        <w:t>fabricati</w:t>
      </w:r>
      <w:r w:rsidR="00350E33">
        <w:t>o</w:t>
      </w:r>
      <w:r w:rsidR="002101E3">
        <w:t xml:space="preserve">n </w:t>
      </w:r>
      <w:r w:rsidRPr="00BC47F2">
        <w:t>markets</w:t>
      </w:r>
      <w:r>
        <w:t xml:space="preserve"> caused by </w:t>
      </w:r>
      <w:r w:rsidRPr="00BC47F2">
        <w:t xml:space="preserve">primary steel </w:t>
      </w:r>
      <w:r w:rsidR="00A9076B">
        <w:t>demand/</w:t>
      </w:r>
      <w:r w:rsidR="00A9076B" w:rsidRPr="00BC47F2">
        <w:t>production</w:t>
      </w:r>
      <w:r w:rsidR="00A9076B">
        <w:t xml:space="preserve"> imbalances</w:t>
      </w:r>
    </w:p>
    <w:p w14:paraId="12A042BC" w14:textId="1674EAA8" w:rsidR="00034412" w:rsidRDefault="00A9076B" w:rsidP="00350E33">
      <w:pPr>
        <w:spacing w:before="120" w:after="120"/>
        <w:jc w:val="both"/>
      </w:pPr>
      <w:r>
        <w:t>Demand/</w:t>
      </w:r>
      <w:r w:rsidRPr="00034412">
        <w:t>production</w:t>
      </w:r>
      <w:r>
        <w:t xml:space="preserve"> imbalances</w:t>
      </w:r>
      <w:r w:rsidRPr="00034412">
        <w:t xml:space="preserve"> </w:t>
      </w:r>
      <w:r w:rsidR="00034412" w:rsidRPr="00034412">
        <w:t>in global primary steel markets</w:t>
      </w:r>
      <w:r w:rsidR="00034412">
        <w:t xml:space="preserve"> </w:t>
      </w:r>
      <w:r w:rsidR="00231D9B">
        <w:t xml:space="preserve">could </w:t>
      </w:r>
      <w:r w:rsidR="00034412">
        <w:t>also create distortions in</w:t>
      </w:r>
      <w:r w:rsidR="00034412" w:rsidRPr="00361964">
        <w:t xml:space="preserve"> </w:t>
      </w:r>
      <w:r w:rsidR="00034412">
        <w:t xml:space="preserve">markets for steel </w:t>
      </w:r>
      <w:r w:rsidR="002101E3">
        <w:t xml:space="preserve">fabricated </w:t>
      </w:r>
      <w:r w:rsidR="00034412">
        <w:t>products</w:t>
      </w:r>
      <w:r w:rsidR="005F0A42">
        <w:t xml:space="preserve">. This </w:t>
      </w:r>
      <w:r>
        <w:t xml:space="preserve">could </w:t>
      </w:r>
      <w:r w:rsidR="005F0A42">
        <w:t>occur</w:t>
      </w:r>
      <w:r w:rsidR="00034412">
        <w:t xml:space="preserve"> as a result of the responses of some exporters to trade remedies on primary steel products that are being dumped or subsidised. </w:t>
      </w:r>
    </w:p>
    <w:p w14:paraId="292CF4C0" w14:textId="77777777" w:rsidR="00A360F8" w:rsidRDefault="006F4A18" w:rsidP="00350E33">
      <w:pPr>
        <w:spacing w:before="120" w:after="120"/>
        <w:jc w:val="both"/>
      </w:pPr>
      <w:r>
        <w:t>F</w:t>
      </w:r>
      <w:r w:rsidR="00A360F8">
        <w:t xml:space="preserve">oreign subsidisation of primary steel production in many countries (which is underpinning continuing </w:t>
      </w:r>
      <w:r w:rsidR="00053920">
        <w:t xml:space="preserve">excess </w:t>
      </w:r>
      <w:r w:rsidR="00053920" w:rsidRPr="00A360F8">
        <w:t xml:space="preserve">capacity </w:t>
      </w:r>
      <w:r w:rsidR="00A360F8" w:rsidRPr="00A360F8">
        <w:t xml:space="preserve">and </w:t>
      </w:r>
      <w:r w:rsidR="00231D9B">
        <w:t xml:space="preserve">sustained </w:t>
      </w:r>
      <w:r w:rsidR="00053920">
        <w:t>demand/</w:t>
      </w:r>
      <w:r w:rsidR="00053920" w:rsidRPr="00A360F8">
        <w:t>production</w:t>
      </w:r>
      <w:r w:rsidR="00053920">
        <w:t xml:space="preserve"> imbalance</w:t>
      </w:r>
      <w:r w:rsidR="00A360F8">
        <w:t xml:space="preserve">) and dumping of excess production have led to an increase in trade remedies to address the injury to domestic primary steel producers from these trading practices. As noted in chapter 6, the WTO has highlighted the sharp increase in new trade remedies, especially on primary steel products. </w:t>
      </w:r>
    </w:p>
    <w:p w14:paraId="3CB6240B" w14:textId="1DC3E46B" w:rsidR="00A360F8" w:rsidRDefault="00A360F8" w:rsidP="00350E33">
      <w:pPr>
        <w:spacing w:before="120" w:after="120"/>
        <w:jc w:val="both"/>
      </w:pPr>
      <w:r>
        <w:t xml:space="preserve">Trade remedies on primary steel products </w:t>
      </w:r>
      <w:r w:rsidR="00231D9B">
        <w:t xml:space="preserve">could </w:t>
      </w:r>
      <w:r>
        <w:t>ha</w:t>
      </w:r>
      <w:r w:rsidR="00C05DE9">
        <w:t>ve</w:t>
      </w:r>
      <w:r>
        <w:t xml:space="preserve"> </w:t>
      </w:r>
      <w:r w:rsidR="008A40BA">
        <w:t>three</w:t>
      </w:r>
      <w:r>
        <w:t xml:space="preserve"> main effec</w:t>
      </w:r>
      <w:r w:rsidR="00C05DE9">
        <w:t xml:space="preserve">ts on steel </w:t>
      </w:r>
      <w:r w:rsidR="001408D6">
        <w:t>fabricati</w:t>
      </w:r>
      <w:r w:rsidR="00350E33">
        <w:t>o</w:t>
      </w:r>
      <w:r w:rsidR="001408D6">
        <w:t xml:space="preserve">n </w:t>
      </w:r>
      <w:r w:rsidR="00C05DE9">
        <w:t>markets.</w:t>
      </w:r>
      <w:r>
        <w:t xml:space="preserve"> </w:t>
      </w:r>
    </w:p>
    <w:p w14:paraId="32919FFA" w14:textId="5BC9413E" w:rsidR="00A360F8" w:rsidRDefault="00C05DE9" w:rsidP="00350E33">
      <w:pPr>
        <w:spacing w:before="120" w:after="120"/>
        <w:jc w:val="both"/>
      </w:pPr>
      <w:r>
        <w:t>First, s</w:t>
      </w:r>
      <w:r w:rsidR="00A360F8">
        <w:t xml:space="preserve">ome primary steel products that are no longer exported to markets where they were previously dumped </w:t>
      </w:r>
      <w:r w:rsidR="00231D9B">
        <w:t>could</w:t>
      </w:r>
      <w:r w:rsidR="00A360F8">
        <w:t xml:space="preserve"> be diverted to the domestic steel </w:t>
      </w:r>
      <w:r w:rsidR="001408D6">
        <w:t>fabricati</w:t>
      </w:r>
      <w:r w:rsidR="00350E33">
        <w:t>o</w:t>
      </w:r>
      <w:r w:rsidR="001408D6">
        <w:t xml:space="preserve">n </w:t>
      </w:r>
      <w:r w:rsidR="00A360F8">
        <w:t xml:space="preserve">industry of the home country, increasing the supply of steel </w:t>
      </w:r>
      <w:r w:rsidR="001408D6">
        <w:t xml:space="preserve">fabricated </w:t>
      </w:r>
      <w:r w:rsidR="00A360F8">
        <w:t xml:space="preserve">products. </w:t>
      </w:r>
      <w:r w:rsidR="008A40BA">
        <w:t>If the increased supply of t</w:t>
      </w:r>
      <w:r w:rsidR="00A360F8">
        <w:t xml:space="preserve">hese steel </w:t>
      </w:r>
      <w:r w:rsidR="001408D6">
        <w:t xml:space="preserve">fabricated </w:t>
      </w:r>
      <w:r w:rsidR="00A360F8">
        <w:t xml:space="preserve">products </w:t>
      </w:r>
      <w:r w:rsidR="008A40BA">
        <w:t>cannot be absorbed by domestic consumers,</w:t>
      </w:r>
      <w:r w:rsidR="00321627" w:rsidRPr="00321627">
        <w:rPr>
          <w:vertAlign w:val="superscript"/>
        </w:rPr>
        <w:footnoteReference w:id="47"/>
      </w:r>
      <w:r w:rsidR="008A40BA">
        <w:t xml:space="preserve"> they </w:t>
      </w:r>
      <w:r w:rsidR="00231D9B">
        <w:t>could</w:t>
      </w:r>
      <w:r w:rsidR="008A40BA">
        <w:t xml:space="preserve"> be</w:t>
      </w:r>
      <w:r w:rsidR="00A360F8">
        <w:t xml:space="preserve"> exporte</w:t>
      </w:r>
      <w:r w:rsidR="008A40BA">
        <w:t xml:space="preserve">d to other countries, some at dumped prices (to </w:t>
      </w:r>
      <w:r w:rsidR="00231D9B">
        <w:t>reduce the build-up of</w:t>
      </w:r>
      <w:r w:rsidR="008A40BA">
        <w:t xml:space="preserve"> inventories</w:t>
      </w:r>
      <w:r w:rsidR="00231D9B">
        <w:t xml:space="preserve"> of these products</w:t>
      </w:r>
      <w:r w:rsidR="008A40BA">
        <w:t xml:space="preserve">). </w:t>
      </w:r>
      <w:r>
        <w:t xml:space="preserve">This </w:t>
      </w:r>
      <w:r w:rsidR="00231D9B">
        <w:t xml:space="preserve">could </w:t>
      </w:r>
      <w:r w:rsidR="002A1F22">
        <w:t xml:space="preserve">result in a trading behaviour known </w:t>
      </w:r>
      <w:r>
        <w:t>as ‘input dumping’.</w:t>
      </w:r>
    </w:p>
    <w:p w14:paraId="17B2F577" w14:textId="7ABAB159" w:rsidR="006465FC" w:rsidRDefault="00231D9B" w:rsidP="00350E33">
      <w:pPr>
        <w:spacing w:before="120" w:after="120"/>
        <w:jc w:val="both"/>
      </w:pPr>
      <w:r>
        <w:t>W</w:t>
      </w:r>
      <w:r w:rsidR="006465FC">
        <w:t>he</w:t>
      </w:r>
      <w:r w:rsidR="00DD166A">
        <w:t>n</w:t>
      </w:r>
      <w:r w:rsidR="006465FC">
        <w:t xml:space="preserve"> a steel producer making a major input to the production of a steel </w:t>
      </w:r>
      <w:r w:rsidR="001408D6">
        <w:t xml:space="preserve">fabricated </w:t>
      </w:r>
      <w:r w:rsidR="006465FC">
        <w:t xml:space="preserve">good has benefited financially from foreign subsidisation, this </w:t>
      </w:r>
      <w:r w:rsidR="00DD166A">
        <w:t>c</w:t>
      </w:r>
      <w:r w:rsidR="006465FC">
        <w:t xml:space="preserve">ould </w:t>
      </w:r>
      <w:r w:rsidR="006A3832">
        <w:t xml:space="preserve">be a factor in analysing whether there is </w:t>
      </w:r>
      <w:r w:rsidR="006465FC">
        <w:t xml:space="preserve">a ‘particular market situation’ in the steel </w:t>
      </w:r>
      <w:r w:rsidR="001408D6">
        <w:t xml:space="preserve">fabricated product </w:t>
      </w:r>
      <w:r w:rsidR="006465FC">
        <w:t xml:space="preserve">market of that country. This is because foreign government subsidisation of primary steel inputs </w:t>
      </w:r>
      <w:r w:rsidR="006A3832">
        <w:t>is likely</w:t>
      </w:r>
      <w:r w:rsidR="00DD166A">
        <w:t>—</w:t>
      </w:r>
      <w:r w:rsidR="006465FC">
        <w:t>where</w:t>
      </w:r>
      <w:r w:rsidR="00DD166A">
        <w:t xml:space="preserve"> </w:t>
      </w:r>
      <w:r w:rsidR="006465FC">
        <w:t>the financial benefit is passed through to steel fabricators buying the input</w:t>
      </w:r>
      <w:r w:rsidR="00DD166A">
        <w:t>—</w:t>
      </w:r>
      <w:r w:rsidR="006A3832">
        <w:t xml:space="preserve">to </w:t>
      </w:r>
      <w:r w:rsidR="006465FC">
        <w:t xml:space="preserve">distort the downstream </w:t>
      </w:r>
      <w:r w:rsidR="001408D6">
        <w:t xml:space="preserve">fabricating </w:t>
      </w:r>
      <w:r w:rsidR="006465FC">
        <w:t>market.</w:t>
      </w:r>
    </w:p>
    <w:p w14:paraId="477FA02F" w14:textId="42CCF279" w:rsidR="008A40BA" w:rsidRDefault="00C05DE9" w:rsidP="00350E33">
      <w:pPr>
        <w:spacing w:before="120" w:after="120"/>
        <w:jc w:val="both"/>
      </w:pPr>
      <w:r>
        <w:t>Second, g</w:t>
      </w:r>
      <w:r w:rsidR="008A40BA">
        <w:t xml:space="preserve">overnments of countries where there is excess production of primary steel products may provide assistance to their steel </w:t>
      </w:r>
      <w:r w:rsidR="001408D6">
        <w:t>fabricati</w:t>
      </w:r>
      <w:r w:rsidR="00350E33">
        <w:t>o</w:t>
      </w:r>
      <w:r w:rsidR="001408D6">
        <w:t xml:space="preserve">n </w:t>
      </w:r>
      <w:r w:rsidR="008A40BA">
        <w:t>industr</w:t>
      </w:r>
      <w:r w:rsidR="00231D9B">
        <w:t>ies</w:t>
      </w:r>
      <w:r w:rsidR="008A40BA">
        <w:t xml:space="preserve"> to encourage domestic fabricators to use more primary steel products</w:t>
      </w:r>
      <w:r w:rsidR="00071E4A">
        <w:t xml:space="preserve">. Such subsidisation </w:t>
      </w:r>
      <w:r w:rsidR="00231D9B">
        <w:t xml:space="preserve">could </w:t>
      </w:r>
      <w:r w:rsidR="008A40BA">
        <w:t xml:space="preserve">result in low-priced steel </w:t>
      </w:r>
      <w:r w:rsidR="001408D6">
        <w:t xml:space="preserve">fabricated </w:t>
      </w:r>
      <w:r w:rsidR="008A40BA">
        <w:t xml:space="preserve">products, which </w:t>
      </w:r>
      <w:r w:rsidR="00231D9B">
        <w:t xml:space="preserve">could </w:t>
      </w:r>
      <w:r w:rsidR="00071E4A">
        <w:t>then</w:t>
      </w:r>
      <w:r w:rsidR="008A40BA">
        <w:t xml:space="preserve"> then </w:t>
      </w:r>
      <w:r w:rsidR="00071E4A">
        <w:t xml:space="preserve">be </w:t>
      </w:r>
      <w:r w:rsidR="008A40BA">
        <w:t>exported to other countries.</w:t>
      </w:r>
    </w:p>
    <w:p w14:paraId="06310FA2" w14:textId="77777777" w:rsidR="00AC074F" w:rsidRDefault="00AC074F" w:rsidP="00350E33">
      <w:pPr>
        <w:spacing w:before="120" w:after="120"/>
        <w:jc w:val="both"/>
      </w:pPr>
      <w:r>
        <w:t xml:space="preserve">These two effects are consistent with the concern expressed by the OECD, as noted above in section 4.1.1, </w:t>
      </w:r>
      <w:r w:rsidRPr="005D75D0">
        <w:rPr>
          <w:color w:val="000000"/>
        </w:rPr>
        <w:t>that ‘excess capacity in one region can displace production in other regions, thus harming producers in those markets’, including through ‘unfair trade practices such as dumping’</w:t>
      </w:r>
      <w:r>
        <w:rPr>
          <w:color w:val="000000"/>
        </w:rPr>
        <w:t>.</w:t>
      </w:r>
      <w:r>
        <w:t xml:space="preserve"> </w:t>
      </w:r>
    </w:p>
    <w:p w14:paraId="23316430" w14:textId="2C3B9DE3" w:rsidR="001C1AE8" w:rsidRDefault="001C1AE8" w:rsidP="00350E33">
      <w:pPr>
        <w:spacing w:before="120" w:after="120"/>
        <w:jc w:val="both"/>
      </w:pPr>
      <w:r>
        <w:t>Third, i</w:t>
      </w:r>
      <w:r w:rsidR="008A40BA">
        <w:t xml:space="preserve">n countries where anti-dumping and countervailing duties have been imposed on dumped </w:t>
      </w:r>
      <w:r w:rsidR="008A40BA" w:rsidRPr="008A40BA">
        <w:t>p</w:t>
      </w:r>
      <w:r w:rsidR="00A360F8" w:rsidRPr="008A40BA">
        <w:t>rimary steel products</w:t>
      </w:r>
      <w:r w:rsidR="008A40BA">
        <w:t xml:space="preserve">, cheap dumped or foreign-subsidised </w:t>
      </w:r>
      <w:r w:rsidR="00231D9B">
        <w:t>products will no longer be available in the domestic markets for inputs used by steel fabricators</w:t>
      </w:r>
      <w:r w:rsidR="008A40BA">
        <w:t xml:space="preserve">. </w:t>
      </w:r>
      <w:r w:rsidR="00AC074F">
        <w:t>T</w:t>
      </w:r>
      <w:r w:rsidR="008A40BA">
        <w:t xml:space="preserve">he imposition of trade measures on primary steel products aims to remedy the material injury caused to </w:t>
      </w:r>
      <w:r w:rsidR="00350969">
        <w:t>the domestic</w:t>
      </w:r>
      <w:r w:rsidR="00AC074F">
        <w:t xml:space="preserve"> industry by dumping.</w:t>
      </w:r>
      <w:r w:rsidR="008A40BA">
        <w:t xml:space="preserve"> </w:t>
      </w:r>
      <w:r w:rsidR="00AC074F">
        <w:t>It</w:t>
      </w:r>
      <w:r w:rsidR="008A40BA">
        <w:t xml:space="preserve"> is nevertheless true that, as a result of measures being in place, import prices </w:t>
      </w:r>
      <w:r w:rsidR="00350969">
        <w:t>for those products</w:t>
      </w:r>
      <w:r>
        <w:t xml:space="preserve"> from exporters found to have been dumping and/or benefiting from</w:t>
      </w:r>
      <w:r w:rsidR="00350969">
        <w:t xml:space="preserve"> </w:t>
      </w:r>
      <w:r>
        <w:t xml:space="preserve">foreign subsidisation </w:t>
      </w:r>
      <w:r w:rsidR="008A40BA">
        <w:t xml:space="preserve">will increase by the amount of the duties. </w:t>
      </w:r>
      <w:r>
        <w:t xml:space="preserve">Imports of those products will still be available from </w:t>
      </w:r>
      <w:r w:rsidR="00AC074F">
        <w:t>those exporters, and from other exporters (not found to have been dumping or benefiting from foreign subsidisation)</w:t>
      </w:r>
      <w:r w:rsidR="00AD5EE7">
        <w:t>,</w:t>
      </w:r>
      <w:r w:rsidR="00AC074F">
        <w:t xml:space="preserve"> at non-dumped prices.</w:t>
      </w:r>
    </w:p>
    <w:p w14:paraId="38DD50F7" w14:textId="77777777" w:rsidR="00656644" w:rsidRDefault="00AC074F" w:rsidP="00350E33">
      <w:pPr>
        <w:spacing w:before="120" w:after="120"/>
        <w:jc w:val="both"/>
      </w:pPr>
      <w:r>
        <w:t>W</w:t>
      </w:r>
      <w:r w:rsidR="008A40BA">
        <w:t xml:space="preserve">here injury to domestic primary steel producers has resulted in price suppression and/or price depression, the imposition of measures will allow domestic producers to increase prices </w:t>
      </w:r>
      <w:r w:rsidR="00350969">
        <w:t xml:space="preserve">(allowing them </w:t>
      </w:r>
      <w:r w:rsidR="008A40BA">
        <w:t>to recover their costs of production</w:t>
      </w:r>
      <w:r w:rsidR="00350969">
        <w:t xml:space="preserve">). </w:t>
      </w:r>
    </w:p>
    <w:p w14:paraId="1D77F12B" w14:textId="74E49C7C" w:rsidR="008A40BA" w:rsidRDefault="00656644" w:rsidP="00350E33">
      <w:pPr>
        <w:spacing w:before="120" w:after="120"/>
        <w:jc w:val="both"/>
      </w:pPr>
      <w:r>
        <w:t>For both of these reasons, t</w:t>
      </w:r>
      <w:r w:rsidR="00350969">
        <w:t>he domestic s</w:t>
      </w:r>
      <w:r w:rsidR="008A40BA">
        <w:t xml:space="preserve">teel </w:t>
      </w:r>
      <w:r w:rsidR="001408D6">
        <w:t>fabricati</w:t>
      </w:r>
      <w:r w:rsidR="00350E33">
        <w:t>o</w:t>
      </w:r>
      <w:r w:rsidR="001408D6">
        <w:t xml:space="preserve">n </w:t>
      </w:r>
      <w:r w:rsidR="008A40BA">
        <w:t>industry</w:t>
      </w:r>
      <w:r w:rsidR="00350969">
        <w:t xml:space="preserve"> will see a corresponding increase in the cost of a major input</w:t>
      </w:r>
      <w:r w:rsidR="008A40BA">
        <w:t xml:space="preserve">. </w:t>
      </w:r>
      <w:r w:rsidR="001B6395">
        <w:t>Some Australian steel fabricators have raised concerns about this downstream impact of trade remedies on primary steel products.</w:t>
      </w:r>
    </w:p>
    <w:p w14:paraId="1D6BC581" w14:textId="5BE7080A" w:rsidR="00113DB0" w:rsidRDefault="00AC074F" w:rsidP="00350E33">
      <w:pPr>
        <w:pStyle w:val="Style5"/>
        <w:jc w:val="both"/>
        <w:rPr>
          <w:rFonts w:eastAsia="Calibri"/>
        </w:rPr>
      </w:pPr>
      <w:r>
        <w:t xml:space="preserve">Reflecting </w:t>
      </w:r>
      <w:r w:rsidR="00A63237">
        <w:t xml:space="preserve">the </w:t>
      </w:r>
      <w:r>
        <w:t xml:space="preserve">global </w:t>
      </w:r>
      <w:r w:rsidR="00A63237">
        <w:t xml:space="preserve">demand/production imbalance for </w:t>
      </w:r>
      <w:r>
        <w:t>primary steel and the associated increase in dumping and subsidisation of these products, t</w:t>
      </w:r>
      <w:r w:rsidR="00113DB0">
        <w:t xml:space="preserve">he imposition of trade remedy measures on primary steel products used in the manufacture of </w:t>
      </w:r>
      <w:r w:rsidR="001408D6">
        <w:t xml:space="preserve">fabricated </w:t>
      </w:r>
      <w:r w:rsidR="00113DB0">
        <w:t>steel products has increased significantly in recent years</w:t>
      </w:r>
      <w:r>
        <w:t xml:space="preserve"> around the world (see </w:t>
      </w:r>
      <w:r w:rsidR="007C27D1">
        <w:t xml:space="preserve">Figure 4.3 and </w:t>
      </w:r>
      <w:r>
        <w:t>chapter 6)</w:t>
      </w:r>
      <w:r w:rsidR="00113DB0">
        <w:t>.</w:t>
      </w:r>
      <w:r w:rsidR="00113DB0">
        <w:rPr>
          <w:rFonts w:eastAsia="Calibri"/>
        </w:rPr>
        <w:t xml:space="preserve"> In </w:t>
      </w:r>
      <w:r>
        <w:rPr>
          <w:rFonts w:eastAsia="Calibri"/>
        </w:rPr>
        <w:t xml:space="preserve">Australia, </w:t>
      </w:r>
      <w:r w:rsidR="00113DB0">
        <w:rPr>
          <w:rFonts w:eastAsia="Calibri"/>
        </w:rPr>
        <w:t xml:space="preserve">there were two measures on </w:t>
      </w:r>
      <w:r>
        <w:rPr>
          <w:rFonts w:eastAsia="Calibri"/>
        </w:rPr>
        <w:t xml:space="preserve">primary </w:t>
      </w:r>
      <w:r w:rsidR="00113DB0">
        <w:rPr>
          <w:rFonts w:eastAsia="Calibri"/>
        </w:rPr>
        <w:t>steel products</w:t>
      </w:r>
      <w:r>
        <w:rPr>
          <w:rFonts w:eastAsia="Calibri"/>
        </w:rPr>
        <w:t xml:space="preserve"> in 2011;</w:t>
      </w:r>
      <w:r w:rsidR="00113DB0">
        <w:rPr>
          <w:rFonts w:eastAsia="Calibri"/>
        </w:rPr>
        <w:t xml:space="preserve"> this has risen steadily to the current level of 4</w:t>
      </w:r>
      <w:r>
        <w:rPr>
          <w:rFonts w:eastAsia="Calibri"/>
        </w:rPr>
        <w:t>1</w:t>
      </w:r>
      <w:r w:rsidR="00113DB0">
        <w:rPr>
          <w:rFonts w:eastAsia="Calibri"/>
        </w:rPr>
        <w:t xml:space="preserve"> anti-dumping measures (</w:t>
      </w:r>
      <w:r>
        <w:rPr>
          <w:rFonts w:eastAsia="Calibri"/>
        </w:rPr>
        <w:t xml:space="preserve">plus measures on </w:t>
      </w:r>
      <w:r w:rsidR="00113DB0" w:rsidRPr="00AC074F">
        <w:rPr>
          <w:rFonts w:eastAsia="Calibri"/>
        </w:rPr>
        <w:t xml:space="preserve">two </w:t>
      </w:r>
      <w:r>
        <w:rPr>
          <w:rFonts w:eastAsia="Calibri"/>
        </w:rPr>
        <w:t>steel</w:t>
      </w:r>
      <w:r w:rsidR="00113DB0" w:rsidRPr="00AC074F">
        <w:rPr>
          <w:rFonts w:eastAsia="Calibri"/>
        </w:rPr>
        <w:t xml:space="preserve"> fabricated products</w:t>
      </w:r>
      <w:r w:rsidR="00113DB0">
        <w:rPr>
          <w:rFonts w:eastAsia="Calibri"/>
        </w:rPr>
        <w:t xml:space="preserve">). These measures have </w:t>
      </w:r>
      <w:r>
        <w:rPr>
          <w:rFonts w:eastAsia="Calibri"/>
        </w:rPr>
        <w:t>been implemented</w:t>
      </w:r>
      <w:r w:rsidR="00113DB0">
        <w:rPr>
          <w:rFonts w:eastAsia="Calibri"/>
        </w:rPr>
        <w:t xml:space="preserve"> as a result of </w:t>
      </w:r>
      <w:r>
        <w:rPr>
          <w:rFonts w:eastAsia="Calibri"/>
        </w:rPr>
        <w:t xml:space="preserve">domestic </w:t>
      </w:r>
      <w:r w:rsidR="00113DB0">
        <w:rPr>
          <w:rFonts w:eastAsia="Calibri"/>
        </w:rPr>
        <w:t>steel producers applying for measures in circumstances where the Commission has found dumping is occurring and is causing material injury to the Australian industry.</w:t>
      </w:r>
    </w:p>
    <w:p w14:paraId="4A84B942" w14:textId="77777777" w:rsidR="00113DB0" w:rsidRPr="002F4183" w:rsidRDefault="00113DB0" w:rsidP="001B6395">
      <w:pPr>
        <w:keepNext/>
        <w:keepLines/>
        <w:pBdr>
          <w:top w:val="single" w:sz="2" w:space="1" w:color="595A5B"/>
        </w:pBdr>
        <w:spacing w:before="36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sidR="00AC074F">
        <w:rPr>
          <w:rFonts w:ascii="Arial" w:hAnsi="Arial"/>
          <w:bCs/>
          <w:color w:val="5B9BD5" w:themeColor="accent1"/>
          <w:sz w:val="18"/>
          <w:szCs w:val="18"/>
        </w:rPr>
        <w:t>4</w:t>
      </w:r>
      <w:r>
        <w:rPr>
          <w:rFonts w:ascii="Arial" w:hAnsi="Arial"/>
          <w:bCs/>
          <w:color w:val="5B9BD5" w:themeColor="accent1"/>
          <w:sz w:val="18"/>
          <w:szCs w:val="18"/>
        </w:rPr>
        <w:t>.</w:t>
      </w:r>
      <w:r w:rsidR="00AC074F">
        <w:rPr>
          <w:rFonts w:ascii="Arial" w:hAnsi="Arial"/>
          <w:bCs/>
          <w:color w:val="5B9BD5" w:themeColor="accent1"/>
          <w:sz w:val="18"/>
          <w:szCs w:val="18"/>
        </w:rPr>
        <w:t>3</w:t>
      </w:r>
      <w:r w:rsidRPr="002F4183">
        <w:rPr>
          <w:rFonts w:ascii="Arial" w:hAnsi="Arial"/>
          <w:bCs/>
          <w:color w:val="5B9BD5" w:themeColor="accent1"/>
          <w:sz w:val="18"/>
          <w:szCs w:val="18"/>
        </w:rPr>
        <w:t xml:space="preserve">: </w:t>
      </w:r>
      <w:r>
        <w:rPr>
          <w:rFonts w:ascii="Arial" w:hAnsi="Arial"/>
          <w:bCs/>
          <w:color w:val="5B9BD5" w:themeColor="accent1"/>
          <w:sz w:val="18"/>
          <w:szCs w:val="18"/>
        </w:rPr>
        <w:t xml:space="preserve">Number of steel measures in place as at 30 </w:t>
      </w:r>
      <w:r w:rsidR="006E200F">
        <w:rPr>
          <w:rFonts w:ascii="Arial" w:hAnsi="Arial"/>
          <w:bCs/>
          <w:color w:val="5B9BD5" w:themeColor="accent1"/>
          <w:sz w:val="18"/>
          <w:szCs w:val="18"/>
        </w:rPr>
        <w:t>September</w:t>
      </w:r>
      <w:r w:rsidR="00AC074F">
        <w:rPr>
          <w:rFonts w:ascii="Arial" w:hAnsi="Arial"/>
          <w:bCs/>
          <w:color w:val="5B9BD5" w:themeColor="accent1"/>
          <w:sz w:val="18"/>
          <w:szCs w:val="18"/>
        </w:rPr>
        <w:t xml:space="preserve"> 2017</w:t>
      </w:r>
    </w:p>
    <w:p w14:paraId="60C3F92F" w14:textId="77777777" w:rsidR="00113DB0" w:rsidRDefault="006E200F" w:rsidP="001B6395">
      <w:pPr>
        <w:keepNext/>
        <w:keepLines/>
        <w:jc w:val="center"/>
        <w:rPr>
          <w:rFonts w:eastAsia="Calibri"/>
        </w:rPr>
      </w:pPr>
      <w:r>
        <w:rPr>
          <w:noProof/>
          <w:lang w:eastAsia="en-AU"/>
        </w:rPr>
        <w:drawing>
          <wp:inline distT="0" distB="0" distL="0" distR="0" wp14:anchorId="59FE81B0" wp14:editId="13C215F5">
            <wp:extent cx="4572000" cy="2094437"/>
            <wp:effectExtent l="0" t="0" r="0" b="127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93B629B" w14:textId="77777777" w:rsidR="00113DB0" w:rsidRPr="00B70F26" w:rsidRDefault="00113DB0" w:rsidP="001B6395">
      <w:pPr>
        <w:keepNext/>
        <w:pBdr>
          <w:bottom w:val="single" w:sz="4" w:space="1" w:color="auto"/>
        </w:pBdr>
        <w:spacing w:before="60"/>
        <w:rPr>
          <w:i/>
          <w:color w:val="0000FF"/>
          <w:sz w:val="16"/>
          <w:szCs w:val="16"/>
        </w:rPr>
      </w:pPr>
      <w:r w:rsidRPr="00C47626">
        <w:rPr>
          <w:rFonts w:cs="Arial"/>
          <w:color w:val="5B9BD5" w:themeColor="accent1"/>
          <w:sz w:val="20"/>
        </w:rPr>
        <w:t xml:space="preserve">Source: </w:t>
      </w:r>
      <w:r>
        <w:rPr>
          <w:rFonts w:cs="Arial"/>
          <w:color w:val="5B9BD5" w:themeColor="accent1"/>
          <w:sz w:val="20"/>
          <w:szCs w:val="20"/>
        </w:rPr>
        <w:t>ADC case statistics</w:t>
      </w:r>
    </w:p>
    <w:p w14:paraId="5BC384E2" w14:textId="77777777" w:rsidR="00350E33" w:rsidRDefault="00350E33" w:rsidP="00350E33">
      <w:pPr>
        <w:pStyle w:val="Style5"/>
        <w:jc w:val="both"/>
      </w:pPr>
    </w:p>
    <w:p w14:paraId="564DE2EB" w14:textId="601A8319" w:rsidR="00113DB0" w:rsidRDefault="00355522" w:rsidP="00350E33">
      <w:pPr>
        <w:pStyle w:val="Style5"/>
        <w:jc w:val="both"/>
      </w:pPr>
      <w:r>
        <w:t>The following</w:t>
      </w:r>
      <w:r w:rsidR="00113DB0">
        <w:t xml:space="preserve"> </w:t>
      </w:r>
      <w:r w:rsidR="003F2D39">
        <w:t>two case studies</w:t>
      </w:r>
      <w:r w:rsidR="00113DB0">
        <w:t xml:space="preserve"> </w:t>
      </w:r>
      <w:r w:rsidR="00AC074F">
        <w:t>give</w:t>
      </w:r>
      <w:r>
        <w:t xml:space="preserve"> the </w:t>
      </w:r>
      <w:r w:rsidR="00113DB0">
        <w:t>view</w:t>
      </w:r>
      <w:r>
        <w:t>s of</w:t>
      </w:r>
      <w:r w:rsidR="003F2D39">
        <w:t xml:space="preserve"> two </w:t>
      </w:r>
      <w:r>
        <w:t xml:space="preserve">downstream steel </w:t>
      </w:r>
      <w:r w:rsidR="001408D6">
        <w:t xml:space="preserve">fabricators </w:t>
      </w:r>
      <w:r w:rsidR="00113DB0">
        <w:t xml:space="preserve">on </w:t>
      </w:r>
      <w:r w:rsidR="00AC074F">
        <w:t xml:space="preserve">the </w:t>
      </w:r>
      <w:r w:rsidR="00113DB0">
        <w:t>consequences of the imposition of measures</w:t>
      </w:r>
      <w:r w:rsidR="00AC074F">
        <w:t xml:space="preserve"> on </w:t>
      </w:r>
      <w:r w:rsidR="003F2D39">
        <w:t xml:space="preserve">the </w:t>
      </w:r>
      <w:r w:rsidR="00AC074F">
        <w:t>primary steel product</w:t>
      </w:r>
      <w:r w:rsidR="003F2D39">
        <w:t>s used in their businesses</w:t>
      </w:r>
      <w:r w:rsidR="00113DB0">
        <w:t xml:space="preserve">. </w:t>
      </w:r>
    </w:p>
    <w:p w14:paraId="1F5CFFE8" w14:textId="77777777" w:rsidR="008B19E3" w:rsidRPr="0031100C" w:rsidRDefault="008B19E3" w:rsidP="008B19E3">
      <w:pPr>
        <w:pStyle w:val="Style3"/>
        <w:jc w:val="center"/>
        <w:rPr>
          <w:b/>
          <w:sz w:val="28"/>
          <w:szCs w:val="28"/>
        </w:rPr>
      </w:pPr>
      <w:r w:rsidRPr="0031100C">
        <w:rPr>
          <w:b/>
          <w:sz w:val="28"/>
          <w:szCs w:val="28"/>
        </w:rPr>
        <w:t>Case Study—Best Bar: Steel Reinforcement Products</w:t>
      </w:r>
    </w:p>
    <w:p w14:paraId="4DD22459" w14:textId="77777777" w:rsidR="008B19E3" w:rsidRPr="0031100C" w:rsidRDefault="008B19E3" w:rsidP="008B19E3">
      <w:pPr>
        <w:pStyle w:val="Style3"/>
      </w:pPr>
      <w:r w:rsidRPr="0031100C">
        <w:t xml:space="preserve">Best Bar Reinforcements (Best Bar) is an Australian owned manufacturer of steel reinforcement products for sale to Australian civil, commercial and residential construction industries. Best Bar employs more than 350 staff across nine branches throughout Australia. </w:t>
      </w:r>
    </w:p>
    <w:p w14:paraId="11C94599" w14:textId="77777777" w:rsidR="008B19E3" w:rsidRPr="0031100C" w:rsidRDefault="008B19E3" w:rsidP="008B19E3">
      <w:pPr>
        <w:pStyle w:val="Style3"/>
      </w:pPr>
      <w:r w:rsidRPr="0031100C">
        <w:t xml:space="preserve">Best Bar manufactures steel reinforcement products from rebar (a primary steel product), supplying to the construction industries. Typically, customers will provide Best Bar with drawings for projects and Best Bar will work with project engineers to develop a reinforcing solution. </w:t>
      </w:r>
    </w:p>
    <w:p w14:paraId="717FBB32" w14:textId="77777777" w:rsidR="008B19E3" w:rsidRPr="0031100C" w:rsidRDefault="008B19E3" w:rsidP="008B19E3">
      <w:pPr>
        <w:pStyle w:val="Style3"/>
        <w:rPr>
          <w:b/>
        </w:rPr>
      </w:pPr>
      <w:r w:rsidRPr="0031100C">
        <w:rPr>
          <w:b/>
        </w:rPr>
        <w:t>Steel reinforcing bar (rebar)</w:t>
      </w:r>
    </w:p>
    <w:p w14:paraId="4C3D6B58" w14:textId="77777777" w:rsidR="008B19E3" w:rsidRPr="0031100C" w:rsidRDefault="008B19E3" w:rsidP="008B19E3">
      <w:pPr>
        <w:pStyle w:val="Style3"/>
      </w:pPr>
      <w:r w:rsidRPr="0031100C">
        <w:t>Rebar is the major input for producing Best Bar’s range of steel reinforcing products. Rebar was the subject of an anti-dumping investigation into exports from seven countries in 2014-15 (ADC 264). As a result of this investigation, measures are currently in place on rebar from China, Korea, Spain, Taiwan and Singapore.</w:t>
      </w:r>
    </w:p>
    <w:p w14:paraId="6B4BE44F" w14:textId="77777777" w:rsidR="008B19E3" w:rsidRPr="0031100C" w:rsidRDefault="008B19E3" w:rsidP="008B19E3">
      <w:pPr>
        <w:pStyle w:val="Style3"/>
      </w:pPr>
      <w:r w:rsidRPr="0031100C">
        <w:t>Best Bar predominantly purchases rebar from a mill in Singapore (</w:t>
      </w:r>
      <w:proofErr w:type="spellStart"/>
      <w:r w:rsidRPr="0031100C">
        <w:t>Natsteel</w:t>
      </w:r>
      <w:proofErr w:type="spellEnd"/>
      <w:r w:rsidRPr="0031100C">
        <w:t xml:space="preserve">) that produces its product in line with Australian standards and which is Australian Certified Reinforcing Steel (ACRS) accredited. Best Bar has had a long standing relationship and supply agreement with </w:t>
      </w:r>
      <w:proofErr w:type="spellStart"/>
      <w:r w:rsidRPr="0031100C">
        <w:t>Natsteel</w:t>
      </w:r>
      <w:proofErr w:type="spellEnd"/>
      <w:r w:rsidRPr="0031100C">
        <w:t xml:space="preserve">. The relationship dates back 21 years. </w:t>
      </w:r>
      <w:proofErr w:type="spellStart"/>
      <w:r w:rsidRPr="0031100C">
        <w:t>Natsteel</w:t>
      </w:r>
      <w:proofErr w:type="spellEnd"/>
      <w:r w:rsidRPr="0031100C">
        <w:t xml:space="preserve"> was formerly a shareholder of Best Bar. Best Bar considers security of supply important and would not consider purchasing cheaper rebar on the spot market.</w:t>
      </w:r>
    </w:p>
    <w:p w14:paraId="5982A6A1" w14:textId="77777777" w:rsidR="008B19E3" w:rsidRPr="0031100C" w:rsidRDefault="008B19E3" w:rsidP="008B19E3">
      <w:pPr>
        <w:pStyle w:val="Style3"/>
      </w:pPr>
      <w:r w:rsidRPr="0031100C">
        <w:t xml:space="preserve">Rebar can also be imported from many other countries in the Asian region. Rebar is produced by one Australian company, Liberty </w:t>
      </w:r>
      <w:proofErr w:type="spellStart"/>
      <w:r w:rsidRPr="0031100C">
        <w:t>OneSteel</w:t>
      </w:r>
      <w:proofErr w:type="spellEnd"/>
      <w:r w:rsidRPr="0031100C">
        <w:t xml:space="preserve">, which produces between 75-80 per cent of the rebar in the Australian rebar market according to Best Bar, with the remainder supplied by imports. </w:t>
      </w:r>
    </w:p>
    <w:p w14:paraId="043F591D" w14:textId="77777777" w:rsidR="008B19E3" w:rsidRPr="0031100C" w:rsidRDefault="008B19E3" w:rsidP="008B19E3">
      <w:pPr>
        <w:pStyle w:val="Style3"/>
        <w:jc w:val="both"/>
        <w:rPr>
          <w:b/>
        </w:rPr>
      </w:pPr>
      <w:r w:rsidRPr="0031100C">
        <w:rPr>
          <w:b/>
        </w:rPr>
        <w:t>Anti-dumping measures: impact on Best Bar</w:t>
      </w:r>
    </w:p>
    <w:p w14:paraId="0D4A7339" w14:textId="77777777" w:rsidR="008B19E3" w:rsidRPr="0031100C" w:rsidRDefault="008B19E3" w:rsidP="008B19E3">
      <w:pPr>
        <w:pStyle w:val="Style3"/>
      </w:pPr>
      <w:r w:rsidRPr="0031100C">
        <w:t>Best Bar has raised three concerns about anti-dumping measures. First, downstream businesses face financial pressures when measures are imposed and fixed price contracts are already in place.</w:t>
      </w:r>
    </w:p>
    <w:p w14:paraId="7C330255" w14:textId="77777777" w:rsidR="008B19E3" w:rsidRPr="0031100C" w:rsidRDefault="008B19E3" w:rsidP="008B19E3">
      <w:pPr>
        <w:pStyle w:val="Style3"/>
      </w:pPr>
      <w:r w:rsidRPr="0031100C">
        <w:t xml:space="preserve">Second, Best Bar states that as a smaller company, it faces significant costs, which it is unable to afford, to advocate against the imposition of measures in anti-dumping investigations. </w:t>
      </w:r>
    </w:p>
    <w:p w14:paraId="4BED72A9" w14:textId="77777777" w:rsidR="008B19E3" w:rsidRPr="0031100C" w:rsidRDefault="008B19E3" w:rsidP="008B19E3">
      <w:pPr>
        <w:pStyle w:val="Style3"/>
        <w:jc w:val="both"/>
        <w:rPr>
          <w:i/>
        </w:rPr>
      </w:pPr>
      <w:r w:rsidRPr="0031100C">
        <w:t xml:space="preserve">Third, Best Bar considers that companies with large market shares could use the anti-dumping system for an anti-competitive purpose. Best Bar notes that Liberty </w:t>
      </w:r>
      <w:proofErr w:type="spellStart"/>
      <w:r w:rsidRPr="0031100C">
        <w:t>OneSteel</w:t>
      </w:r>
      <w:proofErr w:type="spellEnd"/>
      <w:r w:rsidRPr="0031100C">
        <w:t xml:space="preserve"> is the only domestic manufacturer of rebar, has a dominant market position, and participates actively not only as a supplier of rebar but as a producer and distributer of the same products that Best Bar produces from rebar.</w:t>
      </w:r>
    </w:p>
    <w:p w14:paraId="0C37E259" w14:textId="77777777" w:rsidR="008B19E3" w:rsidRPr="0031100C" w:rsidRDefault="008B19E3" w:rsidP="008B19E3">
      <w:pPr>
        <w:pStyle w:val="Style3"/>
      </w:pPr>
      <w:r w:rsidRPr="0031100C">
        <w:t xml:space="preserve">Best Bar considers the imposition of dumping measures on rebar has negatively impacted its ability to compete against Liberty </w:t>
      </w:r>
      <w:proofErr w:type="spellStart"/>
      <w:r w:rsidRPr="0031100C">
        <w:t>OneSteel’s</w:t>
      </w:r>
      <w:proofErr w:type="spellEnd"/>
      <w:r w:rsidRPr="0031100C">
        <w:t xml:space="preserve"> downstream entities, resulting in its market share declining from 15 per cent to closer to 10 per cent. Best Bar believes that its lost market share has been picked up by Liberty </w:t>
      </w:r>
      <w:proofErr w:type="spellStart"/>
      <w:r w:rsidRPr="0031100C">
        <w:t>OneSteel’s</w:t>
      </w:r>
      <w:proofErr w:type="spellEnd"/>
      <w:r w:rsidRPr="0031100C">
        <w:t xml:space="preserve"> related entities (</w:t>
      </w:r>
      <w:proofErr w:type="spellStart"/>
      <w:r w:rsidRPr="0031100C">
        <w:t>OneSteel</w:t>
      </w:r>
      <w:proofErr w:type="spellEnd"/>
      <w:r w:rsidRPr="0031100C">
        <w:t xml:space="preserve"> Reinforcing and the Australian Reinforcing Company (ARC)). </w:t>
      </w:r>
    </w:p>
    <w:p w14:paraId="56F332CB" w14:textId="77777777" w:rsidR="008B19E3" w:rsidRPr="0031100C" w:rsidRDefault="008B19E3" w:rsidP="008B19E3">
      <w:pPr>
        <w:pStyle w:val="Style3"/>
      </w:pPr>
      <w:r w:rsidRPr="0031100C">
        <w:t xml:space="preserve">Best Bar considers that the anti-dumping system should include appropriate checks and balances that take into account market structure and competition concerns in considering the effect of imposing measures. It advocates a ‘fairness test’ in anti-dumping investigations where an applicant for measures controls a significant portion of the domestic market. Such a test would consider the interests of businesses such as Best Bar to ensure a ‘diverse and vibrant independent steel fabrication sector’. </w:t>
      </w:r>
    </w:p>
    <w:p w14:paraId="4AF07401" w14:textId="77777777" w:rsidR="008B19E3" w:rsidRPr="0031100C" w:rsidRDefault="008B19E3" w:rsidP="008B19E3">
      <w:pPr>
        <w:pStyle w:val="Style3"/>
        <w:rPr>
          <w:sz w:val="20"/>
          <w:szCs w:val="20"/>
        </w:rPr>
      </w:pPr>
      <w:r w:rsidRPr="0031100C">
        <w:rPr>
          <w:i/>
          <w:sz w:val="20"/>
          <w:szCs w:val="20"/>
        </w:rPr>
        <w:t>Sources</w:t>
      </w:r>
      <w:r w:rsidRPr="0031100C">
        <w:rPr>
          <w:sz w:val="20"/>
          <w:szCs w:val="20"/>
        </w:rPr>
        <w:t>: ADC meeting with Best Bar, November 2016; Dumping Investigation ADC 264 – Steel Reinforcing Bar exported from Korea, Malaysia, Singapore, Spain, Taiwan, Thailand and Turkey (</w:t>
      </w:r>
      <w:hyperlink r:id="rId42" w:history="1">
        <w:r w:rsidRPr="0031100C">
          <w:rPr>
            <w:rStyle w:val="Hyperlink"/>
            <w:sz w:val="20"/>
            <w:szCs w:val="20"/>
          </w:rPr>
          <w:t>www.adcommission.gov.au/ cases/Pages/ArchivedCases/ADC264.aspx</w:t>
        </w:r>
      </w:hyperlink>
      <w:r w:rsidRPr="0031100C">
        <w:rPr>
          <w:sz w:val="20"/>
          <w:szCs w:val="20"/>
        </w:rPr>
        <w:t xml:space="preserve">); On Record, Burnet, Duckworth &amp; Palmer LLP, </w:t>
      </w:r>
      <w:r w:rsidRPr="0031100C">
        <w:rPr>
          <w:i/>
          <w:sz w:val="20"/>
          <w:szCs w:val="20"/>
        </w:rPr>
        <w:t>CBSA Anti-Dumping Duties: Unforeseen cost increases and the consequences for parties to construction contracts</w:t>
      </w:r>
      <w:r w:rsidRPr="0031100C">
        <w:rPr>
          <w:sz w:val="20"/>
          <w:szCs w:val="20"/>
        </w:rPr>
        <w:t>, December 2016 (</w:t>
      </w:r>
      <w:hyperlink r:id="rId43" w:history="1">
        <w:r w:rsidRPr="0031100C">
          <w:rPr>
            <w:rStyle w:val="Hyperlink"/>
            <w:sz w:val="20"/>
            <w:szCs w:val="20"/>
          </w:rPr>
          <w:t>www.bdplaw.com/content/uploads/2016/12/BDP-Construction-Newsletter-Dec.-20161.pdf</w:t>
        </w:r>
      </w:hyperlink>
      <w:r w:rsidRPr="0031100C">
        <w:rPr>
          <w:sz w:val="20"/>
          <w:szCs w:val="20"/>
        </w:rPr>
        <w:t xml:space="preserve">); Best Bar, Submission regarding </w:t>
      </w:r>
      <w:proofErr w:type="spellStart"/>
      <w:r w:rsidRPr="0031100C">
        <w:rPr>
          <w:sz w:val="20"/>
          <w:szCs w:val="20"/>
        </w:rPr>
        <w:t>OneSteel’s</w:t>
      </w:r>
      <w:proofErr w:type="spellEnd"/>
      <w:r w:rsidRPr="0031100C">
        <w:rPr>
          <w:sz w:val="20"/>
          <w:szCs w:val="20"/>
        </w:rPr>
        <w:t xml:space="preserve"> allegations of injury and its causation, EPR264 Submission No 44, 3 June 2015, p. 2;</w:t>
      </w:r>
      <w:r w:rsidRPr="0031100C">
        <w:rPr>
          <w:i/>
          <w:sz w:val="20"/>
          <w:szCs w:val="20"/>
        </w:rPr>
        <w:t xml:space="preserve"> </w:t>
      </w:r>
      <w:r w:rsidRPr="0031100C">
        <w:rPr>
          <w:sz w:val="20"/>
          <w:szCs w:val="20"/>
        </w:rPr>
        <w:t xml:space="preserve">Best Bar, Submission No 22 to the Senate Economics References Committee Inquiry into the </w:t>
      </w:r>
      <w:r w:rsidRPr="0031100C">
        <w:rPr>
          <w:i/>
          <w:sz w:val="20"/>
          <w:szCs w:val="20"/>
        </w:rPr>
        <w:t>Future of Australia’s Steel Industry</w:t>
      </w:r>
      <w:r w:rsidRPr="0031100C">
        <w:rPr>
          <w:sz w:val="20"/>
          <w:szCs w:val="20"/>
        </w:rPr>
        <w:t xml:space="preserve">, 25 February 2016; Best Bar, Submission to Productivity Commission Research Paper </w:t>
      </w:r>
      <w:r w:rsidRPr="0031100C">
        <w:rPr>
          <w:i/>
          <w:sz w:val="20"/>
          <w:szCs w:val="20"/>
        </w:rPr>
        <w:t>Developments in Anti-Dumping Arrangements</w:t>
      </w:r>
      <w:r w:rsidRPr="0031100C">
        <w:rPr>
          <w:sz w:val="20"/>
          <w:szCs w:val="20"/>
        </w:rPr>
        <w:t xml:space="preserve">, 2 October 2016; Best Bar website </w:t>
      </w:r>
      <w:hyperlink r:id="rId44" w:history="1">
        <w:r w:rsidRPr="0031100C">
          <w:rPr>
            <w:rStyle w:val="Hyperlink"/>
            <w:sz w:val="20"/>
            <w:szCs w:val="20"/>
          </w:rPr>
          <w:t>www.bestbar.com.au</w:t>
        </w:r>
      </w:hyperlink>
      <w:r w:rsidRPr="0031100C">
        <w:rPr>
          <w:sz w:val="20"/>
          <w:szCs w:val="20"/>
        </w:rPr>
        <w:t>.</w:t>
      </w:r>
    </w:p>
    <w:p w14:paraId="7385B91C" w14:textId="77777777" w:rsidR="008B19E3" w:rsidRPr="008B19E3" w:rsidRDefault="008B19E3" w:rsidP="00350E33">
      <w:pPr>
        <w:pStyle w:val="Style5"/>
        <w:jc w:val="both"/>
        <w:rPr>
          <w:sz w:val="4"/>
          <w:szCs w:val="4"/>
        </w:rPr>
      </w:pPr>
    </w:p>
    <w:p w14:paraId="151A6AC5" w14:textId="77777777" w:rsidR="003F2D39" w:rsidRPr="005E311C" w:rsidRDefault="003F2D39" w:rsidP="003F2D39">
      <w:pPr>
        <w:pStyle w:val="Style3"/>
        <w:keepNext/>
        <w:jc w:val="center"/>
        <w:rPr>
          <w:b/>
          <w:sz w:val="28"/>
          <w:szCs w:val="28"/>
        </w:rPr>
      </w:pPr>
      <w:bookmarkStart w:id="55" w:name="_Toc487532419"/>
      <w:bookmarkEnd w:id="55"/>
      <w:r w:rsidRPr="005E311C">
        <w:rPr>
          <w:b/>
          <w:sz w:val="28"/>
          <w:szCs w:val="28"/>
        </w:rPr>
        <w:t>Case Study – DE Engineers</w:t>
      </w:r>
    </w:p>
    <w:p w14:paraId="317EBD11" w14:textId="77777777" w:rsidR="003F2D39" w:rsidRDefault="003F2D39" w:rsidP="00350E33">
      <w:pPr>
        <w:pStyle w:val="Style3"/>
        <w:keepNext/>
        <w:jc w:val="both"/>
      </w:pPr>
      <w:r w:rsidRPr="00C63991">
        <w:t>DE Engineers</w:t>
      </w:r>
      <w:r w:rsidRPr="0006427A">
        <w:t xml:space="preserve"> is an Australian owned manufacturer of grain silos. </w:t>
      </w:r>
      <w:r>
        <w:t>It is located in Western Australia</w:t>
      </w:r>
      <w:r w:rsidRPr="0006427A">
        <w:t xml:space="preserve"> and employ</w:t>
      </w:r>
      <w:r>
        <w:t>s</w:t>
      </w:r>
      <w:r w:rsidRPr="0006427A">
        <w:t xml:space="preserve"> approximately 40 full time staff.</w:t>
      </w:r>
      <w:r w:rsidRPr="00E62FD5">
        <w:t xml:space="preserve"> </w:t>
      </w:r>
      <w:r w:rsidRPr="0006427A">
        <w:t>DE Engineers manufacture</w:t>
      </w:r>
      <w:r>
        <w:t>s</w:t>
      </w:r>
      <w:r w:rsidRPr="0006427A">
        <w:t xml:space="preserve"> a range of silos for sale to the Australian market.</w:t>
      </w:r>
    </w:p>
    <w:p w14:paraId="6628032D" w14:textId="09B9436A" w:rsidR="003F2D39" w:rsidRDefault="003F2D39" w:rsidP="00350E33">
      <w:pPr>
        <w:pStyle w:val="Style3"/>
        <w:keepNext/>
        <w:jc w:val="both"/>
      </w:pPr>
      <w:r w:rsidRPr="0006427A">
        <w:t xml:space="preserve">Galvanised pipe, a form of </w:t>
      </w:r>
      <w:r w:rsidR="002E0FAF">
        <w:t>hollow structural sections (</w:t>
      </w:r>
      <w:r w:rsidRPr="0006427A">
        <w:t>HSS</w:t>
      </w:r>
      <w:r w:rsidR="002E0FAF">
        <w:t>)</w:t>
      </w:r>
      <w:r w:rsidRPr="0006427A">
        <w:t xml:space="preserve">, is a primary steel product and is the major input </w:t>
      </w:r>
      <w:r>
        <w:t>for</w:t>
      </w:r>
      <w:r w:rsidRPr="0006427A">
        <w:t xml:space="preserve"> silos manufactured by DE Engineers. DE Engineers use</w:t>
      </w:r>
      <w:r>
        <w:t>s</w:t>
      </w:r>
      <w:r w:rsidRPr="0006427A">
        <w:t xml:space="preserve"> ‘hot dipped galvani</w:t>
      </w:r>
      <w:r>
        <w:t>s</w:t>
      </w:r>
      <w:r w:rsidRPr="0006427A">
        <w:t>ed pipe’, which is a particular type of HSS. H</w:t>
      </w:r>
      <w:r>
        <w:t>ot dipped galvanised pipe</w:t>
      </w:r>
      <w:r w:rsidRPr="0006427A">
        <w:t xml:space="preserve"> was previously manufactured in Australia by </w:t>
      </w:r>
      <w:r>
        <w:t>ATM</w:t>
      </w:r>
      <w:r w:rsidRPr="0006427A">
        <w:t xml:space="preserve">, a division of </w:t>
      </w:r>
      <w:r w:rsidR="00AC4FE8">
        <w:t xml:space="preserve">Liberty </w:t>
      </w:r>
      <w:proofErr w:type="spellStart"/>
      <w:r w:rsidRPr="0006427A">
        <w:t>OneSteel</w:t>
      </w:r>
      <w:proofErr w:type="spellEnd"/>
      <w:r w:rsidRPr="0006427A">
        <w:t xml:space="preserve">, at the Acacia Ridge facility. </w:t>
      </w:r>
      <w:r w:rsidR="00AC4FE8">
        <w:t xml:space="preserve">Liberty </w:t>
      </w:r>
      <w:proofErr w:type="spellStart"/>
      <w:r w:rsidRPr="0006427A">
        <w:t>OneSteel</w:t>
      </w:r>
      <w:proofErr w:type="spellEnd"/>
      <w:r w:rsidRPr="0006427A">
        <w:t xml:space="preserve"> no longer manufacture</w:t>
      </w:r>
      <w:r>
        <w:t>s</w:t>
      </w:r>
      <w:r w:rsidRPr="0006427A">
        <w:t xml:space="preserve"> hot dipped galvani</w:t>
      </w:r>
      <w:r>
        <w:t>s</w:t>
      </w:r>
      <w:r w:rsidRPr="0006427A">
        <w:t xml:space="preserve">ed pipe in Australia. </w:t>
      </w:r>
    </w:p>
    <w:p w14:paraId="280EB28F" w14:textId="77777777" w:rsidR="003F2D39" w:rsidRDefault="003F2D39" w:rsidP="00350E33">
      <w:pPr>
        <w:pStyle w:val="Style3"/>
        <w:keepNext/>
        <w:jc w:val="both"/>
      </w:pPr>
      <w:r>
        <w:t>I</w:t>
      </w:r>
      <w:r w:rsidRPr="0006427A">
        <w:t xml:space="preserve">n June 2012, measures were imposed on </w:t>
      </w:r>
      <w:r>
        <w:t>HSS</w:t>
      </w:r>
      <w:r w:rsidRPr="0006427A">
        <w:t xml:space="preserve">, </w:t>
      </w:r>
      <w:r>
        <w:t>including on hot dipped galvanis</w:t>
      </w:r>
      <w:r w:rsidRPr="0006427A">
        <w:t>ed pipe used by DE Engineers. In December 2013, DE Engineers request</w:t>
      </w:r>
      <w:r>
        <w:t>ed</w:t>
      </w:r>
      <w:r w:rsidRPr="0006427A">
        <w:t xml:space="preserve"> an exemption from measures in relation to imports of certain HSS. DE </w:t>
      </w:r>
      <w:r>
        <w:t>E</w:t>
      </w:r>
      <w:r w:rsidRPr="0006427A">
        <w:t xml:space="preserve">ngineers alleged in </w:t>
      </w:r>
      <w:r>
        <w:t>its</w:t>
      </w:r>
      <w:r w:rsidRPr="0006427A">
        <w:t xml:space="preserve"> application that no goods produced in Australia are identical to hot dipped galvani</w:t>
      </w:r>
      <w:r>
        <w:t>s</w:t>
      </w:r>
      <w:r w:rsidRPr="0006427A">
        <w:t xml:space="preserve">ed pipe, and no goods produced in Australia are like or directly competitive. </w:t>
      </w:r>
    </w:p>
    <w:p w14:paraId="56E4F04A" w14:textId="77777777" w:rsidR="003F2D39" w:rsidRPr="0006427A" w:rsidRDefault="003F2D39" w:rsidP="00350E33">
      <w:pPr>
        <w:pStyle w:val="Style3"/>
        <w:keepNext/>
        <w:jc w:val="both"/>
      </w:pPr>
      <w:r w:rsidRPr="0006427A">
        <w:t xml:space="preserve">The exemption </w:t>
      </w:r>
      <w:r w:rsidR="00546B8E">
        <w:t xml:space="preserve">was </w:t>
      </w:r>
      <w:r>
        <w:t xml:space="preserve">not </w:t>
      </w:r>
      <w:r w:rsidRPr="0006427A">
        <w:t>granted</w:t>
      </w:r>
      <w:r>
        <w:t xml:space="preserve"> because</w:t>
      </w:r>
      <w:r w:rsidR="007E6124">
        <w:t>, while</w:t>
      </w:r>
      <w:r w:rsidRPr="0006427A">
        <w:t xml:space="preserve"> the Australian industry did </w:t>
      </w:r>
      <w:r w:rsidR="007E6124">
        <w:t xml:space="preserve">not </w:t>
      </w:r>
      <w:r w:rsidRPr="0006427A">
        <w:t xml:space="preserve">produce </w:t>
      </w:r>
      <w:r w:rsidR="007E6124">
        <w:t xml:space="preserve">identical </w:t>
      </w:r>
      <w:r w:rsidRPr="0006427A">
        <w:t>goods</w:t>
      </w:r>
      <w:r w:rsidR="007E6124">
        <w:t>, it did produce goods</w:t>
      </w:r>
      <w:r w:rsidRPr="0006427A">
        <w:t xml:space="preserve"> </w:t>
      </w:r>
      <w:r w:rsidR="007E6124">
        <w:t>that</w:t>
      </w:r>
      <w:r w:rsidRPr="0006427A">
        <w:t xml:space="preserve"> are directly competitive with the goods subject to the exemption application. </w:t>
      </w:r>
    </w:p>
    <w:p w14:paraId="27E326A5" w14:textId="699F6858" w:rsidR="003F2D39" w:rsidRPr="0006427A" w:rsidRDefault="003F2D39" w:rsidP="00350E33">
      <w:pPr>
        <w:pStyle w:val="Style3"/>
        <w:keepNext/>
        <w:jc w:val="both"/>
      </w:pPr>
      <w:r w:rsidRPr="0006427A">
        <w:t xml:space="preserve">DE Engineers considers that larger market participants, such as </w:t>
      </w:r>
      <w:r w:rsidR="00AC4FE8">
        <w:t xml:space="preserve">Liberty </w:t>
      </w:r>
      <w:proofErr w:type="spellStart"/>
      <w:r w:rsidRPr="0006427A">
        <w:t>One</w:t>
      </w:r>
      <w:r>
        <w:t>S</w:t>
      </w:r>
      <w:r w:rsidRPr="0006427A">
        <w:t>teel</w:t>
      </w:r>
      <w:proofErr w:type="spellEnd"/>
      <w:r w:rsidRPr="0006427A">
        <w:t>, also import hot dipped galvani</w:t>
      </w:r>
      <w:r>
        <w:t>s</w:t>
      </w:r>
      <w:r w:rsidRPr="0006427A">
        <w:t xml:space="preserve">ed pipe but are able to use their understanding of the system to obtain </w:t>
      </w:r>
      <w:r w:rsidR="00F05CD4">
        <w:t>‘</w:t>
      </w:r>
      <w:r w:rsidRPr="0006427A">
        <w:t>a preferable result</w:t>
      </w:r>
      <w:r w:rsidR="00F05CD4">
        <w:t>’</w:t>
      </w:r>
      <w:r w:rsidRPr="0006427A">
        <w:t xml:space="preserve">. </w:t>
      </w:r>
    </w:p>
    <w:p w14:paraId="504E40A9" w14:textId="77777777" w:rsidR="003F2D39" w:rsidRDefault="003F2D39" w:rsidP="00350E33">
      <w:pPr>
        <w:pStyle w:val="Style3"/>
        <w:keepNext/>
        <w:jc w:val="both"/>
      </w:pPr>
      <w:r w:rsidRPr="0006427A">
        <w:t xml:space="preserve">DE Engineers </w:t>
      </w:r>
      <w:r w:rsidR="007E6124">
        <w:t>states</w:t>
      </w:r>
      <w:r w:rsidRPr="0006427A">
        <w:t xml:space="preserve"> that grain silos are important to the West Australian and Australian agriculture industry</w:t>
      </w:r>
      <w:r w:rsidR="007E6124">
        <w:t>.</w:t>
      </w:r>
      <w:r w:rsidRPr="0006427A">
        <w:t xml:space="preserve"> </w:t>
      </w:r>
      <w:r w:rsidR="007E6124">
        <w:t>DE Engineers considers</w:t>
      </w:r>
      <w:r w:rsidRPr="0006427A">
        <w:t xml:space="preserve"> the system should consider the effect it has on businesses such as DE Engineers, particularly in circumstances where an identical product is not available locally. </w:t>
      </w:r>
    </w:p>
    <w:p w14:paraId="6513807D" w14:textId="77777777" w:rsidR="003F2D39" w:rsidRPr="007E6124" w:rsidRDefault="003F2D39" w:rsidP="00350E33">
      <w:pPr>
        <w:pStyle w:val="Style3"/>
        <w:jc w:val="both"/>
        <w:rPr>
          <w:i/>
          <w:sz w:val="20"/>
          <w:szCs w:val="20"/>
        </w:rPr>
      </w:pPr>
      <w:r w:rsidRPr="007E6124">
        <w:rPr>
          <w:i/>
          <w:sz w:val="20"/>
          <w:szCs w:val="20"/>
        </w:rPr>
        <w:t>Source</w:t>
      </w:r>
      <w:r w:rsidRPr="007E6124">
        <w:rPr>
          <w:b/>
          <w:i/>
          <w:sz w:val="20"/>
          <w:szCs w:val="20"/>
        </w:rPr>
        <w:t>:</w:t>
      </w:r>
      <w:r w:rsidRPr="007E6124">
        <w:rPr>
          <w:i/>
          <w:sz w:val="20"/>
          <w:szCs w:val="20"/>
        </w:rPr>
        <w:t xml:space="preserve"> </w:t>
      </w:r>
      <w:r w:rsidRPr="007E6124">
        <w:rPr>
          <w:sz w:val="20"/>
          <w:szCs w:val="20"/>
        </w:rPr>
        <w:t>Information provided to the Anti-Dumping Commission, text used with permission</w:t>
      </w:r>
    </w:p>
    <w:p w14:paraId="3835273C" w14:textId="77777777" w:rsidR="00F05CD4" w:rsidRDefault="009E708A" w:rsidP="00350E33">
      <w:pPr>
        <w:spacing w:before="120" w:after="120"/>
        <w:jc w:val="both"/>
      </w:pPr>
      <w:r>
        <w:t xml:space="preserve">The Commission </w:t>
      </w:r>
      <w:r w:rsidR="00B01E83">
        <w:t>recognises</w:t>
      </w:r>
      <w:r>
        <w:t xml:space="preserve"> that anti-dumping measures have impacts on downstream industries. </w:t>
      </w:r>
    </w:p>
    <w:p w14:paraId="6A2EEAE2" w14:textId="0B324F88" w:rsidR="00F05CD4" w:rsidRDefault="00F05CD4" w:rsidP="00350E33">
      <w:pPr>
        <w:spacing w:before="120" w:after="120"/>
        <w:jc w:val="both"/>
      </w:pPr>
      <w:r>
        <w:t xml:space="preserve">Some commentators have suggested that not imposing anti-dumping and countervailing duties on primary steel products would give Australian steel fabricators access to cheap (dumped and/or subsidised) steel inputs. However, this would be at the cost of </w:t>
      </w:r>
      <w:proofErr w:type="spellStart"/>
      <w:r>
        <w:t>unremedied</w:t>
      </w:r>
      <w:proofErr w:type="spellEnd"/>
      <w:r>
        <w:t xml:space="preserve"> injury to Australian producers of primary steel products.</w:t>
      </w:r>
    </w:p>
    <w:p w14:paraId="24F5C1E3" w14:textId="77777777" w:rsidR="00F05CD4" w:rsidRDefault="00F05CD4" w:rsidP="00350E33">
      <w:pPr>
        <w:spacing w:before="120" w:after="120"/>
        <w:jc w:val="both"/>
      </w:pPr>
      <w:r>
        <w:t xml:space="preserve">Government action to address dumping and foreign subsidisation, consistent with WTO rules, is intended to create a level playing field for Australian industries with imports. Where there is evidence of dumping and foreign subsidisation, </w:t>
      </w:r>
      <w:r w:rsidR="00A9076B">
        <w:t>verified through a thorough</w:t>
      </w:r>
      <w:r>
        <w:t xml:space="preserve"> investigation by the Anti-Dumping Commission, the imposition of anti-dumping and countervailing duties allows Australian industries to compete on their merits with imported products. </w:t>
      </w:r>
    </w:p>
    <w:p w14:paraId="031BD685" w14:textId="77777777" w:rsidR="00F05CD4" w:rsidRDefault="00F05CD4" w:rsidP="00350E33">
      <w:pPr>
        <w:spacing w:before="120" w:after="120"/>
        <w:jc w:val="both"/>
      </w:pPr>
      <w:r>
        <w:t xml:space="preserve">The Commission notes that in recent consultations with downstream industries affected by anti-dumping measures, there has been general support for a level playing field for both upstream and downstream businesses and for government action to address unfair trading practices. </w:t>
      </w:r>
    </w:p>
    <w:p w14:paraId="5E015081" w14:textId="77777777" w:rsidR="005A49F4" w:rsidRDefault="005A49F4" w:rsidP="00350E33">
      <w:pPr>
        <w:spacing w:before="120" w:after="120"/>
        <w:jc w:val="both"/>
      </w:pPr>
      <w:r>
        <w:t>Further, the Commission notes that its investigation and review processes are transparent and consultative to ensure that decisions by the Minister and by the Commissioner (as provided for under the legislation) are based on sound and robust evidence and analysis. The Commission encourages all industry participants and other stakeholders affected by these decisions to participate in</w:t>
      </w:r>
      <w:r w:rsidRPr="00EE1E27">
        <w:t xml:space="preserve"> </w:t>
      </w:r>
      <w:r>
        <w:t xml:space="preserve">the Commission’s </w:t>
      </w:r>
      <w:r w:rsidRPr="005A49F4">
        <w:t>investigation</w:t>
      </w:r>
      <w:r>
        <w:t>s</w:t>
      </w:r>
      <w:r w:rsidRPr="005A49F4">
        <w:t xml:space="preserve"> and review</w:t>
      </w:r>
      <w:r>
        <w:t>s to present evidence and submit their views.</w:t>
      </w:r>
      <w:r w:rsidRPr="005A49F4">
        <w:t xml:space="preserve"> </w:t>
      </w:r>
      <w:r>
        <w:t xml:space="preserve">The Commission encourages broad involvement in its processes, not just by industry applicants seeking measures where there is evidence of dumping and/or subsidisation, but also by </w:t>
      </w:r>
      <w:r w:rsidRPr="00EE1E27">
        <w:t xml:space="preserve">industry participants wishing to make submissions to investigations and </w:t>
      </w:r>
      <w:r>
        <w:t>by</w:t>
      </w:r>
      <w:r w:rsidRPr="00EE1E27">
        <w:t xml:space="preserve"> importers seeking duty assessments and/or reviews of measures</w:t>
      </w:r>
      <w:r>
        <w:t>.</w:t>
      </w:r>
    </w:p>
    <w:p w14:paraId="737A5ACD" w14:textId="778301ED" w:rsidR="00F05CD4" w:rsidRDefault="00432B04" w:rsidP="00213E59">
      <w:pPr>
        <w:spacing w:before="120" w:after="120"/>
        <w:jc w:val="both"/>
      </w:pPr>
      <w:r>
        <w:t>As noted in this section of the report, d</w:t>
      </w:r>
      <w:r w:rsidRPr="00AD50BF">
        <w:t xml:space="preserve">istortions to global steel </w:t>
      </w:r>
      <w:r w:rsidR="00F24DF9">
        <w:t>fabricati</w:t>
      </w:r>
      <w:r w:rsidR="00213E59">
        <w:t>o</w:t>
      </w:r>
      <w:r w:rsidR="00F24DF9">
        <w:t>n</w:t>
      </w:r>
      <w:r w:rsidRPr="00AD50BF">
        <w:t xml:space="preserve"> markets caused by dumping and foreign subsidisation </w:t>
      </w:r>
      <w:r w:rsidR="00546B8E">
        <w:t>m</w:t>
      </w:r>
      <w:r>
        <w:t>a</w:t>
      </w:r>
      <w:r w:rsidR="00546B8E">
        <w:t>y</w:t>
      </w:r>
      <w:r>
        <w:t xml:space="preserve"> have</w:t>
      </w:r>
      <w:r w:rsidRPr="00AD50BF">
        <w:t xml:space="preserve"> </w:t>
      </w:r>
      <w:r>
        <w:t>negative impacts on</w:t>
      </w:r>
      <w:r w:rsidRPr="00AD50BF">
        <w:t xml:space="preserve"> Australian steel fabricators.</w:t>
      </w:r>
      <w:r>
        <w:t xml:space="preserve"> The anti-dumping system is available to assist Australian steel </w:t>
      </w:r>
      <w:r w:rsidR="00F24DF9" w:rsidRPr="00F24DF9">
        <w:t xml:space="preserve">fabricators </w:t>
      </w:r>
      <w:r>
        <w:t>that are materially injured by dumping and/or foreign subsidisation</w:t>
      </w:r>
      <w:r w:rsidR="00F05CD4">
        <w:t>.</w:t>
      </w:r>
    </w:p>
    <w:p w14:paraId="37FA5792" w14:textId="3D47B97A" w:rsidR="00656E9C" w:rsidRDefault="00656E9C" w:rsidP="00213E59">
      <w:pPr>
        <w:spacing w:before="120" w:after="120"/>
        <w:jc w:val="both"/>
      </w:pPr>
      <w:r>
        <w:t xml:space="preserve">Chapter 6 discusses trends in trade remedies on steel </w:t>
      </w:r>
      <w:r w:rsidR="00F24DF9" w:rsidRPr="00AD50BF">
        <w:t>fabricat</w:t>
      </w:r>
      <w:r w:rsidR="00F24DF9">
        <w:t xml:space="preserve">ed </w:t>
      </w:r>
      <w:r>
        <w:t xml:space="preserve">products and </w:t>
      </w:r>
      <w:r w:rsidR="00666EBC">
        <w:t xml:space="preserve">canvasses </w:t>
      </w:r>
      <w:r>
        <w:t xml:space="preserve">some reasons why Australian steel fabricators have not made more use of their ability to make applications for trade remedies to address the dumping and foreign subsidisation of steel </w:t>
      </w:r>
      <w:r w:rsidR="00F24DF9" w:rsidRPr="00AD50BF">
        <w:t>fabricat</w:t>
      </w:r>
      <w:r w:rsidR="00F24DF9">
        <w:t xml:space="preserve">ed </w:t>
      </w:r>
      <w:r>
        <w:t>products.</w:t>
      </w:r>
      <w:r w:rsidR="005A49F4">
        <w:t xml:space="preserve"> Options for improving access to the anti-dumping system are discussed in chapter 7. </w:t>
      </w:r>
    </w:p>
    <w:p w14:paraId="19FE4180" w14:textId="5A21B293" w:rsidR="00656E9C" w:rsidRDefault="00BC47F2" w:rsidP="00BC47F2">
      <w:pPr>
        <w:pStyle w:val="Heading3"/>
      </w:pPr>
      <w:r>
        <w:t xml:space="preserve">Other factors affecting the Australian steel </w:t>
      </w:r>
      <w:r w:rsidR="00F24DF9" w:rsidRPr="00AD50BF">
        <w:t>fabricat</w:t>
      </w:r>
      <w:r w:rsidR="00F24DF9">
        <w:t>i</w:t>
      </w:r>
      <w:r w:rsidR="00213E59">
        <w:t>o</w:t>
      </w:r>
      <w:r w:rsidR="00F24DF9">
        <w:t xml:space="preserve">n </w:t>
      </w:r>
      <w:r>
        <w:t>market</w:t>
      </w:r>
    </w:p>
    <w:p w14:paraId="4A238D96" w14:textId="368DEE6F" w:rsidR="00BC47F2" w:rsidRDefault="00BC47F2" w:rsidP="00213E59">
      <w:pPr>
        <w:spacing w:before="120" w:after="120"/>
        <w:jc w:val="both"/>
      </w:pPr>
      <w:r>
        <w:t xml:space="preserve">While the focus of this chapter is on the impacts of dumping and foreign subsidisation of steel products for Australian steel </w:t>
      </w:r>
      <w:r w:rsidR="00F24DF9" w:rsidRPr="00AD50BF">
        <w:t>fabricators</w:t>
      </w:r>
      <w:r>
        <w:t xml:space="preserve">, the Commission notes that steel </w:t>
      </w:r>
      <w:r w:rsidR="00F24DF9" w:rsidRPr="00AD50BF">
        <w:t>fabricators</w:t>
      </w:r>
      <w:r w:rsidR="00F24DF9">
        <w:t xml:space="preserve"> </w:t>
      </w:r>
      <w:r>
        <w:t xml:space="preserve">have expressed concerns about other </w:t>
      </w:r>
      <w:r w:rsidR="00113709">
        <w:t xml:space="preserve">supply-related </w:t>
      </w:r>
      <w:r>
        <w:t>factors.</w:t>
      </w:r>
    </w:p>
    <w:p w14:paraId="50FB9546" w14:textId="674A836F" w:rsidR="00681384" w:rsidRPr="00113709" w:rsidRDefault="00BC47F2" w:rsidP="00213E59">
      <w:pPr>
        <w:spacing w:before="120" w:after="120"/>
        <w:jc w:val="both"/>
      </w:pPr>
      <w:r>
        <w:t>L</w:t>
      </w:r>
      <w:r w:rsidRPr="006862CE">
        <w:t xml:space="preserve">ocal </w:t>
      </w:r>
      <w:r>
        <w:t xml:space="preserve">steel </w:t>
      </w:r>
      <w:r w:rsidRPr="006862CE">
        <w:t xml:space="preserve">manufacturers </w:t>
      </w:r>
      <w:r>
        <w:t>have raised concerns about</w:t>
      </w:r>
      <w:r w:rsidRPr="006862CE">
        <w:t xml:space="preserve"> </w:t>
      </w:r>
      <w:r>
        <w:t xml:space="preserve">the </w:t>
      </w:r>
      <w:r w:rsidRPr="006862CE">
        <w:t>engineering quality of imported</w:t>
      </w:r>
      <w:r>
        <w:t xml:space="preserve"> </w:t>
      </w:r>
      <w:r w:rsidR="00F24DF9" w:rsidRPr="00AD50BF">
        <w:t>fabricat</w:t>
      </w:r>
      <w:r w:rsidR="00F24DF9">
        <w:t xml:space="preserve">ed </w:t>
      </w:r>
      <w:r>
        <w:t>steel</w:t>
      </w:r>
      <w:r w:rsidRPr="006862CE">
        <w:t xml:space="preserve"> products, </w:t>
      </w:r>
      <w:r>
        <w:t xml:space="preserve">and the quality of the primary steel inputs used in their manufacture, </w:t>
      </w:r>
      <w:r w:rsidRPr="006862CE">
        <w:t xml:space="preserve">especially whether they meet relevant </w:t>
      </w:r>
      <w:r>
        <w:t xml:space="preserve">Australian </w:t>
      </w:r>
      <w:r w:rsidRPr="006862CE">
        <w:t xml:space="preserve">industry compliance standards. </w:t>
      </w:r>
    </w:p>
    <w:p w14:paraId="5E9A79D7" w14:textId="77777777" w:rsidR="00822960" w:rsidRPr="00822960" w:rsidRDefault="00822960" w:rsidP="00213E59">
      <w:pPr>
        <w:spacing w:before="120" w:after="120"/>
        <w:jc w:val="both"/>
      </w:pPr>
      <w:r>
        <w:t xml:space="preserve">The Ai Group </w:t>
      </w:r>
      <w:r w:rsidR="00113709">
        <w:t>has</w:t>
      </w:r>
      <w:r>
        <w:t xml:space="preserve"> raised concerns about government procurement processes and ensuring ‘</w:t>
      </w:r>
      <w:r w:rsidRPr="00822960">
        <w:t>Australian steel makers and fabricators businesses have real and fair opportunities to compete in providing goods and services to major Australian projects’.</w:t>
      </w:r>
      <w:r w:rsidR="00113709" w:rsidRPr="00113709">
        <w:rPr>
          <w:vertAlign w:val="superscript"/>
        </w:rPr>
        <w:footnoteReference w:id="48"/>
      </w:r>
      <w:r w:rsidRPr="00822960">
        <w:t xml:space="preserve"> </w:t>
      </w:r>
    </w:p>
    <w:p w14:paraId="67411E05" w14:textId="77777777" w:rsidR="00B6064E" w:rsidRDefault="00B6064E" w:rsidP="00213E59">
      <w:pPr>
        <w:spacing w:before="120" w:after="120"/>
        <w:jc w:val="both"/>
      </w:pPr>
      <w:r>
        <w:t xml:space="preserve">The </w:t>
      </w:r>
      <w:r w:rsidR="008C7AF5">
        <w:t>g</w:t>
      </w:r>
      <w:r>
        <w:t xml:space="preserve">overnment recently made changes to the way it buys goods and services to help ensure equitable access to </w:t>
      </w:r>
      <w:r w:rsidR="008C7AF5">
        <w:t>g</w:t>
      </w:r>
      <w:r>
        <w:t>overnment contracts for Australian companies, particularly small businesses. These changes include:</w:t>
      </w:r>
    </w:p>
    <w:p w14:paraId="48299BC1" w14:textId="77777777" w:rsidR="00B6064E" w:rsidRDefault="00B6064E" w:rsidP="00213E59">
      <w:pPr>
        <w:pStyle w:val="ListParagraph"/>
        <w:numPr>
          <w:ilvl w:val="0"/>
          <w:numId w:val="22"/>
        </w:numPr>
        <w:spacing w:before="120" w:after="120"/>
        <w:jc w:val="both"/>
      </w:pPr>
      <w:r>
        <w:t>Revised Commonwealth Procurement Rules that require a consideration of the economic benefits of procurement to the Australian economy for non-construction procurement above $4 million and construction procurement above $7.5 million.</w:t>
      </w:r>
    </w:p>
    <w:p w14:paraId="7F491134" w14:textId="77777777" w:rsidR="00822960" w:rsidRDefault="00B6064E" w:rsidP="00213E59">
      <w:pPr>
        <w:pStyle w:val="ListParagraph"/>
        <w:numPr>
          <w:ilvl w:val="0"/>
          <w:numId w:val="22"/>
        </w:numPr>
        <w:spacing w:before="120" w:after="120"/>
        <w:jc w:val="both"/>
      </w:pPr>
      <w:r>
        <w:t xml:space="preserve">The introduction of the Code for the Tendering and Performance of Building Work (2016) which requires preferred tenderers for </w:t>
      </w:r>
      <w:r w:rsidR="008C7AF5">
        <w:t>g</w:t>
      </w:r>
      <w:r>
        <w:t>overnment construction contracts to provide information on the extent to which domestically sourced materials will be used on the project and the impact on local jobs and skills growth.</w:t>
      </w:r>
    </w:p>
    <w:p w14:paraId="3125ECC8" w14:textId="60E5C5CB" w:rsidR="001F1715" w:rsidRDefault="006279E8" w:rsidP="00213E59">
      <w:pPr>
        <w:spacing w:before="120" w:after="120"/>
        <w:jc w:val="both"/>
      </w:pPr>
      <w:r>
        <w:t>In consultations conducted by the Commission in preparing this report, s</w:t>
      </w:r>
      <w:r w:rsidR="001F1715">
        <w:t xml:space="preserve">ome steel </w:t>
      </w:r>
      <w:r w:rsidR="00F24DF9" w:rsidRPr="00AD50BF">
        <w:t>fabricators</w:t>
      </w:r>
      <w:r w:rsidR="00F24DF9">
        <w:t xml:space="preserve"> </w:t>
      </w:r>
      <w:r>
        <w:t>stated that the imposition of anti-dumping duties on imported primary steel inputs could cause financial difficulties where projects are being supplied under existing fixed price contracts. The Commission recognises this concern and notes that such issues can arise with increases in other input costs during the term of a contract. A potential solution is to negotiate contractual terms that provide for pass-through of specified unavoidable input cost increases.</w:t>
      </w:r>
    </w:p>
    <w:p w14:paraId="16F975EC" w14:textId="77777777" w:rsidR="00113DB0" w:rsidRDefault="00CF7A37" w:rsidP="00113DB0">
      <w:pPr>
        <w:pStyle w:val="Heading2"/>
      </w:pPr>
      <w:r>
        <w:t>Conclusions</w:t>
      </w:r>
    </w:p>
    <w:p w14:paraId="7B2D9A39" w14:textId="31F20B3E" w:rsidR="00657B9C" w:rsidRDefault="00657B9C" w:rsidP="004D6388">
      <w:pPr>
        <w:spacing w:before="120" w:after="120"/>
        <w:jc w:val="both"/>
      </w:pPr>
      <w:r>
        <w:t xml:space="preserve">The anti-dumping system is available to assist Australian industries, including the steel </w:t>
      </w:r>
      <w:r w:rsidR="00F24DF9" w:rsidRPr="00AD50BF">
        <w:t>fabricat</w:t>
      </w:r>
      <w:r w:rsidR="00F24DF9">
        <w:t>i</w:t>
      </w:r>
      <w:r w:rsidR="004D6388">
        <w:t>o</w:t>
      </w:r>
      <w:r w:rsidR="00F24DF9">
        <w:t xml:space="preserve">n </w:t>
      </w:r>
      <w:r>
        <w:t>industry, where there is evidence that they are materially injured by dumping and/or foreign subsidisation.</w:t>
      </w:r>
    </w:p>
    <w:p w14:paraId="1F828574" w14:textId="5AC07F9C" w:rsidR="00415CF2" w:rsidRDefault="00415CF2" w:rsidP="004D6388">
      <w:pPr>
        <w:spacing w:before="120" w:after="120"/>
        <w:jc w:val="both"/>
      </w:pPr>
      <w:r>
        <w:t xml:space="preserve">While there is limited detailed information on the performance of global steel </w:t>
      </w:r>
      <w:r w:rsidR="00F24DF9" w:rsidRPr="00AD50BF">
        <w:t>fabricat</w:t>
      </w:r>
      <w:r w:rsidR="00F24DF9">
        <w:t>i</w:t>
      </w:r>
      <w:r w:rsidR="004D6388">
        <w:t>o</w:t>
      </w:r>
      <w:r w:rsidR="00F24DF9">
        <w:t xml:space="preserve">n </w:t>
      </w:r>
      <w:r>
        <w:t xml:space="preserve">markets, there </w:t>
      </w:r>
      <w:r w:rsidR="00FF227C">
        <w:t>are grounds for expecting</w:t>
      </w:r>
      <w:r>
        <w:t xml:space="preserve"> that c</w:t>
      </w:r>
      <w:r w:rsidRPr="00415CF2">
        <w:t xml:space="preserve">ontinuing </w:t>
      </w:r>
      <w:r w:rsidR="005B0775">
        <w:t xml:space="preserve">excess </w:t>
      </w:r>
      <w:r w:rsidR="005B0775" w:rsidRPr="00415CF2">
        <w:t xml:space="preserve">capacity </w:t>
      </w:r>
      <w:r w:rsidRPr="00415CF2">
        <w:t xml:space="preserve">and </w:t>
      </w:r>
      <w:r w:rsidR="00FF227C">
        <w:t xml:space="preserve">a sustained </w:t>
      </w:r>
      <w:r w:rsidR="005B0775">
        <w:t>demand/</w:t>
      </w:r>
      <w:r w:rsidR="005B0775" w:rsidRPr="00415CF2">
        <w:t xml:space="preserve">production </w:t>
      </w:r>
      <w:r w:rsidR="005B0775">
        <w:t xml:space="preserve">imbalance </w:t>
      </w:r>
      <w:r w:rsidRPr="00415CF2">
        <w:t xml:space="preserve">in global primary steel markets </w:t>
      </w:r>
      <w:r w:rsidR="00FF227C">
        <w:t xml:space="preserve">could </w:t>
      </w:r>
      <w:r>
        <w:t>have had negative impacts on the Australian</w:t>
      </w:r>
      <w:r w:rsidRPr="00415CF2">
        <w:t xml:space="preserve"> steel </w:t>
      </w:r>
      <w:r w:rsidR="004D6388">
        <w:t>f</w:t>
      </w:r>
      <w:r w:rsidR="00F24DF9" w:rsidRPr="00AD50BF">
        <w:t>abricat</w:t>
      </w:r>
      <w:r w:rsidR="00F24DF9">
        <w:t>i</w:t>
      </w:r>
      <w:r w:rsidR="004D6388">
        <w:t>o</w:t>
      </w:r>
      <w:r w:rsidR="00F24DF9">
        <w:t xml:space="preserve">n </w:t>
      </w:r>
      <w:r w:rsidRPr="00415CF2">
        <w:t>industr</w:t>
      </w:r>
      <w:r>
        <w:t>y</w:t>
      </w:r>
      <w:r w:rsidRPr="00415CF2">
        <w:t xml:space="preserve">. </w:t>
      </w:r>
    </w:p>
    <w:p w14:paraId="6D4679A5" w14:textId="5AD2D877" w:rsidR="00415CF2" w:rsidRDefault="00E55A69" w:rsidP="004D6388">
      <w:pPr>
        <w:spacing w:before="120" w:after="120"/>
        <w:jc w:val="both"/>
      </w:pPr>
      <w:r>
        <w:t>Despite a reduction in</w:t>
      </w:r>
      <w:r w:rsidR="00415CF2">
        <w:t xml:space="preserve"> Australia’s imports of selected steel </w:t>
      </w:r>
      <w:r w:rsidR="00F24DF9" w:rsidRPr="00AD50BF">
        <w:t>fabricat</w:t>
      </w:r>
      <w:r w:rsidR="00F24DF9">
        <w:t xml:space="preserve">ed </w:t>
      </w:r>
      <w:r w:rsidR="00415CF2">
        <w:t>products in 2016, they remain historically high compared to a decade earlier, despite the end of the investment phase of the mining boom in 2012. The main product group imported in 2016 was structures and parts of structures. More than 50 per cent of imports came from China and Thailand.</w:t>
      </w:r>
    </w:p>
    <w:p w14:paraId="43B5AC39" w14:textId="79F2160A" w:rsidR="00415CF2" w:rsidRDefault="00FF227C" w:rsidP="004D6388">
      <w:pPr>
        <w:spacing w:before="120" w:after="120"/>
        <w:jc w:val="both"/>
      </w:pPr>
      <w:r>
        <w:t xml:space="preserve">The sustained </w:t>
      </w:r>
      <w:r w:rsidR="005B0775">
        <w:t xml:space="preserve">imbalance between the demand and </w:t>
      </w:r>
      <w:r w:rsidR="005B0775" w:rsidRPr="00415CF2">
        <w:t xml:space="preserve">production </w:t>
      </w:r>
      <w:r w:rsidR="00415CF2" w:rsidRPr="00415CF2">
        <w:t xml:space="preserve">of primary steel </w:t>
      </w:r>
      <w:r>
        <w:t>could</w:t>
      </w:r>
      <w:r w:rsidR="00415CF2">
        <w:t xml:space="preserve"> </w:t>
      </w:r>
      <w:r w:rsidR="005B0775">
        <w:t>create conditions</w:t>
      </w:r>
      <w:r w:rsidR="00415CF2" w:rsidRPr="00415CF2">
        <w:t xml:space="preserve"> in the </w:t>
      </w:r>
      <w:r w:rsidR="00415CF2">
        <w:t xml:space="preserve">global </w:t>
      </w:r>
      <w:r w:rsidR="00415CF2" w:rsidRPr="00415CF2">
        <w:t xml:space="preserve">steel </w:t>
      </w:r>
      <w:r w:rsidR="00F24DF9" w:rsidRPr="00AD50BF">
        <w:t>fabricat</w:t>
      </w:r>
      <w:r w:rsidR="00F24DF9">
        <w:t>i</w:t>
      </w:r>
      <w:r w:rsidR="004D6388">
        <w:t>o</w:t>
      </w:r>
      <w:r w:rsidR="00F24DF9">
        <w:t xml:space="preserve">n </w:t>
      </w:r>
      <w:r w:rsidR="00415CF2">
        <w:t>market</w:t>
      </w:r>
      <w:r w:rsidR="005B0775">
        <w:t xml:space="preserve"> that result in a similar imbalance between demand and </w:t>
      </w:r>
      <w:r>
        <w:t>production</w:t>
      </w:r>
      <w:r w:rsidR="00415CF2" w:rsidRPr="00415CF2">
        <w:t xml:space="preserve">. </w:t>
      </w:r>
      <w:r w:rsidR="005B0775">
        <w:t xml:space="preserve">An imbalance </w:t>
      </w:r>
      <w:r w:rsidR="00F1263C">
        <w:t>between p</w:t>
      </w:r>
      <w:r w:rsidR="00415CF2" w:rsidRPr="00415CF2">
        <w:t>rimary steel production</w:t>
      </w:r>
      <w:r w:rsidR="00F1263C">
        <w:t xml:space="preserve"> and demand</w:t>
      </w:r>
      <w:r w:rsidR="00415CF2" w:rsidRPr="00415CF2">
        <w:t xml:space="preserve"> </w:t>
      </w:r>
      <w:r>
        <w:t>could</w:t>
      </w:r>
      <w:r w:rsidRPr="00415CF2">
        <w:t xml:space="preserve"> </w:t>
      </w:r>
      <w:r w:rsidR="00415CF2" w:rsidRPr="00415CF2">
        <w:t xml:space="preserve">also create distortions in markets for steel </w:t>
      </w:r>
      <w:r w:rsidR="00F24DF9" w:rsidRPr="00AD50BF">
        <w:t>fabricat</w:t>
      </w:r>
      <w:r w:rsidR="00F24DF9">
        <w:t xml:space="preserve">ed </w:t>
      </w:r>
      <w:r w:rsidR="00415CF2" w:rsidRPr="00415CF2">
        <w:t>products as a result of responses by some exporters to trade remedies on primary steel products that are being dumped or subsidised.</w:t>
      </w:r>
      <w:r w:rsidR="00415CF2">
        <w:t xml:space="preserve"> </w:t>
      </w:r>
    </w:p>
    <w:p w14:paraId="2B9CD529" w14:textId="77777777" w:rsidR="00415CF2" w:rsidRDefault="00415CF2" w:rsidP="004D6388">
      <w:pPr>
        <w:spacing w:before="120" w:after="120"/>
        <w:jc w:val="both"/>
      </w:pPr>
      <w:r>
        <w:t xml:space="preserve">Despite signs of a modest recovery in the global steel market, excess capacity and </w:t>
      </w:r>
      <w:r w:rsidR="00F1263C">
        <w:t>the demand/production imbalance for</w:t>
      </w:r>
      <w:r>
        <w:t xml:space="preserve"> primary steel products continues. </w:t>
      </w:r>
      <w:r w:rsidR="00566993">
        <w:t>The OECD and G20 nations have expressed concerns about e</w:t>
      </w:r>
      <w:r>
        <w:t xml:space="preserve">conomically inefficient government interventions and trading restrictions as a major cause of the continuing failure to address </w:t>
      </w:r>
      <w:r w:rsidR="005B0775">
        <w:t xml:space="preserve">excess capacity </w:t>
      </w:r>
      <w:r>
        <w:t xml:space="preserve">and </w:t>
      </w:r>
      <w:r w:rsidR="005B0775">
        <w:t>the demand/production imbalance for</w:t>
      </w:r>
      <w:r>
        <w:t xml:space="preserve"> primary steel products.</w:t>
      </w:r>
    </w:p>
    <w:p w14:paraId="3AAA4030" w14:textId="77777777" w:rsidR="00461692" w:rsidRDefault="00975528" w:rsidP="004D6388">
      <w:pPr>
        <w:spacing w:before="120" w:after="120"/>
        <w:jc w:val="both"/>
      </w:pPr>
      <w:r>
        <w:t>C</w:t>
      </w:r>
      <w:r w:rsidR="00461692">
        <w:t xml:space="preserve">ontinuing </w:t>
      </w:r>
      <w:r w:rsidR="00F1263C">
        <w:t>demand/production imbalance</w:t>
      </w:r>
      <w:r>
        <w:t>s</w:t>
      </w:r>
      <w:r w:rsidR="00F1263C">
        <w:t xml:space="preserve"> for </w:t>
      </w:r>
      <w:r w:rsidR="00461692">
        <w:t>these product</w:t>
      </w:r>
      <w:r>
        <w:t xml:space="preserve"> market</w:t>
      </w:r>
      <w:r w:rsidR="00461692">
        <w:t xml:space="preserve">s </w:t>
      </w:r>
      <w:r w:rsidR="00FF227C">
        <w:t>c</w:t>
      </w:r>
      <w:r w:rsidR="00566993">
        <w:t xml:space="preserve">ould </w:t>
      </w:r>
      <w:r w:rsidR="00461692">
        <w:t xml:space="preserve">continue to place pressure on steel </w:t>
      </w:r>
      <w:r w:rsidR="00F24DF9">
        <w:t>manufacturing/</w:t>
      </w:r>
      <w:r w:rsidR="00F24DF9" w:rsidRPr="00AD50BF">
        <w:t>fabricat</w:t>
      </w:r>
      <w:r w:rsidR="00F24DF9">
        <w:t xml:space="preserve">ing </w:t>
      </w:r>
      <w:r w:rsidR="00461692">
        <w:t>businesses, including in the Australian industry.</w:t>
      </w:r>
    </w:p>
    <w:p w14:paraId="306D576B" w14:textId="2C5FF34C" w:rsidR="000D061F" w:rsidRDefault="00975528" w:rsidP="004D6388">
      <w:pPr>
        <w:spacing w:before="120" w:after="120"/>
        <w:jc w:val="both"/>
      </w:pPr>
      <w:r>
        <w:t xml:space="preserve">The Commission is unable to </w:t>
      </w:r>
      <w:r w:rsidR="002B4203">
        <w:t>reach</w:t>
      </w:r>
      <w:r>
        <w:t xml:space="preserve"> general conclusions on whether Australian steel </w:t>
      </w:r>
      <w:r w:rsidR="00F24DF9" w:rsidRPr="00AD50BF">
        <w:t>fabricators</w:t>
      </w:r>
      <w:r w:rsidR="00F24DF9">
        <w:t xml:space="preserve"> </w:t>
      </w:r>
      <w:r>
        <w:t xml:space="preserve">are being materially injured by dumped and/or subsidised </w:t>
      </w:r>
      <w:r w:rsidR="00F24DF9" w:rsidRPr="00AD50BF">
        <w:t>fabricat</w:t>
      </w:r>
      <w:r w:rsidR="00F24DF9">
        <w:t xml:space="preserve">ed </w:t>
      </w:r>
      <w:r>
        <w:t>products imported into Australia</w:t>
      </w:r>
      <w:r w:rsidR="002B4203">
        <w:t>—</w:t>
      </w:r>
      <w:r>
        <w:t>despite</w:t>
      </w:r>
      <w:r w:rsidR="002B4203">
        <w:t xml:space="preserve"> </w:t>
      </w:r>
      <w:r>
        <w:t xml:space="preserve">the potential for such injury to come about as a result of global excess capacity and demand/production imbalances for primary steel products. </w:t>
      </w:r>
    </w:p>
    <w:p w14:paraId="6DBF5F83" w14:textId="77777777" w:rsidR="00975528" w:rsidRDefault="00975528" w:rsidP="004D6388">
      <w:pPr>
        <w:spacing w:before="120" w:after="120"/>
        <w:jc w:val="both"/>
      </w:pPr>
      <w:r>
        <w:t xml:space="preserve">Where there are sufficient grounds to initiate an investigation </w:t>
      </w:r>
      <w:r w:rsidR="000D061F">
        <w:t>following an application by an Australian industry</w:t>
      </w:r>
      <w:r>
        <w:t xml:space="preserve">, the Commission </w:t>
      </w:r>
      <w:r w:rsidR="000D061F">
        <w:t>can</w:t>
      </w:r>
      <w:r>
        <w:t xml:space="preserve"> undertake a thorough and comprehensive assessment of the evidence</w:t>
      </w:r>
      <w:r w:rsidR="000D061F">
        <w:t xml:space="preserve"> and make findings for the specific products markets that are investigated</w:t>
      </w:r>
      <w:r>
        <w:t xml:space="preserve">. </w:t>
      </w:r>
      <w:r w:rsidR="000D061F">
        <w:t>During any such investigation,</w:t>
      </w:r>
      <w:r>
        <w:t xml:space="preserve"> the Commission </w:t>
      </w:r>
      <w:r w:rsidR="000D061F">
        <w:t>would</w:t>
      </w:r>
      <w:r>
        <w:t xml:space="preserve"> fully investigate and analyse conditions in the specific product markets relevant to the application and identify the factors influencing the performance of the Australian industry.</w:t>
      </w:r>
    </w:p>
    <w:p w14:paraId="7F088541" w14:textId="04ECFC2A" w:rsidR="00F011F1" w:rsidRDefault="00F011F1">
      <w:pPr>
        <w:spacing w:after="160" w:line="259" w:lineRule="auto"/>
      </w:pPr>
      <w:r>
        <w:br w:type="page"/>
      </w:r>
    </w:p>
    <w:p w14:paraId="6FB99E71" w14:textId="77777777" w:rsidR="00F011F1" w:rsidRDefault="00F011F1" w:rsidP="00F011F1">
      <w:pPr>
        <w:pStyle w:val="Heading1"/>
        <w:spacing w:after="240"/>
        <w:ind w:left="431" w:hanging="431"/>
      </w:pPr>
      <w:bookmarkStart w:id="56" w:name="_Toc487532420"/>
      <w:r>
        <w:t xml:space="preserve">Steel fabricated </w:t>
      </w:r>
      <w:bookmarkEnd w:id="56"/>
      <w:r>
        <w:t xml:space="preserve">imports and dumping duties on primary steel products—some examples </w:t>
      </w:r>
    </w:p>
    <w:p w14:paraId="3F005075" w14:textId="77777777" w:rsidR="00F011F1" w:rsidRPr="00F43234" w:rsidRDefault="00F011F1" w:rsidP="00F011F1">
      <w:pPr>
        <w:pStyle w:val="Style3"/>
        <w:pBdr>
          <w:bottom w:val="single" w:sz="4" w:space="6" w:color="auto"/>
        </w:pBdr>
        <w:rPr>
          <w:b/>
        </w:rPr>
      </w:pPr>
      <w:r w:rsidRPr="00F43234">
        <w:rPr>
          <w:b/>
        </w:rPr>
        <w:t>Key points</w:t>
      </w:r>
    </w:p>
    <w:p w14:paraId="0A1B78A4" w14:textId="77777777" w:rsidR="00F011F1" w:rsidRDefault="00F011F1" w:rsidP="00F011F1">
      <w:pPr>
        <w:pStyle w:val="Keypointsdotpoint"/>
        <w:pBdr>
          <w:bottom w:val="single" w:sz="4" w:space="6" w:color="auto"/>
        </w:pBdr>
        <w:ind w:left="357" w:hanging="357"/>
        <w:jc w:val="both"/>
      </w:pPr>
      <w:r>
        <w:t>The Commission has undertaken an analysis of imports into Australia of steel fabricated goods made using selected primary steel products that are subject to anti-dumping measures over the ten year period to 2016. Due to data limitations, and the difficulty of separating out the impacts of other factors influencing imports of fabricated products, the results are indicative only.</w:t>
      </w:r>
    </w:p>
    <w:p w14:paraId="5AEFE0C7" w14:textId="77777777" w:rsidR="00F011F1" w:rsidRDefault="00F011F1" w:rsidP="00F011F1">
      <w:pPr>
        <w:pStyle w:val="Keypointsdotpoint"/>
        <w:pBdr>
          <w:bottom w:val="single" w:sz="4" w:space="6" w:color="auto"/>
        </w:pBdr>
        <w:ind w:left="357" w:hanging="357"/>
        <w:jc w:val="both"/>
      </w:pPr>
      <w:r>
        <w:t xml:space="preserve">For some steel fabricated products, there is data showing a noticeable increase in imports of these products following the imposition of measures on the primary steel input to their production. Further analysis is necessary to establish the extent to which the increases in steel fabricated imports reflect flow-on effects from distortions in markets for the primary steel input or whether they reflect other factors influencing the markets for the steel fabricated products. </w:t>
      </w:r>
    </w:p>
    <w:p w14:paraId="3F8F0AC9" w14:textId="77777777" w:rsidR="00F011F1" w:rsidRDefault="00F011F1" w:rsidP="00F011F1">
      <w:pPr>
        <w:pStyle w:val="Style7"/>
      </w:pPr>
    </w:p>
    <w:p w14:paraId="6D9D8859" w14:textId="77777777" w:rsidR="00F011F1" w:rsidRDefault="00F011F1" w:rsidP="00F011F1">
      <w:pPr>
        <w:pStyle w:val="Style7"/>
        <w:jc w:val="both"/>
      </w:pPr>
      <w:r w:rsidRPr="00E47475">
        <w:t>C</w:t>
      </w:r>
      <w:r>
        <w:t>hapter 4 explained how c</w:t>
      </w:r>
      <w:r w:rsidRPr="00E47475">
        <w:t xml:space="preserve">ontinuing </w:t>
      </w:r>
      <w:r>
        <w:t xml:space="preserve">excess </w:t>
      </w:r>
      <w:r w:rsidRPr="00E47475">
        <w:t xml:space="preserve">capacity and </w:t>
      </w:r>
      <w:r>
        <w:t>t</w:t>
      </w:r>
      <w:r w:rsidRPr="00335314">
        <w:t xml:space="preserve">he demand/production imbalance </w:t>
      </w:r>
      <w:r w:rsidRPr="00E47475">
        <w:t xml:space="preserve">in global primary steel markets </w:t>
      </w:r>
      <w:r>
        <w:t>could have adverse impacts on global and Australian</w:t>
      </w:r>
      <w:r w:rsidRPr="00E47475">
        <w:t xml:space="preserve"> steel </w:t>
      </w:r>
      <w:r>
        <w:t xml:space="preserve">fabrication </w:t>
      </w:r>
      <w:r w:rsidRPr="00E47475">
        <w:t>industries</w:t>
      </w:r>
      <w:r>
        <w:t>.</w:t>
      </w:r>
      <w:r w:rsidRPr="00E47475">
        <w:t xml:space="preserve"> </w:t>
      </w:r>
      <w:r>
        <w:t>Specifically, a sustained demand/</w:t>
      </w:r>
      <w:r w:rsidRPr="00E7479C">
        <w:t xml:space="preserve"> </w:t>
      </w:r>
      <w:r>
        <w:t>production</w:t>
      </w:r>
      <w:r w:rsidRPr="00E7479C">
        <w:t xml:space="preserve"> </w:t>
      </w:r>
      <w:r>
        <w:t>imbalance for primary steel products could</w:t>
      </w:r>
      <w:r w:rsidRPr="00E7479C">
        <w:t xml:space="preserve"> lead to </w:t>
      </w:r>
      <w:r>
        <w:t>a similar imbalance</w:t>
      </w:r>
      <w:r w:rsidRPr="00E7479C">
        <w:t xml:space="preserve"> in </w:t>
      </w:r>
      <w:r>
        <w:t xml:space="preserve">markets for </w:t>
      </w:r>
      <w:r w:rsidRPr="00E7479C">
        <w:t xml:space="preserve">steel </w:t>
      </w:r>
      <w:r>
        <w:t>fabricated products, and</w:t>
      </w:r>
      <w:r w:rsidRPr="00E7479C">
        <w:t xml:space="preserve"> responses by some exporters to trade remedies on primary steel products that are being dumped or subsidised </w:t>
      </w:r>
      <w:r>
        <w:t>could lead to</w:t>
      </w:r>
      <w:r w:rsidRPr="00E7479C">
        <w:t xml:space="preserve"> distortions in markets for steel </w:t>
      </w:r>
      <w:r>
        <w:t xml:space="preserve">fabricated </w:t>
      </w:r>
      <w:r w:rsidRPr="00E7479C">
        <w:t>products.</w:t>
      </w:r>
    </w:p>
    <w:p w14:paraId="4F84BB89" w14:textId="77777777" w:rsidR="00F011F1" w:rsidRDefault="00F011F1" w:rsidP="00F011F1">
      <w:pPr>
        <w:pStyle w:val="Style7"/>
        <w:jc w:val="both"/>
      </w:pPr>
      <w:r>
        <w:t>In this chapter, the Commission reports the findings from its analysis of trends in imports of selected steel fabricated products that are produced using primary steel products that are subject to anti-dumping measures in Australia. While recognising that the results are necessarily indicative, the Commission has found data showing noticeable increases in imports of a small sample of</w:t>
      </w:r>
      <w:r w:rsidRPr="00AF276C">
        <w:t xml:space="preserve"> </w:t>
      </w:r>
      <w:r>
        <w:t xml:space="preserve">steel fabricated </w:t>
      </w:r>
      <w:r w:rsidRPr="00AF276C">
        <w:t xml:space="preserve">products </w:t>
      </w:r>
      <w:r>
        <w:t xml:space="preserve">following the imposition of measures on the primary steel product used in their production. Further evidence and analysis are needed before firm conclusions can be drawn and any causal link can be established. </w:t>
      </w:r>
    </w:p>
    <w:p w14:paraId="321B64B1" w14:textId="77777777" w:rsidR="00F011F1" w:rsidRDefault="00F011F1" w:rsidP="00F011F1">
      <w:pPr>
        <w:pStyle w:val="Heading2"/>
      </w:pPr>
      <w:r>
        <w:t>Methodology for the analysis</w:t>
      </w:r>
    </w:p>
    <w:p w14:paraId="5FF29FAF" w14:textId="77777777" w:rsidR="00F011F1" w:rsidRDefault="00F011F1" w:rsidP="00F011F1">
      <w:pPr>
        <w:spacing w:before="120" w:after="120"/>
        <w:jc w:val="both"/>
      </w:pPr>
      <w:r>
        <w:t>The Commission works with the Department of Immigration and Border Protection (DIBP) to monitor and analyse trade flow data to measure the effectiveness of anti-dumping measures and identify possible evidence of non-compliance and circumvention of measures. For the analysis reported in this chapter, the Commission worked with DIBP to obtain and analyse import data for steel fabricated goods made from upstream steel imports to which trade measures apply.</w:t>
      </w:r>
    </w:p>
    <w:p w14:paraId="79E4DE0D" w14:textId="77777777" w:rsidR="00F011F1" w:rsidRDefault="00F011F1" w:rsidP="00F011F1">
      <w:pPr>
        <w:spacing w:before="120" w:after="120"/>
        <w:jc w:val="both"/>
      </w:pPr>
      <w:r>
        <w:t xml:space="preserve">The DIBP trade data used in the analysis relates to imports of steel fabricated products under ‘chapter 73’ of the Australian Harmonized Export Commodity Classification, which covers ‘articles of iron or steel’. The Commission considered import trends for selected products assessed as falling within this tariff classification for the ten year period to 2016. </w:t>
      </w:r>
    </w:p>
    <w:p w14:paraId="5C27A4FD" w14:textId="77777777" w:rsidR="00F011F1" w:rsidRDefault="00F011F1" w:rsidP="00F011F1">
      <w:pPr>
        <w:spacing w:before="120" w:after="120"/>
        <w:jc w:val="both"/>
      </w:pPr>
      <w:r>
        <w:t xml:space="preserve">As highlighted in chapters 2 and 3, steel fabricated products are diverse in nature and in their drivers of demand, being made from different primary steel inputs, for different end uses, and subject to different market developments. Therefore, it is not possible to draw general conclusions from an analysis of the broad product category. </w:t>
      </w:r>
    </w:p>
    <w:p w14:paraId="31277F7C" w14:textId="77777777" w:rsidR="00F011F1" w:rsidRDefault="00F011F1" w:rsidP="00F011F1">
      <w:pPr>
        <w:spacing w:before="120" w:after="120"/>
        <w:jc w:val="both"/>
      </w:pPr>
      <w:r>
        <w:t xml:space="preserve">Accordingly, the Commission conducted a disaggregated analysis for a small sample of fabricated products manufactured using primary steel products that are subject to anti-dumping measures. </w:t>
      </w:r>
    </w:p>
    <w:p w14:paraId="289D3628" w14:textId="77777777" w:rsidR="00F011F1" w:rsidRDefault="00F011F1">
      <w:pPr>
        <w:spacing w:after="160" w:line="259" w:lineRule="auto"/>
      </w:pPr>
      <w:r>
        <w:br w:type="page"/>
      </w:r>
    </w:p>
    <w:p w14:paraId="0CC89479" w14:textId="67AD1CF2" w:rsidR="00934910" w:rsidRDefault="00F011F1" w:rsidP="00934910">
      <w:pPr>
        <w:spacing w:before="120" w:after="120"/>
        <w:jc w:val="both"/>
      </w:pPr>
      <w:r>
        <w:t>A</w:t>
      </w:r>
      <w:r w:rsidR="00934910">
        <w:t xml:space="preserve"> preliminary analysis was undertaken in respect of three primary products—zinc coated (galvanised) steel, hollow structural sections and aluminium zinc coated steel. </w:t>
      </w:r>
    </w:p>
    <w:p w14:paraId="05F4A354" w14:textId="77777777" w:rsidR="00934910" w:rsidRDefault="00934910" w:rsidP="00934910">
      <w:pPr>
        <w:spacing w:before="120" w:after="120"/>
        <w:jc w:val="both"/>
      </w:pPr>
      <w:r>
        <w:t xml:space="preserve">Due to the data set, this analysis has been based on tariff classifications rather than on goods descriptions. For primary steel products subject to measures, the tariff classifications set out in the respective Dumping Commodity Registers on the Commission’s </w:t>
      </w:r>
      <w:hyperlink r:id="rId45" w:history="1">
        <w:r w:rsidRPr="00EE1CCD">
          <w:t>website</w:t>
        </w:r>
      </w:hyperlink>
      <w:r w:rsidRPr="00EE1CCD">
        <w:t xml:space="preserve"> were used. </w:t>
      </w:r>
      <w:r>
        <w:t xml:space="preserve">For the relevant steel fabricated products, the Commission sought advice from DIBP on the likely tariff classifications for imports of these products. </w:t>
      </w:r>
    </w:p>
    <w:p w14:paraId="152A77EE" w14:textId="77777777" w:rsidR="00934910" w:rsidRDefault="00934910" w:rsidP="00934910">
      <w:pPr>
        <w:shd w:val="clear" w:color="auto" w:fill="FFFFFF" w:themeFill="background1"/>
        <w:tabs>
          <w:tab w:val="left" w:pos="1567"/>
        </w:tabs>
        <w:spacing w:before="120" w:after="120"/>
        <w:jc w:val="both"/>
        <w:rPr>
          <w:rFonts w:ascii="Calibri" w:hAnsi="Calibri" w:cs="Calibri"/>
          <w:color w:val="000000"/>
        </w:rPr>
      </w:pPr>
      <w:r>
        <w:rPr>
          <w:rFonts w:ascii="Calibri" w:hAnsi="Calibri" w:cs="Calibri"/>
          <w:color w:val="000000"/>
        </w:rPr>
        <w:t>There are some significant limitations on this quantitative analysis. Consequently, the</w:t>
      </w:r>
      <w:r w:rsidRPr="006335A3">
        <w:rPr>
          <w:rFonts w:ascii="Calibri" w:hAnsi="Calibri" w:cs="Calibri"/>
          <w:color w:val="000000"/>
        </w:rPr>
        <w:t xml:space="preserve"> </w:t>
      </w:r>
      <w:r>
        <w:rPr>
          <w:rFonts w:ascii="Calibri" w:hAnsi="Calibri" w:cs="Calibri"/>
          <w:color w:val="000000"/>
        </w:rPr>
        <w:t xml:space="preserve">findings from the analysis are </w:t>
      </w:r>
      <w:r w:rsidRPr="009136BE">
        <w:rPr>
          <w:rFonts w:ascii="Calibri" w:hAnsi="Calibri" w:cs="Calibri"/>
          <w:color w:val="000000"/>
          <w:u w:val="single"/>
        </w:rPr>
        <w:t>indicative only</w:t>
      </w:r>
      <w:r>
        <w:rPr>
          <w:rFonts w:ascii="Calibri" w:hAnsi="Calibri" w:cs="Calibri"/>
          <w:color w:val="000000"/>
        </w:rPr>
        <w:t xml:space="preserve"> as:</w:t>
      </w:r>
    </w:p>
    <w:p w14:paraId="19479199" w14:textId="77777777" w:rsidR="00934910" w:rsidRDefault="00934910" w:rsidP="00934910">
      <w:pPr>
        <w:pStyle w:val="Points"/>
        <w:jc w:val="both"/>
      </w:pPr>
      <w:r>
        <w:t xml:space="preserve">The Commission’s analysis focused on examples of steel fabricated products and its findings relate only to those example products. Accordingly, the observations cannot necessarily be generalised to </w:t>
      </w:r>
      <w:r w:rsidRPr="00EE1CCD">
        <w:t>all</w:t>
      </w:r>
      <w:r>
        <w:t xml:space="preserve"> of the steel fabricated products made using the primary steel product subject to measures.</w:t>
      </w:r>
    </w:p>
    <w:p w14:paraId="69A94D88" w14:textId="77777777" w:rsidR="00934910" w:rsidRDefault="00934910" w:rsidP="00934910">
      <w:pPr>
        <w:pStyle w:val="Points"/>
        <w:jc w:val="both"/>
      </w:pPr>
      <w:r>
        <w:t>The tariff classifications used by the Commission in conducting its analysis are likely to include a broader set of imported goods, not just the selected fabricated products. Similar considerations apply for the three primary steel products.</w:t>
      </w:r>
    </w:p>
    <w:p w14:paraId="1F104807" w14:textId="77777777" w:rsidR="00934910" w:rsidRDefault="00934910" w:rsidP="00934910">
      <w:pPr>
        <w:pStyle w:val="Points"/>
        <w:jc w:val="both"/>
      </w:pPr>
      <w:r>
        <w:t>Import trends for specific fabricated products are influenced by a range of factors. These include demand trends related to developments in the downstream industries using those products as well as changes in competition from substitute products, the significance of transport costs in relation to the total cost of the product, and the nature of the product including whether it is homogenous or highly customised for the customer’s needs (see chapter 3). Australian distribution networks, the importance of after-sales service and other factors will also affect the willingness and ability of end users to purchase imported, rather than Australian, steel fabricated products. The Commission has not been able, with the information available to it, to separate out the different effects of these factors.</w:t>
      </w:r>
    </w:p>
    <w:p w14:paraId="4EA8046A" w14:textId="77777777" w:rsidR="00934910" w:rsidRDefault="00934910" w:rsidP="00934910">
      <w:pPr>
        <w:shd w:val="clear" w:color="auto" w:fill="FFFFFF" w:themeFill="background1"/>
        <w:tabs>
          <w:tab w:val="left" w:pos="1567"/>
        </w:tabs>
        <w:spacing w:before="120" w:after="120"/>
        <w:jc w:val="both"/>
        <w:rPr>
          <w:rFonts w:ascii="Calibri" w:hAnsi="Calibri" w:cs="Calibri"/>
          <w:color w:val="000000"/>
        </w:rPr>
      </w:pPr>
      <w:r w:rsidRPr="00354899">
        <w:rPr>
          <w:rFonts w:ascii="Calibri" w:hAnsi="Calibri" w:cs="Calibri"/>
          <w:color w:val="000000"/>
        </w:rPr>
        <w:t xml:space="preserve">Due to these limitations and confidentiality considerations, the </w:t>
      </w:r>
      <w:r w:rsidRPr="00F1296F">
        <w:rPr>
          <w:rFonts w:ascii="Calibri" w:hAnsi="Calibri" w:cs="Calibri"/>
          <w:color w:val="000000"/>
        </w:rPr>
        <w:t xml:space="preserve">Commission </w:t>
      </w:r>
      <w:r>
        <w:rPr>
          <w:rFonts w:ascii="Calibri" w:hAnsi="Calibri" w:cs="Calibri"/>
          <w:color w:val="000000"/>
        </w:rPr>
        <w:t xml:space="preserve">has reported its findings </w:t>
      </w:r>
      <w:r w:rsidRPr="00354899">
        <w:rPr>
          <w:rFonts w:ascii="Calibri" w:hAnsi="Calibri" w:cs="Calibri"/>
          <w:color w:val="000000"/>
        </w:rPr>
        <w:t>at a high level.</w:t>
      </w:r>
      <w:r>
        <w:rPr>
          <w:rFonts w:ascii="Calibri" w:hAnsi="Calibri" w:cs="Calibri"/>
          <w:color w:val="000000"/>
        </w:rPr>
        <w:t xml:space="preserve"> </w:t>
      </w:r>
    </w:p>
    <w:p w14:paraId="1EBE487A" w14:textId="77777777" w:rsidR="00934910" w:rsidRDefault="00934910" w:rsidP="00934910">
      <w:pPr>
        <w:shd w:val="clear" w:color="auto" w:fill="FFFFFF" w:themeFill="background1"/>
        <w:tabs>
          <w:tab w:val="left" w:pos="1567"/>
        </w:tabs>
        <w:spacing w:before="120" w:after="120"/>
        <w:jc w:val="both"/>
        <w:rPr>
          <w:rFonts w:ascii="Calibri" w:hAnsi="Calibri" w:cs="Calibri"/>
          <w:color w:val="000000"/>
        </w:rPr>
      </w:pPr>
      <w:r>
        <w:rPr>
          <w:rFonts w:ascii="Calibri" w:hAnsi="Calibri" w:cs="Calibri"/>
          <w:color w:val="000000"/>
        </w:rPr>
        <w:t xml:space="preserve">While the data provide some indication that </w:t>
      </w:r>
      <w:r w:rsidRPr="00F1296F">
        <w:rPr>
          <w:rFonts w:ascii="Calibri" w:hAnsi="Calibri" w:cs="Calibri"/>
          <w:color w:val="000000"/>
        </w:rPr>
        <w:t xml:space="preserve">imports of some </w:t>
      </w:r>
      <w:r>
        <w:rPr>
          <w:rFonts w:ascii="Calibri" w:hAnsi="Calibri" w:cs="Calibri"/>
          <w:color w:val="000000"/>
        </w:rPr>
        <w:t xml:space="preserve">steel </w:t>
      </w:r>
      <w:r>
        <w:t xml:space="preserve">fabricated </w:t>
      </w:r>
      <w:r w:rsidRPr="00F1296F">
        <w:rPr>
          <w:rFonts w:ascii="Calibri" w:hAnsi="Calibri" w:cs="Calibri"/>
          <w:color w:val="000000"/>
        </w:rPr>
        <w:t xml:space="preserve">products </w:t>
      </w:r>
      <w:r>
        <w:rPr>
          <w:rFonts w:ascii="Calibri" w:hAnsi="Calibri" w:cs="Calibri"/>
          <w:color w:val="000000"/>
        </w:rPr>
        <w:t xml:space="preserve">have increased </w:t>
      </w:r>
      <w:r w:rsidRPr="00F1296F">
        <w:rPr>
          <w:rFonts w:ascii="Calibri" w:hAnsi="Calibri" w:cs="Calibri"/>
          <w:color w:val="000000"/>
        </w:rPr>
        <w:t>following the imposition of measures on the primary steel product used in their production</w:t>
      </w:r>
      <w:r>
        <w:rPr>
          <w:rFonts w:ascii="Calibri" w:hAnsi="Calibri" w:cs="Calibri"/>
          <w:color w:val="000000"/>
        </w:rPr>
        <w:t>, the Commission considers that further evidence and analysis are needed to confirm these initial indications and to establish a causal link. The Commission will continue to seek better information and undertake analysis of import trends.</w:t>
      </w:r>
    </w:p>
    <w:p w14:paraId="04EF2E5D" w14:textId="77777777" w:rsidR="00934910" w:rsidRPr="00820469" w:rsidRDefault="00934910" w:rsidP="00934910">
      <w:pPr>
        <w:pStyle w:val="Heading2"/>
      </w:pPr>
      <w:r>
        <w:t>P</w:t>
      </w:r>
      <w:r w:rsidRPr="00820469">
        <w:t>rimary steel products</w:t>
      </w:r>
      <w:r>
        <w:t xml:space="preserve"> subject to measures and imports of steel fabricated products—three indicative examples</w:t>
      </w:r>
    </w:p>
    <w:p w14:paraId="66D2688B" w14:textId="77777777" w:rsidR="00934910" w:rsidRPr="001A246F" w:rsidRDefault="00934910" w:rsidP="00934910">
      <w:pPr>
        <w:pStyle w:val="Heading3"/>
      </w:pPr>
      <w:r>
        <w:t>Zinc coated (galvanised) steel</w:t>
      </w:r>
    </w:p>
    <w:p w14:paraId="310196A1" w14:textId="77777777" w:rsidR="00934910" w:rsidRDefault="00934910" w:rsidP="00934910">
      <w:pPr>
        <w:pStyle w:val="Style5"/>
        <w:jc w:val="both"/>
        <w:rPr>
          <w:rFonts w:cs="Arial"/>
          <w:color w:val="000000"/>
        </w:rPr>
      </w:pPr>
      <w:r>
        <w:t>Zinc coated (galvanised) steel comprises f</w:t>
      </w:r>
      <w:r w:rsidRPr="00B65F81">
        <w:t>lat rolled iron or steel products (whether or not containing alloys) that are plated or coated with zinc</w:t>
      </w:r>
      <w:r>
        <w:t>. Anti-dumping measures have been in place on zinc coated (galvanised steel) from China, Korea and Taiwan</w:t>
      </w:r>
      <w:r>
        <w:rPr>
          <w:rStyle w:val="FootnoteReference"/>
        </w:rPr>
        <w:footnoteReference w:id="49"/>
      </w:r>
      <w:r>
        <w:t xml:space="preserve"> since 5 August 2013.</w:t>
      </w:r>
      <w:r w:rsidRPr="00B65F81">
        <w:rPr>
          <w:rFonts w:cs="Arial"/>
          <w:color w:val="000000"/>
        </w:rPr>
        <w:t xml:space="preserve"> </w:t>
      </w:r>
      <w:r>
        <w:rPr>
          <w:rFonts w:cs="Arial"/>
          <w:color w:val="000000"/>
        </w:rPr>
        <w:t>The Commission is currently undertaking a dumping investigation in relation to galvanised steel exported to Australia from India, Malaysia and Vietnam, and a countervailing investigation in relation to galvanised steel exported from India and Vietnam.</w:t>
      </w:r>
      <w:r>
        <w:rPr>
          <w:rStyle w:val="FootnoteReference"/>
          <w:rFonts w:cs="Arial"/>
          <w:color w:val="000000"/>
        </w:rPr>
        <w:footnoteReference w:id="50"/>
      </w:r>
      <w:r>
        <w:rPr>
          <w:rFonts w:cs="Arial"/>
          <w:color w:val="000000"/>
        </w:rPr>
        <w:t xml:space="preserve"> </w:t>
      </w:r>
    </w:p>
    <w:p w14:paraId="66A2DC22" w14:textId="77777777" w:rsidR="00934910" w:rsidRPr="003C0902" w:rsidRDefault="00934910" w:rsidP="00934910">
      <w:pPr>
        <w:keepNext/>
        <w:autoSpaceDE w:val="0"/>
        <w:autoSpaceDN w:val="0"/>
        <w:adjustRightInd w:val="0"/>
        <w:spacing w:before="120" w:after="120"/>
        <w:rPr>
          <w:b/>
        </w:rPr>
      </w:pPr>
      <w:r w:rsidRPr="00820469">
        <w:rPr>
          <w:b/>
        </w:rPr>
        <w:t>Table 5.1: End</w:t>
      </w:r>
      <w:r>
        <w:rPr>
          <w:b/>
        </w:rPr>
        <w:t xml:space="preserve"> </w:t>
      </w:r>
      <w:r w:rsidRPr="00820469">
        <w:rPr>
          <w:b/>
        </w:rPr>
        <w:t xml:space="preserve">uses and products made from </w:t>
      </w:r>
      <w:r>
        <w:rPr>
          <w:b/>
        </w:rPr>
        <w:t>zinc coated (galvanised) steel</w:t>
      </w:r>
    </w:p>
    <w:tbl>
      <w:tblPr>
        <w:tblStyle w:val="TableGrid"/>
        <w:tblW w:w="0" w:type="auto"/>
        <w:tblLook w:val="04A0" w:firstRow="1" w:lastRow="0" w:firstColumn="1" w:lastColumn="0" w:noHBand="0" w:noVBand="1"/>
      </w:tblPr>
      <w:tblGrid>
        <w:gridCol w:w="2830"/>
        <w:gridCol w:w="6186"/>
      </w:tblGrid>
      <w:tr w:rsidR="00934910" w:rsidRPr="003C0902" w14:paraId="35DD740D" w14:textId="77777777" w:rsidTr="000B20C3">
        <w:tc>
          <w:tcPr>
            <w:tcW w:w="2830" w:type="dxa"/>
          </w:tcPr>
          <w:p w14:paraId="10E400A9" w14:textId="77777777" w:rsidR="00934910" w:rsidRPr="003C0902" w:rsidRDefault="00934910" w:rsidP="000B20C3">
            <w:pPr>
              <w:keepNext/>
              <w:keepLines/>
              <w:autoSpaceDE w:val="0"/>
              <w:autoSpaceDN w:val="0"/>
              <w:adjustRightInd w:val="0"/>
              <w:spacing w:before="120" w:after="120"/>
              <w:rPr>
                <w:b/>
              </w:rPr>
            </w:pPr>
            <w:r w:rsidRPr="003C0902">
              <w:rPr>
                <w:b/>
              </w:rPr>
              <w:t>Example</w:t>
            </w:r>
            <w:r>
              <w:rPr>
                <w:b/>
              </w:rPr>
              <w:t>s of</w:t>
            </w:r>
            <w:r w:rsidRPr="003C0902">
              <w:rPr>
                <w:b/>
              </w:rPr>
              <w:t xml:space="preserve"> end-use sectors</w:t>
            </w:r>
          </w:p>
        </w:tc>
        <w:tc>
          <w:tcPr>
            <w:tcW w:w="6187" w:type="dxa"/>
          </w:tcPr>
          <w:p w14:paraId="15FA13FC" w14:textId="77777777" w:rsidR="00934910" w:rsidRPr="003C0902" w:rsidRDefault="00934910" w:rsidP="000B20C3">
            <w:pPr>
              <w:keepNext/>
              <w:keepLines/>
              <w:autoSpaceDE w:val="0"/>
              <w:autoSpaceDN w:val="0"/>
              <w:adjustRightInd w:val="0"/>
              <w:spacing w:before="120" w:after="120"/>
              <w:rPr>
                <w:rFonts w:cs="Arial"/>
                <w:b/>
                <w:color w:val="000000"/>
              </w:rPr>
            </w:pPr>
            <w:r w:rsidRPr="003C0902">
              <w:rPr>
                <w:rFonts w:cs="Arial"/>
                <w:b/>
                <w:color w:val="000000"/>
              </w:rPr>
              <w:t>Example</w:t>
            </w:r>
            <w:r>
              <w:rPr>
                <w:rFonts w:cs="Arial"/>
                <w:b/>
                <w:color w:val="000000"/>
              </w:rPr>
              <w:t xml:space="preserve">s of </w:t>
            </w:r>
            <w:r w:rsidRPr="001A47CA">
              <w:rPr>
                <w:rFonts w:cs="Arial"/>
                <w:b/>
                <w:color w:val="000000"/>
              </w:rPr>
              <w:t>pr</w:t>
            </w:r>
            <w:r w:rsidRPr="003C0902">
              <w:rPr>
                <w:rFonts w:cs="Arial"/>
                <w:b/>
                <w:color w:val="000000"/>
              </w:rPr>
              <w:t>oducts</w:t>
            </w:r>
            <w:r w:rsidRPr="00707201">
              <w:rPr>
                <w:rFonts w:cs="Arial"/>
                <w:b/>
                <w:color w:val="000000"/>
              </w:rPr>
              <w:t xml:space="preserve"> </w:t>
            </w:r>
            <w:r w:rsidRPr="00707201">
              <w:rPr>
                <w:b/>
              </w:rPr>
              <w:t xml:space="preserve">manufactured/ fabricated </w:t>
            </w:r>
            <w:r>
              <w:rPr>
                <w:rFonts w:cs="Arial"/>
                <w:b/>
                <w:color w:val="000000"/>
              </w:rPr>
              <w:t>using galvanised steel</w:t>
            </w:r>
          </w:p>
        </w:tc>
      </w:tr>
      <w:tr w:rsidR="00934910" w14:paraId="22559806" w14:textId="77777777" w:rsidTr="000B20C3">
        <w:tc>
          <w:tcPr>
            <w:tcW w:w="2830" w:type="dxa"/>
          </w:tcPr>
          <w:p w14:paraId="0BB9F7D5" w14:textId="77777777" w:rsidR="00934910" w:rsidRDefault="00934910" w:rsidP="000B20C3">
            <w:pPr>
              <w:keepNext/>
              <w:keepLines/>
              <w:autoSpaceDE w:val="0"/>
              <w:autoSpaceDN w:val="0"/>
              <w:adjustRightInd w:val="0"/>
              <w:spacing w:before="120" w:after="120"/>
            </w:pPr>
            <w:r>
              <w:t>B</w:t>
            </w:r>
            <w:r w:rsidRPr="00921668">
              <w:t>uilding and construction industry</w:t>
            </w:r>
          </w:p>
        </w:tc>
        <w:tc>
          <w:tcPr>
            <w:tcW w:w="6187" w:type="dxa"/>
          </w:tcPr>
          <w:p w14:paraId="78656970" w14:textId="77777777" w:rsidR="00934910" w:rsidRDefault="00934910" w:rsidP="00934910">
            <w:pPr>
              <w:pStyle w:val="ListParagraph"/>
              <w:keepNext/>
              <w:keepLines/>
              <w:numPr>
                <w:ilvl w:val="0"/>
                <w:numId w:val="24"/>
              </w:numPr>
              <w:autoSpaceDE w:val="0"/>
              <w:autoSpaceDN w:val="0"/>
              <w:adjustRightInd w:val="0"/>
              <w:contextualSpacing w:val="0"/>
              <w:rPr>
                <w:rFonts w:cs="Arial"/>
              </w:rPr>
            </w:pPr>
            <w:r>
              <w:rPr>
                <w:rFonts w:cs="Arial"/>
              </w:rPr>
              <w:t xml:space="preserve">commercial and industrial buildings </w:t>
            </w:r>
            <w:r w:rsidRPr="00192C1A">
              <w:rPr>
                <w:rFonts w:cs="Arial"/>
              </w:rPr>
              <w:t xml:space="preserve">light structural sections (purlins and girts) </w:t>
            </w:r>
          </w:p>
          <w:p w14:paraId="658ADD54" w14:textId="77777777" w:rsidR="00934910" w:rsidRDefault="00934910" w:rsidP="00934910">
            <w:pPr>
              <w:pStyle w:val="ListParagraph"/>
              <w:keepNext/>
              <w:keepLines/>
              <w:numPr>
                <w:ilvl w:val="0"/>
                <w:numId w:val="24"/>
              </w:numPr>
              <w:autoSpaceDE w:val="0"/>
              <w:autoSpaceDN w:val="0"/>
              <w:adjustRightInd w:val="0"/>
              <w:contextualSpacing w:val="0"/>
              <w:rPr>
                <w:rFonts w:cs="Arial"/>
              </w:rPr>
            </w:pPr>
            <w:r w:rsidRPr="00192C1A">
              <w:rPr>
                <w:rFonts w:cs="Arial"/>
              </w:rPr>
              <w:t>structural sections for carports, sheds and garages, pla</w:t>
            </w:r>
            <w:r>
              <w:rPr>
                <w:rFonts w:cs="Arial"/>
              </w:rPr>
              <w:t>stering and ceiling accessories</w:t>
            </w:r>
            <w:r w:rsidRPr="00192C1A">
              <w:rPr>
                <w:rFonts w:cs="Arial"/>
              </w:rPr>
              <w:t xml:space="preserve"> </w:t>
            </w:r>
          </w:p>
          <w:p w14:paraId="1B59D23C" w14:textId="77777777" w:rsidR="00934910" w:rsidRDefault="00934910" w:rsidP="00934910">
            <w:pPr>
              <w:pStyle w:val="ListParagraph"/>
              <w:keepNext/>
              <w:keepLines/>
              <w:numPr>
                <w:ilvl w:val="0"/>
                <w:numId w:val="24"/>
              </w:numPr>
              <w:autoSpaceDE w:val="0"/>
              <w:autoSpaceDN w:val="0"/>
              <w:adjustRightInd w:val="0"/>
              <w:contextualSpacing w:val="0"/>
              <w:rPr>
                <w:rFonts w:cs="Arial"/>
              </w:rPr>
            </w:pPr>
            <w:r>
              <w:rPr>
                <w:rFonts w:cs="Arial"/>
              </w:rPr>
              <w:t>garage door tracks</w:t>
            </w:r>
          </w:p>
          <w:p w14:paraId="5FE2FECB" w14:textId="77777777" w:rsidR="00934910" w:rsidRPr="00B65F81" w:rsidRDefault="00934910" w:rsidP="00934910">
            <w:pPr>
              <w:pStyle w:val="ListParagraph"/>
              <w:keepNext/>
              <w:keepLines/>
              <w:numPr>
                <w:ilvl w:val="0"/>
                <w:numId w:val="24"/>
              </w:numPr>
              <w:autoSpaceDE w:val="0"/>
              <w:autoSpaceDN w:val="0"/>
              <w:adjustRightInd w:val="0"/>
              <w:contextualSpacing w:val="0"/>
              <w:rPr>
                <w:rFonts w:cs="Arial"/>
              </w:rPr>
            </w:pPr>
            <w:r w:rsidRPr="00192C1A">
              <w:rPr>
                <w:rFonts w:cs="Arial"/>
              </w:rPr>
              <w:t>structural nail-plates, post stirrups, frame connectors</w:t>
            </w:r>
            <w:r>
              <w:rPr>
                <w:rFonts w:cs="Arial"/>
              </w:rPr>
              <w:t xml:space="preserve"> and bracing for timber frames</w:t>
            </w:r>
          </w:p>
        </w:tc>
      </w:tr>
      <w:tr w:rsidR="00934910" w14:paraId="5655223D" w14:textId="77777777" w:rsidTr="000B20C3">
        <w:trPr>
          <w:trHeight w:val="2882"/>
        </w:trPr>
        <w:tc>
          <w:tcPr>
            <w:tcW w:w="2830" w:type="dxa"/>
          </w:tcPr>
          <w:p w14:paraId="48B5F5B2" w14:textId="77777777" w:rsidR="00934910" w:rsidRDefault="00934910" w:rsidP="000B20C3">
            <w:pPr>
              <w:keepNext/>
              <w:keepLines/>
              <w:autoSpaceDE w:val="0"/>
              <w:autoSpaceDN w:val="0"/>
              <w:adjustRightInd w:val="0"/>
              <w:spacing w:before="120" w:after="120"/>
            </w:pPr>
            <w:r>
              <w:t>Manufacturing industry</w:t>
            </w:r>
          </w:p>
        </w:tc>
        <w:tc>
          <w:tcPr>
            <w:tcW w:w="6187" w:type="dxa"/>
          </w:tcPr>
          <w:p w14:paraId="079F8D80"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Pr>
                <w:rFonts w:cs="Arial"/>
              </w:rPr>
              <w:t>feedstock as input for pipe and tube manufacture</w:t>
            </w:r>
          </w:p>
          <w:p w14:paraId="0F042731"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Pr>
                <w:rFonts w:cs="Arial"/>
              </w:rPr>
              <w:t>air-conditioning ducting</w:t>
            </w:r>
          </w:p>
          <w:p w14:paraId="2D60456A"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sidRPr="00192C1A">
              <w:rPr>
                <w:rFonts w:cs="Arial"/>
              </w:rPr>
              <w:t>c</w:t>
            </w:r>
            <w:r>
              <w:rPr>
                <w:rFonts w:cs="Arial"/>
              </w:rPr>
              <w:t>able trays</w:t>
            </w:r>
          </w:p>
          <w:p w14:paraId="6153B957"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sidRPr="00192C1A">
              <w:rPr>
                <w:rFonts w:cs="Arial"/>
              </w:rPr>
              <w:t>com</w:t>
            </w:r>
            <w:r>
              <w:rPr>
                <w:rFonts w:cs="Arial"/>
              </w:rPr>
              <w:t>ponents in domestic appliances</w:t>
            </w:r>
          </w:p>
          <w:p w14:paraId="63FA2388"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Pr>
                <w:rFonts w:cs="Arial"/>
              </w:rPr>
              <w:t>hot water system components</w:t>
            </w:r>
          </w:p>
          <w:p w14:paraId="0E320BF3"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Pr>
                <w:rFonts w:cs="Arial"/>
              </w:rPr>
              <w:t>electrical meter cabinets</w:t>
            </w:r>
          </w:p>
          <w:p w14:paraId="31012033"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Pr>
                <w:rFonts w:cs="Arial"/>
              </w:rPr>
              <w:t>tool boxes</w:t>
            </w:r>
          </w:p>
          <w:p w14:paraId="133D23D7"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Pr>
                <w:rFonts w:cs="Arial"/>
              </w:rPr>
              <w:t>meter boxes</w:t>
            </w:r>
          </w:p>
          <w:p w14:paraId="2B94A462" w14:textId="77777777" w:rsidR="00934910" w:rsidRDefault="00934910" w:rsidP="00934910">
            <w:pPr>
              <w:pStyle w:val="ListParagraph"/>
              <w:keepNext/>
              <w:keepLines/>
              <w:numPr>
                <w:ilvl w:val="0"/>
                <w:numId w:val="25"/>
              </w:numPr>
              <w:autoSpaceDE w:val="0"/>
              <w:autoSpaceDN w:val="0"/>
              <w:adjustRightInd w:val="0"/>
              <w:contextualSpacing w:val="0"/>
              <w:rPr>
                <w:rFonts w:cs="Arial"/>
              </w:rPr>
            </w:pPr>
            <w:r>
              <w:rPr>
                <w:rFonts w:cs="Arial"/>
              </w:rPr>
              <w:t>grain silo components</w:t>
            </w:r>
          </w:p>
          <w:p w14:paraId="0072FCB3" w14:textId="77777777" w:rsidR="00934910" w:rsidRPr="00B65F81" w:rsidRDefault="00934910" w:rsidP="00934910">
            <w:pPr>
              <w:pStyle w:val="ListParagraph"/>
              <w:keepNext/>
              <w:keepLines/>
              <w:numPr>
                <w:ilvl w:val="0"/>
                <w:numId w:val="25"/>
              </w:numPr>
              <w:autoSpaceDE w:val="0"/>
              <w:autoSpaceDN w:val="0"/>
              <w:adjustRightInd w:val="0"/>
              <w:contextualSpacing w:val="0"/>
              <w:rPr>
                <w:rFonts w:cs="Arial"/>
              </w:rPr>
            </w:pPr>
            <w:r w:rsidRPr="00192C1A">
              <w:rPr>
                <w:rFonts w:cs="Arial"/>
              </w:rPr>
              <w:t>general manufactured articles</w:t>
            </w:r>
          </w:p>
        </w:tc>
      </w:tr>
    </w:tbl>
    <w:p w14:paraId="1B0F5561" w14:textId="77777777" w:rsidR="00934910" w:rsidRPr="00820469" w:rsidRDefault="00934910" w:rsidP="00934910">
      <w:pPr>
        <w:autoSpaceDE w:val="0"/>
        <w:autoSpaceDN w:val="0"/>
        <w:adjustRightInd w:val="0"/>
        <w:spacing w:before="120" w:after="120"/>
        <w:jc w:val="both"/>
        <w:rPr>
          <w:sz w:val="20"/>
          <w:szCs w:val="20"/>
        </w:rPr>
      </w:pPr>
      <w:r w:rsidRPr="00820469">
        <w:rPr>
          <w:i/>
          <w:sz w:val="20"/>
          <w:szCs w:val="20"/>
        </w:rPr>
        <w:t>Source</w:t>
      </w:r>
      <w:r w:rsidRPr="00820469">
        <w:rPr>
          <w:sz w:val="20"/>
          <w:szCs w:val="20"/>
        </w:rPr>
        <w:t xml:space="preserve">: BlueScope, </w:t>
      </w:r>
      <w:r w:rsidRPr="00820469">
        <w:rPr>
          <w:i/>
          <w:sz w:val="20"/>
          <w:szCs w:val="20"/>
        </w:rPr>
        <w:t xml:space="preserve">Application for the publication of dumping and countervailing duty notices: Galvanised Steel exported from India, Malaysia and </w:t>
      </w:r>
      <w:r w:rsidRPr="00820469">
        <w:rPr>
          <w:sz w:val="20"/>
          <w:szCs w:val="20"/>
        </w:rPr>
        <w:t xml:space="preserve">Vietnam, </w:t>
      </w:r>
      <w:r>
        <w:rPr>
          <w:sz w:val="20"/>
          <w:szCs w:val="20"/>
        </w:rPr>
        <w:t xml:space="preserve">November 2014, </w:t>
      </w:r>
      <w:r w:rsidRPr="00820469">
        <w:rPr>
          <w:sz w:val="20"/>
          <w:szCs w:val="20"/>
        </w:rPr>
        <w:t>p. 17.</w:t>
      </w:r>
    </w:p>
    <w:p w14:paraId="364B39AA" w14:textId="77777777" w:rsidR="00934910" w:rsidRDefault="00934910" w:rsidP="00934910">
      <w:pPr>
        <w:autoSpaceDE w:val="0"/>
        <w:autoSpaceDN w:val="0"/>
        <w:adjustRightInd w:val="0"/>
        <w:spacing w:before="120" w:after="120"/>
        <w:jc w:val="both"/>
      </w:pPr>
      <w:r>
        <w:t xml:space="preserve">The Commission’s analysis of disaggregated trade flow data over the decade 2006 to 2016 found that import trends varied according to the type of product made using galvanised steel. </w:t>
      </w:r>
    </w:p>
    <w:p w14:paraId="7EEFF6E9" w14:textId="77777777" w:rsidR="00934910" w:rsidRDefault="00934910" w:rsidP="00934910">
      <w:pPr>
        <w:autoSpaceDE w:val="0"/>
        <w:autoSpaceDN w:val="0"/>
        <w:adjustRightInd w:val="0"/>
        <w:spacing w:before="120" w:after="120"/>
        <w:jc w:val="both"/>
      </w:pPr>
      <w:r w:rsidRPr="00C41A98">
        <w:t xml:space="preserve">Data for the following products </w:t>
      </w:r>
      <w:r>
        <w:t>provide some initial indications</w:t>
      </w:r>
      <w:r w:rsidRPr="00C41A98">
        <w:t xml:space="preserve"> that </w:t>
      </w:r>
      <w:r>
        <w:t>following the imposition</w:t>
      </w:r>
      <w:r w:rsidRPr="00C41A98">
        <w:t xml:space="preserve"> of trade remedies on </w:t>
      </w:r>
      <w:r>
        <w:t>galvanised steel</w:t>
      </w:r>
      <w:r w:rsidRPr="00C41A98">
        <w:t xml:space="preserve"> products</w:t>
      </w:r>
      <w:r>
        <w:t>, there</w:t>
      </w:r>
      <w:r w:rsidRPr="00C41A98">
        <w:t xml:space="preserve"> ha</w:t>
      </w:r>
      <w:r>
        <w:t>s</w:t>
      </w:r>
      <w:r w:rsidRPr="00C41A98">
        <w:t xml:space="preserve"> </w:t>
      </w:r>
      <w:r>
        <w:t>been a noticeable</w:t>
      </w:r>
      <w:r w:rsidRPr="00C41A98">
        <w:t xml:space="preserve"> increase</w:t>
      </w:r>
      <w:r>
        <w:t xml:space="preserve"> in</w:t>
      </w:r>
      <w:r w:rsidRPr="00C41A98">
        <w:t xml:space="preserve"> exports to Australia of </w:t>
      </w:r>
      <w:r>
        <w:t xml:space="preserve">fabricated </w:t>
      </w:r>
      <w:r w:rsidRPr="00C41A98">
        <w:t xml:space="preserve">products made using </w:t>
      </w:r>
      <w:r>
        <w:t>galvanised steel.</w:t>
      </w:r>
      <w:r w:rsidRPr="00C41A98">
        <w:t xml:space="preserve"> </w:t>
      </w:r>
      <w:r>
        <w:t xml:space="preserve">For some </w:t>
      </w:r>
      <w:r w:rsidRPr="00820469">
        <w:t xml:space="preserve">products, </w:t>
      </w:r>
      <w:r>
        <w:t xml:space="preserve">the </w:t>
      </w:r>
      <w:r w:rsidRPr="00820469">
        <w:t>import</w:t>
      </w:r>
      <w:r>
        <w:t xml:space="preserve"> data</w:t>
      </w:r>
      <w:r w:rsidRPr="00820469">
        <w:t xml:space="preserve"> (based on the selected tariff classifications) </w:t>
      </w:r>
      <w:r>
        <w:t xml:space="preserve">shows that imports </w:t>
      </w:r>
      <w:r w:rsidRPr="00820469">
        <w:t>commenced in 2015</w:t>
      </w:r>
      <w:r>
        <w:t>. These include structural decking (flooring systems), structural sections for sheds and garages, and steel farm gates. Based on the data, i</w:t>
      </w:r>
      <w:r w:rsidRPr="00A4744C">
        <w:t xml:space="preserve">mports </w:t>
      </w:r>
      <w:r>
        <w:t xml:space="preserve">for these products commenced </w:t>
      </w:r>
      <w:r w:rsidRPr="00A4744C">
        <w:t xml:space="preserve">after the imposition of measures on </w:t>
      </w:r>
      <w:r>
        <w:t xml:space="preserve">zinc coated (galvanized) steel. Other products made from zinc-coated galvanised steel have been imported for longer periods but increased in volume after </w:t>
      </w:r>
      <w:r w:rsidRPr="00A4744C">
        <w:t xml:space="preserve">the imposition of measures on </w:t>
      </w:r>
      <w:r>
        <w:t xml:space="preserve">zinc coated (galvanised) steel. For example, light structural sections (purlins and girts) were imported in small volumes in 2006, but annual import volumes in 2015 and 2016 were significantly above historical levels. </w:t>
      </w:r>
    </w:p>
    <w:p w14:paraId="56E045C6" w14:textId="77777777" w:rsidR="00934910" w:rsidRDefault="00934910" w:rsidP="00934910">
      <w:pPr>
        <w:autoSpaceDE w:val="0"/>
        <w:autoSpaceDN w:val="0"/>
        <w:adjustRightInd w:val="0"/>
        <w:spacing w:before="120" w:after="120"/>
        <w:jc w:val="both"/>
      </w:pPr>
      <w:r>
        <w:t>As noted in section 5.1 above, import trends for specific fabricated products are influenced by a range of factors.</w:t>
      </w:r>
      <w:r w:rsidRPr="00C14468">
        <w:t xml:space="preserve"> The</w:t>
      </w:r>
      <w:r>
        <w:t xml:space="preserve"> </w:t>
      </w:r>
      <w:r w:rsidRPr="00C14468">
        <w:t>increase in exports</w:t>
      </w:r>
      <w:r>
        <w:t xml:space="preserve"> of fabricated products made using galvanised steel</w:t>
      </w:r>
      <w:r w:rsidRPr="00C14468">
        <w:t xml:space="preserve">, particularly from China, could be explained by </w:t>
      </w:r>
      <w:r>
        <w:t xml:space="preserve">factors other than the imposition of anti-dumping measures on galvanised steel products. For example, </w:t>
      </w:r>
      <w:r w:rsidRPr="00C14468">
        <w:t xml:space="preserve">the slowdown in the Chinese economy in 2015 </w:t>
      </w:r>
      <w:r>
        <w:t>reduced</w:t>
      </w:r>
      <w:r w:rsidRPr="00C14468">
        <w:t xml:space="preserve"> building and construction</w:t>
      </w:r>
      <w:r>
        <w:t xml:space="preserve"> activity and would have led to lower domestic demand for steel fabricated products used in these industries</w:t>
      </w:r>
      <w:r w:rsidRPr="00C14468">
        <w:t xml:space="preserve">. </w:t>
      </w:r>
      <w:r>
        <w:t>Without a corresponding reduction in the production of steel fabricated goods by Chinese businesses, the reduction in</w:t>
      </w:r>
      <w:r w:rsidRPr="00C14468">
        <w:t xml:space="preserve"> domestic consumption </w:t>
      </w:r>
      <w:r>
        <w:t>could have led to</w:t>
      </w:r>
      <w:r w:rsidRPr="00C14468">
        <w:t xml:space="preserve"> an increase in export</w:t>
      </w:r>
      <w:r>
        <w:t>s</w:t>
      </w:r>
      <w:r w:rsidRPr="00C14468">
        <w:t xml:space="preserve"> </w:t>
      </w:r>
      <w:r>
        <w:t>as these businesses</w:t>
      </w:r>
      <w:r w:rsidRPr="00C14468">
        <w:t xml:space="preserve"> </w:t>
      </w:r>
      <w:r>
        <w:t>sought</w:t>
      </w:r>
      <w:r w:rsidRPr="00C14468">
        <w:t xml:space="preserve"> to </w:t>
      </w:r>
      <w:r>
        <w:t>find new markets for their products and run down unplanned increases in stocks of these products</w:t>
      </w:r>
      <w:r w:rsidRPr="00C14468">
        <w:t xml:space="preserve">. </w:t>
      </w:r>
    </w:p>
    <w:p w14:paraId="74E1A3F4" w14:textId="77777777" w:rsidR="00934910" w:rsidRDefault="00934910" w:rsidP="00934910">
      <w:pPr>
        <w:autoSpaceDE w:val="0"/>
        <w:autoSpaceDN w:val="0"/>
        <w:adjustRightInd w:val="0"/>
        <w:spacing w:before="120" w:after="120"/>
        <w:jc w:val="both"/>
      </w:pPr>
      <w:r>
        <w:t xml:space="preserve">Where the failure to adjust production to a slowdown in demand reflects foreign subsidisation and inefficient government interventions in markets, this can lead to dumping and the export of subsidised steel fabricated products to export markets like Australia. More detailed information and analysis would be needed to allow a causal link to be established. </w:t>
      </w:r>
    </w:p>
    <w:p w14:paraId="2D1526D6" w14:textId="77777777" w:rsidR="00934910" w:rsidRDefault="00934910" w:rsidP="00934910">
      <w:pPr>
        <w:pStyle w:val="Heading3"/>
      </w:pPr>
      <w:bookmarkStart w:id="57" w:name="_Toc487532425"/>
      <w:r>
        <w:t>Hollow structural sections</w:t>
      </w:r>
    </w:p>
    <w:p w14:paraId="1F7FA44E" w14:textId="77777777" w:rsidR="00934910" w:rsidRDefault="00934910" w:rsidP="00934910">
      <w:pPr>
        <w:autoSpaceDE w:val="0"/>
        <w:autoSpaceDN w:val="0"/>
        <w:adjustRightInd w:val="0"/>
        <w:spacing w:before="120" w:after="120"/>
        <w:jc w:val="both"/>
      </w:pPr>
      <w:r>
        <w:t>Hollow structural sections (HSS) consist of welded pipes and tubes made of steel, comprising circular and non-circular hollow sections. Anti-dumping measures have been imposed on HSS exported to Australia from China, Korea, Malaysia and Taiwan since 3 July 2013</w:t>
      </w:r>
      <w:r w:rsidRPr="00202312">
        <w:rPr>
          <w:rStyle w:val="FootnoteReference"/>
        </w:rPr>
        <w:footnoteReference w:id="51"/>
      </w:r>
      <w:r>
        <w:t xml:space="preserve"> and from Thailand since 19 August 2016. Steel fabricated products made from HSS are varied, as shown in T</w:t>
      </w:r>
      <w:r w:rsidRPr="000C673A">
        <w:t xml:space="preserve">able </w:t>
      </w:r>
      <w:r>
        <w:t>5.2</w:t>
      </w:r>
      <w:r w:rsidRPr="000C673A">
        <w:t>.</w:t>
      </w:r>
    </w:p>
    <w:p w14:paraId="7ECEFF87" w14:textId="77777777" w:rsidR="00934910" w:rsidRPr="003C0902" w:rsidRDefault="00934910" w:rsidP="00934910">
      <w:pPr>
        <w:keepNext/>
        <w:autoSpaceDE w:val="0"/>
        <w:autoSpaceDN w:val="0"/>
        <w:adjustRightInd w:val="0"/>
        <w:spacing w:before="120" w:after="120"/>
        <w:rPr>
          <w:b/>
        </w:rPr>
      </w:pPr>
      <w:r w:rsidRPr="000C673A">
        <w:rPr>
          <w:b/>
        </w:rPr>
        <w:t xml:space="preserve">Table </w:t>
      </w:r>
      <w:r>
        <w:rPr>
          <w:b/>
        </w:rPr>
        <w:t>5.2</w:t>
      </w:r>
      <w:r w:rsidRPr="000C673A">
        <w:rPr>
          <w:b/>
        </w:rPr>
        <w:t>: End</w:t>
      </w:r>
      <w:r>
        <w:rPr>
          <w:b/>
        </w:rPr>
        <w:t xml:space="preserve"> </w:t>
      </w:r>
      <w:r w:rsidRPr="000C673A">
        <w:rPr>
          <w:b/>
        </w:rPr>
        <w:t>uses and products made from hollow structural sections</w:t>
      </w:r>
    </w:p>
    <w:tbl>
      <w:tblPr>
        <w:tblStyle w:val="TableGrid"/>
        <w:tblW w:w="0" w:type="auto"/>
        <w:tblLook w:val="04A0" w:firstRow="1" w:lastRow="0" w:firstColumn="1" w:lastColumn="0" w:noHBand="0" w:noVBand="1"/>
      </w:tblPr>
      <w:tblGrid>
        <w:gridCol w:w="2830"/>
        <w:gridCol w:w="6186"/>
      </w:tblGrid>
      <w:tr w:rsidR="00934910" w:rsidRPr="003C0902" w14:paraId="55F9B76B" w14:textId="77777777" w:rsidTr="000B20C3">
        <w:tc>
          <w:tcPr>
            <w:tcW w:w="2830" w:type="dxa"/>
            <w:shd w:val="clear" w:color="auto" w:fill="DEEAF6" w:themeFill="accent1" w:themeFillTint="33"/>
          </w:tcPr>
          <w:bookmarkEnd w:id="57"/>
          <w:p w14:paraId="662DCAE9" w14:textId="77777777" w:rsidR="00934910" w:rsidRPr="003C0902" w:rsidRDefault="00934910" w:rsidP="000B20C3">
            <w:pPr>
              <w:keepNext/>
              <w:autoSpaceDE w:val="0"/>
              <w:autoSpaceDN w:val="0"/>
              <w:adjustRightInd w:val="0"/>
              <w:spacing w:before="120" w:after="120"/>
              <w:rPr>
                <w:b/>
              </w:rPr>
            </w:pPr>
            <w:r w:rsidRPr="003C0902">
              <w:rPr>
                <w:b/>
              </w:rPr>
              <w:t>Example</w:t>
            </w:r>
            <w:r>
              <w:rPr>
                <w:b/>
              </w:rPr>
              <w:t>s of</w:t>
            </w:r>
            <w:r w:rsidRPr="003C0902">
              <w:rPr>
                <w:b/>
              </w:rPr>
              <w:t xml:space="preserve"> end-use sectors</w:t>
            </w:r>
          </w:p>
        </w:tc>
        <w:tc>
          <w:tcPr>
            <w:tcW w:w="6187" w:type="dxa"/>
            <w:shd w:val="clear" w:color="auto" w:fill="DEEAF6" w:themeFill="accent1" w:themeFillTint="33"/>
          </w:tcPr>
          <w:p w14:paraId="05CE4A01" w14:textId="77777777" w:rsidR="00934910" w:rsidRPr="003C0902" w:rsidRDefault="00934910" w:rsidP="000B20C3">
            <w:pPr>
              <w:keepNext/>
              <w:autoSpaceDE w:val="0"/>
              <w:autoSpaceDN w:val="0"/>
              <w:adjustRightInd w:val="0"/>
              <w:spacing w:before="120" w:after="120"/>
              <w:rPr>
                <w:rFonts w:cs="Arial"/>
                <w:b/>
                <w:color w:val="000000"/>
              </w:rPr>
            </w:pPr>
            <w:r w:rsidRPr="003C0902">
              <w:rPr>
                <w:rFonts w:cs="Arial"/>
                <w:b/>
                <w:color w:val="000000"/>
              </w:rPr>
              <w:t>Example</w:t>
            </w:r>
            <w:r>
              <w:rPr>
                <w:rFonts w:cs="Arial"/>
                <w:b/>
                <w:color w:val="000000"/>
              </w:rPr>
              <w:t>s of</w:t>
            </w:r>
            <w:r w:rsidRPr="003C0902">
              <w:rPr>
                <w:rFonts w:cs="Arial"/>
                <w:b/>
                <w:color w:val="000000"/>
              </w:rPr>
              <w:t xml:space="preserve"> produc</w:t>
            </w:r>
            <w:r w:rsidRPr="00707201">
              <w:rPr>
                <w:rFonts w:cs="Arial"/>
                <w:b/>
                <w:color w:val="000000"/>
              </w:rPr>
              <w:t xml:space="preserve">ts </w:t>
            </w:r>
            <w:r w:rsidRPr="00707201">
              <w:rPr>
                <w:b/>
              </w:rPr>
              <w:t xml:space="preserve">manufactured/ fabricated </w:t>
            </w:r>
            <w:r w:rsidRPr="00707201">
              <w:rPr>
                <w:rFonts w:cs="Arial"/>
                <w:b/>
                <w:color w:val="000000"/>
              </w:rPr>
              <w:t>u</w:t>
            </w:r>
            <w:r>
              <w:rPr>
                <w:rFonts w:cs="Arial"/>
                <w:b/>
                <w:color w:val="000000"/>
              </w:rPr>
              <w:t>sing</w:t>
            </w:r>
            <w:r w:rsidRPr="003C0902">
              <w:rPr>
                <w:rFonts w:cs="Arial"/>
                <w:b/>
                <w:color w:val="000000"/>
              </w:rPr>
              <w:t xml:space="preserve"> HSS</w:t>
            </w:r>
          </w:p>
        </w:tc>
      </w:tr>
      <w:tr w:rsidR="00934910" w14:paraId="2CC5053D" w14:textId="77777777" w:rsidTr="000B20C3">
        <w:tc>
          <w:tcPr>
            <w:tcW w:w="2830" w:type="dxa"/>
          </w:tcPr>
          <w:p w14:paraId="67FE6068" w14:textId="77777777" w:rsidR="00934910" w:rsidRDefault="00934910" w:rsidP="00934910">
            <w:pPr>
              <w:pStyle w:val="ListParagraph"/>
              <w:keepNext/>
              <w:numPr>
                <w:ilvl w:val="0"/>
                <w:numId w:val="26"/>
              </w:numPr>
              <w:autoSpaceDE w:val="0"/>
              <w:autoSpaceDN w:val="0"/>
              <w:adjustRightInd w:val="0"/>
              <w:rPr>
                <w:rFonts w:cs="Arial"/>
              </w:rPr>
            </w:pPr>
            <w:r>
              <w:rPr>
                <w:rFonts w:cs="Arial"/>
              </w:rPr>
              <w:t>engineering construction</w:t>
            </w:r>
          </w:p>
          <w:p w14:paraId="24C55C23" w14:textId="77777777" w:rsidR="00934910" w:rsidRDefault="00934910" w:rsidP="00934910">
            <w:pPr>
              <w:pStyle w:val="ListParagraph"/>
              <w:keepNext/>
              <w:numPr>
                <w:ilvl w:val="0"/>
                <w:numId w:val="26"/>
              </w:numPr>
              <w:autoSpaceDE w:val="0"/>
              <w:autoSpaceDN w:val="0"/>
              <w:adjustRightInd w:val="0"/>
              <w:rPr>
                <w:rFonts w:cs="Arial"/>
              </w:rPr>
            </w:pPr>
            <w:r>
              <w:rPr>
                <w:rFonts w:cs="Arial"/>
              </w:rPr>
              <w:t>manufacturing</w:t>
            </w:r>
          </w:p>
          <w:p w14:paraId="426C62D6" w14:textId="77777777" w:rsidR="00934910" w:rsidRDefault="00934910" w:rsidP="00934910">
            <w:pPr>
              <w:pStyle w:val="ListParagraph"/>
              <w:keepNext/>
              <w:numPr>
                <w:ilvl w:val="0"/>
                <w:numId w:val="26"/>
              </w:numPr>
              <w:autoSpaceDE w:val="0"/>
              <w:autoSpaceDN w:val="0"/>
              <w:adjustRightInd w:val="0"/>
              <w:rPr>
                <w:rFonts w:cs="Arial"/>
              </w:rPr>
            </w:pPr>
            <w:r>
              <w:rPr>
                <w:rFonts w:cs="Arial"/>
              </w:rPr>
              <w:t>mining, oil and gas</w:t>
            </w:r>
          </w:p>
          <w:p w14:paraId="53188774" w14:textId="77777777" w:rsidR="00934910" w:rsidRDefault="00934910" w:rsidP="00934910">
            <w:pPr>
              <w:pStyle w:val="ListParagraph"/>
              <w:keepNext/>
              <w:numPr>
                <w:ilvl w:val="0"/>
                <w:numId w:val="26"/>
              </w:numPr>
              <w:autoSpaceDE w:val="0"/>
              <w:autoSpaceDN w:val="0"/>
              <w:adjustRightInd w:val="0"/>
              <w:rPr>
                <w:rFonts w:cs="Arial"/>
              </w:rPr>
            </w:pPr>
            <w:r>
              <w:rPr>
                <w:rFonts w:cs="Arial"/>
              </w:rPr>
              <w:t>residential and non-residential construction</w:t>
            </w:r>
          </w:p>
          <w:p w14:paraId="6F115391" w14:textId="77777777" w:rsidR="00934910" w:rsidRDefault="00934910" w:rsidP="00934910">
            <w:pPr>
              <w:pStyle w:val="ListParagraph"/>
              <w:keepNext/>
              <w:numPr>
                <w:ilvl w:val="0"/>
                <w:numId w:val="26"/>
              </w:numPr>
              <w:autoSpaceDE w:val="0"/>
              <w:autoSpaceDN w:val="0"/>
              <w:adjustRightInd w:val="0"/>
              <w:rPr>
                <w:rFonts w:cs="Arial"/>
              </w:rPr>
            </w:pPr>
            <w:r>
              <w:rPr>
                <w:rFonts w:cs="Arial"/>
              </w:rPr>
              <w:t>temporary fencing</w:t>
            </w:r>
          </w:p>
          <w:p w14:paraId="06BFC722" w14:textId="77777777" w:rsidR="00934910" w:rsidRDefault="00934910" w:rsidP="00934910">
            <w:pPr>
              <w:pStyle w:val="ListParagraph"/>
              <w:keepNext/>
              <w:numPr>
                <w:ilvl w:val="0"/>
                <w:numId w:val="26"/>
              </w:numPr>
              <w:autoSpaceDE w:val="0"/>
              <w:autoSpaceDN w:val="0"/>
              <w:adjustRightInd w:val="0"/>
              <w:rPr>
                <w:rFonts w:cs="Arial"/>
              </w:rPr>
            </w:pPr>
            <w:r>
              <w:rPr>
                <w:rFonts w:cs="Arial"/>
              </w:rPr>
              <w:t>transport</w:t>
            </w:r>
          </w:p>
          <w:p w14:paraId="064714BC" w14:textId="77777777" w:rsidR="00934910" w:rsidRDefault="00934910" w:rsidP="00934910">
            <w:pPr>
              <w:pStyle w:val="ListParagraph"/>
              <w:keepNext/>
              <w:numPr>
                <w:ilvl w:val="0"/>
                <w:numId w:val="26"/>
              </w:numPr>
              <w:autoSpaceDE w:val="0"/>
              <w:autoSpaceDN w:val="0"/>
              <w:adjustRightInd w:val="0"/>
              <w:rPr>
                <w:rFonts w:cs="Arial"/>
              </w:rPr>
            </w:pPr>
            <w:r>
              <w:rPr>
                <w:rFonts w:cs="Arial"/>
              </w:rPr>
              <w:t>furniture and play equipment</w:t>
            </w:r>
          </w:p>
          <w:p w14:paraId="6FF3184E" w14:textId="77777777" w:rsidR="00934910" w:rsidRDefault="00934910" w:rsidP="00934910">
            <w:pPr>
              <w:pStyle w:val="ListParagraph"/>
              <w:keepNext/>
              <w:numPr>
                <w:ilvl w:val="0"/>
                <w:numId w:val="26"/>
              </w:numPr>
              <w:autoSpaceDE w:val="0"/>
              <w:autoSpaceDN w:val="0"/>
              <w:adjustRightInd w:val="0"/>
              <w:rPr>
                <w:rFonts w:cs="Arial"/>
              </w:rPr>
            </w:pPr>
            <w:r>
              <w:rPr>
                <w:rFonts w:cs="Arial"/>
              </w:rPr>
              <w:t>rural applications</w:t>
            </w:r>
          </w:p>
          <w:p w14:paraId="5BF86863" w14:textId="77777777" w:rsidR="00934910" w:rsidRDefault="00934910" w:rsidP="00934910">
            <w:pPr>
              <w:pStyle w:val="ListParagraph"/>
              <w:keepNext/>
              <w:numPr>
                <w:ilvl w:val="0"/>
                <w:numId w:val="26"/>
              </w:numPr>
              <w:autoSpaceDE w:val="0"/>
              <w:autoSpaceDN w:val="0"/>
              <w:adjustRightInd w:val="0"/>
            </w:pPr>
            <w:r>
              <w:rPr>
                <w:rFonts w:cs="Arial"/>
              </w:rPr>
              <w:t>automotive</w:t>
            </w:r>
          </w:p>
        </w:tc>
        <w:tc>
          <w:tcPr>
            <w:tcW w:w="6187" w:type="dxa"/>
          </w:tcPr>
          <w:p w14:paraId="63C98823"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scaffolding and fencing (fixed and temporary)</w:t>
            </w:r>
          </w:p>
          <w:p w14:paraId="45788F51"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trailer frames (boat and box)</w:t>
            </w:r>
          </w:p>
          <w:p w14:paraId="3D1EDFC8"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mining equipment</w:t>
            </w:r>
          </w:p>
          <w:p w14:paraId="647BCED3"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sign posts</w:t>
            </w:r>
          </w:p>
          <w:p w14:paraId="7CBA6651"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playground equipment and shade provision in parks and public spaces</w:t>
            </w:r>
          </w:p>
          <w:p w14:paraId="15F42053"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architectural finishes in large open span structures (such as airports and shopping centres)</w:t>
            </w:r>
          </w:p>
          <w:p w14:paraId="5188BD09"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major structural engineering applications</w:t>
            </w:r>
          </w:p>
          <w:p w14:paraId="05C8D48B"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gates—domestic, industrial, commercial and rural</w:t>
            </w:r>
          </w:p>
          <w:p w14:paraId="048E9CE9"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vehicle chassis</w:t>
            </w:r>
          </w:p>
          <w:p w14:paraId="6E2643E6"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light manufactured goods</w:t>
            </w:r>
          </w:p>
          <w:p w14:paraId="4D07C3AB"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gantries that support railway electrification cables</w:t>
            </w:r>
          </w:p>
          <w:p w14:paraId="3DEA4D5D"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domestic, rural, commercial and industrial structures</w:t>
            </w:r>
          </w:p>
          <w:p w14:paraId="60A6C53F"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sporting stadiums</w:t>
            </w:r>
          </w:p>
          <w:p w14:paraId="78E9E144"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light fabrication and maintenance work</w:t>
            </w:r>
          </w:p>
          <w:p w14:paraId="3F73F6AC" w14:textId="77777777" w:rsidR="00934910" w:rsidRDefault="00934910" w:rsidP="00934910">
            <w:pPr>
              <w:pStyle w:val="ListParagraph"/>
              <w:keepNext/>
              <w:numPr>
                <w:ilvl w:val="0"/>
                <w:numId w:val="27"/>
              </w:numPr>
              <w:autoSpaceDE w:val="0"/>
              <w:autoSpaceDN w:val="0"/>
              <w:adjustRightInd w:val="0"/>
              <w:spacing w:after="60"/>
              <w:rPr>
                <w:rFonts w:cs="Arial"/>
              </w:rPr>
            </w:pPr>
            <w:r>
              <w:rPr>
                <w:rFonts w:cs="Arial"/>
              </w:rPr>
              <w:t>truss systems for roofing within variable structure types</w:t>
            </w:r>
          </w:p>
          <w:p w14:paraId="5ECAFFD2" w14:textId="77777777" w:rsidR="00934910" w:rsidRDefault="00934910" w:rsidP="00934910">
            <w:pPr>
              <w:pStyle w:val="ListParagraph"/>
              <w:keepNext/>
              <w:numPr>
                <w:ilvl w:val="0"/>
                <w:numId w:val="27"/>
              </w:numPr>
              <w:autoSpaceDE w:val="0"/>
              <w:autoSpaceDN w:val="0"/>
              <w:adjustRightInd w:val="0"/>
              <w:spacing w:after="60"/>
            </w:pPr>
            <w:r>
              <w:rPr>
                <w:rFonts w:cs="Arial"/>
              </w:rPr>
              <w:t>agricultural equipment, for example spray systems, hay feeders, cattle crushers and cattle yards</w:t>
            </w:r>
          </w:p>
        </w:tc>
      </w:tr>
    </w:tbl>
    <w:p w14:paraId="1D66C8DC" w14:textId="77777777" w:rsidR="00934910" w:rsidRPr="000C673A" w:rsidRDefault="00934910" w:rsidP="00934910">
      <w:pPr>
        <w:autoSpaceDE w:val="0"/>
        <w:autoSpaceDN w:val="0"/>
        <w:adjustRightInd w:val="0"/>
        <w:spacing w:before="120" w:after="120"/>
        <w:jc w:val="both"/>
        <w:rPr>
          <w:sz w:val="20"/>
          <w:szCs w:val="20"/>
        </w:rPr>
      </w:pPr>
      <w:r w:rsidRPr="000C673A">
        <w:rPr>
          <w:i/>
          <w:sz w:val="20"/>
          <w:szCs w:val="20"/>
        </w:rPr>
        <w:t>Source</w:t>
      </w:r>
      <w:r>
        <w:rPr>
          <w:sz w:val="20"/>
          <w:szCs w:val="20"/>
        </w:rPr>
        <w:t xml:space="preserve">: </w:t>
      </w:r>
      <w:proofErr w:type="spellStart"/>
      <w:r w:rsidRPr="0048137B">
        <w:rPr>
          <w:sz w:val="20"/>
          <w:szCs w:val="20"/>
        </w:rPr>
        <w:t>Austube</w:t>
      </w:r>
      <w:proofErr w:type="spellEnd"/>
      <w:r w:rsidRPr="0048137B">
        <w:rPr>
          <w:sz w:val="20"/>
          <w:szCs w:val="20"/>
        </w:rPr>
        <w:t xml:space="preserve"> Mills, </w:t>
      </w:r>
      <w:r w:rsidRPr="0048137B">
        <w:rPr>
          <w:i/>
          <w:sz w:val="20"/>
          <w:szCs w:val="20"/>
        </w:rPr>
        <w:t>Application for the publication of dumping and/or countervailing duty notices: Hollow Structural Sections exported from India and the United Arab Emirates</w:t>
      </w:r>
      <w:r>
        <w:rPr>
          <w:i/>
          <w:sz w:val="20"/>
          <w:szCs w:val="20"/>
        </w:rPr>
        <w:t>,</w:t>
      </w:r>
      <w:r w:rsidRPr="0048137B">
        <w:rPr>
          <w:i/>
          <w:sz w:val="20"/>
          <w:szCs w:val="20"/>
        </w:rPr>
        <w:t xml:space="preserve"> </w:t>
      </w:r>
      <w:r w:rsidRPr="0048137B">
        <w:rPr>
          <w:sz w:val="20"/>
          <w:szCs w:val="20"/>
        </w:rPr>
        <w:t>November 2015, p</w:t>
      </w:r>
      <w:r>
        <w:rPr>
          <w:sz w:val="20"/>
          <w:szCs w:val="20"/>
        </w:rPr>
        <w:t xml:space="preserve">. </w:t>
      </w:r>
      <w:r w:rsidRPr="0048137B">
        <w:rPr>
          <w:sz w:val="20"/>
          <w:szCs w:val="20"/>
        </w:rPr>
        <w:t>12.</w:t>
      </w:r>
    </w:p>
    <w:p w14:paraId="0B344F48" w14:textId="77777777" w:rsidR="00934910" w:rsidRDefault="00934910" w:rsidP="00934910">
      <w:pPr>
        <w:autoSpaceDE w:val="0"/>
        <w:autoSpaceDN w:val="0"/>
        <w:adjustRightInd w:val="0"/>
        <w:spacing w:before="120" w:after="120"/>
        <w:jc w:val="both"/>
      </w:pPr>
      <w:r w:rsidRPr="00412E64">
        <w:t xml:space="preserve">The Commission’s analysis of disaggregated trade flow data over the </w:t>
      </w:r>
      <w:r>
        <w:t>decade</w:t>
      </w:r>
      <w:r w:rsidRPr="00412E64">
        <w:t xml:space="preserve"> 2006 to 2016 found </w:t>
      </w:r>
      <w:r>
        <w:t>varying</w:t>
      </w:r>
      <w:r w:rsidRPr="00412E64">
        <w:t xml:space="preserve"> import trends </w:t>
      </w:r>
      <w:r>
        <w:t xml:space="preserve">for different fabricated </w:t>
      </w:r>
      <w:r w:rsidRPr="00412E64">
        <w:t>product</w:t>
      </w:r>
      <w:r>
        <w:t>s</w:t>
      </w:r>
      <w:r w:rsidRPr="00412E64">
        <w:t xml:space="preserve"> made using</w:t>
      </w:r>
      <w:r>
        <w:t xml:space="preserve"> HSS. Data for the following products indicate that the imposition of trade remedies on HSS products was followed by increased exports of fabricated products made using HSS to Australia:</w:t>
      </w:r>
    </w:p>
    <w:p w14:paraId="70D228D6" w14:textId="77777777" w:rsidR="00934910" w:rsidRDefault="00934910" w:rsidP="00934910">
      <w:pPr>
        <w:pStyle w:val="Points"/>
        <w:jc w:val="both"/>
      </w:pPr>
      <w:r>
        <w:t xml:space="preserve">Trade data for steel fabricated fencing and fencing products shows that over the period 2006 to 2016, Australia imported more than 192,000 tonnes from 23 countries, with </w:t>
      </w:r>
      <w:r w:rsidRPr="00A4744C">
        <w:t>negligible imports under this tariff classification prior to 201</w:t>
      </w:r>
      <w:r>
        <w:t xml:space="preserve">5. </w:t>
      </w:r>
      <w:r w:rsidRPr="00A4744C">
        <w:t xml:space="preserve">Imports increased significantly after the imposition of measures on HSS. </w:t>
      </w:r>
      <w:r>
        <w:t xml:space="preserve">The vast majority of recent imports have been sourced from China. </w:t>
      </w:r>
    </w:p>
    <w:p w14:paraId="497595F9" w14:textId="77777777" w:rsidR="00934910" w:rsidRDefault="00934910" w:rsidP="00934910">
      <w:pPr>
        <w:pStyle w:val="Points"/>
        <w:jc w:val="both"/>
      </w:pPr>
      <w:r>
        <w:t xml:space="preserve">For the tariff classifications assessed as trailer frames, Australia imported more than 425,000 items from 73 countries over the decade. Imports occurred across the decade, with China emerging as the main source of imports in 2015 and 2016. Significantly more trailer frames were imported in 2016 than in 2006. </w:t>
      </w:r>
    </w:p>
    <w:p w14:paraId="32337373" w14:textId="3F075197" w:rsidR="00F011F1" w:rsidRDefault="00934910" w:rsidP="00934910">
      <w:pPr>
        <w:spacing w:before="120" w:after="120"/>
        <w:jc w:val="both"/>
      </w:pPr>
      <w:r>
        <w:t>As noted in section 5.1, a range of factors can influence import trends for specific fabricated products. Differences in these factors are likely to explain the different trends found for different types of</w:t>
      </w:r>
    </w:p>
    <w:p w14:paraId="7D15ADB6" w14:textId="77777777" w:rsidR="00934910" w:rsidRDefault="00934910" w:rsidP="00934910">
      <w:pPr>
        <w:autoSpaceDE w:val="0"/>
        <w:autoSpaceDN w:val="0"/>
        <w:adjustRightInd w:val="0"/>
        <w:spacing w:before="120" w:after="120"/>
        <w:jc w:val="both"/>
      </w:pPr>
      <w:proofErr w:type="gramStart"/>
      <w:r>
        <w:t>fabricated</w:t>
      </w:r>
      <w:proofErr w:type="gramEnd"/>
      <w:r>
        <w:t xml:space="preserve"> products made from HSS. More detailed information and analysis would be needed to establish which factors are most significant for different types of products.</w:t>
      </w:r>
    </w:p>
    <w:p w14:paraId="43B6137B" w14:textId="77777777" w:rsidR="00934910" w:rsidRDefault="00934910" w:rsidP="00934910">
      <w:pPr>
        <w:pStyle w:val="Heading3"/>
      </w:pPr>
      <w:r>
        <w:t>Aluminium zinc coated steel</w:t>
      </w:r>
    </w:p>
    <w:p w14:paraId="3B1632F8" w14:textId="77777777" w:rsidR="00934910" w:rsidRPr="00600C32" w:rsidRDefault="00934910" w:rsidP="00934910">
      <w:pPr>
        <w:autoSpaceDE w:val="0"/>
        <w:autoSpaceDN w:val="0"/>
        <w:adjustRightInd w:val="0"/>
        <w:spacing w:before="120" w:after="120"/>
        <w:jc w:val="both"/>
      </w:pPr>
      <w:r>
        <w:t>Aluminium zinc coated steel is a flat rolled product that is plated or coated with aluminium-zinc alloys.</w:t>
      </w:r>
      <w:r>
        <w:rPr>
          <w:rStyle w:val="FootnoteReference"/>
        </w:rPr>
        <w:footnoteReference w:id="52"/>
      </w:r>
      <w:r>
        <w:t xml:space="preserve"> In</w:t>
      </w:r>
      <w:r w:rsidRPr="001A246F">
        <w:t xml:space="preserve"> August 2013, anti-dumping measures were imposed on aluminium zinc coated steel exported to Australia from China and Korea</w:t>
      </w:r>
      <w:r>
        <w:t>.</w:t>
      </w:r>
      <w:r w:rsidRPr="001A246F">
        <w:rPr>
          <w:rStyle w:val="FootnoteReference"/>
        </w:rPr>
        <w:footnoteReference w:id="53"/>
      </w:r>
      <w:r w:rsidRPr="001A246F">
        <w:t xml:space="preserve"> </w:t>
      </w:r>
    </w:p>
    <w:p w14:paraId="5DAE3367" w14:textId="77777777" w:rsidR="00934910" w:rsidRPr="003C0902" w:rsidRDefault="00934910" w:rsidP="00934910">
      <w:pPr>
        <w:keepNext/>
        <w:keepLines/>
        <w:autoSpaceDE w:val="0"/>
        <w:autoSpaceDN w:val="0"/>
        <w:adjustRightInd w:val="0"/>
        <w:spacing w:before="120" w:after="120"/>
        <w:rPr>
          <w:b/>
        </w:rPr>
      </w:pPr>
      <w:r w:rsidRPr="00271FD8">
        <w:rPr>
          <w:b/>
        </w:rPr>
        <w:t>Table 5.3: End</w:t>
      </w:r>
      <w:r>
        <w:rPr>
          <w:b/>
        </w:rPr>
        <w:t xml:space="preserve"> </w:t>
      </w:r>
      <w:r w:rsidRPr="00271FD8">
        <w:rPr>
          <w:b/>
        </w:rPr>
        <w:t>uses and products made from aluminium zinc coated (galvanised) steel</w:t>
      </w:r>
    </w:p>
    <w:tbl>
      <w:tblPr>
        <w:tblStyle w:val="TableGrid"/>
        <w:tblW w:w="0" w:type="auto"/>
        <w:tblLook w:val="04A0" w:firstRow="1" w:lastRow="0" w:firstColumn="1" w:lastColumn="0" w:noHBand="0" w:noVBand="1"/>
      </w:tblPr>
      <w:tblGrid>
        <w:gridCol w:w="2830"/>
        <w:gridCol w:w="6186"/>
      </w:tblGrid>
      <w:tr w:rsidR="00934910" w:rsidRPr="003C0902" w14:paraId="3F36B838" w14:textId="77777777" w:rsidTr="000B20C3">
        <w:tc>
          <w:tcPr>
            <w:tcW w:w="2830" w:type="dxa"/>
            <w:shd w:val="clear" w:color="auto" w:fill="DEEAF6" w:themeFill="accent1" w:themeFillTint="33"/>
          </w:tcPr>
          <w:p w14:paraId="7EF6D20D" w14:textId="77777777" w:rsidR="00934910" w:rsidRPr="003C0902" w:rsidRDefault="00934910" w:rsidP="000B20C3">
            <w:pPr>
              <w:keepNext/>
              <w:keepLines/>
              <w:autoSpaceDE w:val="0"/>
              <w:autoSpaceDN w:val="0"/>
              <w:adjustRightInd w:val="0"/>
              <w:spacing w:before="120" w:after="120"/>
              <w:rPr>
                <w:b/>
              </w:rPr>
            </w:pPr>
            <w:r w:rsidRPr="003C0902">
              <w:rPr>
                <w:b/>
              </w:rPr>
              <w:t>Example</w:t>
            </w:r>
            <w:r>
              <w:rPr>
                <w:b/>
              </w:rPr>
              <w:t>s of</w:t>
            </w:r>
            <w:r w:rsidRPr="003C0902">
              <w:rPr>
                <w:b/>
              </w:rPr>
              <w:t xml:space="preserve"> end-use sectors</w:t>
            </w:r>
          </w:p>
        </w:tc>
        <w:tc>
          <w:tcPr>
            <w:tcW w:w="6187" w:type="dxa"/>
            <w:shd w:val="clear" w:color="auto" w:fill="DEEAF6" w:themeFill="accent1" w:themeFillTint="33"/>
          </w:tcPr>
          <w:p w14:paraId="5DE5428B" w14:textId="77777777" w:rsidR="00934910" w:rsidRPr="003C0902" w:rsidRDefault="00934910" w:rsidP="000B20C3">
            <w:pPr>
              <w:keepNext/>
              <w:keepLines/>
              <w:autoSpaceDE w:val="0"/>
              <w:autoSpaceDN w:val="0"/>
              <w:adjustRightInd w:val="0"/>
              <w:spacing w:before="120" w:after="120"/>
              <w:rPr>
                <w:rFonts w:cs="Arial"/>
                <w:b/>
                <w:color w:val="000000"/>
              </w:rPr>
            </w:pPr>
            <w:r w:rsidRPr="003C0902">
              <w:rPr>
                <w:rFonts w:cs="Arial"/>
                <w:b/>
                <w:color w:val="000000"/>
              </w:rPr>
              <w:t>Example</w:t>
            </w:r>
            <w:r>
              <w:rPr>
                <w:rFonts w:cs="Arial"/>
                <w:b/>
                <w:color w:val="000000"/>
              </w:rPr>
              <w:t>s of</w:t>
            </w:r>
            <w:r w:rsidRPr="003C0902">
              <w:rPr>
                <w:rFonts w:cs="Arial"/>
                <w:b/>
                <w:color w:val="000000"/>
              </w:rPr>
              <w:t xml:space="preserve"> product</w:t>
            </w:r>
            <w:r w:rsidRPr="00707201">
              <w:rPr>
                <w:rFonts w:cs="Arial"/>
                <w:b/>
                <w:color w:val="000000"/>
              </w:rPr>
              <w:t xml:space="preserve">s </w:t>
            </w:r>
            <w:r w:rsidRPr="00707201">
              <w:rPr>
                <w:b/>
              </w:rPr>
              <w:t xml:space="preserve">manufactured/ fabricated </w:t>
            </w:r>
            <w:r>
              <w:rPr>
                <w:b/>
              </w:rPr>
              <w:t xml:space="preserve">using </w:t>
            </w:r>
            <w:r w:rsidRPr="00707201">
              <w:rPr>
                <w:rFonts w:cs="Arial"/>
                <w:b/>
                <w:color w:val="000000"/>
              </w:rPr>
              <w:t>alu</w:t>
            </w:r>
            <w:r>
              <w:rPr>
                <w:rFonts w:cs="Arial"/>
                <w:b/>
                <w:color w:val="000000"/>
              </w:rPr>
              <w:t>minium zinc coated steel</w:t>
            </w:r>
          </w:p>
        </w:tc>
      </w:tr>
      <w:tr w:rsidR="00934910" w14:paraId="7F56B540" w14:textId="77777777" w:rsidTr="000B20C3">
        <w:tc>
          <w:tcPr>
            <w:tcW w:w="2830" w:type="dxa"/>
          </w:tcPr>
          <w:p w14:paraId="31462180" w14:textId="77777777" w:rsidR="00934910" w:rsidRDefault="00934910" w:rsidP="000B20C3">
            <w:pPr>
              <w:keepNext/>
              <w:keepLines/>
              <w:autoSpaceDE w:val="0"/>
              <w:autoSpaceDN w:val="0"/>
              <w:adjustRightInd w:val="0"/>
              <w:spacing w:before="120" w:after="120"/>
            </w:pPr>
            <w:r>
              <w:t>B</w:t>
            </w:r>
            <w:r w:rsidRPr="00921668">
              <w:t>uilding and construction industry</w:t>
            </w:r>
          </w:p>
        </w:tc>
        <w:tc>
          <w:tcPr>
            <w:tcW w:w="6187" w:type="dxa"/>
          </w:tcPr>
          <w:p w14:paraId="6A7FE737"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roll formed roof and wall cladding</w:t>
            </w:r>
          </w:p>
          <w:p w14:paraId="47D62044"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rain water guttering and downpipes</w:t>
            </w:r>
          </w:p>
          <w:p w14:paraId="7CA0B122"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roof flashing and trims</w:t>
            </w:r>
          </w:p>
          <w:p w14:paraId="3BB85CCA"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residential roof trusses</w:t>
            </w:r>
          </w:p>
          <w:p w14:paraId="2ACC798A"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residential roofing battens</w:t>
            </w:r>
          </w:p>
          <w:p w14:paraId="015F79E7"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ceiling battens</w:t>
            </w:r>
          </w:p>
          <w:p w14:paraId="46D4536E"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residential house framing</w:t>
            </w:r>
          </w:p>
          <w:p w14:paraId="5A918BDC" w14:textId="77777777" w:rsidR="00934910" w:rsidRDefault="00934910" w:rsidP="00934910">
            <w:pPr>
              <w:pStyle w:val="ListParagraph"/>
              <w:keepNext/>
              <w:keepLines/>
              <w:numPr>
                <w:ilvl w:val="0"/>
                <w:numId w:val="24"/>
              </w:numPr>
              <w:autoSpaceDE w:val="0"/>
              <w:autoSpaceDN w:val="0"/>
              <w:adjustRightInd w:val="0"/>
              <w:rPr>
                <w:rFonts w:cs="Helvetica"/>
              </w:rPr>
            </w:pPr>
            <w:r w:rsidRPr="00BE4DF8">
              <w:rPr>
                <w:rFonts w:cs="Helvetica"/>
              </w:rPr>
              <w:t>w</w:t>
            </w:r>
            <w:r>
              <w:rPr>
                <w:rFonts w:cs="Helvetica"/>
              </w:rPr>
              <w:t>all structural sections</w:t>
            </w:r>
          </w:p>
          <w:p w14:paraId="1CAF679E"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office wall framing</w:t>
            </w:r>
          </w:p>
          <w:p w14:paraId="1026D312" w14:textId="77777777" w:rsidR="00934910" w:rsidRPr="00BE4DF8" w:rsidRDefault="00934910" w:rsidP="00934910">
            <w:pPr>
              <w:pStyle w:val="ListParagraph"/>
              <w:keepNext/>
              <w:keepLines/>
              <w:numPr>
                <w:ilvl w:val="0"/>
                <w:numId w:val="24"/>
              </w:numPr>
              <w:autoSpaceDE w:val="0"/>
              <w:autoSpaceDN w:val="0"/>
              <w:adjustRightInd w:val="0"/>
              <w:rPr>
                <w:rFonts w:cs="Helvetica"/>
              </w:rPr>
            </w:pPr>
            <w:r w:rsidRPr="00BE4DF8">
              <w:rPr>
                <w:rFonts w:cs="Helvetica"/>
              </w:rPr>
              <w:t>garden sheds</w:t>
            </w:r>
          </w:p>
          <w:p w14:paraId="3C7C15A2" w14:textId="77777777" w:rsidR="00934910" w:rsidRPr="00B65F81" w:rsidRDefault="00934910" w:rsidP="00934910">
            <w:pPr>
              <w:pStyle w:val="ListParagraph"/>
              <w:keepNext/>
              <w:keepLines/>
              <w:numPr>
                <w:ilvl w:val="0"/>
                <w:numId w:val="24"/>
              </w:numPr>
              <w:autoSpaceDE w:val="0"/>
              <w:autoSpaceDN w:val="0"/>
              <w:adjustRightInd w:val="0"/>
              <w:rPr>
                <w:rFonts w:cs="Arial"/>
              </w:rPr>
            </w:pPr>
            <w:r w:rsidRPr="00BE4DF8">
              <w:rPr>
                <w:rFonts w:cs="Helvetica"/>
              </w:rPr>
              <w:t>garage door panels</w:t>
            </w:r>
          </w:p>
        </w:tc>
      </w:tr>
      <w:tr w:rsidR="00934910" w14:paraId="1E5628ED" w14:textId="77777777" w:rsidTr="000B20C3">
        <w:trPr>
          <w:trHeight w:val="1970"/>
        </w:trPr>
        <w:tc>
          <w:tcPr>
            <w:tcW w:w="2830" w:type="dxa"/>
          </w:tcPr>
          <w:p w14:paraId="3C744A71" w14:textId="77777777" w:rsidR="00934910" w:rsidRDefault="00934910" w:rsidP="000B20C3">
            <w:pPr>
              <w:keepNext/>
              <w:keepLines/>
              <w:autoSpaceDE w:val="0"/>
              <w:autoSpaceDN w:val="0"/>
              <w:adjustRightInd w:val="0"/>
              <w:spacing w:before="120" w:after="120"/>
            </w:pPr>
            <w:r>
              <w:t>Manufacturing industry</w:t>
            </w:r>
          </w:p>
        </w:tc>
        <w:tc>
          <w:tcPr>
            <w:tcW w:w="6187" w:type="dxa"/>
          </w:tcPr>
          <w:p w14:paraId="5458A3FF" w14:textId="77777777" w:rsidR="00934910" w:rsidRPr="00BE4DF8" w:rsidRDefault="00934910" w:rsidP="00934910">
            <w:pPr>
              <w:pStyle w:val="ListParagraph"/>
              <w:keepNext/>
              <w:keepLines/>
              <w:numPr>
                <w:ilvl w:val="0"/>
                <w:numId w:val="25"/>
              </w:numPr>
              <w:autoSpaceDE w:val="0"/>
              <w:autoSpaceDN w:val="0"/>
              <w:adjustRightInd w:val="0"/>
              <w:rPr>
                <w:rFonts w:cs="Helvetica"/>
              </w:rPr>
            </w:pPr>
            <w:r w:rsidRPr="00BE4DF8">
              <w:rPr>
                <w:rFonts w:cs="Helvetica"/>
              </w:rPr>
              <w:t>components in domestic appliances</w:t>
            </w:r>
          </w:p>
          <w:p w14:paraId="67984A65" w14:textId="77777777" w:rsidR="00934910" w:rsidRPr="00BE4DF8" w:rsidRDefault="00934910" w:rsidP="00934910">
            <w:pPr>
              <w:pStyle w:val="ListParagraph"/>
              <w:keepNext/>
              <w:keepLines/>
              <w:numPr>
                <w:ilvl w:val="0"/>
                <w:numId w:val="25"/>
              </w:numPr>
              <w:autoSpaceDE w:val="0"/>
              <w:autoSpaceDN w:val="0"/>
              <w:adjustRightInd w:val="0"/>
              <w:rPr>
                <w:rFonts w:cs="Helvetica"/>
              </w:rPr>
            </w:pPr>
            <w:r w:rsidRPr="00BE4DF8">
              <w:rPr>
                <w:rFonts w:cs="Helvetica"/>
              </w:rPr>
              <w:t>hot water system components</w:t>
            </w:r>
          </w:p>
          <w:p w14:paraId="586AFFF3" w14:textId="77777777" w:rsidR="00934910" w:rsidRPr="00BE4DF8" w:rsidRDefault="00934910" w:rsidP="00934910">
            <w:pPr>
              <w:pStyle w:val="ListParagraph"/>
              <w:keepNext/>
              <w:keepLines/>
              <w:numPr>
                <w:ilvl w:val="0"/>
                <w:numId w:val="25"/>
              </w:numPr>
              <w:autoSpaceDE w:val="0"/>
              <w:autoSpaceDN w:val="0"/>
              <w:adjustRightInd w:val="0"/>
              <w:rPr>
                <w:rFonts w:cs="Helvetica"/>
              </w:rPr>
            </w:pPr>
            <w:r w:rsidRPr="00BE4DF8">
              <w:rPr>
                <w:rFonts w:cs="Helvetica"/>
              </w:rPr>
              <w:t>cabinets</w:t>
            </w:r>
          </w:p>
          <w:p w14:paraId="1BE9DF67" w14:textId="77777777" w:rsidR="00934910" w:rsidRPr="00BE4DF8" w:rsidRDefault="00934910" w:rsidP="00934910">
            <w:pPr>
              <w:pStyle w:val="ListParagraph"/>
              <w:keepNext/>
              <w:keepLines/>
              <w:numPr>
                <w:ilvl w:val="0"/>
                <w:numId w:val="25"/>
              </w:numPr>
              <w:autoSpaceDE w:val="0"/>
              <w:autoSpaceDN w:val="0"/>
              <w:adjustRightInd w:val="0"/>
              <w:rPr>
                <w:rFonts w:cs="Helvetica"/>
              </w:rPr>
            </w:pPr>
            <w:r w:rsidRPr="00BE4DF8">
              <w:rPr>
                <w:rFonts w:cs="Helvetica"/>
              </w:rPr>
              <w:t>flues</w:t>
            </w:r>
          </w:p>
          <w:p w14:paraId="762C28E3" w14:textId="77777777" w:rsidR="00934910" w:rsidRPr="00BE4DF8" w:rsidRDefault="00934910" w:rsidP="00934910">
            <w:pPr>
              <w:pStyle w:val="ListParagraph"/>
              <w:keepNext/>
              <w:keepLines/>
              <w:numPr>
                <w:ilvl w:val="0"/>
                <w:numId w:val="25"/>
              </w:numPr>
              <w:autoSpaceDE w:val="0"/>
              <w:autoSpaceDN w:val="0"/>
              <w:adjustRightInd w:val="0"/>
              <w:rPr>
                <w:rFonts w:cs="Helvetica"/>
              </w:rPr>
            </w:pPr>
            <w:r w:rsidRPr="00BE4DF8">
              <w:rPr>
                <w:rFonts w:cs="Helvetica"/>
              </w:rPr>
              <w:t>ducting</w:t>
            </w:r>
          </w:p>
          <w:p w14:paraId="17298EB1" w14:textId="77777777" w:rsidR="00934910" w:rsidRPr="00BE4DF8" w:rsidRDefault="00934910" w:rsidP="00934910">
            <w:pPr>
              <w:pStyle w:val="ListParagraph"/>
              <w:keepNext/>
              <w:keepLines/>
              <w:numPr>
                <w:ilvl w:val="0"/>
                <w:numId w:val="25"/>
              </w:numPr>
              <w:autoSpaceDE w:val="0"/>
              <w:autoSpaceDN w:val="0"/>
              <w:adjustRightInd w:val="0"/>
              <w:rPr>
                <w:rFonts w:cs="Helvetica"/>
              </w:rPr>
            </w:pPr>
            <w:r w:rsidRPr="00BE4DF8">
              <w:rPr>
                <w:rFonts w:cs="Helvetica"/>
              </w:rPr>
              <w:t xml:space="preserve">grain silos </w:t>
            </w:r>
          </w:p>
          <w:p w14:paraId="3053EA74" w14:textId="77777777" w:rsidR="00934910" w:rsidRPr="0013398F" w:rsidRDefault="00934910" w:rsidP="00934910">
            <w:pPr>
              <w:pStyle w:val="ListParagraph"/>
              <w:keepNext/>
              <w:keepLines/>
              <w:numPr>
                <w:ilvl w:val="0"/>
                <w:numId w:val="25"/>
              </w:numPr>
              <w:autoSpaceDE w:val="0"/>
              <w:autoSpaceDN w:val="0"/>
              <w:adjustRightInd w:val="0"/>
              <w:rPr>
                <w:rFonts w:cs="Arial"/>
              </w:rPr>
            </w:pPr>
            <w:r w:rsidRPr="00BE4DF8">
              <w:rPr>
                <w:rFonts w:cs="Helvetica"/>
              </w:rPr>
              <w:t>general manufactured articles</w:t>
            </w:r>
          </w:p>
        </w:tc>
      </w:tr>
    </w:tbl>
    <w:p w14:paraId="6A6CDC32" w14:textId="77777777" w:rsidR="00934910" w:rsidRPr="00997EB9" w:rsidRDefault="00934910" w:rsidP="00934910">
      <w:pPr>
        <w:shd w:val="clear" w:color="auto" w:fill="FFFFFF" w:themeFill="background1"/>
        <w:tabs>
          <w:tab w:val="left" w:pos="1567"/>
        </w:tabs>
        <w:spacing w:before="120" w:after="120"/>
        <w:jc w:val="both"/>
        <w:rPr>
          <w:sz w:val="20"/>
          <w:szCs w:val="20"/>
        </w:rPr>
      </w:pPr>
      <w:r w:rsidRPr="00997EB9">
        <w:rPr>
          <w:i/>
          <w:sz w:val="20"/>
          <w:szCs w:val="20"/>
        </w:rPr>
        <w:t>Source</w:t>
      </w:r>
      <w:r w:rsidRPr="00997EB9">
        <w:rPr>
          <w:sz w:val="20"/>
          <w:szCs w:val="20"/>
        </w:rPr>
        <w:t xml:space="preserve">: BlueScope Steel Limited, </w:t>
      </w:r>
      <w:r w:rsidRPr="00997EB9">
        <w:rPr>
          <w:i/>
          <w:sz w:val="20"/>
          <w:szCs w:val="20"/>
        </w:rPr>
        <w:t>Application for anti-dumping duties: Aluminium zinc coated steel exported from the People’s Republic of China, Republic of Kora and Taiwan</w:t>
      </w:r>
      <w:r>
        <w:rPr>
          <w:i/>
          <w:sz w:val="20"/>
          <w:szCs w:val="20"/>
        </w:rPr>
        <w:t>,</w:t>
      </w:r>
      <w:r w:rsidRPr="00997EB9">
        <w:rPr>
          <w:i/>
          <w:sz w:val="20"/>
          <w:szCs w:val="20"/>
        </w:rPr>
        <w:t xml:space="preserve"> </w:t>
      </w:r>
      <w:r w:rsidRPr="003649AB">
        <w:rPr>
          <w:sz w:val="20"/>
          <w:szCs w:val="20"/>
        </w:rPr>
        <w:t>August 2012,</w:t>
      </w:r>
      <w:r w:rsidRPr="00997EB9">
        <w:rPr>
          <w:sz w:val="20"/>
          <w:szCs w:val="20"/>
        </w:rPr>
        <w:t xml:space="preserve"> p. 16.</w:t>
      </w:r>
    </w:p>
    <w:p w14:paraId="6D484AAB" w14:textId="77777777" w:rsidR="00934910" w:rsidRDefault="00934910" w:rsidP="00934910">
      <w:pPr>
        <w:shd w:val="clear" w:color="auto" w:fill="FFFFFF" w:themeFill="background1"/>
        <w:tabs>
          <w:tab w:val="left" w:pos="1567"/>
        </w:tabs>
        <w:spacing w:before="120" w:after="120"/>
        <w:jc w:val="both"/>
      </w:pPr>
      <w:r>
        <w:t>As for the first two examples, there were va</w:t>
      </w:r>
      <w:r w:rsidRPr="00F118DF">
        <w:t xml:space="preserve">riations over the </w:t>
      </w:r>
      <w:r>
        <w:t>decade</w:t>
      </w:r>
      <w:r w:rsidRPr="00F118DF">
        <w:t xml:space="preserve"> 2006 to 2016 in import trends </w:t>
      </w:r>
      <w:r>
        <w:t xml:space="preserve">for fabricated </w:t>
      </w:r>
      <w:r w:rsidRPr="00F118DF">
        <w:t xml:space="preserve">products made using </w:t>
      </w:r>
      <w:r>
        <w:t xml:space="preserve">aluminium zinc coated steel products. </w:t>
      </w:r>
      <w:r w:rsidRPr="00412E64">
        <w:t xml:space="preserve">The Commission’s analysis </w:t>
      </w:r>
      <w:r>
        <w:t xml:space="preserve">found indications that the imposition of trade remedies on aluminium zinc coated steel products preceded an increase in exports to Australia of fabricated products for which aluminium zinc coated steel was a primary input. For example, imports of rain water guttering commenced in 2015, which followed the imposition of measures on aluminium zinc coated steel. </w:t>
      </w:r>
    </w:p>
    <w:p w14:paraId="09658087" w14:textId="77777777" w:rsidR="00934910" w:rsidRDefault="00934910" w:rsidP="00934910">
      <w:pPr>
        <w:autoSpaceDE w:val="0"/>
        <w:autoSpaceDN w:val="0"/>
        <w:adjustRightInd w:val="0"/>
        <w:spacing w:before="120" w:after="120"/>
        <w:jc w:val="both"/>
      </w:pPr>
      <w:r>
        <w:t xml:space="preserve">In contrast, a clear pattern could not be found for </w:t>
      </w:r>
      <w:r w:rsidRPr="00423755">
        <w:t>grain silos</w:t>
      </w:r>
      <w:r>
        <w:t>.</w:t>
      </w:r>
      <w:r w:rsidRPr="00423755">
        <w:t xml:space="preserve"> </w:t>
      </w:r>
      <w:r>
        <w:t>Over the period 2006 to 2016, Australia imported more than 125,000 grain silos from 29 countries. Imports occurred across the period, with fluctuations in volumes over the period.</w:t>
      </w:r>
    </w:p>
    <w:p w14:paraId="45F82070" w14:textId="77777777" w:rsidR="00F011F1" w:rsidRPr="00F011F1" w:rsidRDefault="00F011F1" w:rsidP="00F011F1"/>
    <w:p w14:paraId="5C7E6E66" w14:textId="60A9B92F" w:rsidR="00F011F1" w:rsidRPr="00F011F1" w:rsidRDefault="00F011F1" w:rsidP="00F011F1"/>
    <w:p w14:paraId="2E7CE65C" w14:textId="77777777" w:rsidR="00F011F1" w:rsidRPr="00F011F1" w:rsidRDefault="00F011F1" w:rsidP="00F011F1"/>
    <w:p w14:paraId="73075C38" w14:textId="77777777" w:rsidR="00934910" w:rsidRPr="00A1230A" w:rsidRDefault="00934910" w:rsidP="00934910">
      <w:pPr>
        <w:pStyle w:val="Style4"/>
        <w:keepNext/>
        <w:keepLines/>
        <w:pBdr>
          <w:top w:val="single" w:sz="4" w:space="0" w:color="auto"/>
        </w:pBdr>
        <w:jc w:val="center"/>
        <w:rPr>
          <w:b/>
          <w:sz w:val="28"/>
          <w:szCs w:val="28"/>
        </w:rPr>
      </w:pPr>
      <w:r w:rsidRPr="00A1230A">
        <w:rPr>
          <w:b/>
          <w:sz w:val="28"/>
          <w:szCs w:val="28"/>
        </w:rPr>
        <w:t>Case study – S&amp;L Steel Fab Pty Ltd</w:t>
      </w:r>
    </w:p>
    <w:p w14:paraId="7C69D6B0" w14:textId="77777777" w:rsidR="00934910" w:rsidRPr="00A1230A" w:rsidRDefault="00934910" w:rsidP="00934910">
      <w:pPr>
        <w:pStyle w:val="Style4"/>
        <w:keepNext/>
        <w:keepLines/>
        <w:pBdr>
          <w:top w:val="single" w:sz="4" w:space="0" w:color="auto"/>
        </w:pBdr>
        <w:spacing w:before="120" w:after="120"/>
        <w:jc w:val="both"/>
      </w:pPr>
      <w:r w:rsidRPr="00A1230A">
        <w:t>S&amp;L St</w:t>
      </w:r>
      <w:r>
        <w:t>eel Fab Pty Ltd (S&amp;L Steel</w:t>
      </w:r>
      <w:r w:rsidRPr="00A1230A">
        <w:t xml:space="preserve">) is an Australian company that provides steel fabrication, engineering and erection services. Founded in 1974, S&amp;L Steel has undertaken a diverse range of </w:t>
      </w:r>
      <w:r>
        <w:t>projects,</w:t>
      </w:r>
      <w:r w:rsidRPr="00A1230A">
        <w:t xml:space="preserve"> including fabrication and site installation of bridges, mining equipment and pressure vessels. </w:t>
      </w:r>
    </w:p>
    <w:p w14:paraId="035E1201" w14:textId="77777777" w:rsidR="00934910" w:rsidRPr="00A1230A" w:rsidRDefault="00934910" w:rsidP="00934910">
      <w:pPr>
        <w:pStyle w:val="Style4"/>
        <w:keepNext/>
        <w:keepLines/>
        <w:pBdr>
          <w:top w:val="single" w:sz="4" w:space="0" w:color="auto"/>
        </w:pBdr>
        <w:spacing w:before="120" w:after="120"/>
        <w:jc w:val="both"/>
      </w:pPr>
      <w:r w:rsidRPr="00A1230A">
        <w:t>Over more than four decades in the industry, S&amp;L Steel has expanded to operate out of a workshop in Western Sydney with over 10,000</w:t>
      </w:r>
      <w:r>
        <w:t> </w:t>
      </w:r>
      <w:proofErr w:type="spellStart"/>
      <w:r w:rsidRPr="00A1230A">
        <w:t>sq</w:t>
      </w:r>
      <w:proofErr w:type="spellEnd"/>
      <w:r w:rsidRPr="00A1230A">
        <w:t xml:space="preserve"> metres of undercover workshop space. This has enabled S&amp;L Steel to broaden its focus to providing steel products </w:t>
      </w:r>
      <w:r>
        <w:t>for</w:t>
      </w:r>
      <w:r w:rsidRPr="00A1230A">
        <w:t xml:space="preserve"> significant commercial projects. These include recent projects to provide structural steel for the Hornsby Pedestrian Bridge and the Sydney Metro Northwest Sky train towers. </w:t>
      </w:r>
    </w:p>
    <w:p w14:paraId="4AE571C6" w14:textId="77777777" w:rsidR="00934910" w:rsidRPr="00A1230A" w:rsidRDefault="00934910" w:rsidP="00934910">
      <w:pPr>
        <w:pStyle w:val="Style4"/>
        <w:keepNext/>
        <w:keepLines/>
        <w:pBdr>
          <w:top w:val="single" w:sz="4" w:space="0" w:color="auto"/>
        </w:pBdr>
        <w:spacing w:before="120" w:after="120"/>
        <w:jc w:val="both"/>
      </w:pPr>
      <w:r w:rsidRPr="00A1230A">
        <w:t xml:space="preserve">S&amp;L Steel had a workforce of up to 150 people and reinvested reasonable profits back into the company. In March 2014, S&amp;L Steel noted that many staff had been with the company </w:t>
      </w:r>
      <w:r>
        <w:t>many years</w:t>
      </w:r>
      <w:r w:rsidRPr="00A1230A">
        <w:t xml:space="preserve">, and that the retention rate for </w:t>
      </w:r>
      <w:r>
        <w:t>its</w:t>
      </w:r>
      <w:r w:rsidRPr="00A1230A">
        <w:t xml:space="preserve"> boilermakers and welders was 15-20 years. During this time, S&amp;L Steel made strategic decisions to invest in in-house painting and blasting facilities, as well as a plasma cutter, to add greater value to its clients. </w:t>
      </w:r>
    </w:p>
    <w:p w14:paraId="5F4AA8B9" w14:textId="77777777" w:rsidR="00934910" w:rsidRPr="00A1230A" w:rsidRDefault="00934910" w:rsidP="00934910">
      <w:pPr>
        <w:pStyle w:val="Style4"/>
        <w:keepNext/>
        <w:keepLines/>
        <w:pBdr>
          <w:top w:val="single" w:sz="4" w:space="0" w:color="auto"/>
        </w:pBdr>
        <w:spacing w:before="120" w:after="120"/>
        <w:jc w:val="both"/>
      </w:pPr>
      <w:r w:rsidRPr="00A1230A">
        <w:t>Recently, however, the company has reduce</w:t>
      </w:r>
      <w:r>
        <w:t>d</w:t>
      </w:r>
      <w:r w:rsidRPr="00A1230A">
        <w:t xml:space="preserve"> its employees to fewer than 100 people. S&amp;L Steel believes that this is primarily the result of an influx of steel imported from China which S&amp;L considers to be cheap and sub-quality. S&amp;L Steel believe</w:t>
      </w:r>
      <w:r>
        <w:t>s</w:t>
      </w:r>
      <w:r w:rsidRPr="00A1230A">
        <w:t xml:space="preserve"> that </w:t>
      </w:r>
      <w:r>
        <w:t>it</w:t>
      </w:r>
      <w:r w:rsidRPr="00A1230A">
        <w:t xml:space="preserve"> ha</w:t>
      </w:r>
      <w:r>
        <w:t>s</w:t>
      </w:r>
      <w:r w:rsidRPr="00A1230A">
        <w:t xml:space="preserve"> been adversely impacted by poor quality products that are subsidised by foreign governments, and that this makes it difficult to compete in t</w:t>
      </w:r>
      <w:r>
        <w:t xml:space="preserve">he domestic Australian market. </w:t>
      </w:r>
    </w:p>
    <w:p w14:paraId="4E379B58" w14:textId="77777777" w:rsidR="00934910" w:rsidRDefault="00934910" w:rsidP="000B20C3">
      <w:pPr>
        <w:pStyle w:val="Style4"/>
        <w:keepNext/>
        <w:keepLines/>
        <w:pBdr>
          <w:top w:val="single" w:sz="4" w:space="0" w:color="auto"/>
        </w:pBdr>
        <w:rPr>
          <w:sz w:val="20"/>
          <w:szCs w:val="20"/>
        </w:rPr>
      </w:pPr>
      <w:r w:rsidRPr="00EA46B2">
        <w:rPr>
          <w:i/>
          <w:sz w:val="20"/>
          <w:szCs w:val="20"/>
        </w:rPr>
        <w:t>Sources</w:t>
      </w:r>
      <w:r>
        <w:rPr>
          <w:i/>
          <w:sz w:val="20"/>
          <w:szCs w:val="20"/>
        </w:rPr>
        <w:t>:</w:t>
      </w:r>
      <w:r w:rsidRPr="00EA46B2">
        <w:rPr>
          <w:sz w:val="20"/>
          <w:szCs w:val="20"/>
        </w:rPr>
        <w:t xml:space="preserve"> S&amp;L Steel website</w:t>
      </w:r>
      <w:r>
        <w:rPr>
          <w:sz w:val="20"/>
          <w:szCs w:val="20"/>
        </w:rPr>
        <w:t xml:space="preserve"> </w:t>
      </w:r>
      <w:hyperlink r:id="rId46" w:history="1">
        <w:r w:rsidRPr="00D31C66">
          <w:rPr>
            <w:rStyle w:val="Hyperlink"/>
            <w:sz w:val="20"/>
            <w:szCs w:val="20"/>
          </w:rPr>
          <w:t>www.slsteel.com.au</w:t>
        </w:r>
      </w:hyperlink>
      <w:r>
        <w:rPr>
          <w:sz w:val="20"/>
          <w:szCs w:val="20"/>
        </w:rPr>
        <w:t>;</w:t>
      </w:r>
      <w:r w:rsidRPr="00EA46B2">
        <w:rPr>
          <w:sz w:val="20"/>
          <w:szCs w:val="20"/>
        </w:rPr>
        <w:t xml:space="preserve"> Luis Santos, S&amp;L Steel, Letter of Support to Submission No 19 to the Senate Economics References Committee Inquiry, </w:t>
      </w:r>
      <w:r w:rsidRPr="00EA46B2">
        <w:rPr>
          <w:i/>
          <w:sz w:val="20"/>
          <w:szCs w:val="20"/>
        </w:rPr>
        <w:t>Future of Australia’s Steel Industry</w:t>
      </w:r>
      <w:r w:rsidRPr="00EA46B2">
        <w:rPr>
          <w:sz w:val="20"/>
          <w:szCs w:val="20"/>
        </w:rPr>
        <w:t xml:space="preserve">, </w:t>
      </w:r>
      <w:r>
        <w:rPr>
          <w:sz w:val="20"/>
          <w:szCs w:val="20"/>
        </w:rPr>
        <w:t xml:space="preserve">p. </w:t>
      </w:r>
      <w:r w:rsidRPr="00EA46B2">
        <w:rPr>
          <w:sz w:val="20"/>
          <w:szCs w:val="20"/>
        </w:rPr>
        <w:t>87</w:t>
      </w:r>
      <w:r>
        <w:rPr>
          <w:sz w:val="20"/>
          <w:szCs w:val="20"/>
        </w:rPr>
        <w:t>;</w:t>
      </w:r>
      <w:r w:rsidRPr="00EA46B2">
        <w:rPr>
          <w:sz w:val="20"/>
          <w:szCs w:val="20"/>
        </w:rPr>
        <w:t xml:space="preserve"> John </w:t>
      </w:r>
      <w:proofErr w:type="spellStart"/>
      <w:r w:rsidRPr="00EA46B2">
        <w:rPr>
          <w:sz w:val="20"/>
          <w:szCs w:val="20"/>
        </w:rPr>
        <w:t>Boley</w:t>
      </w:r>
      <w:proofErr w:type="spellEnd"/>
      <w:r w:rsidRPr="00EA46B2">
        <w:rPr>
          <w:sz w:val="20"/>
          <w:szCs w:val="20"/>
        </w:rPr>
        <w:t xml:space="preserve">, Resources in Focus, </w:t>
      </w:r>
      <w:r w:rsidRPr="00EA46B2">
        <w:rPr>
          <w:i/>
          <w:sz w:val="20"/>
          <w:szCs w:val="20"/>
        </w:rPr>
        <w:t>Smooth Transition: S&amp;L Steel</w:t>
      </w:r>
      <w:r w:rsidRPr="00EA46B2">
        <w:rPr>
          <w:sz w:val="20"/>
          <w:szCs w:val="20"/>
        </w:rPr>
        <w:t xml:space="preserve">, March 2014, </w:t>
      </w:r>
      <w:r>
        <w:rPr>
          <w:sz w:val="20"/>
          <w:szCs w:val="20"/>
        </w:rPr>
        <w:t xml:space="preserve">p. </w:t>
      </w:r>
      <w:r w:rsidRPr="00EA46B2">
        <w:rPr>
          <w:sz w:val="20"/>
          <w:szCs w:val="20"/>
        </w:rPr>
        <w:t>49</w:t>
      </w:r>
      <w:r>
        <w:rPr>
          <w:sz w:val="20"/>
          <w:szCs w:val="20"/>
        </w:rPr>
        <w:t>,</w:t>
      </w:r>
      <w:r w:rsidRPr="00EA46B2">
        <w:rPr>
          <w:sz w:val="20"/>
          <w:szCs w:val="20"/>
        </w:rPr>
        <w:t xml:space="preserve"> </w:t>
      </w:r>
      <w:hyperlink r:id="rId47" w:anchor="?page=48" w:history="1">
        <w:r w:rsidRPr="00D31C66">
          <w:rPr>
            <w:rStyle w:val="Hyperlink"/>
            <w:sz w:val="20"/>
            <w:szCs w:val="20"/>
          </w:rPr>
          <w:t>www.resourceinfocus.com.au/mag/RIFAUMar2014/#?page=48</w:t>
        </w:r>
      </w:hyperlink>
      <w:r>
        <w:rPr>
          <w:sz w:val="20"/>
          <w:szCs w:val="20"/>
        </w:rPr>
        <w:t>.</w:t>
      </w:r>
      <w:r w:rsidRPr="00EA46B2">
        <w:rPr>
          <w:sz w:val="20"/>
          <w:szCs w:val="20"/>
        </w:rPr>
        <w:t xml:space="preserve"> </w:t>
      </w:r>
    </w:p>
    <w:p w14:paraId="464F6C84" w14:textId="77777777" w:rsidR="00934910" w:rsidRDefault="00934910" w:rsidP="00934910">
      <w:pPr>
        <w:pStyle w:val="Heading2"/>
      </w:pPr>
      <w:bookmarkStart w:id="58" w:name="_Toc487532436"/>
      <w:r>
        <w:t xml:space="preserve">Conclusions </w:t>
      </w:r>
      <w:bookmarkEnd w:id="58"/>
    </w:p>
    <w:p w14:paraId="7002CCDB" w14:textId="77777777" w:rsidR="00934910" w:rsidRDefault="00934910" w:rsidP="00934910">
      <w:pPr>
        <w:shd w:val="clear" w:color="auto" w:fill="FFFFFF" w:themeFill="background1"/>
        <w:tabs>
          <w:tab w:val="left" w:pos="1567"/>
        </w:tabs>
        <w:spacing w:before="120" w:after="120"/>
        <w:jc w:val="both"/>
      </w:pPr>
      <w:r w:rsidRPr="00540408">
        <w:t xml:space="preserve">Where the prices of </w:t>
      </w:r>
      <w:r>
        <w:t xml:space="preserve">steel fabricated </w:t>
      </w:r>
      <w:r w:rsidRPr="00540408">
        <w:t>imports are reduced by dump</w:t>
      </w:r>
      <w:r>
        <w:t>ing</w:t>
      </w:r>
      <w:r w:rsidRPr="00540408">
        <w:t xml:space="preserve"> </w:t>
      </w:r>
      <w:r>
        <w:t>and/or</w:t>
      </w:r>
      <w:r w:rsidRPr="00540408">
        <w:t xml:space="preserve"> foreign government subsidisation,</w:t>
      </w:r>
      <w:r>
        <w:t xml:space="preserve"> including of primary steel inputs to the production of fabricated products,</w:t>
      </w:r>
      <w:r w:rsidRPr="00540408">
        <w:t xml:space="preserve"> there </w:t>
      </w:r>
      <w:r>
        <w:t>can</w:t>
      </w:r>
      <w:r w:rsidRPr="00540408">
        <w:t xml:space="preserve"> be negative financial and economic impacts on Australian steel fabricators.</w:t>
      </w:r>
    </w:p>
    <w:p w14:paraId="3679E3A6" w14:textId="77777777" w:rsidR="00934910" w:rsidRDefault="00934910" w:rsidP="00934910">
      <w:pPr>
        <w:shd w:val="clear" w:color="auto" w:fill="FFFFFF" w:themeFill="background1"/>
        <w:tabs>
          <w:tab w:val="left" w:pos="1567"/>
        </w:tabs>
        <w:spacing w:before="120" w:after="120"/>
        <w:jc w:val="both"/>
      </w:pPr>
      <w:r>
        <w:t>The Commission is not able to draw firm or general conclusions on the impacts of the demand/</w:t>
      </w:r>
      <w:r w:rsidRPr="00E47475">
        <w:t xml:space="preserve">production </w:t>
      </w:r>
      <w:r>
        <w:t>imbalance in</w:t>
      </w:r>
      <w:r w:rsidRPr="009525AD">
        <w:t xml:space="preserve"> </w:t>
      </w:r>
      <w:r>
        <w:t xml:space="preserve">global </w:t>
      </w:r>
      <w:r w:rsidRPr="009525AD">
        <w:t xml:space="preserve">primary steel </w:t>
      </w:r>
      <w:r>
        <w:t xml:space="preserve">markets </w:t>
      </w:r>
      <w:r w:rsidRPr="009525AD">
        <w:t>and the impacts of trade remedies on</w:t>
      </w:r>
      <w:r>
        <w:t xml:space="preserve"> those products on the downstream steel manufacturing and fabricating industry in Australia. This reflects data limitations and, importantly, difficulties in separately identifying the various impacts of the range of supply and demand factors affecting markets for particular steel fabricated products. Consequently, the Commission’s examination of import trends for selected product groups are only indicative and cannot support a causal link at this stage.</w:t>
      </w:r>
    </w:p>
    <w:p w14:paraId="7D1F14F8" w14:textId="77777777" w:rsidR="00934910" w:rsidRDefault="00934910" w:rsidP="00934910">
      <w:pPr>
        <w:shd w:val="clear" w:color="auto" w:fill="FFFFFF" w:themeFill="background1"/>
        <w:tabs>
          <w:tab w:val="left" w:pos="1567"/>
        </w:tabs>
        <w:spacing w:before="120" w:after="120"/>
        <w:jc w:val="both"/>
      </w:pPr>
      <w:r>
        <w:t>The Commission is able to consider applications by Australian steel manufacturers and fabricators that consider they are being materially injured by dumped and/or subsidised fabricated products imported into Australia. Where there are sufficient grounds to initiate an investigation (as set out in domestic legislation), the Commission will undertake a thorough and comprehensive assessment of the evidence, including seeking and verifying relevant detailed information from the Australian industry, exporters and importers. This will allow the Commission to fully investigate and analyse conditions in the specific product markets relevant to the application and identify the factors influencing the performance of the Australian industry producing the products in question.</w:t>
      </w:r>
    </w:p>
    <w:p w14:paraId="343CD266" w14:textId="77777777" w:rsidR="00F011F1" w:rsidRPr="00F011F1" w:rsidRDefault="00F011F1" w:rsidP="00F011F1"/>
    <w:p w14:paraId="36954906" w14:textId="77777777" w:rsidR="00F011F1" w:rsidRPr="00F011F1" w:rsidRDefault="00F011F1" w:rsidP="00F011F1"/>
    <w:p w14:paraId="02B321FA" w14:textId="77777777" w:rsidR="00F011F1" w:rsidRPr="00F011F1" w:rsidRDefault="00F011F1" w:rsidP="00F011F1"/>
    <w:p w14:paraId="6905BD82" w14:textId="77777777" w:rsidR="00F011F1" w:rsidRPr="00F011F1" w:rsidRDefault="00F011F1" w:rsidP="00F011F1"/>
    <w:p w14:paraId="7AC43EF7" w14:textId="77777777" w:rsidR="00934910" w:rsidRPr="0038072D" w:rsidRDefault="00934910" w:rsidP="00934910">
      <w:pPr>
        <w:pStyle w:val="Heading1"/>
        <w:spacing w:after="360"/>
        <w:ind w:left="431" w:hanging="431"/>
        <w:rPr>
          <w:sz w:val="32"/>
          <w:szCs w:val="32"/>
        </w:rPr>
      </w:pPr>
      <w:bookmarkStart w:id="59" w:name="_Toc487532437"/>
      <w:r>
        <w:rPr>
          <w:sz w:val="32"/>
          <w:szCs w:val="32"/>
        </w:rPr>
        <w:t>T</w:t>
      </w:r>
      <w:r w:rsidRPr="0038072D">
        <w:rPr>
          <w:sz w:val="32"/>
          <w:szCs w:val="32"/>
        </w:rPr>
        <w:t>rade remedies</w:t>
      </w:r>
      <w:r>
        <w:rPr>
          <w:sz w:val="32"/>
          <w:szCs w:val="32"/>
        </w:rPr>
        <w:t xml:space="preserve"> on steel </w:t>
      </w:r>
      <w:r w:rsidRPr="00707201">
        <w:rPr>
          <w:sz w:val="32"/>
          <w:szCs w:val="32"/>
        </w:rPr>
        <w:t xml:space="preserve">fabricated </w:t>
      </w:r>
      <w:r>
        <w:rPr>
          <w:sz w:val="32"/>
          <w:szCs w:val="32"/>
        </w:rPr>
        <w:t>products—</w:t>
      </w:r>
      <w:r w:rsidRPr="0038072D">
        <w:rPr>
          <w:sz w:val="32"/>
          <w:szCs w:val="32"/>
        </w:rPr>
        <w:t>Australia</w:t>
      </w:r>
      <w:r>
        <w:rPr>
          <w:sz w:val="32"/>
          <w:szCs w:val="32"/>
        </w:rPr>
        <w:t xml:space="preserve"> </w:t>
      </w:r>
      <w:r w:rsidRPr="0038072D">
        <w:rPr>
          <w:sz w:val="32"/>
          <w:szCs w:val="32"/>
        </w:rPr>
        <w:t xml:space="preserve">and </w:t>
      </w:r>
      <w:r>
        <w:rPr>
          <w:sz w:val="32"/>
          <w:szCs w:val="32"/>
        </w:rPr>
        <w:t>overseas jurisdictions</w:t>
      </w:r>
      <w:bookmarkEnd w:id="59"/>
      <w:r w:rsidRPr="0038072D">
        <w:rPr>
          <w:sz w:val="32"/>
          <w:szCs w:val="32"/>
        </w:rPr>
        <w:t xml:space="preserve"> </w:t>
      </w:r>
    </w:p>
    <w:p w14:paraId="55B07733" w14:textId="77777777" w:rsidR="00934910" w:rsidRPr="00CF0FE5" w:rsidRDefault="00934910" w:rsidP="00934910">
      <w:pPr>
        <w:pStyle w:val="Style3"/>
        <w:rPr>
          <w:b/>
        </w:rPr>
      </w:pPr>
      <w:r w:rsidRPr="00CF0FE5">
        <w:rPr>
          <w:b/>
        </w:rPr>
        <w:t>Key points</w:t>
      </w:r>
    </w:p>
    <w:p w14:paraId="6DD9C7E6" w14:textId="77777777" w:rsidR="00934910" w:rsidRPr="00274A29" w:rsidRDefault="00934910" w:rsidP="00934910">
      <w:pPr>
        <w:pStyle w:val="Style3"/>
        <w:numPr>
          <w:ilvl w:val="0"/>
          <w:numId w:val="21"/>
        </w:numPr>
        <w:ind w:left="357" w:hanging="357"/>
        <w:jc w:val="both"/>
      </w:pPr>
      <w:r w:rsidRPr="00E802E9">
        <w:t>Since the global financial crisis, total trade remedy investigations and measures in force for steel products have been rising globally.</w:t>
      </w:r>
      <w:r>
        <w:t xml:space="preserve"> The World Trade Organization has highlighted the sharp increase in new trade remedies investigations that occurred over the 12 months to October 2016, reaching its highest level since 2009. </w:t>
      </w:r>
    </w:p>
    <w:p w14:paraId="56D6C3BB" w14:textId="77777777" w:rsidR="00934910" w:rsidRPr="00E802E9" w:rsidRDefault="00934910" w:rsidP="00934910">
      <w:pPr>
        <w:pStyle w:val="Style3"/>
        <w:numPr>
          <w:ilvl w:val="0"/>
          <w:numId w:val="21"/>
        </w:numPr>
        <w:ind w:left="357" w:hanging="357"/>
        <w:jc w:val="both"/>
      </w:pPr>
      <w:r>
        <w:t xml:space="preserve">Many of these </w:t>
      </w:r>
      <w:r w:rsidRPr="00E802E9">
        <w:t xml:space="preserve">investigations and measures have been in respect of </w:t>
      </w:r>
      <w:r>
        <w:t>primary steel products</w:t>
      </w:r>
      <w:r w:rsidRPr="00E802E9">
        <w:t xml:space="preserve">. </w:t>
      </w:r>
      <w:r>
        <w:t>Steel fabricated products comprise a small proportion of measures imposed.</w:t>
      </w:r>
    </w:p>
    <w:p w14:paraId="081FBC79" w14:textId="77777777" w:rsidR="00934910" w:rsidRPr="00E802E9" w:rsidRDefault="00934910" w:rsidP="00934910">
      <w:pPr>
        <w:pStyle w:val="Style3"/>
        <w:numPr>
          <w:ilvl w:val="0"/>
          <w:numId w:val="21"/>
        </w:numPr>
        <w:ind w:left="357" w:hanging="357"/>
        <w:jc w:val="both"/>
      </w:pPr>
      <w:r w:rsidRPr="00E802E9">
        <w:t xml:space="preserve">Consistent with global trends, trade-exposed Australian steel producers have increasingly sought trade remedies under Australia’s anti-dumping system. </w:t>
      </w:r>
      <w:r>
        <w:t>Similar to overseas experience, most applicants have been from Australian industries producing primary steel products, with relatively few applications in respect of steel fabricated products.</w:t>
      </w:r>
    </w:p>
    <w:p w14:paraId="448E11C6" w14:textId="77777777" w:rsidR="00934910" w:rsidRDefault="00934910" w:rsidP="00934910">
      <w:pPr>
        <w:pStyle w:val="Style3"/>
        <w:numPr>
          <w:ilvl w:val="0"/>
          <w:numId w:val="21"/>
        </w:numPr>
        <w:ind w:left="357" w:hanging="357"/>
        <w:jc w:val="both"/>
      </w:pPr>
      <w:r>
        <w:t xml:space="preserve">There are currently two measures in place in Australia on steel fabricated products. A third application in respect of a </w:t>
      </w:r>
      <w:r w:rsidRPr="000C19AA">
        <w:t xml:space="preserve">steel </w:t>
      </w:r>
      <w:r>
        <w:t xml:space="preserve">fabricated </w:t>
      </w:r>
      <w:r w:rsidRPr="000C19AA">
        <w:t>product</w:t>
      </w:r>
      <w:r>
        <w:t xml:space="preserve"> wa</w:t>
      </w:r>
      <w:r w:rsidRPr="000C19AA">
        <w:t>s</w:t>
      </w:r>
      <w:r>
        <w:t xml:space="preserve"> terminated because </w:t>
      </w:r>
      <w:r w:rsidRPr="000C19AA">
        <w:t xml:space="preserve">the evidence indicated that the exporters were not dumping and had not received </w:t>
      </w:r>
      <w:proofErr w:type="spellStart"/>
      <w:r w:rsidRPr="000C19AA">
        <w:t>countervailable</w:t>
      </w:r>
      <w:proofErr w:type="spellEnd"/>
      <w:r w:rsidRPr="000C19AA">
        <w:t xml:space="preserve"> subsidies</w:t>
      </w:r>
      <w:r>
        <w:t>.</w:t>
      </w:r>
    </w:p>
    <w:p w14:paraId="194CAC07" w14:textId="77777777" w:rsidR="00934910" w:rsidRDefault="00934910" w:rsidP="00934910">
      <w:pPr>
        <w:pStyle w:val="Style3"/>
        <w:numPr>
          <w:ilvl w:val="0"/>
          <w:numId w:val="21"/>
        </w:numPr>
        <w:ind w:left="357" w:hanging="357"/>
        <w:jc w:val="both"/>
      </w:pPr>
      <w:r>
        <w:t xml:space="preserve">Australian steel fabricators have identified </w:t>
      </w:r>
      <w:r w:rsidRPr="00AD59C0">
        <w:t>barriers to applying for anti-dumping and countervailing measures</w:t>
      </w:r>
      <w:r>
        <w:t xml:space="preserve">, including costs of accessing the system (such as legal expenses), difficulties in meeting the requirement for standing due to the fragmented nature of some segments of the industry, and difficulties in obtaining the required evidence. </w:t>
      </w:r>
    </w:p>
    <w:p w14:paraId="2D704CE1" w14:textId="77777777" w:rsidR="00934910" w:rsidRDefault="00934910" w:rsidP="00934910">
      <w:pPr>
        <w:spacing w:before="120" w:after="120"/>
      </w:pPr>
    </w:p>
    <w:p w14:paraId="48422064" w14:textId="77777777" w:rsidR="00934910" w:rsidRDefault="00934910" w:rsidP="00934910">
      <w:pPr>
        <w:spacing w:before="120" w:after="120"/>
        <w:jc w:val="both"/>
      </w:pPr>
      <w:r>
        <w:t>Australia’s trade remedy system provides a remedy to Australian industries where dumping or foreign government subsidisation has caused material injury to that industry. Australian industries producing goods that are ‘like’ to competing imported goods can apply to the Anti-Dumping Commission for anti-dumping measures where there are reasonable grounds to support a finding of material injury caused by dumping and/or subsidisation.</w:t>
      </w:r>
      <w:r>
        <w:rPr>
          <w:rStyle w:val="FootnoteReference"/>
        </w:rPr>
        <w:footnoteReference w:id="54"/>
      </w:r>
    </w:p>
    <w:p w14:paraId="2BE16F33" w14:textId="77777777" w:rsidR="00934910" w:rsidRDefault="00934910" w:rsidP="00934910">
      <w:pPr>
        <w:spacing w:before="120" w:after="120"/>
        <w:jc w:val="both"/>
      </w:pPr>
      <w:r>
        <w:t>This chapter sets out information on trade remedy investigations and measures on steel products in Australia, Canada, the United States, and the European Union, with a focus on steel fabricated products. The scope of the Commission’s analysis has been limited by the availability of data.</w:t>
      </w:r>
    </w:p>
    <w:p w14:paraId="0273CD53" w14:textId="77777777" w:rsidR="00934910" w:rsidRDefault="00934910" w:rsidP="00934910">
      <w:pPr>
        <w:pStyle w:val="Heading2"/>
      </w:pPr>
      <w:bookmarkStart w:id="60" w:name="_Toc487532438"/>
      <w:r>
        <w:t>Background—global trends in trade remedy investigations and measures on steel products</w:t>
      </w:r>
      <w:bookmarkEnd w:id="60"/>
    </w:p>
    <w:p w14:paraId="2F989BCE" w14:textId="77777777" w:rsidR="00934910" w:rsidRDefault="00934910" w:rsidP="00934910">
      <w:pPr>
        <w:spacing w:before="120" w:after="120"/>
        <w:jc w:val="both"/>
      </w:pPr>
      <w:r w:rsidRPr="00385725">
        <w:t xml:space="preserve">Since the </w:t>
      </w:r>
      <w:r>
        <w:t>GFC</w:t>
      </w:r>
      <w:r w:rsidRPr="00385725">
        <w:t>, total trade remedy measures in force against steel</w:t>
      </w:r>
      <w:r>
        <w:t xml:space="preserve"> products (primary and fabricated products) </w:t>
      </w:r>
      <w:r w:rsidRPr="00385725">
        <w:t xml:space="preserve">have been rising, both globally and in Australia. There has also been a significant increase in the number of initiations. </w:t>
      </w:r>
      <w:r w:rsidRPr="00D96883">
        <w:t xml:space="preserve">While anti-dumping investigations do not necessarily lead to the imposition of measures, a rise in the number of investigations is an early indicator suggesting a likely rise in the number of measures imposed. </w:t>
      </w:r>
    </w:p>
    <w:p w14:paraId="0C9DFF97" w14:textId="77777777" w:rsidR="00934910" w:rsidRDefault="00934910" w:rsidP="00934910">
      <w:pPr>
        <w:spacing w:before="120" w:after="120"/>
        <w:jc w:val="both"/>
      </w:pPr>
      <w:r>
        <w:t>The World Trade Organization (WTO) highlighted the sharp increase in new trade remedies investigations that occurred over the 12 months to October 2016, reaching its highest level since 2009.</w:t>
      </w:r>
      <w:r>
        <w:rPr>
          <w:rStyle w:val="FootnoteReference"/>
        </w:rPr>
        <w:footnoteReference w:id="55"/>
      </w:r>
      <w:r>
        <w:t xml:space="preserve"> For the seven months to mid-May 2017, there was a slight deceleration of the monthly average of initiations but WTO members continued to initiate more new trade remedy investigations than terminations of trade remedy actions.</w:t>
      </w:r>
      <w:r>
        <w:rPr>
          <w:rStyle w:val="FootnoteReference"/>
        </w:rPr>
        <w:footnoteReference w:id="56"/>
      </w:r>
    </w:p>
    <w:p w14:paraId="637D7AF5" w14:textId="77777777" w:rsidR="00E77AAB" w:rsidRDefault="00E77AAB" w:rsidP="00E77AAB">
      <w:pPr>
        <w:spacing w:before="120" w:after="120"/>
        <w:jc w:val="both"/>
      </w:pPr>
      <w:bookmarkStart w:id="61" w:name="_Toc482878196"/>
      <w:r>
        <w:t>In regard to anti-dumping, the WTO has found that m</w:t>
      </w:r>
      <w:r w:rsidRPr="00D96883">
        <w:t xml:space="preserve">etal products </w:t>
      </w:r>
      <w:r>
        <w:t>were</w:t>
      </w:r>
      <w:r w:rsidRPr="00D96883">
        <w:t xml:space="preserve"> subject to the most initiations in </w:t>
      </w:r>
      <w:r>
        <w:t>recent years</w:t>
      </w:r>
      <w:r w:rsidRPr="00D96883">
        <w:t>, accounting for 3</w:t>
      </w:r>
      <w:r>
        <w:t xml:space="preserve">8 per cent </w:t>
      </w:r>
      <w:r w:rsidRPr="00D96883">
        <w:t>of all initiations in</w:t>
      </w:r>
      <w:r>
        <w:t xml:space="preserve"> the calendar year 2014</w:t>
      </w:r>
      <w:r w:rsidRPr="00D96883">
        <w:t xml:space="preserve">, </w:t>
      </w:r>
      <w:r>
        <w:t>46 per cent</w:t>
      </w:r>
      <w:r w:rsidRPr="00D96883">
        <w:t xml:space="preserve"> in </w:t>
      </w:r>
      <w:r w:rsidRPr="00CA5661">
        <w:t>201</w:t>
      </w:r>
      <w:r>
        <w:t xml:space="preserve">5 </w:t>
      </w:r>
      <w:r w:rsidRPr="00D96883">
        <w:t>and 4</w:t>
      </w:r>
      <w:r>
        <w:t>3 per cent</w:t>
      </w:r>
      <w:r w:rsidRPr="00D96883">
        <w:t xml:space="preserve"> in </w:t>
      </w:r>
      <w:r w:rsidRPr="00CA5661">
        <w:t>201</w:t>
      </w:r>
      <w:r>
        <w:t>6 (the latest reported period)</w:t>
      </w:r>
      <w:r w:rsidRPr="00D96883">
        <w:t>. In each period, at least 8</w:t>
      </w:r>
      <w:r>
        <w:t>9</w:t>
      </w:r>
      <w:r w:rsidRPr="00D96883">
        <w:t xml:space="preserve"> initiations targeted metals, of which </w:t>
      </w:r>
      <w:r>
        <w:t>85 per cent</w:t>
      </w:r>
      <w:r w:rsidRPr="00D96883">
        <w:t xml:space="preserve"> focused on steel products. Over the three periods combined, the United States (</w:t>
      </w:r>
      <w:r>
        <w:t>61</w:t>
      </w:r>
      <w:r w:rsidRPr="00D96883">
        <w:t>), Australia (3</w:t>
      </w:r>
      <w:r>
        <w:t>5</w:t>
      </w:r>
      <w:r w:rsidRPr="00D96883">
        <w:t>)</w:t>
      </w:r>
      <w:r>
        <w:t>, the European Union (28),</w:t>
      </w:r>
      <w:r w:rsidRPr="00D96883">
        <w:t xml:space="preserve"> Canada (2</w:t>
      </w:r>
      <w:r>
        <w:t>7</w:t>
      </w:r>
      <w:r w:rsidRPr="00D96883">
        <w:t xml:space="preserve">) </w:t>
      </w:r>
      <w:r>
        <w:t xml:space="preserve">and Mexico (23) </w:t>
      </w:r>
      <w:r w:rsidRPr="00D96883">
        <w:t>accounted for more than half of the 3</w:t>
      </w:r>
      <w:r>
        <w:t>23</w:t>
      </w:r>
      <w:r w:rsidRPr="00D96883">
        <w:t xml:space="preserve"> initiations on metals. Initiations against metals across the three periods targeted mostly products from China (</w:t>
      </w:r>
      <w:r>
        <w:t>9</w:t>
      </w:r>
      <w:r w:rsidRPr="00D96883">
        <w:t xml:space="preserve">1, of which </w:t>
      </w:r>
      <w:r>
        <w:t>7</w:t>
      </w:r>
      <w:r w:rsidRPr="00D96883">
        <w:t>9 involved steel products), the Republic of Korea (3</w:t>
      </w:r>
      <w:r>
        <w:t>3</w:t>
      </w:r>
      <w:r w:rsidRPr="00D96883">
        <w:t>, of which 3</w:t>
      </w:r>
      <w:r>
        <w:t>2</w:t>
      </w:r>
      <w:r w:rsidRPr="00D96883">
        <w:t xml:space="preserve"> involved steel)</w:t>
      </w:r>
      <w:r>
        <w:t>, India (22, of which 19 involved steel),</w:t>
      </w:r>
      <w:r w:rsidRPr="00D96883">
        <w:t xml:space="preserve"> and Chinese Taipei. </w:t>
      </w:r>
      <w:r w:rsidRPr="00B30B33">
        <w:t>In many instances, investigations were launched on the same product from several exporting countries. For instance, four steel products were the focus of 67 investigations.</w:t>
      </w:r>
      <w:r w:rsidRPr="005B258F">
        <w:rPr>
          <w:vertAlign w:val="superscript"/>
        </w:rPr>
        <w:footnoteReference w:id="57"/>
      </w:r>
    </w:p>
    <w:p w14:paraId="5FE2FF9D" w14:textId="77777777" w:rsidR="00E77AAB" w:rsidRPr="006B70A7" w:rsidRDefault="00E77AAB" w:rsidP="00E77AAB">
      <w:pPr>
        <w:spacing w:before="120" w:after="120"/>
        <w:jc w:val="both"/>
      </w:pPr>
      <w:r>
        <w:t xml:space="preserve">In respect of countervailing (anti-subsidy) measures, </w:t>
      </w:r>
      <w:r w:rsidRPr="006B70A7">
        <w:t xml:space="preserve">metals accounted for most of the initiations reported over the three </w:t>
      </w:r>
      <w:r>
        <w:t xml:space="preserve">WTO </w:t>
      </w:r>
      <w:r w:rsidRPr="006B70A7">
        <w:t>reporting periods. For the three periods combined, 6</w:t>
      </w:r>
      <w:r>
        <w:t>7</w:t>
      </w:r>
      <w:r w:rsidRPr="006B70A7">
        <w:t xml:space="preserve"> of the 11</w:t>
      </w:r>
      <w:r>
        <w:t>0</w:t>
      </w:r>
      <w:r w:rsidRPr="006B70A7">
        <w:t xml:space="preserve"> total initiations recorded covered metals, all but </w:t>
      </w:r>
      <w:r>
        <w:t>five</w:t>
      </w:r>
      <w:r w:rsidRPr="006B70A7">
        <w:t xml:space="preserve"> on steel</w:t>
      </w:r>
      <w:r>
        <w:t xml:space="preserve"> products</w:t>
      </w:r>
      <w:r w:rsidRPr="006B70A7">
        <w:t xml:space="preserve">. </w:t>
      </w:r>
      <w:r>
        <w:t>The United States initiated over half of the investigations of steel products. Ten of the 16 steel-related initiations in the third period involved products from China.</w:t>
      </w:r>
      <w:r>
        <w:rPr>
          <w:rStyle w:val="FootnoteReference"/>
        </w:rPr>
        <w:footnoteReference w:id="58"/>
      </w:r>
      <w:r w:rsidRPr="006B70A7">
        <w:t xml:space="preserve"> </w:t>
      </w:r>
    </w:p>
    <w:p w14:paraId="2275187B" w14:textId="77777777" w:rsidR="00E77AAB" w:rsidRPr="00385725" w:rsidRDefault="00E77AAB" w:rsidP="00E77AAB">
      <w:pPr>
        <w:spacing w:before="120" w:after="120"/>
        <w:jc w:val="both"/>
      </w:pPr>
      <w:r w:rsidRPr="00385725">
        <w:t xml:space="preserve">Annual trade remedy investigation initiations by the United States into steel products increased more than sevenfold from 2008 to 2015. </w:t>
      </w:r>
      <w:r>
        <w:t>In 2016, more than half the trade remedy cases initiated by the US were into steel products.</w:t>
      </w:r>
      <w:r>
        <w:rPr>
          <w:rStyle w:val="FootnoteReference"/>
        </w:rPr>
        <w:footnoteReference w:id="59"/>
      </w:r>
      <w:r>
        <w:t xml:space="preserve"> </w:t>
      </w:r>
      <w:r w:rsidRPr="00C556C8">
        <w:t xml:space="preserve">China </w:t>
      </w:r>
      <w:r>
        <w:t xml:space="preserve">was the </w:t>
      </w:r>
      <w:r w:rsidRPr="00385725">
        <w:t>country against which most trade remedy investigations into steel were initiated by the US during 2008 to 2015.</w:t>
      </w:r>
      <w:r>
        <w:rPr>
          <w:rStyle w:val="FootnoteReference"/>
        </w:rPr>
        <w:footnoteReference w:id="60"/>
      </w:r>
      <w:r w:rsidRPr="00385725">
        <w:t xml:space="preserve"> </w:t>
      </w:r>
    </w:p>
    <w:p w14:paraId="0138F67D" w14:textId="77777777" w:rsidR="00E77AAB" w:rsidRPr="00385725" w:rsidRDefault="00E77AAB" w:rsidP="00E77AAB">
      <w:pPr>
        <w:spacing w:before="120" w:after="120"/>
        <w:jc w:val="both"/>
      </w:pPr>
      <w:r w:rsidRPr="00385725">
        <w:t>In the European Union</w:t>
      </w:r>
      <w:r>
        <w:t xml:space="preserve"> (EU)</w:t>
      </w:r>
      <w:r w:rsidRPr="00385725">
        <w:t xml:space="preserve">, trade remedy measures in force against steel have risen steeply in recent years. </w:t>
      </w:r>
      <w:r>
        <w:t xml:space="preserve">In 2016, 13 of the 24 new investigation initiations or </w:t>
      </w:r>
      <w:proofErr w:type="spellStart"/>
      <w:r>
        <w:t>reopenings</w:t>
      </w:r>
      <w:proofErr w:type="spellEnd"/>
      <w:r>
        <w:t xml:space="preserve"> were into steel products.</w:t>
      </w:r>
      <w:r>
        <w:rPr>
          <w:rStyle w:val="FootnoteReference"/>
        </w:rPr>
        <w:footnoteReference w:id="61"/>
      </w:r>
      <w:r>
        <w:t xml:space="preserve"> </w:t>
      </w:r>
      <w:r w:rsidRPr="00385725">
        <w:t xml:space="preserve">As at </w:t>
      </w:r>
      <w:r>
        <w:t>November</w:t>
      </w:r>
      <w:r w:rsidRPr="00385725">
        <w:t xml:space="preserve"> 2016, the EU had </w:t>
      </w:r>
      <w:r>
        <w:t>40</w:t>
      </w:r>
      <w:r w:rsidRPr="00385725">
        <w:t xml:space="preserve"> trade remedy measures on steel</w:t>
      </w:r>
      <w:r>
        <w:t>,</w:t>
      </w:r>
      <w:r w:rsidRPr="00385725">
        <w:t xml:space="preserve"> with </w:t>
      </w:r>
      <w:r>
        <w:t>fourteen</w:t>
      </w:r>
      <w:r w:rsidRPr="00385725">
        <w:t xml:space="preserve"> investigations on foot.</w:t>
      </w:r>
      <w:r>
        <w:rPr>
          <w:rStyle w:val="FootnoteReference"/>
        </w:rPr>
        <w:footnoteReference w:id="62"/>
      </w:r>
      <w:r w:rsidRPr="00385725">
        <w:t xml:space="preserve"> </w:t>
      </w:r>
    </w:p>
    <w:p w14:paraId="0154B7AF" w14:textId="77777777" w:rsidR="00E77AAB" w:rsidRPr="004779A5" w:rsidRDefault="00E77AAB" w:rsidP="00E77AAB">
      <w:pPr>
        <w:pStyle w:val="Heading2"/>
      </w:pPr>
      <w:bookmarkStart w:id="62" w:name="_Toc482878197"/>
      <w:bookmarkStart w:id="63" w:name="_Toc487532439"/>
      <w:bookmarkEnd w:id="61"/>
      <w:r w:rsidRPr="004779A5">
        <w:t xml:space="preserve">Measures on </w:t>
      </w:r>
      <w:r>
        <w:t xml:space="preserve">manufactured/ fabricated </w:t>
      </w:r>
      <w:r w:rsidRPr="004779A5">
        <w:t>steel products</w:t>
      </w:r>
      <w:r>
        <w:t>—</w:t>
      </w:r>
      <w:r w:rsidRPr="004779A5">
        <w:t>Australia</w:t>
      </w:r>
      <w:bookmarkEnd w:id="62"/>
      <w:bookmarkEnd w:id="63"/>
      <w:r>
        <w:t xml:space="preserve"> </w:t>
      </w:r>
    </w:p>
    <w:p w14:paraId="1BAF4CB7" w14:textId="77777777" w:rsidR="00E77AAB" w:rsidRDefault="00E77AAB" w:rsidP="00E77AAB">
      <w:pPr>
        <w:spacing w:before="120" w:after="120"/>
        <w:jc w:val="both"/>
        <w:rPr>
          <w:rFonts w:cs="Arial"/>
        </w:rPr>
      </w:pPr>
      <w:r w:rsidRPr="002C26ED">
        <w:t>Following global trends, trade remedy investigation initiations and measures imposed in respect of steel have also increased substantially in Australia in recent years.</w:t>
      </w:r>
      <w:r>
        <w:t xml:space="preserve"> As at </w:t>
      </w:r>
      <w:r w:rsidRPr="009515DC">
        <w:t xml:space="preserve">30 </w:t>
      </w:r>
      <w:r>
        <w:t>September</w:t>
      </w:r>
      <w:r w:rsidRPr="009515DC">
        <w:t xml:space="preserve"> 2017</w:t>
      </w:r>
      <w:r>
        <w:t xml:space="preserve">, approximately </w:t>
      </w:r>
      <w:r>
        <w:rPr>
          <w:rFonts w:cs="Arial"/>
        </w:rPr>
        <w:t xml:space="preserve">77 per cent </w:t>
      </w:r>
      <w:r w:rsidRPr="00A62046">
        <w:rPr>
          <w:rFonts w:cs="Arial"/>
        </w:rPr>
        <w:t xml:space="preserve">of the Anti-Dumping Commission’s current caseload </w:t>
      </w:r>
      <w:r>
        <w:rPr>
          <w:rFonts w:cs="Arial"/>
        </w:rPr>
        <w:t>was</w:t>
      </w:r>
      <w:r w:rsidRPr="00A62046">
        <w:rPr>
          <w:rFonts w:cs="Arial"/>
        </w:rPr>
        <w:t xml:space="preserve"> steel cases</w:t>
      </w:r>
      <w:r>
        <w:rPr>
          <w:rFonts w:cs="Arial"/>
        </w:rPr>
        <w:t xml:space="preserve"> (including investigations, continuation inquiries, annual reviews, and duty assessments)</w:t>
      </w:r>
      <w:r w:rsidRPr="00A62046">
        <w:rPr>
          <w:rFonts w:cs="Arial"/>
        </w:rPr>
        <w:t>.</w:t>
      </w:r>
      <w:r>
        <w:rPr>
          <w:rFonts w:cs="Arial"/>
        </w:rPr>
        <w:t xml:space="preserve"> </w:t>
      </w:r>
    </w:p>
    <w:p w14:paraId="25ECE26D" w14:textId="77777777" w:rsidR="000B20C3" w:rsidRPr="00A62046" w:rsidRDefault="000B20C3" w:rsidP="000B20C3">
      <w:pPr>
        <w:spacing w:before="120" w:after="120"/>
        <w:jc w:val="both"/>
      </w:pPr>
      <w:r w:rsidRPr="00A62046">
        <w:t xml:space="preserve">In recent years, the Commission has undertaken a record number of dumping and subsidisation investigations into steel imports. As a result of these investigations, </w:t>
      </w:r>
      <w:r>
        <w:t>50</w:t>
      </w:r>
      <w:r w:rsidRPr="00A62046">
        <w:t xml:space="preserve"> anti-dumping measures (in the form of dumping duty, countervailing duty and provisional measures) are in place on 14 steel products from 1</w:t>
      </w:r>
      <w:r>
        <w:t>6</w:t>
      </w:r>
      <w:r w:rsidRPr="00A62046">
        <w:t xml:space="preserve"> countries. One ‘measure’ is one type of duty applied to one country. </w:t>
      </w:r>
    </w:p>
    <w:p w14:paraId="0BB73EF3" w14:textId="77777777" w:rsidR="000B20C3" w:rsidRPr="00A62046" w:rsidRDefault="000B20C3" w:rsidP="000B20C3">
      <w:pPr>
        <w:pStyle w:val="Points"/>
        <w:jc w:val="both"/>
      </w:pPr>
      <w:r w:rsidRPr="00A62046">
        <w:t xml:space="preserve">19 of these </w:t>
      </w:r>
      <w:r>
        <w:t>51</w:t>
      </w:r>
      <w:r w:rsidRPr="00A62046">
        <w:t xml:space="preserve"> measures apply to products produced by </w:t>
      </w:r>
      <w:r>
        <w:t>Li</w:t>
      </w:r>
      <w:r w:rsidRPr="005207E5">
        <w:t xml:space="preserve">berty </w:t>
      </w:r>
      <w:proofErr w:type="spellStart"/>
      <w:r w:rsidRPr="005207E5">
        <w:t>OneSteel</w:t>
      </w:r>
      <w:proofErr w:type="spellEnd"/>
      <w:r>
        <w:t xml:space="preserve"> </w:t>
      </w:r>
    </w:p>
    <w:p w14:paraId="0FF6B178" w14:textId="77777777" w:rsidR="000B20C3" w:rsidRPr="00A62046" w:rsidRDefault="000B20C3" w:rsidP="000B20C3">
      <w:pPr>
        <w:pStyle w:val="Points"/>
        <w:jc w:val="both"/>
      </w:pPr>
      <w:r>
        <w:t>20</w:t>
      </w:r>
      <w:r w:rsidRPr="00A62046">
        <w:t xml:space="preserve"> of these </w:t>
      </w:r>
      <w:r>
        <w:t>51</w:t>
      </w:r>
      <w:r w:rsidRPr="00A62046">
        <w:t xml:space="preserve"> measures apply to products produced by BlueScope</w:t>
      </w:r>
      <w:r>
        <w:t>.</w:t>
      </w:r>
    </w:p>
    <w:p w14:paraId="5FF085D8" w14:textId="2F1EC3E6" w:rsidR="00E77AAB" w:rsidRPr="00A62046" w:rsidRDefault="00E77AAB" w:rsidP="00E77AAB">
      <w:pPr>
        <w:spacing w:before="120" w:after="120"/>
        <w:jc w:val="both"/>
      </w:pPr>
      <w:r w:rsidRPr="00A62046">
        <w:t xml:space="preserve">Investigations and resulting measures have primarily involved goods produced in China and to a lesser extent Korea and Taiwan. </w:t>
      </w:r>
      <w:r>
        <w:t xml:space="preserve">Twenty-nine per cent </w:t>
      </w:r>
      <w:r w:rsidRPr="00A62046">
        <w:t>of steel measures are on goods from China, 1</w:t>
      </w:r>
      <w:r>
        <w:t xml:space="preserve">6 per cent </w:t>
      </w:r>
      <w:r w:rsidRPr="00A62046">
        <w:t>from Korea and 1</w:t>
      </w:r>
      <w:r>
        <w:t xml:space="preserve">2 per cent </w:t>
      </w:r>
      <w:r w:rsidRPr="00A62046">
        <w:t>from Taiwan.</w:t>
      </w:r>
    </w:p>
    <w:p w14:paraId="294B9DB1" w14:textId="77777777" w:rsidR="00E77AAB" w:rsidRPr="00A62046" w:rsidRDefault="00E77AAB" w:rsidP="00E77AAB">
      <w:pPr>
        <w:spacing w:before="120" w:after="120"/>
        <w:jc w:val="both"/>
      </w:pPr>
      <w:r w:rsidRPr="00A62046">
        <w:t xml:space="preserve">Australian trade measures are generally effective as they result in lower imports from </w:t>
      </w:r>
      <w:r>
        <w:t>exporters</w:t>
      </w:r>
      <w:r w:rsidRPr="00A62046">
        <w:t xml:space="preserve"> subject to measures </w:t>
      </w:r>
      <w:r>
        <w:t xml:space="preserve">(that is, exporters found to have been dumping and/or benefiting from foreign subsidisation) </w:t>
      </w:r>
      <w:r w:rsidRPr="00A62046">
        <w:t>and improve Australian industry’s ability to compete on a level playing field.</w:t>
      </w:r>
    </w:p>
    <w:p w14:paraId="54ED4A32" w14:textId="77777777" w:rsidR="00E77AAB" w:rsidRDefault="00E77AAB" w:rsidP="00E77AAB">
      <w:pPr>
        <w:spacing w:before="120" w:after="120"/>
        <w:jc w:val="both"/>
      </w:pPr>
      <w:r>
        <w:t xml:space="preserve">Most measures are imposed on primary steel products. At present, two fabricated steel products—wind towers and deep drawn stainless steel sinks—are subject to anti-dumping measures. In a third application received by the Commission in respect of a </w:t>
      </w:r>
      <w:r w:rsidRPr="002F6448">
        <w:t xml:space="preserve">steel </w:t>
      </w:r>
      <w:r>
        <w:t xml:space="preserve">fabricated </w:t>
      </w:r>
      <w:r w:rsidRPr="002F6448">
        <w:t>product</w:t>
      </w:r>
      <w:r>
        <w:t xml:space="preserve">, measures were not imposed because the Commissioner could not be satisfied that there was sufficient evidence of material injury caused by dumping and/or subsidisation. On 23 February 2017, the Commissioner terminated an investigation into </w:t>
      </w:r>
      <w:r w:rsidRPr="00D31869">
        <w:t>steel</w:t>
      </w:r>
      <w:r>
        <w:t xml:space="preserve"> </w:t>
      </w:r>
      <w:r w:rsidRPr="00E650DD">
        <w:t>shelving units</w:t>
      </w:r>
      <w:r>
        <w:t xml:space="preserve"> because the evidence indicated that the exporters were not dumping and had not received </w:t>
      </w:r>
      <w:proofErr w:type="spellStart"/>
      <w:r>
        <w:t>countervailable</w:t>
      </w:r>
      <w:proofErr w:type="spellEnd"/>
      <w:r>
        <w:t xml:space="preserve"> subsidies.</w:t>
      </w:r>
      <w:r>
        <w:rPr>
          <w:rStyle w:val="FootnoteReference"/>
        </w:rPr>
        <w:footnoteReference w:id="63"/>
      </w:r>
      <w:r>
        <w:t xml:space="preserve"> </w:t>
      </w:r>
    </w:p>
    <w:p w14:paraId="2E44312A" w14:textId="77777777" w:rsidR="00E77AAB" w:rsidRDefault="00E77AAB" w:rsidP="00E77AAB">
      <w:pPr>
        <w:spacing w:before="120" w:after="120"/>
        <w:jc w:val="both"/>
      </w:pPr>
      <w:r>
        <w:t>The Commission is currently conducting an investigation into the alleged dumping of stranded wire rope, which is a steel fabricated product, exported from South Africa.</w:t>
      </w:r>
      <w:r>
        <w:rPr>
          <w:rStyle w:val="FootnoteReference"/>
        </w:rPr>
        <w:footnoteReference w:id="64"/>
      </w:r>
      <w:r>
        <w:t xml:space="preserve"> </w:t>
      </w:r>
    </w:p>
    <w:p w14:paraId="091ED94D" w14:textId="77777777" w:rsidR="00E77AAB" w:rsidRDefault="00E77AAB" w:rsidP="00E77AAB">
      <w:pPr>
        <w:spacing w:before="120" w:after="120"/>
        <w:jc w:val="both"/>
      </w:pPr>
      <w:r>
        <w:t>There are a small number, and low proportion, of measures on steel fabricated products compared to primary steel products. There have been relatively few applications to the Commission in respect of steel fabricated products.</w:t>
      </w:r>
    </w:p>
    <w:p w14:paraId="7F83058F" w14:textId="77777777" w:rsidR="00E77AAB" w:rsidRDefault="00E77AAB" w:rsidP="00E77AAB">
      <w:pPr>
        <w:spacing w:before="120" w:after="120"/>
        <w:jc w:val="both"/>
      </w:pPr>
      <w:r>
        <w:t>The following case study outlines one of the investigations into fabricated steel products conducted by the Anti-Dumping Commission.</w:t>
      </w:r>
    </w:p>
    <w:p w14:paraId="376B1D24" w14:textId="77777777" w:rsidR="00E77AAB" w:rsidRPr="00D96883" w:rsidRDefault="00E77AAB" w:rsidP="00934910">
      <w:pPr>
        <w:spacing w:before="120" w:after="120"/>
        <w:jc w:val="both"/>
      </w:pPr>
    </w:p>
    <w:p w14:paraId="7C700A8E" w14:textId="77777777" w:rsidR="00F011F1" w:rsidRPr="00F011F1" w:rsidRDefault="00F011F1" w:rsidP="00F011F1"/>
    <w:p w14:paraId="6B1043C1" w14:textId="77777777" w:rsidR="00F011F1" w:rsidRPr="00F011F1" w:rsidRDefault="00F011F1" w:rsidP="00F011F1"/>
    <w:p w14:paraId="40694E3E" w14:textId="77777777" w:rsidR="00F011F1" w:rsidRPr="00F011F1" w:rsidRDefault="00F011F1" w:rsidP="00F011F1"/>
    <w:p w14:paraId="3E1E3AD4" w14:textId="77777777" w:rsidR="00F011F1" w:rsidRPr="00F011F1" w:rsidRDefault="00F011F1" w:rsidP="00F011F1"/>
    <w:p w14:paraId="77086BDB" w14:textId="77777777" w:rsidR="00F011F1" w:rsidRPr="00F011F1" w:rsidRDefault="00F011F1" w:rsidP="00F011F1"/>
    <w:p w14:paraId="48A9A396" w14:textId="77777777" w:rsidR="00F011F1" w:rsidRPr="00F011F1" w:rsidRDefault="00F011F1" w:rsidP="00F011F1"/>
    <w:p w14:paraId="1B933D34" w14:textId="77777777" w:rsidR="00F011F1" w:rsidRPr="00F011F1" w:rsidRDefault="00F011F1" w:rsidP="00F011F1"/>
    <w:p w14:paraId="59D073B9" w14:textId="77777777" w:rsidR="00F011F1" w:rsidRPr="00F011F1" w:rsidRDefault="00F011F1" w:rsidP="00F011F1"/>
    <w:p w14:paraId="39739EE3" w14:textId="77777777" w:rsidR="00F011F1" w:rsidRPr="00F011F1" w:rsidRDefault="00F011F1" w:rsidP="00F011F1"/>
    <w:p w14:paraId="4A776AE3" w14:textId="77777777" w:rsidR="00F011F1" w:rsidRPr="00F011F1" w:rsidRDefault="00F011F1" w:rsidP="00F011F1"/>
    <w:p w14:paraId="25A77290" w14:textId="77777777" w:rsidR="00F011F1" w:rsidRPr="00F011F1" w:rsidRDefault="00F011F1" w:rsidP="00F011F1"/>
    <w:p w14:paraId="4F09F32B" w14:textId="77777777" w:rsidR="00F011F1" w:rsidRPr="00F011F1" w:rsidRDefault="00F011F1" w:rsidP="00F011F1"/>
    <w:p w14:paraId="04ACF132" w14:textId="77777777" w:rsidR="00F011F1" w:rsidRPr="00F011F1" w:rsidRDefault="00F011F1" w:rsidP="00F011F1"/>
    <w:p w14:paraId="1915AFA6" w14:textId="77777777" w:rsidR="00F011F1" w:rsidRPr="00F011F1" w:rsidRDefault="00F011F1" w:rsidP="00F011F1"/>
    <w:p w14:paraId="200E13BD" w14:textId="77777777" w:rsidR="00E77AAB"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center"/>
        <w:rPr>
          <w:b/>
          <w:sz w:val="28"/>
          <w:szCs w:val="28"/>
        </w:rPr>
      </w:pPr>
      <w:r w:rsidRPr="00934B5B">
        <w:rPr>
          <w:b/>
          <w:sz w:val="28"/>
          <w:szCs w:val="28"/>
        </w:rPr>
        <w:t xml:space="preserve">Case Study – </w:t>
      </w:r>
      <w:r>
        <w:rPr>
          <w:b/>
          <w:sz w:val="28"/>
          <w:szCs w:val="28"/>
        </w:rPr>
        <w:t xml:space="preserve">Tasman </w:t>
      </w:r>
      <w:proofErr w:type="spellStart"/>
      <w:r>
        <w:rPr>
          <w:b/>
          <w:sz w:val="28"/>
          <w:szCs w:val="28"/>
        </w:rPr>
        <w:t>Sinkware</w:t>
      </w:r>
      <w:proofErr w:type="spellEnd"/>
      <w:r>
        <w:rPr>
          <w:b/>
          <w:sz w:val="28"/>
          <w:szCs w:val="28"/>
        </w:rPr>
        <w:t>: Deep Drawn Stainless Sinks</w:t>
      </w:r>
    </w:p>
    <w:p w14:paraId="571803FD" w14:textId="77777777" w:rsidR="00E77AAB" w:rsidRPr="00A1230A" w:rsidRDefault="00E77AAB" w:rsidP="00E77AAB">
      <w:pPr>
        <w:pStyle w:val="Style4"/>
        <w:keepNext/>
        <w:keepLines/>
        <w:spacing w:before="120" w:after="120"/>
        <w:jc w:val="both"/>
        <w:rPr>
          <w:b/>
          <w:sz w:val="28"/>
          <w:szCs w:val="28"/>
        </w:rPr>
      </w:pPr>
      <w:r w:rsidRPr="00A1230A">
        <w:t>On 31 January 2014</w:t>
      </w:r>
      <w:r>
        <w:t>,</w:t>
      </w:r>
      <w:r w:rsidRPr="00A1230A">
        <w:t xml:space="preserve"> the Anti-Dumping Commission received an application for dumping and countervailing measures </w:t>
      </w:r>
      <w:r>
        <w:t>in respect of</w:t>
      </w:r>
      <w:r w:rsidRPr="00A1230A">
        <w:t xml:space="preserve"> ‘deep drawn stainless sinks’ exported to Australia from China. </w:t>
      </w:r>
    </w:p>
    <w:p w14:paraId="4F5DE1F1" w14:textId="77777777" w:rsidR="00E77AAB" w:rsidRPr="00A1230A" w:rsidRDefault="00E77AAB" w:rsidP="00E77AAB">
      <w:pPr>
        <w:pStyle w:val="Style4"/>
        <w:keepNext/>
        <w:keepLines/>
        <w:spacing w:before="120" w:after="120"/>
        <w:jc w:val="both"/>
      </w:pPr>
      <w:r w:rsidRPr="00A1230A">
        <w:t xml:space="preserve">The application was lodged by Tasman </w:t>
      </w:r>
      <w:proofErr w:type="spellStart"/>
      <w:r w:rsidRPr="00A1230A">
        <w:t>Sinkware</w:t>
      </w:r>
      <w:proofErr w:type="spellEnd"/>
      <w:r w:rsidRPr="00A1230A">
        <w:t xml:space="preserve"> Pty Ltd (Tasman), the only Australian manufacturer in the industry. The Commission </w:t>
      </w:r>
      <w:r>
        <w:t>did not have sufficient data</w:t>
      </w:r>
      <w:r w:rsidRPr="00A1230A">
        <w:t xml:space="preserve"> to accurately assess the market size of the Australian deep drawn stainless steel sinks industry, not</w:t>
      </w:r>
      <w:r>
        <w:t>ing</w:t>
      </w:r>
      <w:r w:rsidRPr="00A1230A">
        <w:t xml:space="preserve"> that there were </w:t>
      </w:r>
      <w:r>
        <w:t>more than</w:t>
      </w:r>
      <w:r w:rsidRPr="00A1230A">
        <w:t xml:space="preserve"> 350 potential importers. Three cooperative Chinese </w:t>
      </w:r>
      <w:r>
        <w:t>ex</w:t>
      </w:r>
      <w:r w:rsidRPr="00A1230A">
        <w:t xml:space="preserve">porters were selected for verification visits. These three exporters </w:t>
      </w:r>
      <w:r>
        <w:t>were</w:t>
      </w:r>
      <w:r w:rsidRPr="00A1230A">
        <w:t xml:space="preserve"> believed to represent approximately 25</w:t>
      </w:r>
      <w:r>
        <w:t xml:space="preserve"> per cent </w:t>
      </w:r>
      <w:r w:rsidRPr="00A1230A">
        <w:t xml:space="preserve">of the market. </w:t>
      </w:r>
    </w:p>
    <w:p w14:paraId="5FB1BD01" w14:textId="77777777" w:rsidR="00E77AAB" w:rsidRPr="00A1230A" w:rsidRDefault="00E77AAB" w:rsidP="00E77AAB">
      <w:pPr>
        <w:pStyle w:val="Style4"/>
        <w:keepNext/>
        <w:keepLines/>
        <w:spacing w:before="120" w:after="120"/>
        <w:jc w:val="both"/>
      </w:pPr>
      <w:r w:rsidRPr="00A1230A">
        <w:t xml:space="preserve">The goods </w:t>
      </w:r>
      <w:r>
        <w:t>subject to Tasman’s application</w:t>
      </w:r>
      <w:r w:rsidRPr="00A1230A">
        <w:t xml:space="preserve"> </w:t>
      </w:r>
      <w:r>
        <w:t>were</w:t>
      </w:r>
      <w:r w:rsidRPr="00A1230A">
        <w:t>:</w:t>
      </w:r>
      <w:r>
        <w:t xml:space="preserve"> ‘</w:t>
      </w:r>
      <w:r w:rsidRPr="00A1230A">
        <w:t>Deep drawn stainless steel sinks with a single deep drawn bowl having a volume of between 7 and 70 litres (inclusive), or multiple drawn bowls having a combined volume of between 12 and 70 litres (inclusive), with or without integrated drain boards, whether finished or unfinished, regardless of type of finish, gauge, or grade of stainless steel and whethe</w:t>
      </w:r>
      <w:r>
        <w:t xml:space="preserve">r or not including accessories.’ </w:t>
      </w:r>
      <w:r w:rsidRPr="00A1230A">
        <w:t xml:space="preserve">The term ‘deep drawn’ refers to a process in the manufacturing of stainless steel sinks. </w:t>
      </w:r>
    </w:p>
    <w:p w14:paraId="40ACC321" w14:textId="77777777" w:rsidR="00E77AAB" w:rsidRPr="00A1230A" w:rsidRDefault="00E77AAB" w:rsidP="00E77AAB">
      <w:pPr>
        <w:pStyle w:val="Style4"/>
        <w:keepNext/>
        <w:keepLines/>
        <w:spacing w:before="120" w:after="120"/>
        <w:jc w:val="both"/>
      </w:pPr>
      <w:r w:rsidRPr="00A1230A">
        <w:t xml:space="preserve">Tasman </w:t>
      </w:r>
      <w:r>
        <w:t>argued</w:t>
      </w:r>
      <w:r w:rsidRPr="00A1230A">
        <w:t xml:space="preserve"> that it had suffered material injury from dumped and subsidised goods exported to Australia from China. </w:t>
      </w:r>
      <w:r>
        <w:t>It</w:t>
      </w:r>
      <w:r w:rsidRPr="00A1230A">
        <w:t xml:space="preserve"> </w:t>
      </w:r>
      <w:r>
        <w:t>provided evidence</w:t>
      </w:r>
      <w:r w:rsidRPr="00A1230A">
        <w:t xml:space="preserve"> that imports increased in volume by 30.5</w:t>
      </w:r>
      <w:r>
        <w:t> per cent</w:t>
      </w:r>
      <w:r w:rsidRPr="00A1230A">
        <w:t xml:space="preserve"> between 2009</w:t>
      </w:r>
      <w:r>
        <w:t>-10</w:t>
      </w:r>
      <w:r w:rsidRPr="00A1230A">
        <w:t xml:space="preserve"> and 2010</w:t>
      </w:r>
      <w:r>
        <w:t>-11</w:t>
      </w:r>
      <w:r w:rsidRPr="00A1230A">
        <w:t xml:space="preserve"> and that the market share of </w:t>
      </w:r>
      <w:r>
        <w:t xml:space="preserve">the allegedly </w:t>
      </w:r>
      <w:r w:rsidRPr="00A1230A">
        <w:t>dumped and subsidised goods increased by 12</w:t>
      </w:r>
      <w:r>
        <w:t> per cent</w:t>
      </w:r>
      <w:r w:rsidRPr="00A1230A">
        <w:t xml:space="preserve"> while the Australian industry declined by 20</w:t>
      </w:r>
      <w:r>
        <w:t> per cent</w:t>
      </w:r>
      <w:r w:rsidRPr="00A1230A">
        <w:t xml:space="preserve"> over the same period. </w:t>
      </w:r>
    </w:p>
    <w:p w14:paraId="3EC694D1" w14:textId="77777777" w:rsidR="00E77AAB" w:rsidRDefault="00E77AAB" w:rsidP="00E77AAB">
      <w:pPr>
        <w:pStyle w:val="Style4"/>
        <w:keepNext/>
        <w:keepLines/>
        <w:spacing w:before="120" w:after="120"/>
        <w:jc w:val="both"/>
      </w:pPr>
      <w:r w:rsidRPr="00A1230A">
        <w:t xml:space="preserve">The Commission found that dumping and subsidisation </w:t>
      </w:r>
      <w:r>
        <w:t>of the</w:t>
      </w:r>
      <w:r w:rsidRPr="00A1230A">
        <w:t xml:space="preserve"> Chinese </w:t>
      </w:r>
      <w:r>
        <w:t>exports</w:t>
      </w:r>
      <w:r w:rsidRPr="00A1230A">
        <w:t xml:space="preserve"> had occurred during the investigation period. The dumping margins ranged from 5.0 to 49.5</w:t>
      </w:r>
      <w:r>
        <w:t> per cent</w:t>
      </w:r>
      <w:r w:rsidRPr="00A1230A">
        <w:t>, and the subsidy margins ranged from 3.0 to 6.4</w:t>
      </w:r>
      <w:r>
        <w:t> per cent</w:t>
      </w:r>
      <w:r w:rsidRPr="00A1230A">
        <w:t xml:space="preserve">. </w:t>
      </w:r>
      <w:r>
        <w:t>O</w:t>
      </w:r>
      <w:r w:rsidRPr="00A1230A">
        <w:t>n 26</w:t>
      </w:r>
      <w:r>
        <w:t> </w:t>
      </w:r>
      <w:r w:rsidRPr="00A1230A">
        <w:t>March 2015</w:t>
      </w:r>
      <w:r>
        <w:t>, the then Parliamentary Secretary to the Minister for Industry, Innovation and Science decided to</w:t>
      </w:r>
      <w:r w:rsidRPr="00A1230A">
        <w:t xml:space="preserve"> </w:t>
      </w:r>
      <w:r>
        <w:t>impose an</w:t>
      </w:r>
      <w:r w:rsidRPr="00A1230A">
        <w:t xml:space="preserve"> effective combined interim countervailing duty and interim dumping duty as an ad valorem duty </w:t>
      </w:r>
      <w:r>
        <w:t>that</w:t>
      </w:r>
      <w:r w:rsidRPr="00A1230A">
        <w:t xml:space="preserve"> ranged </w:t>
      </w:r>
      <w:r>
        <w:t>between</w:t>
      </w:r>
      <w:r w:rsidRPr="00A1230A">
        <w:t xml:space="preserve"> 5.0 </w:t>
      </w:r>
      <w:r>
        <w:t>and</w:t>
      </w:r>
      <w:r w:rsidRPr="00A1230A">
        <w:t xml:space="preserve"> 52.6</w:t>
      </w:r>
      <w:r>
        <w:t> per cent (depending on the exporter)</w:t>
      </w:r>
      <w:r w:rsidRPr="00A1230A">
        <w:t xml:space="preserve">. </w:t>
      </w:r>
    </w:p>
    <w:p w14:paraId="6347E8DF" w14:textId="77777777" w:rsidR="00E77AAB" w:rsidRPr="001E27E0" w:rsidRDefault="00E77AAB" w:rsidP="00E77AAB">
      <w:pPr>
        <w:pStyle w:val="Style4"/>
        <w:keepLines/>
        <w:spacing w:before="120" w:after="120"/>
        <w:jc w:val="both"/>
        <w:rPr>
          <w:b/>
          <w:sz w:val="16"/>
          <w:szCs w:val="16"/>
        </w:rPr>
      </w:pPr>
      <w:r w:rsidRPr="004705C4">
        <w:rPr>
          <w:i/>
          <w:sz w:val="20"/>
          <w:szCs w:val="20"/>
        </w:rPr>
        <w:t>Source</w:t>
      </w:r>
      <w:r w:rsidRPr="004705C4">
        <w:rPr>
          <w:b/>
          <w:sz w:val="20"/>
          <w:szCs w:val="20"/>
        </w:rPr>
        <w:t xml:space="preserve">: </w:t>
      </w:r>
      <w:r w:rsidRPr="004705C4">
        <w:rPr>
          <w:sz w:val="20"/>
          <w:szCs w:val="20"/>
        </w:rPr>
        <w:t>EPR 238,</w:t>
      </w:r>
      <w:r>
        <w:rPr>
          <w:sz w:val="20"/>
          <w:szCs w:val="20"/>
        </w:rPr>
        <w:t xml:space="preserve"> the</w:t>
      </w:r>
      <w:r w:rsidRPr="004705C4">
        <w:rPr>
          <w:sz w:val="20"/>
          <w:szCs w:val="20"/>
        </w:rPr>
        <w:t xml:space="preserve"> electronic public record for dumping and subsidisation case 238 deep drawn stainless steel sinks exported from China</w:t>
      </w:r>
      <w:r>
        <w:rPr>
          <w:sz w:val="20"/>
          <w:szCs w:val="20"/>
        </w:rPr>
        <w:t xml:space="preserve">, available on the Commission’s website </w:t>
      </w:r>
      <w:hyperlink r:id="rId48" w:history="1">
        <w:r w:rsidRPr="00884994">
          <w:rPr>
            <w:rStyle w:val="Hyperlink"/>
            <w:sz w:val="20"/>
            <w:szCs w:val="20"/>
          </w:rPr>
          <w:t>www.adcommission.gov.au</w:t>
        </w:r>
      </w:hyperlink>
      <w:r>
        <w:rPr>
          <w:sz w:val="20"/>
          <w:szCs w:val="20"/>
        </w:rPr>
        <w:t xml:space="preserve">. </w:t>
      </w:r>
    </w:p>
    <w:p w14:paraId="58BD8FC6" w14:textId="77777777" w:rsidR="00E77AAB" w:rsidRDefault="00E77AAB" w:rsidP="00E77AAB">
      <w:pPr>
        <w:spacing w:before="120" w:after="120"/>
        <w:jc w:val="both"/>
      </w:pPr>
      <w:r>
        <w:t>In its submission to the Senate Inquiry into the Sustainability of Australian Steel Industry, t</w:t>
      </w:r>
      <w:r w:rsidRPr="00DC4BFD">
        <w:t>he Australian Steel Institute</w:t>
      </w:r>
      <w:r>
        <w:t xml:space="preserve"> acknowledged the low number of applications for anti-dumping and countervailing measures in respect of steel fabricated products and noted:</w:t>
      </w:r>
    </w:p>
    <w:p w14:paraId="7B4173D2" w14:textId="77777777" w:rsidR="00E77AAB" w:rsidRPr="00C850FA" w:rsidRDefault="00E77AAB" w:rsidP="00E77AAB">
      <w:pPr>
        <w:ind w:left="576"/>
        <w:jc w:val="both"/>
        <w:rPr>
          <w:i/>
        </w:rPr>
      </w:pPr>
      <w:r w:rsidRPr="00C850FA">
        <w:rPr>
          <w:i/>
        </w:rPr>
        <w:t xml:space="preserve">The ‘mill gate’ steel has been very successful in proving dumping, however none of the fabricated steel has even put a case together. This steel has originally come from a steel mill in a standard length, such as 12, 15 or 18 metres and is then cut, drilled, welded, painted, </w:t>
      </w:r>
      <w:proofErr w:type="spellStart"/>
      <w:r w:rsidRPr="00C850FA">
        <w:rPr>
          <w:i/>
        </w:rPr>
        <w:t>etc</w:t>
      </w:r>
      <w:proofErr w:type="spellEnd"/>
      <w:r w:rsidRPr="00C850FA">
        <w:rPr>
          <w:i/>
        </w:rPr>
        <w:t xml:space="preserve"> to form structural steel for bridges, building, etc. None of these products have ever lodged a dumping case, as the system is not ‘user-friendly’ to</w:t>
      </w:r>
      <w:r>
        <w:rPr>
          <w:i/>
        </w:rPr>
        <w:t xml:space="preserve"> these products or this sector.</w:t>
      </w:r>
      <w:r>
        <w:rPr>
          <w:rStyle w:val="FootnoteReference"/>
        </w:rPr>
        <w:footnoteReference w:id="65"/>
      </w:r>
    </w:p>
    <w:p w14:paraId="190537C7" w14:textId="77777777" w:rsidR="00E77AAB" w:rsidRDefault="00E77AAB" w:rsidP="00E77AAB">
      <w:pPr>
        <w:spacing w:before="120" w:after="120"/>
        <w:jc w:val="both"/>
      </w:pPr>
      <w:r>
        <w:t xml:space="preserve">The case study of Trailers 2000 sets out one company’s perspective on barriers to accessing the anti-dumping system. The fragmented nature of the industry and the large number of small producers presented challenges to meeting the threshold for standing. An application satisfies the standing requirement: </w:t>
      </w:r>
    </w:p>
    <w:p w14:paraId="783983C3" w14:textId="77777777" w:rsidR="00E77AAB" w:rsidRDefault="00E77AAB" w:rsidP="00E77AAB">
      <w:pPr>
        <w:pStyle w:val="ListParagraph"/>
        <w:numPr>
          <w:ilvl w:val="0"/>
          <w:numId w:val="28"/>
        </w:numPr>
        <w:spacing w:before="120" w:after="120"/>
        <w:jc w:val="both"/>
      </w:pPr>
      <w:r>
        <w:t xml:space="preserve">if the production volume of Australian manufacturers of like goods supporting the application accounts for more than 50 per cent of the total Australian production of like goods manufactured by the portion of the Australian industry which has expressed either support or opposition to an application; and </w:t>
      </w:r>
    </w:p>
    <w:p w14:paraId="135C89FC" w14:textId="77777777" w:rsidR="00E77AAB" w:rsidRPr="00ED5885" w:rsidRDefault="00E77AAB" w:rsidP="00E77AAB">
      <w:pPr>
        <w:pStyle w:val="ListParagraph"/>
        <w:numPr>
          <w:ilvl w:val="0"/>
          <w:numId w:val="28"/>
        </w:numPr>
        <w:spacing w:before="120" w:after="120"/>
        <w:jc w:val="both"/>
      </w:pPr>
      <w:proofErr w:type="gramStart"/>
      <w:r>
        <w:t>where</w:t>
      </w:r>
      <w:proofErr w:type="gramEnd"/>
      <w:r>
        <w:t xml:space="preserve"> those supporting the application account for not less than 25 per cent of the production of like goods in Australia. </w:t>
      </w:r>
    </w:p>
    <w:p w14:paraId="6026557F" w14:textId="77777777" w:rsidR="00E77AAB" w:rsidRPr="00A1230A"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center"/>
        <w:rPr>
          <w:b/>
          <w:sz w:val="28"/>
          <w:szCs w:val="28"/>
        </w:rPr>
      </w:pPr>
      <w:r w:rsidRPr="00A1230A">
        <w:rPr>
          <w:b/>
          <w:sz w:val="28"/>
          <w:szCs w:val="28"/>
        </w:rPr>
        <w:t xml:space="preserve">Case Study – Trailers 2000 </w:t>
      </w:r>
    </w:p>
    <w:p w14:paraId="39AAD7E2" w14:textId="77777777" w:rsidR="00E77AAB"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rPr>
          <w:color w:val="000000"/>
          <w:lang w:eastAsia="en-AU"/>
        </w:rPr>
      </w:pPr>
      <w:r w:rsidRPr="00A1230A">
        <w:rPr>
          <w:color w:val="000000"/>
          <w:lang w:eastAsia="en-AU"/>
        </w:rPr>
        <w:t xml:space="preserve">Trailers 2000 fabricates box trailers from various steel inputs. The main steel inputs include hot-dipped galvanised (HDG) steel plate </w:t>
      </w:r>
      <w:r w:rsidRPr="00C56859">
        <w:rPr>
          <w:color w:val="000000"/>
          <w:lang w:eastAsia="en-AU"/>
        </w:rPr>
        <w:t xml:space="preserve">and coil, generic </w:t>
      </w:r>
      <w:r>
        <w:rPr>
          <w:color w:val="000000"/>
          <w:lang w:eastAsia="en-AU"/>
        </w:rPr>
        <w:t xml:space="preserve">HSS </w:t>
      </w:r>
      <w:r w:rsidRPr="00C56859">
        <w:rPr>
          <w:color w:val="000000"/>
          <w:lang w:eastAsia="en-AU"/>
        </w:rPr>
        <w:t>profiles such as RHS and SHS</w:t>
      </w:r>
      <w:r>
        <w:rPr>
          <w:color w:val="000000"/>
          <w:lang w:eastAsia="en-AU"/>
        </w:rPr>
        <w:t>,</w:t>
      </w:r>
      <w:r w:rsidRPr="00C56859">
        <w:rPr>
          <w:color w:val="000000"/>
          <w:lang w:eastAsia="en-AU"/>
        </w:rPr>
        <w:t xml:space="preserve"> and flat bar angle sections</w:t>
      </w:r>
      <w:r w:rsidRPr="00A1230A">
        <w:rPr>
          <w:color w:val="000000"/>
          <w:lang w:eastAsia="en-AU"/>
        </w:rPr>
        <w:t xml:space="preserve">. </w:t>
      </w:r>
    </w:p>
    <w:p w14:paraId="6A28BE68" w14:textId="77777777" w:rsidR="00E77AAB"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rPr>
          <w:color w:val="000000"/>
          <w:lang w:eastAsia="en-AU"/>
        </w:rPr>
      </w:pPr>
      <w:r w:rsidRPr="00A1230A">
        <w:rPr>
          <w:color w:val="000000"/>
          <w:lang w:eastAsia="en-AU"/>
        </w:rPr>
        <w:t xml:space="preserve">The company considers </w:t>
      </w:r>
      <w:r>
        <w:rPr>
          <w:color w:val="000000"/>
          <w:lang w:eastAsia="en-AU"/>
        </w:rPr>
        <w:t>it</w:t>
      </w:r>
      <w:r w:rsidRPr="00A1230A">
        <w:rPr>
          <w:color w:val="000000"/>
          <w:lang w:eastAsia="en-AU"/>
        </w:rPr>
        <w:t xml:space="preserve"> </w:t>
      </w:r>
      <w:r w:rsidRPr="00C56859">
        <w:rPr>
          <w:color w:val="000000"/>
          <w:lang w:eastAsia="en-AU"/>
        </w:rPr>
        <w:t>and all Australian trailer manufacturers</w:t>
      </w:r>
      <w:r w:rsidRPr="00A1230A">
        <w:rPr>
          <w:color w:val="000000"/>
          <w:lang w:eastAsia="en-AU"/>
        </w:rPr>
        <w:t xml:space="preserve"> are being injured by dumped and subsidised fully fabricated box trailers from China.</w:t>
      </w:r>
    </w:p>
    <w:p w14:paraId="381D9CA9" w14:textId="77777777" w:rsidR="00E77AAB"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rPr>
          <w:color w:val="000000"/>
          <w:lang w:eastAsia="en-AU"/>
        </w:rPr>
      </w:pPr>
      <w:r w:rsidRPr="00A1230A">
        <w:rPr>
          <w:color w:val="000000"/>
          <w:lang w:eastAsia="en-AU"/>
        </w:rPr>
        <w:t xml:space="preserve">The company considered lodging an application for an investigation, but </w:t>
      </w:r>
      <w:r>
        <w:rPr>
          <w:color w:val="000000"/>
          <w:lang w:eastAsia="en-AU"/>
        </w:rPr>
        <w:t>did</w:t>
      </w:r>
      <w:r w:rsidRPr="00A1230A">
        <w:rPr>
          <w:color w:val="000000"/>
          <w:lang w:eastAsia="en-AU"/>
        </w:rPr>
        <w:t xml:space="preserve"> not have the required production volume to meet the threshold</w:t>
      </w:r>
      <w:r>
        <w:rPr>
          <w:color w:val="000000"/>
          <w:lang w:eastAsia="en-AU"/>
        </w:rPr>
        <w:t xml:space="preserve"> for standing</w:t>
      </w:r>
      <w:r w:rsidRPr="00A1230A">
        <w:rPr>
          <w:color w:val="000000"/>
          <w:lang w:eastAsia="en-AU"/>
        </w:rPr>
        <w:t xml:space="preserve">. The company attempted to gather the support of other box trailer manufacturers (an industry with many small manufacturers) to lodge a joint application, </w:t>
      </w:r>
      <w:r>
        <w:rPr>
          <w:color w:val="000000"/>
          <w:lang w:eastAsia="en-AU"/>
        </w:rPr>
        <w:t>but</w:t>
      </w:r>
      <w:r w:rsidRPr="00A1230A">
        <w:rPr>
          <w:color w:val="000000"/>
          <w:lang w:eastAsia="en-AU"/>
        </w:rPr>
        <w:t xml:space="preserve"> </w:t>
      </w:r>
      <w:r>
        <w:rPr>
          <w:color w:val="000000"/>
          <w:lang w:eastAsia="en-AU"/>
        </w:rPr>
        <w:t>was</w:t>
      </w:r>
      <w:r w:rsidRPr="00A1230A">
        <w:rPr>
          <w:color w:val="000000"/>
          <w:lang w:eastAsia="en-AU"/>
        </w:rPr>
        <w:t xml:space="preserve"> unsuccessful in gaining this support. As the company </w:t>
      </w:r>
      <w:r>
        <w:rPr>
          <w:color w:val="000000"/>
          <w:lang w:eastAsia="en-AU"/>
        </w:rPr>
        <w:t>was</w:t>
      </w:r>
      <w:r w:rsidRPr="00A1230A">
        <w:rPr>
          <w:color w:val="000000"/>
          <w:lang w:eastAsia="en-AU"/>
        </w:rPr>
        <w:t xml:space="preserve"> unable to secure the participation of other box trailer manufacturers in Australia, standing could not be established.</w:t>
      </w:r>
    </w:p>
    <w:p w14:paraId="630FC30E" w14:textId="77777777" w:rsidR="00E77AAB"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before="120"/>
        <w:jc w:val="both"/>
      </w:pPr>
      <w:r w:rsidRPr="00B93346">
        <w:rPr>
          <w:i/>
          <w:sz w:val="20"/>
          <w:szCs w:val="20"/>
        </w:rPr>
        <w:t>Source</w:t>
      </w:r>
      <w:r w:rsidRPr="00B93346">
        <w:rPr>
          <w:b/>
          <w:sz w:val="20"/>
          <w:szCs w:val="20"/>
        </w:rPr>
        <w:t xml:space="preserve">: </w:t>
      </w:r>
      <w:r w:rsidRPr="00B93346">
        <w:rPr>
          <w:sz w:val="20"/>
          <w:szCs w:val="20"/>
        </w:rPr>
        <w:t>Information provided by Trailers 2000 to the Commission</w:t>
      </w:r>
      <w:r>
        <w:t>.</w:t>
      </w:r>
    </w:p>
    <w:p w14:paraId="6EBACABF" w14:textId="77777777" w:rsidR="00E77AAB" w:rsidRPr="00C81187"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after="120"/>
        <w:jc w:val="both"/>
        <w:rPr>
          <w:sz w:val="20"/>
          <w:szCs w:val="20"/>
        </w:rPr>
      </w:pPr>
      <w:r w:rsidRPr="00C81187">
        <w:rPr>
          <w:i/>
          <w:sz w:val="20"/>
          <w:szCs w:val="20"/>
        </w:rPr>
        <w:t>Note</w:t>
      </w:r>
      <w:r w:rsidRPr="00C81187">
        <w:rPr>
          <w:sz w:val="20"/>
          <w:szCs w:val="20"/>
        </w:rPr>
        <w:t xml:space="preserve">: </w:t>
      </w:r>
      <w:r>
        <w:rPr>
          <w:sz w:val="20"/>
          <w:szCs w:val="20"/>
        </w:rPr>
        <w:t>H</w:t>
      </w:r>
      <w:r w:rsidRPr="00C81187">
        <w:rPr>
          <w:sz w:val="20"/>
          <w:szCs w:val="20"/>
        </w:rPr>
        <w:t xml:space="preserve">ollow </w:t>
      </w:r>
      <w:r>
        <w:rPr>
          <w:sz w:val="20"/>
          <w:szCs w:val="20"/>
        </w:rPr>
        <w:t>s</w:t>
      </w:r>
      <w:r w:rsidRPr="00C81187">
        <w:rPr>
          <w:sz w:val="20"/>
          <w:szCs w:val="20"/>
        </w:rPr>
        <w:t xml:space="preserve">tructural </w:t>
      </w:r>
      <w:r>
        <w:rPr>
          <w:sz w:val="20"/>
          <w:szCs w:val="20"/>
        </w:rPr>
        <w:t>s</w:t>
      </w:r>
      <w:r w:rsidRPr="00C81187">
        <w:rPr>
          <w:sz w:val="20"/>
          <w:szCs w:val="20"/>
        </w:rPr>
        <w:t>ection</w:t>
      </w:r>
      <w:r>
        <w:rPr>
          <w:sz w:val="20"/>
          <w:szCs w:val="20"/>
        </w:rPr>
        <w:t>s</w:t>
      </w:r>
      <w:r w:rsidRPr="00C81187">
        <w:rPr>
          <w:sz w:val="20"/>
          <w:szCs w:val="20"/>
        </w:rPr>
        <w:t xml:space="preserve"> </w:t>
      </w:r>
      <w:r>
        <w:rPr>
          <w:sz w:val="20"/>
          <w:szCs w:val="20"/>
        </w:rPr>
        <w:t>(</w:t>
      </w:r>
      <w:r w:rsidRPr="00C81187">
        <w:rPr>
          <w:sz w:val="20"/>
          <w:szCs w:val="20"/>
        </w:rPr>
        <w:t>HSS</w:t>
      </w:r>
      <w:r>
        <w:rPr>
          <w:sz w:val="20"/>
          <w:szCs w:val="20"/>
        </w:rPr>
        <w:t>)</w:t>
      </w:r>
      <w:r w:rsidRPr="00C81187">
        <w:rPr>
          <w:sz w:val="20"/>
          <w:szCs w:val="20"/>
        </w:rPr>
        <w:t xml:space="preserve"> can be circular (CHS), square (SHS) or rectangular (RHS). RHS steel is commonly used in welded steel frames while SHS </w:t>
      </w:r>
      <w:r>
        <w:rPr>
          <w:sz w:val="20"/>
          <w:szCs w:val="20"/>
        </w:rPr>
        <w:t>is</w:t>
      </w:r>
      <w:r w:rsidRPr="00C81187">
        <w:rPr>
          <w:sz w:val="20"/>
          <w:szCs w:val="20"/>
        </w:rPr>
        <w:t xml:space="preserve"> more often used in columns.</w:t>
      </w:r>
    </w:p>
    <w:p w14:paraId="0F00F95A" w14:textId="77777777" w:rsidR="00E77AAB" w:rsidRPr="004779A5" w:rsidRDefault="00E77AAB" w:rsidP="00E77AAB">
      <w:pPr>
        <w:pStyle w:val="Heading2"/>
      </w:pPr>
      <w:bookmarkStart w:id="64" w:name="_Toc482797547"/>
      <w:bookmarkStart w:id="65" w:name="_Toc482878198"/>
      <w:bookmarkStart w:id="66" w:name="_Toc487532440"/>
      <w:bookmarkEnd w:id="64"/>
      <w:r w:rsidRPr="004779A5">
        <w:t>International trends in anti-dumping measures</w:t>
      </w:r>
      <w:bookmarkEnd w:id="65"/>
      <w:bookmarkEnd w:id="66"/>
      <w:r w:rsidRPr="004779A5">
        <w:t xml:space="preserve"> </w:t>
      </w:r>
    </w:p>
    <w:p w14:paraId="336A9DD4" w14:textId="77777777" w:rsidR="00E77AAB" w:rsidRPr="008A46BB" w:rsidRDefault="00E77AAB" w:rsidP="00E77AAB">
      <w:pPr>
        <w:pStyle w:val="Heading3"/>
      </w:pPr>
      <w:bookmarkStart w:id="67" w:name="_Toc482878199"/>
      <w:bookmarkStart w:id="68" w:name="_Toc487532441"/>
      <w:r>
        <w:t>Overview</w:t>
      </w:r>
      <w:bookmarkEnd w:id="67"/>
      <w:bookmarkEnd w:id="68"/>
    </w:p>
    <w:p w14:paraId="1C35A755" w14:textId="358D8B7A" w:rsidR="00E77AAB" w:rsidRDefault="00E77AAB" w:rsidP="00E77AAB">
      <w:pPr>
        <w:spacing w:before="120" w:after="120"/>
        <w:jc w:val="both"/>
      </w:pPr>
      <w:r>
        <w:t xml:space="preserve">In recent years there has been a steady increase in the number of investigations and ultimately measures in place on steel products globally. However, similar to the situation currently in Australia, measures on </w:t>
      </w:r>
      <w:r w:rsidR="000B20C3">
        <w:t>steel fabricated</w:t>
      </w:r>
      <w:r>
        <w:t xml:space="preserve"> products in other developed countries are significantly outnumbered by those on primary steel products, despite some recent increase in the number of measures on steel fabricated products. </w:t>
      </w:r>
    </w:p>
    <w:p w14:paraId="51612F23" w14:textId="77777777" w:rsidR="00E77AAB" w:rsidRDefault="00E77AAB" w:rsidP="00E77AAB">
      <w:pPr>
        <w:pStyle w:val="Heading3"/>
      </w:pPr>
      <w:bookmarkStart w:id="69" w:name="_Toc482878200"/>
      <w:bookmarkStart w:id="70" w:name="_Toc487532442"/>
      <w:r>
        <w:t>Canada</w:t>
      </w:r>
      <w:bookmarkEnd w:id="69"/>
      <w:bookmarkEnd w:id="70"/>
    </w:p>
    <w:p w14:paraId="185A2197" w14:textId="77777777" w:rsidR="00E77AAB" w:rsidRDefault="00E77AAB" w:rsidP="00E77AAB">
      <w:pPr>
        <w:spacing w:before="120" w:after="120"/>
        <w:jc w:val="both"/>
      </w:pPr>
      <w:r>
        <w:t>As at 1 August 2017, Canada had 109 separate anti-dumping and/or countervailing measures on 26 different goods. Of these measures, 71 were in place against the import into Canada of 16 distinct steel products. Of the 71 measures on steel products, there were ten measures in place on four steel fabricated products. These products are:</w:t>
      </w:r>
    </w:p>
    <w:p w14:paraId="54C76975" w14:textId="77777777" w:rsidR="00E77AAB" w:rsidRDefault="00E77AAB" w:rsidP="00E77AAB">
      <w:pPr>
        <w:pStyle w:val="ListParagraph"/>
        <w:numPr>
          <w:ilvl w:val="0"/>
          <w:numId w:val="28"/>
        </w:numPr>
        <w:spacing w:before="120" w:after="120"/>
        <w:ind w:left="357" w:hanging="357"/>
        <w:contextualSpacing w:val="0"/>
        <w:jc w:val="both"/>
      </w:pPr>
      <w:r>
        <w:t>fabricated industrial steel components</w:t>
      </w:r>
    </w:p>
    <w:p w14:paraId="012591E9" w14:textId="77777777" w:rsidR="00E77AAB" w:rsidRDefault="00E77AAB" w:rsidP="00E77AAB">
      <w:pPr>
        <w:pStyle w:val="ListParagraph"/>
        <w:numPr>
          <w:ilvl w:val="0"/>
          <w:numId w:val="28"/>
        </w:numPr>
        <w:spacing w:before="120" w:after="120"/>
        <w:ind w:left="357" w:hanging="357"/>
        <w:contextualSpacing w:val="0"/>
        <w:jc w:val="both"/>
      </w:pPr>
      <w:r>
        <w:t>stainless steel sinks</w:t>
      </w:r>
    </w:p>
    <w:p w14:paraId="195B5A69" w14:textId="77777777" w:rsidR="00E77AAB" w:rsidRDefault="00E77AAB" w:rsidP="00E77AAB">
      <w:pPr>
        <w:pStyle w:val="ListParagraph"/>
        <w:numPr>
          <w:ilvl w:val="0"/>
          <w:numId w:val="28"/>
        </w:numPr>
        <w:spacing w:before="120" w:after="120"/>
        <w:ind w:left="357" w:hanging="357"/>
        <w:contextualSpacing w:val="0"/>
        <w:jc w:val="both"/>
      </w:pPr>
      <w:r>
        <w:t>steel grating</w:t>
      </w:r>
    </w:p>
    <w:p w14:paraId="60A81B8D" w14:textId="77777777" w:rsidR="00E77AAB" w:rsidRDefault="00E77AAB" w:rsidP="00E77AAB">
      <w:pPr>
        <w:pStyle w:val="ListParagraph"/>
        <w:numPr>
          <w:ilvl w:val="0"/>
          <w:numId w:val="28"/>
        </w:numPr>
        <w:spacing w:before="120" w:after="120"/>
        <w:ind w:left="357" w:hanging="357"/>
        <w:contextualSpacing w:val="0"/>
        <w:jc w:val="both"/>
      </w:pPr>
      <w:proofErr w:type="gramStart"/>
      <w:r>
        <w:t>unitised</w:t>
      </w:r>
      <w:proofErr w:type="gramEnd"/>
      <w:r>
        <w:t xml:space="preserve"> wall modules.</w:t>
      </w:r>
    </w:p>
    <w:p w14:paraId="548B6DE9" w14:textId="77777777" w:rsidR="00F011F1" w:rsidRPr="00F011F1" w:rsidRDefault="00F011F1" w:rsidP="00F011F1"/>
    <w:p w14:paraId="351EBFC2" w14:textId="77777777" w:rsidR="00F011F1" w:rsidRPr="00F011F1" w:rsidRDefault="00F011F1" w:rsidP="00F011F1"/>
    <w:p w14:paraId="178915E2" w14:textId="77777777" w:rsidR="00F011F1" w:rsidRPr="00F011F1" w:rsidRDefault="00F011F1" w:rsidP="00F011F1"/>
    <w:p w14:paraId="3ECD2867" w14:textId="77777777" w:rsidR="00F011F1" w:rsidRPr="00F011F1" w:rsidRDefault="00F011F1" w:rsidP="00F011F1"/>
    <w:p w14:paraId="458D6594" w14:textId="77777777" w:rsidR="00F011F1" w:rsidRPr="00F011F1" w:rsidRDefault="00F011F1" w:rsidP="00F011F1"/>
    <w:p w14:paraId="02B3D88C" w14:textId="77777777" w:rsidR="00F011F1" w:rsidRPr="00F011F1" w:rsidRDefault="00F011F1" w:rsidP="00F011F1"/>
    <w:p w14:paraId="043B1E65" w14:textId="77777777" w:rsidR="00F011F1" w:rsidRPr="00F011F1" w:rsidRDefault="00F011F1" w:rsidP="00F011F1"/>
    <w:p w14:paraId="6E879AAC" w14:textId="77777777" w:rsidR="00F011F1" w:rsidRPr="00F011F1" w:rsidRDefault="00F011F1" w:rsidP="00F011F1"/>
    <w:p w14:paraId="019AAE6B" w14:textId="77777777" w:rsidR="00F011F1" w:rsidRPr="00F011F1" w:rsidRDefault="00F011F1" w:rsidP="00F011F1"/>
    <w:p w14:paraId="7D80C757" w14:textId="77777777" w:rsidR="00F011F1" w:rsidRPr="00F011F1" w:rsidRDefault="00F011F1" w:rsidP="00F011F1"/>
    <w:p w14:paraId="67110A11" w14:textId="77777777" w:rsidR="00F011F1" w:rsidRPr="00F011F1" w:rsidRDefault="00F011F1" w:rsidP="00F011F1"/>
    <w:p w14:paraId="6A3DADEE" w14:textId="77777777" w:rsidR="00E77AAB" w:rsidRPr="002F4183" w:rsidRDefault="00E77AAB" w:rsidP="00E77AAB">
      <w:pPr>
        <w:keepNext/>
        <w:keepLines/>
        <w:pBdr>
          <w:top w:val="single" w:sz="2" w:space="1" w:color="595A5B"/>
        </w:pBdr>
        <w:spacing w:before="36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6.1</w:t>
      </w:r>
      <w:r w:rsidRPr="002F4183">
        <w:rPr>
          <w:rFonts w:ascii="Arial" w:hAnsi="Arial"/>
          <w:bCs/>
          <w:color w:val="5B9BD5" w:themeColor="accent1"/>
          <w:sz w:val="18"/>
          <w:szCs w:val="18"/>
        </w:rPr>
        <w:t xml:space="preserve">: </w:t>
      </w:r>
      <w:r>
        <w:rPr>
          <w:rFonts w:ascii="Arial" w:hAnsi="Arial"/>
          <w:bCs/>
          <w:color w:val="5B9BD5" w:themeColor="accent1"/>
          <w:sz w:val="18"/>
          <w:szCs w:val="18"/>
        </w:rPr>
        <w:t>Canadian trade remedies</w:t>
      </w:r>
    </w:p>
    <w:tbl>
      <w:tblPr>
        <w:tblStyle w:val="TableGrid"/>
        <w:tblW w:w="969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866"/>
      </w:tblGrid>
      <w:tr w:rsidR="00E77AAB" w14:paraId="16363155" w14:textId="77777777" w:rsidTr="000B20C3">
        <w:trPr>
          <w:trHeight w:val="4600"/>
        </w:trPr>
        <w:tc>
          <w:tcPr>
            <w:tcW w:w="4833" w:type="dxa"/>
          </w:tcPr>
          <w:p w14:paraId="5B466C0F" w14:textId="77777777" w:rsidR="00E77AAB" w:rsidRDefault="00E77AAB" w:rsidP="000B20C3">
            <w:r>
              <w:rPr>
                <w:noProof/>
                <w:lang w:eastAsia="en-AU"/>
              </w:rPr>
              <w:drawing>
                <wp:inline distT="0" distB="0" distL="0" distR="0" wp14:anchorId="3CE71764" wp14:editId="087937D7">
                  <wp:extent cx="2828260" cy="2583711"/>
                  <wp:effectExtent l="0" t="0" r="10795" b="762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7AC6B2B" w14:textId="77777777" w:rsidR="00E77AAB" w:rsidRDefault="00E77AAB" w:rsidP="000B20C3">
            <w:pPr>
              <w:pStyle w:val="Caption"/>
            </w:pPr>
            <w:r>
              <w:t xml:space="preserve">As at 1 August 2017, including provisional measures </w:t>
            </w:r>
          </w:p>
        </w:tc>
        <w:tc>
          <w:tcPr>
            <w:tcW w:w="4866" w:type="dxa"/>
          </w:tcPr>
          <w:p w14:paraId="6C9823CA" w14:textId="77777777" w:rsidR="00E77AAB" w:rsidRDefault="00E77AAB" w:rsidP="000B20C3">
            <w:r>
              <w:rPr>
                <w:noProof/>
                <w:lang w:eastAsia="en-AU"/>
              </w:rPr>
              <w:drawing>
                <wp:inline distT="0" distB="0" distL="0" distR="0" wp14:anchorId="2D5FE4C9" wp14:editId="52D8B6E7">
                  <wp:extent cx="2849526" cy="2593975"/>
                  <wp:effectExtent l="0" t="0" r="8255" b="1587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3A1EE0D" w14:textId="77777777" w:rsidR="00E77AAB" w:rsidRPr="00CB4632" w:rsidRDefault="00E77AAB" w:rsidP="000B20C3">
            <w:pPr>
              <w:pStyle w:val="Caption"/>
            </w:pPr>
            <w:r>
              <w:t>As at 1 August 2017, including goods with provisional measures</w:t>
            </w:r>
          </w:p>
        </w:tc>
      </w:tr>
    </w:tbl>
    <w:p w14:paraId="380F3DBB" w14:textId="77777777" w:rsidR="00E77AAB" w:rsidRPr="00970EB8" w:rsidRDefault="00E77AAB" w:rsidP="00E77AAB">
      <w:pPr>
        <w:pBdr>
          <w:bottom w:val="single" w:sz="4" w:space="1" w:color="auto"/>
        </w:pBdr>
        <w:spacing w:before="60"/>
        <w:rPr>
          <w:rFonts w:cs="Arial"/>
          <w:color w:val="5B9BD5" w:themeColor="accent1"/>
          <w:sz w:val="18"/>
        </w:rPr>
      </w:pPr>
      <w:r w:rsidRPr="00970EB8">
        <w:rPr>
          <w:rFonts w:cs="Arial"/>
          <w:color w:val="5B9BD5" w:themeColor="accent1"/>
          <w:sz w:val="18"/>
        </w:rPr>
        <w:t xml:space="preserve">Source: Canadian Border Services Agency </w:t>
      </w:r>
    </w:p>
    <w:p w14:paraId="3BBFFD16" w14:textId="77777777" w:rsidR="00E77AAB" w:rsidRDefault="00E77AAB" w:rsidP="00E77AAB">
      <w:pPr>
        <w:spacing w:before="120" w:after="120"/>
        <w:jc w:val="both"/>
      </w:pPr>
      <w:r>
        <w:t>The number of measures on fabricated steel products is low in comparison to the number of measures on primary and unfinished steel goods. Measures on steel fabricated products in Canada have only been imposed in recent years. The first investigation into a fabricated steel product was initiated in September 2010, and measures were put in place in April 2011. Measures in place against three of the steel fabricated products—unitised wall modules, steel grating and stainless steel sinks—have been the subject of a reinvestigation. Measures in place on steel grating have also been the subject of an expiry review. In each case, it was determined that the measures should continue due to the likelihood of dumping existing or recurring and causing injury to the Canadian industry. An expiry review into stainless steel sinks is currently ongoing.</w:t>
      </w:r>
    </w:p>
    <w:p w14:paraId="4F5CF9C7" w14:textId="77777777" w:rsidR="00E77AAB" w:rsidRDefault="00E77AAB" w:rsidP="00E77AAB">
      <w:pPr>
        <w:spacing w:before="120" w:after="120"/>
        <w:jc w:val="both"/>
      </w:pPr>
      <w:r>
        <w:t>The steel industry in Canada is similar to that in Australia. While Canada has a greater number domestic prim</w:t>
      </w:r>
      <w:bookmarkStart w:id="71" w:name="_GoBack"/>
      <w:bookmarkEnd w:id="71"/>
      <w:r>
        <w:t>ary steel manufacturers than Australia, it has also been characterised by a decline in production, value and jobs as a consequence of the demand/</w:t>
      </w:r>
      <w:r w:rsidRPr="00E47475">
        <w:t xml:space="preserve">production </w:t>
      </w:r>
      <w:r>
        <w:t xml:space="preserve">imbalance in global primary (crude) steel markets. </w:t>
      </w:r>
    </w:p>
    <w:p w14:paraId="31BCD9E8" w14:textId="77777777" w:rsidR="00F011F1" w:rsidRPr="00F011F1" w:rsidRDefault="00F011F1" w:rsidP="00F011F1"/>
    <w:p w14:paraId="6D899B37" w14:textId="77777777" w:rsidR="00F011F1" w:rsidRPr="00F011F1" w:rsidRDefault="00F011F1" w:rsidP="00F011F1"/>
    <w:p w14:paraId="54EF479D" w14:textId="77777777" w:rsidR="00F011F1" w:rsidRPr="00F011F1" w:rsidRDefault="00F011F1" w:rsidP="00F011F1"/>
    <w:p w14:paraId="2E539D86" w14:textId="77777777" w:rsidR="00F011F1" w:rsidRPr="00F011F1" w:rsidRDefault="00F011F1" w:rsidP="00F011F1"/>
    <w:p w14:paraId="128DEDF2" w14:textId="77777777" w:rsidR="00F011F1" w:rsidRPr="00F011F1" w:rsidRDefault="00F011F1" w:rsidP="00F011F1"/>
    <w:p w14:paraId="6EC3894E" w14:textId="77777777" w:rsidR="00F011F1" w:rsidRPr="00F011F1" w:rsidRDefault="00F011F1" w:rsidP="00F011F1"/>
    <w:p w14:paraId="26BFCE13" w14:textId="77777777" w:rsidR="00F011F1" w:rsidRPr="00F011F1" w:rsidRDefault="00F011F1" w:rsidP="00F011F1"/>
    <w:p w14:paraId="78F2CC80" w14:textId="77777777" w:rsidR="00F011F1" w:rsidRPr="00F011F1" w:rsidRDefault="00F011F1" w:rsidP="00F011F1"/>
    <w:p w14:paraId="2A9D5BE6"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center"/>
        <w:rPr>
          <w:b/>
          <w:sz w:val="28"/>
          <w:szCs w:val="28"/>
        </w:rPr>
      </w:pPr>
      <w:r w:rsidRPr="002C74D8">
        <w:rPr>
          <w:b/>
          <w:sz w:val="28"/>
          <w:szCs w:val="28"/>
        </w:rPr>
        <w:t>Case study</w:t>
      </w:r>
      <w:r>
        <w:rPr>
          <w:b/>
          <w:sz w:val="28"/>
          <w:szCs w:val="28"/>
        </w:rPr>
        <w:t>—</w:t>
      </w:r>
      <w:r w:rsidRPr="002C74D8">
        <w:rPr>
          <w:b/>
          <w:sz w:val="28"/>
          <w:szCs w:val="28"/>
        </w:rPr>
        <w:t>Canadian</w:t>
      </w:r>
      <w:r>
        <w:rPr>
          <w:b/>
          <w:sz w:val="28"/>
          <w:szCs w:val="28"/>
        </w:rPr>
        <w:t xml:space="preserve"> </w:t>
      </w:r>
      <w:r w:rsidRPr="002C74D8">
        <w:rPr>
          <w:b/>
          <w:sz w:val="28"/>
          <w:szCs w:val="28"/>
        </w:rPr>
        <w:t>Measures on Steel Grating</w:t>
      </w:r>
    </w:p>
    <w:p w14:paraId="71DB5C6C" w14:textId="77777777" w:rsidR="00E77AAB"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pPr>
      <w:r>
        <w:rPr>
          <w:b/>
        </w:rPr>
        <w:t xml:space="preserve">Application </w:t>
      </w:r>
    </w:p>
    <w:p w14:paraId="07759239"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On 3 August 2010, </w:t>
      </w:r>
      <w:r>
        <w:t xml:space="preserve">the </w:t>
      </w:r>
      <w:r w:rsidRPr="002C74D8">
        <w:t xml:space="preserve">Canada Border Service Agency (CBSA) received a complaint from Fisher &amp; Ludlow Ltd alleging that imports into Canada of certain steel grating originating in China were being dumped and subsidised and causing injury or threat of injury to the Canadian industry. The CBSA subsequently initiated an investigation. </w:t>
      </w:r>
    </w:p>
    <w:p w14:paraId="44775944"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The complainant was a major producer of certain steel grating in Canada, accounting for more than half of the industry. There was one other known Canadian producer of certain steel grating, Borden Metal Products Pty Ltd, wh</w:t>
      </w:r>
      <w:r>
        <w:t>ich</w:t>
      </w:r>
      <w:r w:rsidRPr="002C74D8">
        <w:t xml:space="preserve"> was not a complainant but supported the complaint filed by Fisher &amp; Ludlow.</w:t>
      </w:r>
    </w:p>
    <w:p w14:paraId="31A86743"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rPr>
          <w:b/>
        </w:rPr>
      </w:pPr>
      <w:r w:rsidRPr="002C74D8">
        <w:rPr>
          <w:b/>
        </w:rPr>
        <w:t>The goods</w:t>
      </w:r>
    </w:p>
    <w:p w14:paraId="248E3BD9"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The goods which were the subject of the investigation were described as ‘Metal bar grating of carbon, alloy, or stainless steel, consisting of load-bearing pieces and cross pieces, produced as standard grating or heavy-duty grating, in panel form, whether galvanized, painted, coated, clad or plated, originating in or exported from the People’s Republic of China’.</w:t>
      </w:r>
    </w:p>
    <w:p w14:paraId="7F9ACABF"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t xml:space="preserve">Following </w:t>
      </w:r>
      <w:r w:rsidRPr="002C74D8">
        <w:t>the CBSA</w:t>
      </w:r>
      <w:r>
        <w:t xml:space="preserve"> investigation</w:t>
      </w:r>
      <w:r w:rsidRPr="002C74D8">
        <w:t xml:space="preserve"> and the </w:t>
      </w:r>
      <w:r>
        <w:t xml:space="preserve">injury inquiry by the Canadian International Trade </w:t>
      </w:r>
      <w:r w:rsidRPr="002C74D8">
        <w:t>Tribunal</w:t>
      </w:r>
      <w:r>
        <w:t xml:space="preserve"> (CITT)</w:t>
      </w:r>
      <w:r w:rsidRPr="002C74D8">
        <w:t>, measures were put in place against carbon and allo</w:t>
      </w:r>
      <w:r>
        <w:t>y</w:t>
      </w:r>
      <w:r w:rsidRPr="002C74D8">
        <w:t xml:space="preserve"> steel bar grating.</w:t>
      </w:r>
    </w:p>
    <w:p w14:paraId="7060F633"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rPr>
          <w:b/>
        </w:rPr>
      </w:pPr>
      <w:r>
        <w:rPr>
          <w:b/>
        </w:rPr>
        <w:t>Continuation</w:t>
      </w:r>
    </w:p>
    <w:p w14:paraId="52D1E342" w14:textId="77777777" w:rsidR="00E77AAB"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In December 2015, the CBSA determined that the expiry of the measures would likely result in the continuation or resumption of dumping and subsidising of certain steel grating from China. In 2016, the </w:t>
      </w:r>
      <w:r>
        <w:t>CITT</w:t>
      </w:r>
      <w:r w:rsidRPr="002C74D8">
        <w:t xml:space="preserve"> found that if the original finding were rescinded, the likely resumption or continuation of the dumping and subsidising of the goods would likely cause material injury to the domestic industry. As a result, the </w:t>
      </w:r>
      <w:r>
        <w:t>CITT</w:t>
      </w:r>
      <w:r w:rsidRPr="002C74D8">
        <w:t xml:space="preserve"> continued the measures in place. </w:t>
      </w:r>
    </w:p>
    <w:p w14:paraId="590847FF" w14:textId="77777777" w:rsidR="00E77AAB"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In analysing the broader economic climate and imports of certain steel grating from non-subject countries, the Commission was satisfied that the material injury could be attributed to the Chinese imports. </w:t>
      </w:r>
    </w:p>
    <w:p w14:paraId="2DBEE67E" w14:textId="77777777" w:rsidR="00E77AAB" w:rsidRPr="003226AD"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rPr>
          <w:b/>
          <w:sz w:val="20"/>
          <w:szCs w:val="20"/>
        </w:rPr>
      </w:pPr>
      <w:r w:rsidRPr="00CE3B07">
        <w:rPr>
          <w:i/>
          <w:sz w:val="20"/>
          <w:szCs w:val="20"/>
        </w:rPr>
        <w:t>Source</w:t>
      </w:r>
      <w:r w:rsidRPr="003226AD">
        <w:rPr>
          <w:sz w:val="20"/>
          <w:szCs w:val="20"/>
        </w:rPr>
        <w:t>: CBSA</w:t>
      </w:r>
      <w:r>
        <w:rPr>
          <w:sz w:val="20"/>
          <w:szCs w:val="20"/>
        </w:rPr>
        <w:t xml:space="preserve">, </w:t>
      </w:r>
      <w:hyperlink r:id="rId51" w:history="1">
        <w:r w:rsidRPr="003C2F00">
          <w:rPr>
            <w:rStyle w:val="Hyperlink"/>
            <w:sz w:val="20"/>
            <w:szCs w:val="20"/>
          </w:rPr>
          <w:t>www.cbsa-asfc.gc.ca/sima-lmsi/mif-mev-eng.html</w:t>
        </w:r>
      </w:hyperlink>
      <w:r>
        <w:rPr>
          <w:sz w:val="20"/>
          <w:szCs w:val="20"/>
        </w:rPr>
        <w:t xml:space="preserve"> </w:t>
      </w:r>
    </w:p>
    <w:p w14:paraId="0F9D35FC" w14:textId="77777777" w:rsidR="00E77AAB" w:rsidRDefault="00E77AAB" w:rsidP="00E77AAB">
      <w:pPr>
        <w:pStyle w:val="Heading3"/>
      </w:pPr>
      <w:bookmarkStart w:id="72" w:name="_Toc482610195"/>
      <w:bookmarkStart w:id="73" w:name="_Toc482878201"/>
      <w:bookmarkStart w:id="74" w:name="_Toc487532443"/>
      <w:bookmarkEnd w:id="72"/>
      <w:r>
        <w:t>United States</w:t>
      </w:r>
      <w:bookmarkEnd w:id="73"/>
      <w:bookmarkEnd w:id="74"/>
    </w:p>
    <w:p w14:paraId="1D2CBF98" w14:textId="77777777" w:rsidR="00E77AAB" w:rsidRDefault="00E77AAB" w:rsidP="00E77AAB">
      <w:pPr>
        <w:spacing w:before="120" w:after="120"/>
        <w:jc w:val="both"/>
      </w:pPr>
      <w:r>
        <w:t>As at 28 June 2017, the United States had a total of 399 separate trade remedy measures in place across 148 distinct products. Of these measures, 221 were against 56 separate steel products. In relation to steel manufactured/ fabricated products, 25 of the dumping or countervailing measures are in place on seven steel manufactured/ fabricated products. The steel manufactured/ fabricated goods that attract duties in the United States are:</w:t>
      </w:r>
    </w:p>
    <w:p w14:paraId="58BEE2CA" w14:textId="77777777" w:rsidR="00E77AAB" w:rsidRDefault="00E77AAB" w:rsidP="00E77AAB">
      <w:pPr>
        <w:pStyle w:val="ListParagraph"/>
        <w:numPr>
          <w:ilvl w:val="0"/>
          <w:numId w:val="28"/>
        </w:numPr>
        <w:spacing w:before="120" w:after="120"/>
        <w:ind w:left="357" w:hanging="357"/>
        <w:contextualSpacing w:val="0"/>
        <w:jc w:val="both"/>
      </w:pPr>
      <w:r>
        <w:t>drawn stainless steel sinks</w:t>
      </w:r>
    </w:p>
    <w:p w14:paraId="2E0F3E8B" w14:textId="77777777" w:rsidR="00E77AAB" w:rsidRDefault="00E77AAB" w:rsidP="00E77AAB">
      <w:pPr>
        <w:pStyle w:val="ListParagraph"/>
        <w:numPr>
          <w:ilvl w:val="0"/>
          <w:numId w:val="28"/>
        </w:numPr>
        <w:spacing w:before="120" w:after="120"/>
        <w:ind w:left="357" w:hanging="357"/>
        <w:contextualSpacing w:val="0"/>
        <w:jc w:val="both"/>
      </w:pPr>
      <w:r>
        <w:t xml:space="preserve">high pressure steel cylinders </w:t>
      </w:r>
    </w:p>
    <w:p w14:paraId="19DF2833" w14:textId="77777777" w:rsidR="00E77AAB" w:rsidRDefault="00E77AAB" w:rsidP="00E77AAB">
      <w:pPr>
        <w:pStyle w:val="ListParagraph"/>
        <w:numPr>
          <w:ilvl w:val="0"/>
          <w:numId w:val="28"/>
        </w:numPr>
        <w:spacing w:before="120" w:after="120"/>
        <w:ind w:left="357" w:hanging="357"/>
        <w:contextualSpacing w:val="0"/>
        <w:jc w:val="both"/>
      </w:pPr>
      <w:r>
        <w:t>pre-stressed concrete steel wire strand</w:t>
      </w:r>
    </w:p>
    <w:p w14:paraId="2115EDDE" w14:textId="77777777" w:rsidR="00E77AAB" w:rsidRDefault="00E77AAB" w:rsidP="00E77AAB">
      <w:pPr>
        <w:pStyle w:val="ListParagraph"/>
        <w:numPr>
          <w:ilvl w:val="0"/>
          <w:numId w:val="28"/>
        </w:numPr>
        <w:spacing w:before="120" w:after="120"/>
        <w:ind w:left="357" w:hanging="357"/>
        <w:contextualSpacing w:val="0"/>
        <w:jc w:val="both"/>
      </w:pPr>
      <w:r>
        <w:t>steel grating</w:t>
      </w:r>
    </w:p>
    <w:p w14:paraId="6153201C" w14:textId="77777777" w:rsidR="00E77AAB" w:rsidRDefault="00E77AAB" w:rsidP="00E77AAB">
      <w:pPr>
        <w:pStyle w:val="ListParagraph"/>
        <w:numPr>
          <w:ilvl w:val="0"/>
          <w:numId w:val="28"/>
        </w:numPr>
        <w:spacing w:before="120" w:after="120"/>
        <w:ind w:left="357" w:hanging="357"/>
        <w:contextualSpacing w:val="0"/>
        <w:jc w:val="both"/>
      </w:pPr>
      <w:r>
        <w:t xml:space="preserve">steel wire garment hangers </w:t>
      </w:r>
    </w:p>
    <w:p w14:paraId="4D03B06E" w14:textId="77777777" w:rsidR="00E77AAB" w:rsidRDefault="00E77AAB" w:rsidP="00E77AAB">
      <w:pPr>
        <w:pStyle w:val="ListParagraph"/>
        <w:numPr>
          <w:ilvl w:val="0"/>
          <w:numId w:val="28"/>
        </w:numPr>
        <w:spacing w:before="120" w:after="120"/>
        <w:ind w:left="357" w:hanging="357"/>
        <w:contextualSpacing w:val="0"/>
        <w:jc w:val="both"/>
      </w:pPr>
      <w:r>
        <w:t xml:space="preserve">uncovered innerspring units </w:t>
      </w:r>
    </w:p>
    <w:p w14:paraId="21945922" w14:textId="77777777" w:rsidR="00E77AAB" w:rsidRDefault="00E77AAB" w:rsidP="00E77AAB">
      <w:pPr>
        <w:pStyle w:val="ListParagraph"/>
        <w:numPr>
          <w:ilvl w:val="0"/>
          <w:numId w:val="28"/>
        </w:numPr>
        <w:spacing w:before="120" w:after="120"/>
        <w:ind w:left="357" w:hanging="357"/>
        <w:contextualSpacing w:val="0"/>
        <w:jc w:val="both"/>
      </w:pPr>
      <w:proofErr w:type="gramStart"/>
      <w:r>
        <w:t>utility</w:t>
      </w:r>
      <w:proofErr w:type="gramEnd"/>
      <w:r>
        <w:t xml:space="preserve"> scale wind towers.</w:t>
      </w:r>
    </w:p>
    <w:p w14:paraId="27F34CD3" w14:textId="77777777" w:rsidR="00F011F1" w:rsidRPr="00F011F1" w:rsidRDefault="00F011F1" w:rsidP="00F011F1"/>
    <w:p w14:paraId="45651581" w14:textId="77777777" w:rsidR="00F011F1" w:rsidRPr="00F011F1" w:rsidRDefault="00F011F1" w:rsidP="00F011F1"/>
    <w:p w14:paraId="4D630203" w14:textId="77777777" w:rsidR="00E77AAB" w:rsidRPr="00C6416B" w:rsidRDefault="00E77AAB" w:rsidP="00E77AAB">
      <w:pPr>
        <w:keepNext/>
        <w:keepLines/>
        <w:pBdr>
          <w:top w:val="single" w:sz="2" w:space="1" w:color="595A5B"/>
        </w:pBdr>
        <w:spacing w:before="360" w:after="240" w:line="240" w:lineRule="atLeast"/>
        <w:jc w:val="both"/>
        <w:rPr>
          <w:rFonts w:ascii="Arial" w:hAnsi="Arial"/>
          <w:bCs/>
          <w:color w:val="5B9BD5" w:themeColor="accent1"/>
          <w:sz w:val="18"/>
          <w:szCs w:val="18"/>
        </w:rPr>
      </w:pPr>
      <w:r w:rsidRPr="00C6416B">
        <w:rPr>
          <w:rFonts w:ascii="Arial" w:hAnsi="Arial"/>
          <w:bCs/>
          <w:color w:val="5B9BD5" w:themeColor="accent1"/>
          <w:sz w:val="18"/>
          <w:szCs w:val="18"/>
        </w:rPr>
        <w:t>Figure 6.2: United States trade remedies</w:t>
      </w:r>
    </w:p>
    <w:tbl>
      <w:tblPr>
        <w:tblStyle w:val="TableGrid"/>
        <w:tblW w:w="969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866"/>
      </w:tblGrid>
      <w:tr w:rsidR="00E77AAB" w14:paraId="6BFAC07C" w14:textId="77777777" w:rsidTr="000B20C3">
        <w:trPr>
          <w:trHeight w:val="4601"/>
        </w:trPr>
        <w:tc>
          <w:tcPr>
            <w:tcW w:w="4833" w:type="dxa"/>
          </w:tcPr>
          <w:p w14:paraId="6A50FAA3" w14:textId="77777777" w:rsidR="00E77AAB" w:rsidRDefault="00E77AAB" w:rsidP="000B20C3">
            <w:r>
              <w:rPr>
                <w:noProof/>
                <w:lang w:eastAsia="en-AU"/>
              </w:rPr>
              <w:drawing>
                <wp:inline distT="0" distB="0" distL="0" distR="0" wp14:anchorId="00F7B34E" wp14:editId="39A6735B">
                  <wp:extent cx="2828260" cy="2583711"/>
                  <wp:effectExtent l="0" t="0" r="10795" b="762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FAC3F58" w14:textId="77777777" w:rsidR="00E77AAB" w:rsidRDefault="00E77AAB" w:rsidP="000B20C3">
            <w:pPr>
              <w:pStyle w:val="Caption"/>
            </w:pPr>
            <w:r>
              <w:t xml:space="preserve">As at 28 June 2017, including provisional measures </w:t>
            </w:r>
          </w:p>
        </w:tc>
        <w:tc>
          <w:tcPr>
            <w:tcW w:w="4866" w:type="dxa"/>
          </w:tcPr>
          <w:p w14:paraId="4E06DDAC" w14:textId="77777777" w:rsidR="00E77AAB" w:rsidRDefault="00E77AAB" w:rsidP="000B20C3">
            <w:r>
              <w:rPr>
                <w:noProof/>
                <w:lang w:eastAsia="en-AU"/>
              </w:rPr>
              <w:drawing>
                <wp:inline distT="0" distB="0" distL="0" distR="0" wp14:anchorId="41A4307E" wp14:editId="52E52D2F">
                  <wp:extent cx="2849526" cy="2593975"/>
                  <wp:effectExtent l="0" t="0" r="8255" b="1587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872ECFE" w14:textId="77777777" w:rsidR="00E77AAB" w:rsidRPr="00CB4632" w:rsidRDefault="00E77AAB" w:rsidP="000B20C3">
            <w:pPr>
              <w:pStyle w:val="Caption"/>
            </w:pPr>
            <w:r>
              <w:t>As at 28 June 2017, including goods with provisional measures</w:t>
            </w:r>
          </w:p>
        </w:tc>
      </w:tr>
    </w:tbl>
    <w:p w14:paraId="0DB74AC3" w14:textId="77777777" w:rsidR="00E77AAB" w:rsidRPr="00C6416B" w:rsidRDefault="00E77AAB" w:rsidP="00E77AAB">
      <w:pPr>
        <w:pBdr>
          <w:bottom w:val="single" w:sz="4" w:space="1" w:color="auto"/>
        </w:pBdr>
        <w:spacing w:before="60"/>
        <w:rPr>
          <w:rFonts w:cs="Arial"/>
          <w:color w:val="5B9BD5" w:themeColor="accent1"/>
          <w:sz w:val="20"/>
          <w:szCs w:val="20"/>
        </w:rPr>
      </w:pPr>
      <w:r w:rsidRPr="00C6416B">
        <w:rPr>
          <w:rFonts w:cs="Arial"/>
          <w:color w:val="5B9BD5" w:themeColor="accent1"/>
          <w:sz w:val="20"/>
          <w:szCs w:val="20"/>
        </w:rPr>
        <w:t xml:space="preserve">Source: United States International Trade Commission </w:t>
      </w:r>
    </w:p>
    <w:p w14:paraId="4BBBDC1A" w14:textId="77777777" w:rsidR="00E77AAB" w:rsidRDefault="00E77AAB" w:rsidP="00E77AAB">
      <w:pPr>
        <w:spacing w:before="120" w:after="120"/>
        <w:jc w:val="both"/>
      </w:pPr>
      <w:r>
        <w:t xml:space="preserve">More than half of the dumping and countervailing measures imposed by the United States are on steel products. Like Canada, the number of measures on steel fabricated products is low in comparison to the number of measures on primary and unfinished steel goods. </w:t>
      </w:r>
    </w:p>
    <w:p w14:paraId="06B5C51B" w14:textId="77777777" w:rsidR="00F011F1" w:rsidRPr="00F011F1" w:rsidRDefault="00F011F1" w:rsidP="00F011F1"/>
    <w:p w14:paraId="6028613F" w14:textId="77777777" w:rsidR="00F011F1" w:rsidRPr="00F011F1" w:rsidRDefault="00F011F1" w:rsidP="00F011F1"/>
    <w:p w14:paraId="74D2DF96" w14:textId="77777777" w:rsidR="00F011F1" w:rsidRPr="00F011F1" w:rsidRDefault="00F011F1" w:rsidP="00F011F1"/>
    <w:p w14:paraId="4E787B04" w14:textId="58D86EA2" w:rsidR="00F011F1" w:rsidRDefault="00F011F1" w:rsidP="00F011F1"/>
    <w:p w14:paraId="00EBEB42"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center"/>
        <w:rPr>
          <w:b/>
          <w:sz w:val="24"/>
          <w:szCs w:val="24"/>
        </w:rPr>
      </w:pPr>
      <w:r w:rsidRPr="002C74D8">
        <w:rPr>
          <w:b/>
          <w:sz w:val="24"/>
          <w:szCs w:val="24"/>
        </w:rPr>
        <w:t>Case study</w:t>
      </w:r>
      <w:r>
        <w:rPr>
          <w:b/>
          <w:sz w:val="24"/>
          <w:szCs w:val="24"/>
        </w:rPr>
        <w:t>—</w:t>
      </w:r>
      <w:r w:rsidRPr="002C74D8">
        <w:rPr>
          <w:b/>
          <w:sz w:val="24"/>
          <w:szCs w:val="24"/>
        </w:rPr>
        <w:t>US</w:t>
      </w:r>
      <w:r>
        <w:rPr>
          <w:b/>
          <w:sz w:val="24"/>
          <w:szCs w:val="24"/>
        </w:rPr>
        <w:t xml:space="preserve"> </w:t>
      </w:r>
      <w:r w:rsidRPr="002C74D8">
        <w:rPr>
          <w:b/>
          <w:sz w:val="24"/>
          <w:szCs w:val="24"/>
        </w:rPr>
        <w:t>Measures on Steel Grating</w:t>
      </w:r>
    </w:p>
    <w:p w14:paraId="75AD0031"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rPr>
          <w:b/>
        </w:rPr>
      </w:pPr>
      <w:r w:rsidRPr="002C74D8">
        <w:rPr>
          <w:b/>
        </w:rPr>
        <w:t>The application</w:t>
      </w:r>
    </w:p>
    <w:p w14:paraId="08ED4101"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On 29 May 2009, the United States International Trade Commission </w:t>
      </w:r>
      <w:r>
        <w:t xml:space="preserve">(ITC) </w:t>
      </w:r>
      <w:r w:rsidRPr="002C74D8">
        <w:t>initiated an investigation into steel grating from China.</w:t>
      </w:r>
    </w:p>
    <w:p w14:paraId="10E38348"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The applicants </w:t>
      </w:r>
      <w:r>
        <w:t>seeking</w:t>
      </w:r>
      <w:r w:rsidRPr="002C74D8">
        <w:t xml:space="preserve"> the measures were Alabama Metal Industries Corp. and Fisher &amp; Ludlow Inc. The applicants had standing to seek trade remedy measures as they, </w:t>
      </w:r>
      <w:r>
        <w:t>together</w:t>
      </w:r>
      <w:r w:rsidRPr="002C74D8">
        <w:t xml:space="preserve"> with </w:t>
      </w:r>
      <w:r>
        <w:t xml:space="preserve">the </w:t>
      </w:r>
      <w:r w:rsidRPr="002C74D8">
        <w:t xml:space="preserve">domestic producers </w:t>
      </w:r>
      <w:r>
        <w:t xml:space="preserve">identified as </w:t>
      </w:r>
      <w:r w:rsidRPr="002C74D8">
        <w:t>support</w:t>
      </w:r>
      <w:r>
        <w:t>ing</w:t>
      </w:r>
      <w:r w:rsidRPr="002C74D8">
        <w:t xml:space="preserve"> the claim, represented over 50</w:t>
      </w:r>
      <w:r>
        <w:t> per cent</w:t>
      </w:r>
      <w:r w:rsidRPr="002C74D8">
        <w:t xml:space="preserve"> of the US domestic market for certain steel grating. </w:t>
      </w:r>
    </w:p>
    <w:p w14:paraId="03301250"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rPr>
          <w:b/>
        </w:rPr>
      </w:pPr>
      <w:r>
        <w:rPr>
          <w:b/>
        </w:rPr>
        <w:t>The goods</w:t>
      </w:r>
    </w:p>
    <w:p w14:paraId="663B4088" w14:textId="77777777" w:rsidR="00E77AAB" w:rsidRPr="00874074"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874074">
        <w:t xml:space="preserve">Certain steel grating is comprised of downstream steel products which are manufactured from multiple separate pieces of steel, including load bearing pieces and cross pieces. These separate pieces are joined together by welding, riveting, swaging or pressing. The goods are used in a wide range of heavy load-bearing applications including flooring, railroad car stand platforms and fire escape platforms. </w:t>
      </w:r>
    </w:p>
    <w:p w14:paraId="0A278777"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The goods which were the subject of the investigation were described as ‘certain steel grating, consisting of two or more pieces of steel, including load-bearing pieces and cross pieces, joined by any assembly process, regardless of: (1) size or shape; (2) method of manufacture; (3) metallurgy (carbon, allow or stainless); (4) the profile of the bars; and (5) whether or not they are galvanized, painted, coated, clad or plated’, from the People’s Republic of China.</w:t>
      </w:r>
    </w:p>
    <w:p w14:paraId="2984937C"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rPr>
          <w:b/>
        </w:rPr>
      </w:pPr>
      <w:r>
        <w:rPr>
          <w:b/>
        </w:rPr>
        <w:t>Dumping and injury investigations</w:t>
      </w:r>
    </w:p>
    <w:p w14:paraId="5E1AB8D0"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In the United States, it is the responsibility of the Department of Commerce to determine whether dumping is occurring. If found in the affirmative, the </w:t>
      </w:r>
      <w:r>
        <w:t>ITC</w:t>
      </w:r>
      <w:r w:rsidRPr="002C74D8">
        <w:t xml:space="preserve"> is tasked with conducting the injury analysis. </w:t>
      </w:r>
    </w:p>
    <w:p w14:paraId="4230E951" w14:textId="77777777" w:rsidR="00E77AAB"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Based on the facts available and the inferences drawn, the Department </w:t>
      </w:r>
      <w:r>
        <w:t xml:space="preserve">concluded </w:t>
      </w:r>
      <w:r w:rsidRPr="002C74D8">
        <w:t>that dumping and subsidi</w:t>
      </w:r>
      <w:r>
        <w:t>sation</w:t>
      </w:r>
      <w:r w:rsidRPr="002C74D8">
        <w:t xml:space="preserve"> w</w:t>
      </w:r>
      <w:r>
        <w:t>ere</w:t>
      </w:r>
      <w:r w:rsidRPr="002C74D8">
        <w:t xml:space="preserve"> occurring. </w:t>
      </w:r>
    </w:p>
    <w:p w14:paraId="69739586"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The </w:t>
      </w:r>
      <w:r>
        <w:t>ITC</w:t>
      </w:r>
      <w:r w:rsidRPr="002C74D8">
        <w:t xml:space="preserve"> </w:t>
      </w:r>
      <w:r>
        <w:t>considered whether the</w:t>
      </w:r>
      <w:r w:rsidRPr="002C74D8">
        <w:t xml:space="preserve"> dumping and</w:t>
      </w:r>
      <w:r>
        <w:t>/or</w:t>
      </w:r>
      <w:r w:rsidRPr="002C74D8">
        <w:t xml:space="preserve"> </w:t>
      </w:r>
      <w:r w:rsidRPr="00A84359">
        <w:t xml:space="preserve">subsidisation </w:t>
      </w:r>
      <w:r w:rsidRPr="002C74D8">
        <w:t xml:space="preserve">had caused or threatened to cause material injury to the </w:t>
      </w:r>
      <w:r>
        <w:t>US</w:t>
      </w:r>
      <w:r w:rsidRPr="002C74D8">
        <w:t xml:space="preserve"> steel grating industry.</w:t>
      </w:r>
      <w:r>
        <w:t xml:space="preserve"> It </w:t>
      </w:r>
      <w:r w:rsidRPr="002C74D8">
        <w:t xml:space="preserve">found that a number of purchasers in the domestic market had switched from the US product </w:t>
      </w:r>
      <w:r>
        <w:t>to</w:t>
      </w:r>
      <w:r w:rsidRPr="002C74D8">
        <w:t xml:space="preserve"> the Chinese product and cited price as the primary causal factor. </w:t>
      </w:r>
      <w:r>
        <w:t>There was evidence</w:t>
      </w:r>
      <w:r w:rsidRPr="002C74D8">
        <w:t xml:space="preserve"> that US producers of certain steel grating were forced to reduce their selling price </w:t>
      </w:r>
      <w:r>
        <w:t>to compete with</w:t>
      </w:r>
      <w:r w:rsidRPr="002C74D8">
        <w:t xml:space="preserve"> </w:t>
      </w:r>
      <w:r>
        <w:t xml:space="preserve">the </w:t>
      </w:r>
      <w:r w:rsidRPr="002C74D8">
        <w:t xml:space="preserve">dumped goods. The </w:t>
      </w:r>
      <w:r>
        <w:t xml:space="preserve">ITC considered the </w:t>
      </w:r>
      <w:r w:rsidRPr="002C74D8">
        <w:t xml:space="preserve">price depression was not solely due to the prevailing economic climate at the time, and </w:t>
      </w:r>
      <w:r>
        <w:t>found that</w:t>
      </w:r>
      <w:r w:rsidRPr="002C74D8">
        <w:t xml:space="preserve"> price suppression was also evident. </w:t>
      </w:r>
    </w:p>
    <w:p w14:paraId="123C325D"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These findings were sufficient for the </w:t>
      </w:r>
      <w:r>
        <w:t>ITC</w:t>
      </w:r>
      <w:r w:rsidRPr="002C74D8">
        <w:t xml:space="preserve"> to be satisfied that the dumped and/or subsidised steel grating exported from China was causing material injury to </w:t>
      </w:r>
      <w:r>
        <w:t>the domestic industry. As a result, d</w:t>
      </w:r>
      <w:r w:rsidRPr="002C74D8">
        <w:t>uties</w:t>
      </w:r>
      <w:r>
        <w:t xml:space="preserve"> were imposed</w:t>
      </w:r>
      <w:r w:rsidRPr="002C74D8">
        <w:t>.</w:t>
      </w:r>
    </w:p>
    <w:p w14:paraId="2A64D6DA"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rPr>
          <w:b/>
        </w:rPr>
      </w:pPr>
      <w:r>
        <w:rPr>
          <w:b/>
        </w:rPr>
        <w:t>Continuation</w:t>
      </w:r>
    </w:p>
    <w:p w14:paraId="79934474" w14:textId="77777777" w:rsidR="00E77AAB" w:rsidRPr="002C74D8" w:rsidRDefault="00E77AAB" w:rsidP="00E77AAB">
      <w:pPr>
        <w:keepNext/>
        <w:keepLines/>
        <w:pBdr>
          <w:top w:val="single" w:sz="4" w:space="1" w:color="auto"/>
          <w:left w:val="single" w:sz="4" w:space="4" w:color="auto"/>
          <w:bottom w:val="single" w:sz="4" w:space="1" w:color="auto"/>
          <w:right w:val="single" w:sz="4" w:space="4" w:color="auto"/>
        </w:pBdr>
        <w:shd w:val="clear" w:color="auto" w:fill="DEEAF6" w:themeFill="accent1" w:themeFillTint="33"/>
        <w:spacing w:before="120" w:after="120"/>
        <w:jc w:val="both"/>
      </w:pPr>
      <w:r w:rsidRPr="002C74D8">
        <w:t xml:space="preserve">In October 2015, the </w:t>
      </w:r>
      <w:r>
        <w:t>ITC</w:t>
      </w:r>
      <w:r w:rsidRPr="002C74D8">
        <w:t xml:space="preserve"> determined that revocation of the measures would likely lead to the continuation or recurrence of material injury to the US industry within a reasonably foreseeable time. As a result, the </w:t>
      </w:r>
      <w:r>
        <w:t>ITC</w:t>
      </w:r>
      <w:r w:rsidRPr="002C74D8">
        <w:t xml:space="preserve"> continued the measures that were in place.</w:t>
      </w:r>
    </w:p>
    <w:p w14:paraId="21B61F7D" w14:textId="77777777" w:rsidR="00E77AAB" w:rsidRDefault="00E77AAB" w:rsidP="00043EB7">
      <w:pPr>
        <w:pBdr>
          <w:top w:val="single" w:sz="4" w:space="1" w:color="auto"/>
          <w:left w:val="single" w:sz="4" w:space="4" w:color="auto"/>
          <w:bottom w:val="single" w:sz="4" w:space="1" w:color="auto"/>
          <w:right w:val="single" w:sz="4" w:space="4" w:color="auto"/>
        </w:pBdr>
        <w:shd w:val="clear" w:color="auto" w:fill="DEEAF6" w:themeFill="accent1" w:themeFillTint="33"/>
        <w:rPr>
          <w:rFonts w:asciiTheme="majorHAnsi" w:eastAsiaTheme="majorEastAsia" w:hAnsiTheme="majorHAnsi" w:cstheme="majorBidi"/>
          <w:b/>
          <w:bCs/>
          <w:color w:val="5B9BD5" w:themeColor="accent1"/>
        </w:rPr>
      </w:pPr>
      <w:r w:rsidRPr="00CE3B07">
        <w:rPr>
          <w:i/>
          <w:sz w:val="20"/>
          <w:szCs w:val="20"/>
        </w:rPr>
        <w:t>Source:</w:t>
      </w:r>
      <w:r>
        <w:rPr>
          <w:i/>
        </w:rPr>
        <w:t xml:space="preserve"> </w:t>
      </w:r>
      <w:r w:rsidRPr="00CE3B07">
        <w:rPr>
          <w:sz w:val="20"/>
          <w:szCs w:val="20"/>
        </w:rPr>
        <w:t xml:space="preserve">United States International Trade Commission, </w:t>
      </w:r>
      <w:hyperlink r:id="rId54" w:history="1">
        <w:r w:rsidRPr="00CE3B07">
          <w:rPr>
            <w:rStyle w:val="Hyperlink"/>
            <w:sz w:val="20"/>
            <w:szCs w:val="20"/>
          </w:rPr>
          <w:t>www.usitc.gov/investigations/701731/2010/ certain_steel_grating_china/final.htm</w:t>
        </w:r>
      </w:hyperlink>
      <w:r w:rsidRPr="00CE3B07">
        <w:rPr>
          <w:sz w:val="20"/>
          <w:szCs w:val="20"/>
        </w:rPr>
        <w:t xml:space="preserve">, </w:t>
      </w:r>
      <w:hyperlink r:id="rId55" w:history="1">
        <w:r w:rsidRPr="00CE3B07">
          <w:rPr>
            <w:rStyle w:val="Hyperlink"/>
            <w:sz w:val="20"/>
            <w:szCs w:val="20"/>
          </w:rPr>
          <w:t xml:space="preserve">www.usitc.gov/investigations/701731/2015/ </w:t>
        </w:r>
        <w:proofErr w:type="spellStart"/>
        <w:r w:rsidRPr="00CE3B07">
          <w:rPr>
            <w:rStyle w:val="Hyperlink"/>
            <w:sz w:val="20"/>
            <w:szCs w:val="20"/>
          </w:rPr>
          <w:t>certain_steel_grating_china</w:t>
        </w:r>
        <w:proofErr w:type="spellEnd"/>
        <w:r w:rsidRPr="00CE3B07">
          <w:rPr>
            <w:rStyle w:val="Hyperlink"/>
            <w:sz w:val="20"/>
            <w:szCs w:val="20"/>
          </w:rPr>
          <w:t>/first_review_expedited.htm</w:t>
        </w:r>
      </w:hyperlink>
      <w:r w:rsidRPr="00CE3B07">
        <w:rPr>
          <w:sz w:val="20"/>
          <w:szCs w:val="20"/>
        </w:rPr>
        <w:t>.</w:t>
      </w:r>
      <w:r w:rsidRPr="00CE3B07">
        <w:rPr>
          <w:rFonts w:asciiTheme="majorHAnsi" w:eastAsiaTheme="majorEastAsia" w:hAnsiTheme="majorHAnsi" w:cstheme="majorBidi"/>
          <w:b/>
          <w:bCs/>
          <w:color w:val="5B9BD5" w:themeColor="accent1"/>
        </w:rPr>
        <w:t xml:space="preserve"> </w:t>
      </w:r>
    </w:p>
    <w:p w14:paraId="62E2AFF0" w14:textId="77777777" w:rsidR="00E77AAB" w:rsidRPr="00CE3B07" w:rsidRDefault="00E77AAB" w:rsidP="00E77AAB">
      <w:pPr>
        <w:pBdr>
          <w:top w:val="single" w:sz="4" w:space="1" w:color="auto"/>
          <w:left w:val="single" w:sz="4" w:space="4" w:color="auto"/>
          <w:bottom w:val="single" w:sz="4" w:space="1" w:color="auto"/>
          <w:right w:val="single" w:sz="4" w:space="4" w:color="auto"/>
        </w:pBdr>
        <w:shd w:val="clear" w:color="auto" w:fill="DEEAF6" w:themeFill="accent1" w:themeFillTint="33"/>
        <w:jc w:val="both"/>
        <w:rPr>
          <w:rFonts w:asciiTheme="majorHAnsi" w:eastAsiaTheme="majorEastAsia" w:hAnsiTheme="majorHAnsi" w:cstheme="majorBidi"/>
          <w:b/>
          <w:bCs/>
          <w:color w:val="5B9BD5" w:themeColor="accent1"/>
        </w:rPr>
      </w:pPr>
    </w:p>
    <w:p w14:paraId="0219217C" w14:textId="1926435A" w:rsidR="00F011F1" w:rsidRDefault="00F011F1" w:rsidP="00F011F1">
      <w:pPr>
        <w:tabs>
          <w:tab w:val="left" w:pos="5460"/>
        </w:tabs>
      </w:pPr>
      <w:r>
        <w:tab/>
      </w:r>
    </w:p>
    <w:p w14:paraId="2D846680" w14:textId="77777777" w:rsidR="00E77AAB" w:rsidRDefault="00E77AAB" w:rsidP="00F011F1">
      <w:pPr>
        <w:tabs>
          <w:tab w:val="left" w:pos="5460"/>
        </w:tabs>
      </w:pPr>
    </w:p>
    <w:p w14:paraId="4B5D0DF2" w14:textId="77777777" w:rsidR="00E77AAB" w:rsidRDefault="00E77AAB" w:rsidP="00F011F1">
      <w:pPr>
        <w:tabs>
          <w:tab w:val="left" w:pos="5460"/>
        </w:tabs>
      </w:pPr>
    </w:p>
    <w:p w14:paraId="0C1B52B1" w14:textId="77777777" w:rsidR="00E77AAB" w:rsidRDefault="00E77AAB" w:rsidP="00E77AAB">
      <w:pPr>
        <w:pStyle w:val="Heading3"/>
      </w:pPr>
      <w:bookmarkStart w:id="75" w:name="_Toc482878202"/>
      <w:bookmarkStart w:id="76" w:name="_Toc487532444"/>
      <w:r>
        <w:t>The European Union</w:t>
      </w:r>
      <w:bookmarkEnd w:id="75"/>
      <w:bookmarkEnd w:id="76"/>
    </w:p>
    <w:p w14:paraId="0F401A55" w14:textId="77777777" w:rsidR="00E77AAB" w:rsidRDefault="00E77AAB" w:rsidP="00E77AAB">
      <w:pPr>
        <w:spacing w:before="120" w:after="120"/>
        <w:jc w:val="both"/>
      </w:pPr>
      <w:r>
        <w:t>The European Union (EU) operates as an economic bloc, with the European Commission given responsibility by Member States to conduct investigations and impose trade remedy measures for the single European market.</w:t>
      </w:r>
    </w:p>
    <w:p w14:paraId="293EF40A" w14:textId="77777777" w:rsidR="00E77AAB" w:rsidRDefault="00E77AAB" w:rsidP="00E77AAB">
      <w:pPr>
        <w:spacing w:before="120" w:after="120"/>
        <w:jc w:val="both"/>
      </w:pPr>
      <w:r>
        <w:t>As at 1 August 2017, the EU had 110 separate dumping or countervailing measures in place on 70 separate products (under the WTO counting standard of one measure being one type of trade remedy on one product per country). Of these trade remedy measures, 46 are on 25 distinct steel products. Three measures are in place against two steel manufactured/ fabricated products. The two products are:</w:t>
      </w:r>
    </w:p>
    <w:p w14:paraId="6F24F035" w14:textId="77777777" w:rsidR="00E77AAB" w:rsidRDefault="00E77AAB" w:rsidP="00E77AAB">
      <w:pPr>
        <w:pStyle w:val="ListParagraph"/>
        <w:numPr>
          <w:ilvl w:val="0"/>
          <w:numId w:val="28"/>
        </w:numPr>
        <w:spacing w:before="120" w:after="120"/>
        <w:ind w:left="357" w:hanging="357"/>
        <w:contextualSpacing w:val="0"/>
        <w:jc w:val="both"/>
      </w:pPr>
      <w:r>
        <w:t>PSC wires and strands (certain pre- and post-stressing wires and strands)</w:t>
      </w:r>
    </w:p>
    <w:p w14:paraId="77201384" w14:textId="77777777" w:rsidR="00E77AAB" w:rsidRDefault="00E77AAB" w:rsidP="00E77AAB">
      <w:pPr>
        <w:pStyle w:val="ListParagraph"/>
        <w:numPr>
          <w:ilvl w:val="0"/>
          <w:numId w:val="28"/>
        </w:numPr>
        <w:spacing w:before="120" w:after="120"/>
        <w:ind w:left="357" w:hanging="357"/>
        <w:contextualSpacing w:val="0"/>
        <w:jc w:val="both"/>
      </w:pPr>
      <w:proofErr w:type="gramStart"/>
      <w:r>
        <w:t>steel</w:t>
      </w:r>
      <w:proofErr w:type="gramEnd"/>
      <w:r>
        <w:t xml:space="preserve"> ropes and cables.</w:t>
      </w:r>
    </w:p>
    <w:p w14:paraId="2499AF4F" w14:textId="77777777" w:rsidR="00E77AAB" w:rsidRDefault="00E77AAB" w:rsidP="00E77AAB">
      <w:pPr>
        <w:spacing w:before="120" w:after="120"/>
        <w:jc w:val="both"/>
      </w:pPr>
      <w:r>
        <w:t>Further, as at 1 February 2017, the EU had 42 investigations ongoing (across all types of investigations, e.g. new, expiry, reopening etc.) on 27 different products. Sixteen of the ongoing investigations related to nine different steel products.</w:t>
      </w:r>
    </w:p>
    <w:p w14:paraId="36E72305" w14:textId="77777777" w:rsidR="00E77AAB" w:rsidRPr="002F4183" w:rsidRDefault="00E77AAB" w:rsidP="00E77AAB">
      <w:pPr>
        <w:keepNext/>
        <w:keepLines/>
        <w:pBdr>
          <w:top w:val="single" w:sz="2" w:space="1" w:color="595A5B"/>
        </w:pBdr>
        <w:spacing w:before="360" w:after="240" w:line="240" w:lineRule="atLeast"/>
        <w:jc w:val="both"/>
        <w:rPr>
          <w:rFonts w:ascii="Arial" w:hAnsi="Arial"/>
          <w:bCs/>
          <w:color w:val="5B9BD5" w:themeColor="accent1"/>
          <w:sz w:val="18"/>
          <w:szCs w:val="18"/>
        </w:rPr>
      </w:pPr>
      <w:r w:rsidRPr="002F4183">
        <w:rPr>
          <w:rFonts w:ascii="Arial" w:hAnsi="Arial"/>
          <w:bCs/>
          <w:color w:val="5B9BD5" w:themeColor="accent1"/>
          <w:sz w:val="18"/>
          <w:szCs w:val="18"/>
        </w:rPr>
        <w:t xml:space="preserve">Figure </w:t>
      </w:r>
      <w:r>
        <w:rPr>
          <w:rFonts w:ascii="Arial" w:hAnsi="Arial"/>
          <w:bCs/>
          <w:color w:val="5B9BD5" w:themeColor="accent1"/>
          <w:sz w:val="18"/>
          <w:szCs w:val="18"/>
        </w:rPr>
        <w:t>6.3</w:t>
      </w:r>
      <w:r w:rsidRPr="002F4183">
        <w:rPr>
          <w:rFonts w:ascii="Arial" w:hAnsi="Arial"/>
          <w:bCs/>
          <w:color w:val="5B9BD5" w:themeColor="accent1"/>
          <w:sz w:val="18"/>
          <w:szCs w:val="18"/>
        </w:rPr>
        <w:t xml:space="preserve">: </w:t>
      </w:r>
      <w:r>
        <w:rPr>
          <w:rFonts w:ascii="Arial" w:hAnsi="Arial"/>
          <w:bCs/>
          <w:color w:val="5B9BD5" w:themeColor="accent1"/>
          <w:sz w:val="18"/>
          <w:szCs w:val="18"/>
        </w:rPr>
        <w:t>European Union trade remedies</w:t>
      </w:r>
    </w:p>
    <w:tbl>
      <w:tblPr>
        <w:tblStyle w:val="TableGrid"/>
        <w:tblW w:w="969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866"/>
      </w:tblGrid>
      <w:tr w:rsidR="00E77AAB" w14:paraId="3B7D665E" w14:textId="77777777" w:rsidTr="000B20C3">
        <w:trPr>
          <w:trHeight w:val="4667"/>
        </w:trPr>
        <w:tc>
          <w:tcPr>
            <w:tcW w:w="4833" w:type="dxa"/>
          </w:tcPr>
          <w:p w14:paraId="5C374EEE" w14:textId="77777777" w:rsidR="00E77AAB" w:rsidRDefault="00E77AAB" w:rsidP="000B20C3">
            <w:r>
              <w:rPr>
                <w:noProof/>
                <w:lang w:eastAsia="en-AU"/>
              </w:rPr>
              <w:drawing>
                <wp:inline distT="0" distB="0" distL="0" distR="0" wp14:anchorId="4AF198BB" wp14:editId="317D17C6">
                  <wp:extent cx="2828260" cy="2583711"/>
                  <wp:effectExtent l="0" t="0" r="10795" b="762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0DBF1AD" w14:textId="77777777" w:rsidR="00E77AAB" w:rsidRDefault="00E77AAB" w:rsidP="000B20C3">
            <w:pPr>
              <w:pStyle w:val="Caption"/>
            </w:pPr>
            <w:r>
              <w:t xml:space="preserve">As at 1 August 2017, including provisional measures </w:t>
            </w:r>
          </w:p>
        </w:tc>
        <w:tc>
          <w:tcPr>
            <w:tcW w:w="4866" w:type="dxa"/>
          </w:tcPr>
          <w:p w14:paraId="20D3654C" w14:textId="77777777" w:rsidR="00E77AAB" w:rsidRDefault="00E77AAB" w:rsidP="000B20C3">
            <w:r>
              <w:rPr>
                <w:noProof/>
                <w:lang w:eastAsia="en-AU"/>
              </w:rPr>
              <w:drawing>
                <wp:inline distT="0" distB="0" distL="0" distR="0" wp14:anchorId="2705D89A" wp14:editId="26536556">
                  <wp:extent cx="2849526" cy="2593975"/>
                  <wp:effectExtent l="0" t="0" r="8255" b="1587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8E1DA37" w14:textId="77777777" w:rsidR="00E77AAB" w:rsidRPr="00CB4632" w:rsidRDefault="00E77AAB" w:rsidP="000B20C3">
            <w:pPr>
              <w:pStyle w:val="Caption"/>
            </w:pPr>
            <w:r>
              <w:t>As at 1 August 2017, including goods with provisional measures</w:t>
            </w:r>
          </w:p>
        </w:tc>
      </w:tr>
    </w:tbl>
    <w:p w14:paraId="54CCFDB0" w14:textId="77777777" w:rsidR="00E77AAB" w:rsidRPr="00227C3B" w:rsidRDefault="00E77AAB" w:rsidP="00E77AAB">
      <w:pPr>
        <w:pBdr>
          <w:bottom w:val="single" w:sz="4" w:space="1" w:color="auto"/>
        </w:pBdr>
        <w:spacing w:before="60"/>
        <w:rPr>
          <w:rFonts w:cs="Arial"/>
          <w:color w:val="5B9BD5" w:themeColor="accent1"/>
          <w:sz w:val="20"/>
          <w:szCs w:val="20"/>
        </w:rPr>
      </w:pPr>
      <w:r w:rsidRPr="00227C3B">
        <w:rPr>
          <w:rFonts w:cs="Arial"/>
          <w:color w:val="5B9BD5" w:themeColor="accent1"/>
          <w:sz w:val="20"/>
          <w:szCs w:val="20"/>
        </w:rPr>
        <w:t xml:space="preserve">Source: European Commission </w:t>
      </w:r>
    </w:p>
    <w:p w14:paraId="572D2519" w14:textId="77777777" w:rsidR="00E77AAB" w:rsidRDefault="00E77AAB" w:rsidP="00E77AAB">
      <w:pPr>
        <w:spacing w:before="120" w:after="120"/>
        <w:jc w:val="both"/>
      </w:pPr>
      <w:r>
        <w:t>The EU has many primary steel producers. There is a steel manufacturing industry in most European countries.</w:t>
      </w:r>
      <w:r>
        <w:rPr>
          <w:rStyle w:val="FootnoteReference"/>
        </w:rPr>
        <w:footnoteReference w:id="66"/>
      </w:r>
      <w:r>
        <w:t xml:space="preserve"> </w:t>
      </w:r>
    </w:p>
    <w:p w14:paraId="79F519F4" w14:textId="77777777" w:rsidR="00E77AAB" w:rsidRDefault="00E77AAB" w:rsidP="00E77AAB">
      <w:pPr>
        <w:spacing w:before="120" w:after="120"/>
        <w:jc w:val="both"/>
      </w:pPr>
      <w:r>
        <w:t>The EU also has many businesses in the steel fabrication industry. In 2010, fabricated metal manufacturing (including steel) comprised 11.9 per cent of total EU manufacturing employment.</w:t>
      </w:r>
      <w:r>
        <w:rPr>
          <w:rStyle w:val="FootnoteReference"/>
        </w:rPr>
        <w:footnoteReference w:id="67"/>
      </w:r>
      <w:r>
        <w:t xml:space="preserve"> More than three quarters (82.5%) of employees in the fabricated metal manufacturing sector were employed by SMEs (in Europe, an SME is defined as having fewer than 250 employees) and SMEs produced 76.7 per cent of the value add for the sector.</w:t>
      </w:r>
      <w:r>
        <w:rPr>
          <w:rStyle w:val="FootnoteReference"/>
        </w:rPr>
        <w:footnoteReference w:id="68"/>
      </w:r>
      <w:r>
        <w:t xml:space="preserve"> </w:t>
      </w:r>
    </w:p>
    <w:p w14:paraId="547DCE6E" w14:textId="77777777" w:rsidR="00E77AAB" w:rsidRDefault="00E77AAB" w:rsidP="00E77AAB">
      <w:pPr>
        <w:spacing w:before="120" w:after="120"/>
        <w:jc w:val="both"/>
      </w:pPr>
      <w:r>
        <w:t xml:space="preserve">Of the total number of trade remedy measures in place, 2.8 per cent are on steel fabricated products. </w:t>
      </w:r>
    </w:p>
    <w:p w14:paraId="79652B6C" w14:textId="77777777" w:rsidR="00E77AAB" w:rsidRDefault="00E77AAB" w:rsidP="00E77AAB">
      <w:pPr>
        <w:pStyle w:val="Heading2"/>
      </w:pPr>
      <w:r>
        <w:t>Conclusions</w:t>
      </w:r>
    </w:p>
    <w:p w14:paraId="393FC9CB" w14:textId="77777777" w:rsidR="00E77AAB" w:rsidRDefault="00E77AAB" w:rsidP="00E77AAB">
      <w:pPr>
        <w:pStyle w:val="Style7"/>
        <w:jc w:val="both"/>
      </w:pPr>
      <w:r>
        <w:t xml:space="preserve">The number of steel fabricated products that have been subject to trade remedy measures is low in relation to the number of primary steel products subject to measures. </w:t>
      </w:r>
    </w:p>
    <w:p w14:paraId="5F2D3873" w14:textId="77777777" w:rsidR="00E77AAB" w:rsidRDefault="00E77AAB" w:rsidP="00E77AAB">
      <w:pPr>
        <w:pStyle w:val="Style7"/>
        <w:jc w:val="both"/>
      </w:pPr>
      <w:r>
        <w:t>Some products (or similar products) are subject to measures in several jurisdictions. Examples include stainless steel sinks (Australia, the United States and Canada), steel grating (</w:t>
      </w:r>
      <w:r w:rsidRPr="00F6360D">
        <w:t xml:space="preserve">the United States </w:t>
      </w:r>
      <w:r>
        <w:t xml:space="preserve">and Canada), wind towers (Australia and </w:t>
      </w:r>
      <w:r w:rsidRPr="00F6360D">
        <w:t>the United States</w:t>
      </w:r>
      <w:r>
        <w:t>), and various types of pre-stressed steel wire (</w:t>
      </w:r>
      <w:r w:rsidRPr="00F6360D">
        <w:t xml:space="preserve">the United States </w:t>
      </w:r>
      <w:r>
        <w:t xml:space="preserve">and EU). </w:t>
      </w:r>
    </w:p>
    <w:p w14:paraId="64DB8D75" w14:textId="77777777" w:rsidR="00E77AAB" w:rsidRDefault="00E77AAB" w:rsidP="00E77AAB">
      <w:pPr>
        <w:pStyle w:val="Style7"/>
        <w:jc w:val="both"/>
      </w:pPr>
      <w:r>
        <w:t xml:space="preserve">Globally, the imposition of trade remedy measures on steel fabricated products is a recent development. All measures on steel fabricated products in Australia and Canada, and five of the seven measures in the United States, have been implemented since 2010. The only current measures that were initially imposed prior to 2000 are on steel ropes and cables imported into the EU. </w:t>
      </w:r>
    </w:p>
    <w:p w14:paraId="55CEC11B" w14:textId="77777777" w:rsidR="00E77AAB" w:rsidRDefault="00E77AAB" w:rsidP="00E77AAB">
      <w:pPr>
        <w:spacing w:before="120" w:after="120"/>
        <w:jc w:val="both"/>
      </w:pPr>
      <w:r>
        <w:t>The relatively low number of trade remedy measures on steel fabricated products may reflect several factors:</w:t>
      </w:r>
    </w:p>
    <w:p w14:paraId="77D30F75" w14:textId="77777777" w:rsidR="00E77AAB" w:rsidRDefault="00E77AAB" w:rsidP="00E77AAB">
      <w:pPr>
        <w:pStyle w:val="ListParagraph"/>
        <w:numPr>
          <w:ilvl w:val="0"/>
          <w:numId w:val="28"/>
        </w:numPr>
        <w:spacing w:before="120" w:after="120"/>
        <w:ind w:left="357" w:hanging="357"/>
        <w:contextualSpacing w:val="0"/>
        <w:jc w:val="both"/>
      </w:pPr>
      <w:r>
        <w:t xml:space="preserve">Around the world, steel fabrication industries are typically more </w:t>
      </w:r>
      <w:r w:rsidRPr="006C106D">
        <w:t xml:space="preserve">fragmented </w:t>
      </w:r>
      <w:r>
        <w:t xml:space="preserve">than primary steel production industries and many sectors in </w:t>
      </w:r>
      <w:r w:rsidRPr="006C106D">
        <w:t xml:space="preserve">steel </w:t>
      </w:r>
      <w:r>
        <w:t xml:space="preserve">fabrication </w:t>
      </w:r>
      <w:r w:rsidRPr="006C106D">
        <w:t xml:space="preserve">industries </w:t>
      </w:r>
      <w:r>
        <w:t xml:space="preserve">are comprised of large numbers of SMEs. This fragmentation and large number of producers for some steel fabricated products can create challenges and costs in identifying and then organising relevant members of the industry producing the ‘like’ goods for an application for anti-dumping measures. The smaller number of larger businesses in primary steel manufacturing markets makes it easier for applicant businesses to meet the standing requirements to bring an application than for potential applicants from </w:t>
      </w:r>
      <w:r w:rsidRPr="00D654A0">
        <w:t xml:space="preserve">steel </w:t>
      </w:r>
      <w:r>
        <w:t xml:space="preserve">fabrication </w:t>
      </w:r>
      <w:r w:rsidRPr="00D654A0">
        <w:t>industries</w:t>
      </w:r>
      <w:r>
        <w:t xml:space="preserve">. </w:t>
      </w:r>
    </w:p>
    <w:p w14:paraId="7704F5DC" w14:textId="77777777" w:rsidR="00E77AAB" w:rsidRDefault="00E77AAB" w:rsidP="00E77AAB">
      <w:pPr>
        <w:pStyle w:val="ListParagraph"/>
        <w:numPr>
          <w:ilvl w:val="0"/>
          <w:numId w:val="28"/>
        </w:numPr>
        <w:spacing w:before="120" w:after="120"/>
        <w:ind w:left="357" w:hanging="357"/>
        <w:contextualSpacing w:val="0"/>
        <w:jc w:val="both"/>
      </w:pPr>
      <w:r>
        <w:t xml:space="preserve">Larger companies with access to greater resources may be better able to access the anti-dumping system. The complexity of, and evidentiary requirements for, submitting an application and defending interests during an investigation often results in applicants employing legal advisors and consultants. The costs of these advisors and consultants can be substantial and, for SMEs, can represent a significant proportion of their revenues. </w:t>
      </w:r>
    </w:p>
    <w:p w14:paraId="1458EA97" w14:textId="77777777" w:rsidR="00E77AAB" w:rsidRDefault="00E77AAB" w:rsidP="00E77AAB">
      <w:pPr>
        <w:pStyle w:val="ListParagraph"/>
        <w:numPr>
          <w:ilvl w:val="0"/>
          <w:numId w:val="28"/>
        </w:numPr>
        <w:spacing w:before="120" w:after="120"/>
        <w:ind w:left="357" w:hanging="357"/>
        <w:contextualSpacing w:val="0"/>
        <w:jc w:val="both"/>
      </w:pPr>
      <w:r>
        <w:t>The diversity of many steel fabricated products can create difficulties in accurately and unambiguously describing the products the subject of an application. The WTO Anti-Dumping Agreement requires an application for measures to include a complete description of the product in question.</w:t>
      </w:r>
      <w:r w:rsidRPr="004B1F43">
        <w:rPr>
          <w:vertAlign w:val="superscript"/>
        </w:rPr>
        <w:footnoteReference w:id="69"/>
      </w:r>
      <w:r>
        <w:t xml:space="preserve"> Many steel fabricated products are made to order and according to design specifications that are unique to each project. Such customisation and production of bespoke steel fabricated products can make it challenging to formulate a </w:t>
      </w:r>
      <w:proofErr w:type="spellStart"/>
      <w:r>
        <w:t>goods</w:t>
      </w:r>
      <w:proofErr w:type="spellEnd"/>
      <w:r>
        <w:t xml:space="preserve"> description that is sufficiently narrow to allow injury to be established and suitably broad to encompass all relevant products that are causing injury to the domestic industry. In contrast, primary steel products are typically more homogenous than steel fabricated products. </w:t>
      </w:r>
    </w:p>
    <w:p w14:paraId="322C6B76" w14:textId="77777777" w:rsidR="00E77AAB" w:rsidRDefault="00E77AAB" w:rsidP="00E77AAB">
      <w:pPr>
        <w:pStyle w:val="Style7"/>
        <w:jc w:val="both"/>
      </w:pPr>
      <w:r>
        <w:t>Chapter 7 identifies some potential barriers to SME access to Australia’s anti-dumping system and some options for addressing those barriers.</w:t>
      </w:r>
    </w:p>
    <w:p w14:paraId="4BECE7C3" w14:textId="0F509677" w:rsidR="00E77AAB" w:rsidRDefault="00E77AAB">
      <w:pPr>
        <w:spacing w:after="160" w:line="259" w:lineRule="auto"/>
      </w:pPr>
      <w:r>
        <w:br w:type="page"/>
      </w:r>
    </w:p>
    <w:p w14:paraId="52A76D73" w14:textId="77777777" w:rsidR="00E77AAB" w:rsidRDefault="00E77AAB" w:rsidP="00E77AAB">
      <w:pPr>
        <w:pStyle w:val="Heading1"/>
        <w:spacing w:after="360"/>
        <w:ind w:left="431" w:hanging="431"/>
      </w:pPr>
      <w:bookmarkStart w:id="77" w:name="_Toc487532446"/>
      <w:r>
        <w:t>Conclusions and implication</w:t>
      </w:r>
      <w:bookmarkEnd w:id="77"/>
      <w:r>
        <w:t>s</w:t>
      </w:r>
    </w:p>
    <w:p w14:paraId="7C1EC0F8" w14:textId="77777777" w:rsidR="00E77AAB" w:rsidRPr="00CF0FE5" w:rsidRDefault="00E77AAB" w:rsidP="00E77AAB">
      <w:pPr>
        <w:pStyle w:val="Style3"/>
        <w:pBdr>
          <w:bottom w:val="single" w:sz="4" w:space="5" w:color="auto"/>
        </w:pBdr>
        <w:rPr>
          <w:b/>
        </w:rPr>
      </w:pPr>
      <w:r w:rsidRPr="00CF0FE5">
        <w:rPr>
          <w:b/>
        </w:rPr>
        <w:t>Key points</w:t>
      </w:r>
    </w:p>
    <w:p w14:paraId="42DDF563" w14:textId="77777777" w:rsidR="00E77AAB" w:rsidRDefault="00E77AAB" w:rsidP="00E77AAB">
      <w:pPr>
        <w:pStyle w:val="Style3"/>
        <w:numPr>
          <w:ilvl w:val="0"/>
          <w:numId w:val="21"/>
        </w:numPr>
        <w:pBdr>
          <w:bottom w:val="single" w:sz="4" w:space="5" w:color="auto"/>
        </w:pBdr>
        <w:ind w:left="357" w:hanging="357"/>
        <w:jc w:val="both"/>
      </w:pPr>
      <w:r w:rsidRPr="005B5A70">
        <w:t xml:space="preserve">Australia’s anti-dumping system provides a potential remedy to all industries </w:t>
      </w:r>
      <w:r>
        <w:t>that</w:t>
      </w:r>
      <w:r w:rsidRPr="005B5A70">
        <w:t xml:space="preserve"> are suffering material injury caused by dumping or subsidisation. </w:t>
      </w:r>
      <w:r>
        <w:t xml:space="preserve">To date, </w:t>
      </w:r>
      <w:r w:rsidRPr="007A1CD1">
        <w:t xml:space="preserve">most applicants </w:t>
      </w:r>
      <w:r>
        <w:t xml:space="preserve">for anti-dumping measures on steel products </w:t>
      </w:r>
      <w:r w:rsidRPr="007A1CD1">
        <w:t xml:space="preserve">have been from </w:t>
      </w:r>
      <w:r>
        <w:t xml:space="preserve">Australian </w:t>
      </w:r>
      <w:r w:rsidRPr="007A1CD1">
        <w:t xml:space="preserve">industries producing primary steel products, with relatively few applications in respect of steel </w:t>
      </w:r>
      <w:r>
        <w:t xml:space="preserve">fabricated </w:t>
      </w:r>
      <w:r w:rsidRPr="007A1CD1">
        <w:t>products.</w:t>
      </w:r>
      <w:r>
        <w:t xml:space="preserve"> </w:t>
      </w:r>
    </w:p>
    <w:p w14:paraId="581BA437" w14:textId="77777777" w:rsidR="00E77AAB" w:rsidRDefault="00E77AAB" w:rsidP="00E77AAB">
      <w:pPr>
        <w:pStyle w:val="Style3"/>
        <w:numPr>
          <w:ilvl w:val="0"/>
          <w:numId w:val="21"/>
        </w:numPr>
        <w:pBdr>
          <w:bottom w:val="single" w:sz="4" w:space="5" w:color="auto"/>
        </w:pBdr>
        <w:ind w:left="357" w:hanging="357"/>
        <w:jc w:val="both"/>
      </w:pPr>
      <w:r w:rsidRPr="00C25789">
        <w:t xml:space="preserve">Australian steel fabricators have identified </w:t>
      </w:r>
      <w:r>
        <w:t xml:space="preserve">barriers to accessing the system, including its complexity, high </w:t>
      </w:r>
      <w:r w:rsidRPr="00C25789">
        <w:t>costs (such as legal expenses</w:t>
      </w:r>
      <w:r>
        <w:t xml:space="preserve"> and consultant fees</w:t>
      </w:r>
      <w:r w:rsidRPr="00C25789">
        <w:t xml:space="preserve">), difficulties in meeting the requirement for standing due to the fragmented nature of some segments of the industry, and difficulties in obtaining the required evidence. These difficulties </w:t>
      </w:r>
      <w:r>
        <w:t>may be</w:t>
      </w:r>
      <w:r w:rsidRPr="00C25789">
        <w:t xml:space="preserve"> compounded by the large number of SMEs in the industry, which generally face greater challenges in interacting with the anti-dumping system than larger businesses.</w:t>
      </w:r>
    </w:p>
    <w:p w14:paraId="3777B63C" w14:textId="77777777" w:rsidR="00E77AAB" w:rsidRDefault="00E77AAB" w:rsidP="00E77AAB">
      <w:pPr>
        <w:pStyle w:val="Style3"/>
        <w:numPr>
          <w:ilvl w:val="0"/>
          <w:numId w:val="21"/>
        </w:numPr>
        <w:pBdr>
          <w:bottom w:val="single" w:sz="4" w:space="5" w:color="auto"/>
        </w:pBdr>
        <w:ind w:left="357" w:hanging="357"/>
        <w:jc w:val="both"/>
      </w:pPr>
      <w:r>
        <w:t xml:space="preserve">Following the 2012 Brumby Review, the Government and the Commission have implemented a number of actions to facilitate SME access to the anti-dumping system, including several recent improvements. </w:t>
      </w:r>
    </w:p>
    <w:p w14:paraId="0696F6FD" w14:textId="77777777" w:rsidR="00E77AAB" w:rsidRDefault="00E77AAB" w:rsidP="00E77AAB">
      <w:pPr>
        <w:pStyle w:val="Style3"/>
        <w:numPr>
          <w:ilvl w:val="0"/>
          <w:numId w:val="21"/>
        </w:numPr>
        <w:pBdr>
          <w:bottom w:val="single" w:sz="4" w:space="5" w:color="auto"/>
        </w:pBdr>
        <w:ind w:left="357" w:hanging="357"/>
        <w:jc w:val="both"/>
      </w:pPr>
      <w:r>
        <w:t xml:space="preserve">Stakeholders, including a sub-committee of the International Trade Remedies Forum (ITRF), have identified further potential options for policy and operational improvements in </w:t>
      </w:r>
      <w:r w:rsidRPr="00C25789">
        <w:t>three main categories: further improving knowledge and awareness of the system</w:t>
      </w:r>
      <w:r>
        <w:t>;</w:t>
      </w:r>
      <w:r w:rsidRPr="00C25789">
        <w:t xml:space="preserve"> simplifying the system </w:t>
      </w:r>
      <w:r>
        <w:t>and</w:t>
      </w:r>
      <w:r w:rsidRPr="00C25789">
        <w:t xml:space="preserve"> facilitating access to data</w:t>
      </w:r>
      <w:r>
        <w:t>;</w:t>
      </w:r>
      <w:r w:rsidRPr="00C25789">
        <w:t xml:space="preserve"> </w:t>
      </w:r>
      <w:r>
        <w:t xml:space="preserve">and </w:t>
      </w:r>
      <w:r w:rsidRPr="00C25789">
        <w:t>addressing impacts on downstream industries.</w:t>
      </w:r>
    </w:p>
    <w:p w14:paraId="688DFD8F" w14:textId="77777777" w:rsidR="00E77AAB" w:rsidRDefault="00E77AAB" w:rsidP="00E77AAB">
      <w:pPr>
        <w:pStyle w:val="Style3"/>
        <w:numPr>
          <w:ilvl w:val="0"/>
          <w:numId w:val="21"/>
        </w:numPr>
        <w:pBdr>
          <w:bottom w:val="single" w:sz="4" w:space="5" w:color="auto"/>
        </w:pBdr>
        <w:ind w:left="357" w:hanging="357"/>
        <w:jc w:val="both"/>
      </w:pPr>
      <w:r w:rsidRPr="00C25789">
        <w:t xml:space="preserve">As part of its </w:t>
      </w:r>
      <w:r>
        <w:t xml:space="preserve">commitment to </w:t>
      </w:r>
      <w:r w:rsidRPr="00C25789">
        <w:t>continuous improvement, the Commission will continue to look for ways to</w:t>
      </w:r>
      <w:r>
        <w:t>:</w:t>
      </w:r>
      <w:r w:rsidRPr="00C25789">
        <w:t xml:space="preserve"> improve its operational policies and practices to increase transparency</w:t>
      </w:r>
      <w:r>
        <w:t>;</w:t>
      </w:r>
      <w:r w:rsidRPr="00C25789">
        <w:t xml:space="preserve"> </w:t>
      </w:r>
      <w:r>
        <w:t xml:space="preserve">simplify and streamline its documentation, processes and procedures; and </w:t>
      </w:r>
      <w:r w:rsidRPr="00C25789">
        <w:t>adopt best practice analy</w:t>
      </w:r>
      <w:r>
        <w:t>tical</w:t>
      </w:r>
      <w:r w:rsidRPr="00C25789">
        <w:t xml:space="preserve"> techniques</w:t>
      </w:r>
      <w:r>
        <w:t>.</w:t>
      </w:r>
      <w:r w:rsidRPr="00C25789">
        <w:t xml:space="preserve"> </w:t>
      </w:r>
    </w:p>
    <w:p w14:paraId="2A4532E3" w14:textId="77777777" w:rsidR="00E77AAB" w:rsidRDefault="00E77AAB" w:rsidP="00E77AAB">
      <w:pPr>
        <w:pStyle w:val="Style3"/>
        <w:numPr>
          <w:ilvl w:val="0"/>
          <w:numId w:val="21"/>
        </w:numPr>
        <w:pBdr>
          <w:bottom w:val="single" w:sz="4" w:space="5" w:color="auto"/>
        </w:pBdr>
        <w:ind w:left="357" w:hanging="357"/>
        <w:jc w:val="both"/>
      </w:pPr>
      <w:r>
        <w:t xml:space="preserve">Following the </w:t>
      </w:r>
      <w:r w:rsidRPr="00A3662F">
        <w:t>May 2017</w:t>
      </w:r>
      <w:r>
        <w:t xml:space="preserve"> ITRF meeting, </w:t>
      </w:r>
      <w:r w:rsidRPr="00C25789">
        <w:t>the Commissioner established a sub-committee of the ITRF to examine issues in relation to access to trade data</w:t>
      </w:r>
      <w:r>
        <w:t>.</w:t>
      </w:r>
    </w:p>
    <w:p w14:paraId="3BBE036F" w14:textId="77777777" w:rsidR="00E77AAB" w:rsidRDefault="00E77AAB" w:rsidP="00E77AAB">
      <w:pPr>
        <w:pStyle w:val="Style3"/>
        <w:numPr>
          <w:ilvl w:val="0"/>
          <w:numId w:val="21"/>
        </w:numPr>
        <w:pBdr>
          <w:bottom w:val="single" w:sz="4" w:space="5" w:color="auto"/>
        </w:pBdr>
        <w:ind w:left="357" w:hanging="357"/>
        <w:jc w:val="both"/>
      </w:pPr>
      <w:r w:rsidRPr="00711A2D">
        <w:t>The Government has tasked the Department of Industry, Innovation and Science with undertaking a review of SME access to obtain a comprehensive understanding of the problems and potential solutions.</w:t>
      </w:r>
    </w:p>
    <w:p w14:paraId="0396926B" w14:textId="77777777" w:rsidR="00E77AAB" w:rsidRDefault="00E77AAB" w:rsidP="00E77AAB">
      <w:pPr>
        <w:spacing w:before="120" w:after="120"/>
      </w:pPr>
    </w:p>
    <w:p w14:paraId="427BC539" w14:textId="77777777" w:rsidR="00E77AAB" w:rsidRDefault="00E77AAB" w:rsidP="00E77AAB">
      <w:pPr>
        <w:spacing w:before="120" w:after="120"/>
        <w:jc w:val="both"/>
      </w:pPr>
      <w:r>
        <w:t>This chapter summarises the Commission’s main conclusions from its analysis of the Australian steel fabrication industry and the implications of global developments in primary steel and steel fabricated product markets for Australian markets for steel fabricated products.</w:t>
      </w:r>
    </w:p>
    <w:p w14:paraId="2149F7F2" w14:textId="77777777" w:rsidR="00E77AAB" w:rsidRDefault="00E77AAB" w:rsidP="00E77AAB">
      <w:pPr>
        <w:spacing w:before="120" w:after="120"/>
        <w:jc w:val="both"/>
      </w:pPr>
      <w:r>
        <w:t>The chapter outlines information and views obtained from SMEs and industry groups on potential reasons for low SME participation in the anti-dumping system. The Commission identifies some options for improving access by SMEs—</w:t>
      </w:r>
      <w:r w:rsidRPr="00EE1E27">
        <w:t>as</w:t>
      </w:r>
      <w:r>
        <w:t xml:space="preserve"> </w:t>
      </w:r>
      <w:r w:rsidRPr="00EE1E27">
        <w:t>applicants for measures, as industry participants wishing to make submissions to investigations, and as importers seeking duty assessments and/or reviews of measures</w:t>
      </w:r>
      <w:r>
        <w:t>.</w:t>
      </w:r>
    </w:p>
    <w:p w14:paraId="2DB9C965" w14:textId="77777777" w:rsidR="00E77AAB" w:rsidRDefault="00E77AAB" w:rsidP="00E77AAB">
      <w:pPr>
        <w:pStyle w:val="Heading2"/>
      </w:pPr>
      <w:r>
        <w:t>Conclusions from the Commission’s analysis of steel fabrication markets</w:t>
      </w:r>
    </w:p>
    <w:p w14:paraId="4B6FF04C" w14:textId="77777777" w:rsidR="00E77AAB" w:rsidRDefault="00E77AAB" w:rsidP="00E77AAB">
      <w:pPr>
        <w:spacing w:before="120" w:after="120"/>
        <w:jc w:val="both"/>
      </w:pPr>
      <w:r w:rsidRPr="007A1CD1">
        <w:t xml:space="preserve">Australia’s steel </w:t>
      </w:r>
      <w:r>
        <w:t xml:space="preserve">fabrication </w:t>
      </w:r>
      <w:r w:rsidRPr="007A1CD1">
        <w:t xml:space="preserve">industry is highly diverse, with a large number of businesses producing a wide </w:t>
      </w:r>
      <w:r>
        <w:t>variety</w:t>
      </w:r>
      <w:r w:rsidRPr="007A1CD1">
        <w:t xml:space="preserve"> of steel </w:t>
      </w:r>
      <w:r>
        <w:t xml:space="preserve">fabricated </w:t>
      </w:r>
      <w:r w:rsidRPr="007A1CD1">
        <w:t>products</w:t>
      </w:r>
      <w:r>
        <w:t xml:space="preserve"> that are used in a range of economically significant downstream industries.</w:t>
      </w:r>
      <w:r w:rsidRPr="007A1CD1">
        <w:t xml:space="preserve"> Many steel </w:t>
      </w:r>
      <w:r>
        <w:t xml:space="preserve">fabrication </w:t>
      </w:r>
      <w:r w:rsidRPr="007A1CD1">
        <w:t xml:space="preserve">businesses are </w:t>
      </w:r>
      <w:r>
        <w:t>SMEs—over 90 per cent of market participants are small enterprises with fewer than 20 employees (as discussed in chapter 2).</w:t>
      </w:r>
    </w:p>
    <w:p w14:paraId="21A91565" w14:textId="20626DD3" w:rsidR="00E77AAB" w:rsidRDefault="00E77AAB">
      <w:pPr>
        <w:spacing w:after="160" w:line="259" w:lineRule="auto"/>
      </w:pPr>
      <w:r>
        <w:br w:type="page"/>
      </w:r>
    </w:p>
    <w:p w14:paraId="7C3D65B1" w14:textId="77777777" w:rsidR="00E77AAB" w:rsidRDefault="00E77AAB" w:rsidP="00E77AAB">
      <w:pPr>
        <w:spacing w:before="120" w:after="120"/>
        <w:jc w:val="both"/>
      </w:pPr>
      <w:r>
        <w:t xml:space="preserve">The performance of the industry is driven by a mixture of factors, from both the demand side and the supply side. Reflecting the diversity of products and end uses, performance has varied across sectors of the industry. </w:t>
      </w:r>
    </w:p>
    <w:p w14:paraId="5A732106" w14:textId="77777777" w:rsidR="00E77AAB" w:rsidRPr="00BC0019" w:rsidRDefault="00E77AAB" w:rsidP="00E77AAB">
      <w:pPr>
        <w:spacing w:before="120"/>
        <w:jc w:val="both"/>
      </w:pPr>
      <w:r>
        <w:t>On the demand side,</w:t>
      </w:r>
      <w:r w:rsidRPr="007A1CD1">
        <w:t xml:space="preserve"> </w:t>
      </w:r>
      <w:r>
        <w:t>t</w:t>
      </w:r>
      <w:r w:rsidRPr="00BC0019">
        <w:t xml:space="preserve">hree industries—the construction, manufacturing and mining industries—are the main consumers of steel </w:t>
      </w:r>
      <w:r>
        <w:t xml:space="preserve">fabricated </w:t>
      </w:r>
      <w:r w:rsidRPr="00BC0019">
        <w:t xml:space="preserve">products, comprising almost 90 per cent of demand for these products. </w:t>
      </w:r>
      <w:r>
        <w:t xml:space="preserve">Trends in the economic performance of these industries affect the performance of steel fabricating businesses. However, the impact on specific </w:t>
      </w:r>
      <w:r w:rsidRPr="006B210F">
        <w:t xml:space="preserve">sectors </w:t>
      </w:r>
      <w:r>
        <w:t xml:space="preserve">and businesses, particularly those </w:t>
      </w:r>
      <w:r w:rsidRPr="006B210F">
        <w:t>produc</w:t>
      </w:r>
      <w:r>
        <w:t>ing</w:t>
      </w:r>
      <w:r w:rsidRPr="006B210F">
        <w:t xml:space="preserve"> specialised products</w:t>
      </w:r>
      <w:r>
        <w:t>,</w:t>
      </w:r>
      <w:r w:rsidRPr="006B210F">
        <w:t xml:space="preserve"> </w:t>
      </w:r>
      <w:r>
        <w:t xml:space="preserve">may differ due to </w:t>
      </w:r>
      <w:r w:rsidRPr="006B210F">
        <w:t xml:space="preserve">more specific </w:t>
      </w:r>
      <w:r>
        <w:t>factors influencing demand trends within the certain parts of the broader market in which they operate.</w:t>
      </w:r>
    </w:p>
    <w:p w14:paraId="0DC6C869" w14:textId="77777777" w:rsidR="00E77AAB" w:rsidRPr="00BC0019" w:rsidRDefault="00E77AAB" w:rsidP="00E77AAB">
      <w:pPr>
        <w:spacing w:before="120" w:after="120"/>
        <w:jc w:val="both"/>
      </w:pPr>
      <w:r>
        <w:t>At a general level, s</w:t>
      </w:r>
      <w:r w:rsidRPr="00BC0019">
        <w:t xml:space="preserve">trong growth in building construction, particularly residential construction, has led to strong demand for steel </w:t>
      </w:r>
      <w:r>
        <w:t xml:space="preserve">fabricated </w:t>
      </w:r>
      <w:r w:rsidRPr="00BC0019">
        <w:t xml:space="preserve">products used in </w:t>
      </w:r>
      <w:r w:rsidRPr="00EA3114">
        <w:t xml:space="preserve">building </w:t>
      </w:r>
      <w:r w:rsidRPr="00BC0019">
        <w:t xml:space="preserve">construction and </w:t>
      </w:r>
      <w:r>
        <w:t>supported the performance of steel fabricators supplying these products</w:t>
      </w:r>
      <w:r w:rsidRPr="00BC0019">
        <w:t xml:space="preserve">. In contrast, demand for steel </w:t>
      </w:r>
      <w:r>
        <w:t xml:space="preserve">fabricated </w:t>
      </w:r>
      <w:r w:rsidRPr="00BC0019">
        <w:t>products used in engineering construction (typically for infrastructure) has fallen since the investment phase of the mining boom</w:t>
      </w:r>
      <w:r>
        <w:t xml:space="preserve"> ended in 2012</w:t>
      </w:r>
      <w:r w:rsidRPr="00BC0019">
        <w:t xml:space="preserve">, </w:t>
      </w:r>
      <w:r>
        <w:t xml:space="preserve">and this has had an adverse effect on </w:t>
      </w:r>
      <w:r w:rsidRPr="00EA3114">
        <w:t>the performance of steel fabricators supplying products</w:t>
      </w:r>
      <w:r>
        <w:t xml:space="preserve"> used in </w:t>
      </w:r>
      <w:r w:rsidRPr="00BC0019">
        <w:t>engineering construction.</w:t>
      </w:r>
    </w:p>
    <w:p w14:paraId="1E0326D5" w14:textId="77777777" w:rsidR="00E77AAB" w:rsidRPr="00BC0019" w:rsidRDefault="00E77AAB" w:rsidP="00E77AAB">
      <w:pPr>
        <w:spacing w:before="120" w:after="120"/>
        <w:jc w:val="both"/>
      </w:pPr>
      <w:r>
        <w:t>Steel fabricators supplying t</w:t>
      </w:r>
      <w:r w:rsidRPr="00BC0019">
        <w:t xml:space="preserve">he manufacturing industry </w:t>
      </w:r>
      <w:r>
        <w:t>have experienced a</w:t>
      </w:r>
      <w:r w:rsidRPr="00BC0019">
        <w:t xml:space="preserve"> long term decline</w:t>
      </w:r>
      <w:r>
        <w:t xml:space="preserve"> in demand overall</w:t>
      </w:r>
      <w:r w:rsidRPr="00BC0019">
        <w:t xml:space="preserve">, </w:t>
      </w:r>
      <w:r>
        <w:t xml:space="preserve">while demand from the </w:t>
      </w:r>
      <w:r w:rsidRPr="00BC0019">
        <w:t xml:space="preserve">mining industry increased significantly during the investment phase of the mining boom and has fallen significantly since this phase </w:t>
      </w:r>
      <w:r>
        <w:t>ended (chapter 3)</w:t>
      </w:r>
      <w:r w:rsidRPr="00BC0019">
        <w:t xml:space="preserve">. </w:t>
      </w:r>
    </w:p>
    <w:p w14:paraId="79F5862D" w14:textId="77777777" w:rsidR="00E77AAB" w:rsidRDefault="00E77AAB" w:rsidP="00E77AAB">
      <w:pPr>
        <w:spacing w:before="120" w:after="120"/>
        <w:jc w:val="both"/>
      </w:pPr>
      <w:r>
        <w:t>On the supply side, t</w:t>
      </w:r>
      <w:r w:rsidRPr="007A1CD1">
        <w:t xml:space="preserve">he Commission’s August 2016 report on steel and aluminium markets showed that ongoing excess capacity in the production of primary steel products—underpinned by government interventions and market distortions—was one of the most significant challenges currently facing the global steel industry. </w:t>
      </w:r>
    </w:p>
    <w:p w14:paraId="5B297384" w14:textId="77777777" w:rsidR="00E77AAB" w:rsidRPr="00580F0B" w:rsidRDefault="00E77AAB" w:rsidP="00E77AAB">
      <w:pPr>
        <w:spacing w:before="120" w:after="120"/>
        <w:jc w:val="both"/>
      </w:pPr>
      <w:r w:rsidRPr="00580F0B">
        <w:t>Despite signs of a modest recovery in the global steel market</w:t>
      </w:r>
      <w:r>
        <w:t xml:space="preserve"> over the past year</w:t>
      </w:r>
      <w:r w:rsidRPr="00580F0B">
        <w:t xml:space="preserve">, excess capacity and </w:t>
      </w:r>
      <w:r>
        <w:t>the demand/</w:t>
      </w:r>
      <w:r w:rsidRPr="00E47475">
        <w:t xml:space="preserve">production </w:t>
      </w:r>
      <w:r>
        <w:t xml:space="preserve">imbalance for </w:t>
      </w:r>
      <w:r w:rsidRPr="00580F0B">
        <w:t>primary steel products continues</w:t>
      </w:r>
      <w:r>
        <w:t xml:space="preserve"> (particularly in Asia)</w:t>
      </w:r>
      <w:r w:rsidRPr="00580F0B">
        <w:t xml:space="preserve">. With governments </w:t>
      </w:r>
      <w:r>
        <w:t xml:space="preserve">potentially </w:t>
      </w:r>
      <w:r w:rsidRPr="00580F0B">
        <w:t xml:space="preserve">continuing to prioritise economic growth and stability over </w:t>
      </w:r>
      <w:r>
        <w:t xml:space="preserve">strong </w:t>
      </w:r>
      <w:r w:rsidRPr="00580F0B">
        <w:t xml:space="preserve">policy actions to address excess steel production capacity, and investments in new steelmaking capacity continuing to occur, the prospects for resolving the demand/supply imbalance in the near term </w:t>
      </w:r>
      <w:r>
        <w:t>appear</w:t>
      </w:r>
      <w:r w:rsidRPr="00580F0B">
        <w:t xml:space="preserve"> </w:t>
      </w:r>
      <w:r>
        <w:t>limited</w:t>
      </w:r>
      <w:r w:rsidRPr="00580F0B">
        <w:t xml:space="preserve">. </w:t>
      </w:r>
    </w:p>
    <w:p w14:paraId="604182DE" w14:textId="77777777" w:rsidR="00E77AAB" w:rsidRPr="00580F0B" w:rsidRDefault="00E77AAB" w:rsidP="00E77AAB">
      <w:pPr>
        <w:spacing w:before="120" w:after="120"/>
        <w:jc w:val="both"/>
      </w:pPr>
      <w:r w:rsidRPr="00580F0B">
        <w:t>Economically inefficient government interventions and trading restrictions are widely recognised</w:t>
      </w:r>
      <w:r>
        <w:t>, including by the OECD and G20 nations,</w:t>
      </w:r>
      <w:r w:rsidRPr="00580F0B">
        <w:t xml:space="preserve"> as </w:t>
      </w:r>
      <w:r>
        <w:t>important reasons for</w:t>
      </w:r>
      <w:r w:rsidRPr="00580F0B">
        <w:t xml:space="preserve"> </w:t>
      </w:r>
      <w:r>
        <w:t>limited success in</w:t>
      </w:r>
      <w:r w:rsidRPr="00580F0B">
        <w:t xml:space="preserve"> address</w:t>
      </w:r>
      <w:r>
        <w:t>ing</w:t>
      </w:r>
      <w:r w:rsidRPr="00580F0B">
        <w:t xml:space="preserve"> </w:t>
      </w:r>
      <w:r>
        <w:t xml:space="preserve">excess </w:t>
      </w:r>
      <w:r w:rsidRPr="00580F0B">
        <w:t xml:space="preserve">capacity and </w:t>
      </w:r>
      <w:r>
        <w:t>the demand/</w:t>
      </w:r>
      <w:r w:rsidRPr="00E47475">
        <w:t xml:space="preserve">production </w:t>
      </w:r>
      <w:r>
        <w:t xml:space="preserve">imbalance for </w:t>
      </w:r>
      <w:r w:rsidRPr="00580F0B">
        <w:t>primary steel products.</w:t>
      </w:r>
    </w:p>
    <w:p w14:paraId="4C465869" w14:textId="77777777" w:rsidR="00E77AAB" w:rsidRPr="00580F0B" w:rsidRDefault="00E77AAB" w:rsidP="00E77AAB">
      <w:pPr>
        <w:spacing w:before="120" w:after="120"/>
        <w:jc w:val="both"/>
      </w:pPr>
      <w:r w:rsidRPr="00580F0B">
        <w:t xml:space="preserve">Continuing </w:t>
      </w:r>
      <w:r>
        <w:t xml:space="preserve">excess </w:t>
      </w:r>
      <w:r w:rsidRPr="00580F0B">
        <w:t xml:space="preserve">capacity and </w:t>
      </w:r>
      <w:r>
        <w:t>a sustained demand/</w:t>
      </w:r>
      <w:r w:rsidRPr="00E47475">
        <w:t xml:space="preserve">production </w:t>
      </w:r>
      <w:r>
        <w:t xml:space="preserve">imbalance </w:t>
      </w:r>
      <w:r w:rsidRPr="00580F0B">
        <w:t>in global primary steel markets</w:t>
      </w:r>
      <w:r>
        <w:t xml:space="preserve"> could </w:t>
      </w:r>
      <w:r w:rsidRPr="00580F0B">
        <w:t xml:space="preserve">influence steel </w:t>
      </w:r>
      <w:r>
        <w:t xml:space="preserve">fabrication </w:t>
      </w:r>
      <w:r w:rsidRPr="00580F0B">
        <w:t>industries</w:t>
      </w:r>
      <w:r>
        <w:t xml:space="preserve"> through two main mechanisms</w:t>
      </w:r>
      <w:r w:rsidRPr="00580F0B">
        <w:t xml:space="preserve">. </w:t>
      </w:r>
      <w:r>
        <w:t>First, the demand/</w:t>
      </w:r>
      <w:r w:rsidRPr="00E47475">
        <w:t xml:space="preserve">production </w:t>
      </w:r>
      <w:r>
        <w:t xml:space="preserve">imbalance in </w:t>
      </w:r>
      <w:r w:rsidRPr="00580F0B">
        <w:t xml:space="preserve">primary steel </w:t>
      </w:r>
      <w:r>
        <w:t>markets could</w:t>
      </w:r>
      <w:r w:rsidRPr="00580F0B">
        <w:t xml:space="preserve"> flow through into the steel </w:t>
      </w:r>
      <w:r>
        <w:t xml:space="preserve">fabrication </w:t>
      </w:r>
      <w:r w:rsidRPr="00580F0B">
        <w:t xml:space="preserve">market and lead to </w:t>
      </w:r>
      <w:r>
        <w:t>similar imbalance</w:t>
      </w:r>
      <w:r w:rsidRPr="00580F0B">
        <w:t xml:space="preserve"> in the steel </w:t>
      </w:r>
      <w:r>
        <w:t xml:space="preserve">fabrication </w:t>
      </w:r>
      <w:r w:rsidRPr="00580F0B">
        <w:t xml:space="preserve">industry. </w:t>
      </w:r>
      <w:r>
        <w:t>Second, the demand/</w:t>
      </w:r>
      <w:r w:rsidRPr="00E47475">
        <w:t xml:space="preserve">production </w:t>
      </w:r>
      <w:r>
        <w:t>imbalance for primary steel products</w:t>
      </w:r>
      <w:r w:rsidRPr="00580F0B">
        <w:t xml:space="preserve"> </w:t>
      </w:r>
      <w:r>
        <w:t>could</w:t>
      </w:r>
      <w:r w:rsidRPr="00580F0B">
        <w:t xml:space="preserve"> </w:t>
      </w:r>
      <w:r>
        <w:t>lead to</w:t>
      </w:r>
      <w:r w:rsidRPr="00580F0B">
        <w:t xml:space="preserve"> distortions in markets for steel </w:t>
      </w:r>
      <w:r>
        <w:t xml:space="preserve">fabricated </w:t>
      </w:r>
      <w:r w:rsidRPr="00580F0B">
        <w:t>products as a result of responses by some exporters to trade remedies on primary steel products that are being dumped or subsidised.</w:t>
      </w:r>
    </w:p>
    <w:p w14:paraId="41BAA536" w14:textId="77777777" w:rsidR="00E77AAB" w:rsidRPr="00856274" w:rsidRDefault="00E77AAB" w:rsidP="00E77AAB">
      <w:pPr>
        <w:spacing w:before="120" w:after="120"/>
        <w:jc w:val="both"/>
      </w:pPr>
      <w:r w:rsidRPr="00856274">
        <w:t xml:space="preserve">While Australia’s imports of selected steel </w:t>
      </w:r>
      <w:r>
        <w:t xml:space="preserve">fabricated </w:t>
      </w:r>
      <w:r w:rsidRPr="00856274">
        <w:t>products decreased in 2016, they remain historically high compared to a decade earlier. More than 50 per cent of imports came from China and Thailand</w:t>
      </w:r>
      <w:r>
        <w:t xml:space="preserve"> (chapter 4)</w:t>
      </w:r>
      <w:r w:rsidRPr="00856274">
        <w:t>.</w:t>
      </w:r>
    </w:p>
    <w:p w14:paraId="3060E621" w14:textId="77777777" w:rsidR="00E77AAB" w:rsidRDefault="00E77AAB" w:rsidP="00E77AAB">
      <w:pPr>
        <w:spacing w:before="120" w:after="120"/>
        <w:jc w:val="both"/>
      </w:pPr>
      <w:r w:rsidRPr="007A1CD1">
        <w:t xml:space="preserve">Since the </w:t>
      </w:r>
      <w:r>
        <w:t>GFC</w:t>
      </w:r>
      <w:r w:rsidRPr="007A1CD1">
        <w:t xml:space="preserve">, total trade remedy investigations and measures in force for steel products have been rising globally. </w:t>
      </w:r>
      <w:r>
        <w:t>The majority</w:t>
      </w:r>
      <w:r w:rsidRPr="007A1CD1">
        <w:t xml:space="preserve"> of these investigations and measures have been in respect of primary steel products. Consistent with global trends, trade-exposed Australian steel producers have increasingly sought trade remedies under Australia’s anti-dumping system</w:t>
      </w:r>
      <w:r>
        <w:t xml:space="preserve"> (chapter 6)</w:t>
      </w:r>
      <w:r w:rsidRPr="007A1CD1">
        <w:t xml:space="preserve">. </w:t>
      </w:r>
    </w:p>
    <w:p w14:paraId="170E4711" w14:textId="56ADA1AF" w:rsidR="00E77AAB" w:rsidRPr="0013180F" w:rsidRDefault="00E77AAB" w:rsidP="00E77AAB">
      <w:pPr>
        <w:spacing w:before="120" w:after="120"/>
        <w:jc w:val="both"/>
      </w:pPr>
      <w:r>
        <w:t>To test the theory that the demand/</w:t>
      </w:r>
      <w:r w:rsidRPr="00E47475">
        <w:t xml:space="preserve">production </w:t>
      </w:r>
      <w:r>
        <w:t>imbalance for primary steel</w:t>
      </w:r>
      <w:r w:rsidDel="001E289E">
        <w:t xml:space="preserve"> </w:t>
      </w:r>
      <w:r>
        <w:t>products could</w:t>
      </w:r>
      <w:r w:rsidRPr="00580F0B">
        <w:t xml:space="preserve"> create distortions in markets for steel </w:t>
      </w:r>
      <w:r>
        <w:t xml:space="preserve">fabricated </w:t>
      </w:r>
      <w:r w:rsidRPr="00580F0B">
        <w:t>products as a result of responses by some exporters to trade remedies on primary steel products that are being dumped or subsidised</w:t>
      </w:r>
      <w:r>
        <w:t>, the Commission examined</w:t>
      </w:r>
      <w:r w:rsidRPr="00E77AAB">
        <w:t xml:space="preserve"> </w:t>
      </w:r>
      <w:r>
        <w:t xml:space="preserve">trade flow data. </w:t>
      </w:r>
      <w:r w:rsidRPr="00EA3114">
        <w:t xml:space="preserve">Due to data limitations, and the difficulty of separating out the impacts of other factors influencing imports of </w:t>
      </w:r>
      <w:r>
        <w:t xml:space="preserve">fabricated </w:t>
      </w:r>
      <w:r w:rsidRPr="00EA3114">
        <w:t>products, the results are indicative only.</w:t>
      </w:r>
      <w:r>
        <w:t xml:space="preserve"> </w:t>
      </w:r>
    </w:p>
    <w:p w14:paraId="19C91226" w14:textId="77777777" w:rsidR="00E77AAB" w:rsidRDefault="00E77AAB" w:rsidP="00E77AAB">
      <w:pPr>
        <w:spacing w:before="120" w:after="120"/>
        <w:jc w:val="both"/>
      </w:pPr>
      <w:r w:rsidRPr="0013180F">
        <w:t xml:space="preserve">The Commission found preliminary </w:t>
      </w:r>
      <w:r>
        <w:t>data</w:t>
      </w:r>
      <w:r w:rsidRPr="0013180F">
        <w:t xml:space="preserve">, for a </w:t>
      </w:r>
      <w:r>
        <w:t xml:space="preserve">small </w:t>
      </w:r>
      <w:r w:rsidRPr="0013180F">
        <w:t xml:space="preserve">sample of </w:t>
      </w:r>
      <w:r>
        <w:t xml:space="preserve">steel fabricated </w:t>
      </w:r>
      <w:r w:rsidRPr="0013180F">
        <w:t xml:space="preserve">products, of a noticeable increase in imports of these products following the imposition of measures on the primary steel input to their production. While indicative (due to data limitations), this </w:t>
      </w:r>
      <w:r>
        <w:t>data</w:t>
      </w:r>
      <w:r w:rsidRPr="0013180F">
        <w:t xml:space="preserve"> suggests that trade remedies on primary steel products could, in some circumstances, result in the diversion of those products into downstream markets, where trade remedies are not in place to address dumping and foreign subsidisation</w:t>
      </w:r>
      <w:r>
        <w:t>. However, further evidence and analysis are needed to confirm the findings and establish a causal link with conditions in global primary steel markets (chapter 5).</w:t>
      </w:r>
    </w:p>
    <w:p w14:paraId="51C9ED68" w14:textId="77777777" w:rsidR="00E77AAB" w:rsidRDefault="00E77AAB" w:rsidP="00E77AAB">
      <w:pPr>
        <w:spacing w:before="120" w:after="120"/>
        <w:jc w:val="both"/>
      </w:pPr>
      <w:r>
        <w:t>Where the price of steel fabricated products imported into Australia are reduced by the use of dumped inputs, by foreign government subsidisation, or by dumped prices reflecting oversupply, there could be negative financial and economic impacts on Australian steel fabricators.</w:t>
      </w:r>
    </w:p>
    <w:p w14:paraId="4AA59210" w14:textId="77777777" w:rsidR="00E77AAB" w:rsidRDefault="00E77AAB" w:rsidP="00E77AAB">
      <w:pPr>
        <w:shd w:val="clear" w:color="auto" w:fill="FFFFFF" w:themeFill="background1"/>
        <w:tabs>
          <w:tab w:val="left" w:pos="1567"/>
        </w:tabs>
        <w:spacing w:before="120" w:after="120"/>
        <w:jc w:val="both"/>
      </w:pPr>
      <w:r>
        <w:t>The Commission is able to consider applications by Australian steel fabricators that consider they are being materially injured by dumped and/or subsidised fabricated products imported into Australia. Where there are sufficient grounds to initiate an investigation (as set out in domestic legislation), the Commission will undertake a thorough and comprehensive assessment of the evidence, including seeking and verifying relevant detailed information from the Australian industry, exporters and importers. This will allow the Commission to fully investigate and analyse conditions in the specific product markets relevant to the application and identify the factors influencing the performance of the Australian industry producing the products in question.</w:t>
      </w:r>
    </w:p>
    <w:p w14:paraId="4CE13D23" w14:textId="77777777" w:rsidR="00E77AAB" w:rsidRDefault="00E77AAB" w:rsidP="00E77AAB">
      <w:pPr>
        <w:spacing w:before="120" w:after="120"/>
        <w:jc w:val="both"/>
      </w:pPr>
      <w:r w:rsidRPr="009A06E8">
        <w:t>Government action to address dumping and foreign subsidisation, consistent with WTO rules, is intended to create a level playing field for Australian industries with imports. Where there is evidence of dumping and foreign subsidisation</w:t>
      </w:r>
      <w:r>
        <w:t xml:space="preserve"> causing or threatening to cause material injury to Australian industry</w:t>
      </w:r>
      <w:r w:rsidRPr="009A06E8">
        <w:t xml:space="preserve">, verified through a thorough investigation by the Anti-Dumping Commission, the imposition of anti-dumping and countervailing duties allows Australian industries to compete on their merits with imported products. </w:t>
      </w:r>
    </w:p>
    <w:p w14:paraId="77F352EF" w14:textId="77777777" w:rsidR="00E77AAB" w:rsidRPr="00832CBB" w:rsidRDefault="00E77AAB" w:rsidP="00E77AAB">
      <w:pPr>
        <w:spacing w:before="120" w:after="120"/>
        <w:jc w:val="both"/>
      </w:pPr>
      <w:r>
        <w:t>The Commission notes that in recent consultations with downstream industries affected by anti-dumping measures, there has been general support for a level playing field for both upstream and downstream businesses and for government action to address unfair trading practices (chapter 4)</w:t>
      </w:r>
      <w:r w:rsidRPr="00832CBB">
        <w:t>.</w:t>
      </w:r>
    </w:p>
    <w:p w14:paraId="4CC19841" w14:textId="77777777" w:rsidR="00E77AAB" w:rsidRDefault="00E77AAB" w:rsidP="00E77AAB">
      <w:pPr>
        <w:spacing w:before="120" w:after="120"/>
        <w:jc w:val="both"/>
      </w:pPr>
      <w:r w:rsidRPr="005B5A70">
        <w:t xml:space="preserve">Australia’s anti-dumping system provides a potential remedy to all industries who are suffering material injury caused by dumping or subsidisation. </w:t>
      </w:r>
    </w:p>
    <w:p w14:paraId="39FAD227" w14:textId="77777777" w:rsidR="00E77AAB" w:rsidRDefault="00E77AAB" w:rsidP="00E77AAB">
      <w:pPr>
        <w:spacing w:before="120" w:after="120"/>
        <w:jc w:val="both"/>
      </w:pPr>
      <w:r>
        <w:t xml:space="preserve">Consistent with global experience, </w:t>
      </w:r>
      <w:r w:rsidRPr="007A1CD1">
        <w:t xml:space="preserve">most applicants </w:t>
      </w:r>
      <w:r>
        <w:t xml:space="preserve">for anti-dumping measures on steel products </w:t>
      </w:r>
      <w:r w:rsidRPr="007A1CD1">
        <w:t xml:space="preserve">have been from </w:t>
      </w:r>
      <w:r>
        <w:t xml:space="preserve">Australian </w:t>
      </w:r>
      <w:r w:rsidRPr="007A1CD1">
        <w:t xml:space="preserve">industries producing primary steel products, with relatively few applications in respect of steel </w:t>
      </w:r>
      <w:r>
        <w:t xml:space="preserve">fabricated </w:t>
      </w:r>
      <w:r w:rsidRPr="007A1CD1">
        <w:t>products.</w:t>
      </w:r>
      <w:r>
        <w:t xml:space="preserve"> In Australia, t</w:t>
      </w:r>
      <w:r w:rsidRPr="007A1CD1">
        <w:t xml:space="preserve">here are currently two measures in place on steel </w:t>
      </w:r>
      <w:r>
        <w:t xml:space="preserve">fabricated </w:t>
      </w:r>
      <w:r w:rsidRPr="007A1CD1">
        <w:t>products</w:t>
      </w:r>
      <w:r>
        <w:t xml:space="preserve"> (chapter 6)</w:t>
      </w:r>
      <w:r w:rsidRPr="007A1CD1">
        <w:t xml:space="preserve">. </w:t>
      </w:r>
    </w:p>
    <w:p w14:paraId="665CE228" w14:textId="77777777" w:rsidR="00E77AAB" w:rsidRPr="007A1CD1" w:rsidRDefault="00E77AAB" w:rsidP="00E77AAB">
      <w:pPr>
        <w:pStyle w:val="Heading2"/>
      </w:pPr>
      <w:r>
        <w:t>Potential barriers to accessing the anti-dumping system</w:t>
      </w:r>
    </w:p>
    <w:p w14:paraId="145CF705" w14:textId="77777777" w:rsidR="00E77AAB" w:rsidRDefault="00E77AAB" w:rsidP="00E77AAB">
      <w:pPr>
        <w:spacing w:before="120" w:after="120"/>
        <w:jc w:val="both"/>
      </w:pPr>
      <w:r w:rsidRPr="003D20FF">
        <w:rPr>
          <w:rFonts w:eastAsia="Calibri"/>
        </w:rPr>
        <w:t>Australian steel fabricators have identified the costs of accessing the system (such as legal expenses), difficulties in meeting the requirement for standing due to the fragmented nature of some segments of the industry, and difficulties in obtaining the required evidence as barriers to applying for dumping and countervail</w:t>
      </w:r>
      <w:r>
        <w:rPr>
          <w:rFonts w:eastAsia="Calibri"/>
        </w:rPr>
        <w:t>ing</w:t>
      </w:r>
      <w:r w:rsidRPr="003D20FF">
        <w:rPr>
          <w:rFonts w:eastAsia="Calibri"/>
        </w:rPr>
        <w:t xml:space="preserve"> </w:t>
      </w:r>
      <w:r>
        <w:rPr>
          <w:rFonts w:eastAsia="Calibri"/>
        </w:rPr>
        <w:t>duties</w:t>
      </w:r>
      <w:r w:rsidRPr="003D20FF">
        <w:rPr>
          <w:rFonts w:eastAsia="Calibri"/>
        </w:rPr>
        <w:t>.</w:t>
      </w:r>
      <w:r>
        <w:rPr>
          <w:rFonts w:eastAsia="Calibri"/>
        </w:rPr>
        <w:t xml:space="preserve"> These difficulties may be compounded by the large number of SMEs in the industry, which </w:t>
      </w:r>
      <w:r>
        <w:t xml:space="preserve">generally face greater challenges in interacting with the anti-dumping system than larger businesses. </w:t>
      </w:r>
    </w:p>
    <w:p w14:paraId="650D09F2" w14:textId="0384272E" w:rsidR="00E77AAB" w:rsidRDefault="00E77AAB" w:rsidP="00E77AAB">
      <w:pPr>
        <w:pStyle w:val="Style7"/>
        <w:jc w:val="both"/>
      </w:pPr>
      <w:r>
        <w:t xml:space="preserve">These problems are well-known. </w:t>
      </w:r>
      <w:r w:rsidRPr="001F0C8F">
        <w:t>The Brumby Review of the Anti-Dumping System</w:t>
      </w:r>
      <w:r>
        <w:t xml:space="preserve">, which was published </w:t>
      </w:r>
      <w:r w:rsidRPr="001F0C8F">
        <w:t>in 2012</w:t>
      </w:r>
      <w:r>
        <w:t>,</w:t>
      </w:r>
      <w:r w:rsidRPr="001F0C8F">
        <w:t xml:space="preserve"> recognised the costly and burdensome nature of preparing for and participating in</w:t>
      </w:r>
      <w:r w:rsidRPr="00E77AAB">
        <w:t xml:space="preserve"> </w:t>
      </w:r>
      <w:r w:rsidRPr="001F0C8F">
        <w:t xml:space="preserve">anti-dumping or countervailing investigations, especially for </w:t>
      </w:r>
      <w:r>
        <w:t>SMEs</w:t>
      </w:r>
      <w:r w:rsidRPr="001F0C8F">
        <w:t>.</w:t>
      </w:r>
      <w:r>
        <w:rPr>
          <w:rStyle w:val="FootnoteReference"/>
        </w:rPr>
        <w:footnoteReference w:id="70"/>
      </w:r>
      <w:r w:rsidRPr="001F0C8F">
        <w:t xml:space="preserve"> It acknowledged the significant investment required by stakeholders to present their case and to defend their interests. </w:t>
      </w:r>
    </w:p>
    <w:p w14:paraId="404374BC" w14:textId="77777777" w:rsidR="00E77AAB" w:rsidRDefault="00E77AAB" w:rsidP="00E77AAB">
      <w:pPr>
        <w:pStyle w:val="Style7"/>
        <w:jc w:val="both"/>
      </w:pPr>
      <w:r w:rsidRPr="00DA0EB9">
        <w:t xml:space="preserve">Recognising </w:t>
      </w:r>
      <w:r>
        <w:t>that SMEs</w:t>
      </w:r>
      <w:r w:rsidRPr="00DA0EB9">
        <w:t xml:space="preserve"> may face unique challenges in accessing </w:t>
      </w:r>
      <w:r>
        <w:t xml:space="preserve">the </w:t>
      </w:r>
      <w:r w:rsidRPr="00DA0EB9">
        <w:t>anti-dumping system, the Commissioner of the Anti-Dumping Commission</w:t>
      </w:r>
      <w:r>
        <w:t>,</w:t>
      </w:r>
      <w:r w:rsidRPr="00DA0EB9">
        <w:t xml:space="preserve"> as presiding member of the International Trade Remedies Forum (ITRF)</w:t>
      </w:r>
      <w:r>
        <w:t>,</w:t>
      </w:r>
      <w:r w:rsidRPr="00DA0EB9">
        <w:t xml:space="preserve"> established a subcommittee of the ITRF</w:t>
      </w:r>
      <w:r>
        <w:t xml:space="preserve"> in 2016</w:t>
      </w:r>
      <w:r w:rsidRPr="00DA0EB9">
        <w:t xml:space="preserve"> to consider </w:t>
      </w:r>
      <w:r>
        <w:t xml:space="preserve">and advise on the factors influencing </w:t>
      </w:r>
      <w:r w:rsidRPr="00DA0EB9">
        <w:t xml:space="preserve">SME </w:t>
      </w:r>
      <w:r>
        <w:t>use of and involvement</w:t>
      </w:r>
      <w:r w:rsidRPr="00DA0EB9">
        <w:t xml:space="preserve"> </w:t>
      </w:r>
      <w:r>
        <w:t>with</w:t>
      </w:r>
      <w:r w:rsidRPr="00DA0EB9">
        <w:t xml:space="preserve"> the anti-dumping system. </w:t>
      </w:r>
      <w:r>
        <w:t>The terms of reference for the sub-committee stated that it would:</w:t>
      </w:r>
    </w:p>
    <w:p w14:paraId="76E238BE" w14:textId="77777777" w:rsidR="00E77AAB" w:rsidRDefault="00E77AAB" w:rsidP="00E77AAB">
      <w:pPr>
        <w:pStyle w:val="ListParagraph"/>
        <w:numPr>
          <w:ilvl w:val="0"/>
          <w:numId w:val="21"/>
        </w:numPr>
        <w:spacing w:before="120" w:after="120"/>
        <w:ind w:left="357" w:hanging="357"/>
        <w:contextualSpacing w:val="0"/>
        <w:jc w:val="both"/>
      </w:pPr>
      <w:r>
        <w:t>consider SME participation in the anti-dumping and countervailing system, and identify any specific barriers to SME participation</w:t>
      </w:r>
    </w:p>
    <w:p w14:paraId="5FA7D92B" w14:textId="77777777" w:rsidR="00E77AAB" w:rsidRDefault="00E77AAB" w:rsidP="00E77AAB">
      <w:pPr>
        <w:pStyle w:val="ListParagraph"/>
        <w:numPr>
          <w:ilvl w:val="0"/>
          <w:numId w:val="21"/>
        </w:numPr>
        <w:spacing w:before="120" w:after="120"/>
        <w:ind w:left="357" w:hanging="357"/>
        <w:contextualSpacing w:val="0"/>
        <w:jc w:val="both"/>
      </w:pPr>
      <w:r>
        <w:t xml:space="preserve">consider whether there are any gaps in current SME support services and consider how SME advisory services can be better delivered to support SMEs to access the anti-dumping and countervailing system </w:t>
      </w:r>
    </w:p>
    <w:p w14:paraId="4543221C" w14:textId="77777777" w:rsidR="00E77AAB" w:rsidRDefault="00E77AAB" w:rsidP="00E77AAB">
      <w:pPr>
        <w:pStyle w:val="ListParagraph"/>
        <w:numPr>
          <w:ilvl w:val="0"/>
          <w:numId w:val="21"/>
        </w:numPr>
        <w:spacing w:before="120" w:after="120"/>
        <w:ind w:left="357" w:hanging="357"/>
        <w:contextualSpacing w:val="0"/>
        <w:jc w:val="both"/>
      </w:pPr>
      <w:proofErr w:type="gramStart"/>
      <w:r>
        <w:t>identify</w:t>
      </w:r>
      <w:proofErr w:type="gramEnd"/>
      <w:r>
        <w:t xml:space="preserve"> options for enhancing SME access to the anti-dumping and countervailing system.</w:t>
      </w:r>
    </w:p>
    <w:p w14:paraId="3B805DB2" w14:textId="77777777" w:rsidR="00E77AAB" w:rsidRPr="00DA0EB9" w:rsidRDefault="00E77AAB" w:rsidP="00E77AAB">
      <w:pPr>
        <w:pStyle w:val="Style7"/>
        <w:jc w:val="both"/>
      </w:pPr>
      <w:r>
        <w:t>Membership of the sub-committee comprised representation across the range of stakeholders in the system and included industry groups representing SMEs and steel fabricators. In addition, t</w:t>
      </w:r>
      <w:r w:rsidRPr="00DA0EB9">
        <w:t xml:space="preserve">he sub-committee sought the views of </w:t>
      </w:r>
      <w:r>
        <w:t>individual</w:t>
      </w:r>
      <w:r w:rsidRPr="00DA0EB9">
        <w:t xml:space="preserve"> SMEs</w:t>
      </w:r>
      <w:r>
        <w:t>, including steel fabrication businesses, to gain a fuller understanding of SMEs’ experiences</w:t>
      </w:r>
      <w:r w:rsidRPr="00DA0EB9">
        <w:t xml:space="preserve">. </w:t>
      </w:r>
      <w:r>
        <w:t xml:space="preserve">The Commission provided the sub-committee with case studies of SME steel fabricators gathered for this report to further inform the sub-committee. </w:t>
      </w:r>
      <w:r w:rsidRPr="00DA0EB9">
        <w:t xml:space="preserve">In April </w:t>
      </w:r>
      <w:r>
        <w:t xml:space="preserve">2017, </w:t>
      </w:r>
      <w:r w:rsidRPr="00DA0EB9">
        <w:t xml:space="preserve">the ITRF provided advice to government </w:t>
      </w:r>
      <w:r>
        <w:t xml:space="preserve">describing the barriers to SME access to the system identified by the sub-committee and </w:t>
      </w:r>
      <w:r w:rsidRPr="00DA0EB9">
        <w:t>outlining options for improving SME access.</w:t>
      </w:r>
      <w:r>
        <w:t xml:space="preserve"> Proposed options are discussed in section 7.3.2 below.</w:t>
      </w:r>
    </w:p>
    <w:p w14:paraId="4697411E" w14:textId="77777777" w:rsidR="00E77AAB" w:rsidRPr="00E60A9F" w:rsidRDefault="00E77AAB" w:rsidP="00E77AAB">
      <w:pPr>
        <w:pStyle w:val="Style7"/>
        <w:jc w:val="both"/>
      </w:pPr>
      <w:r>
        <w:t xml:space="preserve">In terms of barriers to SME access to the system, the sub-committee found a range of views, with </w:t>
      </w:r>
      <w:r w:rsidRPr="00E60A9F">
        <w:t>not all SMEs shar</w:t>
      </w:r>
      <w:r>
        <w:t>ing</w:t>
      </w:r>
      <w:r w:rsidRPr="00E60A9F">
        <w:t xml:space="preserve"> the same concerns. The barriers and concerns identified by SMEs varied depending on whether their experience was in </w:t>
      </w:r>
      <w:r>
        <w:t>relation</w:t>
      </w:r>
      <w:r w:rsidRPr="00E60A9F">
        <w:t xml:space="preserve"> to seeking the imposition of measures or </w:t>
      </w:r>
      <w:r>
        <w:t>in being</w:t>
      </w:r>
      <w:r w:rsidRPr="00E60A9F">
        <w:t xml:space="preserve"> impacted by the implementation of measures (such as importers and downstream industries). </w:t>
      </w:r>
      <w:r>
        <w:t xml:space="preserve">This diversity of views is consistent with the Commission’s findings in this analysis that the steel fabrication industry is highly diverse and the performance of specific sectors and businesses is affected by different combinations of factors. </w:t>
      </w:r>
    </w:p>
    <w:p w14:paraId="33A9F25E" w14:textId="77777777" w:rsidR="00E77AAB" w:rsidRPr="00E60A9F" w:rsidRDefault="00E77AAB" w:rsidP="00E77AAB">
      <w:pPr>
        <w:pStyle w:val="Style7"/>
        <w:jc w:val="both"/>
      </w:pPr>
      <w:r w:rsidRPr="00E60A9F">
        <w:t>Those SMEs with experience of seeking the imposition of measures noted the following concerns:</w:t>
      </w:r>
    </w:p>
    <w:p w14:paraId="19C3CB28" w14:textId="77777777" w:rsidR="00E77AAB" w:rsidRPr="00E60A9F" w:rsidRDefault="00E77AAB" w:rsidP="00E77AAB">
      <w:pPr>
        <w:pStyle w:val="Style7"/>
        <w:numPr>
          <w:ilvl w:val="0"/>
          <w:numId w:val="29"/>
        </w:numPr>
        <w:jc w:val="both"/>
      </w:pPr>
      <w:r>
        <w:t>d</w:t>
      </w:r>
      <w:r w:rsidRPr="00E60A9F">
        <w:t xml:space="preserve">ifficulties in accessing data, including import data and trade flows, in order to support an application </w:t>
      </w:r>
    </w:p>
    <w:p w14:paraId="07556A31" w14:textId="77777777" w:rsidR="00E77AAB" w:rsidRPr="00E60A9F" w:rsidRDefault="00E77AAB" w:rsidP="00E77AAB">
      <w:pPr>
        <w:pStyle w:val="Style7"/>
        <w:numPr>
          <w:ilvl w:val="0"/>
          <w:numId w:val="29"/>
        </w:numPr>
        <w:jc w:val="both"/>
      </w:pPr>
      <w:r>
        <w:t>c</w:t>
      </w:r>
      <w:r w:rsidRPr="00E60A9F">
        <w:t>osts of accessing the system</w:t>
      </w:r>
      <w:r>
        <w:t>—</w:t>
      </w:r>
      <w:r w:rsidRPr="00E60A9F">
        <w:t>the</w:t>
      </w:r>
      <w:r>
        <w:t xml:space="preserve"> </w:t>
      </w:r>
      <w:r w:rsidRPr="00E60A9F">
        <w:t>complexity and legalistic nature of the anti</w:t>
      </w:r>
      <w:r w:rsidRPr="00E60A9F">
        <w:noBreakHyphen/>
        <w:t>dumping system lead to large resource costs and the need for SMEs to obtain external support</w:t>
      </w:r>
    </w:p>
    <w:p w14:paraId="72D7972A" w14:textId="77777777" w:rsidR="00E77AAB" w:rsidRPr="00E60A9F" w:rsidRDefault="00E77AAB" w:rsidP="00E77AAB">
      <w:pPr>
        <w:pStyle w:val="Style7"/>
        <w:numPr>
          <w:ilvl w:val="0"/>
          <w:numId w:val="29"/>
        </w:numPr>
        <w:jc w:val="both"/>
      </w:pPr>
      <w:r>
        <w:t>r</w:t>
      </w:r>
      <w:r w:rsidRPr="00E60A9F">
        <w:t>isk of damaging relationships with customers from participating in an investigation</w:t>
      </w:r>
    </w:p>
    <w:p w14:paraId="53CF1D65" w14:textId="77777777" w:rsidR="00E77AAB" w:rsidRPr="00E60A9F" w:rsidRDefault="00E77AAB" w:rsidP="00E77AAB">
      <w:pPr>
        <w:pStyle w:val="Style7"/>
        <w:numPr>
          <w:ilvl w:val="0"/>
          <w:numId w:val="29"/>
        </w:numPr>
        <w:jc w:val="both"/>
      </w:pPr>
      <w:proofErr w:type="gramStart"/>
      <w:r>
        <w:t>d</w:t>
      </w:r>
      <w:r w:rsidRPr="00E60A9F">
        <w:t>ifficulties</w:t>
      </w:r>
      <w:proofErr w:type="gramEnd"/>
      <w:r w:rsidRPr="00E60A9F">
        <w:t xml:space="preserve"> in monitoring measures</w:t>
      </w:r>
      <w:r>
        <w:t>—</w:t>
      </w:r>
      <w:r w:rsidRPr="00E60A9F">
        <w:t>following</w:t>
      </w:r>
      <w:r>
        <w:t xml:space="preserve"> </w:t>
      </w:r>
      <w:r w:rsidRPr="00E60A9F">
        <w:t>the imposition of measures, SMEs have to invest resources in the system, for example, associated with appeals process and monitoring for potential circumvention.</w:t>
      </w:r>
    </w:p>
    <w:p w14:paraId="4BA77E56" w14:textId="77777777" w:rsidR="00E77AAB" w:rsidRPr="00E60A9F" w:rsidRDefault="00E77AAB" w:rsidP="00E77AAB">
      <w:pPr>
        <w:pStyle w:val="Style7"/>
        <w:jc w:val="both"/>
      </w:pPr>
      <w:r w:rsidRPr="00E60A9F">
        <w:t xml:space="preserve">Those SMEs who have been impacted by measures (for example, because measures </w:t>
      </w:r>
      <w:r>
        <w:t>have been</w:t>
      </w:r>
      <w:r w:rsidRPr="00E60A9F">
        <w:t xml:space="preserve"> imposed on inputs purchase</w:t>
      </w:r>
      <w:r>
        <w:t>d by them</w:t>
      </w:r>
      <w:r w:rsidRPr="00E60A9F">
        <w:t xml:space="preserve">) </w:t>
      </w:r>
      <w:r>
        <w:t>put</w:t>
      </w:r>
      <w:r w:rsidRPr="00E60A9F">
        <w:t xml:space="preserve"> the following concerns</w:t>
      </w:r>
      <w:r>
        <w:t xml:space="preserve"> to the sub-committee</w:t>
      </w:r>
      <w:r w:rsidRPr="00E60A9F">
        <w:t>:</w:t>
      </w:r>
    </w:p>
    <w:p w14:paraId="73A6907E" w14:textId="77777777" w:rsidR="00E77AAB" w:rsidRPr="00E60A9F" w:rsidRDefault="00E77AAB" w:rsidP="00E77AAB">
      <w:pPr>
        <w:pStyle w:val="Style7"/>
        <w:numPr>
          <w:ilvl w:val="0"/>
          <w:numId w:val="29"/>
        </w:numPr>
        <w:jc w:val="both"/>
      </w:pPr>
      <w:r w:rsidRPr="00E60A9F">
        <w:t>Goods descriptions are too broad and appropriate provisions are not in place to ensure goods that are not produced in Australia do not get captured by measures</w:t>
      </w:r>
      <w:r>
        <w:t>.</w:t>
      </w:r>
      <w:r w:rsidRPr="00E60A9F">
        <w:t xml:space="preserve"> </w:t>
      </w:r>
    </w:p>
    <w:p w14:paraId="58021726" w14:textId="77777777" w:rsidR="00E77AAB" w:rsidRPr="00E60A9F" w:rsidRDefault="00E77AAB" w:rsidP="00E77AAB">
      <w:pPr>
        <w:pStyle w:val="Style7"/>
        <w:numPr>
          <w:ilvl w:val="0"/>
          <w:numId w:val="29"/>
        </w:numPr>
        <w:jc w:val="both"/>
      </w:pPr>
      <w:r w:rsidRPr="00E60A9F">
        <w:t>The system favours large manufacturers as they have a ‘bigger voice’</w:t>
      </w:r>
      <w:r>
        <w:t>.</w:t>
      </w:r>
      <w:r w:rsidRPr="00E60A9F">
        <w:t xml:space="preserve"> </w:t>
      </w:r>
    </w:p>
    <w:p w14:paraId="7B1C05CD" w14:textId="7FDFC6C8" w:rsidR="00E77AAB" w:rsidRDefault="00E77AAB">
      <w:pPr>
        <w:spacing w:after="160" w:line="259" w:lineRule="auto"/>
      </w:pPr>
      <w:r>
        <w:br w:type="page"/>
      </w:r>
    </w:p>
    <w:p w14:paraId="2D373007" w14:textId="77777777" w:rsidR="00E77AAB" w:rsidRPr="00E60A9F" w:rsidRDefault="00E77AAB" w:rsidP="00E77AAB">
      <w:pPr>
        <w:pStyle w:val="Style7"/>
        <w:numPr>
          <w:ilvl w:val="0"/>
          <w:numId w:val="29"/>
        </w:numPr>
        <w:jc w:val="both"/>
      </w:pPr>
      <w:r w:rsidRPr="00E60A9F">
        <w:t xml:space="preserve">There is potential for anti-competitive behaviour where an applicant for measures also imports the goods under consideration. </w:t>
      </w:r>
    </w:p>
    <w:p w14:paraId="393A3D0F" w14:textId="77777777" w:rsidR="00E77AAB" w:rsidRPr="00E60A9F" w:rsidRDefault="00E77AAB" w:rsidP="00E77AAB">
      <w:pPr>
        <w:pStyle w:val="Style7"/>
        <w:numPr>
          <w:ilvl w:val="0"/>
          <w:numId w:val="29"/>
        </w:numPr>
        <w:jc w:val="both"/>
      </w:pPr>
      <w:r w:rsidRPr="00E60A9F">
        <w:t>SMEs lack the resources needed to participate in investigations and incur substantial costs from having to engage consultants.</w:t>
      </w:r>
    </w:p>
    <w:p w14:paraId="0A452AFD" w14:textId="77777777" w:rsidR="00E77AAB" w:rsidRPr="00E60A9F" w:rsidRDefault="00E77AAB" w:rsidP="00E77AAB">
      <w:pPr>
        <w:pStyle w:val="Style7"/>
        <w:numPr>
          <w:ilvl w:val="0"/>
          <w:numId w:val="29"/>
        </w:numPr>
        <w:jc w:val="both"/>
      </w:pPr>
      <w:r w:rsidRPr="00E60A9F">
        <w:t xml:space="preserve">SMEs have difficulty in acquiring knowledge about the system, including information on measures and investigations. Importers may not find out about investigations or measures until late in the process. </w:t>
      </w:r>
    </w:p>
    <w:p w14:paraId="1A8EEAC7" w14:textId="77777777" w:rsidR="00E77AAB" w:rsidRPr="00E60A9F" w:rsidRDefault="00E77AAB" w:rsidP="00E77AAB">
      <w:pPr>
        <w:pStyle w:val="Style7"/>
        <w:numPr>
          <w:ilvl w:val="0"/>
          <w:numId w:val="29"/>
        </w:numPr>
        <w:jc w:val="both"/>
      </w:pPr>
      <w:r w:rsidRPr="00E60A9F">
        <w:t xml:space="preserve">Investigations do not consider injury to downstream industries caused by the imposition of duties on their inputs and do not take into account effects on competition. </w:t>
      </w:r>
    </w:p>
    <w:p w14:paraId="77D196FA" w14:textId="77777777" w:rsidR="00E77AAB" w:rsidRPr="00E60A9F" w:rsidRDefault="00E77AAB" w:rsidP="00E77AAB">
      <w:pPr>
        <w:pStyle w:val="Style7"/>
        <w:numPr>
          <w:ilvl w:val="0"/>
          <w:numId w:val="29"/>
        </w:numPr>
        <w:jc w:val="both"/>
      </w:pPr>
      <w:r w:rsidRPr="00E60A9F">
        <w:t xml:space="preserve">Anti-dumping measures </w:t>
      </w:r>
      <w:r>
        <w:t>can be seen as ‘</w:t>
      </w:r>
      <w:r w:rsidRPr="00E60A9F">
        <w:t>clos</w:t>
      </w:r>
      <w:r>
        <w:t>ing</w:t>
      </w:r>
      <w:r w:rsidRPr="00E60A9F">
        <w:t xml:space="preserve"> the door</w:t>
      </w:r>
      <w:r>
        <w:t>’</w:t>
      </w:r>
      <w:r w:rsidRPr="00E60A9F">
        <w:t xml:space="preserve"> on alternate </w:t>
      </w:r>
      <w:r>
        <w:t>sources</w:t>
      </w:r>
      <w:r w:rsidRPr="00E60A9F">
        <w:t xml:space="preserve"> of supply. </w:t>
      </w:r>
    </w:p>
    <w:p w14:paraId="3E99E7FC" w14:textId="77777777" w:rsidR="00E77AAB" w:rsidRPr="00E60A9F" w:rsidRDefault="00E77AAB" w:rsidP="00E77AAB">
      <w:pPr>
        <w:pStyle w:val="Style7"/>
        <w:numPr>
          <w:ilvl w:val="0"/>
          <w:numId w:val="29"/>
        </w:numPr>
        <w:jc w:val="both"/>
      </w:pPr>
      <w:r w:rsidRPr="00E60A9F">
        <w:t xml:space="preserve">Investigation timeframes are too long and this can cause uncertainty for business. </w:t>
      </w:r>
    </w:p>
    <w:p w14:paraId="31658F6E" w14:textId="77777777" w:rsidR="00E77AAB" w:rsidRPr="00E60A9F" w:rsidRDefault="00E77AAB" w:rsidP="00E77AAB">
      <w:pPr>
        <w:pStyle w:val="Style7"/>
        <w:jc w:val="both"/>
      </w:pPr>
      <w:r>
        <w:t>From its experience in supporting SMEs in engaging with the anti-dumping system, t</w:t>
      </w:r>
      <w:r w:rsidRPr="00E60A9F">
        <w:t>he ITRA identified a number of factors as barriers to access by SMEs. These included:</w:t>
      </w:r>
    </w:p>
    <w:p w14:paraId="203C437B" w14:textId="77777777" w:rsidR="00E77AAB" w:rsidRPr="00E60A9F" w:rsidRDefault="00E77AAB" w:rsidP="00E77AAB">
      <w:pPr>
        <w:pStyle w:val="Style7"/>
        <w:numPr>
          <w:ilvl w:val="0"/>
          <w:numId w:val="30"/>
        </w:numPr>
        <w:jc w:val="both"/>
      </w:pPr>
      <w:r>
        <w:t>lack of readily available (low cost) d</w:t>
      </w:r>
      <w:r w:rsidRPr="00E60A9F">
        <w:t>ata on market size and country of export</w:t>
      </w:r>
    </w:p>
    <w:p w14:paraId="42F59B54" w14:textId="77777777" w:rsidR="00E77AAB" w:rsidRPr="00E60A9F" w:rsidRDefault="00E77AAB" w:rsidP="00E77AAB">
      <w:pPr>
        <w:pStyle w:val="Style7"/>
        <w:numPr>
          <w:ilvl w:val="0"/>
          <w:numId w:val="30"/>
        </w:numPr>
        <w:jc w:val="both"/>
      </w:pPr>
      <w:r>
        <w:t>d</w:t>
      </w:r>
      <w:r w:rsidRPr="00E60A9F">
        <w:t>ifficulties in obtaining information to support their case</w:t>
      </w:r>
      <w:r>
        <w:t xml:space="preserve"> and satisfy evidence requirements</w:t>
      </w:r>
    </w:p>
    <w:p w14:paraId="6354B098" w14:textId="77777777" w:rsidR="00E77AAB" w:rsidRPr="00E60A9F" w:rsidRDefault="00E77AAB" w:rsidP="00E77AAB">
      <w:pPr>
        <w:pStyle w:val="Style7"/>
        <w:numPr>
          <w:ilvl w:val="0"/>
          <w:numId w:val="30"/>
        </w:numPr>
        <w:jc w:val="both"/>
      </w:pPr>
      <w:r>
        <w:t>d</w:t>
      </w:r>
      <w:r w:rsidRPr="00E60A9F">
        <w:t>ifficulties in supplying the Commission with the necessary information in the required format</w:t>
      </w:r>
      <w:r>
        <w:t>, in part reflecting l</w:t>
      </w:r>
      <w:r w:rsidRPr="00E60A9F">
        <w:t>imited data and record keeping/accounting resources compared to larger businesses</w:t>
      </w:r>
    </w:p>
    <w:p w14:paraId="43079135" w14:textId="77777777" w:rsidR="00E77AAB" w:rsidRPr="00E60A9F" w:rsidRDefault="00E77AAB" w:rsidP="00E77AAB">
      <w:pPr>
        <w:pStyle w:val="Style7"/>
        <w:numPr>
          <w:ilvl w:val="0"/>
          <w:numId w:val="30"/>
        </w:numPr>
        <w:jc w:val="both"/>
      </w:pPr>
      <w:r>
        <w:t>d</w:t>
      </w:r>
      <w:r w:rsidRPr="00E60A9F">
        <w:t>ifficulty in meeting standing requirements</w:t>
      </w:r>
      <w:r w:rsidRPr="00E60A9F">
        <w:rPr>
          <w:vertAlign w:val="superscript"/>
        </w:rPr>
        <w:footnoteReference w:id="71"/>
      </w:r>
      <w:r w:rsidRPr="00E60A9F">
        <w:t xml:space="preserve"> when there are many players in the Australian industry</w:t>
      </w:r>
    </w:p>
    <w:p w14:paraId="145A7DDE" w14:textId="77777777" w:rsidR="00E77AAB" w:rsidRPr="00E60A9F" w:rsidRDefault="00E77AAB" w:rsidP="00E77AAB">
      <w:pPr>
        <w:pStyle w:val="Style7"/>
        <w:numPr>
          <w:ilvl w:val="0"/>
          <w:numId w:val="30"/>
        </w:numPr>
        <w:jc w:val="both"/>
      </w:pPr>
      <w:r>
        <w:t>d</w:t>
      </w:r>
      <w:r w:rsidRPr="00E60A9F">
        <w:t>ifficulty in demonstrating material injury where the SME is in a start-up phase, has limited trading history, or is part of an immature industry, or where an SME Australian industry member represents a very small fraction of the total Australian market</w:t>
      </w:r>
    </w:p>
    <w:p w14:paraId="6E9B586E" w14:textId="77777777" w:rsidR="00E77AAB" w:rsidRPr="00E60A9F" w:rsidRDefault="00E77AAB" w:rsidP="00E77AAB">
      <w:pPr>
        <w:pStyle w:val="Style7"/>
        <w:numPr>
          <w:ilvl w:val="0"/>
          <w:numId w:val="30"/>
        </w:numPr>
        <w:jc w:val="both"/>
      </w:pPr>
      <w:r>
        <w:t>l</w:t>
      </w:r>
      <w:r w:rsidRPr="00E60A9F">
        <w:t>ack of awareness of the system and how it works, and difficulty in understanding the system</w:t>
      </w:r>
    </w:p>
    <w:p w14:paraId="589C694C" w14:textId="77777777" w:rsidR="00E77AAB" w:rsidRPr="00E60A9F" w:rsidRDefault="00E77AAB" w:rsidP="00E77AAB">
      <w:pPr>
        <w:pStyle w:val="Style7"/>
        <w:numPr>
          <w:ilvl w:val="0"/>
          <w:numId w:val="30"/>
        </w:numPr>
        <w:jc w:val="both"/>
      </w:pPr>
      <w:proofErr w:type="gramStart"/>
      <w:r>
        <w:t>l</w:t>
      </w:r>
      <w:r w:rsidRPr="00E60A9F">
        <w:t>imited</w:t>
      </w:r>
      <w:proofErr w:type="gramEnd"/>
      <w:r w:rsidRPr="00E60A9F">
        <w:t xml:space="preserve"> capacity to monitor measures.</w:t>
      </w:r>
    </w:p>
    <w:p w14:paraId="038073D6" w14:textId="77777777" w:rsidR="00E77AAB" w:rsidRDefault="00E77AAB" w:rsidP="00E77AAB">
      <w:pPr>
        <w:pStyle w:val="Heading2"/>
      </w:pPr>
      <w:r>
        <w:t>Actions to improve access to the system</w:t>
      </w:r>
    </w:p>
    <w:p w14:paraId="71E88971" w14:textId="77777777" w:rsidR="00E77AAB" w:rsidRDefault="00E77AAB" w:rsidP="00E77AAB">
      <w:pPr>
        <w:pStyle w:val="Style7"/>
        <w:jc w:val="both"/>
      </w:pPr>
      <w:r>
        <w:t>The Government and the Commission have implemented a number of actions to facilitate SME access to the anti-dumping system. Stakeholders have proposed further options for improving access.</w:t>
      </w:r>
    </w:p>
    <w:p w14:paraId="00EDB6CE" w14:textId="77777777" w:rsidR="00E77AAB" w:rsidRDefault="00E77AAB" w:rsidP="00E77AAB">
      <w:pPr>
        <w:pStyle w:val="Heading3"/>
      </w:pPr>
      <w:r>
        <w:t>Existing actions to improve access by SMEs</w:t>
      </w:r>
    </w:p>
    <w:p w14:paraId="11A86643" w14:textId="183A0A24" w:rsidR="00E77AAB" w:rsidRDefault="00E77AAB" w:rsidP="00E77AAB">
      <w:pPr>
        <w:pStyle w:val="Style7"/>
        <w:jc w:val="both"/>
      </w:pPr>
      <w:r w:rsidRPr="00DA0EB9">
        <w:t>The Brumby Review observed that more information and guidance helps better inform and empower stakeholders which in turn helps to lower costs and improve awareness of, and access to, the system. Accordingly, in an effort to enhance access, the Commissioner has in recent years improved information and guidance</w:t>
      </w:r>
      <w:r>
        <w:t xml:space="preserve"> and</w:t>
      </w:r>
      <w:r w:rsidRPr="00DA0EB9">
        <w:t xml:space="preserve"> improved transparency</w:t>
      </w:r>
      <w:r>
        <w:t>.</w:t>
      </w:r>
      <w:r w:rsidRPr="00DA0EB9">
        <w:t xml:space="preserve"> </w:t>
      </w:r>
      <w:r>
        <w:t>For example, the Commission publishes guidance notes and information about measures on products, current and past cases, the operation of the system as a whole, and its engagement with stakeholders through the ITRF on its website. In addition, the Commission offers information directly to stakeholders on the implementation measures</w:t>
      </w:r>
      <w:r w:rsidRPr="00E77AAB">
        <w:t xml:space="preserve"> </w:t>
      </w:r>
      <w:r>
        <w:t>and how the anti-dumping system works through its client services function, which provides advice in response to telephone and email queries.</w:t>
      </w:r>
    </w:p>
    <w:p w14:paraId="0467D75C" w14:textId="77777777" w:rsidR="00E77AAB" w:rsidRDefault="00E77AAB" w:rsidP="00E77AAB">
      <w:pPr>
        <w:pStyle w:val="Style7"/>
        <w:jc w:val="both"/>
      </w:pPr>
      <w:r>
        <w:t xml:space="preserve">In addition, the Commission offers a </w:t>
      </w:r>
      <w:r w:rsidRPr="00EF3B13">
        <w:t>pre-lodgement advice service</w:t>
      </w:r>
      <w:r>
        <w:t xml:space="preserve"> to potential applicants for anti-dumping measures. This service helps potential applicants ensure they understand how to complete the application form and what information they need to provide, and can provide advice to</w:t>
      </w:r>
      <w:r w:rsidRPr="00EF3B13">
        <w:t xml:space="preserve"> </w:t>
      </w:r>
      <w:r>
        <w:t>the applicant on how to develop</w:t>
      </w:r>
      <w:r w:rsidRPr="00EF3B13">
        <w:t xml:space="preserve"> </w:t>
      </w:r>
      <w:r>
        <w:t xml:space="preserve">an effective </w:t>
      </w:r>
      <w:r w:rsidRPr="00EF3B13">
        <w:t>goods description</w:t>
      </w:r>
      <w:r>
        <w:t xml:space="preserve">. The Commission recognises that the tariff classification system can be complex, especially for SMEs that are not familiar with it, and that </w:t>
      </w:r>
      <w:r w:rsidRPr="00BB0CEC">
        <w:t xml:space="preserve">the degree of customisation of some steel </w:t>
      </w:r>
      <w:r>
        <w:t xml:space="preserve">manufactured/ fabricated </w:t>
      </w:r>
      <w:r w:rsidRPr="00BB0CEC">
        <w:t>products</w:t>
      </w:r>
      <w:r>
        <w:t xml:space="preserve"> (and products in some other industries) create challenges in describing</w:t>
      </w:r>
      <w:r w:rsidRPr="00EC34DA">
        <w:t xml:space="preserve"> the goods accurately</w:t>
      </w:r>
      <w:r>
        <w:t>.</w:t>
      </w:r>
      <w:r w:rsidRPr="00EC34DA">
        <w:t xml:space="preserve"> </w:t>
      </w:r>
    </w:p>
    <w:p w14:paraId="1EBD8EAF" w14:textId="77777777" w:rsidR="00E77AAB" w:rsidRDefault="00E77AAB" w:rsidP="00E77AAB">
      <w:pPr>
        <w:pStyle w:val="Style7"/>
        <w:jc w:val="both"/>
      </w:pPr>
      <w:r w:rsidRPr="00DA0EB9">
        <w:t>At the same time, the Government has expanded the International Trade Remedies Advisory</w:t>
      </w:r>
      <w:r>
        <w:t xml:space="preserve"> service</w:t>
      </w:r>
      <w:r w:rsidRPr="00DA0EB9">
        <w:t xml:space="preserve"> </w:t>
      </w:r>
      <w:r>
        <w:t>(ITRA) which helps</w:t>
      </w:r>
      <w:r w:rsidRPr="00DA0EB9">
        <w:t xml:space="preserve"> Australian SMEs access Australia’s anti-dumping system. </w:t>
      </w:r>
      <w:r>
        <w:t xml:space="preserve">The </w:t>
      </w:r>
      <w:r w:rsidRPr="00DA0EB9">
        <w:t xml:space="preserve">ITRA </w:t>
      </w:r>
      <w:r>
        <w:t>s</w:t>
      </w:r>
      <w:r w:rsidRPr="00DA0EB9">
        <w:t>ervice can be accessed by all eligible Australian SMEs impacted by the anti-dumping system, including producers and manufacturers who may be injured by dumped and subsidised imports as well as importers and end users who may be affected by anti-dumping measures.</w:t>
      </w:r>
      <w:r>
        <w:t xml:space="preserve"> The ITRA Service helps SMEs by:</w:t>
      </w:r>
    </w:p>
    <w:p w14:paraId="69179422" w14:textId="77777777" w:rsidR="00E77AAB" w:rsidRPr="009470FD" w:rsidRDefault="00E77AAB" w:rsidP="00E77AAB">
      <w:pPr>
        <w:pStyle w:val="Style7"/>
        <w:numPr>
          <w:ilvl w:val="0"/>
          <w:numId w:val="30"/>
        </w:numPr>
        <w:jc w:val="both"/>
      </w:pPr>
      <w:r w:rsidRPr="009470FD">
        <w:t>raising awareness of how the anti-dumping system works</w:t>
      </w:r>
    </w:p>
    <w:p w14:paraId="489ABDE8" w14:textId="77777777" w:rsidR="00E77AAB" w:rsidRPr="009470FD" w:rsidRDefault="00E77AAB" w:rsidP="00E77AAB">
      <w:pPr>
        <w:pStyle w:val="Style7"/>
        <w:numPr>
          <w:ilvl w:val="0"/>
          <w:numId w:val="30"/>
        </w:numPr>
        <w:jc w:val="both"/>
      </w:pPr>
      <w:r w:rsidRPr="009470FD">
        <w:t xml:space="preserve">giving advice on anti-dumping and countervailing matters, including options for businesses to participate in the anti-dumping system </w:t>
      </w:r>
    </w:p>
    <w:p w14:paraId="73745A26" w14:textId="77777777" w:rsidR="00E77AAB" w:rsidRPr="009470FD" w:rsidRDefault="00E77AAB" w:rsidP="00E77AAB">
      <w:pPr>
        <w:pStyle w:val="Style7"/>
        <w:numPr>
          <w:ilvl w:val="0"/>
          <w:numId w:val="30"/>
        </w:numPr>
        <w:jc w:val="both"/>
      </w:pPr>
      <w:r w:rsidRPr="009470FD">
        <w:t xml:space="preserve">assisting with preparing applications for investigations and all other case types (e.g. reviews, duty assessments and exemptions) </w:t>
      </w:r>
    </w:p>
    <w:p w14:paraId="51B36116" w14:textId="77777777" w:rsidR="00E77AAB" w:rsidRPr="009470FD" w:rsidRDefault="00E77AAB" w:rsidP="00E77AAB">
      <w:pPr>
        <w:pStyle w:val="Style7"/>
        <w:numPr>
          <w:ilvl w:val="0"/>
          <w:numId w:val="30"/>
        </w:numPr>
        <w:jc w:val="both"/>
      </w:pPr>
      <w:r w:rsidRPr="009470FD">
        <w:t xml:space="preserve">assisting with making submissions to the Commission </w:t>
      </w:r>
    </w:p>
    <w:p w14:paraId="69A05771" w14:textId="77777777" w:rsidR="00E77AAB" w:rsidRPr="009470FD" w:rsidRDefault="00E77AAB" w:rsidP="00E77AAB">
      <w:pPr>
        <w:pStyle w:val="Style7"/>
        <w:numPr>
          <w:ilvl w:val="0"/>
          <w:numId w:val="30"/>
        </w:numPr>
        <w:jc w:val="both"/>
      </w:pPr>
      <w:proofErr w:type="gramStart"/>
      <w:r w:rsidRPr="009470FD">
        <w:t>facilitating</w:t>
      </w:r>
      <w:proofErr w:type="gramEnd"/>
      <w:r w:rsidRPr="009470FD">
        <w:t xml:space="preserve"> cooperation between SMEs to ensure applications have the required level of support to meet the standing requirement.</w:t>
      </w:r>
    </w:p>
    <w:p w14:paraId="47476AB5" w14:textId="77777777" w:rsidR="00E77AAB" w:rsidRDefault="00E77AAB" w:rsidP="00E77AAB">
      <w:pPr>
        <w:pStyle w:val="Heading3"/>
      </w:pPr>
      <w:r>
        <w:t>Potential options to further improve access by SMEs</w:t>
      </w:r>
    </w:p>
    <w:p w14:paraId="19D587BC" w14:textId="77777777" w:rsidR="00E77AAB" w:rsidRDefault="00E77AAB" w:rsidP="00E77AAB">
      <w:pPr>
        <w:pStyle w:val="Style7"/>
        <w:jc w:val="both"/>
      </w:pPr>
      <w:r>
        <w:t xml:space="preserve">This section outlines a range of options proposed by stakeholders, including the ITRF sub-committee on SME access. Options generally fall into three main categories: </w:t>
      </w:r>
    </w:p>
    <w:p w14:paraId="2FC4F2F1" w14:textId="77777777" w:rsidR="00E77AAB" w:rsidRPr="003E3C45" w:rsidRDefault="00E77AAB" w:rsidP="00E77AAB">
      <w:pPr>
        <w:pStyle w:val="Style7"/>
        <w:numPr>
          <w:ilvl w:val="0"/>
          <w:numId w:val="30"/>
        </w:numPr>
        <w:jc w:val="both"/>
      </w:pPr>
      <w:r w:rsidRPr="003E3C45">
        <w:t xml:space="preserve">further improving knowledge and awareness of the system and understanding of how the system works and how to engage with it </w:t>
      </w:r>
    </w:p>
    <w:p w14:paraId="31A8D182" w14:textId="77777777" w:rsidR="00E77AAB" w:rsidRPr="003E3C45" w:rsidRDefault="00E77AAB" w:rsidP="00E77AAB">
      <w:pPr>
        <w:pStyle w:val="Style7"/>
        <w:numPr>
          <w:ilvl w:val="0"/>
          <w:numId w:val="30"/>
        </w:numPr>
        <w:jc w:val="both"/>
      </w:pPr>
      <w:r w:rsidRPr="003E3C45">
        <w:t xml:space="preserve">simplifying the system, including facilitating access to data and reducing the evidence burden </w:t>
      </w:r>
    </w:p>
    <w:p w14:paraId="347A266B" w14:textId="77777777" w:rsidR="00E77AAB" w:rsidRPr="003E3C45" w:rsidRDefault="00E77AAB" w:rsidP="00E77AAB">
      <w:pPr>
        <w:pStyle w:val="Style7"/>
        <w:numPr>
          <w:ilvl w:val="0"/>
          <w:numId w:val="30"/>
        </w:numPr>
        <w:jc w:val="both"/>
      </w:pPr>
      <w:proofErr w:type="gramStart"/>
      <w:r w:rsidRPr="003E3C45">
        <w:t>addressing</w:t>
      </w:r>
      <w:proofErr w:type="gramEnd"/>
      <w:r w:rsidRPr="003E3C45">
        <w:t xml:space="preserve"> impacts on downstream industries, including maintaining the ability to source inputs from competing suppliers. </w:t>
      </w:r>
    </w:p>
    <w:p w14:paraId="4D20A792" w14:textId="77777777" w:rsidR="00E77AAB" w:rsidRDefault="00E77AAB" w:rsidP="00E77AAB">
      <w:pPr>
        <w:spacing w:before="120" w:after="120"/>
        <w:jc w:val="both"/>
        <w:rPr>
          <w:rFonts w:eastAsia="Times New Roman" w:cs="Times New Roman"/>
        </w:rPr>
      </w:pPr>
      <w:r>
        <w:rPr>
          <w:rFonts w:eastAsia="Times New Roman" w:cs="Times New Roman"/>
        </w:rPr>
        <w:t xml:space="preserve">Reflecting the diversity of stakeholder experiences and differences in the economic and market factors affecting their performance, opinions differ on how best to address the concerns of </w:t>
      </w:r>
      <w:r w:rsidRPr="002E27CC">
        <w:rPr>
          <w:rFonts w:eastAsia="Times New Roman" w:cs="Times New Roman"/>
        </w:rPr>
        <w:t>downstream industries</w:t>
      </w:r>
      <w:r>
        <w:rPr>
          <w:rFonts w:eastAsia="Times New Roman" w:cs="Times New Roman"/>
        </w:rPr>
        <w:t xml:space="preserve">—in respect of this report, the downstream industry is the steel </w:t>
      </w:r>
      <w:r>
        <w:t>fabrication industry</w:t>
      </w:r>
      <w:r>
        <w:rPr>
          <w:rFonts w:eastAsia="Times New Roman" w:cs="Times New Roman"/>
        </w:rPr>
        <w:t xml:space="preserve">. However, there is agreement among SMEs that </w:t>
      </w:r>
      <w:r w:rsidRPr="00BA5A1B">
        <w:rPr>
          <w:rFonts w:eastAsia="Times New Roman" w:cs="Times New Roman"/>
        </w:rPr>
        <w:t xml:space="preserve">better awareness of the system </w:t>
      </w:r>
      <w:r>
        <w:rPr>
          <w:rFonts w:eastAsia="Times New Roman" w:cs="Times New Roman"/>
        </w:rPr>
        <w:t>and simplification would be generally beneficial to all stakeholders.</w:t>
      </w:r>
    </w:p>
    <w:p w14:paraId="78C95790" w14:textId="77777777" w:rsidR="00E77AAB" w:rsidRDefault="00E77AAB" w:rsidP="00E77AAB">
      <w:pPr>
        <w:keepNext/>
        <w:spacing w:before="120" w:after="120"/>
        <w:rPr>
          <w:rFonts w:eastAsia="Times New Roman" w:cs="Times New Roman"/>
          <w:b/>
        </w:rPr>
      </w:pPr>
      <w:r>
        <w:rPr>
          <w:rFonts w:eastAsia="Times New Roman" w:cs="Times New Roman"/>
          <w:b/>
        </w:rPr>
        <w:t>I</w:t>
      </w:r>
      <w:r w:rsidRPr="000440E4">
        <w:rPr>
          <w:rFonts w:eastAsia="Times New Roman" w:cs="Times New Roman"/>
          <w:b/>
        </w:rPr>
        <w:t>mproving knowledge and awareness of the system</w:t>
      </w:r>
    </w:p>
    <w:p w14:paraId="5F31331C" w14:textId="77777777" w:rsidR="00E77AAB" w:rsidRDefault="00E77AAB" w:rsidP="00E77AAB">
      <w:pPr>
        <w:spacing w:before="120" w:after="120"/>
        <w:jc w:val="both"/>
      </w:pPr>
      <w:r>
        <w:rPr>
          <w:rFonts w:eastAsia="Times New Roman" w:cs="Times New Roman"/>
        </w:rPr>
        <w:t>As noted in section 7.3.1, t</w:t>
      </w:r>
      <w:r>
        <w:t xml:space="preserve">he Government and the Commission have implemented a number of actions to </w:t>
      </w:r>
      <w:r w:rsidRPr="00DA0EB9">
        <w:t>improve information and guidance</w:t>
      </w:r>
      <w:r>
        <w:t xml:space="preserve"> to stakeholders about the system, provide assistance to stakeholders in participating in the system, and</w:t>
      </w:r>
      <w:r w:rsidRPr="00DA0EB9">
        <w:t xml:space="preserve"> improve transparency</w:t>
      </w:r>
      <w:r>
        <w:t xml:space="preserve"> about the Commission’s processes. However, the Commission recognises that further improvements would benefit stakeholders, particularly SMEs.</w:t>
      </w:r>
    </w:p>
    <w:p w14:paraId="7D82A67D" w14:textId="77777777" w:rsidR="00E77AAB" w:rsidRPr="000440E4" w:rsidRDefault="00E77AAB" w:rsidP="00E77AAB">
      <w:pPr>
        <w:spacing w:before="120" w:after="120"/>
        <w:jc w:val="both"/>
        <w:rPr>
          <w:rFonts w:eastAsia="Times New Roman" w:cs="Times New Roman"/>
        </w:rPr>
      </w:pPr>
      <w:r>
        <w:rPr>
          <w:rFonts w:eastAsia="Times New Roman" w:cs="Times New Roman"/>
        </w:rPr>
        <w:t xml:space="preserve">Stakeholders have noted that </w:t>
      </w:r>
      <w:r w:rsidRPr="009E32B5">
        <w:rPr>
          <w:rFonts w:eastAsia="Times New Roman" w:cs="Times New Roman"/>
        </w:rPr>
        <w:t xml:space="preserve">customs brokers and freight forwarders </w:t>
      </w:r>
      <w:r>
        <w:rPr>
          <w:rFonts w:eastAsia="Times New Roman" w:cs="Times New Roman"/>
        </w:rPr>
        <w:t xml:space="preserve">play an important role in </w:t>
      </w:r>
      <w:r w:rsidRPr="009E32B5">
        <w:rPr>
          <w:rFonts w:eastAsia="Times New Roman" w:cs="Times New Roman"/>
        </w:rPr>
        <w:t>communicat</w:t>
      </w:r>
      <w:r>
        <w:rPr>
          <w:rFonts w:eastAsia="Times New Roman" w:cs="Times New Roman"/>
        </w:rPr>
        <w:t>ing</w:t>
      </w:r>
      <w:r w:rsidRPr="009E32B5">
        <w:rPr>
          <w:rFonts w:eastAsia="Times New Roman" w:cs="Times New Roman"/>
        </w:rPr>
        <w:t xml:space="preserve"> information to</w:t>
      </w:r>
      <w:r>
        <w:rPr>
          <w:rFonts w:eastAsia="Times New Roman" w:cs="Times New Roman"/>
        </w:rPr>
        <w:t xml:space="preserve"> stakeholders, including importers.</w:t>
      </w:r>
      <w:r w:rsidRPr="009E32B5">
        <w:rPr>
          <w:rFonts w:eastAsia="Times New Roman" w:cs="Times New Roman"/>
        </w:rPr>
        <w:t xml:space="preserve"> </w:t>
      </w:r>
      <w:r>
        <w:rPr>
          <w:rFonts w:eastAsia="Times New Roman" w:cs="Times New Roman"/>
        </w:rPr>
        <w:t xml:space="preserve">The Minister has appointed the </w:t>
      </w:r>
      <w:r w:rsidRPr="009E32B5">
        <w:rPr>
          <w:rFonts w:eastAsia="Times New Roman" w:cs="Times New Roman"/>
        </w:rPr>
        <w:t xml:space="preserve">Customs Brokers and Forwarders Council </w:t>
      </w:r>
      <w:r>
        <w:rPr>
          <w:rFonts w:eastAsia="Times New Roman" w:cs="Times New Roman"/>
        </w:rPr>
        <w:t>o</w:t>
      </w:r>
      <w:r w:rsidRPr="009E32B5">
        <w:rPr>
          <w:rFonts w:eastAsia="Times New Roman" w:cs="Times New Roman"/>
        </w:rPr>
        <w:t>f Australia</w:t>
      </w:r>
      <w:r>
        <w:rPr>
          <w:rFonts w:eastAsia="Times New Roman" w:cs="Times New Roman"/>
        </w:rPr>
        <w:t xml:space="preserve"> (CBFCA) as a member of the ITRF. </w:t>
      </w:r>
    </w:p>
    <w:p w14:paraId="46D9D3E7" w14:textId="05A3BCF5" w:rsidR="00E77AAB" w:rsidRDefault="00E77AAB">
      <w:pPr>
        <w:spacing w:after="160" w:line="259" w:lineRule="auto"/>
      </w:pPr>
      <w:r>
        <w:br w:type="page"/>
      </w:r>
    </w:p>
    <w:p w14:paraId="4590AC05" w14:textId="77777777" w:rsidR="00E77AAB" w:rsidRDefault="00E77AAB" w:rsidP="00E77AAB">
      <w:pPr>
        <w:spacing w:before="120" w:after="120"/>
        <w:jc w:val="both"/>
        <w:rPr>
          <w:rFonts w:eastAsia="Times New Roman" w:cs="Times New Roman"/>
        </w:rPr>
      </w:pPr>
      <w:r w:rsidRPr="009E32B5">
        <w:rPr>
          <w:rFonts w:eastAsia="Times New Roman" w:cs="Times New Roman"/>
        </w:rPr>
        <w:t xml:space="preserve">The </w:t>
      </w:r>
      <w:r>
        <w:rPr>
          <w:rFonts w:eastAsia="Times New Roman" w:cs="Times New Roman"/>
        </w:rPr>
        <w:t xml:space="preserve">ITRF </w:t>
      </w:r>
      <w:r w:rsidRPr="009E32B5">
        <w:rPr>
          <w:rFonts w:eastAsia="Times New Roman" w:cs="Times New Roman"/>
        </w:rPr>
        <w:t xml:space="preserve">sub-committee </w:t>
      </w:r>
      <w:r>
        <w:rPr>
          <w:rFonts w:eastAsia="Times New Roman" w:cs="Times New Roman"/>
        </w:rPr>
        <w:t>identified</w:t>
      </w:r>
      <w:r w:rsidRPr="009E32B5">
        <w:rPr>
          <w:rFonts w:eastAsia="Times New Roman" w:cs="Times New Roman"/>
        </w:rPr>
        <w:t xml:space="preserve"> the need to develop and implement a comprehensive interested party notification system which could alert, in a timely manner, interested parties (to current and, where relevant, previous investigations or inquiries) that: documents have been placed on the public record, including Commission findings and reports; there have been changes to anti-dumping system policies and practices; and related investigations or inquiries have been initiated. </w:t>
      </w:r>
      <w:r>
        <w:rPr>
          <w:rFonts w:eastAsia="Times New Roman" w:cs="Times New Roman"/>
        </w:rPr>
        <w:t xml:space="preserve">This recommendation was consistent with feedback received by the Commission in a recent survey of users of the Commission’s website. </w:t>
      </w:r>
    </w:p>
    <w:p w14:paraId="5A241308" w14:textId="77777777" w:rsidR="00E77AAB" w:rsidRDefault="00E77AAB" w:rsidP="00E77AAB">
      <w:pPr>
        <w:spacing w:before="120" w:after="120"/>
        <w:jc w:val="both"/>
        <w:rPr>
          <w:rFonts w:eastAsia="Times New Roman" w:cs="Times New Roman"/>
        </w:rPr>
      </w:pPr>
      <w:r>
        <w:rPr>
          <w:rFonts w:eastAsia="Times New Roman" w:cs="Times New Roman"/>
        </w:rPr>
        <w:t xml:space="preserve">The Commission has now implemented an alerts system that informs subscribers of changes to information on the website, including the three types of information identified by the </w:t>
      </w:r>
      <w:r w:rsidRPr="000F7DD2">
        <w:rPr>
          <w:rFonts w:eastAsia="Times New Roman" w:cs="Times New Roman"/>
        </w:rPr>
        <w:t>ITRF sub-committee</w:t>
      </w:r>
      <w:r>
        <w:rPr>
          <w:rFonts w:eastAsia="Times New Roman" w:cs="Times New Roman"/>
        </w:rPr>
        <w:t xml:space="preserve">. More than 200 subscriptions to this alert system have already been received. The Commission will seek feedback from subscribers on potential improvements to the service (where technically possible on the current website platform). In addition the Commission has recently, in response to stakeholder suggestions, enhanced </w:t>
      </w:r>
      <w:r w:rsidRPr="00584F33">
        <w:rPr>
          <w:rFonts w:eastAsia="Times New Roman" w:cs="Times New Roman"/>
        </w:rPr>
        <w:t xml:space="preserve">the Dumping Commodity Register on its website </w:t>
      </w:r>
      <w:r>
        <w:rPr>
          <w:rFonts w:eastAsia="Times New Roman" w:cs="Times New Roman"/>
        </w:rPr>
        <w:t>to ‘flag’ measures that are currently subject to an investigation, inquiry or review to help stakeholders monitor for potential changes to measures in place.</w:t>
      </w:r>
    </w:p>
    <w:p w14:paraId="34FB043B" w14:textId="77777777" w:rsidR="00E77AAB" w:rsidRDefault="00E77AAB" w:rsidP="00E77AAB">
      <w:pPr>
        <w:spacing w:before="120" w:after="120"/>
        <w:jc w:val="both"/>
      </w:pPr>
      <w:r>
        <w:rPr>
          <w:rFonts w:eastAsia="Times New Roman" w:cs="Times New Roman"/>
        </w:rPr>
        <w:t xml:space="preserve">In regard to data access, </w:t>
      </w:r>
      <w:r>
        <w:t xml:space="preserve">the Commissioner established a sub-committee of the ITRF following the May 2017 meeting to examine issues in relation to access to trade data. This sub-committee was established in response to interest expressed by ITRF members in examining data access issues in more depth and developing potential options to address these issues. As noted in section 7.3.1, SMEs have experienced challenges in obtaining </w:t>
      </w:r>
      <w:r w:rsidRPr="00E60A9F">
        <w:t>data</w:t>
      </w:r>
      <w:r>
        <w:t xml:space="preserve"> required </w:t>
      </w:r>
      <w:r w:rsidRPr="00E60A9F">
        <w:t xml:space="preserve">to support an application, including data </w:t>
      </w:r>
      <w:r>
        <w:t>on imports,</w:t>
      </w:r>
      <w:r w:rsidRPr="00E60A9F">
        <w:t xml:space="preserve"> trade flows</w:t>
      </w:r>
      <w:r>
        <w:t xml:space="preserve"> and markets shares</w:t>
      </w:r>
      <w:r w:rsidRPr="00E60A9F">
        <w:t xml:space="preserve">, </w:t>
      </w:r>
      <w:r>
        <w:t>and data required to monitor measures.</w:t>
      </w:r>
      <w:r w:rsidRPr="00E60A9F">
        <w:t xml:space="preserve"> </w:t>
      </w:r>
      <w:r>
        <w:t>Government agencies that collect and disseminate trade and other information, including the ABS and DIBP, are contributing to the sub-committee on these issues.</w:t>
      </w:r>
    </w:p>
    <w:p w14:paraId="1CDE1B9C" w14:textId="77777777" w:rsidR="00E77AAB" w:rsidRDefault="00E77AAB" w:rsidP="00E77AAB">
      <w:pPr>
        <w:keepNext/>
        <w:spacing w:before="120" w:after="120"/>
        <w:rPr>
          <w:rFonts w:eastAsia="Times New Roman" w:cs="Times New Roman"/>
          <w:b/>
        </w:rPr>
      </w:pPr>
      <w:r>
        <w:rPr>
          <w:rFonts w:eastAsia="Times New Roman" w:cs="Times New Roman"/>
          <w:b/>
        </w:rPr>
        <w:t>S</w:t>
      </w:r>
      <w:r w:rsidRPr="00D82EB2">
        <w:rPr>
          <w:rFonts w:eastAsia="Times New Roman" w:cs="Times New Roman"/>
          <w:b/>
        </w:rPr>
        <w:t>implif</w:t>
      </w:r>
      <w:r>
        <w:rPr>
          <w:rFonts w:eastAsia="Times New Roman" w:cs="Times New Roman"/>
          <w:b/>
        </w:rPr>
        <w:t>y</w:t>
      </w:r>
      <w:r w:rsidRPr="00D82EB2">
        <w:rPr>
          <w:rFonts w:eastAsia="Times New Roman" w:cs="Times New Roman"/>
          <w:b/>
        </w:rPr>
        <w:t>i</w:t>
      </w:r>
      <w:r>
        <w:rPr>
          <w:rFonts w:eastAsia="Times New Roman" w:cs="Times New Roman"/>
          <w:b/>
        </w:rPr>
        <w:t>ng the system and improving access to data</w:t>
      </w:r>
    </w:p>
    <w:p w14:paraId="0FD5F0CA" w14:textId="77777777" w:rsidR="00E77AAB" w:rsidRPr="0063564F" w:rsidRDefault="00E77AAB" w:rsidP="00E77AAB">
      <w:pPr>
        <w:spacing w:before="120" w:after="120"/>
        <w:jc w:val="both"/>
        <w:rPr>
          <w:rFonts w:eastAsia="Times New Roman" w:cs="Times New Roman"/>
        </w:rPr>
      </w:pPr>
      <w:r w:rsidRPr="0063564F">
        <w:rPr>
          <w:rFonts w:eastAsia="Times New Roman" w:cs="Times New Roman"/>
        </w:rPr>
        <w:t>A number of pr</w:t>
      </w:r>
      <w:r>
        <w:rPr>
          <w:rFonts w:eastAsia="Times New Roman" w:cs="Times New Roman"/>
        </w:rPr>
        <w:t>o</w:t>
      </w:r>
      <w:r w:rsidRPr="0063564F">
        <w:rPr>
          <w:rFonts w:eastAsia="Times New Roman" w:cs="Times New Roman"/>
        </w:rPr>
        <w:t xml:space="preserve">posals have been made by stakeholders on </w:t>
      </w:r>
      <w:r>
        <w:rPr>
          <w:rFonts w:eastAsia="Times New Roman" w:cs="Times New Roman"/>
        </w:rPr>
        <w:t xml:space="preserve">ways to </w:t>
      </w:r>
      <w:r w:rsidRPr="0063564F">
        <w:rPr>
          <w:rFonts w:eastAsia="Times New Roman" w:cs="Times New Roman"/>
        </w:rPr>
        <w:t>simplify</w:t>
      </w:r>
      <w:r>
        <w:rPr>
          <w:rFonts w:eastAsia="Times New Roman" w:cs="Times New Roman"/>
        </w:rPr>
        <w:t xml:space="preserve"> and reduce the expense of</w:t>
      </w:r>
      <w:r w:rsidRPr="0063564F">
        <w:rPr>
          <w:rFonts w:eastAsia="Times New Roman" w:cs="Times New Roman"/>
        </w:rPr>
        <w:t xml:space="preserve"> the </w:t>
      </w:r>
      <w:r>
        <w:rPr>
          <w:rFonts w:eastAsia="Times New Roman" w:cs="Times New Roman"/>
        </w:rPr>
        <w:t xml:space="preserve">application process, including </w:t>
      </w:r>
      <w:r w:rsidRPr="0063564F">
        <w:rPr>
          <w:rFonts w:eastAsia="Times New Roman" w:cs="Times New Roman"/>
        </w:rPr>
        <w:t>simplif</w:t>
      </w:r>
      <w:r>
        <w:rPr>
          <w:rFonts w:eastAsia="Times New Roman" w:cs="Times New Roman"/>
        </w:rPr>
        <w:t>ying</w:t>
      </w:r>
      <w:r w:rsidRPr="0063564F">
        <w:rPr>
          <w:rFonts w:eastAsia="Times New Roman" w:cs="Times New Roman"/>
        </w:rPr>
        <w:t xml:space="preserve"> application form</w:t>
      </w:r>
      <w:r>
        <w:rPr>
          <w:rFonts w:eastAsia="Times New Roman" w:cs="Times New Roman"/>
        </w:rPr>
        <w:t>s</w:t>
      </w:r>
      <w:r w:rsidRPr="0063564F">
        <w:rPr>
          <w:rFonts w:eastAsia="Times New Roman" w:cs="Times New Roman"/>
        </w:rPr>
        <w:t>,</w:t>
      </w:r>
      <w:r>
        <w:rPr>
          <w:rFonts w:eastAsia="Times New Roman" w:cs="Times New Roman"/>
        </w:rPr>
        <w:t xml:space="preserve"> reducing evidence requirements for SMEs, and ‘pre-filling’ information from data currently held by government agencies.</w:t>
      </w:r>
    </w:p>
    <w:p w14:paraId="1D8322F1" w14:textId="77777777" w:rsidR="00E77AAB" w:rsidRDefault="00E77AAB" w:rsidP="00E77AAB">
      <w:pPr>
        <w:spacing w:before="120" w:after="120"/>
        <w:jc w:val="both"/>
        <w:rPr>
          <w:rFonts w:eastAsia="Times New Roman" w:cs="Times New Roman"/>
        </w:rPr>
      </w:pPr>
      <w:r>
        <w:rPr>
          <w:rFonts w:eastAsia="Times New Roman" w:cs="Times New Roman"/>
        </w:rPr>
        <w:t xml:space="preserve">While the Commission is open to considering options for reducing the burden on potential SME applicants for measures, the Commission must ensure such approaches are consistent with sound, evidence-based decision-making and its obligations under international agreements (including the WTO agreements on anti-dumping and countervailing duty measures). </w:t>
      </w:r>
    </w:p>
    <w:p w14:paraId="4AE03BCF" w14:textId="77777777" w:rsidR="00E77AAB" w:rsidRDefault="00E77AAB" w:rsidP="00E77AAB">
      <w:pPr>
        <w:spacing w:before="120" w:after="120"/>
        <w:jc w:val="both"/>
      </w:pPr>
      <w:r>
        <w:rPr>
          <w:rFonts w:eastAsia="Times New Roman" w:cs="Times New Roman"/>
        </w:rPr>
        <w:t xml:space="preserve">As part of its commitment to continuous improvement, the Commission will continue to look for ways to improve its </w:t>
      </w:r>
      <w:r w:rsidRPr="00377206">
        <w:t xml:space="preserve">operational policies and practices </w:t>
      </w:r>
      <w:r>
        <w:t>for conducting investigations and reviews to increase transparency, take account of businesses’ different accounting systems (such as simplified systems used by some SMEs), and seek to adopt best practice analysis techniques that take into account the available data.</w:t>
      </w:r>
      <w:r>
        <w:rPr>
          <w:rFonts w:eastAsia="Times New Roman" w:cs="Times New Roman"/>
        </w:rPr>
        <w:t xml:space="preserve"> As resources permit, the Commission will </w:t>
      </w:r>
      <w:r w:rsidRPr="0063564F">
        <w:rPr>
          <w:rFonts w:eastAsia="Times New Roman" w:cs="Times New Roman"/>
        </w:rPr>
        <w:t xml:space="preserve">review </w:t>
      </w:r>
      <w:r>
        <w:rPr>
          <w:rFonts w:eastAsia="Times New Roman" w:cs="Times New Roman"/>
        </w:rPr>
        <w:t xml:space="preserve">and revise its </w:t>
      </w:r>
      <w:r w:rsidRPr="0063564F">
        <w:rPr>
          <w:rFonts w:eastAsia="Times New Roman" w:cs="Times New Roman"/>
        </w:rPr>
        <w:t>anti</w:t>
      </w:r>
      <w:r w:rsidRPr="0063564F">
        <w:rPr>
          <w:rFonts w:eastAsia="Times New Roman" w:cs="Times New Roman"/>
        </w:rPr>
        <w:noBreakHyphen/>
        <w:t>dumping system documentation</w:t>
      </w:r>
      <w:r>
        <w:rPr>
          <w:rFonts w:eastAsia="Times New Roman" w:cs="Times New Roman"/>
        </w:rPr>
        <w:t xml:space="preserve">, </w:t>
      </w:r>
      <w:r>
        <w:t>review application screening practices and requirements, and consider potential enhancements (consistent with domestic legislation and international obligations) to streamline policies and practices that may be burdensome for SMEs.</w:t>
      </w:r>
    </w:p>
    <w:p w14:paraId="17636040" w14:textId="77777777" w:rsidR="00E77AAB" w:rsidRDefault="00E77AAB" w:rsidP="00E77AAB">
      <w:pPr>
        <w:spacing w:before="120" w:after="120"/>
        <w:jc w:val="both"/>
        <w:rPr>
          <w:rFonts w:eastAsia="Times New Roman" w:cs="Times New Roman"/>
        </w:rPr>
      </w:pPr>
      <w:r>
        <w:rPr>
          <w:rFonts w:eastAsia="Times New Roman" w:cs="Times New Roman"/>
        </w:rPr>
        <w:t xml:space="preserve">In this regard, the Commission notes the views of the SME access sub-committee on the resource intensiveness of such reviews by the Commission and the sub-committee’s recognition that some of the complexity in the Commission’s processes and documentation result from the complexity of the legislative framework (which, in many cases, reflects the international agreements on anti-dumping and countervailing duty measures, to which Australia is a signatory). </w:t>
      </w:r>
    </w:p>
    <w:p w14:paraId="5A7027E1" w14:textId="77777777" w:rsidR="00E77AAB" w:rsidRDefault="00E77AAB" w:rsidP="00E77AAB">
      <w:pPr>
        <w:keepNext/>
        <w:spacing w:before="120" w:after="120"/>
        <w:rPr>
          <w:rFonts w:eastAsia="Times New Roman" w:cs="Times New Roman"/>
          <w:b/>
        </w:rPr>
      </w:pPr>
      <w:r>
        <w:rPr>
          <w:rFonts w:eastAsia="Times New Roman" w:cs="Times New Roman"/>
          <w:b/>
        </w:rPr>
        <w:t>Addressing impacts on downstream industry</w:t>
      </w:r>
    </w:p>
    <w:p w14:paraId="3F81EF72" w14:textId="3911D2DD" w:rsidR="00E77AAB" w:rsidRDefault="00E77AAB" w:rsidP="00E77AAB">
      <w:pPr>
        <w:tabs>
          <w:tab w:val="left" w:pos="5460"/>
        </w:tabs>
        <w:rPr>
          <w:rFonts w:eastAsia="Times New Roman" w:cs="Times New Roman"/>
        </w:rPr>
      </w:pPr>
      <w:r>
        <w:rPr>
          <w:rFonts w:eastAsia="Times New Roman" w:cs="Times New Roman"/>
        </w:rPr>
        <w:t>Stakeholder views on the impact of anti-dumping measures on downstream industries and markets reflect their different interests, perspectives and experiences of the system. Consequently, there are opposing views among stakeholders and other interested parties on how downstream impacts are best addressed.</w:t>
      </w:r>
    </w:p>
    <w:p w14:paraId="76CBB6DC" w14:textId="77777777" w:rsidR="00E77AAB" w:rsidRDefault="00E77AAB" w:rsidP="00E77AAB">
      <w:pPr>
        <w:spacing w:before="120" w:after="120"/>
        <w:jc w:val="both"/>
      </w:pPr>
      <w:r>
        <w:rPr>
          <w:rFonts w:eastAsia="Times New Roman" w:cs="Times New Roman"/>
        </w:rPr>
        <w:t>As noted in chapter 4, t</w:t>
      </w:r>
      <w:r>
        <w:t xml:space="preserve">he Commission recognises that anti-dumping measures have impacts on downstream industries. The Commission further notes that in consultations with downstream industries affected by anti-dumping measures, there has been general support for a level playing field for both upstream and downstream businesses and for government action to address unfair trading practices. </w:t>
      </w:r>
    </w:p>
    <w:p w14:paraId="00331CF2" w14:textId="77777777" w:rsidR="00E77AAB" w:rsidRDefault="00E77AAB" w:rsidP="00E77AAB">
      <w:pPr>
        <w:spacing w:before="120" w:after="120"/>
        <w:jc w:val="both"/>
      </w:pPr>
      <w:r>
        <w:t>It is important to recognise that anti-dumping measures do not seek to stop imports or give an unfair competitive advantage to Australian producers. The objective of the system is only to create a level playing field by remedying the injury to Australian industry of dumping and foreign subsidisation, consistent with international agreements. Governments of most developed countries, and many developing countries, have established anti-dumping systems to achieve these objectives.</w:t>
      </w:r>
    </w:p>
    <w:p w14:paraId="43EA2FAE" w14:textId="77777777" w:rsidR="00E77AAB" w:rsidRPr="00EA6A1D" w:rsidRDefault="00E77AAB" w:rsidP="00E77AAB">
      <w:pPr>
        <w:spacing w:before="120" w:after="120"/>
        <w:jc w:val="both"/>
      </w:pPr>
      <w:r w:rsidRPr="00EA6A1D">
        <w:t>In the absence of anti-dumping and countervailing duties on primary steel products, the adverse impacts on Australian steel</w:t>
      </w:r>
      <w:r>
        <w:t xml:space="preserve"> </w:t>
      </w:r>
      <w:r w:rsidRPr="00EA6A1D">
        <w:t>fabricators of cheap (</w:t>
      </w:r>
      <w:r>
        <w:t xml:space="preserve">that is, </w:t>
      </w:r>
      <w:r w:rsidRPr="00EA6A1D">
        <w:t xml:space="preserve">dumped and/or subsidised) steel </w:t>
      </w:r>
      <w:r>
        <w:t xml:space="preserve">fabricated </w:t>
      </w:r>
      <w:r w:rsidRPr="00EA6A1D">
        <w:t xml:space="preserve">imports </w:t>
      </w:r>
      <w:r>
        <w:t>c</w:t>
      </w:r>
      <w:r w:rsidRPr="00EA6A1D">
        <w:t xml:space="preserve">ould be offset, in part, by access to cheap (dumped and/or subsidised) steel inputs. However, this would be at the cost of </w:t>
      </w:r>
      <w:proofErr w:type="spellStart"/>
      <w:r w:rsidRPr="00EA6A1D">
        <w:t>unremedied</w:t>
      </w:r>
      <w:proofErr w:type="spellEnd"/>
      <w:r w:rsidRPr="00EA6A1D">
        <w:t xml:space="preserve"> injury to Australian producers of primary steel products.</w:t>
      </w:r>
      <w:r>
        <w:t xml:space="preserve"> A lack of action to remedy proven injury would have adverse economic, employment and social impacts for the Australian community as a whole.</w:t>
      </w:r>
    </w:p>
    <w:p w14:paraId="0A33EFCC" w14:textId="77777777" w:rsidR="00E77AAB" w:rsidRDefault="00E77AAB" w:rsidP="00E77AAB">
      <w:pPr>
        <w:pStyle w:val="Heading3"/>
      </w:pPr>
      <w:r>
        <w:t>Review of access by small and medium enterprises to the anti-dumping system</w:t>
      </w:r>
    </w:p>
    <w:p w14:paraId="05830ED9" w14:textId="77777777" w:rsidR="00E77AAB" w:rsidRDefault="00E77AAB" w:rsidP="00E77AAB">
      <w:pPr>
        <w:spacing w:before="120" w:after="120"/>
      </w:pPr>
      <w:r w:rsidRPr="00B52602">
        <w:t xml:space="preserve">The </w:t>
      </w:r>
      <w:r>
        <w:t>Government has tasked the D</w:t>
      </w:r>
      <w:r w:rsidRPr="00B52602">
        <w:t>epartment</w:t>
      </w:r>
      <w:r>
        <w:t xml:space="preserve"> of Industry, Innovation and Science</w:t>
      </w:r>
      <w:r w:rsidRPr="00B52602">
        <w:t xml:space="preserve"> </w:t>
      </w:r>
      <w:r>
        <w:t>with</w:t>
      </w:r>
      <w:r w:rsidRPr="00B52602">
        <w:t xml:space="preserve"> undertaking </w:t>
      </w:r>
      <w:r>
        <w:t>a</w:t>
      </w:r>
      <w:r w:rsidRPr="00B52602">
        <w:t xml:space="preserve"> review o</w:t>
      </w:r>
      <w:r>
        <w:t>f</w:t>
      </w:r>
      <w:r w:rsidRPr="00B52602">
        <w:t xml:space="preserve"> SME </w:t>
      </w:r>
      <w:r>
        <w:t>a</w:t>
      </w:r>
      <w:r w:rsidRPr="00B52602">
        <w:t>ccess to obtain a comprehensive understanding of</w:t>
      </w:r>
      <w:r>
        <w:t xml:space="preserve"> the</w:t>
      </w:r>
      <w:r w:rsidRPr="00B52602">
        <w:t xml:space="preserve"> problems and potential solutions. </w:t>
      </w:r>
      <w:r>
        <w:t>The review involves close</w:t>
      </w:r>
      <w:r w:rsidRPr="00B52602">
        <w:t xml:space="preserve"> consult</w:t>
      </w:r>
      <w:r>
        <w:t>ation</w:t>
      </w:r>
      <w:r w:rsidRPr="00B52602">
        <w:t xml:space="preserve"> </w:t>
      </w:r>
      <w:r>
        <w:t>across</w:t>
      </w:r>
      <w:r w:rsidRPr="00B52602">
        <w:t xml:space="preserve"> government and </w:t>
      </w:r>
      <w:r>
        <w:t xml:space="preserve">with </w:t>
      </w:r>
      <w:r w:rsidRPr="00B52602">
        <w:t>industry stakeholders</w:t>
      </w:r>
      <w:r>
        <w:t>. The review will be completed by the end of 2017 and findings and recommendations will be provided to the Government for consideration in early 2018.</w:t>
      </w:r>
    </w:p>
    <w:p w14:paraId="2914908C" w14:textId="77777777" w:rsidR="00E77AAB" w:rsidRDefault="00E77AAB">
      <w:pPr>
        <w:spacing w:after="160" w:line="259" w:lineRule="auto"/>
        <w:rPr>
          <w:rFonts w:asciiTheme="majorHAnsi" w:eastAsiaTheme="majorEastAsia" w:hAnsiTheme="majorHAnsi" w:cstheme="majorBidi"/>
          <w:b/>
          <w:bCs/>
          <w:color w:val="2E74B5" w:themeColor="accent1" w:themeShade="BF"/>
          <w:sz w:val="28"/>
          <w:szCs w:val="28"/>
        </w:rPr>
      </w:pPr>
      <w:bookmarkStart w:id="78" w:name="_Toc482878204"/>
      <w:bookmarkStart w:id="79" w:name="_Toc487532447"/>
      <w:r>
        <w:br w:type="page"/>
      </w:r>
    </w:p>
    <w:p w14:paraId="61E69596" w14:textId="2BA30C1D" w:rsidR="00E77AAB" w:rsidRPr="00545318" w:rsidRDefault="00E77AAB" w:rsidP="00E77AAB">
      <w:pPr>
        <w:pStyle w:val="Heading1"/>
        <w:numPr>
          <w:ilvl w:val="0"/>
          <w:numId w:val="0"/>
        </w:numPr>
        <w:spacing w:after="360"/>
        <w:ind w:left="431" w:hanging="431"/>
      </w:pPr>
      <w:r>
        <w:t>Appendix</w:t>
      </w:r>
      <w:r w:rsidRPr="00545318">
        <w:t xml:space="preserve"> 1: Overview of Australia’s trade remedy system</w:t>
      </w:r>
      <w:bookmarkEnd w:id="78"/>
      <w:bookmarkEnd w:id="79"/>
    </w:p>
    <w:p w14:paraId="660592B3" w14:textId="77777777" w:rsidR="00E77AAB" w:rsidRPr="00545318" w:rsidRDefault="00E77AAB" w:rsidP="00E77AAB">
      <w:pPr>
        <w:spacing w:before="120" w:after="120"/>
        <w:jc w:val="both"/>
      </w:pPr>
      <w:r>
        <w:t xml:space="preserve">The objective of </w:t>
      </w:r>
      <w:r w:rsidRPr="00545318">
        <w:t xml:space="preserve">Australia’s trade remedy system </w:t>
      </w:r>
      <w:r>
        <w:t xml:space="preserve">is to investigate and, where appropriate, remedy the </w:t>
      </w:r>
      <w:r w:rsidRPr="00986F9D">
        <w:t>material injury to an Australian industry</w:t>
      </w:r>
      <w:r>
        <w:t xml:space="preserve"> caused by imported </w:t>
      </w:r>
      <w:r w:rsidRPr="00545318">
        <w:t xml:space="preserve">goods that are ‘dumped’ into Australia or subsidised in the country of origin. </w:t>
      </w:r>
      <w:r>
        <w:t>T</w:t>
      </w:r>
      <w:r w:rsidRPr="00545318">
        <w:t xml:space="preserve">rade remedies in the form of anti-dumping or countervailing duties </w:t>
      </w:r>
      <w:r>
        <w:t>can be imposed to allow the Australian industry producing ‘like’</w:t>
      </w:r>
      <w:r w:rsidRPr="00545318">
        <w:t xml:space="preserve"> goods</w:t>
      </w:r>
      <w:r>
        <w:t xml:space="preserve"> to compete on a level playing field with imported goods</w:t>
      </w:r>
      <w:r w:rsidRPr="00545318">
        <w:t xml:space="preserve">. </w:t>
      </w:r>
    </w:p>
    <w:p w14:paraId="7ED9DCDA" w14:textId="77777777" w:rsidR="00E77AAB" w:rsidRPr="00B16697" w:rsidRDefault="00E77AAB" w:rsidP="00E77AAB">
      <w:pPr>
        <w:keepNext/>
        <w:jc w:val="both"/>
        <w:rPr>
          <w:rFonts w:asciiTheme="majorHAnsi" w:hAnsiTheme="majorHAnsi"/>
          <w:b/>
          <w:color w:val="4F81BD"/>
          <w:sz w:val="26"/>
          <w:szCs w:val="26"/>
        </w:rPr>
      </w:pPr>
      <w:bookmarkStart w:id="80" w:name="_Toc458674194"/>
      <w:r w:rsidRPr="00B16697">
        <w:rPr>
          <w:rFonts w:asciiTheme="majorHAnsi" w:hAnsiTheme="majorHAnsi"/>
          <w:b/>
          <w:color w:val="4F81BD"/>
          <w:sz w:val="26"/>
          <w:szCs w:val="26"/>
        </w:rPr>
        <w:t>What is dumping?</w:t>
      </w:r>
      <w:bookmarkEnd w:id="80"/>
    </w:p>
    <w:p w14:paraId="06FA92C2" w14:textId="77777777" w:rsidR="00E77AAB" w:rsidRPr="00545318" w:rsidRDefault="00E77AAB" w:rsidP="00E77AAB">
      <w:pPr>
        <w:spacing w:before="120" w:after="120"/>
        <w:jc w:val="both"/>
      </w:pPr>
      <w:r w:rsidRPr="00545318">
        <w:t>Dumping occurs when a</w:t>
      </w:r>
      <w:r>
        <w:t xml:space="preserve"> foreign</w:t>
      </w:r>
      <w:r w:rsidRPr="00545318">
        <w:t xml:space="preserve"> exporter sells goods </w:t>
      </w:r>
      <w:r>
        <w:t>in</w:t>
      </w:r>
      <w:r w:rsidRPr="00545318">
        <w:t>to Australia at a price that is below the ‘normal value’ of the goods. The normal value will usually be the domestic price of the goods in the country of export. The margin of dumping is the amount by which that normal value exceeds the ‘export price’ of the goods.</w:t>
      </w:r>
    </w:p>
    <w:p w14:paraId="55DCBDD2" w14:textId="77777777" w:rsidR="00E77AAB" w:rsidRPr="00545318" w:rsidRDefault="00E77AAB" w:rsidP="00E77AAB">
      <w:pPr>
        <w:spacing w:before="120" w:after="120"/>
        <w:jc w:val="both"/>
      </w:pPr>
      <w:r w:rsidRPr="00545318">
        <w:t xml:space="preserve">Dumping is not prohibited under international trade agreements and it is not illegal. </w:t>
      </w:r>
      <w:r>
        <w:t xml:space="preserve">However, WTO nations have recognised that dumping can give foreign exporters an ‘unfair’ competitive advantage over the domestic industry in the country in which the goods are dumped. </w:t>
      </w:r>
      <w:r w:rsidRPr="00545318">
        <w:t>Consistent with WTO rules, anti-dumping duties may be imposed when dumping causes, or threatens to cause, material injury to an Australian industry.</w:t>
      </w:r>
    </w:p>
    <w:p w14:paraId="106AF49D" w14:textId="77777777" w:rsidR="00E77AAB" w:rsidRPr="00B16697" w:rsidRDefault="00E77AAB" w:rsidP="00E77AAB">
      <w:pPr>
        <w:keepNext/>
        <w:jc w:val="both"/>
        <w:rPr>
          <w:rFonts w:asciiTheme="majorHAnsi" w:hAnsiTheme="majorHAnsi"/>
          <w:b/>
          <w:color w:val="4F81BD"/>
          <w:sz w:val="26"/>
          <w:szCs w:val="26"/>
        </w:rPr>
      </w:pPr>
      <w:bookmarkStart w:id="81" w:name="_Toc458674195"/>
      <w:r w:rsidRPr="00B16697">
        <w:rPr>
          <w:rFonts w:asciiTheme="majorHAnsi" w:hAnsiTheme="majorHAnsi"/>
          <w:b/>
          <w:color w:val="4F81BD"/>
          <w:sz w:val="26"/>
          <w:szCs w:val="26"/>
        </w:rPr>
        <w:t>What is subsidisation?</w:t>
      </w:r>
      <w:bookmarkEnd w:id="81"/>
    </w:p>
    <w:p w14:paraId="7236DDE9" w14:textId="77777777" w:rsidR="00E77AAB" w:rsidRPr="00545318" w:rsidRDefault="00E77AAB" w:rsidP="00E77AAB">
      <w:pPr>
        <w:spacing w:before="120" w:after="120"/>
        <w:jc w:val="both"/>
      </w:pPr>
      <w:r w:rsidRPr="00545318">
        <w:t>Subsidisation occurs when imported goods benefit from government assistance in the country of export. Subsidisation can be:</w:t>
      </w:r>
    </w:p>
    <w:p w14:paraId="3DEC1A4C" w14:textId="77777777" w:rsidR="00E77AAB" w:rsidRPr="00545318" w:rsidRDefault="00E77AAB" w:rsidP="00E77AAB">
      <w:pPr>
        <w:pStyle w:val="ListParagraph"/>
        <w:numPr>
          <w:ilvl w:val="0"/>
          <w:numId w:val="31"/>
        </w:numPr>
        <w:spacing w:before="120" w:after="120"/>
        <w:jc w:val="both"/>
      </w:pPr>
      <w:r w:rsidRPr="00545318">
        <w:t>an export subsidy that encourages export performance and/or</w:t>
      </w:r>
    </w:p>
    <w:p w14:paraId="25B9A9C1" w14:textId="77777777" w:rsidR="00E77AAB" w:rsidRPr="00545318" w:rsidRDefault="00E77AAB" w:rsidP="00E77AAB">
      <w:pPr>
        <w:pStyle w:val="ListParagraph"/>
        <w:numPr>
          <w:ilvl w:val="0"/>
          <w:numId w:val="31"/>
        </w:numPr>
        <w:spacing w:before="120" w:after="120"/>
        <w:jc w:val="both"/>
      </w:pPr>
      <w:proofErr w:type="gramStart"/>
      <w:r w:rsidRPr="00545318">
        <w:t>a</w:t>
      </w:r>
      <w:proofErr w:type="gramEnd"/>
      <w:r w:rsidRPr="00545318">
        <w:t xml:space="preserve"> domestic subsidy </w:t>
      </w:r>
      <w:r>
        <w:t xml:space="preserve">or other financial benefit </w:t>
      </w:r>
      <w:r w:rsidRPr="00545318">
        <w:t xml:space="preserve">that </w:t>
      </w:r>
      <w:r>
        <w:t>(directly or indirectly) reduces the costs of</w:t>
      </w:r>
      <w:r w:rsidRPr="00545318">
        <w:t xml:space="preserve"> all goods </w:t>
      </w:r>
      <w:r>
        <w:t>produced by</w:t>
      </w:r>
      <w:r w:rsidRPr="00545318">
        <w:t xml:space="preserve"> the </w:t>
      </w:r>
      <w:r>
        <w:t xml:space="preserve">domestic </w:t>
      </w:r>
      <w:r w:rsidRPr="00545318">
        <w:t>industry</w:t>
      </w:r>
      <w:r>
        <w:t>,</w:t>
      </w:r>
      <w:r w:rsidRPr="00545318">
        <w:t xml:space="preserve"> including </w:t>
      </w:r>
      <w:r>
        <w:t>goods that</w:t>
      </w:r>
      <w:r w:rsidRPr="00545318">
        <w:t xml:space="preserve"> </w:t>
      </w:r>
      <w:r>
        <w:t>are exported.</w:t>
      </w:r>
    </w:p>
    <w:p w14:paraId="5EB22A47" w14:textId="77777777" w:rsidR="00E77AAB" w:rsidRPr="00545318" w:rsidRDefault="00E77AAB" w:rsidP="00E77AAB">
      <w:pPr>
        <w:spacing w:before="120" w:after="120"/>
        <w:jc w:val="both"/>
      </w:pPr>
      <w:r w:rsidRPr="00545318">
        <w:t>Commonly found subsidies include: preferential loans; grants; tax incentives; and the provision of goods or services</w:t>
      </w:r>
      <w:r>
        <w:t xml:space="preserve"> for less than adequate remuneration (typically less than the cost of supply)</w:t>
      </w:r>
      <w:r w:rsidRPr="00545318">
        <w:t xml:space="preserve">. </w:t>
      </w:r>
      <w:r w:rsidRPr="003365B7">
        <w:t xml:space="preserve">WTO nations have recognised that </w:t>
      </w:r>
      <w:r>
        <w:t>foreign government subsidisation</w:t>
      </w:r>
      <w:r w:rsidRPr="003365B7">
        <w:t xml:space="preserve"> can give foreign exporters an ‘unfair’ competitive advantage over the domestic industry in the country </w:t>
      </w:r>
      <w:r>
        <w:t>to</w:t>
      </w:r>
      <w:r w:rsidRPr="003365B7">
        <w:t xml:space="preserve"> which the goods are </w:t>
      </w:r>
      <w:r>
        <w:t>exported.</w:t>
      </w:r>
    </w:p>
    <w:p w14:paraId="740CC579" w14:textId="77777777" w:rsidR="00E77AAB" w:rsidRPr="00545318" w:rsidRDefault="00E77AAB" w:rsidP="00E77AAB">
      <w:pPr>
        <w:spacing w:before="120" w:after="120"/>
        <w:jc w:val="both"/>
      </w:pPr>
      <w:r w:rsidRPr="00545318">
        <w:t>A countervailing duty can be imposed to offset the amount of the subsidy where the subsidy applies to a specific firm, group of firms or industry. Export subsidies, and subsidies contingent on the use of domestic over imported goods, are prohibited under WTO rules.</w:t>
      </w:r>
    </w:p>
    <w:p w14:paraId="2900B170" w14:textId="77777777" w:rsidR="00E77AAB" w:rsidRPr="00B16697" w:rsidRDefault="00E77AAB" w:rsidP="00E77AAB">
      <w:pPr>
        <w:keepNext/>
        <w:jc w:val="both"/>
        <w:rPr>
          <w:rFonts w:asciiTheme="majorHAnsi" w:hAnsiTheme="majorHAnsi"/>
          <w:b/>
          <w:color w:val="4F81BD"/>
          <w:sz w:val="26"/>
          <w:szCs w:val="26"/>
        </w:rPr>
      </w:pPr>
      <w:bookmarkStart w:id="82" w:name="_Toc458674196"/>
      <w:r w:rsidRPr="00B16697">
        <w:rPr>
          <w:rFonts w:asciiTheme="majorHAnsi" w:hAnsiTheme="majorHAnsi"/>
          <w:b/>
          <w:color w:val="4F81BD"/>
          <w:sz w:val="26"/>
          <w:szCs w:val="26"/>
        </w:rPr>
        <w:t>Dumping or subsidisation must cause material injury to be actionable</w:t>
      </w:r>
      <w:bookmarkEnd w:id="82"/>
      <w:r w:rsidRPr="00B16697">
        <w:rPr>
          <w:rFonts w:asciiTheme="majorHAnsi" w:hAnsiTheme="majorHAnsi"/>
          <w:b/>
          <w:color w:val="4F81BD"/>
          <w:sz w:val="26"/>
          <w:szCs w:val="26"/>
        </w:rPr>
        <w:t xml:space="preserve"> </w:t>
      </w:r>
    </w:p>
    <w:p w14:paraId="1AA3E08B" w14:textId="77777777" w:rsidR="00E77AAB" w:rsidRPr="00545318" w:rsidRDefault="00E77AAB" w:rsidP="00E77AAB">
      <w:pPr>
        <w:spacing w:before="120" w:after="120"/>
        <w:jc w:val="both"/>
      </w:pPr>
      <w:r w:rsidRPr="00545318">
        <w:t>In order for dumping or subsidisation to be actionable under Australian law, the dumped or subsidised imports must be shown to cause material injury to the relevant Australian industry.</w:t>
      </w:r>
    </w:p>
    <w:p w14:paraId="1BE9F995" w14:textId="77777777" w:rsidR="00E77AAB" w:rsidRPr="00B16697" w:rsidRDefault="00E77AAB" w:rsidP="00E77AAB">
      <w:pPr>
        <w:keepNext/>
        <w:jc w:val="both"/>
        <w:rPr>
          <w:rFonts w:asciiTheme="majorHAnsi" w:hAnsiTheme="majorHAnsi"/>
          <w:b/>
          <w:color w:val="4F81BD"/>
        </w:rPr>
      </w:pPr>
      <w:r w:rsidRPr="00B16697">
        <w:rPr>
          <w:rFonts w:asciiTheme="majorHAnsi" w:hAnsiTheme="majorHAnsi"/>
          <w:b/>
          <w:color w:val="4F81BD"/>
        </w:rPr>
        <w:t>What is material injury?</w:t>
      </w:r>
    </w:p>
    <w:p w14:paraId="7A188EBC" w14:textId="77777777" w:rsidR="00E77AAB" w:rsidRPr="00545318" w:rsidRDefault="00E77AAB" w:rsidP="00E77AAB">
      <w:pPr>
        <w:spacing w:before="120" w:after="120"/>
        <w:jc w:val="both"/>
      </w:pPr>
      <w:r w:rsidRPr="00545318">
        <w:t>Material injury is assessed through relevant indices and factors that demonstrate the state of the relevant Australian industry including:</w:t>
      </w:r>
    </w:p>
    <w:p w14:paraId="1B28B8B0" w14:textId="77777777" w:rsidR="00E77AAB" w:rsidRPr="00545318" w:rsidRDefault="00E77AAB" w:rsidP="00E77AAB">
      <w:pPr>
        <w:pStyle w:val="ListParagraph"/>
        <w:numPr>
          <w:ilvl w:val="0"/>
          <w:numId w:val="31"/>
        </w:numPr>
        <w:spacing w:before="120" w:after="120"/>
        <w:jc w:val="both"/>
      </w:pPr>
      <w:r w:rsidRPr="00545318">
        <w:t>volumes of dumped or subsidised imports</w:t>
      </w:r>
    </w:p>
    <w:p w14:paraId="0441EB1E" w14:textId="77777777" w:rsidR="00E77AAB" w:rsidRPr="00545318" w:rsidRDefault="00E77AAB" w:rsidP="00E77AAB">
      <w:pPr>
        <w:pStyle w:val="ListParagraph"/>
        <w:numPr>
          <w:ilvl w:val="0"/>
          <w:numId w:val="31"/>
        </w:numPr>
        <w:spacing w:before="120" w:after="120"/>
        <w:jc w:val="both"/>
      </w:pPr>
      <w:r w:rsidRPr="00545318">
        <w:t>price effects of dumped or subsidised imports</w:t>
      </w:r>
    </w:p>
    <w:p w14:paraId="6FE593B2" w14:textId="77777777" w:rsidR="00E77AAB" w:rsidRPr="00545318" w:rsidRDefault="00E77AAB" w:rsidP="00E77AAB">
      <w:pPr>
        <w:pStyle w:val="ListParagraph"/>
        <w:numPr>
          <w:ilvl w:val="0"/>
          <w:numId w:val="31"/>
        </w:numPr>
        <w:spacing w:before="120" w:after="120"/>
        <w:jc w:val="both"/>
      </w:pPr>
      <w:proofErr w:type="gramStart"/>
      <w:r w:rsidRPr="00545318">
        <w:t>consequent</w:t>
      </w:r>
      <w:proofErr w:type="gramEnd"/>
      <w:r w:rsidRPr="00545318">
        <w:t xml:space="preserve"> economic effects on, for example, profit, capacity utilisation, and market share.</w:t>
      </w:r>
    </w:p>
    <w:p w14:paraId="555FFD89" w14:textId="77777777" w:rsidR="00E77AAB" w:rsidRPr="00545318" w:rsidRDefault="00E77AAB" w:rsidP="00E77AAB">
      <w:pPr>
        <w:spacing w:before="120" w:after="120"/>
        <w:jc w:val="both"/>
      </w:pPr>
      <w:r w:rsidRPr="00545318">
        <w:t xml:space="preserve">Material injury may be current material injury, threatened material injury, or material hindrance to the establishment of an Australian industry. </w:t>
      </w:r>
    </w:p>
    <w:p w14:paraId="5E8E63EF" w14:textId="77777777" w:rsidR="00E77AAB" w:rsidRPr="00B16697" w:rsidRDefault="00E77AAB" w:rsidP="00E77AAB">
      <w:pPr>
        <w:keepNext/>
        <w:jc w:val="both"/>
        <w:rPr>
          <w:rFonts w:asciiTheme="majorHAnsi" w:hAnsiTheme="majorHAnsi"/>
          <w:b/>
          <w:color w:val="4F81BD"/>
        </w:rPr>
      </w:pPr>
      <w:r w:rsidRPr="00B16697">
        <w:rPr>
          <w:rFonts w:asciiTheme="majorHAnsi" w:hAnsiTheme="majorHAnsi"/>
          <w:b/>
          <w:color w:val="4F81BD"/>
        </w:rPr>
        <w:t>There must be a causal link between material injury and dumped or subsidised goods</w:t>
      </w:r>
    </w:p>
    <w:p w14:paraId="179CA8A2" w14:textId="77777777" w:rsidR="00E77AAB" w:rsidRPr="00545318" w:rsidRDefault="00E77AAB" w:rsidP="00E77AAB">
      <w:pPr>
        <w:spacing w:before="120" w:after="120"/>
        <w:jc w:val="both"/>
      </w:pPr>
      <w:r w:rsidRPr="00545318">
        <w:t>Consistent with WTO rules, trade remedies may not generally be imposed unless there is evidence of a causal link between material injury and the dumped or subsidised imports.</w:t>
      </w:r>
    </w:p>
    <w:p w14:paraId="6FFE1C66" w14:textId="77777777" w:rsidR="00E77AAB" w:rsidRDefault="00E77AAB" w:rsidP="00E77AAB">
      <w:pPr>
        <w:spacing w:before="120" w:after="120"/>
        <w:jc w:val="both"/>
      </w:pPr>
      <w:r w:rsidRPr="00545318">
        <w:t xml:space="preserve">Any injury caused by a factor other than by the dumped or subsidised goods being imported (such as contractions in demand, imported goods that are not dumped or subsidised, or developments in technology) must not be attributed to </w:t>
      </w:r>
      <w:r>
        <w:t xml:space="preserve">the </w:t>
      </w:r>
      <w:r w:rsidRPr="00545318">
        <w:t>dumped or subsidised goods.</w:t>
      </w:r>
    </w:p>
    <w:p w14:paraId="02947530" w14:textId="77777777" w:rsidR="00E77AAB" w:rsidRPr="00B16697" w:rsidRDefault="00E77AAB" w:rsidP="00E77AAB">
      <w:pPr>
        <w:keepNext/>
        <w:jc w:val="both"/>
        <w:rPr>
          <w:rFonts w:asciiTheme="majorHAnsi" w:hAnsiTheme="majorHAnsi"/>
          <w:b/>
          <w:color w:val="4F81BD"/>
          <w:sz w:val="26"/>
          <w:szCs w:val="26"/>
        </w:rPr>
      </w:pPr>
      <w:bookmarkStart w:id="83" w:name="_Toc458674197"/>
      <w:r w:rsidRPr="00B16697">
        <w:rPr>
          <w:rFonts w:asciiTheme="majorHAnsi" w:hAnsiTheme="majorHAnsi"/>
          <w:b/>
          <w:color w:val="4F81BD"/>
          <w:sz w:val="26"/>
          <w:szCs w:val="26"/>
        </w:rPr>
        <w:t>The form of Australian trade remedies</w:t>
      </w:r>
      <w:bookmarkEnd w:id="83"/>
    </w:p>
    <w:p w14:paraId="146056EE" w14:textId="77777777" w:rsidR="00E77AAB" w:rsidRPr="00545318" w:rsidRDefault="00E77AAB" w:rsidP="00E77AAB">
      <w:pPr>
        <w:spacing w:before="120" w:after="120"/>
        <w:jc w:val="both"/>
      </w:pPr>
      <w:r w:rsidRPr="00545318">
        <w:t xml:space="preserve">Where dumped or subsidised goods have caused material injury to an Australian industry, remedial action may be taken by the Minister in the form of anti-dumping or countervailing duties, or </w:t>
      </w:r>
      <w:r>
        <w:t xml:space="preserve">by the acceptance of an effective </w:t>
      </w:r>
      <w:r w:rsidRPr="00545318">
        <w:t xml:space="preserve">price undertakings by the exporter. </w:t>
      </w:r>
    </w:p>
    <w:p w14:paraId="4EF3AD8C" w14:textId="77777777" w:rsidR="00E77AAB" w:rsidRPr="00545318" w:rsidRDefault="00E77AAB" w:rsidP="00E77AAB">
      <w:pPr>
        <w:spacing w:before="120" w:after="120"/>
        <w:jc w:val="both"/>
      </w:pPr>
      <w:r w:rsidRPr="00545318">
        <w:t xml:space="preserve">Anti-dumping duties can be ad valorem, fixed, floor price, or a combination of fixed and variable duties. Countervailing duties can be ad valorem, a fixed amount per unit or a combination of the two. </w:t>
      </w:r>
    </w:p>
    <w:p w14:paraId="7555B078" w14:textId="77777777" w:rsidR="00E77AAB" w:rsidRPr="00545318" w:rsidRDefault="00E77AAB" w:rsidP="00E77AAB">
      <w:pPr>
        <w:spacing w:before="120" w:after="120"/>
        <w:jc w:val="both"/>
      </w:pPr>
      <w:r w:rsidRPr="00545318">
        <w:t xml:space="preserve">Price undertakings are an agreement by the exporter to sell at a minimum price. In this case, anti-dumping duties are not collected on the imported goods. The acceptance of an undertaking is at the Minister’s discretion. </w:t>
      </w:r>
    </w:p>
    <w:p w14:paraId="735FD8E9" w14:textId="77777777" w:rsidR="00E77AAB" w:rsidRPr="00B16697" w:rsidRDefault="00E77AAB" w:rsidP="00E77AAB">
      <w:pPr>
        <w:keepNext/>
        <w:jc w:val="both"/>
        <w:rPr>
          <w:rFonts w:asciiTheme="majorHAnsi" w:hAnsiTheme="majorHAnsi"/>
          <w:b/>
          <w:color w:val="4F81BD"/>
          <w:sz w:val="26"/>
          <w:szCs w:val="26"/>
        </w:rPr>
      </w:pPr>
      <w:bookmarkStart w:id="84" w:name="_Toc458674198"/>
      <w:r w:rsidRPr="00B16697">
        <w:rPr>
          <w:rFonts w:asciiTheme="majorHAnsi" w:hAnsiTheme="majorHAnsi"/>
          <w:b/>
          <w:color w:val="4F81BD"/>
          <w:sz w:val="26"/>
          <w:szCs w:val="26"/>
        </w:rPr>
        <w:t>Administration of Australia’s trade remedy system</w:t>
      </w:r>
      <w:bookmarkEnd w:id="84"/>
    </w:p>
    <w:p w14:paraId="3F116372" w14:textId="77777777" w:rsidR="00E77AAB" w:rsidRPr="00545318" w:rsidRDefault="00E77AAB" w:rsidP="00E77AAB">
      <w:pPr>
        <w:spacing w:before="120" w:after="120"/>
        <w:jc w:val="both"/>
      </w:pPr>
      <w:r w:rsidRPr="00545318">
        <w:t xml:space="preserve">The Anti-Dumping Commission administers Australia’s anti-dumping system. The Commission investigates the dumping and subsidy claims lodged by an Australian industry applicant. </w:t>
      </w:r>
    </w:p>
    <w:p w14:paraId="1920EF8C" w14:textId="77777777" w:rsidR="00E77AAB" w:rsidRPr="00545318" w:rsidRDefault="00E77AAB" w:rsidP="00E77AAB">
      <w:pPr>
        <w:spacing w:before="120" w:after="120"/>
        <w:jc w:val="both"/>
      </w:pPr>
      <w:r w:rsidRPr="00545318">
        <w:t>The investigation includes examination of the alleged dumping or subsidies (as applicable), the injury suffered by the Australian industry concerned, and the causal link between the dumping or subsidy and injury found</w:t>
      </w:r>
      <w:r>
        <w:t xml:space="preserve"> to have been suffered by the Australian industry</w:t>
      </w:r>
      <w:r w:rsidRPr="00545318">
        <w:t xml:space="preserve">. The Commissioner of the </w:t>
      </w:r>
      <w:r>
        <w:br/>
      </w:r>
      <w:r w:rsidRPr="00545318">
        <w:t xml:space="preserve">Anti-Dumping Commission recommends to the Minister whether anti-dumping or countervailing duties should be imposed. </w:t>
      </w:r>
    </w:p>
    <w:p w14:paraId="1F928D40" w14:textId="77777777" w:rsidR="00E77AAB" w:rsidRPr="00B16697" w:rsidRDefault="00E77AAB" w:rsidP="00E77AAB">
      <w:pPr>
        <w:keepNext/>
        <w:jc w:val="both"/>
        <w:rPr>
          <w:rFonts w:asciiTheme="majorHAnsi" w:hAnsiTheme="majorHAnsi"/>
          <w:b/>
          <w:color w:val="4F81BD"/>
          <w:sz w:val="26"/>
          <w:szCs w:val="26"/>
        </w:rPr>
      </w:pPr>
      <w:bookmarkStart w:id="85" w:name="_Toc458674199"/>
      <w:r w:rsidRPr="00B16697">
        <w:rPr>
          <w:rFonts w:asciiTheme="majorHAnsi" w:hAnsiTheme="majorHAnsi"/>
          <w:b/>
          <w:color w:val="4F81BD"/>
          <w:sz w:val="26"/>
          <w:szCs w:val="26"/>
        </w:rPr>
        <w:t>What is the connection between government interventions or influence in markets and trade remedies?</w:t>
      </w:r>
      <w:bookmarkEnd w:id="85"/>
    </w:p>
    <w:p w14:paraId="54419D5A" w14:textId="77777777" w:rsidR="00E77AAB" w:rsidRPr="00545318" w:rsidRDefault="00E77AAB" w:rsidP="00E77AAB">
      <w:pPr>
        <w:spacing w:before="120" w:after="120"/>
        <w:jc w:val="both"/>
      </w:pPr>
      <w:r w:rsidRPr="00545318">
        <w:t>Trade-exposed Australian industries often seek trade remedies in circumstances where government interventions or influence in markets distort market behaviour and result in dumped or subsidised goods being exported to Australia.</w:t>
      </w:r>
    </w:p>
    <w:p w14:paraId="743E5C03" w14:textId="77777777" w:rsidR="00E77AAB" w:rsidRPr="00545318" w:rsidRDefault="00E77AAB" w:rsidP="00E77AAB">
      <w:pPr>
        <w:spacing w:before="120" w:after="120"/>
        <w:jc w:val="both"/>
      </w:pPr>
      <w:r w:rsidRPr="00545318">
        <w:t>In investigating alleged dumping or subsidisation, the Commission considers foreign government interventions or influence in the following ways:</w:t>
      </w:r>
    </w:p>
    <w:p w14:paraId="175CC286" w14:textId="77777777" w:rsidR="00E77AAB" w:rsidRPr="00545318" w:rsidRDefault="00E77AAB" w:rsidP="00E77AAB">
      <w:pPr>
        <w:pStyle w:val="ListParagraph"/>
        <w:numPr>
          <w:ilvl w:val="0"/>
          <w:numId w:val="32"/>
        </w:numPr>
        <w:spacing w:before="120" w:after="120"/>
        <w:contextualSpacing w:val="0"/>
        <w:jc w:val="both"/>
      </w:pPr>
      <w:r w:rsidRPr="00545318">
        <w:rPr>
          <w:b/>
        </w:rPr>
        <w:t>Directly:</w:t>
      </w:r>
      <w:r w:rsidRPr="00545318">
        <w:t xml:space="preserve"> In the course of investigations into alleged subsidisation, the Commission directly assesses whether a foreign government has intervened in or influenced the relevant market by providing subsidies to a specific exporting firm, group of firms or industry.</w:t>
      </w:r>
    </w:p>
    <w:p w14:paraId="5C9F43A7" w14:textId="77777777" w:rsidR="00E77AAB" w:rsidRPr="00545318" w:rsidRDefault="00E77AAB" w:rsidP="00E77AAB">
      <w:pPr>
        <w:pStyle w:val="ListParagraph"/>
        <w:numPr>
          <w:ilvl w:val="0"/>
          <w:numId w:val="32"/>
        </w:numPr>
        <w:spacing w:before="120" w:after="120"/>
        <w:contextualSpacing w:val="0"/>
        <w:jc w:val="both"/>
      </w:pPr>
      <w:r w:rsidRPr="00545318">
        <w:rPr>
          <w:b/>
        </w:rPr>
        <w:t>Indirectly:</w:t>
      </w:r>
      <w:r w:rsidRPr="00545318">
        <w:t xml:space="preserve"> In the course of an investigation into alleged dumping, the Commission may assess whether a ‘market situation’ exists in the relevant foreign market or markets for key inputs. A market situation may be found where a foreign government has intervened in or influenced the relevant market such that it does not function as a competitive market. In those circumstances the Commission may determine the normal value of the relevant goods by reference to information other than the domestic price of the goods in the country of export.</w:t>
      </w:r>
    </w:p>
    <w:p w14:paraId="4BC3B311" w14:textId="77777777" w:rsidR="00E77AAB" w:rsidRPr="00F011F1" w:rsidRDefault="00E77AAB" w:rsidP="00E77AAB">
      <w:pPr>
        <w:tabs>
          <w:tab w:val="left" w:pos="5460"/>
        </w:tabs>
      </w:pPr>
    </w:p>
    <w:sectPr w:rsidR="00E77AAB" w:rsidRPr="00F011F1" w:rsidSect="00E77AAB">
      <w:pgSz w:w="11906" w:h="16838" w:code="9"/>
      <w:pgMar w:top="1134" w:right="1440" w:bottom="1134"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FE5F8B" w14:textId="77777777" w:rsidR="000B20C3" w:rsidRDefault="000B20C3" w:rsidP="00113DB0">
      <w:r>
        <w:separator/>
      </w:r>
    </w:p>
  </w:endnote>
  <w:endnote w:type="continuationSeparator" w:id="0">
    <w:p w14:paraId="3C370DC2" w14:textId="77777777" w:rsidR="000B20C3" w:rsidRDefault="000B20C3" w:rsidP="00113D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roboto_condensedregular">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B612DD" w14:textId="77777777" w:rsidR="00FF1BA5" w:rsidRDefault="00FF1BA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D00E0B" w14:textId="77777777" w:rsidR="000B20C3" w:rsidRPr="00950009" w:rsidRDefault="000B20C3" w:rsidP="00950009">
    <w:pPr>
      <w:pStyle w:val="Footer"/>
      <w:jc w:val="center"/>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1EB9B9" w14:textId="77777777" w:rsidR="00FF1BA5" w:rsidRDefault="00FF1BA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9421050"/>
      <w:docPartObj>
        <w:docPartGallery w:val="Page Numbers (Bottom of Page)"/>
        <w:docPartUnique/>
      </w:docPartObj>
    </w:sdtPr>
    <w:sdtEndPr>
      <w:rPr>
        <w:noProof/>
        <w:sz w:val="20"/>
      </w:rPr>
    </w:sdtEndPr>
    <w:sdtContent>
      <w:p w14:paraId="72A36505" w14:textId="79227614" w:rsidR="0092094C" w:rsidRPr="00FF1BA5" w:rsidRDefault="0092094C">
        <w:pPr>
          <w:pStyle w:val="Footer"/>
          <w:jc w:val="center"/>
          <w:rPr>
            <w:sz w:val="20"/>
          </w:rPr>
        </w:pPr>
        <w:r w:rsidRPr="00FF1BA5">
          <w:rPr>
            <w:sz w:val="20"/>
          </w:rPr>
          <w:fldChar w:fldCharType="begin"/>
        </w:r>
        <w:r w:rsidRPr="00FF1BA5">
          <w:rPr>
            <w:sz w:val="20"/>
          </w:rPr>
          <w:instrText xml:space="preserve"> PAGE   \* MERGEFORMAT </w:instrText>
        </w:r>
        <w:r w:rsidRPr="00FF1BA5">
          <w:rPr>
            <w:sz w:val="20"/>
          </w:rPr>
          <w:fldChar w:fldCharType="separate"/>
        </w:r>
        <w:r w:rsidR="00DE4AA9">
          <w:rPr>
            <w:noProof/>
            <w:sz w:val="20"/>
          </w:rPr>
          <w:t>67</w:t>
        </w:r>
        <w:r w:rsidRPr="00FF1BA5">
          <w:rPr>
            <w:noProof/>
            <w:sz w:val="20"/>
          </w:rPr>
          <w:fldChar w:fldCharType="end"/>
        </w:r>
      </w:p>
    </w:sdtContent>
  </w:sdt>
  <w:p w14:paraId="21DA2C49" w14:textId="77777777" w:rsidR="0092094C" w:rsidRPr="00950009" w:rsidRDefault="0092094C" w:rsidP="00950009">
    <w:pPr>
      <w:pStyle w:val="Footer"/>
      <w:jc w:val="center"/>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C7B00D" w14:textId="77777777" w:rsidR="000B20C3" w:rsidRDefault="000B20C3" w:rsidP="00113DB0">
      <w:r>
        <w:separator/>
      </w:r>
    </w:p>
  </w:footnote>
  <w:footnote w:type="continuationSeparator" w:id="0">
    <w:p w14:paraId="04CA89D8" w14:textId="77777777" w:rsidR="000B20C3" w:rsidRDefault="000B20C3" w:rsidP="00113DB0">
      <w:r>
        <w:continuationSeparator/>
      </w:r>
    </w:p>
  </w:footnote>
  <w:footnote w:id="1">
    <w:p w14:paraId="2D107678" w14:textId="78B7070A" w:rsidR="000B20C3" w:rsidRPr="006878D0" w:rsidRDefault="000B20C3" w:rsidP="006878D0">
      <w:pPr>
        <w:rPr>
          <w:sz w:val="20"/>
          <w:szCs w:val="20"/>
        </w:rPr>
      </w:pPr>
      <w:r>
        <w:rPr>
          <w:rStyle w:val="FootnoteReference"/>
        </w:rPr>
        <w:footnoteRef/>
      </w:r>
      <w:r>
        <w:t xml:space="preserve"> </w:t>
      </w:r>
      <w:r w:rsidRPr="006878D0">
        <w:rPr>
          <w:sz w:val="20"/>
          <w:szCs w:val="20"/>
        </w:rPr>
        <w:t xml:space="preserve">Some of the processes described in this report as fabrication are considered to be manufacturing in common industry usage. For ease of reference, </w:t>
      </w:r>
      <w:r>
        <w:rPr>
          <w:sz w:val="20"/>
          <w:szCs w:val="20"/>
        </w:rPr>
        <w:t>and consistency</w:t>
      </w:r>
      <w:r w:rsidRPr="006878D0">
        <w:rPr>
          <w:sz w:val="20"/>
          <w:szCs w:val="20"/>
        </w:rPr>
        <w:t xml:space="preserve"> with </w:t>
      </w:r>
      <w:r>
        <w:rPr>
          <w:sz w:val="20"/>
          <w:szCs w:val="20"/>
        </w:rPr>
        <w:t xml:space="preserve">broad </w:t>
      </w:r>
      <w:r w:rsidRPr="006878D0">
        <w:rPr>
          <w:sz w:val="20"/>
          <w:szCs w:val="20"/>
        </w:rPr>
        <w:t>classifications used by the Australian Bureau of Statistics</w:t>
      </w:r>
      <w:r>
        <w:rPr>
          <w:sz w:val="20"/>
          <w:szCs w:val="20"/>
        </w:rPr>
        <w:t>,</w:t>
      </w:r>
      <w:r w:rsidRPr="006878D0">
        <w:rPr>
          <w:sz w:val="20"/>
          <w:szCs w:val="20"/>
        </w:rPr>
        <w:t xml:space="preserve"> this report generally uses the term fabrication but the Commission notes that processes that may be described </w:t>
      </w:r>
      <w:r>
        <w:rPr>
          <w:sz w:val="20"/>
          <w:szCs w:val="20"/>
        </w:rPr>
        <w:t xml:space="preserve">by industry participants </w:t>
      </w:r>
      <w:r w:rsidRPr="006878D0">
        <w:rPr>
          <w:sz w:val="20"/>
          <w:szCs w:val="20"/>
        </w:rPr>
        <w:t xml:space="preserve">as manufacturing are included—see chapter 2 for a detailed definition. </w:t>
      </w:r>
    </w:p>
    <w:p w14:paraId="3918F779" w14:textId="1AFC9DC6" w:rsidR="000B20C3" w:rsidRDefault="000B20C3">
      <w:pPr>
        <w:pStyle w:val="FootnoteText"/>
      </w:pPr>
    </w:p>
  </w:footnote>
  <w:footnote w:id="2">
    <w:p w14:paraId="3903C497" w14:textId="77777777" w:rsidR="000B20C3" w:rsidRDefault="000B20C3" w:rsidP="00B65307">
      <w:pPr>
        <w:pStyle w:val="FootnoteText"/>
      </w:pPr>
      <w:r>
        <w:rPr>
          <w:rStyle w:val="FootnoteReference"/>
        </w:rPr>
        <w:footnoteRef/>
      </w:r>
      <w:r>
        <w:t xml:space="preserve"> For more information about the operational improvements, see the Commission’s website at </w:t>
      </w:r>
      <w:hyperlink r:id="rId1" w:history="1">
        <w:r w:rsidRPr="0028282F">
          <w:rPr>
            <w:rStyle w:val="Hyperlink"/>
          </w:rPr>
          <w:t>www.adcommission.gov.au/adsystem/referencematerial/Pages/default.aspx</w:t>
        </w:r>
      </w:hyperlink>
      <w:r>
        <w:t xml:space="preserve"> and the Commissioner’s presentations to the International Trade Remedies Forum (ITRF), available at </w:t>
      </w:r>
      <w:hyperlink r:id="rId2" w:history="1">
        <w:r w:rsidRPr="0028282F">
          <w:rPr>
            <w:rStyle w:val="Hyperlink"/>
          </w:rPr>
          <w:t>www.adcommission.gov.au/adsystem/Pages/ITRF.aspx</w:t>
        </w:r>
      </w:hyperlink>
      <w:r>
        <w:t xml:space="preserve">. </w:t>
      </w:r>
    </w:p>
  </w:footnote>
  <w:footnote w:id="3">
    <w:p w14:paraId="60999CC9" w14:textId="77777777" w:rsidR="000B20C3" w:rsidRDefault="000B20C3" w:rsidP="00B65307">
      <w:pPr>
        <w:pStyle w:val="FootnoteText"/>
      </w:pPr>
      <w:r>
        <w:rPr>
          <w:rStyle w:val="FootnoteReference"/>
        </w:rPr>
        <w:footnoteRef/>
      </w:r>
      <w:r>
        <w:t xml:space="preserve"> See, for example, the </w:t>
      </w:r>
      <w:r w:rsidRPr="009E26B3">
        <w:t xml:space="preserve">presentations to the </w:t>
      </w:r>
      <w:r>
        <w:t xml:space="preserve">December 2016 and May 2017 </w:t>
      </w:r>
      <w:r w:rsidRPr="009E26B3">
        <w:t>ITRF</w:t>
      </w:r>
      <w:r>
        <w:t xml:space="preserve"> meetings</w:t>
      </w:r>
      <w:r w:rsidRPr="009E26B3">
        <w:t xml:space="preserve">, available at </w:t>
      </w:r>
      <w:hyperlink r:id="rId3" w:history="1">
        <w:r w:rsidRPr="009E26B3">
          <w:rPr>
            <w:rStyle w:val="Hyperlink"/>
          </w:rPr>
          <w:t>www.adcommission.gov.au/adsystem/Pages/ITRF.aspx</w:t>
        </w:r>
      </w:hyperlink>
      <w:r w:rsidRPr="009E26B3">
        <w:t>.</w:t>
      </w:r>
    </w:p>
  </w:footnote>
  <w:footnote w:id="4">
    <w:p w14:paraId="0020B340" w14:textId="77777777" w:rsidR="000B20C3" w:rsidRDefault="000B20C3" w:rsidP="00B65307">
      <w:pPr>
        <w:pStyle w:val="FootnoteText"/>
      </w:pPr>
      <w:r>
        <w:rPr>
          <w:rStyle w:val="FootnoteReference"/>
        </w:rPr>
        <w:footnoteRef/>
      </w:r>
      <w:r>
        <w:t xml:space="preserve"> OECD, ‘</w:t>
      </w:r>
      <w:r>
        <w:rPr>
          <w:lang w:val="en"/>
        </w:rPr>
        <w:t xml:space="preserve">82nd Session of the OECD Steel Committee—Chair's Statement’, </w:t>
      </w:r>
      <w:r w:rsidRPr="00BE66FA">
        <w:rPr>
          <w:lang w:val="en"/>
        </w:rPr>
        <w:t xml:space="preserve">Statement by Ronald </w:t>
      </w:r>
      <w:proofErr w:type="spellStart"/>
      <w:r w:rsidRPr="00BE66FA">
        <w:rPr>
          <w:lang w:val="en"/>
        </w:rPr>
        <w:t>Lorentzen</w:t>
      </w:r>
      <w:proofErr w:type="spellEnd"/>
      <w:r w:rsidRPr="00BE66FA">
        <w:rPr>
          <w:lang w:val="en"/>
        </w:rPr>
        <w:t>, Chairman of the OECD Steel Committee</w:t>
      </w:r>
      <w:r>
        <w:rPr>
          <w:lang w:val="en"/>
        </w:rPr>
        <w:t xml:space="preserve">, </w:t>
      </w:r>
      <w:hyperlink r:id="rId4" w:history="1">
        <w:r w:rsidRPr="00BE66FA">
          <w:rPr>
            <w:rStyle w:val="Hyperlink"/>
            <w:color w:val="auto"/>
            <w:u w:val="none"/>
            <w:lang w:val="en"/>
          </w:rPr>
          <w:t>82nd Session of the OECD Steel Committee</w:t>
        </w:r>
      </w:hyperlink>
      <w:r w:rsidRPr="00BE66FA">
        <w:rPr>
          <w:lang w:val="en"/>
        </w:rPr>
        <w:t>, Paris, 23-24 March 2017</w:t>
      </w:r>
      <w:r>
        <w:rPr>
          <w:lang w:val="en"/>
        </w:rPr>
        <w:t xml:space="preserve">, </w:t>
      </w:r>
      <w:hyperlink r:id="rId5" w:history="1">
        <w:r w:rsidRPr="0028282F">
          <w:rPr>
            <w:rStyle w:val="Hyperlink"/>
          </w:rPr>
          <w:t>www.oecd.org/sti/ind/82-oecd-steel-chair-statement.htm</w:t>
        </w:r>
      </w:hyperlink>
      <w:r>
        <w:t xml:space="preserve">; </w:t>
      </w:r>
      <w:r w:rsidRPr="00725498">
        <w:rPr>
          <w:i/>
        </w:rPr>
        <w:t>G20 Leaders’ Declaration: Shaping an Interconnected World</w:t>
      </w:r>
      <w:r>
        <w:t xml:space="preserve">, Hamburg, </w:t>
      </w:r>
      <w:r w:rsidRPr="00725498">
        <w:t>Germany</w:t>
      </w:r>
      <w:r>
        <w:t xml:space="preserve">, 7-8 July 2017, </w:t>
      </w:r>
      <w:hyperlink r:id="rId6" w:history="1">
        <w:r w:rsidRPr="00C8158D">
          <w:rPr>
            <w:rStyle w:val="Hyperlink"/>
          </w:rPr>
          <w:t>www.g20.org/Content/EN/_Anlagen/G20/G20-leaders-declaration.pdf?__blob=publicationFile&amp;v=10</w:t>
        </w:r>
      </w:hyperlink>
      <w:r>
        <w:t xml:space="preserve">. </w:t>
      </w:r>
    </w:p>
  </w:footnote>
  <w:footnote w:id="5">
    <w:p w14:paraId="018944C4" w14:textId="77777777" w:rsidR="000B20C3" w:rsidRDefault="000B20C3" w:rsidP="00B65307">
      <w:pPr>
        <w:pStyle w:val="FootnoteText"/>
      </w:pPr>
      <w:r>
        <w:rPr>
          <w:rStyle w:val="FootnoteReference"/>
        </w:rPr>
        <w:footnoteRef/>
      </w:r>
      <w:r>
        <w:t xml:space="preserve"> OECD, ‘Excess capacity in the global steel industry: The current situation and ways forward’, 2015, p. 4. </w:t>
      </w:r>
    </w:p>
  </w:footnote>
  <w:footnote w:id="6">
    <w:p w14:paraId="0A1FD49F" w14:textId="77777777" w:rsidR="000B20C3" w:rsidRPr="0093089C" w:rsidRDefault="000B20C3" w:rsidP="00B65307">
      <w:pPr>
        <w:pStyle w:val="FootnoteText"/>
        <w:rPr>
          <w:rStyle w:val="Hyperlink"/>
          <w:color w:val="auto"/>
          <w:u w:val="none"/>
          <w:lang w:val="en"/>
        </w:rPr>
      </w:pPr>
      <w:r>
        <w:rPr>
          <w:rStyle w:val="FootnoteReference"/>
        </w:rPr>
        <w:footnoteRef/>
      </w:r>
      <w:r>
        <w:t xml:space="preserve"> WTO, ‘</w:t>
      </w:r>
      <w:r>
        <w:rPr>
          <w:lang w:val="en"/>
        </w:rPr>
        <w:t>WTO members exchange views on rise in anti-dumping actions’, News item, 27 April 2017,</w:t>
      </w:r>
      <w:r>
        <w:t xml:space="preserve"> </w:t>
      </w:r>
      <w:hyperlink r:id="rId7" w:history="1">
        <w:r w:rsidRPr="0028282F">
          <w:rPr>
            <w:rStyle w:val="Hyperlink"/>
          </w:rPr>
          <w:t>www.wto.org/english/news_e/news17_e/anti_10may17_e.htm</w:t>
        </w:r>
      </w:hyperlink>
      <w:r>
        <w:t xml:space="preserve">; </w:t>
      </w:r>
      <w:r w:rsidRPr="0093089C">
        <w:t>Trade Policy Review Body</w:t>
      </w:r>
      <w:r w:rsidRPr="0093089C">
        <w:rPr>
          <w:b/>
        </w:rPr>
        <w:t xml:space="preserve">, </w:t>
      </w:r>
      <w:r w:rsidRPr="003C32A7">
        <w:rPr>
          <w:rStyle w:val="Hyperlink"/>
          <w:i/>
          <w:color w:val="auto"/>
          <w:u w:val="none"/>
          <w:lang w:val="en"/>
        </w:rPr>
        <w:t>Overview of Developments in the International Trading Environment: Annual Report by the Director-General</w:t>
      </w:r>
      <w:r w:rsidRPr="0093089C">
        <w:rPr>
          <w:rStyle w:val="Hyperlink"/>
          <w:color w:val="auto"/>
          <w:u w:val="none"/>
          <w:lang w:val="en"/>
        </w:rPr>
        <w:t xml:space="preserve"> (Mid-October 2015 to mid-October 2016)</w:t>
      </w:r>
      <w:r>
        <w:rPr>
          <w:rStyle w:val="Hyperlink"/>
          <w:color w:val="auto"/>
          <w:u w:val="none"/>
          <w:lang w:val="en"/>
        </w:rPr>
        <w:t xml:space="preserve">, </w:t>
      </w:r>
      <w:r w:rsidRPr="0093089C">
        <w:rPr>
          <w:bCs/>
        </w:rPr>
        <w:t>WT/TPR/OV/19</w:t>
      </w:r>
      <w:r>
        <w:rPr>
          <w:rStyle w:val="Hyperlink"/>
          <w:color w:val="auto"/>
          <w:u w:val="none"/>
          <w:lang w:val="en"/>
        </w:rPr>
        <w:t xml:space="preserve">, </w:t>
      </w:r>
      <w:r w:rsidRPr="0093089C">
        <w:t>21 November 2016</w:t>
      </w:r>
      <w:r>
        <w:t xml:space="preserve">, </w:t>
      </w:r>
      <w:hyperlink r:id="rId8" w:history="1">
        <w:r w:rsidRPr="0028282F">
          <w:rPr>
            <w:rStyle w:val="Hyperlink"/>
          </w:rPr>
          <w:t>www.wto.org/english/tratop_e/tpr_e/tpr_e.htm</w:t>
        </w:r>
      </w:hyperlink>
      <w:r>
        <w:t xml:space="preserve">. </w:t>
      </w:r>
    </w:p>
  </w:footnote>
  <w:footnote w:id="7">
    <w:p w14:paraId="5770660B" w14:textId="77777777" w:rsidR="000B20C3" w:rsidRDefault="000B20C3" w:rsidP="00B65307">
      <w:pPr>
        <w:pStyle w:val="FootnoteText"/>
      </w:pPr>
      <w:r>
        <w:rPr>
          <w:rStyle w:val="FootnoteReference"/>
        </w:rPr>
        <w:footnoteRef/>
      </w:r>
      <w:r>
        <w:t xml:space="preserve"> WTO, </w:t>
      </w:r>
      <w:r w:rsidRPr="002B4BF7">
        <w:rPr>
          <w:i/>
        </w:rPr>
        <w:t>Report to the TPRB from the Director-General on Trade-Related Developments</w:t>
      </w:r>
      <w:r>
        <w:t xml:space="preserve"> (Mid-October 2016 to mid-May 2017), </w:t>
      </w:r>
      <w:r w:rsidRPr="00B30B33">
        <w:t>WT/TPR/OV/W/11</w:t>
      </w:r>
      <w:r>
        <w:t xml:space="preserve">, 10 July 2017, </w:t>
      </w:r>
      <w:hyperlink r:id="rId9" w:history="1">
        <w:r w:rsidRPr="000B17D1">
          <w:rPr>
            <w:rStyle w:val="Hyperlink"/>
          </w:rPr>
          <w:t>www.wto.org/english/news_e/news17_e/trdev_24jul17_e.htm</w:t>
        </w:r>
      </w:hyperlink>
      <w:r>
        <w:t xml:space="preserve">. </w:t>
      </w:r>
    </w:p>
  </w:footnote>
  <w:footnote w:id="8">
    <w:p w14:paraId="022C8935" w14:textId="77777777" w:rsidR="000B20C3" w:rsidRDefault="000B20C3" w:rsidP="00113DB0">
      <w:pPr>
        <w:pStyle w:val="FootnoteText"/>
      </w:pPr>
      <w:r>
        <w:rPr>
          <w:rStyle w:val="FootnoteReference"/>
        </w:rPr>
        <w:footnoteRef/>
      </w:r>
      <w:r>
        <w:t xml:space="preserve"> ABS National Accounts Input-Output tables</w:t>
      </w:r>
    </w:p>
  </w:footnote>
  <w:footnote w:id="9">
    <w:p w14:paraId="019859D9" w14:textId="77777777" w:rsidR="000B20C3" w:rsidRDefault="000B20C3" w:rsidP="00043EB7">
      <w:pPr>
        <w:pStyle w:val="FootnoteText"/>
      </w:pPr>
      <w:r>
        <w:rPr>
          <w:rStyle w:val="FootnoteReference"/>
        </w:rPr>
        <w:footnoteRef/>
      </w:r>
      <w:r>
        <w:t xml:space="preserve"> On 1 September 2017, the GFC Alliance acquired the Arrium Group. The Arrium Group is now the Liberty Steel Group and </w:t>
      </w:r>
      <w:proofErr w:type="spellStart"/>
      <w:r>
        <w:t>OneSteel</w:t>
      </w:r>
      <w:proofErr w:type="spellEnd"/>
      <w:r>
        <w:t xml:space="preserve"> is now Liberty </w:t>
      </w:r>
      <w:proofErr w:type="spellStart"/>
      <w:r>
        <w:t>OneSteel</w:t>
      </w:r>
      <w:proofErr w:type="spellEnd"/>
      <w:r>
        <w:t>, a division of Liberty Steel; see www.libertyonesteel.com/announcement/.</w:t>
      </w:r>
    </w:p>
  </w:footnote>
  <w:footnote w:id="10">
    <w:p w14:paraId="4CBB9806" w14:textId="77777777" w:rsidR="000B20C3" w:rsidRDefault="000B20C3" w:rsidP="00043EB7">
      <w:pPr>
        <w:pStyle w:val="FootnoteText"/>
      </w:pPr>
      <w:r>
        <w:rPr>
          <w:rStyle w:val="FootnoteReference"/>
        </w:rPr>
        <w:footnoteRef/>
      </w:r>
      <w:r>
        <w:t xml:space="preserve"> Department of Industry, Innovation and Science—Office of the Chief Economist, </w:t>
      </w:r>
      <w:r w:rsidRPr="00693ACE">
        <w:rPr>
          <w:i/>
        </w:rPr>
        <w:t>Resources and Energy Quarterly</w:t>
      </w:r>
      <w:r>
        <w:t xml:space="preserve">, June 2017, </w:t>
      </w:r>
      <w:hyperlink r:id="rId10" w:history="1">
        <w:r w:rsidRPr="00DB2D65">
          <w:rPr>
            <w:rStyle w:val="Hyperlink"/>
          </w:rPr>
          <w:t>www.industry.gov.au/Office-of-the-Chief-Economist/Publications/ ResourcesandEnergyQuarterlyJune2017/documents/Resources-and-Energy-Quarterly-June-2017.pdf</w:t>
        </w:r>
      </w:hyperlink>
      <w:r>
        <w:rPr>
          <w:rStyle w:val="Hyperlink"/>
        </w:rPr>
        <w:t>.</w:t>
      </w:r>
    </w:p>
  </w:footnote>
  <w:footnote w:id="11">
    <w:p w14:paraId="53C405E0" w14:textId="77777777" w:rsidR="000B20C3" w:rsidRDefault="000B20C3" w:rsidP="00043EB7">
      <w:pPr>
        <w:pStyle w:val="FootnoteText"/>
      </w:pPr>
      <w:r>
        <w:rPr>
          <w:rStyle w:val="FootnoteReference"/>
        </w:rPr>
        <w:footnoteRef/>
      </w:r>
      <w:r>
        <w:t xml:space="preserve"> Ai Group, </w:t>
      </w:r>
      <w:r w:rsidRPr="00F81453">
        <w:rPr>
          <w:i/>
        </w:rPr>
        <w:t>Submission to the Senate Estimates References Committee Inquiry into the Future of Australia’s Steel Industry</w:t>
      </w:r>
      <w:r>
        <w:t xml:space="preserve">, Submission 10, February 2016, p. 11. </w:t>
      </w:r>
    </w:p>
  </w:footnote>
  <w:footnote w:id="12">
    <w:p w14:paraId="22223818" w14:textId="77777777" w:rsidR="000B20C3" w:rsidRDefault="000B20C3" w:rsidP="00043EB7">
      <w:pPr>
        <w:pStyle w:val="FootnoteText"/>
      </w:pPr>
      <w:r>
        <w:rPr>
          <w:rStyle w:val="FootnoteReference"/>
        </w:rPr>
        <w:footnoteRef/>
      </w:r>
      <w:r>
        <w:t xml:space="preserve"> ASI website, steel. org.au </w:t>
      </w:r>
    </w:p>
  </w:footnote>
  <w:footnote w:id="13">
    <w:p w14:paraId="15CEC2C5" w14:textId="77777777" w:rsidR="000B20C3" w:rsidRPr="005A08D4" w:rsidRDefault="000B20C3" w:rsidP="00043EB7">
      <w:pPr>
        <w:rPr>
          <w:sz w:val="20"/>
          <w:szCs w:val="20"/>
        </w:rPr>
      </w:pPr>
      <w:r>
        <w:rPr>
          <w:rStyle w:val="FootnoteReference"/>
        </w:rPr>
        <w:footnoteRef/>
      </w:r>
      <w:r>
        <w:t xml:space="preserve"> </w:t>
      </w:r>
      <w:r w:rsidRPr="006744B1">
        <w:rPr>
          <w:sz w:val="20"/>
          <w:szCs w:val="20"/>
        </w:rPr>
        <w:t>BlueScope Buildings offers a design, manufacture and construction service for a range of custom engineered steel buildings, such as factories, bulk warehouses and stores (</w:t>
      </w:r>
      <w:hyperlink r:id="rId11" w:history="1">
        <w:r w:rsidRPr="006744B1">
          <w:rPr>
            <w:rStyle w:val="Hyperlink"/>
            <w:sz w:val="20"/>
            <w:szCs w:val="20"/>
          </w:rPr>
          <w:t>prod.bluescope.com/about-us/our-business/bluescope-buildings/</w:t>
        </w:r>
      </w:hyperlink>
      <w:r w:rsidRPr="006744B1">
        <w:rPr>
          <w:rStyle w:val="Hyperlink"/>
          <w:sz w:val="20"/>
          <w:szCs w:val="20"/>
        </w:rPr>
        <w:t>)</w:t>
      </w:r>
      <w:r w:rsidRPr="006744B1">
        <w:rPr>
          <w:rStyle w:val="Hyperlink"/>
          <w:color w:val="auto"/>
          <w:sz w:val="20"/>
          <w:szCs w:val="20"/>
          <w:u w:val="none"/>
        </w:rPr>
        <w:t xml:space="preserve">. </w:t>
      </w:r>
      <w:r w:rsidRPr="006744B1">
        <w:rPr>
          <w:sz w:val="20"/>
          <w:szCs w:val="20"/>
        </w:rPr>
        <w:t xml:space="preserve">Through </w:t>
      </w:r>
      <w:proofErr w:type="spellStart"/>
      <w:r w:rsidRPr="006744B1">
        <w:rPr>
          <w:sz w:val="20"/>
          <w:szCs w:val="20"/>
        </w:rPr>
        <w:t>Lysaght</w:t>
      </w:r>
      <w:proofErr w:type="spellEnd"/>
      <w:r w:rsidRPr="006744B1">
        <w:rPr>
          <w:sz w:val="20"/>
          <w:szCs w:val="20"/>
        </w:rPr>
        <w:t xml:space="preserve">, BlueScope produces guttering, </w:t>
      </w:r>
      <w:proofErr w:type="spellStart"/>
      <w:r w:rsidRPr="006744B1">
        <w:rPr>
          <w:sz w:val="20"/>
          <w:szCs w:val="20"/>
        </w:rPr>
        <w:t>fascias</w:t>
      </w:r>
      <w:proofErr w:type="spellEnd"/>
      <w:r w:rsidRPr="006744B1">
        <w:rPr>
          <w:sz w:val="20"/>
          <w:szCs w:val="20"/>
        </w:rPr>
        <w:t xml:space="preserve"> and other rainwater products (</w:t>
      </w:r>
      <w:hyperlink r:id="rId12" w:history="1">
        <w:r w:rsidRPr="006744B1">
          <w:rPr>
            <w:rStyle w:val="Hyperlink"/>
            <w:sz w:val="20"/>
            <w:szCs w:val="20"/>
          </w:rPr>
          <w:t>www.lysaght.com/product-applications/guttering-fascia-rainwater-goods</w:t>
        </w:r>
      </w:hyperlink>
      <w:r w:rsidRPr="006744B1">
        <w:rPr>
          <w:sz w:val="20"/>
          <w:szCs w:val="20"/>
        </w:rPr>
        <w:t>), fencing products (</w:t>
      </w:r>
      <w:hyperlink r:id="rId13" w:history="1">
        <w:r w:rsidRPr="006744B1">
          <w:rPr>
            <w:rStyle w:val="Hyperlink"/>
            <w:sz w:val="20"/>
            <w:szCs w:val="20"/>
          </w:rPr>
          <w:t>www.lysaght.com/product-applications/fencing</w:t>
        </w:r>
      </w:hyperlink>
      <w:r w:rsidRPr="006744B1">
        <w:rPr>
          <w:sz w:val="20"/>
          <w:szCs w:val="20"/>
        </w:rPr>
        <w:t>) and sheds and garages (</w:t>
      </w:r>
      <w:hyperlink r:id="rId14" w:history="1">
        <w:r w:rsidRPr="006744B1">
          <w:rPr>
            <w:rStyle w:val="Hyperlink"/>
            <w:sz w:val="20"/>
            <w:szCs w:val="20"/>
          </w:rPr>
          <w:t>www.ranbuild.com.au/</w:t>
        </w:r>
      </w:hyperlink>
      <w:r w:rsidRPr="006744B1">
        <w:rPr>
          <w:sz w:val="20"/>
          <w:szCs w:val="20"/>
        </w:rPr>
        <w:t xml:space="preserve">). </w:t>
      </w:r>
      <w:proofErr w:type="spellStart"/>
      <w:r w:rsidRPr="006744B1">
        <w:rPr>
          <w:sz w:val="20"/>
          <w:szCs w:val="20"/>
        </w:rPr>
        <w:t>OneSteel</w:t>
      </w:r>
      <w:proofErr w:type="spellEnd"/>
      <w:r w:rsidRPr="006744B1">
        <w:rPr>
          <w:sz w:val="20"/>
          <w:szCs w:val="20"/>
        </w:rPr>
        <w:t xml:space="preserve"> </w:t>
      </w:r>
      <w:proofErr w:type="spellStart"/>
      <w:r w:rsidRPr="006744B1">
        <w:rPr>
          <w:sz w:val="20"/>
          <w:szCs w:val="20"/>
        </w:rPr>
        <w:t>Metalcentre</w:t>
      </w:r>
      <w:proofErr w:type="spellEnd"/>
      <w:r w:rsidRPr="006744B1">
        <w:rPr>
          <w:sz w:val="20"/>
          <w:szCs w:val="20"/>
        </w:rPr>
        <w:t xml:space="preserve"> offers ‘a range of processing services including straight, pack, bevel and mitre cutting; bending; folding; drilling; notching; punching; shearing; cropping; de-burring and stripping’; and coating (galvanising, powder coating or painting) services. It also supplies roofing, rainwater and guttering products and fencing and other rural products. See </w:t>
      </w:r>
      <w:hyperlink r:id="rId15" w:history="1">
        <w:r w:rsidRPr="006744B1">
          <w:rPr>
            <w:rStyle w:val="Hyperlink"/>
            <w:sz w:val="20"/>
            <w:szCs w:val="20"/>
          </w:rPr>
          <w:t>www.onesteelmetalcentre.com/industries/fabrication</w:t>
        </w:r>
      </w:hyperlink>
      <w:r w:rsidRPr="006744B1">
        <w:rPr>
          <w:sz w:val="20"/>
          <w:szCs w:val="20"/>
        </w:rPr>
        <w:t>.</w:t>
      </w:r>
      <w:r w:rsidRPr="005A08D4">
        <w:rPr>
          <w:sz w:val="20"/>
          <w:szCs w:val="20"/>
        </w:rPr>
        <w:t xml:space="preserve"> </w:t>
      </w:r>
    </w:p>
  </w:footnote>
  <w:footnote w:id="14">
    <w:p w14:paraId="3812AF12" w14:textId="77777777" w:rsidR="000B20C3" w:rsidRPr="008C078D" w:rsidRDefault="000B20C3" w:rsidP="00043EB7">
      <w:pPr>
        <w:pStyle w:val="FootnoteText"/>
      </w:pPr>
      <w:r>
        <w:rPr>
          <w:rStyle w:val="FootnoteReference"/>
        </w:rPr>
        <w:footnoteRef/>
      </w:r>
      <w:r>
        <w:t xml:space="preserve"> </w:t>
      </w:r>
      <w:r>
        <w:rPr>
          <w:rFonts w:cs="Times New Roman"/>
        </w:rPr>
        <w:t>ABS, Catalogue 8165, Counts of Australian Businesses, released February 2017.  Calculated for the ANZSIC classes defined as fabricated steel manufacturing in this report.</w:t>
      </w:r>
    </w:p>
  </w:footnote>
  <w:footnote w:id="15">
    <w:p w14:paraId="301B4703" w14:textId="612C73A0" w:rsidR="000B20C3" w:rsidRDefault="000B20C3" w:rsidP="00043EB7">
      <w:pPr>
        <w:pStyle w:val="FootnoteText"/>
      </w:pPr>
      <w:r>
        <w:rPr>
          <w:rStyle w:val="FootnoteReference"/>
        </w:rPr>
        <w:footnoteRef/>
      </w:r>
      <w:r>
        <w:t xml:space="preserve"> Department of Industry, Innovation and Science—Office of the Chief Economist, </w:t>
      </w:r>
      <w:r w:rsidRPr="00693ACE">
        <w:rPr>
          <w:i/>
        </w:rPr>
        <w:t>Resources and Energy Quarterly</w:t>
      </w:r>
      <w:r>
        <w:t xml:space="preserve">, September 2017, p. 12, </w:t>
      </w:r>
      <w:hyperlink r:id="rId16" w:history="1">
        <w:r w:rsidRPr="00705467">
          <w:rPr>
            <w:rStyle w:val="Hyperlink"/>
          </w:rPr>
          <w:t>www.industry.gov.au/Office-of-the-Chief-Economist/Publications/ResourcesandEnergyQuarterlySeptember2017/documents/Resources-and-Energy-Quarterly-September-2017.pdf</w:t>
        </w:r>
      </w:hyperlink>
      <w:r>
        <w:t>.</w:t>
      </w:r>
    </w:p>
  </w:footnote>
  <w:footnote w:id="16">
    <w:p w14:paraId="3FD32586" w14:textId="77777777" w:rsidR="000B20C3" w:rsidRDefault="000B20C3" w:rsidP="00043EB7">
      <w:pPr>
        <w:pStyle w:val="FootnoteText"/>
      </w:pPr>
      <w:r>
        <w:rPr>
          <w:rStyle w:val="FootnoteReference"/>
        </w:rPr>
        <w:footnoteRef/>
      </w:r>
      <w:r>
        <w:t xml:space="preserve"> </w:t>
      </w:r>
      <w:r w:rsidRPr="00B0015B">
        <w:t xml:space="preserve">OECD, </w:t>
      </w:r>
      <w:r w:rsidRPr="00B0015B">
        <w:rPr>
          <w:i/>
          <w:iCs/>
        </w:rPr>
        <w:t>Evaluating the Financial Health of the Steel Industry</w:t>
      </w:r>
      <w:r w:rsidRPr="00B0015B">
        <w:t>, DSTI/SU/</w:t>
      </w:r>
      <w:proofErr w:type="gramStart"/>
      <w:r w:rsidRPr="00B0015B">
        <w:t>SC(</w:t>
      </w:r>
      <w:proofErr w:type="gramEnd"/>
      <w:r w:rsidRPr="00B0015B">
        <w:t xml:space="preserve">2015)12/FINAL, 2016, p. 26. </w:t>
      </w:r>
    </w:p>
  </w:footnote>
  <w:footnote w:id="17">
    <w:p w14:paraId="2253534F" w14:textId="55E8CFC3" w:rsidR="000B20C3" w:rsidRDefault="000B20C3" w:rsidP="00043EB7">
      <w:pPr>
        <w:pStyle w:val="FootnoteText"/>
      </w:pPr>
      <w:r>
        <w:rPr>
          <w:rStyle w:val="FootnoteReference"/>
        </w:rPr>
        <w:footnoteRef/>
      </w:r>
      <w:r>
        <w:t xml:space="preserve"> The Chinese government recently provided information to WTO members on programs that provide assistance to steel companies; see </w:t>
      </w:r>
      <w:hyperlink r:id="rId17" w:history="1">
        <w:r w:rsidRPr="00AB576E">
          <w:rPr>
            <w:rStyle w:val="Hyperlink"/>
          </w:rPr>
          <w:t>https://docs.wto.org/dol2fe/Pages/FE_Search/FE_S_S009-DP.aspx?language=E&amp;CatalogueIdList=235695&amp;CurrentCatalogueIdIndex=0&amp;FullTextHash=371857150&amp;HasEnglishRecord=True&amp;HasFrenchRecord=True&amp;HasSpanishRecord=True</w:t>
        </w:r>
      </w:hyperlink>
      <w:r>
        <w:t xml:space="preserve"> </w:t>
      </w:r>
    </w:p>
  </w:footnote>
  <w:footnote w:id="18">
    <w:p w14:paraId="71AFB811" w14:textId="77777777" w:rsidR="000B20C3" w:rsidRDefault="000B20C3" w:rsidP="00043EB7">
      <w:pPr>
        <w:pStyle w:val="FootnoteText"/>
      </w:pPr>
      <w:r>
        <w:rPr>
          <w:rStyle w:val="FootnoteReference"/>
        </w:rPr>
        <w:footnoteRef/>
      </w:r>
      <w:r>
        <w:t xml:space="preserve"> </w:t>
      </w:r>
      <w:r w:rsidRPr="00E6509F">
        <w:rPr>
          <w:color w:val="000000"/>
        </w:rPr>
        <w:t xml:space="preserve">OECD, </w:t>
      </w:r>
      <w:r w:rsidRPr="00E6509F">
        <w:rPr>
          <w:i/>
          <w:color w:val="000000"/>
        </w:rPr>
        <w:t>Excess capacity in the global steel industry: The current situation and ways forward</w:t>
      </w:r>
      <w:r w:rsidRPr="00E6509F">
        <w:rPr>
          <w:color w:val="000000"/>
        </w:rPr>
        <w:t xml:space="preserve">, 2015, p. 3, </w:t>
      </w:r>
      <w:r w:rsidRPr="00E6509F">
        <w:rPr>
          <w:color w:val="0000FF"/>
        </w:rPr>
        <w:t>http://www.oecd.org/sti/ind/excess-capacity-in-the-global-steel-industry.pdf</w:t>
      </w:r>
      <w:r w:rsidRPr="00E6509F">
        <w:rPr>
          <w:color w:val="000000"/>
        </w:rPr>
        <w:t>.</w:t>
      </w:r>
    </w:p>
  </w:footnote>
  <w:footnote w:id="19">
    <w:p w14:paraId="7D35511E" w14:textId="77777777" w:rsidR="000B20C3" w:rsidRDefault="000B20C3" w:rsidP="00043EB7">
      <w:pPr>
        <w:pStyle w:val="FootnoteText"/>
      </w:pPr>
      <w:r>
        <w:rPr>
          <w:rStyle w:val="FootnoteReference"/>
        </w:rPr>
        <w:footnoteRef/>
      </w:r>
      <w:r>
        <w:t xml:space="preserve"> OECD, ‘</w:t>
      </w:r>
      <w:r>
        <w:rPr>
          <w:lang w:val="en"/>
        </w:rPr>
        <w:t xml:space="preserve">82nd Session of the OECD Steel Committee—Chair's Statement’, </w:t>
      </w:r>
      <w:r w:rsidRPr="00BE66FA">
        <w:rPr>
          <w:lang w:val="en"/>
        </w:rPr>
        <w:t xml:space="preserve">Statement by Ronald </w:t>
      </w:r>
      <w:proofErr w:type="spellStart"/>
      <w:r w:rsidRPr="00BE66FA">
        <w:rPr>
          <w:lang w:val="en"/>
        </w:rPr>
        <w:t>Lorentzen</w:t>
      </w:r>
      <w:proofErr w:type="spellEnd"/>
      <w:r w:rsidRPr="00BE66FA">
        <w:rPr>
          <w:lang w:val="en"/>
        </w:rPr>
        <w:t>, Chairman of the OECD Steel Committee</w:t>
      </w:r>
      <w:r>
        <w:rPr>
          <w:lang w:val="en"/>
        </w:rPr>
        <w:t xml:space="preserve">, </w:t>
      </w:r>
      <w:hyperlink r:id="rId18" w:history="1">
        <w:r w:rsidRPr="00BE66FA">
          <w:rPr>
            <w:rStyle w:val="Hyperlink"/>
            <w:color w:val="auto"/>
            <w:u w:val="none"/>
            <w:lang w:val="en"/>
          </w:rPr>
          <w:t>82nd Session of the OECD Steel Committee</w:t>
        </w:r>
      </w:hyperlink>
      <w:r w:rsidRPr="00BE66FA">
        <w:rPr>
          <w:lang w:val="en"/>
        </w:rPr>
        <w:t>, Paris, 23-24 March 2017</w:t>
      </w:r>
      <w:r>
        <w:rPr>
          <w:lang w:val="en"/>
        </w:rPr>
        <w:t xml:space="preserve">, </w:t>
      </w:r>
      <w:hyperlink r:id="rId19" w:history="1">
        <w:r w:rsidRPr="0028282F">
          <w:rPr>
            <w:rStyle w:val="Hyperlink"/>
          </w:rPr>
          <w:t>www.oecd.org/sti/ind/82-oecd-steel-chair-statement.htm</w:t>
        </w:r>
      </w:hyperlink>
      <w:r>
        <w:t xml:space="preserve">; </w:t>
      </w:r>
      <w:r w:rsidRPr="00725498">
        <w:rPr>
          <w:i/>
        </w:rPr>
        <w:t>G20 Leaders’ Declaration: Shaping an Interconnected World</w:t>
      </w:r>
      <w:r>
        <w:t xml:space="preserve">, Hamburg, </w:t>
      </w:r>
      <w:r w:rsidRPr="00725498">
        <w:t>Germany</w:t>
      </w:r>
      <w:r>
        <w:t xml:space="preserve">, 7-8 July 2017, </w:t>
      </w:r>
      <w:hyperlink r:id="rId20" w:history="1">
        <w:r w:rsidRPr="00C8158D">
          <w:rPr>
            <w:rStyle w:val="Hyperlink"/>
          </w:rPr>
          <w:t>www.g20.org/Content/EN/_Anlagen/G20/G20-leaders-declaration.pdf?__blob=publicationFile&amp;v=10</w:t>
        </w:r>
      </w:hyperlink>
      <w:r>
        <w:t xml:space="preserve">. </w:t>
      </w:r>
    </w:p>
  </w:footnote>
  <w:footnote w:id="20">
    <w:p w14:paraId="0175F04D" w14:textId="77777777" w:rsidR="000B20C3" w:rsidRDefault="000B20C3" w:rsidP="00043EB7">
      <w:pPr>
        <w:pStyle w:val="FootnoteText"/>
      </w:pPr>
      <w:r>
        <w:rPr>
          <w:rStyle w:val="FootnoteReference"/>
        </w:rPr>
        <w:footnoteRef/>
      </w:r>
      <w:r>
        <w:t xml:space="preserve"> OECD, </w:t>
      </w:r>
      <w:r w:rsidRPr="005D75D0">
        <w:rPr>
          <w:i/>
        </w:rPr>
        <w:t>Excess capacity in the global steel industry: The current situation and ways forward</w:t>
      </w:r>
      <w:r>
        <w:t xml:space="preserve">, 2015, p. 4. </w:t>
      </w:r>
    </w:p>
  </w:footnote>
  <w:footnote w:id="21">
    <w:p w14:paraId="24906BF4" w14:textId="77777777" w:rsidR="000B20C3" w:rsidRDefault="000B20C3" w:rsidP="00043EB7">
      <w:pPr>
        <w:pStyle w:val="FootnoteText"/>
      </w:pPr>
      <w:r>
        <w:rPr>
          <w:rStyle w:val="FootnoteReference"/>
        </w:rPr>
        <w:footnoteRef/>
      </w:r>
      <w:r>
        <w:t xml:space="preserve"> OECD, </w:t>
      </w:r>
      <w:r>
        <w:rPr>
          <w:i/>
          <w:iCs/>
        </w:rPr>
        <w:t>Background Note No. 3: Trade and Trade Policy Developments</w:t>
      </w:r>
      <w:r>
        <w:t>, April 2016, p.</w:t>
      </w:r>
      <w:r w:rsidRPr="007D09DB">
        <w:t xml:space="preserve"> </w:t>
      </w:r>
      <w:r>
        <w:t xml:space="preserve"> 2, </w:t>
      </w:r>
      <w:hyperlink r:id="rId21" w:history="1">
        <w:r w:rsidRPr="003C2F00">
          <w:rPr>
            <w:rStyle w:val="Hyperlink"/>
          </w:rPr>
          <w:t>www.oecd.org/sti/ind/Background%20document%20No%203_FINAL_Meeting.pdf</w:t>
        </w:r>
      </w:hyperlink>
      <w:r>
        <w:t xml:space="preserve">. </w:t>
      </w:r>
    </w:p>
  </w:footnote>
  <w:footnote w:id="22">
    <w:p w14:paraId="538A2909" w14:textId="77777777" w:rsidR="000B20C3" w:rsidRDefault="000B20C3" w:rsidP="00043EB7">
      <w:pPr>
        <w:pStyle w:val="FootnoteText"/>
      </w:pPr>
      <w:r>
        <w:rPr>
          <w:rStyle w:val="FootnoteReference"/>
        </w:rPr>
        <w:footnoteRef/>
      </w:r>
      <w:r>
        <w:t xml:space="preserve"> OECD, ‘</w:t>
      </w:r>
      <w:r>
        <w:rPr>
          <w:lang w:val="en"/>
        </w:rPr>
        <w:t xml:space="preserve">82nd Session of the OECD Steel Committee—Chair's Statement’, </w:t>
      </w:r>
      <w:r w:rsidRPr="00BE66FA">
        <w:rPr>
          <w:lang w:val="en"/>
        </w:rPr>
        <w:t xml:space="preserve">Statement by Ronald </w:t>
      </w:r>
      <w:proofErr w:type="spellStart"/>
      <w:r w:rsidRPr="00BE66FA">
        <w:rPr>
          <w:lang w:val="en"/>
        </w:rPr>
        <w:t>Lorentzen</w:t>
      </w:r>
      <w:proofErr w:type="spellEnd"/>
      <w:r w:rsidRPr="00BE66FA">
        <w:rPr>
          <w:lang w:val="en"/>
        </w:rPr>
        <w:t>, Chairman of the OECD Steel Committee</w:t>
      </w:r>
      <w:r>
        <w:rPr>
          <w:lang w:val="en"/>
        </w:rPr>
        <w:t xml:space="preserve">, </w:t>
      </w:r>
      <w:hyperlink r:id="rId22" w:history="1">
        <w:r w:rsidRPr="00BE66FA">
          <w:rPr>
            <w:rStyle w:val="Hyperlink"/>
            <w:color w:val="auto"/>
            <w:u w:val="none"/>
            <w:lang w:val="en"/>
          </w:rPr>
          <w:t>82nd Session of the OECD Steel Committee</w:t>
        </w:r>
      </w:hyperlink>
      <w:r w:rsidRPr="00BE66FA">
        <w:rPr>
          <w:lang w:val="en"/>
        </w:rPr>
        <w:t>, Paris, 23-24 March 2017</w:t>
      </w:r>
      <w:r>
        <w:rPr>
          <w:lang w:val="en"/>
        </w:rPr>
        <w:t xml:space="preserve">, </w:t>
      </w:r>
      <w:hyperlink r:id="rId23" w:history="1">
        <w:r w:rsidRPr="0028282F">
          <w:rPr>
            <w:rStyle w:val="Hyperlink"/>
          </w:rPr>
          <w:t>www.oecd.org/sti/ind/82-oecd-steel-chair-statement.htm</w:t>
        </w:r>
      </w:hyperlink>
      <w:r>
        <w:rPr>
          <w:rStyle w:val="Hyperlink"/>
        </w:rPr>
        <w:t>.</w:t>
      </w:r>
    </w:p>
  </w:footnote>
  <w:footnote w:id="23">
    <w:p w14:paraId="765528DA" w14:textId="77777777" w:rsidR="000B20C3" w:rsidRDefault="000B20C3" w:rsidP="00043EB7">
      <w:pPr>
        <w:pStyle w:val="FootnoteText"/>
      </w:pPr>
      <w:r>
        <w:rPr>
          <w:rStyle w:val="FootnoteReference"/>
        </w:rPr>
        <w:footnoteRef/>
      </w:r>
      <w:r>
        <w:t xml:space="preserve"> </w:t>
      </w:r>
      <w:r w:rsidRPr="006C3092">
        <w:rPr>
          <w:i/>
        </w:rPr>
        <w:t>G20 Leaders’ Declaration: Shaping an Interconnected World</w:t>
      </w:r>
      <w:r>
        <w:t xml:space="preserve">, G20 Germany 2017, Hamburg, 7-8 July 2017, p. 4, </w:t>
      </w:r>
      <w:hyperlink r:id="rId24" w:history="1">
        <w:r w:rsidRPr="00DB2D65">
          <w:rPr>
            <w:rStyle w:val="Hyperlink"/>
          </w:rPr>
          <w:t>www.g20.org/gipfeldokumente/G20-leaders-declaration.pdf</w:t>
        </w:r>
      </w:hyperlink>
      <w:r>
        <w:t xml:space="preserve">. </w:t>
      </w:r>
    </w:p>
  </w:footnote>
  <w:footnote w:id="24">
    <w:p w14:paraId="3C0D2EFA" w14:textId="77777777" w:rsidR="000B20C3" w:rsidRDefault="000B20C3" w:rsidP="00043EB7">
      <w:pPr>
        <w:pStyle w:val="FootnoteText"/>
      </w:pPr>
      <w:r>
        <w:rPr>
          <w:rStyle w:val="FootnoteReference"/>
        </w:rPr>
        <w:footnoteRef/>
      </w:r>
      <w:r>
        <w:t xml:space="preserve"> </w:t>
      </w:r>
      <w:r w:rsidRPr="006C7534">
        <w:rPr>
          <w:i/>
        </w:rPr>
        <w:t>ibid</w:t>
      </w:r>
      <w:r>
        <w:t xml:space="preserve">. </w:t>
      </w:r>
    </w:p>
  </w:footnote>
  <w:footnote w:id="25">
    <w:p w14:paraId="60D0095B" w14:textId="77777777" w:rsidR="000B20C3" w:rsidRDefault="000B20C3" w:rsidP="00043EB7">
      <w:pPr>
        <w:pStyle w:val="FootnoteText"/>
      </w:pPr>
      <w:r>
        <w:rPr>
          <w:rStyle w:val="FootnoteReference"/>
        </w:rPr>
        <w:footnoteRef/>
      </w:r>
      <w:r>
        <w:t xml:space="preserve"> </w:t>
      </w:r>
      <w:r w:rsidRPr="005A6ECC">
        <w:t xml:space="preserve">A de </w:t>
      </w:r>
      <w:proofErr w:type="spellStart"/>
      <w:r w:rsidRPr="005A6ECC">
        <w:t>Carvalho</w:t>
      </w:r>
      <w:proofErr w:type="spellEnd"/>
      <w:r w:rsidRPr="005A6ECC">
        <w:t xml:space="preserve">, </w:t>
      </w:r>
      <w:r w:rsidRPr="005A6ECC">
        <w:rPr>
          <w:i/>
        </w:rPr>
        <w:t>Steel Market Developments Q2 2017</w:t>
      </w:r>
      <w:r w:rsidRPr="005A6ECC">
        <w:t xml:space="preserve">, OECD DSTI/SC(2017)1/FINAL, July 2017, available on the OECD Steel Committee website </w:t>
      </w:r>
      <w:r w:rsidRPr="005A6ECC">
        <w:rPr>
          <w:u w:val="single"/>
        </w:rPr>
        <w:t>oe.cd/</w:t>
      </w:r>
      <w:proofErr w:type="spellStart"/>
      <w:r w:rsidRPr="005A6ECC">
        <w:rPr>
          <w:u w:val="single"/>
        </w:rPr>
        <w:t>stlmktdev</w:t>
      </w:r>
      <w:proofErr w:type="spellEnd"/>
      <w:r w:rsidRPr="005A6ECC">
        <w:t xml:space="preserve">; H Otsuka, </w:t>
      </w:r>
      <w:r w:rsidRPr="005A6ECC">
        <w:rPr>
          <w:i/>
        </w:rPr>
        <w:t>Capacity Developments in the World Steel industry</w:t>
      </w:r>
      <w:r w:rsidRPr="005A6ECC">
        <w:t xml:space="preserve">, OECD Directorate for Science, Technology and Innovation, Steel Committee, DSTI/SC(2017)2/FINAL, August 2017, available at </w:t>
      </w:r>
      <w:r w:rsidRPr="005A6ECC">
        <w:rPr>
          <w:u w:val="single"/>
        </w:rPr>
        <w:t>oe.cd/steel</w:t>
      </w:r>
      <w:r w:rsidRPr="005A6ECC">
        <w:t>.</w:t>
      </w:r>
    </w:p>
  </w:footnote>
  <w:footnote w:id="26">
    <w:p w14:paraId="2803CE6A" w14:textId="34B52373" w:rsidR="000B20C3" w:rsidRDefault="000B20C3" w:rsidP="00043EB7">
      <w:pPr>
        <w:pStyle w:val="FootnoteText"/>
      </w:pPr>
      <w:r>
        <w:rPr>
          <w:rStyle w:val="FootnoteReference"/>
        </w:rPr>
        <w:footnoteRef/>
      </w:r>
      <w:r>
        <w:t xml:space="preserve"> </w:t>
      </w:r>
      <w:r w:rsidRPr="00A4364F">
        <w:t>Global growth is forecast to reach 3.5 per cent in 2017</w:t>
      </w:r>
      <w:r>
        <w:t>,</w:t>
      </w:r>
      <w:r w:rsidRPr="00A4364F">
        <w:t xml:space="preserve"> 3.6 per cent in 2018</w:t>
      </w:r>
      <w:r>
        <w:t xml:space="preserve"> and 3.7 per cent in 2019</w:t>
      </w:r>
      <w:r w:rsidRPr="00A4364F">
        <w:t>, up from 3.1 per cent in 2016.</w:t>
      </w:r>
      <w:r>
        <w:t xml:space="preserve"> Department of Industry, Innovation and Science—Office of the Chief Economist, </w:t>
      </w:r>
      <w:r w:rsidRPr="00693ACE">
        <w:rPr>
          <w:i/>
        </w:rPr>
        <w:t>Resources and Energy Quarterly</w:t>
      </w:r>
      <w:r>
        <w:t xml:space="preserve">, September 2017, p. 17, </w:t>
      </w:r>
      <w:hyperlink r:id="rId25" w:history="1">
        <w:r w:rsidRPr="00705467">
          <w:rPr>
            <w:rStyle w:val="Hyperlink"/>
          </w:rPr>
          <w:t>www.industry.gov.au/Office-of-the-Chief-Economist/Publications/ResourcesandEnergyQuarterlySeptember2017/documents/Resources-and-Energy-Quarterly-September-2017.pdf</w:t>
        </w:r>
      </w:hyperlink>
      <w:r>
        <w:t xml:space="preserve">. </w:t>
      </w:r>
    </w:p>
  </w:footnote>
  <w:footnote w:id="27">
    <w:p w14:paraId="351270A1" w14:textId="1893C098" w:rsidR="000B20C3" w:rsidRDefault="000B20C3" w:rsidP="00043EB7">
      <w:pPr>
        <w:pStyle w:val="FootnoteText"/>
      </w:pPr>
      <w:r>
        <w:rPr>
          <w:rStyle w:val="FootnoteReference"/>
        </w:rPr>
        <w:footnoteRef/>
      </w:r>
      <w:r>
        <w:t xml:space="preserve"> </w:t>
      </w:r>
      <w:proofErr w:type="gramStart"/>
      <w:r w:rsidRPr="001856CC">
        <w:rPr>
          <w:i/>
        </w:rPr>
        <w:t>ibid</w:t>
      </w:r>
      <w:r>
        <w:t>.,</w:t>
      </w:r>
      <w:proofErr w:type="gramEnd"/>
      <w:r>
        <w:t xml:space="preserve"> p. 26.</w:t>
      </w:r>
    </w:p>
  </w:footnote>
  <w:footnote w:id="28">
    <w:p w14:paraId="1F77AC34" w14:textId="77777777" w:rsidR="000B20C3" w:rsidRDefault="000B20C3" w:rsidP="00043EB7">
      <w:pPr>
        <w:pStyle w:val="FootnoteText"/>
      </w:pPr>
      <w:r>
        <w:rPr>
          <w:rStyle w:val="FootnoteReference"/>
        </w:rPr>
        <w:footnoteRef/>
      </w:r>
      <w:r>
        <w:t xml:space="preserve"> </w:t>
      </w:r>
      <w:r w:rsidRPr="007C0881">
        <w:t>OECD, ‘</w:t>
      </w:r>
      <w:r w:rsidRPr="007C0881">
        <w:rPr>
          <w:lang w:val="en"/>
        </w:rPr>
        <w:t xml:space="preserve">82nd Session of the OECD Steel Committee—Chair's Statement’, </w:t>
      </w:r>
      <w:r w:rsidRPr="007C0881">
        <w:rPr>
          <w:i/>
          <w:lang w:val="en"/>
        </w:rPr>
        <w:t>op. cit</w:t>
      </w:r>
      <w:r w:rsidRPr="007C0881">
        <w:rPr>
          <w:lang w:val="en"/>
        </w:rPr>
        <w:t>.</w:t>
      </w:r>
    </w:p>
  </w:footnote>
  <w:footnote w:id="29">
    <w:p w14:paraId="4D1606F4" w14:textId="77777777" w:rsidR="000B20C3" w:rsidRDefault="000B20C3" w:rsidP="00043EB7">
      <w:pPr>
        <w:pStyle w:val="FootnoteText"/>
      </w:pPr>
      <w:r>
        <w:rPr>
          <w:rStyle w:val="FootnoteReference"/>
        </w:rPr>
        <w:footnoteRef/>
      </w:r>
      <w:r>
        <w:t xml:space="preserve"> </w:t>
      </w:r>
      <w:r w:rsidRPr="0009702E">
        <w:t>OECD, ‘</w:t>
      </w:r>
      <w:r w:rsidRPr="0009702E">
        <w:rPr>
          <w:lang w:val="en"/>
        </w:rPr>
        <w:t xml:space="preserve">82nd Session of the OECD Steel Committee—Chair's Statement’, </w:t>
      </w:r>
      <w:r w:rsidRPr="0009702E">
        <w:rPr>
          <w:i/>
          <w:lang w:val="en"/>
        </w:rPr>
        <w:t>op. cit</w:t>
      </w:r>
      <w:r>
        <w:rPr>
          <w:lang w:val="en"/>
        </w:rPr>
        <w:t xml:space="preserve">. See also </w:t>
      </w:r>
      <w:r>
        <w:t xml:space="preserve">A de </w:t>
      </w:r>
      <w:proofErr w:type="spellStart"/>
      <w:r>
        <w:t>Carvalho</w:t>
      </w:r>
      <w:proofErr w:type="spellEnd"/>
      <w:r>
        <w:t xml:space="preserve">, </w:t>
      </w:r>
      <w:r w:rsidRPr="00A64481">
        <w:rPr>
          <w:i/>
        </w:rPr>
        <w:t>Steel Market Developments Q2 2017</w:t>
      </w:r>
      <w:r>
        <w:t xml:space="preserve">, OECD </w:t>
      </w:r>
      <w:r w:rsidRPr="00400DC4">
        <w:t>DSTI/</w:t>
      </w:r>
      <w:proofErr w:type="gramStart"/>
      <w:r w:rsidRPr="00400DC4">
        <w:t>SC(</w:t>
      </w:r>
      <w:proofErr w:type="gramEnd"/>
      <w:r w:rsidRPr="00400DC4">
        <w:t>2017)1/FINAL</w:t>
      </w:r>
      <w:r>
        <w:t xml:space="preserve">, July 2017, available on the OECD Steel Committee website </w:t>
      </w:r>
      <w:r w:rsidRPr="00400DC4">
        <w:rPr>
          <w:rStyle w:val="Hyperlink"/>
        </w:rPr>
        <w:t>oe.cd/</w:t>
      </w:r>
      <w:proofErr w:type="spellStart"/>
      <w:r w:rsidRPr="00400DC4">
        <w:rPr>
          <w:rStyle w:val="Hyperlink"/>
        </w:rPr>
        <w:t>stlmktdev</w:t>
      </w:r>
      <w:proofErr w:type="spellEnd"/>
      <w:r>
        <w:rPr>
          <w:rStyle w:val="Hyperlink"/>
        </w:rPr>
        <w:t>.</w:t>
      </w:r>
    </w:p>
  </w:footnote>
  <w:footnote w:id="30">
    <w:p w14:paraId="6115A418" w14:textId="77777777" w:rsidR="000B20C3" w:rsidRDefault="000B20C3" w:rsidP="00043EB7">
      <w:pPr>
        <w:pStyle w:val="FootnoteText"/>
      </w:pPr>
      <w:r>
        <w:rPr>
          <w:rStyle w:val="FootnoteReference"/>
        </w:rPr>
        <w:footnoteRef/>
      </w:r>
      <w:r>
        <w:t xml:space="preserve"> </w:t>
      </w:r>
      <w:r w:rsidRPr="005A6ECC">
        <w:t xml:space="preserve">A de </w:t>
      </w:r>
      <w:proofErr w:type="spellStart"/>
      <w:r w:rsidRPr="005A6ECC">
        <w:t>Carvalho</w:t>
      </w:r>
      <w:proofErr w:type="spellEnd"/>
      <w:r w:rsidRPr="005A6ECC">
        <w:t xml:space="preserve">, </w:t>
      </w:r>
      <w:r w:rsidRPr="005A6ECC">
        <w:rPr>
          <w:i/>
        </w:rPr>
        <w:t>Steel Market Developments Q2 2017</w:t>
      </w:r>
      <w:r w:rsidRPr="005A6ECC">
        <w:t xml:space="preserve">, OECD DSTI/SC(2017)1/FINAL, July 2017, p. 8, available on the OECD Steel Committee website </w:t>
      </w:r>
      <w:r w:rsidRPr="005A6ECC">
        <w:rPr>
          <w:u w:val="single"/>
        </w:rPr>
        <w:t>oe.cd/</w:t>
      </w:r>
      <w:proofErr w:type="spellStart"/>
      <w:r w:rsidRPr="005A6ECC">
        <w:rPr>
          <w:u w:val="single"/>
        </w:rPr>
        <w:t>stlmktdev</w:t>
      </w:r>
      <w:proofErr w:type="spellEnd"/>
      <w:r w:rsidRPr="005A6ECC">
        <w:rPr>
          <w:u w:val="single"/>
        </w:rPr>
        <w:t>.</w:t>
      </w:r>
    </w:p>
  </w:footnote>
  <w:footnote w:id="31">
    <w:p w14:paraId="16450450" w14:textId="3474B544" w:rsidR="000B20C3" w:rsidRDefault="000B20C3" w:rsidP="00043EB7">
      <w:pPr>
        <w:pStyle w:val="FootnoteText"/>
      </w:pPr>
      <w:r>
        <w:rPr>
          <w:rStyle w:val="FootnoteReference"/>
        </w:rPr>
        <w:footnoteRef/>
      </w:r>
      <w:r>
        <w:t xml:space="preserve"> </w:t>
      </w:r>
      <w:r w:rsidRPr="00F66ADA">
        <w:t xml:space="preserve">Department of Industry, Innovation and Science—Office of the Chief Economist, </w:t>
      </w:r>
      <w:r w:rsidRPr="00F66ADA">
        <w:rPr>
          <w:i/>
        </w:rPr>
        <w:t>Resources and Energy Quarterly</w:t>
      </w:r>
      <w:r w:rsidRPr="00F66ADA">
        <w:t>,</w:t>
      </w:r>
      <w:r>
        <w:t xml:space="preserve"> </w:t>
      </w:r>
      <w:proofErr w:type="spellStart"/>
      <w:proofErr w:type="gramStart"/>
      <w:r w:rsidRPr="00F66ADA">
        <w:rPr>
          <w:i/>
        </w:rPr>
        <w:t>op.cit</w:t>
      </w:r>
      <w:proofErr w:type="spellEnd"/>
      <w:r>
        <w:t>.,</w:t>
      </w:r>
      <w:proofErr w:type="gramEnd"/>
      <w:r>
        <w:t xml:space="preserve"> p. 28.</w:t>
      </w:r>
    </w:p>
  </w:footnote>
  <w:footnote w:id="32">
    <w:p w14:paraId="3CD943AE" w14:textId="64BBA579" w:rsidR="000B20C3" w:rsidRDefault="000B20C3" w:rsidP="00043EB7">
      <w:pPr>
        <w:pStyle w:val="FootnoteText"/>
      </w:pPr>
      <w:r>
        <w:rPr>
          <w:rStyle w:val="FootnoteReference"/>
        </w:rPr>
        <w:footnoteRef/>
      </w:r>
      <w:r>
        <w:t xml:space="preserve"> </w:t>
      </w:r>
      <w:proofErr w:type="gramStart"/>
      <w:r w:rsidRPr="000942D7">
        <w:rPr>
          <w:i/>
        </w:rPr>
        <w:t>ibid</w:t>
      </w:r>
      <w:r>
        <w:t>.,</w:t>
      </w:r>
      <w:proofErr w:type="gramEnd"/>
      <w:r>
        <w:t xml:space="preserve"> p. 27.</w:t>
      </w:r>
    </w:p>
  </w:footnote>
  <w:footnote w:id="33">
    <w:p w14:paraId="70C33180" w14:textId="7B84E556" w:rsidR="000B20C3" w:rsidRDefault="000B20C3" w:rsidP="00043EB7">
      <w:pPr>
        <w:pStyle w:val="FootnoteText"/>
      </w:pPr>
      <w:r>
        <w:rPr>
          <w:rStyle w:val="FootnoteReference"/>
        </w:rPr>
        <w:footnoteRef/>
      </w:r>
      <w:r>
        <w:t xml:space="preserve"> </w:t>
      </w:r>
      <w:proofErr w:type="gramStart"/>
      <w:r w:rsidRPr="00152756">
        <w:rPr>
          <w:i/>
        </w:rPr>
        <w:t>ibid</w:t>
      </w:r>
      <w:r>
        <w:t>.,</w:t>
      </w:r>
      <w:proofErr w:type="gramEnd"/>
      <w:r>
        <w:t xml:space="preserve"> p. 27.</w:t>
      </w:r>
    </w:p>
  </w:footnote>
  <w:footnote w:id="34">
    <w:p w14:paraId="783003E0" w14:textId="4190ADD3" w:rsidR="000B20C3" w:rsidRDefault="000B20C3" w:rsidP="00043EB7">
      <w:pPr>
        <w:pStyle w:val="FootnoteText"/>
      </w:pPr>
      <w:r>
        <w:rPr>
          <w:rStyle w:val="FootnoteReference"/>
        </w:rPr>
        <w:footnoteRef/>
      </w:r>
      <w:r>
        <w:t xml:space="preserve"> </w:t>
      </w:r>
      <w:proofErr w:type="gramStart"/>
      <w:r w:rsidRPr="00152756">
        <w:rPr>
          <w:i/>
        </w:rPr>
        <w:t>ibid</w:t>
      </w:r>
      <w:r>
        <w:t>.,</w:t>
      </w:r>
      <w:proofErr w:type="gramEnd"/>
      <w:r>
        <w:t xml:space="preserve"> p. 28.</w:t>
      </w:r>
    </w:p>
  </w:footnote>
  <w:footnote w:id="35">
    <w:p w14:paraId="4CADE86B" w14:textId="7C632B1B" w:rsidR="000B20C3" w:rsidRDefault="000B20C3" w:rsidP="00043EB7">
      <w:pPr>
        <w:pStyle w:val="FootnoteText"/>
      </w:pPr>
      <w:r>
        <w:rPr>
          <w:rStyle w:val="FootnoteReference"/>
        </w:rPr>
        <w:footnoteRef/>
      </w:r>
      <w:r>
        <w:t xml:space="preserve"> </w:t>
      </w:r>
      <w:proofErr w:type="gramStart"/>
      <w:r w:rsidRPr="00152756">
        <w:rPr>
          <w:i/>
        </w:rPr>
        <w:t>ibid</w:t>
      </w:r>
      <w:r>
        <w:t>.,</w:t>
      </w:r>
      <w:proofErr w:type="gramEnd"/>
      <w:r>
        <w:t xml:space="preserve"> p. 26. </w:t>
      </w:r>
      <w:r w:rsidRPr="00A74A36">
        <w:t>The winter curtailment policy, which takes effect from mid-November 2017 to mid-March 2018, requires a 50 per cent reduction in steel production in major steel producing cities, in order to improve air quality</w:t>
      </w:r>
      <w:r>
        <w:t xml:space="preserve">. </w:t>
      </w:r>
    </w:p>
  </w:footnote>
  <w:footnote w:id="36">
    <w:p w14:paraId="45DE48D6" w14:textId="35428D52" w:rsidR="000B20C3" w:rsidRDefault="000B20C3" w:rsidP="00043EB7">
      <w:pPr>
        <w:pStyle w:val="FootnoteText"/>
      </w:pPr>
      <w:r>
        <w:rPr>
          <w:rStyle w:val="FootnoteReference"/>
        </w:rPr>
        <w:footnoteRef/>
      </w:r>
      <w:r>
        <w:t xml:space="preserve"> </w:t>
      </w:r>
      <w:proofErr w:type="gramStart"/>
      <w:r w:rsidRPr="00152756">
        <w:rPr>
          <w:i/>
        </w:rPr>
        <w:t>ibid</w:t>
      </w:r>
      <w:r>
        <w:t>.,</w:t>
      </w:r>
      <w:proofErr w:type="gramEnd"/>
      <w:r>
        <w:t xml:space="preserve"> p. 9.</w:t>
      </w:r>
    </w:p>
  </w:footnote>
  <w:footnote w:id="37">
    <w:p w14:paraId="0B4EDD6F" w14:textId="77777777" w:rsidR="000B20C3" w:rsidRDefault="000B20C3" w:rsidP="00043EB7">
      <w:pPr>
        <w:pStyle w:val="FootnoteText"/>
      </w:pPr>
      <w:r>
        <w:rPr>
          <w:rStyle w:val="FootnoteReference"/>
        </w:rPr>
        <w:footnoteRef/>
      </w:r>
      <w:r>
        <w:t xml:space="preserve"> </w:t>
      </w:r>
      <w:proofErr w:type="gramStart"/>
      <w:r w:rsidRPr="00152756">
        <w:rPr>
          <w:i/>
        </w:rPr>
        <w:t>ibid</w:t>
      </w:r>
      <w:r>
        <w:t>.,</w:t>
      </w:r>
      <w:proofErr w:type="gramEnd"/>
      <w:r>
        <w:t xml:space="preserve"> p. 24.</w:t>
      </w:r>
    </w:p>
  </w:footnote>
  <w:footnote w:id="38">
    <w:p w14:paraId="6B91AE62" w14:textId="77777777" w:rsidR="000B20C3" w:rsidRDefault="000B20C3" w:rsidP="00043EB7">
      <w:pPr>
        <w:pStyle w:val="FootnoteText"/>
      </w:pPr>
      <w:r>
        <w:rPr>
          <w:rStyle w:val="FootnoteReference"/>
        </w:rPr>
        <w:footnoteRef/>
      </w:r>
      <w:r>
        <w:t xml:space="preserve"> </w:t>
      </w:r>
      <w:proofErr w:type="gramStart"/>
      <w:r w:rsidRPr="00152756">
        <w:rPr>
          <w:i/>
        </w:rPr>
        <w:t>ibid</w:t>
      </w:r>
      <w:r w:rsidRPr="004129B4">
        <w:t>.,</w:t>
      </w:r>
      <w:proofErr w:type="gramEnd"/>
      <w:r w:rsidRPr="004129B4">
        <w:t xml:space="preserve"> p. 26</w:t>
      </w:r>
      <w:r>
        <w:t>.</w:t>
      </w:r>
    </w:p>
  </w:footnote>
  <w:footnote w:id="39">
    <w:p w14:paraId="4EDBD53F" w14:textId="77777777" w:rsidR="000B20C3" w:rsidRDefault="000B20C3" w:rsidP="00934569">
      <w:pPr>
        <w:pStyle w:val="FootnoteText"/>
      </w:pPr>
      <w:r>
        <w:rPr>
          <w:rStyle w:val="FootnoteReference"/>
        </w:rPr>
        <w:footnoteRef/>
      </w:r>
      <w:r>
        <w:t xml:space="preserve"> IBISWorld Industry Report, </w:t>
      </w:r>
      <w:r w:rsidRPr="00B006E5">
        <w:rPr>
          <w:i/>
        </w:rPr>
        <w:t>Metal Fabrication in China</w:t>
      </w:r>
      <w:r>
        <w:t>, December 2016, p. 12.</w:t>
      </w:r>
    </w:p>
  </w:footnote>
  <w:footnote w:id="40">
    <w:p w14:paraId="62909E3D" w14:textId="77777777" w:rsidR="000B20C3" w:rsidRDefault="000B20C3" w:rsidP="00934569">
      <w:pPr>
        <w:pStyle w:val="FootnoteText"/>
      </w:pPr>
      <w:r>
        <w:rPr>
          <w:rStyle w:val="FootnoteReference"/>
        </w:rPr>
        <w:footnoteRef/>
      </w:r>
      <w:r>
        <w:t xml:space="preserve"> </w:t>
      </w:r>
      <w:r w:rsidRPr="008F59B1">
        <w:rPr>
          <w:i/>
        </w:rPr>
        <w:t>ibid</w:t>
      </w:r>
      <w:r>
        <w:t>.</w:t>
      </w:r>
    </w:p>
  </w:footnote>
  <w:footnote w:id="41">
    <w:p w14:paraId="61136785" w14:textId="77777777" w:rsidR="000B20C3" w:rsidRDefault="000B20C3" w:rsidP="00934569">
      <w:pPr>
        <w:pStyle w:val="FootnoteText"/>
      </w:pPr>
      <w:r>
        <w:rPr>
          <w:rStyle w:val="FootnoteReference"/>
        </w:rPr>
        <w:footnoteRef/>
      </w:r>
      <w:r>
        <w:t xml:space="preserve"> </w:t>
      </w:r>
      <w:proofErr w:type="gramStart"/>
      <w:r w:rsidRPr="008F59B1">
        <w:rPr>
          <w:i/>
        </w:rPr>
        <w:t>ibid</w:t>
      </w:r>
      <w:r>
        <w:t>.,</w:t>
      </w:r>
      <w:proofErr w:type="gramEnd"/>
      <w:r>
        <w:t xml:space="preserve"> p. 7.</w:t>
      </w:r>
    </w:p>
  </w:footnote>
  <w:footnote w:id="42">
    <w:p w14:paraId="40773F98" w14:textId="77777777" w:rsidR="000B20C3" w:rsidRDefault="000B20C3" w:rsidP="00934569">
      <w:pPr>
        <w:pStyle w:val="FootnoteText"/>
      </w:pPr>
      <w:r>
        <w:rPr>
          <w:rStyle w:val="FootnoteReference"/>
        </w:rPr>
        <w:footnoteRef/>
      </w:r>
      <w:r>
        <w:t xml:space="preserve"> </w:t>
      </w:r>
      <w:proofErr w:type="gramStart"/>
      <w:r w:rsidRPr="008F59B1">
        <w:rPr>
          <w:i/>
        </w:rPr>
        <w:t>ibid</w:t>
      </w:r>
      <w:r>
        <w:t>.,</w:t>
      </w:r>
      <w:proofErr w:type="gramEnd"/>
      <w:r>
        <w:t xml:space="preserve"> p. 4.</w:t>
      </w:r>
    </w:p>
  </w:footnote>
  <w:footnote w:id="43">
    <w:p w14:paraId="39CF81BC" w14:textId="77777777" w:rsidR="000B20C3" w:rsidRDefault="000B20C3">
      <w:pPr>
        <w:pStyle w:val="FootnoteText"/>
      </w:pPr>
      <w:r>
        <w:rPr>
          <w:rStyle w:val="FootnoteReference"/>
        </w:rPr>
        <w:footnoteRef/>
      </w:r>
      <w:r>
        <w:t xml:space="preserve"> Steel Statistical Yearbook.</w:t>
      </w:r>
    </w:p>
  </w:footnote>
  <w:footnote w:id="44">
    <w:p w14:paraId="68B0E921" w14:textId="77777777" w:rsidR="000B20C3" w:rsidRDefault="000B20C3">
      <w:pPr>
        <w:pStyle w:val="FootnoteText"/>
      </w:pPr>
      <w:r>
        <w:rPr>
          <w:rStyle w:val="FootnoteReference"/>
        </w:rPr>
        <w:footnoteRef/>
      </w:r>
      <w:r>
        <w:t xml:space="preserve"> </w:t>
      </w:r>
      <w:r w:rsidRPr="00AC0A0D">
        <w:rPr>
          <w:i/>
        </w:rPr>
        <w:t>ibid</w:t>
      </w:r>
      <w:r>
        <w:t>.</w:t>
      </w:r>
    </w:p>
  </w:footnote>
  <w:footnote w:id="45">
    <w:p w14:paraId="65EC7D0A" w14:textId="77777777" w:rsidR="000B20C3" w:rsidRDefault="000B20C3" w:rsidP="00237370">
      <w:pPr>
        <w:pStyle w:val="FootnoteText"/>
        <w:jc w:val="both"/>
      </w:pPr>
      <w:r>
        <w:rPr>
          <w:rStyle w:val="FootnoteReference"/>
        </w:rPr>
        <w:footnoteRef/>
      </w:r>
      <w:r>
        <w:t xml:space="preserve"> Ai Group, </w:t>
      </w:r>
      <w:r w:rsidRPr="00F81453">
        <w:rPr>
          <w:i/>
        </w:rPr>
        <w:t>Submission to the Senate Estimates References Committee Inquiry into the Future of Australia’s Steel Industry</w:t>
      </w:r>
      <w:r>
        <w:t>, Submission 10, February 2016, pp. 14-15.</w:t>
      </w:r>
    </w:p>
  </w:footnote>
  <w:footnote w:id="46">
    <w:p w14:paraId="3C85D19C" w14:textId="77777777" w:rsidR="000B20C3" w:rsidRDefault="000B20C3" w:rsidP="00350E33">
      <w:pPr>
        <w:pStyle w:val="FootnoteText"/>
        <w:jc w:val="both"/>
      </w:pPr>
      <w:r>
        <w:rPr>
          <w:rStyle w:val="FootnoteReference"/>
        </w:rPr>
        <w:footnoteRef/>
      </w:r>
      <w:r>
        <w:t xml:space="preserve"> Given the magnitude of the demand/production imbalance for primary steel products, an imbalance between demand and production (in economics, demand/supply disequilibrium – at cost-reflective prices) in the downstream steel manufacturing/fabricating market is likely even taking into account an increase in demand due to substitution from products made by other materials (in economics, the substitution effect from lower relative prices) and due to greater affordability (in economics, the income effect from lower prices).</w:t>
      </w:r>
    </w:p>
  </w:footnote>
  <w:footnote w:id="47">
    <w:p w14:paraId="74C71381" w14:textId="77777777" w:rsidR="000B20C3" w:rsidRDefault="000B20C3" w:rsidP="00350E33">
      <w:pPr>
        <w:pStyle w:val="FootnoteText"/>
        <w:jc w:val="both"/>
      </w:pPr>
      <w:r>
        <w:rPr>
          <w:rStyle w:val="FootnoteReference"/>
        </w:rPr>
        <w:footnoteRef/>
      </w:r>
      <w:r>
        <w:t xml:space="preserve"> As noted in the footnote above, domestic consumers are unlikely to absorb the increased supply, g</w:t>
      </w:r>
      <w:r w:rsidRPr="000F133F">
        <w:t xml:space="preserve">iven the magnitude of the </w:t>
      </w:r>
      <w:r>
        <w:t xml:space="preserve">gap between demand and </w:t>
      </w:r>
      <w:r w:rsidRPr="000F133F">
        <w:t>production of primary steel products</w:t>
      </w:r>
      <w:r>
        <w:t xml:space="preserve"> (at cost-reflective prices). In addition, government fiscal restraint aimed at reducing government debt and budget deficits is placing a brake on economic growth in many countries.</w:t>
      </w:r>
    </w:p>
  </w:footnote>
  <w:footnote w:id="48">
    <w:p w14:paraId="144420CB" w14:textId="77777777" w:rsidR="000B20C3" w:rsidRDefault="000B20C3" w:rsidP="004D6388">
      <w:pPr>
        <w:pStyle w:val="FootnoteText"/>
        <w:jc w:val="both"/>
      </w:pPr>
      <w:r>
        <w:rPr>
          <w:rStyle w:val="FootnoteReference"/>
        </w:rPr>
        <w:footnoteRef/>
      </w:r>
      <w:r>
        <w:t xml:space="preserve"> Ai Group, </w:t>
      </w:r>
      <w:r w:rsidRPr="00F81453">
        <w:rPr>
          <w:i/>
        </w:rPr>
        <w:t>Submission to the Senate Estimates References Committee Inquiry into the Future of Australia’s Steel Industry</w:t>
      </w:r>
      <w:r>
        <w:t>, Submission 10, February 2016, pp. 34-35.</w:t>
      </w:r>
    </w:p>
  </w:footnote>
  <w:footnote w:id="49">
    <w:p w14:paraId="24FC7B2D" w14:textId="77777777" w:rsidR="000B20C3" w:rsidRPr="001B6C7F" w:rsidRDefault="000B20C3" w:rsidP="00043EB7">
      <w:pPr>
        <w:autoSpaceDE w:val="0"/>
        <w:autoSpaceDN w:val="0"/>
        <w:adjustRightInd w:val="0"/>
        <w:rPr>
          <w:rFonts w:ascii="Calibri" w:hAnsi="Calibri" w:cs="Calibri"/>
          <w:sz w:val="20"/>
          <w:szCs w:val="20"/>
        </w:rPr>
      </w:pPr>
      <w:r w:rsidRPr="00470E33">
        <w:rPr>
          <w:rStyle w:val="FootnoteReference"/>
        </w:rPr>
        <w:footnoteRef/>
      </w:r>
      <w:r w:rsidRPr="00470E33">
        <w:rPr>
          <w:sz w:val="20"/>
          <w:szCs w:val="20"/>
        </w:rPr>
        <w:t xml:space="preserve"> </w:t>
      </w:r>
      <w:r>
        <w:rPr>
          <w:sz w:val="20"/>
          <w:szCs w:val="20"/>
        </w:rPr>
        <w:t>D</w:t>
      </w:r>
      <w:r w:rsidRPr="00470E33">
        <w:rPr>
          <w:rFonts w:ascii="Calibri" w:hAnsi="Calibri" w:cs="Calibri"/>
          <w:sz w:val="20"/>
          <w:szCs w:val="20"/>
        </w:rPr>
        <w:t>umping du</w:t>
      </w:r>
      <w:r>
        <w:rPr>
          <w:rFonts w:ascii="Calibri" w:hAnsi="Calibri" w:cs="Calibri"/>
          <w:sz w:val="20"/>
          <w:szCs w:val="20"/>
        </w:rPr>
        <w:t xml:space="preserve">ties were imposed on galvanised </w:t>
      </w:r>
      <w:r w:rsidRPr="00470E33">
        <w:rPr>
          <w:rFonts w:ascii="Calibri" w:hAnsi="Calibri" w:cs="Calibri"/>
          <w:sz w:val="20"/>
          <w:szCs w:val="20"/>
        </w:rPr>
        <w:t>steel exported from China, Korea and Taiwan</w:t>
      </w:r>
      <w:r>
        <w:rPr>
          <w:rFonts w:ascii="Calibri" w:hAnsi="Calibri" w:cs="Calibri"/>
          <w:sz w:val="20"/>
          <w:szCs w:val="20"/>
        </w:rPr>
        <w:t>,</w:t>
      </w:r>
      <w:r w:rsidRPr="00470E33">
        <w:rPr>
          <w:rFonts w:ascii="Calibri" w:hAnsi="Calibri" w:cs="Calibri"/>
          <w:sz w:val="20"/>
          <w:szCs w:val="20"/>
        </w:rPr>
        <w:t xml:space="preserve"> except for exports by </w:t>
      </w:r>
      <w:proofErr w:type="spellStart"/>
      <w:r w:rsidRPr="00470E33">
        <w:rPr>
          <w:rFonts w:ascii="Calibri" w:hAnsi="Calibri" w:cs="Calibri"/>
          <w:sz w:val="20"/>
          <w:szCs w:val="20"/>
        </w:rPr>
        <w:t>Dongkuk</w:t>
      </w:r>
      <w:proofErr w:type="spellEnd"/>
      <w:r w:rsidRPr="00470E33">
        <w:rPr>
          <w:rFonts w:ascii="Calibri" w:hAnsi="Calibri" w:cs="Calibri"/>
          <w:sz w:val="20"/>
          <w:szCs w:val="20"/>
        </w:rPr>
        <w:t xml:space="preserve"> Steel Mill Co. Ltd and Ta Fong Steel Co. Ltd. </w:t>
      </w:r>
      <w:r>
        <w:rPr>
          <w:rFonts w:ascii="Calibri" w:hAnsi="Calibri" w:cs="Calibri"/>
          <w:sz w:val="20"/>
          <w:szCs w:val="20"/>
        </w:rPr>
        <w:t>C</w:t>
      </w:r>
      <w:r w:rsidRPr="00470E33">
        <w:rPr>
          <w:rFonts w:ascii="Calibri" w:hAnsi="Calibri" w:cs="Calibri"/>
          <w:sz w:val="20"/>
          <w:szCs w:val="20"/>
        </w:rPr>
        <w:t>ountervailing duties were also imposed on galvanised steel exported from China.</w:t>
      </w:r>
    </w:p>
  </w:footnote>
  <w:footnote w:id="50">
    <w:p w14:paraId="050E3B47" w14:textId="77777777" w:rsidR="000B20C3" w:rsidRPr="002D3CC9" w:rsidRDefault="000B20C3" w:rsidP="00043EB7">
      <w:pPr>
        <w:pStyle w:val="FootnoteText"/>
      </w:pPr>
      <w:r>
        <w:rPr>
          <w:rStyle w:val="FootnoteReference"/>
        </w:rPr>
        <w:footnoteRef/>
      </w:r>
      <w:r>
        <w:t xml:space="preserve"> Information on investigations can be found on the electronic public record at </w:t>
      </w:r>
      <w:hyperlink r:id="rId26" w:history="1">
        <w:r w:rsidRPr="00D31C66">
          <w:rPr>
            <w:rStyle w:val="Hyperlink"/>
          </w:rPr>
          <w:t>www.adcommission.gov.au/cases/Pages/CurrentCases/EPR-370.aspx</w:t>
        </w:r>
      </w:hyperlink>
      <w:r>
        <w:rPr>
          <w:rStyle w:val="Hyperlink"/>
        </w:rPr>
        <w:t>.</w:t>
      </w:r>
    </w:p>
  </w:footnote>
  <w:footnote w:id="51">
    <w:p w14:paraId="16D1E96C" w14:textId="77777777" w:rsidR="000B20C3" w:rsidRPr="00202312" w:rsidRDefault="000B20C3" w:rsidP="00043EB7">
      <w:pPr>
        <w:pStyle w:val="Default"/>
        <w:rPr>
          <w:rFonts w:eastAsiaTheme="minorHAnsi"/>
          <w:sz w:val="22"/>
          <w:szCs w:val="22"/>
          <w:lang w:eastAsia="en-US"/>
        </w:rPr>
      </w:pPr>
      <w:r w:rsidRPr="00470E33">
        <w:rPr>
          <w:rStyle w:val="FootnoteReference"/>
        </w:rPr>
        <w:footnoteRef/>
      </w:r>
      <w:r w:rsidRPr="00470E33">
        <w:rPr>
          <w:sz w:val="20"/>
          <w:szCs w:val="20"/>
        </w:rPr>
        <w:t xml:space="preserve"> </w:t>
      </w:r>
      <w:r>
        <w:rPr>
          <w:sz w:val="20"/>
          <w:szCs w:val="20"/>
        </w:rPr>
        <w:t>D</w:t>
      </w:r>
      <w:r w:rsidRPr="00202312">
        <w:rPr>
          <w:sz w:val="20"/>
          <w:szCs w:val="20"/>
        </w:rPr>
        <w:t xml:space="preserve">umping duties were imposed on </w:t>
      </w:r>
      <w:r>
        <w:rPr>
          <w:sz w:val="20"/>
          <w:szCs w:val="20"/>
        </w:rPr>
        <w:t>HSS exported</w:t>
      </w:r>
      <w:r w:rsidRPr="00202312">
        <w:rPr>
          <w:sz w:val="20"/>
          <w:szCs w:val="20"/>
        </w:rPr>
        <w:t xml:space="preserve"> from China, Korea</w:t>
      </w:r>
      <w:r>
        <w:rPr>
          <w:sz w:val="20"/>
          <w:szCs w:val="20"/>
        </w:rPr>
        <w:t>, Malaysia</w:t>
      </w:r>
      <w:r w:rsidRPr="00202312">
        <w:rPr>
          <w:sz w:val="20"/>
          <w:szCs w:val="20"/>
        </w:rPr>
        <w:t xml:space="preserve"> and Taiwan. </w:t>
      </w:r>
      <w:r>
        <w:rPr>
          <w:sz w:val="20"/>
          <w:szCs w:val="20"/>
        </w:rPr>
        <w:t>I</w:t>
      </w:r>
      <w:r w:rsidRPr="00202312">
        <w:rPr>
          <w:sz w:val="20"/>
          <w:szCs w:val="20"/>
        </w:rPr>
        <w:t xml:space="preserve">nterim countervailing duties were also imposed on HSS exported from China, except </w:t>
      </w:r>
      <w:r w:rsidRPr="00202312">
        <w:rPr>
          <w:rFonts w:eastAsiaTheme="minorHAnsi"/>
          <w:sz w:val="20"/>
          <w:szCs w:val="20"/>
          <w:lang w:eastAsia="en-US"/>
        </w:rPr>
        <w:t xml:space="preserve">for exports by </w:t>
      </w:r>
      <w:proofErr w:type="spellStart"/>
      <w:r w:rsidRPr="00202312">
        <w:rPr>
          <w:rFonts w:eastAsiaTheme="minorHAnsi"/>
          <w:sz w:val="20"/>
          <w:szCs w:val="20"/>
          <w:lang w:eastAsia="en-US"/>
        </w:rPr>
        <w:t>Huludao</w:t>
      </w:r>
      <w:proofErr w:type="spellEnd"/>
      <w:r w:rsidRPr="00202312">
        <w:rPr>
          <w:rFonts w:eastAsiaTheme="minorHAnsi"/>
          <w:sz w:val="20"/>
          <w:szCs w:val="20"/>
          <w:lang w:eastAsia="en-US"/>
        </w:rPr>
        <w:t xml:space="preserve"> City Steel Pipe Industrial Co Ltd, Qingdao </w:t>
      </w:r>
      <w:proofErr w:type="spellStart"/>
      <w:r w:rsidRPr="00202312">
        <w:rPr>
          <w:rFonts w:eastAsiaTheme="minorHAnsi"/>
          <w:sz w:val="20"/>
          <w:szCs w:val="20"/>
          <w:lang w:eastAsia="en-US"/>
        </w:rPr>
        <w:t>Xiangxing</w:t>
      </w:r>
      <w:proofErr w:type="spellEnd"/>
      <w:r w:rsidRPr="00202312">
        <w:rPr>
          <w:rFonts w:eastAsiaTheme="minorHAnsi"/>
          <w:sz w:val="20"/>
          <w:szCs w:val="20"/>
          <w:lang w:eastAsia="en-US"/>
        </w:rPr>
        <w:t xml:space="preserve"> Steel Pipe Co Ltd and Dalian </w:t>
      </w:r>
      <w:proofErr w:type="spellStart"/>
      <w:r w:rsidRPr="00202312">
        <w:rPr>
          <w:rFonts w:eastAsiaTheme="minorHAnsi"/>
          <w:sz w:val="20"/>
          <w:szCs w:val="20"/>
          <w:lang w:eastAsia="en-US"/>
        </w:rPr>
        <w:t>Steelforce</w:t>
      </w:r>
      <w:proofErr w:type="spellEnd"/>
      <w:r w:rsidRPr="00202312">
        <w:rPr>
          <w:rFonts w:eastAsiaTheme="minorHAnsi"/>
          <w:sz w:val="20"/>
          <w:szCs w:val="20"/>
          <w:lang w:eastAsia="en-US"/>
        </w:rPr>
        <w:t xml:space="preserve"> Hi-Tech Co Ltd</w:t>
      </w:r>
      <w:r w:rsidRPr="00202312">
        <w:rPr>
          <w:sz w:val="20"/>
          <w:szCs w:val="20"/>
        </w:rPr>
        <w:t>.</w:t>
      </w:r>
    </w:p>
  </w:footnote>
  <w:footnote w:id="52">
    <w:p w14:paraId="16007F01" w14:textId="77777777" w:rsidR="000B20C3" w:rsidRDefault="000B20C3" w:rsidP="00934910">
      <w:pPr>
        <w:pStyle w:val="FootnoteText"/>
        <w:jc w:val="both"/>
      </w:pPr>
      <w:r>
        <w:rPr>
          <w:rStyle w:val="FootnoteReference"/>
        </w:rPr>
        <w:footnoteRef/>
      </w:r>
      <w:r>
        <w:t xml:space="preserve"> The full goods description for anti-dumping purposes can be found on the Dumping Commodity Register at </w:t>
      </w:r>
      <w:hyperlink r:id="rId27" w:history="1">
        <w:r w:rsidRPr="00D31C66">
          <w:rPr>
            <w:rStyle w:val="Hyperlink"/>
          </w:rPr>
          <w:t>www.adcommission.gov.au/measures/Pages/default.aspx</w:t>
        </w:r>
      </w:hyperlink>
      <w:r>
        <w:rPr>
          <w:rStyle w:val="Hyperlink"/>
        </w:rPr>
        <w:t>.</w:t>
      </w:r>
      <w:r>
        <w:t xml:space="preserve"> </w:t>
      </w:r>
    </w:p>
  </w:footnote>
  <w:footnote w:id="53">
    <w:p w14:paraId="2C15198A" w14:textId="77777777" w:rsidR="000B20C3" w:rsidRPr="00A302A0" w:rsidRDefault="000B20C3" w:rsidP="00934910">
      <w:pPr>
        <w:pStyle w:val="Default"/>
        <w:jc w:val="both"/>
        <w:rPr>
          <w:rFonts w:eastAsiaTheme="minorHAnsi"/>
          <w:sz w:val="22"/>
          <w:szCs w:val="22"/>
          <w:lang w:eastAsia="en-US"/>
        </w:rPr>
      </w:pPr>
      <w:r w:rsidRPr="00A302A0">
        <w:rPr>
          <w:rStyle w:val="FootnoteReference"/>
        </w:rPr>
        <w:footnoteRef/>
      </w:r>
      <w:r w:rsidRPr="00A302A0">
        <w:rPr>
          <w:sz w:val="20"/>
          <w:szCs w:val="20"/>
        </w:rPr>
        <w:t xml:space="preserve"> </w:t>
      </w:r>
      <w:r>
        <w:rPr>
          <w:sz w:val="20"/>
          <w:szCs w:val="20"/>
        </w:rPr>
        <w:t>D</w:t>
      </w:r>
      <w:r w:rsidRPr="00470E33">
        <w:rPr>
          <w:sz w:val="20"/>
          <w:szCs w:val="20"/>
        </w:rPr>
        <w:t>umping du</w:t>
      </w:r>
      <w:r>
        <w:rPr>
          <w:sz w:val="20"/>
          <w:szCs w:val="20"/>
        </w:rPr>
        <w:t xml:space="preserve">ties were imposed on aluminium zinc coated </w:t>
      </w:r>
      <w:r w:rsidRPr="00470E33">
        <w:rPr>
          <w:sz w:val="20"/>
          <w:szCs w:val="20"/>
        </w:rPr>
        <w:t>steel exported from China</w:t>
      </w:r>
      <w:r>
        <w:rPr>
          <w:sz w:val="20"/>
          <w:szCs w:val="20"/>
        </w:rPr>
        <w:t xml:space="preserve"> and Korea</w:t>
      </w:r>
      <w:r w:rsidRPr="00470E33">
        <w:rPr>
          <w:sz w:val="20"/>
          <w:szCs w:val="20"/>
        </w:rPr>
        <w:t xml:space="preserve">. </w:t>
      </w:r>
      <w:r>
        <w:rPr>
          <w:sz w:val="20"/>
          <w:szCs w:val="20"/>
        </w:rPr>
        <w:t>C</w:t>
      </w:r>
      <w:r w:rsidRPr="00470E33">
        <w:rPr>
          <w:sz w:val="20"/>
          <w:szCs w:val="20"/>
        </w:rPr>
        <w:t xml:space="preserve">ountervailing duties were also imposed on </w:t>
      </w:r>
      <w:r>
        <w:rPr>
          <w:sz w:val="20"/>
          <w:szCs w:val="20"/>
        </w:rPr>
        <w:t xml:space="preserve">aluminium zinc coated </w:t>
      </w:r>
      <w:r w:rsidRPr="00470E33">
        <w:rPr>
          <w:sz w:val="20"/>
          <w:szCs w:val="20"/>
        </w:rPr>
        <w:t>steel exported from China.</w:t>
      </w:r>
    </w:p>
  </w:footnote>
  <w:footnote w:id="54">
    <w:p w14:paraId="2462EE7E" w14:textId="77777777" w:rsidR="000B20C3" w:rsidRDefault="000B20C3" w:rsidP="00934910">
      <w:pPr>
        <w:pStyle w:val="FootnoteText"/>
      </w:pPr>
      <w:r>
        <w:rPr>
          <w:rStyle w:val="FootnoteReference"/>
        </w:rPr>
        <w:footnoteRef/>
      </w:r>
      <w:r>
        <w:t xml:space="preserve"> Appendix 1 provides a more detailed overview of Australia’s anti-dumping system. Further information is available on the Commission’s website </w:t>
      </w:r>
      <w:hyperlink r:id="rId28" w:history="1">
        <w:r w:rsidRPr="0028282F">
          <w:rPr>
            <w:rStyle w:val="Hyperlink"/>
          </w:rPr>
          <w:t>www.adcommission.gov.au/adsystem/Pages/default.aspx</w:t>
        </w:r>
      </w:hyperlink>
      <w:r>
        <w:t xml:space="preserve">. </w:t>
      </w:r>
    </w:p>
  </w:footnote>
  <w:footnote w:id="55">
    <w:p w14:paraId="026418D1" w14:textId="77777777" w:rsidR="000B20C3" w:rsidRPr="0093089C" w:rsidRDefault="000B20C3" w:rsidP="00043EB7">
      <w:pPr>
        <w:pStyle w:val="FootnoteText"/>
        <w:rPr>
          <w:rStyle w:val="Hyperlink"/>
          <w:lang w:val="en"/>
        </w:rPr>
      </w:pPr>
      <w:r>
        <w:rPr>
          <w:rStyle w:val="FootnoteReference"/>
        </w:rPr>
        <w:footnoteRef/>
      </w:r>
      <w:r>
        <w:t xml:space="preserve"> WTO, ‘</w:t>
      </w:r>
      <w:r>
        <w:rPr>
          <w:lang w:val="en"/>
        </w:rPr>
        <w:t>WTO members exchange views on rise in anti-dumping actions’, News item, 27 April 2017,</w:t>
      </w:r>
      <w:r>
        <w:t xml:space="preserve"> </w:t>
      </w:r>
      <w:hyperlink r:id="rId29" w:history="1">
        <w:r w:rsidRPr="0028282F">
          <w:rPr>
            <w:rStyle w:val="Hyperlink"/>
          </w:rPr>
          <w:t>www.wto.org/english/news_e/news17_e/anti_10may17_e.htm</w:t>
        </w:r>
      </w:hyperlink>
      <w:r>
        <w:t xml:space="preserve">; </w:t>
      </w:r>
      <w:r w:rsidRPr="0093089C">
        <w:t>Trade Policy Review Body</w:t>
      </w:r>
      <w:r w:rsidRPr="0093089C">
        <w:rPr>
          <w:b/>
        </w:rPr>
        <w:t xml:space="preserve">, </w:t>
      </w:r>
      <w:r w:rsidRPr="00CE3B07">
        <w:rPr>
          <w:rStyle w:val="Hyperlink"/>
          <w:i/>
          <w:lang w:val="en"/>
        </w:rPr>
        <w:t xml:space="preserve">Overview of Developments in the International Trading Environment: Annual Report by the Director-General </w:t>
      </w:r>
      <w:r w:rsidRPr="0093089C">
        <w:rPr>
          <w:rStyle w:val="Hyperlink"/>
          <w:lang w:val="en"/>
        </w:rPr>
        <w:t>(</w:t>
      </w:r>
      <w:r w:rsidRPr="00CE3B07">
        <w:rPr>
          <w:rStyle w:val="Hyperlink"/>
          <w:lang w:val="en"/>
        </w:rPr>
        <w:t xml:space="preserve">Mid-October 2015 to mid-October 2016), </w:t>
      </w:r>
      <w:r w:rsidRPr="0093089C">
        <w:rPr>
          <w:bCs/>
        </w:rPr>
        <w:t>WT/TPR/OV/19</w:t>
      </w:r>
      <w:r>
        <w:rPr>
          <w:rStyle w:val="Hyperlink"/>
          <w:lang w:val="en"/>
        </w:rPr>
        <w:t xml:space="preserve">, </w:t>
      </w:r>
      <w:r w:rsidRPr="0093089C">
        <w:t>21 November 2016</w:t>
      </w:r>
      <w:r>
        <w:t xml:space="preserve">, </w:t>
      </w:r>
      <w:hyperlink r:id="rId30" w:history="1">
        <w:r w:rsidRPr="0028282F">
          <w:rPr>
            <w:rStyle w:val="Hyperlink"/>
          </w:rPr>
          <w:t>www.wto.org/english/tratop_e/tpr_e/tpr_e.htm</w:t>
        </w:r>
      </w:hyperlink>
      <w:r>
        <w:t xml:space="preserve">. </w:t>
      </w:r>
    </w:p>
  </w:footnote>
  <w:footnote w:id="56">
    <w:p w14:paraId="5518B083" w14:textId="77777777" w:rsidR="000B20C3" w:rsidRDefault="000B20C3" w:rsidP="00043EB7">
      <w:pPr>
        <w:pStyle w:val="FootnoteText"/>
      </w:pPr>
      <w:r>
        <w:rPr>
          <w:rStyle w:val="FootnoteReference"/>
        </w:rPr>
        <w:footnoteRef/>
      </w:r>
      <w:r>
        <w:t xml:space="preserve"> WTO, </w:t>
      </w:r>
      <w:r w:rsidRPr="002B4BF7">
        <w:rPr>
          <w:i/>
        </w:rPr>
        <w:t>Report to the TPRB from the Director-General on Trade-Related Developments</w:t>
      </w:r>
      <w:r>
        <w:t xml:space="preserve"> (Mid-October 2016 to mid-May 2017), </w:t>
      </w:r>
      <w:r w:rsidRPr="00B30B33">
        <w:t>WT/TPR/OV/W/11</w:t>
      </w:r>
      <w:r>
        <w:t xml:space="preserve">, 10 July 2017, </w:t>
      </w:r>
      <w:hyperlink r:id="rId31" w:history="1">
        <w:r w:rsidRPr="000B17D1">
          <w:rPr>
            <w:rStyle w:val="Hyperlink"/>
          </w:rPr>
          <w:t>www.wto.org/english/news_e/news17_e/trdev_24jul17_e.htm</w:t>
        </w:r>
      </w:hyperlink>
      <w:r>
        <w:t xml:space="preserve">. </w:t>
      </w:r>
    </w:p>
  </w:footnote>
  <w:footnote w:id="57">
    <w:p w14:paraId="37620B8A" w14:textId="77777777" w:rsidR="000B20C3" w:rsidRDefault="000B20C3" w:rsidP="00043EB7">
      <w:pPr>
        <w:pStyle w:val="FootnoteText"/>
      </w:pPr>
      <w:r>
        <w:rPr>
          <w:rStyle w:val="FootnoteReference"/>
        </w:rPr>
        <w:footnoteRef/>
      </w:r>
      <w:r>
        <w:t xml:space="preserve"> </w:t>
      </w:r>
      <w:proofErr w:type="gramStart"/>
      <w:r w:rsidRPr="00B30B33">
        <w:rPr>
          <w:i/>
        </w:rPr>
        <w:t>ibid</w:t>
      </w:r>
      <w:r>
        <w:t>.,</w:t>
      </w:r>
      <w:proofErr w:type="gramEnd"/>
      <w:r>
        <w:t xml:space="preserve"> pp. 30-32.</w:t>
      </w:r>
    </w:p>
  </w:footnote>
  <w:footnote w:id="58">
    <w:p w14:paraId="47618E77" w14:textId="77777777" w:rsidR="000B20C3" w:rsidRDefault="000B20C3" w:rsidP="00043EB7">
      <w:pPr>
        <w:pStyle w:val="FootnoteText"/>
      </w:pPr>
      <w:r>
        <w:rPr>
          <w:rStyle w:val="FootnoteReference"/>
        </w:rPr>
        <w:footnoteRef/>
      </w:r>
      <w:r>
        <w:t xml:space="preserve"> </w:t>
      </w:r>
      <w:proofErr w:type="gramStart"/>
      <w:r w:rsidRPr="00B30B33">
        <w:rPr>
          <w:i/>
        </w:rPr>
        <w:t>ibid</w:t>
      </w:r>
      <w:r>
        <w:t>.,</w:t>
      </w:r>
      <w:proofErr w:type="gramEnd"/>
      <w:r>
        <w:t xml:space="preserve"> pp. 33-35.</w:t>
      </w:r>
    </w:p>
  </w:footnote>
  <w:footnote w:id="59">
    <w:p w14:paraId="04A34333" w14:textId="77777777" w:rsidR="000B20C3" w:rsidRPr="008166D0" w:rsidRDefault="000B20C3" w:rsidP="00043EB7">
      <w:pPr>
        <w:pStyle w:val="FootnoteText"/>
      </w:pPr>
      <w:r>
        <w:rPr>
          <w:rStyle w:val="FootnoteReference"/>
        </w:rPr>
        <w:footnoteRef/>
      </w:r>
      <w:r>
        <w:t xml:space="preserve"> United States International Trade Commission,</w:t>
      </w:r>
      <w:hyperlink w:history="1">
        <w:r w:rsidRPr="004B6D5C" w:rsidDel="004B6D5C">
          <w:rPr>
            <w:rStyle w:val="Hyperlink"/>
          </w:rPr>
          <w:t xml:space="preserve"> </w:t>
        </w:r>
        <w:r w:rsidRPr="004B6D5C">
          <w:rPr>
            <w:rStyle w:val="Hyperlink"/>
          </w:rPr>
          <w:t>www.usitc.gov/trade_remedy/731_ad_701_cvd/</w:t>
        </w:r>
      </w:hyperlink>
      <w:r>
        <w:t xml:space="preserve"> </w:t>
      </w:r>
      <w:r w:rsidRPr="008166D0">
        <w:rPr>
          <w:rStyle w:val="Hyperlink"/>
        </w:rPr>
        <w:t>investigations.htm.</w:t>
      </w:r>
      <w:r>
        <w:rPr>
          <w:rStyle w:val="Hyperlink"/>
        </w:rPr>
        <w:t xml:space="preserve"> </w:t>
      </w:r>
      <w:r w:rsidRPr="008166D0">
        <w:t xml:space="preserve">Of 131 </w:t>
      </w:r>
      <w:r w:rsidRPr="00C556C8">
        <w:t>trade remedy cases initiated by the US</w:t>
      </w:r>
      <w:r>
        <w:t xml:space="preserve"> in 2016, 74 related to steel.</w:t>
      </w:r>
    </w:p>
  </w:footnote>
  <w:footnote w:id="60">
    <w:p w14:paraId="0655B873" w14:textId="77777777" w:rsidR="000B20C3" w:rsidRDefault="000B20C3" w:rsidP="00043EB7">
      <w:pPr>
        <w:pStyle w:val="FootnoteText"/>
      </w:pPr>
      <w:r>
        <w:rPr>
          <w:rStyle w:val="FootnoteReference"/>
        </w:rPr>
        <w:footnoteRef/>
      </w:r>
      <w:r>
        <w:t xml:space="preserve"> </w:t>
      </w:r>
      <w:r w:rsidRPr="008D4970">
        <w:t xml:space="preserve">United States Department of Commerce, International Trade Administration, Enforcement and Compliance website at </w:t>
      </w:r>
      <w:hyperlink r:id="rId32" w:history="1">
        <w:r w:rsidRPr="008D4970">
          <w:rPr>
            <w:rStyle w:val="Hyperlink"/>
          </w:rPr>
          <w:t>http://enforcement.trade.gov/stats/inv-initiations-2000-current.html</w:t>
        </w:r>
      </w:hyperlink>
      <w:r w:rsidRPr="008D4970">
        <w:t>.</w:t>
      </w:r>
    </w:p>
  </w:footnote>
  <w:footnote w:id="61">
    <w:p w14:paraId="2191BABE" w14:textId="77777777" w:rsidR="000B20C3" w:rsidRDefault="000B20C3" w:rsidP="00043EB7">
      <w:pPr>
        <w:pStyle w:val="FootnoteText"/>
      </w:pPr>
      <w:r>
        <w:rPr>
          <w:rStyle w:val="FootnoteReference"/>
        </w:rPr>
        <w:footnoteRef/>
      </w:r>
      <w:r>
        <w:t xml:space="preserve"> European Commission, Trade Defence Statistics covering 2016, 28/02/2017, pp. 6-7, </w:t>
      </w:r>
      <w:hyperlink r:id="rId33" w:history="1">
        <w:r w:rsidRPr="003A32D9">
          <w:rPr>
            <w:rStyle w:val="Hyperlink"/>
          </w:rPr>
          <w:t>http://trade.ec.europa.eu/doclib/docs/2017/january/tradoc_155243.pdf</w:t>
        </w:r>
      </w:hyperlink>
      <w:r>
        <w:t xml:space="preserve"> . </w:t>
      </w:r>
    </w:p>
  </w:footnote>
  <w:footnote w:id="62">
    <w:p w14:paraId="6EB5CFE1" w14:textId="77777777" w:rsidR="000B20C3" w:rsidRDefault="000B20C3" w:rsidP="00043EB7">
      <w:pPr>
        <w:pStyle w:val="FootnoteText"/>
      </w:pPr>
      <w:r>
        <w:rPr>
          <w:rStyle w:val="FootnoteReference"/>
        </w:rPr>
        <w:footnoteRef/>
      </w:r>
      <w:r>
        <w:t xml:space="preserve"> European Commission, News Archive: The EU imposes provisional anti-dumping duties on steel and iron products from China, 14 November 2016, </w:t>
      </w:r>
      <w:hyperlink r:id="rId34" w:history="1">
        <w:r w:rsidRPr="00884994">
          <w:rPr>
            <w:rStyle w:val="Hyperlink"/>
          </w:rPr>
          <w:t>http://trade.ec.europa.eu/doclib/press/index.cfm?id=1579&amp;title= The-EU-imposes-provisional-anti-dumping-duties-on-steel-and-iron-products-from-China</w:t>
        </w:r>
      </w:hyperlink>
      <w:r>
        <w:t xml:space="preserve">. </w:t>
      </w:r>
    </w:p>
  </w:footnote>
  <w:footnote w:id="63">
    <w:p w14:paraId="60792DB1" w14:textId="77777777" w:rsidR="000B20C3" w:rsidRDefault="000B20C3" w:rsidP="00043EB7">
      <w:pPr>
        <w:pStyle w:val="FootnoteText"/>
      </w:pPr>
      <w:r>
        <w:rPr>
          <w:rStyle w:val="FootnoteReference"/>
        </w:rPr>
        <w:footnoteRef/>
      </w:r>
      <w:r>
        <w:t xml:space="preserve"> Investigation 355, Steel Shelving Units from China, </w:t>
      </w:r>
      <w:hyperlink r:id="rId35" w:history="1">
        <w:r w:rsidRPr="00024225">
          <w:rPr>
            <w:rStyle w:val="Hyperlink"/>
          </w:rPr>
          <w:t>adcommission.gov.au/cases/Pages/</w:t>
        </w:r>
        <w:proofErr w:type="spellStart"/>
        <w:r w:rsidRPr="00024225">
          <w:rPr>
            <w:rStyle w:val="Hyperlink"/>
          </w:rPr>
          <w:t>CurrentCases</w:t>
        </w:r>
        <w:proofErr w:type="spellEnd"/>
        <w:r w:rsidRPr="00024225">
          <w:rPr>
            <w:rStyle w:val="Hyperlink"/>
          </w:rPr>
          <w:t>/EPR-355.aspx</w:t>
        </w:r>
      </w:hyperlink>
      <w:r>
        <w:t>.</w:t>
      </w:r>
    </w:p>
  </w:footnote>
  <w:footnote w:id="64">
    <w:p w14:paraId="23DACB20" w14:textId="77777777" w:rsidR="000B20C3" w:rsidRDefault="000B20C3" w:rsidP="00043EB7">
      <w:pPr>
        <w:pStyle w:val="FootnoteText"/>
      </w:pPr>
      <w:r>
        <w:rPr>
          <w:rStyle w:val="FootnoteReference"/>
        </w:rPr>
        <w:footnoteRef/>
      </w:r>
      <w:r>
        <w:t xml:space="preserve"> Further information on the investigation ADC 401 is available at </w:t>
      </w:r>
      <w:hyperlink r:id="rId36" w:history="1">
        <w:r w:rsidRPr="002B4B3B">
          <w:rPr>
            <w:rStyle w:val="Hyperlink"/>
          </w:rPr>
          <w:t>www.adcommission.gov.au/cases/Pages/CurrentCases/ADC-401.aspx</w:t>
        </w:r>
      </w:hyperlink>
      <w:r>
        <w:t xml:space="preserve">. </w:t>
      </w:r>
    </w:p>
  </w:footnote>
  <w:footnote w:id="65">
    <w:p w14:paraId="5180D211" w14:textId="77777777" w:rsidR="000B20C3" w:rsidRPr="00505B29" w:rsidRDefault="000B20C3" w:rsidP="00E77AAB">
      <w:pPr>
        <w:pStyle w:val="FootnoteText"/>
      </w:pPr>
      <w:r>
        <w:rPr>
          <w:rStyle w:val="FootnoteReference"/>
        </w:rPr>
        <w:footnoteRef/>
      </w:r>
      <w:r>
        <w:t xml:space="preserve"> </w:t>
      </w:r>
      <w:r w:rsidRPr="00505B29">
        <w:t>Australian Steel Institute</w:t>
      </w:r>
      <w:r>
        <w:t>,</w:t>
      </w:r>
      <w:r w:rsidRPr="00505B29">
        <w:t xml:space="preserve"> </w:t>
      </w:r>
      <w:r w:rsidRPr="0051595D">
        <w:rPr>
          <w:i/>
        </w:rPr>
        <w:t xml:space="preserve">Submission to the Senate Inquiry into the Sustainability of the Australian </w:t>
      </w:r>
      <w:r>
        <w:rPr>
          <w:i/>
        </w:rPr>
        <w:t>S</w:t>
      </w:r>
      <w:r w:rsidRPr="0051595D">
        <w:rPr>
          <w:i/>
        </w:rPr>
        <w:t xml:space="preserve">teel </w:t>
      </w:r>
      <w:r>
        <w:rPr>
          <w:i/>
        </w:rPr>
        <w:t>I</w:t>
      </w:r>
      <w:r w:rsidRPr="0051595D">
        <w:rPr>
          <w:i/>
        </w:rPr>
        <w:t>ndustry</w:t>
      </w:r>
      <w:r w:rsidRPr="00505B29">
        <w:t xml:space="preserve">, </w:t>
      </w:r>
      <w:r>
        <w:t xml:space="preserve">Submission 19, 25 February 2016, </w:t>
      </w:r>
      <w:r w:rsidRPr="00505B29">
        <w:t>p. 11</w:t>
      </w:r>
      <w:r>
        <w:t>,</w:t>
      </w:r>
      <w:r w:rsidRPr="00505B29">
        <w:t xml:space="preserve"> </w:t>
      </w:r>
      <w:hyperlink r:id="rId37" w:history="1">
        <w:r w:rsidRPr="003C2F00">
          <w:rPr>
            <w:rStyle w:val="Hyperlink"/>
          </w:rPr>
          <w:t>www.aph.gov.au/Parliamentary_Business/Committees/ Senate/Economics/</w:t>
        </w:r>
        <w:proofErr w:type="spellStart"/>
        <w:r w:rsidRPr="003C2F00">
          <w:rPr>
            <w:rStyle w:val="Hyperlink"/>
          </w:rPr>
          <w:t>Australias_Steel_Industry</w:t>
        </w:r>
        <w:proofErr w:type="spellEnd"/>
        <w:r w:rsidRPr="003C2F00">
          <w:rPr>
            <w:rStyle w:val="Hyperlink"/>
          </w:rPr>
          <w:t>/Submissions</w:t>
        </w:r>
      </w:hyperlink>
      <w:r>
        <w:t>.</w:t>
      </w:r>
    </w:p>
  </w:footnote>
  <w:footnote w:id="66">
    <w:p w14:paraId="68636277" w14:textId="77777777" w:rsidR="000B20C3" w:rsidRPr="006D6518" w:rsidRDefault="000B20C3" w:rsidP="00043EB7">
      <w:pPr>
        <w:pStyle w:val="FootnoteText"/>
      </w:pPr>
      <w:r>
        <w:rPr>
          <w:rStyle w:val="FootnoteReference"/>
        </w:rPr>
        <w:footnoteRef/>
      </w:r>
      <w:r>
        <w:t xml:space="preserve"> </w:t>
      </w:r>
      <w:r w:rsidRPr="00C031AE">
        <w:rPr>
          <w:i/>
        </w:rPr>
        <w:t>Steel Statistical Yearbook 2016</w:t>
      </w:r>
      <w:r w:rsidRPr="006D6518">
        <w:t>, World Steel Association, 15 November 2016.</w:t>
      </w:r>
    </w:p>
  </w:footnote>
  <w:footnote w:id="67">
    <w:p w14:paraId="47C56159" w14:textId="77777777" w:rsidR="000B20C3" w:rsidRPr="00B9553B" w:rsidRDefault="000B20C3" w:rsidP="00043EB7">
      <w:pPr>
        <w:pStyle w:val="FootnoteText"/>
      </w:pPr>
      <w:r>
        <w:rPr>
          <w:rStyle w:val="FootnoteReference"/>
        </w:rPr>
        <w:footnoteRef/>
      </w:r>
      <w:r>
        <w:t xml:space="preserve"> </w:t>
      </w:r>
      <w:proofErr w:type="spellStart"/>
      <w:r w:rsidRPr="006D6518">
        <w:t>EuroStat</w:t>
      </w:r>
      <w:proofErr w:type="spellEnd"/>
      <w:r>
        <w:t>,</w:t>
      </w:r>
      <w:r w:rsidRPr="006D6518">
        <w:t xml:space="preserve"> </w:t>
      </w:r>
      <w:r>
        <w:t>‘</w:t>
      </w:r>
      <w:r w:rsidRPr="006D6518">
        <w:t>Manufacture of fabricated metal products statistics</w:t>
      </w:r>
      <w:r>
        <w:t>’,</w:t>
      </w:r>
      <w:r w:rsidRPr="006D6518">
        <w:rPr>
          <w:rFonts w:ascii="roboto_condensedregular" w:hAnsi="roboto_condensedregular" w:cs="Helvetica"/>
          <w:color w:val="2873E6"/>
          <w:kern w:val="36"/>
          <w:lang w:val="en"/>
        </w:rPr>
        <w:t xml:space="preserve"> </w:t>
      </w:r>
      <w:hyperlink r:id="rId38" w:history="1">
        <w:r w:rsidRPr="003C2F00">
          <w:rPr>
            <w:rStyle w:val="Hyperlink"/>
          </w:rPr>
          <w:t>ec.europa.eu/eurostat/statistics-explained/index.php/Archive:Manufacture_of_fabricated_metal_products_statistics_-_NACE_Rev._2</w:t>
        </w:r>
      </w:hyperlink>
      <w:r>
        <w:t xml:space="preserve"> </w:t>
      </w:r>
    </w:p>
  </w:footnote>
  <w:footnote w:id="68">
    <w:p w14:paraId="7A345F4E" w14:textId="77777777" w:rsidR="000B20C3" w:rsidRPr="00B9553B" w:rsidRDefault="000B20C3" w:rsidP="00043EB7">
      <w:pPr>
        <w:pStyle w:val="FootnoteText"/>
      </w:pPr>
      <w:r>
        <w:rPr>
          <w:rStyle w:val="FootnoteReference"/>
        </w:rPr>
        <w:footnoteRef/>
      </w:r>
      <w:r>
        <w:t xml:space="preserve"> </w:t>
      </w:r>
      <w:r w:rsidRPr="00C031AE">
        <w:rPr>
          <w:i/>
        </w:rPr>
        <w:t>ibid</w:t>
      </w:r>
      <w:r w:rsidRPr="006D6518">
        <w:t>.</w:t>
      </w:r>
    </w:p>
  </w:footnote>
  <w:footnote w:id="69">
    <w:p w14:paraId="6D236814" w14:textId="77777777" w:rsidR="000B20C3" w:rsidRDefault="000B20C3" w:rsidP="00E77AAB">
      <w:pPr>
        <w:pStyle w:val="FootnoteText"/>
      </w:pPr>
      <w:r>
        <w:rPr>
          <w:rStyle w:val="FootnoteReference"/>
        </w:rPr>
        <w:footnoteRef/>
      </w:r>
      <w:r>
        <w:t xml:space="preserve"> </w:t>
      </w:r>
      <w:r w:rsidRPr="006D6518">
        <w:t>Anti-Dumping Agreement Article 5.2(ii).</w:t>
      </w:r>
      <w:r w:rsidRPr="00C56859">
        <w:rPr>
          <w:sz w:val="16"/>
        </w:rPr>
        <w:t xml:space="preserve"> </w:t>
      </w:r>
    </w:p>
  </w:footnote>
  <w:footnote w:id="70">
    <w:p w14:paraId="633F03DD" w14:textId="77777777" w:rsidR="000B20C3" w:rsidRDefault="000B20C3" w:rsidP="00E77AAB">
      <w:pPr>
        <w:pStyle w:val="FootnoteText"/>
      </w:pPr>
      <w:r>
        <w:rPr>
          <w:rStyle w:val="FootnoteReference"/>
        </w:rPr>
        <w:footnoteRef/>
      </w:r>
      <w:r>
        <w:t xml:space="preserve"> John Brumby and Australian Attorney-General's Department (issuing body), </w:t>
      </w:r>
      <w:r>
        <w:rPr>
          <w:i/>
          <w:iCs/>
        </w:rPr>
        <w:t>The Brumby Anti-Dumping Review</w:t>
      </w:r>
      <w:r w:rsidRPr="003923C0">
        <w:rPr>
          <w:iCs/>
        </w:rPr>
        <w:t>,</w:t>
      </w:r>
      <w:r w:rsidRPr="003923C0">
        <w:t xml:space="preserve"> </w:t>
      </w:r>
      <w:r>
        <w:t xml:space="preserve">2012, available at </w:t>
      </w:r>
      <w:hyperlink r:id="rId39" w:history="1">
        <w:r w:rsidRPr="00883740">
          <w:rPr>
            <w:rStyle w:val="Hyperlink"/>
          </w:rPr>
          <w:t>http://nla.gov.au/nla.arc-141581</w:t>
        </w:r>
      </w:hyperlink>
      <w:r>
        <w:t xml:space="preserve">. </w:t>
      </w:r>
    </w:p>
  </w:footnote>
  <w:footnote w:id="71">
    <w:p w14:paraId="7567010F" w14:textId="77777777" w:rsidR="000B20C3" w:rsidRDefault="000B20C3" w:rsidP="00E77AAB">
      <w:pPr>
        <w:pStyle w:val="FootnoteText"/>
        <w:jc w:val="both"/>
      </w:pPr>
      <w:r>
        <w:rPr>
          <w:rStyle w:val="FootnoteReference"/>
        </w:rPr>
        <w:footnoteRef/>
      </w:r>
      <w:r>
        <w:t xml:space="preserve"> </w:t>
      </w:r>
      <w:r w:rsidRPr="00F865A8">
        <w:rPr>
          <w:sz w:val="18"/>
          <w:szCs w:val="18"/>
        </w:rPr>
        <w:t>A</w:t>
      </w:r>
      <w:r>
        <w:rPr>
          <w:sz w:val="18"/>
          <w:szCs w:val="18"/>
        </w:rPr>
        <w:t>mongst other requirements, a</w:t>
      </w:r>
      <w:r w:rsidRPr="00F865A8">
        <w:rPr>
          <w:sz w:val="18"/>
          <w:szCs w:val="18"/>
        </w:rPr>
        <w:t>n application must be supported by a sufficient part of the Australian industry for an investigation to be initiated (referred to as ‘standing’). An application is taken to be supported by a sufficient part of the Australian industry if persons (including the applicant) who produce or manufacture like goods in Australia and who support the application: (a) account for more than 50 per cent of the total production or manufacture of like goods produced or manufactured by that portion of the Australian industry that has expressed either support for, or opposition to, the application; and (b) account for not less than 25 per cent of the total production or manufacture of like goods in Australia.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ACA69A" w14:textId="77777777" w:rsidR="00FF1BA5" w:rsidRDefault="00FF1BA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175697" w14:textId="77777777" w:rsidR="00FF1BA5" w:rsidRDefault="00FF1BA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9A07EC" w14:textId="77777777" w:rsidR="00FF1BA5" w:rsidRDefault="00FF1BA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17452"/>
    <w:multiLevelType w:val="hybridMultilevel"/>
    <w:tmpl w:val="1402D110"/>
    <w:lvl w:ilvl="0" w:tplc="0C090001">
      <w:start w:val="1"/>
      <w:numFmt w:val="bullet"/>
      <w:lvlText w:val=""/>
      <w:lvlJc w:val="left"/>
      <w:pPr>
        <w:ind w:left="720" w:hanging="360"/>
      </w:pPr>
      <w:rPr>
        <w:rFonts w:ascii="Symbol" w:hAnsi="Symbol" w:hint="default"/>
      </w:rPr>
    </w:lvl>
    <w:lvl w:ilvl="1" w:tplc="13A8588C">
      <w:numFmt w:val="bullet"/>
      <w:lvlText w:val="•"/>
      <w:lvlJc w:val="left"/>
      <w:pPr>
        <w:ind w:left="1440" w:hanging="360"/>
      </w:pPr>
      <w:rPr>
        <w:rFonts w:ascii="Calibri" w:eastAsiaTheme="minorHAnsi" w:hAnsi="Calibri" w:cs="Calibri"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323B38"/>
    <w:multiLevelType w:val="multilevel"/>
    <w:tmpl w:val="B22009F6"/>
    <w:styleLink w:val="OCEHeadings"/>
    <w:lvl w:ilvl="0">
      <w:start w:val="1"/>
      <w:numFmt w:val="decimal"/>
      <w:lvlText w:val="%1."/>
      <w:lvlJc w:val="left"/>
      <w:pPr>
        <w:ind w:left="2835" w:hanging="675"/>
      </w:pPr>
      <w:rPr>
        <w:rFonts w:hint="default"/>
      </w:rPr>
    </w:lvl>
    <w:lvl w:ilvl="1">
      <w:start w:val="1"/>
      <w:numFmt w:val="decimal"/>
      <w:lvlText w:val="%1.%2"/>
      <w:lvlJc w:val="left"/>
      <w:pPr>
        <w:ind w:left="2835" w:hanging="675"/>
      </w:pPr>
      <w:rPr>
        <w:rFonts w:hint="default"/>
      </w:rPr>
    </w:lvl>
    <w:lvl w:ilvl="2">
      <w:start w:val="1"/>
      <w:numFmt w:val="none"/>
      <w:suff w:val="nothing"/>
      <w:lvlText w:val=""/>
      <w:lvlJc w:val="left"/>
      <w:pPr>
        <w:ind w:left="2160" w:firstLine="0"/>
      </w:pPr>
      <w:rPr>
        <w:rFonts w:hint="default"/>
      </w:rPr>
    </w:lvl>
    <w:lvl w:ilvl="3">
      <w:start w:val="1"/>
      <w:numFmt w:val="none"/>
      <w:suff w:val="nothing"/>
      <w:lvlText w:val=""/>
      <w:lvlJc w:val="left"/>
      <w:pPr>
        <w:ind w:left="2160" w:firstLine="0"/>
      </w:pPr>
      <w:rPr>
        <w:rFonts w:hint="default"/>
      </w:rPr>
    </w:lvl>
    <w:lvl w:ilvl="4">
      <w:start w:val="1"/>
      <w:numFmt w:val="none"/>
      <w:suff w:val="nothing"/>
      <w:lvlText w:val=""/>
      <w:lvlJc w:val="left"/>
      <w:pPr>
        <w:ind w:left="2160" w:firstLine="0"/>
      </w:pPr>
      <w:rPr>
        <w:rFonts w:hint="default"/>
      </w:rPr>
    </w:lvl>
    <w:lvl w:ilvl="5">
      <w:start w:val="1"/>
      <w:numFmt w:val="upperLetter"/>
      <w:lvlText w:val="Appendix %6"/>
      <w:lvlJc w:val="left"/>
      <w:pPr>
        <w:ind w:left="4536" w:hanging="2376"/>
      </w:pPr>
      <w:rPr>
        <w:rFonts w:hint="default"/>
      </w:rPr>
    </w:lvl>
    <w:lvl w:ilvl="6">
      <w:start w:val="1"/>
      <w:numFmt w:val="decimal"/>
      <w:lvlText w:val="%6.%7"/>
      <w:lvlJc w:val="left"/>
      <w:pPr>
        <w:ind w:left="2835" w:hanging="675"/>
      </w:pPr>
      <w:rPr>
        <w:rFonts w:hint="default"/>
      </w:rPr>
    </w:lvl>
    <w:lvl w:ilvl="7">
      <w:start w:val="1"/>
      <w:numFmt w:val="none"/>
      <w:suff w:val="nothing"/>
      <w:lvlText w:val=""/>
      <w:lvlJc w:val="left"/>
      <w:pPr>
        <w:ind w:left="2160" w:firstLine="0"/>
      </w:pPr>
      <w:rPr>
        <w:rFonts w:hint="default"/>
      </w:rPr>
    </w:lvl>
    <w:lvl w:ilvl="8">
      <w:start w:val="1"/>
      <w:numFmt w:val="none"/>
      <w:suff w:val="nothing"/>
      <w:lvlText w:val=""/>
      <w:lvlJc w:val="left"/>
      <w:pPr>
        <w:ind w:left="2160" w:firstLine="0"/>
      </w:pPr>
      <w:rPr>
        <w:rFonts w:hint="default"/>
      </w:rPr>
    </w:lvl>
  </w:abstractNum>
  <w:abstractNum w:abstractNumId="2" w15:restartNumberingAfterBreak="0">
    <w:nsid w:val="05786C40"/>
    <w:multiLevelType w:val="hybridMultilevel"/>
    <w:tmpl w:val="091CDB64"/>
    <w:lvl w:ilvl="0" w:tplc="FFFFFFFF">
      <w:start w:val="1"/>
      <w:numFmt w:val="bullet"/>
      <w:pStyle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9E01D1"/>
    <w:multiLevelType w:val="hybridMultilevel"/>
    <w:tmpl w:val="2610806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CEE32AE"/>
    <w:multiLevelType w:val="hybridMultilevel"/>
    <w:tmpl w:val="E48C7D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F5E310C"/>
    <w:multiLevelType w:val="hybridMultilevel"/>
    <w:tmpl w:val="C100C2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35A220E"/>
    <w:multiLevelType w:val="hybridMultilevel"/>
    <w:tmpl w:val="5ECC54C0"/>
    <w:lvl w:ilvl="0" w:tplc="6C36B702">
      <w:numFmt w:val="bullet"/>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59A636F"/>
    <w:multiLevelType w:val="singleLevel"/>
    <w:tmpl w:val="4BF8D1B2"/>
    <w:lvl w:ilvl="0">
      <w:start w:val="1"/>
      <w:numFmt w:val="bullet"/>
      <w:pStyle w:val="Bullet0"/>
      <w:lvlText w:val=""/>
      <w:lvlJc w:val="left"/>
      <w:pPr>
        <w:tabs>
          <w:tab w:val="num" w:pos="644"/>
        </w:tabs>
        <w:ind w:left="567" w:hanging="283"/>
      </w:pPr>
      <w:rPr>
        <w:rFonts w:ascii="Symbol" w:hAnsi="Symbol" w:hint="default"/>
      </w:rPr>
    </w:lvl>
  </w:abstractNum>
  <w:abstractNum w:abstractNumId="8" w15:restartNumberingAfterBreak="0">
    <w:nsid w:val="1A556563"/>
    <w:multiLevelType w:val="hybridMultilevel"/>
    <w:tmpl w:val="9140BB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E1003F4"/>
    <w:multiLevelType w:val="multilevel"/>
    <w:tmpl w:val="A1FE19C4"/>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1ED40E5"/>
    <w:multiLevelType w:val="hybridMultilevel"/>
    <w:tmpl w:val="DDE42FA8"/>
    <w:lvl w:ilvl="0" w:tplc="6C36B702">
      <w:numFmt w:val="bullet"/>
      <w:lvlText w:val=""/>
      <w:lvlJc w:val="left"/>
      <w:pPr>
        <w:ind w:left="-708" w:hanging="360"/>
      </w:pPr>
      <w:rPr>
        <w:rFonts w:ascii="Symbol" w:eastAsiaTheme="minorHAnsi" w:hAnsi="Symbol" w:cstheme="minorBidi" w:hint="default"/>
      </w:rPr>
    </w:lvl>
    <w:lvl w:ilvl="1" w:tplc="0C090003" w:tentative="1">
      <w:start w:val="1"/>
      <w:numFmt w:val="bullet"/>
      <w:lvlText w:val="o"/>
      <w:lvlJc w:val="left"/>
      <w:pPr>
        <w:ind w:left="12" w:hanging="360"/>
      </w:pPr>
      <w:rPr>
        <w:rFonts w:ascii="Courier New" w:hAnsi="Courier New" w:cs="Courier New" w:hint="default"/>
      </w:rPr>
    </w:lvl>
    <w:lvl w:ilvl="2" w:tplc="0C090005" w:tentative="1">
      <w:start w:val="1"/>
      <w:numFmt w:val="bullet"/>
      <w:lvlText w:val=""/>
      <w:lvlJc w:val="left"/>
      <w:pPr>
        <w:ind w:left="732" w:hanging="360"/>
      </w:pPr>
      <w:rPr>
        <w:rFonts w:ascii="Wingdings" w:hAnsi="Wingdings" w:hint="default"/>
      </w:rPr>
    </w:lvl>
    <w:lvl w:ilvl="3" w:tplc="0C090001" w:tentative="1">
      <w:start w:val="1"/>
      <w:numFmt w:val="bullet"/>
      <w:lvlText w:val=""/>
      <w:lvlJc w:val="left"/>
      <w:pPr>
        <w:ind w:left="1452" w:hanging="360"/>
      </w:pPr>
      <w:rPr>
        <w:rFonts w:ascii="Symbol" w:hAnsi="Symbol" w:hint="default"/>
      </w:rPr>
    </w:lvl>
    <w:lvl w:ilvl="4" w:tplc="0C090003" w:tentative="1">
      <w:start w:val="1"/>
      <w:numFmt w:val="bullet"/>
      <w:lvlText w:val="o"/>
      <w:lvlJc w:val="left"/>
      <w:pPr>
        <w:ind w:left="2172" w:hanging="360"/>
      </w:pPr>
      <w:rPr>
        <w:rFonts w:ascii="Courier New" w:hAnsi="Courier New" w:cs="Courier New" w:hint="default"/>
      </w:rPr>
    </w:lvl>
    <w:lvl w:ilvl="5" w:tplc="0C090005" w:tentative="1">
      <w:start w:val="1"/>
      <w:numFmt w:val="bullet"/>
      <w:lvlText w:val=""/>
      <w:lvlJc w:val="left"/>
      <w:pPr>
        <w:ind w:left="2892" w:hanging="360"/>
      </w:pPr>
      <w:rPr>
        <w:rFonts w:ascii="Wingdings" w:hAnsi="Wingdings" w:hint="default"/>
      </w:rPr>
    </w:lvl>
    <w:lvl w:ilvl="6" w:tplc="0C090001" w:tentative="1">
      <w:start w:val="1"/>
      <w:numFmt w:val="bullet"/>
      <w:lvlText w:val=""/>
      <w:lvlJc w:val="left"/>
      <w:pPr>
        <w:ind w:left="3612" w:hanging="360"/>
      </w:pPr>
      <w:rPr>
        <w:rFonts w:ascii="Symbol" w:hAnsi="Symbol" w:hint="default"/>
      </w:rPr>
    </w:lvl>
    <w:lvl w:ilvl="7" w:tplc="0C090003" w:tentative="1">
      <w:start w:val="1"/>
      <w:numFmt w:val="bullet"/>
      <w:lvlText w:val="o"/>
      <w:lvlJc w:val="left"/>
      <w:pPr>
        <w:ind w:left="4332" w:hanging="360"/>
      </w:pPr>
      <w:rPr>
        <w:rFonts w:ascii="Courier New" w:hAnsi="Courier New" w:cs="Courier New" w:hint="default"/>
      </w:rPr>
    </w:lvl>
    <w:lvl w:ilvl="8" w:tplc="0C090005" w:tentative="1">
      <w:start w:val="1"/>
      <w:numFmt w:val="bullet"/>
      <w:lvlText w:val=""/>
      <w:lvlJc w:val="left"/>
      <w:pPr>
        <w:ind w:left="5052" w:hanging="360"/>
      </w:pPr>
      <w:rPr>
        <w:rFonts w:ascii="Wingdings" w:hAnsi="Wingdings" w:hint="default"/>
      </w:rPr>
    </w:lvl>
  </w:abstractNum>
  <w:abstractNum w:abstractNumId="11" w15:restartNumberingAfterBreak="0">
    <w:nsid w:val="2A552B0A"/>
    <w:multiLevelType w:val="hybridMultilevel"/>
    <w:tmpl w:val="BAB43F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BA462E2"/>
    <w:multiLevelType w:val="hybridMultilevel"/>
    <w:tmpl w:val="C21E6E14"/>
    <w:lvl w:ilvl="0" w:tplc="653C0A8E">
      <w:start w:val="1"/>
      <w:numFmt w:val="bullet"/>
      <w:pStyle w:val="Keypointsdotpoin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F477361"/>
    <w:multiLevelType w:val="hybridMultilevel"/>
    <w:tmpl w:val="385ECA16"/>
    <w:styleLink w:val="OCEHeadings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291FCB"/>
    <w:multiLevelType w:val="hybridMultilevel"/>
    <w:tmpl w:val="AFAE23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3A90EAD"/>
    <w:multiLevelType w:val="multilevel"/>
    <w:tmpl w:val="0C70798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38782157"/>
    <w:multiLevelType w:val="hybridMultilevel"/>
    <w:tmpl w:val="5AACD4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892650B"/>
    <w:multiLevelType w:val="hybridMultilevel"/>
    <w:tmpl w:val="2B98F46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38B82124"/>
    <w:multiLevelType w:val="hybridMultilevel"/>
    <w:tmpl w:val="81122E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F210DD2"/>
    <w:multiLevelType w:val="hybridMultilevel"/>
    <w:tmpl w:val="BC0811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419B0AA9"/>
    <w:multiLevelType w:val="hybridMultilevel"/>
    <w:tmpl w:val="3AEE47B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43AC529C"/>
    <w:multiLevelType w:val="hybridMultilevel"/>
    <w:tmpl w:val="27D8DF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7862C6F"/>
    <w:multiLevelType w:val="hybridMultilevel"/>
    <w:tmpl w:val="969E91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956273F"/>
    <w:multiLevelType w:val="hybridMultilevel"/>
    <w:tmpl w:val="95987730"/>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24" w15:restartNumberingAfterBreak="0">
    <w:nsid w:val="49ED3CD1"/>
    <w:multiLevelType w:val="hybridMultilevel"/>
    <w:tmpl w:val="9F18E348"/>
    <w:lvl w:ilvl="0" w:tplc="6C36B702">
      <w:numFmt w:val="bullet"/>
      <w:lvlText w:val=""/>
      <w:lvlJc w:val="left"/>
      <w:pPr>
        <w:ind w:left="360" w:hanging="360"/>
      </w:pPr>
      <w:rPr>
        <w:rFonts w:ascii="Symbol" w:eastAsiaTheme="minorHAnsi" w:hAnsi="Symbol"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4B94390E"/>
    <w:multiLevelType w:val="multilevel"/>
    <w:tmpl w:val="A3F68728"/>
    <w:styleLink w:val="OCEBulletedList"/>
    <w:lvl w:ilvl="0">
      <w:start w:val="1"/>
      <w:numFmt w:val="bullet"/>
      <w:lvlText w:val=""/>
      <w:lvlJc w:val="left"/>
      <w:pPr>
        <w:ind w:left="2552" w:hanging="392"/>
      </w:pPr>
      <w:rPr>
        <w:rFonts w:ascii="Wingdings" w:hAnsi="Wingdings" w:hint="default"/>
      </w:rPr>
    </w:lvl>
    <w:lvl w:ilvl="1">
      <w:start w:val="1"/>
      <w:numFmt w:val="bullet"/>
      <w:lvlText w:val="-"/>
      <w:lvlJc w:val="left"/>
      <w:pPr>
        <w:ind w:left="2835" w:hanging="283"/>
      </w:pPr>
      <w:rPr>
        <w:rFonts w:ascii="Courier New" w:hAnsi="Courier New" w:hint="default"/>
      </w:rPr>
    </w:lvl>
    <w:lvl w:ilvl="2">
      <w:start w:val="1"/>
      <w:numFmt w:val="bullet"/>
      <w:lvlText w:val=""/>
      <w:lvlJc w:val="left"/>
      <w:pPr>
        <w:ind w:left="3062" w:hanging="227"/>
      </w:pPr>
      <w:rPr>
        <w:rFonts w:ascii="Wingdings" w:hAnsi="Wingdings" w:hint="default"/>
      </w:rPr>
    </w:lvl>
    <w:lvl w:ilvl="3">
      <w:start w:val="1"/>
      <w:numFmt w:val="none"/>
      <w:suff w:val="nothing"/>
      <w:lvlText w:val=""/>
      <w:lvlJc w:val="left"/>
      <w:pPr>
        <w:ind w:left="3062"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6" w15:restartNumberingAfterBreak="0">
    <w:nsid w:val="512A061F"/>
    <w:multiLevelType w:val="hybridMultilevel"/>
    <w:tmpl w:val="19DEC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4071F9F"/>
    <w:multiLevelType w:val="hybridMultilevel"/>
    <w:tmpl w:val="11684208"/>
    <w:lvl w:ilvl="0" w:tplc="37A4FD46">
      <w:start w:val="1"/>
      <w:numFmt w:val="bullet"/>
      <w:pStyle w:val="Poin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AC28FF98">
      <w:numFmt w:val="bullet"/>
      <w:lvlText w:val="•"/>
      <w:lvlJc w:val="left"/>
      <w:pPr>
        <w:ind w:left="1800" w:hanging="360"/>
      </w:pPr>
      <w:rPr>
        <w:rFonts w:ascii="Calibri" w:eastAsiaTheme="minorHAnsi" w:hAnsi="Calibri" w:cstheme="minorBidi"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65762E0C"/>
    <w:multiLevelType w:val="hybridMultilevel"/>
    <w:tmpl w:val="84F2A2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6BC650C1"/>
    <w:multiLevelType w:val="hybridMultilevel"/>
    <w:tmpl w:val="787823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D731AC3"/>
    <w:multiLevelType w:val="hybridMultilevel"/>
    <w:tmpl w:val="3AC61816"/>
    <w:lvl w:ilvl="0" w:tplc="8C9E08FE">
      <w:start w:val="1"/>
      <w:numFmt w:val="bullet"/>
      <w:pStyle w:val="Style6"/>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7"/>
  </w:num>
  <w:num w:numId="2">
    <w:abstractNumId w:val="13"/>
  </w:num>
  <w:num w:numId="3">
    <w:abstractNumId w:val="1"/>
  </w:num>
  <w:num w:numId="4">
    <w:abstractNumId w:val="2"/>
  </w:num>
  <w:num w:numId="5">
    <w:abstractNumId w:val="7"/>
  </w:num>
  <w:num w:numId="6">
    <w:abstractNumId w:val="9"/>
  </w:num>
  <w:num w:numId="7">
    <w:abstractNumId w:val="25"/>
  </w:num>
  <w:num w:numId="8">
    <w:abstractNumId w:val="15"/>
  </w:num>
  <w:num w:numId="9">
    <w:abstractNumId w:val="3"/>
  </w:num>
  <w:num w:numId="10">
    <w:abstractNumId w:val="17"/>
  </w:num>
  <w:num w:numId="11">
    <w:abstractNumId w:val="30"/>
  </w:num>
  <w:num w:numId="12">
    <w:abstractNumId w:val="19"/>
  </w:num>
  <w:num w:numId="13">
    <w:abstractNumId w:val="10"/>
  </w:num>
  <w:num w:numId="14">
    <w:abstractNumId w:val="6"/>
  </w:num>
  <w:num w:numId="15">
    <w:abstractNumId w:val="24"/>
  </w:num>
  <w:num w:numId="16">
    <w:abstractNumId w:val="29"/>
  </w:num>
  <w:num w:numId="17">
    <w:abstractNumId w:val="12"/>
  </w:num>
  <w:num w:numId="18">
    <w:abstractNumId w:val="18"/>
  </w:num>
  <w:num w:numId="19">
    <w:abstractNumId w:val="8"/>
  </w:num>
  <w:num w:numId="20">
    <w:abstractNumId w:val="27"/>
  </w:num>
  <w:num w:numId="21">
    <w:abstractNumId w:val="21"/>
  </w:num>
  <w:num w:numId="22">
    <w:abstractNumId w:val="28"/>
  </w:num>
  <w:num w:numId="23">
    <w:abstractNumId w:val="23"/>
  </w:num>
  <w:num w:numId="24">
    <w:abstractNumId w:val="0"/>
  </w:num>
  <w:num w:numId="25">
    <w:abstractNumId w:val="11"/>
  </w:num>
  <w:num w:numId="26">
    <w:abstractNumId w:val="14"/>
  </w:num>
  <w:num w:numId="27">
    <w:abstractNumId w:val="26"/>
  </w:num>
  <w:num w:numId="28">
    <w:abstractNumId w:val="4"/>
  </w:num>
  <w:num w:numId="29">
    <w:abstractNumId w:val="22"/>
  </w:num>
  <w:num w:numId="30">
    <w:abstractNumId w:val="20"/>
  </w:num>
  <w:num w:numId="31">
    <w:abstractNumId w:val="16"/>
  </w:num>
  <w:num w:numId="32">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50E6"/>
    <w:rsid w:val="00011EA5"/>
    <w:rsid w:val="00023F56"/>
    <w:rsid w:val="000252CF"/>
    <w:rsid w:val="000338E1"/>
    <w:rsid w:val="00034412"/>
    <w:rsid w:val="000437C9"/>
    <w:rsid w:val="00043EB7"/>
    <w:rsid w:val="0004485D"/>
    <w:rsid w:val="00053920"/>
    <w:rsid w:val="00061C8A"/>
    <w:rsid w:val="0007171B"/>
    <w:rsid w:val="00071E4A"/>
    <w:rsid w:val="00082334"/>
    <w:rsid w:val="0008519B"/>
    <w:rsid w:val="000872AF"/>
    <w:rsid w:val="00092B18"/>
    <w:rsid w:val="000942D7"/>
    <w:rsid w:val="0009702E"/>
    <w:rsid w:val="000B20C3"/>
    <w:rsid w:val="000D061F"/>
    <w:rsid w:val="000E00AB"/>
    <w:rsid w:val="000E4B2F"/>
    <w:rsid w:val="000F133F"/>
    <w:rsid w:val="000F40B6"/>
    <w:rsid w:val="000F569E"/>
    <w:rsid w:val="001121E0"/>
    <w:rsid w:val="00113709"/>
    <w:rsid w:val="00113DB0"/>
    <w:rsid w:val="00120A69"/>
    <w:rsid w:val="00124195"/>
    <w:rsid w:val="001408D6"/>
    <w:rsid w:val="00150619"/>
    <w:rsid w:val="0015145F"/>
    <w:rsid w:val="00152756"/>
    <w:rsid w:val="00156140"/>
    <w:rsid w:val="001611DD"/>
    <w:rsid w:val="00162EC3"/>
    <w:rsid w:val="001740B8"/>
    <w:rsid w:val="001750E3"/>
    <w:rsid w:val="001756DD"/>
    <w:rsid w:val="00183F8F"/>
    <w:rsid w:val="00190E83"/>
    <w:rsid w:val="001A0251"/>
    <w:rsid w:val="001A0292"/>
    <w:rsid w:val="001B095C"/>
    <w:rsid w:val="001B41C3"/>
    <w:rsid w:val="001B4ED4"/>
    <w:rsid w:val="001B6395"/>
    <w:rsid w:val="001C1AE8"/>
    <w:rsid w:val="001C25D5"/>
    <w:rsid w:val="001D7CE1"/>
    <w:rsid w:val="001E03D4"/>
    <w:rsid w:val="001E7489"/>
    <w:rsid w:val="001F1715"/>
    <w:rsid w:val="002101E3"/>
    <w:rsid w:val="00211415"/>
    <w:rsid w:val="00213E59"/>
    <w:rsid w:val="002170BD"/>
    <w:rsid w:val="00224DCE"/>
    <w:rsid w:val="00231D9B"/>
    <w:rsid w:val="00232D4B"/>
    <w:rsid w:val="00237370"/>
    <w:rsid w:val="0023781E"/>
    <w:rsid w:val="00243BA8"/>
    <w:rsid w:val="002450C3"/>
    <w:rsid w:val="002479B1"/>
    <w:rsid w:val="0026637D"/>
    <w:rsid w:val="0026763C"/>
    <w:rsid w:val="00267C77"/>
    <w:rsid w:val="002803CB"/>
    <w:rsid w:val="0028535E"/>
    <w:rsid w:val="00286598"/>
    <w:rsid w:val="00292289"/>
    <w:rsid w:val="002954E0"/>
    <w:rsid w:val="002A1F22"/>
    <w:rsid w:val="002A6DB2"/>
    <w:rsid w:val="002B4203"/>
    <w:rsid w:val="002C0CB1"/>
    <w:rsid w:val="002C5014"/>
    <w:rsid w:val="002C543A"/>
    <w:rsid w:val="002D4C0A"/>
    <w:rsid w:val="002D7604"/>
    <w:rsid w:val="002E0FAF"/>
    <w:rsid w:val="002E3BDE"/>
    <w:rsid w:val="002E755F"/>
    <w:rsid w:val="002F082F"/>
    <w:rsid w:val="002F41D4"/>
    <w:rsid w:val="00307930"/>
    <w:rsid w:val="00315183"/>
    <w:rsid w:val="00320D31"/>
    <w:rsid w:val="00321627"/>
    <w:rsid w:val="00327E28"/>
    <w:rsid w:val="00333E93"/>
    <w:rsid w:val="00337DFD"/>
    <w:rsid w:val="00342F24"/>
    <w:rsid w:val="00345FA6"/>
    <w:rsid w:val="00350969"/>
    <w:rsid w:val="00350E33"/>
    <w:rsid w:val="00355522"/>
    <w:rsid w:val="00361964"/>
    <w:rsid w:val="003640CF"/>
    <w:rsid w:val="0036618A"/>
    <w:rsid w:val="003C00FE"/>
    <w:rsid w:val="003C3FE7"/>
    <w:rsid w:val="003C55BF"/>
    <w:rsid w:val="003C7946"/>
    <w:rsid w:val="003D22AF"/>
    <w:rsid w:val="003D6CB3"/>
    <w:rsid w:val="003E17A6"/>
    <w:rsid w:val="003E4659"/>
    <w:rsid w:val="003F20BD"/>
    <w:rsid w:val="003F2D39"/>
    <w:rsid w:val="00400DC4"/>
    <w:rsid w:val="00405202"/>
    <w:rsid w:val="00406066"/>
    <w:rsid w:val="004129B4"/>
    <w:rsid w:val="00415CF2"/>
    <w:rsid w:val="00432B04"/>
    <w:rsid w:val="004365DE"/>
    <w:rsid w:val="0043729F"/>
    <w:rsid w:val="00443357"/>
    <w:rsid w:val="00452C04"/>
    <w:rsid w:val="00461692"/>
    <w:rsid w:val="004813A2"/>
    <w:rsid w:val="00482198"/>
    <w:rsid w:val="00487847"/>
    <w:rsid w:val="004965BD"/>
    <w:rsid w:val="00496E63"/>
    <w:rsid w:val="004A3E1D"/>
    <w:rsid w:val="004A540F"/>
    <w:rsid w:val="004C5CFA"/>
    <w:rsid w:val="004C76CB"/>
    <w:rsid w:val="004D6388"/>
    <w:rsid w:val="004E6B92"/>
    <w:rsid w:val="00510968"/>
    <w:rsid w:val="00512200"/>
    <w:rsid w:val="005127C4"/>
    <w:rsid w:val="00514C5C"/>
    <w:rsid w:val="005207E5"/>
    <w:rsid w:val="00525DE1"/>
    <w:rsid w:val="00525E46"/>
    <w:rsid w:val="00532357"/>
    <w:rsid w:val="0053522C"/>
    <w:rsid w:val="00540AE1"/>
    <w:rsid w:val="00542494"/>
    <w:rsid w:val="00546B8E"/>
    <w:rsid w:val="005557AC"/>
    <w:rsid w:val="0056509B"/>
    <w:rsid w:val="00566993"/>
    <w:rsid w:val="00592BD5"/>
    <w:rsid w:val="00592D58"/>
    <w:rsid w:val="0059610B"/>
    <w:rsid w:val="005A08D4"/>
    <w:rsid w:val="005A49F4"/>
    <w:rsid w:val="005A5451"/>
    <w:rsid w:val="005A6ECC"/>
    <w:rsid w:val="005B0775"/>
    <w:rsid w:val="005B1BEB"/>
    <w:rsid w:val="005B4007"/>
    <w:rsid w:val="005B7EC2"/>
    <w:rsid w:val="005C1B47"/>
    <w:rsid w:val="005C2028"/>
    <w:rsid w:val="005C3863"/>
    <w:rsid w:val="005D3A1F"/>
    <w:rsid w:val="005D75D0"/>
    <w:rsid w:val="005E19C4"/>
    <w:rsid w:val="005E3F7D"/>
    <w:rsid w:val="005F0A42"/>
    <w:rsid w:val="005F45AD"/>
    <w:rsid w:val="005F4BA0"/>
    <w:rsid w:val="005F566C"/>
    <w:rsid w:val="006049EB"/>
    <w:rsid w:val="00606C8C"/>
    <w:rsid w:val="00613440"/>
    <w:rsid w:val="006250E6"/>
    <w:rsid w:val="00625E9B"/>
    <w:rsid w:val="006279E8"/>
    <w:rsid w:val="00640F84"/>
    <w:rsid w:val="00645912"/>
    <w:rsid w:val="00645CEC"/>
    <w:rsid w:val="006465FC"/>
    <w:rsid w:val="00653340"/>
    <w:rsid w:val="00656644"/>
    <w:rsid w:val="00656E9C"/>
    <w:rsid w:val="00657B9C"/>
    <w:rsid w:val="00661813"/>
    <w:rsid w:val="0066608B"/>
    <w:rsid w:val="00666EBC"/>
    <w:rsid w:val="006672C5"/>
    <w:rsid w:val="006744B1"/>
    <w:rsid w:val="00681384"/>
    <w:rsid w:val="006878D0"/>
    <w:rsid w:val="00687B7A"/>
    <w:rsid w:val="00692154"/>
    <w:rsid w:val="00693ACE"/>
    <w:rsid w:val="00693C28"/>
    <w:rsid w:val="006A3832"/>
    <w:rsid w:val="006B2B4B"/>
    <w:rsid w:val="006C2691"/>
    <w:rsid w:val="006C3092"/>
    <w:rsid w:val="006C5305"/>
    <w:rsid w:val="006C6A97"/>
    <w:rsid w:val="006C7534"/>
    <w:rsid w:val="006C7D76"/>
    <w:rsid w:val="006E200F"/>
    <w:rsid w:val="006F4A18"/>
    <w:rsid w:val="00707084"/>
    <w:rsid w:val="00713131"/>
    <w:rsid w:val="00725C82"/>
    <w:rsid w:val="007363FC"/>
    <w:rsid w:val="00747165"/>
    <w:rsid w:val="00754EBB"/>
    <w:rsid w:val="00770178"/>
    <w:rsid w:val="0077578B"/>
    <w:rsid w:val="0077643E"/>
    <w:rsid w:val="00777B8D"/>
    <w:rsid w:val="007838B4"/>
    <w:rsid w:val="007901A4"/>
    <w:rsid w:val="00791ADD"/>
    <w:rsid w:val="007A31FD"/>
    <w:rsid w:val="007B7A6E"/>
    <w:rsid w:val="007C0881"/>
    <w:rsid w:val="007C279F"/>
    <w:rsid w:val="007C27D1"/>
    <w:rsid w:val="007C5DEF"/>
    <w:rsid w:val="007D09DB"/>
    <w:rsid w:val="007E395A"/>
    <w:rsid w:val="007E574F"/>
    <w:rsid w:val="007E6124"/>
    <w:rsid w:val="007E6719"/>
    <w:rsid w:val="007F5368"/>
    <w:rsid w:val="00803E14"/>
    <w:rsid w:val="0082024C"/>
    <w:rsid w:val="00822960"/>
    <w:rsid w:val="00826E08"/>
    <w:rsid w:val="008317E3"/>
    <w:rsid w:val="0083777A"/>
    <w:rsid w:val="008400E9"/>
    <w:rsid w:val="008474D0"/>
    <w:rsid w:val="0084778B"/>
    <w:rsid w:val="00856E8D"/>
    <w:rsid w:val="0086120C"/>
    <w:rsid w:val="00862158"/>
    <w:rsid w:val="00866366"/>
    <w:rsid w:val="008804C5"/>
    <w:rsid w:val="00885E8A"/>
    <w:rsid w:val="008866B8"/>
    <w:rsid w:val="0089349F"/>
    <w:rsid w:val="008A07B2"/>
    <w:rsid w:val="008A40BA"/>
    <w:rsid w:val="008A7325"/>
    <w:rsid w:val="008B19E3"/>
    <w:rsid w:val="008B3082"/>
    <w:rsid w:val="008C373C"/>
    <w:rsid w:val="008C7AF5"/>
    <w:rsid w:val="008E3BB5"/>
    <w:rsid w:val="008F2818"/>
    <w:rsid w:val="008F59B1"/>
    <w:rsid w:val="0090039F"/>
    <w:rsid w:val="0090659D"/>
    <w:rsid w:val="009103A7"/>
    <w:rsid w:val="009136BB"/>
    <w:rsid w:val="009171B7"/>
    <w:rsid w:val="009176C6"/>
    <w:rsid w:val="0092094C"/>
    <w:rsid w:val="00934569"/>
    <w:rsid w:val="00934910"/>
    <w:rsid w:val="00940EE4"/>
    <w:rsid w:val="00950009"/>
    <w:rsid w:val="00951431"/>
    <w:rsid w:val="009712A7"/>
    <w:rsid w:val="00971647"/>
    <w:rsid w:val="00975528"/>
    <w:rsid w:val="0098479F"/>
    <w:rsid w:val="00992657"/>
    <w:rsid w:val="009A06E8"/>
    <w:rsid w:val="009A2449"/>
    <w:rsid w:val="009D4610"/>
    <w:rsid w:val="009E708A"/>
    <w:rsid w:val="009F26BC"/>
    <w:rsid w:val="009F5F6E"/>
    <w:rsid w:val="00A03AB0"/>
    <w:rsid w:val="00A11168"/>
    <w:rsid w:val="00A20E44"/>
    <w:rsid w:val="00A2399D"/>
    <w:rsid w:val="00A25000"/>
    <w:rsid w:val="00A33793"/>
    <w:rsid w:val="00A360F8"/>
    <w:rsid w:val="00A36A21"/>
    <w:rsid w:val="00A4364F"/>
    <w:rsid w:val="00A474D1"/>
    <w:rsid w:val="00A573C2"/>
    <w:rsid w:val="00A63237"/>
    <w:rsid w:val="00A64209"/>
    <w:rsid w:val="00A64481"/>
    <w:rsid w:val="00A65740"/>
    <w:rsid w:val="00A74A36"/>
    <w:rsid w:val="00A819B1"/>
    <w:rsid w:val="00A9076B"/>
    <w:rsid w:val="00A91E2F"/>
    <w:rsid w:val="00A9336B"/>
    <w:rsid w:val="00A969AD"/>
    <w:rsid w:val="00A97200"/>
    <w:rsid w:val="00AA273C"/>
    <w:rsid w:val="00AC074F"/>
    <w:rsid w:val="00AC0A0D"/>
    <w:rsid w:val="00AC211B"/>
    <w:rsid w:val="00AC4FE8"/>
    <w:rsid w:val="00AD3F59"/>
    <w:rsid w:val="00AD4607"/>
    <w:rsid w:val="00AD50BF"/>
    <w:rsid w:val="00AD5EE7"/>
    <w:rsid w:val="00B000C6"/>
    <w:rsid w:val="00B0015B"/>
    <w:rsid w:val="00B01E83"/>
    <w:rsid w:val="00B0395B"/>
    <w:rsid w:val="00B22716"/>
    <w:rsid w:val="00B3231A"/>
    <w:rsid w:val="00B371D3"/>
    <w:rsid w:val="00B37C6B"/>
    <w:rsid w:val="00B37DAC"/>
    <w:rsid w:val="00B47CF5"/>
    <w:rsid w:val="00B50B21"/>
    <w:rsid w:val="00B522A6"/>
    <w:rsid w:val="00B52530"/>
    <w:rsid w:val="00B52602"/>
    <w:rsid w:val="00B6064E"/>
    <w:rsid w:val="00B60FD0"/>
    <w:rsid w:val="00B6275B"/>
    <w:rsid w:val="00B65307"/>
    <w:rsid w:val="00B73217"/>
    <w:rsid w:val="00B7532F"/>
    <w:rsid w:val="00B76C4C"/>
    <w:rsid w:val="00B804DB"/>
    <w:rsid w:val="00B92F8C"/>
    <w:rsid w:val="00BA6CC1"/>
    <w:rsid w:val="00BB35D5"/>
    <w:rsid w:val="00BB4A84"/>
    <w:rsid w:val="00BC0951"/>
    <w:rsid w:val="00BC47F2"/>
    <w:rsid w:val="00BE5AEE"/>
    <w:rsid w:val="00BE7169"/>
    <w:rsid w:val="00BF0888"/>
    <w:rsid w:val="00BF17B6"/>
    <w:rsid w:val="00C05DE9"/>
    <w:rsid w:val="00C147A6"/>
    <w:rsid w:val="00C228B5"/>
    <w:rsid w:val="00C40899"/>
    <w:rsid w:val="00C44774"/>
    <w:rsid w:val="00C52018"/>
    <w:rsid w:val="00C5497C"/>
    <w:rsid w:val="00C62D15"/>
    <w:rsid w:val="00C84FD1"/>
    <w:rsid w:val="00C92405"/>
    <w:rsid w:val="00C94A76"/>
    <w:rsid w:val="00C954AC"/>
    <w:rsid w:val="00C97A1A"/>
    <w:rsid w:val="00CB152D"/>
    <w:rsid w:val="00CB3211"/>
    <w:rsid w:val="00CB490F"/>
    <w:rsid w:val="00CB5206"/>
    <w:rsid w:val="00CC0393"/>
    <w:rsid w:val="00CD10ED"/>
    <w:rsid w:val="00CD1AA2"/>
    <w:rsid w:val="00CD7E92"/>
    <w:rsid w:val="00CF7A37"/>
    <w:rsid w:val="00D05A8A"/>
    <w:rsid w:val="00D1666C"/>
    <w:rsid w:val="00D2116F"/>
    <w:rsid w:val="00D41A11"/>
    <w:rsid w:val="00D41A60"/>
    <w:rsid w:val="00D4286F"/>
    <w:rsid w:val="00D50F8D"/>
    <w:rsid w:val="00D6206A"/>
    <w:rsid w:val="00D728D6"/>
    <w:rsid w:val="00D83565"/>
    <w:rsid w:val="00D83E13"/>
    <w:rsid w:val="00D84B9F"/>
    <w:rsid w:val="00D90D90"/>
    <w:rsid w:val="00D91CB8"/>
    <w:rsid w:val="00DA4B76"/>
    <w:rsid w:val="00DC4E40"/>
    <w:rsid w:val="00DC603D"/>
    <w:rsid w:val="00DD166A"/>
    <w:rsid w:val="00DD2025"/>
    <w:rsid w:val="00DD4AB0"/>
    <w:rsid w:val="00DE0BE7"/>
    <w:rsid w:val="00DE32C5"/>
    <w:rsid w:val="00DE4AA9"/>
    <w:rsid w:val="00DE627E"/>
    <w:rsid w:val="00DF6DD9"/>
    <w:rsid w:val="00E05684"/>
    <w:rsid w:val="00E15E50"/>
    <w:rsid w:val="00E25B03"/>
    <w:rsid w:val="00E47475"/>
    <w:rsid w:val="00E5082A"/>
    <w:rsid w:val="00E53E70"/>
    <w:rsid w:val="00E55A69"/>
    <w:rsid w:val="00E57F9F"/>
    <w:rsid w:val="00E63F1B"/>
    <w:rsid w:val="00E6509F"/>
    <w:rsid w:val="00E77958"/>
    <w:rsid w:val="00E77AAB"/>
    <w:rsid w:val="00E855F0"/>
    <w:rsid w:val="00E90413"/>
    <w:rsid w:val="00EA1235"/>
    <w:rsid w:val="00EA1D89"/>
    <w:rsid w:val="00EB694B"/>
    <w:rsid w:val="00EC3375"/>
    <w:rsid w:val="00EC4F5C"/>
    <w:rsid w:val="00EE27F1"/>
    <w:rsid w:val="00EF3C0F"/>
    <w:rsid w:val="00F00EA5"/>
    <w:rsid w:val="00F011F1"/>
    <w:rsid w:val="00F05CD4"/>
    <w:rsid w:val="00F103FC"/>
    <w:rsid w:val="00F11F5D"/>
    <w:rsid w:val="00F1263C"/>
    <w:rsid w:val="00F21921"/>
    <w:rsid w:val="00F24DF9"/>
    <w:rsid w:val="00F25B00"/>
    <w:rsid w:val="00F3238E"/>
    <w:rsid w:val="00F3766B"/>
    <w:rsid w:val="00F658B7"/>
    <w:rsid w:val="00F66ADA"/>
    <w:rsid w:val="00F75B5B"/>
    <w:rsid w:val="00F81453"/>
    <w:rsid w:val="00F908D6"/>
    <w:rsid w:val="00FA3FEE"/>
    <w:rsid w:val="00FE2D7B"/>
    <w:rsid w:val="00FE5B61"/>
    <w:rsid w:val="00FF1BA5"/>
    <w:rsid w:val="00FF227C"/>
    <w:rsid w:val="00FF65A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B72AB07"/>
  <w15:chartTrackingRefBased/>
  <w15:docId w15:val="{DBCED4F9-5597-4DDE-BC88-81030EE61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4"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4" w:unhideWhenUsed="1" w:qFormat="1"/>
    <w:lsdException w:name="List Bullet 3" w:semiHidden="1" w:uiPriority="4"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3DB0"/>
    <w:pPr>
      <w:spacing w:after="0" w:line="240" w:lineRule="auto"/>
    </w:pPr>
  </w:style>
  <w:style w:type="paragraph" w:styleId="Heading1">
    <w:name w:val="heading 1"/>
    <w:basedOn w:val="Normal"/>
    <w:next w:val="Normal"/>
    <w:link w:val="Heading1Char"/>
    <w:qFormat/>
    <w:rsid w:val="00113DB0"/>
    <w:pPr>
      <w:keepNext/>
      <w:keepLines/>
      <w:numPr>
        <w:numId w:val="8"/>
      </w:numPr>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nhideWhenUsed/>
    <w:qFormat/>
    <w:rsid w:val="00113DB0"/>
    <w:pPr>
      <w:keepNext/>
      <w:keepLines/>
      <w:numPr>
        <w:ilvl w:val="1"/>
        <w:numId w:val="8"/>
      </w:numPr>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nhideWhenUsed/>
    <w:qFormat/>
    <w:rsid w:val="00113DB0"/>
    <w:pPr>
      <w:keepNext/>
      <w:keepLines/>
      <w:numPr>
        <w:ilvl w:val="2"/>
        <w:numId w:val="8"/>
      </w:numPr>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113DB0"/>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113DB0"/>
    <w:pPr>
      <w:keepNext/>
      <w:keepLines/>
      <w:numPr>
        <w:ilvl w:val="4"/>
        <w:numId w:val="8"/>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1"/>
    <w:unhideWhenUsed/>
    <w:qFormat/>
    <w:rsid w:val="00113DB0"/>
    <w:pPr>
      <w:keepNext/>
      <w:keepLines/>
      <w:numPr>
        <w:ilvl w:val="5"/>
        <w:numId w:val="8"/>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1"/>
    <w:unhideWhenUsed/>
    <w:qFormat/>
    <w:rsid w:val="00113DB0"/>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1"/>
    <w:unhideWhenUsed/>
    <w:qFormat/>
    <w:rsid w:val="00113DB0"/>
    <w:pPr>
      <w:keepNext/>
      <w:keepLines/>
      <w:numPr>
        <w:ilvl w:val="7"/>
        <w:numId w:val="8"/>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113DB0"/>
    <w:pPr>
      <w:keepNext/>
      <w:keepLines/>
      <w:numPr>
        <w:ilvl w:val="8"/>
        <w:numId w:val="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13DB0"/>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rsid w:val="00113DB0"/>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rsid w:val="00113DB0"/>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113DB0"/>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113DB0"/>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1"/>
    <w:rsid w:val="00113DB0"/>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1"/>
    <w:rsid w:val="00113DB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1"/>
    <w:rsid w:val="00113DB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113DB0"/>
    <w:rPr>
      <w:rFonts w:asciiTheme="majorHAnsi" w:eastAsiaTheme="majorEastAsia" w:hAnsiTheme="majorHAnsi" w:cstheme="majorBidi"/>
      <w:i/>
      <w:iCs/>
      <w:color w:val="404040" w:themeColor="text1" w:themeTint="BF"/>
      <w:sz w:val="20"/>
      <w:szCs w:val="20"/>
    </w:rPr>
  </w:style>
  <w:style w:type="paragraph" w:styleId="ListParagraph">
    <w:name w:val="List Paragraph"/>
    <w:aliases w:val="L,List Paragraph1,List Paragraph11,Recommendation,bullet point list"/>
    <w:basedOn w:val="Normal"/>
    <w:link w:val="ListParagraphChar"/>
    <w:uiPriority w:val="34"/>
    <w:qFormat/>
    <w:rsid w:val="00113DB0"/>
    <w:pPr>
      <w:ind w:left="720"/>
      <w:contextualSpacing/>
    </w:pPr>
  </w:style>
  <w:style w:type="paragraph" w:customStyle="1" w:styleId="Points">
    <w:name w:val="Points"/>
    <w:basedOn w:val="ListParagraph"/>
    <w:qFormat/>
    <w:rsid w:val="00113DB0"/>
    <w:pPr>
      <w:numPr>
        <w:numId w:val="1"/>
      </w:numPr>
      <w:spacing w:before="120" w:after="120"/>
      <w:contextualSpacing w:val="0"/>
    </w:pPr>
    <w:rPr>
      <w:rFonts w:ascii="Calibri" w:hAnsi="Calibri" w:cs="Calibri"/>
    </w:rPr>
  </w:style>
  <w:style w:type="paragraph" w:styleId="FootnoteText">
    <w:name w:val="footnote text"/>
    <w:aliases w:val="fn,footnote text,ft,Footnotes,Footnote ak,fn cafc,fn Char,footnote text Char,Footnotes Char,Footnote ak Char,Footnotes Char Char,Footnote Text Char Char,fn Char Char,footnote text Char Char Char Ch,footnote citation,ALTS FOOTNOTE,Cha,f,C"/>
    <w:basedOn w:val="Normal"/>
    <w:link w:val="FootnoteTextChar"/>
    <w:unhideWhenUsed/>
    <w:rsid w:val="00113DB0"/>
    <w:rPr>
      <w:sz w:val="20"/>
      <w:szCs w:val="20"/>
    </w:rPr>
  </w:style>
  <w:style w:type="character" w:customStyle="1" w:styleId="FootnoteTextChar">
    <w:name w:val="Footnote Text Char"/>
    <w:aliases w:val="fn Char1,footnote text Char1,ft Char,Footnotes Char1,Footnote ak Char1,fn cafc Char,fn Char Char1,footnote text Char Char,Footnotes Char Char1,Footnote ak Char Char,Footnotes Char Char Char,Footnote Text Char Char Char,Cha Char,f Char"/>
    <w:basedOn w:val="DefaultParagraphFont"/>
    <w:link w:val="FootnoteText"/>
    <w:rsid w:val="00113DB0"/>
    <w:rPr>
      <w:sz w:val="20"/>
      <w:szCs w:val="20"/>
    </w:rPr>
  </w:style>
  <w:style w:type="character" w:styleId="FootnoteReference">
    <w:name w:val="footnote reference"/>
    <w:aliases w:val="de nota al pie,Ref,註腳內容,Footnote Reference1,Ref1,de nota al pie1,de nota al pie + (Asian) MS Mincho,11 pt,註?腳內—e,fr"/>
    <w:basedOn w:val="DefaultParagraphFont"/>
    <w:unhideWhenUsed/>
    <w:rsid w:val="00113DB0"/>
    <w:rPr>
      <w:vertAlign w:val="superscript"/>
    </w:rPr>
  </w:style>
  <w:style w:type="character" w:styleId="Hyperlink">
    <w:name w:val="Hyperlink"/>
    <w:basedOn w:val="DefaultParagraphFont"/>
    <w:uiPriority w:val="99"/>
    <w:unhideWhenUsed/>
    <w:rsid w:val="00113DB0"/>
    <w:rPr>
      <w:color w:val="0000FF"/>
      <w:u w:val="single"/>
    </w:rPr>
  </w:style>
  <w:style w:type="paragraph" w:customStyle="1" w:styleId="Style2">
    <w:name w:val="Style2"/>
    <w:basedOn w:val="Normal"/>
    <w:qFormat/>
    <w:rsid w:val="00113DB0"/>
    <w:pPr>
      <w:spacing w:before="120" w:after="120"/>
    </w:pPr>
  </w:style>
  <w:style w:type="character" w:styleId="CommentReference">
    <w:name w:val="annotation reference"/>
    <w:basedOn w:val="DefaultParagraphFont"/>
    <w:uiPriority w:val="99"/>
    <w:semiHidden/>
    <w:unhideWhenUsed/>
    <w:rsid w:val="00113DB0"/>
    <w:rPr>
      <w:sz w:val="16"/>
      <w:szCs w:val="16"/>
    </w:rPr>
  </w:style>
  <w:style w:type="paragraph" w:styleId="CommentText">
    <w:name w:val="annotation text"/>
    <w:basedOn w:val="Normal"/>
    <w:link w:val="CommentTextChar"/>
    <w:unhideWhenUsed/>
    <w:rsid w:val="00113DB0"/>
    <w:rPr>
      <w:sz w:val="20"/>
      <w:szCs w:val="20"/>
    </w:rPr>
  </w:style>
  <w:style w:type="character" w:customStyle="1" w:styleId="CommentTextChar">
    <w:name w:val="Comment Text Char"/>
    <w:basedOn w:val="DefaultParagraphFont"/>
    <w:link w:val="CommentText"/>
    <w:rsid w:val="00113DB0"/>
    <w:rPr>
      <w:sz w:val="20"/>
      <w:szCs w:val="20"/>
    </w:rPr>
  </w:style>
  <w:style w:type="paragraph" w:styleId="CommentSubject">
    <w:name w:val="annotation subject"/>
    <w:basedOn w:val="CommentText"/>
    <w:next w:val="CommentText"/>
    <w:link w:val="CommentSubjectChar"/>
    <w:uiPriority w:val="99"/>
    <w:unhideWhenUsed/>
    <w:rsid w:val="00113DB0"/>
    <w:rPr>
      <w:b/>
      <w:bCs/>
    </w:rPr>
  </w:style>
  <w:style w:type="character" w:customStyle="1" w:styleId="CommentSubjectChar">
    <w:name w:val="Comment Subject Char"/>
    <w:basedOn w:val="CommentTextChar"/>
    <w:link w:val="CommentSubject"/>
    <w:uiPriority w:val="99"/>
    <w:rsid w:val="00113DB0"/>
    <w:rPr>
      <w:b/>
      <w:bCs/>
      <w:sz w:val="20"/>
      <w:szCs w:val="20"/>
    </w:rPr>
  </w:style>
  <w:style w:type="paragraph" w:styleId="BalloonText">
    <w:name w:val="Balloon Text"/>
    <w:basedOn w:val="Normal"/>
    <w:link w:val="BalloonTextChar"/>
    <w:uiPriority w:val="99"/>
    <w:unhideWhenUsed/>
    <w:rsid w:val="00113DB0"/>
    <w:rPr>
      <w:rFonts w:ascii="Tahoma" w:hAnsi="Tahoma" w:cs="Tahoma"/>
      <w:sz w:val="16"/>
      <w:szCs w:val="16"/>
    </w:rPr>
  </w:style>
  <w:style w:type="character" w:customStyle="1" w:styleId="BalloonTextChar">
    <w:name w:val="Balloon Text Char"/>
    <w:basedOn w:val="DefaultParagraphFont"/>
    <w:link w:val="BalloonText"/>
    <w:uiPriority w:val="99"/>
    <w:rsid w:val="00113DB0"/>
    <w:rPr>
      <w:rFonts w:ascii="Tahoma" w:hAnsi="Tahoma" w:cs="Tahoma"/>
      <w:sz w:val="16"/>
      <w:szCs w:val="16"/>
    </w:rPr>
  </w:style>
  <w:style w:type="table" w:styleId="TableGrid">
    <w:name w:val="Table Grid"/>
    <w:basedOn w:val="TableNormal"/>
    <w:uiPriority w:val="59"/>
    <w:rsid w:val="00113D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13DB0"/>
    <w:pPr>
      <w:tabs>
        <w:tab w:val="center" w:pos="4513"/>
        <w:tab w:val="right" w:pos="9026"/>
      </w:tabs>
    </w:pPr>
  </w:style>
  <w:style w:type="character" w:customStyle="1" w:styleId="HeaderChar">
    <w:name w:val="Header Char"/>
    <w:basedOn w:val="DefaultParagraphFont"/>
    <w:link w:val="Header"/>
    <w:uiPriority w:val="99"/>
    <w:rsid w:val="00113DB0"/>
  </w:style>
  <w:style w:type="paragraph" w:styleId="Footer">
    <w:name w:val="footer"/>
    <w:basedOn w:val="Normal"/>
    <w:link w:val="FooterChar"/>
    <w:uiPriority w:val="99"/>
    <w:unhideWhenUsed/>
    <w:rsid w:val="00113DB0"/>
    <w:pPr>
      <w:tabs>
        <w:tab w:val="center" w:pos="4513"/>
        <w:tab w:val="right" w:pos="9026"/>
      </w:tabs>
    </w:pPr>
  </w:style>
  <w:style w:type="character" w:customStyle="1" w:styleId="FooterChar">
    <w:name w:val="Footer Char"/>
    <w:basedOn w:val="DefaultParagraphFont"/>
    <w:link w:val="Footer"/>
    <w:uiPriority w:val="99"/>
    <w:rsid w:val="00113DB0"/>
  </w:style>
  <w:style w:type="paragraph" w:styleId="NoSpacing">
    <w:name w:val="No Spacing"/>
    <w:uiPriority w:val="1"/>
    <w:qFormat/>
    <w:rsid w:val="00113DB0"/>
    <w:pPr>
      <w:spacing w:after="0" w:line="240" w:lineRule="auto"/>
    </w:pPr>
    <w:rPr>
      <w:rFonts w:ascii="Times New Roman" w:eastAsia="Times New Roman" w:hAnsi="Times New Roman" w:cs="Times New Roman"/>
      <w:sz w:val="24"/>
      <w:szCs w:val="24"/>
      <w:lang w:eastAsia="en-AU"/>
    </w:rPr>
  </w:style>
  <w:style w:type="paragraph" w:styleId="Caption">
    <w:name w:val="caption"/>
    <w:aliases w:val="Caption Char1,Caption Char Char,Caption Char1 Char Char,Caption Char Char Char Char,Caption Char1 Char Char Char Char,Caption Char Char Char Char Char Char,Caption Char Char Char Char Char Char Char Char Char Char Char,(NECG) Caption"/>
    <w:basedOn w:val="Normal"/>
    <w:next w:val="Normal"/>
    <w:link w:val="CaptionChar"/>
    <w:unhideWhenUsed/>
    <w:qFormat/>
    <w:rsid w:val="00113DB0"/>
    <w:pPr>
      <w:spacing w:after="200"/>
    </w:pPr>
    <w:rPr>
      <w:b/>
      <w:bCs/>
      <w:color w:val="5B9BD5" w:themeColor="accent1"/>
      <w:sz w:val="18"/>
      <w:szCs w:val="18"/>
    </w:rPr>
  </w:style>
  <w:style w:type="paragraph" w:customStyle="1" w:styleId="Source">
    <w:name w:val="Source"/>
    <w:basedOn w:val="Normal"/>
    <w:next w:val="BodyText"/>
    <w:link w:val="SourceChar"/>
    <w:qFormat/>
    <w:rsid w:val="00113DB0"/>
    <w:pPr>
      <w:keepLines/>
      <w:pBdr>
        <w:bottom w:val="single" w:sz="4" w:space="1" w:color="595A5B"/>
      </w:pBdr>
      <w:spacing w:before="60" w:after="360" w:line="270" w:lineRule="exact"/>
      <w:ind w:left="2160"/>
      <w:jc w:val="both"/>
    </w:pPr>
    <w:rPr>
      <w:rFonts w:ascii="Arial" w:eastAsia="Times New Roman" w:hAnsi="Arial" w:cs="Arial"/>
      <w:color w:val="22789A"/>
      <w:sz w:val="16"/>
      <w:szCs w:val="20"/>
      <w:lang w:val="en"/>
    </w:rPr>
  </w:style>
  <w:style w:type="character" w:customStyle="1" w:styleId="SourceChar">
    <w:name w:val="Source Char"/>
    <w:basedOn w:val="DefaultParagraphFont"/>
    <w:link w:val="Source"/>
    <w:rsid w:val="00113DB0"/>
    <w:rPr>
      <w:rFonts w:ascii="Arial" w:eastAsia="Times New Roman" w:hAnsi="Arial" w:cs="Arial"/>
      <w:color w:val="22789A"/>
      <w:sz w:val="16"/>
      <w:szCs w:val="20"/>
      <w:lang w:val="en"/>
    </w:rPr>
  </w:style>
  <w:style w:type="paragraph" w:customStyle="1" w:styleId="Tabletext">
    <w:name w:val="Table text"/>
    <w:basedOn w:val="Normal"/>
    <w:link w:val="TabletextChar"/>
    <w:qFormat/>
    <w:rsid w:val="00113DB0"/>
    <w:pPr>
      <w:keepNext/>
      <w:keepLines/>
      <w:spacing w:before="60" w:after="60"/>
    </w:pPr>
    <w:rPr>
      <w:rFonts w:ascii="Arial" w:hAnsi="Arial" w:cs="Arial"/>
      <w:color w:val="595A5B"/>
      <w:sz w:val="18"/>
      <w:szCs w:val="18"/>
    </w:rPr>
  </w:style>
  <w:style w:type="character" w:customStyle="1" w:styleId="TabletextChar">
    <w:name w:val="Table text Char"/>
    <w:basedOn w:val="DefaultParagraphFont"/>
    <w:link w:val="Tabletext"/>
    <w:rsid w:val="00113DB0"/>
    <w:rPr>
      <w:rFonts w:ascii="Arial" w:hAnsi="Arial" w:cs="Arial"/>
      <w:color w:val="595A5B"/>
      <w:sz w:val="18"/>
      <w:szCs w:val="18"/>
    </w:rPr>
  </w:style>
  <w:style w:type="paragraph" w:customStyle="1" w:styleId="Tableheader">
    <w:name w:val="Table header"/>
    <w:basedOn w:val="Normal"/>
    <w:link w:val="TableheaderChar"/>
    <w:qFormat/>
    <w:rsid w:val="00113DB0"/>
    <w:pPr>
      <w:keepNext/>
      <w:spacing w:before="120" w:after="120"/>
    </w:pPr>
    <w:rPr>
      <w:rFonts w:ascii="Arial" w:hAnsi="Arial" w:cs="Arial"/>
      <w:i/>
      <w:color w:val="FFFFFF" w:themeColor="background1"/>
      <w:sz w:val="18"/>
      <w:szCs w:val="18"/>
    </w:rPr>
  </w:style>
  <w:style w:type="character" w:customStyle="1" w:styleId="TableheaderChar">
    <w:name w:val="Table header Char"/>
    <w:basedOn w:val="DefaultParagraphFont"/>
    <w:link w:val="Tableheader"/>
    <w:rsid w:val="00113DB0"/>
    <w:rPr>
      <w:rFonts w:ascii="Arial" w:hAnsi="Arial" w:cs="Arial"/>
      <w:i/>
      <w:color w:val="FFFFFF" w:themeColor="background1"/>
      <w:sz w:val="18"/>
      <w:szCs w:val="18"/>
    </w:rPr>
  </w:style>
  <w:style w:type="table" w:customStyle="1" w:styleId="OCETable">
    <w:name w:val="OCE Table"/>
    <w:basedOn w:val="TableNormal"/>
    <w:uiPriority w:val="99"/>
    <w:rsid w:val="00113DB0"/>
    <w:pPr>
      <w:spacing w:after="0" w:line="240" w:lineRule="auto"/>
    </w:pPr>
    <w:rPr>
      <w:sz w:val="18"/>
    </w:rPr>
    <w:tblPr/>
    <w:tcPr>
      <w:shd w:val="clear" w:color="auto" w:fill="DEEAF6" w:themeFill="accent1" w:themeFillTint="33"/>
    </w:tcPr>
    <w:tblStylePr w:type="firstRow">
      <w:rPr>
        <w:rFonts w:asciiTheme="minorHAnsi" w:hAnsiTheme="minorHAnsi"/>
        <w:b w:val="0"/>
        <w:i w:val="0"/>
        <w:color w:val="44546A" w:themeColor="text2"/>
        <w:sz w:val="18"/>
      </w:rPr>
      <w:tblPr/>
      <w:tcPr>
        <w:tcBorders>
          <w:top w:val="nil"/>
          <w:left w:val="nil"/>
          <w:bottom w:val="nil"/>
          <w:right w:val="nil"/>
          <w:insideH w:val="nil"/>
          <w:insideV w:val="nil"/>
          <w:tl2br w:val="nil"/>
          <w:tr2bl w:val="nil"/>
        </w:tcBorders>
        <w:shd w:val="clear" w:color="auto" w:fill="5B9BD5" w:themeFill="accent1"/>
      </w:tcPr>
    </w:tblStylePr>
  </w:style>
  <w:style w:type="paragraph" w:styleId="BodyText">
    <w:name w:val="Body Text"/>
    <w:aliases w:val="b,Body Text Char1,Body Text Char Char,Body Text Char1 Char Char,Body Text Char Char Char Char,Body Text Char1 Char Char Char Char,Body Text Char Char Char Char Char Char,Body Text Char1 Char Char Char Char Char Char"/>
    <w:basedOn w:val="Normal"/>
    <w:link w:val="BodyTextChar"/>
    <w:uiPriority w:val="99"/>
    <w:unhideWhenUsed/>
    <w:qFormat/>
    <w:rsid w:val="00113DB0"/>
    <w:pPr>
      <w:spacing w:after="120"/>
    </w:pPr>
  </w:style>
  <w:style w:type="character" w:customStyle="1" w:styleId="BodyTextChar">
    <w:name w:val="Body Text Char"/>
    <w:aliases w:val="b Char,Body Text Char1 Char,Body Text Char Char Char,Body Text Char1 Char Char Char,Body Text Char Char Char Char Char,Body Text Char1 Char Char Char Char Char,Body Text Char Char Char Char Char Char Char"/>
    <w:basedOn w:val="DefaultParagraphFont"/>
    <w:link w:val="BodyText"/>
    <w:uiPriority w:val="99"/>
    <w:rsid w:val="00113DB0"/>
  </w:style>
  <w:style w:type="paragraph" w:customStyle="1" w:styleId="Placeholder">
    <w:name w:val="Placeholder"/>
    <w:basedOn w:val="Normal"/>
    <w:rsid w:val="00113DB0"/>
    <w:pPr>
      <w:keepNext/>
      <w:keepLines/>
      <w:jc w:val="center"/>
    </w:pPr>
    <w:rPr>
      <w:rFonts w:ascii="Arial" w:hAnsi="Arial"/>
      <w:color w:val="595A5B"/>
      <w:sz w:val="18"/>
    </w:rPr>
  </w:style>
  <w:style w:type="paragraph" w:customStyle="1" w:styleId="CaptionWide">
    <w:name w:val="Caption Wide"/>
    <w:basedOn w:val="Caption"/>
    <w:next w:val="PlaceholderWide"/>
    <w:rsid w:val="00113DB0"/>
    <w:pPr>
      <w:keepNext/>
      <w:keepLines/>
      <w:pBdr>
        <w:top w:val="single" w:sz="2" w:space="1" w:color="595A5B"/>
      </w:pBdr>
      <w:spacing w:before="360" w:after="240" w:line="240" w:lineRule="atLeast"/>
      <w:jc w:val="both"/>
    </w:pPr>
    <w:rPr>
      <w:rFonts w:ascii="Arial" w:hAnsi="Arial"/>
      <w:b w:val="0"/>
    </w:rPr>
  </w:style>
  <w:style w:type="paragraph" w:customStyle="1" w:styleId="SourceWide">
    <w:name w:val="Source Wide"/>
    <w:basedOn w:val="Source"/>
    <w:next w:val="BodyText"/>
    <w:rsid w:val="00113DB0"/>
    <w:pPr>
      <w:ind w:left="0"/>
    </w:pPr>
    <w:rPr>
      <w:lang w:val="en-AU"/>
    </w:rPr>
  </w:style>
  <w:style w:type="paragraph" w:customStyle="1" w:styleId="PlaceholderWide">
    <w:name w:val="Placeholder Wide"/>
    <w:basedOn w:val="Placeholder"/>
    <w:rsid w:val="00113DB0"/>
  </w:style>
  <w:style w:type="numbering" w:customStyle="1" w:styleId="OCEHeadings">
    <w:name w:val="OCE Headings"/>
    <w:uiPriority w:val="99"/>
    <w:rsid w:val="00113DB0"/>
    <w:pPr>
      <w:numPr>
        <w:numId w:val="3"/>
      </w:numPr>
    </w:pPr>
  </w:style>
  <w:style w:type="paragraph" w:customStyle="1" w:styleId="Note">
    <w:name w:val="Note"/>
    <w:basedOn w:val="Source"/>
    <w:rsid w:val="00113DB0"/>
    <w:pPr>
      <w:keepNext/>
      <w:spacing w:after="60"/>
    </w:pPr>
    <w:rPr>
      <w:lang w:val="en-AU"/>
    </w:rPr>
  </w:style>
  <w:style w:type="table" w:customStyle="1" w:styleId="OCETable1">
    <w:name w:val="OCE Table1"/>
    <w:basedOn w:val="TableNormal"/>
    <w:uiPriority w:val="99"/>
    <w:rsid w:val="00113DB0"/>
    <w:pPr>
      <w:spacing w:after="0" w:line="240" w:lineRule="auto"/>
    </w:pPr>
    <w:rPr>
      <w:sz w:val="18"/>
    </w:rPr>
    <w:tblPr/>
    <w:tcPr>
      <w:shd w:val="clear" w:color="auto" w:fill="DEEAF6" w:themeFill="accent1" w:themeFillTint="33"/>
    </w:tcPr>
    <w:tblStylePr w:type="firstRow">
      <w:rPr>
        <w:rFonts w:asciiTheme="minorHAnsi" w:hAnsiTheme="minorHAnsi"/>
        <w:b w:val="0"/>
        <w:i w:val="0"/>
        <w:color w:val="44546A" w:themeColor="text2"/>
        <w:sz w:val="18"/>
      </w:rPr>
      <w:tblPr/>
      <w:tcPr>
        <w:tcBorders>
          <w:top w:val="nil"/>
          <w:left w:val="nil"/>
          <w:bottom w:val="nil"/>
          <w:right w:val="nil"/>
          <w:insideH w:val="nil"/>
          <w:insideV w:val="nil"/>
          <w:tl2br w:val="nil"/>
          <w:tr2bl w:val="nil"/>
        </w:tcBorders>
        <w:shd w:val="clear" w:color="auto" w:fill="5B9BD5" w:themeFill="accent1"/>
      </w:tcPr>
    </w:tblStylePr>
  </w:style>
  <w:style w:type="table" w:customStyle="1" w:styleId="TableGrid1">
    <w:name w:val="Table Grid1"/>
    <w:basedOn w:val="TableNormal"/>
    <w:next w:val="TableGrid"/>
    <w:uiPriority w:val="59"/>
    <w:rsid w:val="00113D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113DB0"/>
  </w:style>
  <w:style w:type="table" w:customStyle="1" w:styleId="TableGrid2">
    <w:name w:val="Table Grid2"/>
    <w:basedOn w:val="TableNormal"/>
    <w:next w:val="TableGrid"/>
    <w:rsid w:val="00113D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CETable2">
    <w:name w:val="OCE Table2"/>
    <w:basedOn w:val="TableNormal"/>
    <w:uiPriority w:val="99"/>
    <w:rsid w:val="00113DB0"/>
    <w:pPr>
      <w:spacing w:after="0" w:line="240" w:lineRule="auto"/>
    </w:pPr>
    <w:rPr>
      <w:sz w:val="18"/>
    </w:rPr>
    <w:tblPr/>
    <w:tcPr>
      <w:shd w:val="clear" w:color="auto" w:fill="DEEAF6" w:themeFill="accent1" w:themeFillTint="33"/>
    </w:tcPr>
    <w:tblStylePr w:type="firstRow">
      <w:rPr>
        <w:rFonts w:asciiTheme="minorHAnsi" w:hAnsiTheme="minorHAnsi"/>
        <w:b w:val="0"/>
        <w:i w:val="0"/>
        <w:color w:val="44546A" w:themeColor="text2"/>
        <w:sz w:val="18"/>
      </w:rPr>
      <w:tblPr/>
      <w:tcPr>
        <w:tcBorders>
          <w:top w:val="nil"/>
          <w:left w:val="nil"/>
          <w:bottom w:val="nil"/>
          <w:right w:val="nil"/>
          <w:insideH w:val="nil"/>
          <w:insideV w:val="nil"/>
          <w:tl2br w:val="nil"/>
          <w:tr2bl w:val="nil"/>
        </w:tcBorders>
        <w:shd w:val="clear" w:color="auto" w:fill="5B9BD5" w:themeFill="accent1"/>
      </w:tcPr>
    </w:tblStylePr>
  </w:style>
  <w:style w:type="table" w:customStyle="1" w:styleId="OCETable11">
    <w:name w:val="OCE Table11"/>
    <w:basedOn w:val="TableNormal"/>
    <w:uiPriority w:val="99"/>
    <w:rsid w:val="00113DB0"/>
    <w:pPr>
      <w:spacing w:after="0" w:line="240" w:lineRule="auto"/>
    </w:pPr>
    <w:rPr>
      <w:sz w:val="18"/>
    </w:rPr>
    <w:tblPr/>
    <w:tcPr>
      <w:shd w:val="clear" w:color="auto" w:fill="DEEAF6" w:themeFill="accent1" w:themeFillTint="33"/>
    </w:tcPr>
    <w:tblStylePr w:type="firstRow">
      <w:rPr>
        <w:rFonts w:asciiTheme="minorHAnsi" w:hAnsiTheme="minorHAnsi"/>
        <w:b w:val="0"/>
        <w:i w:val="0"/>
        <w:color w:val="44546A" w:themeColor="text2"/>
        <w:sz w:val="18"/>
      </w:rPr>
      <w:tblPr/>
      <w:tcPr>
        <w:tcBorders>
          <w:top w:val="nil"/>
          <w:left w:val="nil"/>
          <w:bottom w:val="nil"/>
          <w:right w:val="nil"/>
          <w:insideH w:val="nil"/>
          <w:insideV w:val="nil"/>
          <w:tl2br w:val="nil"/>
          <w:tr2bl w:val="nil"/>
        </w:tcBorders>
        <w:shd w:val="clear" w:color="auto" w:fill="5B9BD5" w:themeFill="accent1"/>
      </w:tcPr>
    </w:tblStylePr>
  </w:style>
  <w:style w:type="character" w:styleId="FollowedHyperlink">
    <w:name w:val="FollowedHyperlink"/>
    <w:basedOn w:val="DefaultParagraphFont"/>
    <w:unhideWhenUsed/>
    <w:rsid w:val="00113DB0"/>
    <w:rPr>
      <w:color w:val="954F72" w:themeColor="followedHyperlink"/>
      <w:u w:val="single"/>
    </w:rPr>
  </w:style>
  <w:style w:type="character" w:customStyle="1" w:styleId="ListParagraphChar">
    <w:name w:val="List Paragraph Char"/>
    <w:aliases w:val="L Char,List Paragraph1 Char,List Paragraph11 Char,Recommendation Char,bullet point list Char"/>
    <w:basedOn w:val="DefaultParagraphFont"/>
    <w:link w:val="ListParagraph"/>
    <w:uiPriority w:val="34"/>
    <w:rsid w:val="00113DB0"/>
  </w:style>
  <w:style w:type="character" w:customStyle="1" w:styleId="CaptionChar">
    <w:name w:val="Caption Char"/>
    <w:aliases w:val="Caption Char1 Char,Caption Char Char Char,Caption Char1 Char Char Char,Caption Char Char Char Char Char,Caption Char1 Char Char Char Char Char,Caption Char Char Char Char Char Char Char,(NECG) Caption Char"/>
    <w:basedOn w:val="DefaultParagraphFont"/>
    <w:link w:val="Caption"/>
    <w:rsid w:val="00113DB0"/>
    <w:rPr>
      <w:b/>
      <w:bCs/>
      <w:color w:val="5B9BD5" w:themeColor="accent1"/>
      <w:sz w:val="18"/>
      <w:szCs w:val="18"/>
    </w:rPr>
  </w:style>
  <w:style w:type="character" w:customStyle="1" w:styleId="value">
    <w:name w:val="value"/>
    <w:basedOn w:val="DefaultParagraphFont"/>
    <w:rsid w:val="00113DB0"/>
  </w:style>
  <w:style w:type="table" w:customStyle="1" w:styleId="OCETable3">
    <w:name w:val="OCE Table3"/>
    <w:basedOn w:val="TableNormal"/>
    <w:uiPriority w:val="99"/>
    <w:rsid w:val="00113DB0"/>
    <w:pPr>
      <w:spacing w:after="0" w:line="240" w:lineRule="auto"/>
    </w:pPr>
    <w:rPr>
      <w:sz w:val="18"/>
    </w:rPr>
    <w:tblPr/>
    <w:tcPr>
      <w:shd w:val="clear" w:color="auto" w:fill="DEEAF6" w:themeFill="accent1" w:themeFillTint="33"/>
    </w:tcPr>
    <w:tblStylePr w:type="firstRow">
      <w:rPr>
        <w:rFonts w:asciiTheme="minorHAnsi" w:hAnsiTheme="minorHAnsi"/>
        <w:b w:val="0"/>
        <w:i w:val="0"/>
        <w:color w:val="44546A" w:themeColor="text2"/>
        <w:sz w:val="18"/>
      </w:rPr>
      <w:tblPr/>
      <w:tcPr>
        <w:tcBorders>
          <w:top w:val="nil"/>
          <w:left w:val="nil"/>
          <w:bottom w:val="nil"/>
          <w:right w:val="nil"/>
          <w:insideH w:val="nil"/>
          <w:insideV w:val="nil"/>
          <w:tl2br w:val="nil"/>
          <w:tr2bl w:val="nil"/>
        </w:tcBorders>
        <w:shd w:val="clear" w:color="auto" w:fill="5B9BD5" w:themeFill="accent1"/>
      </w:tcPr>
    </w:tblStylePr>
  </w:style>
  <w:style w:type="numbering" w:customStyle="1" w:styleId="NoList2">
    <w:name w:val="No List2"/>
    <w:next w:val="NoList"/>
    <w:uiPriority w:val="99"/>
    <w:semiHidden/>
    <w:unhideWhenUsed/>
    <w:rsid w:val="00113DB0"/>
  </w:style>
  <w:style w:type="table" w:customStyle="1" w:styleId="TableGrid3">
    <w:name w:val="Table Grid3"/>
    <w:basedOn w:val="TableNormal"/>
    <w:next w:val="TableGrid"/>
    <w:rsid w:val="00113D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CETable4">
    <w:name w:val="OCE Table4"/>
    <w:basedOn w:val="TableNormal"/>
    <w:uiPriority w:val="99"/>
    <w:rsid w:val="00113DB0"/>
    <w:pPr>
      <w:spacing w:after="0" w:line="240" w:lineRule="auto"/>
    </w:pPr>
    <w:rPr>
      <w:sz w:val="18"/>
    </w:rPr>
    <w:tblPr/>
    <w:tcPr>
      <w:shd w:val="clear" w:color="auto" w:fill="DEEAF6" w:themeFill="accent1" w:themeFillTint="33"/>
    </w:tcPr>
    <w:tblStylePr w:type="firstRow">
      <w:rPr>
        <w:rFonts w:asciiTheme="minorHAnsi" w:hAnsiTheme="minorHAnsi"/>
        <w:b w:val="0"/>
        <w:i w:val="0"/>
        <w:color w:val="44546A" w:themeColor="text2"/>
        <w:sz w:val="18"/>
      </w:rPr>
      <w:tblPr/>
      <w:tcPr>
        <w:tcBorders>
          <w:top w:val="nil"/>
          <w:left w:val="nil"/>
          <w:bottom w:val="nil"/>
          <w:right w:val="nil"/>
          <w:insideH w:val="nil"/>
          <w:insideV w:val="nil"/>
          <w:tl2br w:val="nil"/>
          <w:tr2bl w:val="nil"/>
        </w:tcBorders>
        <w:shd w:val="clear" w:color="auto" w:fill="5B9BD5" w:themeFill="accent1"/>
      </w:tcPr>
    </w:tblStylePr>
  </w:style>
  <w:style w:type="table" w:customStyle="1" w:styleId="OCETable12">
    <w:name w:val="OCE Table12"/>
    <w:basedOn w:val="TableNormal"/>
    <w:uiPriority w:val="99"/>
    <w:rsid w:val="00113DB0"/>
    <w:pPr>
      <w:spacing w:after="0" w:line="240" w:lineRule="auto"/>
    </w:pPr>
    <w:rPr>
      <w:sz w:val="18"/>
    </w:rPr>
    <w:tblPr/>
    <w:tcPr>
      <w:shd w:val="clear" w:color="auto" w:fill="DEEAF6" w:themeFill="accent1" w:themeFillTint="33"/>
    </w:tcPr>
    <w:tblStylePr w:type="firstRow">
      <w:rPr>
        <w:rFonts w:asciiTheme="minorHAnsi" w:hAnsiTheme="minorHAnsi"/>
        <w:b w:val="0"/>
        <w:i w:val="0"/>
        <w:color w:val="44546A" w:themeColor="text2"/>
        <w:sz w:val="18"/>
      </w:rPr>
      <w:tblPr/>
      <w:tcPr>
        <w:tcBorders>
          <w:top w:val="nil"/>
          <w:left w:val="nil"/>
          <w:bottom w:val="nil"/>
          <w:right w:val="nil"/>
          <w:insideH w:val="nil"/>
          <w:insideV w:val="nil"/>
          <w:tl2br w:val="nil"/>
          <w:tr2bl w:val="nil"/>
        </w:tcBorders>
        <w:shd w:val="clear" w:color="auto" w:fill="5B9BD5" w:themeFill="accent1"/>
      </w:tcPr>
    </w:tblStylePr>
  </w:style>
  <w:style w:type="paragraph" w:styleId="Title">
    <w:name w:val="Title"/>
    <w:basedOn w:val="Normal"/>
    <w:next w:val="Normal"/>
    <w:link w:val="TitleChar"/>
    <w:uiPriority w:val="10"/>
    <w:qFormat/>
    <w:rsid w:val="00113DB0"/>
    <w:pPr>
      <w:spacing w:line="276" w:lineRule="auto"/>
      <w:jc w:val="both"/>
    </w:pPr>
    <w:rPr>
      <w:rFonts w:asciiTheme="majorHAnsi" w:eastAsiaTheme="majorEastAsia" w:hAnsiTheme="majorHAnsi" w:cstheme="majorBidi"/>
      <w:caps/>
      <w:color w:val="5B9BD5" w:themeColor="accent1"/>
      <w:spacing w:val="10"/>
      <w:sz w:val="52"/>
      <w:szCs w:val="52"/>
      <w:lang w:eastAsia="ja-JP"/>
    </w:rPr>
  </w:style>
  <w:style w:type="character" w:customStyle="1" w:styleId="TitleChar">
    <w:name w:val="Title Char"/>
    <w:basedOn w:val="DefaultParagraphFont"/>
    <w:link w:val="Title"/>
    <w:uiPriority w:val="10"/>
    <w:rsid w:val="00113DB0"/>
    <w:rPr>
      <w:rFonts w:asciiTheme="majorHAnsi" w:eastAsiaTheme="majorEastAsia" w:hAnsiTheme="majorHAnsi" w:cstheme="majorBidi"/>
      <w:caps/>
      <w:color w:val="5B9BD5" w:themeColor="accent1"/>
      <w:spacing w:val="10"/>
      <w:sz w:val="52"/>
      <w:szCs w:val="52"/>
      <w:lang w:eastAsia="ja-JP"/>
    </w:rPr>
  </w:style>
  <w:style w:type="paragraph" w:styleId="Subtitle">
    <w:name w:val="Subtitle"/>
    <w:basedOn w:val="Normal"/>
    <w:next w:val="Normal"/>
    <w:link w:val="SubtitleChar"/>
    <w:uiPriority w:val="11"/>
    <w:qFormat/>
    <w:rsid w:val="00113DB0"/>
    <w:pPr>
      <w:spacing w:after="500"/>
      <w:jc w:val="both"/>
    </w:pPr>
    <w:rPr>
      <w:rFonts w:eastAsiaTheme="minorEastAsia"/>
      <w:caps/>
      <w:color w:val="595959" w:themeColor="text1" w:themeTint="A6"/>
      <w:spacing w:val="10"/>
      <w:sz w:val="21"/>
      <w:szCs w:val="21"/>
      <w:lang w:eastAsia="ja-JP"/>
    </w:rPr>
  </w:style>
  <w:style w:type="character" w:customStyle="1" w:styleId="SubtitleChar">
    <w:name w:val="Subtitle Char"/>
    <w:basedOn w:val="DefaultParagraphFont"/>
    <w:link w:val="Subtitle"/>
    <w:uiPriority w:val="11"/>
    <w:rsid w:val="00113DB0"/>
    <w:rPr>
      <w:rFonts w:eastAsiaTheme="minorEastAsia"/>
      <w:caps/>
      <w:color w:val="595959" w:themeColor="text1" w:themeTint="A6"/>
      <w:spacing w:val="10"/>
      <w:sz w:val="21"/>
      <w:szCs w:val="21"/>
      <w:lang w:eastAsia="ja-JP"/>
    </w:rPr>
  </w:style>
  <w:style w:type="character" w:styleId="SubtleEmphasis">
    <w:name w:val="Subtle Emphasis"/>
    <w:uiPriority w:val="19"/>
    <w:qFormat/>
    <w:rsid w:val="00113DB0"/>
    <w:rPr>
      <w:i/>
      <w:iCs/>
      <w:color w:val="1F4D78" w:themeColor="accent1" w:themeShade="7F"/>
    </w:rPr>
  </w:style>
  <w:style w:type="character" w:styleId="Emphasis">
    <w:name w:val="Emphasis"/>
    <w:uiPriority w:val="20"/>
    <w:qFormat/>
    <w:rsid w:val="00113DB0"/>
    <w:rPr>
      <w:caps/>
      <w:color w:val="1F4D78" w:themeColor="accent1" w:themeShade="7F"/>
      <w:spacing w:val="5"/>
    </w:rPr>
  </w:style>
  <w:style w:type="character" w:styleId="IntenseEmphasis">
    <w:name w:val="Intense Emphasis"/>
    <w:uiPriority w:val="21"/>
    <w:qFormat/>
    <w:rsid w:val="00113DB0"/>
    <w:rPr>
      <w:b/>
      <w:bCs/>
      <w:caps/>
      <w:color w:val="1F4D78" w:themeColor="accent1" w:themeShade="7F"/>
      <w:spacing w:val="10"/>
    </w:rPr>
  </w:style>
  <w:style w:type="character" w:styleId="Strong">
    <w:name w:val="Strong"/>
    <w:uiPriority w:val="22"/>
    <w:qFormat/>
    <w:rsid w:val="00113DB0"/>
    <w:rPr>
      <w:b/>
      <w:bCs/>
      <w:color w:val="ED7D31"/>
    </w:rPr>
  </w:style>
  <w:style w:type="paragraph" w:styleId="Quote">
    <w:name w:val="Quote"/>
    <w:basedOn w:val="Normal"/>
    <w:next w:val="Normal"/>
    <w:link w:val="QuoteChar"/>
    <w:uiPriority w:val="29"/>
    <w:qFormat/>
    <w:rsid w:val="00113DB0"/>
    <w:pPr>
      <w:spacing w:before="100" w:after="200" w:line="276" w:lineRule="auto"/>
      <w:ind w:left="284"/>
      <w:jc w:val="both"/>
    </w:pPr>
    <w:rPr>
      <w:rFonts w:eastAsiaTheme="minorEastAsia"/>
      <w:i/>
      <w:iCs/>
      <w:szCs w:val="24"/>
      <w:lang w:eastAsia="ja-JP"/>
    </w:rPr>
  </w:style>
  <w:style w:type="character" w:customStyle="1" w:styleId="QuoteChar">
    <w:name w:val="Quote Char"/>
    <w:basedOn w:val="DefaultParagraphFont"/>
    <w:link w:val="Quote"/>
    <w:uiPriority w:val="29"/>
    <w:rsid w:val="00113DB0"/>
    <w:rPr>
      <w:rFonts w:eastAsiaTheme="minorEastAsia"/>
      <w:i/>
      <w:iCs/>
      <w:szCs w:val="24"/>
      <w:lang w:eastAsia="ja-JP"/>
    </w:rPr>
  </w:style>
  <w:style w:type="paragraph" w:styleId="IntenseQuote">
    <w:name w:val="Intense Quote"/>
    <w:basedOn w:val="Normal"/>
    <w:next w:val="Normal"/>
    <w:link w:val="IntenseQuoteChar"/>
    <w:uiPriority w:val="30"/>
    <w:qFormat/>
    <w:rsid w:val="00113DB0"/>
    <w:pPr>
      <w:spacing w:before="240" w:after="240"/>
      <w:ind w:left="1080" w:right="1080"/>
      <w:jc w:val="center"/>
    </w:pPr>
    <w:rPr>
      <w:rFonts w:eastAsiaTheme="minorEastAsia"/>
      <w:color w:val="5B9BD5" w:themeColor="accent1"/>
      <w:sz w:val="24"/>
      <w:szCs w:val="24"/>
      <w:lang w:eastAsia="ja-JP"/>
    </w:rPr>
  </w:style>
  <w:style w:type="character" w:customStyle="1" w:styleId="IntenseQuoteChar">
    <w:name w:val="Intense Quote Char"/>
    <w:basedOn w:val="DefaultParagraphFont"/>
    <w:link w:val="IntenseQuote"/>
    <w:uiPriority w:val="30"/>
    <w:rsid w:val="00113DB0"/>
    <w:rPr>
      <w:rFonts w:eastAsiaTheme="minorEastAsia"/>
      <w:color w:val="5B9BD5" w:themeColor="accent1"/>
      <w:sz w:val="24"/>
      <w:szCs w:val="24"/>
      <w:lang w:eastAsia="ja-JP"/>
    </w:rPr>
  </w:style>
  <w:style w:type="character" w:styleId="SubtleReference">
    <w:name w:val="Subtle Reference"/>
    <w:uiPriority w:val="31"/>
    <w:qFormat/>
    <w:rsid w:val="00113DB0"/>
    <w:rPr>
      <w:b/>
      <w:bCs/>
      <w:color w:val="5B9BD5" w:themeColor="accent1"/>
    </w:rPr>
  </w:style>
  <w:style w:type="character" w:styleId="IntenseReference">
    <w:name w:val="Intense Reference"/>
    <w:uiPriority w:val="32"/>
    <w:qFormat/>
    <w:rsid w:val="00113DB0"/>
    <w:rPr>
      <w:b/>
      <w:bCs/>
      <w:i/>
      <w:iCs/>
      <w:caps/>
      <w:color w:val="5B9BD5" w:themeColor="accent1"/>
    </w:rPr>
  </w:style>
  <w:style w:type="character" w:styleId="BookTitle">
    <w:name w:val="Book Title"/>
    <w:uiPriority w:val="33"/>
    <w:qFormat/>
    <w:rsid w:val="00113DB0"/>
    <w:rPr>
      <w:b/>
      <w:bCs/>
      <w:i/>
      <w:iCs/>
      <w:spacing w:val="0"/>
    </w:rPr>
  </w:style>
  <w:style w:type="paragraph" w:styleId="TOCHeading">
    <w:name w:val="TOC Heading"/>
    <w:basedOn w:val="Heading1"/>
    <w:next w:val="Normal"/>
    <w:uiPriority w:val="39"/>
    <w:unhideWhenUsed/>
    <w:qFormat/>
    <w:rsid w:val="00113DB0"/>
    <w:pPr>
      <w:keepLines w:val="0"/>
      <w:numPr>
        <w:numId w:val="0"/>
      </w:numPr>
      <w:spacing w:before="100" w:line="276" w:lineRule="auto"/>
      <w:jc w:val="both"/>
      <w:outlineLvl w:val="9"/>
    </w:pPr>
    <w:rPr>
      <w:rFonts w:asciiTheme="minorHAnsi" w:eastAsiaTheme="minorEastAsia" w:hAnsiTheme="minorHAnsi" w:cstheme="minorBidi"/>
      <w:bCs w:val="0"/>
      <w:color w:val="ED7D31"/>
      <w:spacing w:val="15"/>
      <w:sz w:val="32"/>
      <w:szCs w:val="22"/>
      <w:lang w:eastAsia="ja-JP"/>
    </w:rPr>
  </w:style>
  <w:style w:type="paragraph" w:styleId="TOC1">
    <w:name w:val="toc 1"/>
    <w:basedOn w:val="Normal"/>
    <w:next w:val="Normal"/>
    <w:autoRedefine/>
    <w:uiPriority w:val="39"/>
    <w:unhideWhenUsed/>
    <w:rsid w:val="00113DB0"/>
    <w:pPr>
      <w:tabs>
        <w:tab w:val="left" w:pos="400"/>
        <w:tab w:val="right" w:leader="dot" w:pos="9071"/>
      </w:tabs>
      <w:spacing w:before="100" w:after="100" w:line="276" w:lineRule="auto"/>
      <w:ind w:left="426" w:hanging="426"/>
      <w:jc w:val="both"/>
    </w:pPr>
    <w:rPr>
      <w:rFonts w:eastAsiaTheme="minorEastAsia"/>
      <w:lang w:eastAsia="ja-JP"/>
    </w:rPr>
  </w:style>
  <w:style w:type="paragraph" w:styleId="TOC2">
    <w:name w:val="toc 2"/>
    <w:basedOn w:val="Normal"/>
    <w:next w:val="Normal"/>
    <w:autoRedefine/>
    <w:uiPriority w:val="39"/>
    <w:unhideWhenUsed/>
    <w:rsid w:val="00113DB0"/>
    <w:pPr>
      <w:tabs>
        <w:tab w:val="left" w:pos="993"/>
        <w:tab w:val="right" w:leader="dot" w:pos="9071"/>
      </w:tabs>
      <w:spacing w:before="100" w:after="100" w:line="276" w:lineRule="auto"/>
      <w:ind w:left="426"/>
      <w:jc w:val="both"/>
    </w:pPr>
    <w:rPr>
      <w:rFonts w:eastAsiaTheme="minorEastAsia"/>
      <w:noProof/>
      <w:lang w:eastAsia="ja-JP"/>
    </w:rPr>
  </w:style>
  <w:style w:type="paragraph" w:styleId="TOC3">
    <w:name w:val="toc 3"/>
    <w:basedOn w:val="Normal"/>
    <w:next w:val="Normal"/>
    <w:autoRedefine/>
    <w:uiPriority w:val="39"/>
    <w:unhideWhenUsed/>
    <w:rsid w:val="00113DB0"/>
    <w:pPr>
      <w:spacing w:before="100" w:after="100" w:line="276" w:lineRule="auto"/>
      <w:ind w:left="400"/>
      <w:jc w:val="both"/>
    </w:pPr>
    <w:rPr>
      <w:rFonts w:eastAsiaTheme="minorEastAsia"/>
      <w:lang w:eastAsia="ja-JP"/>
    </w:rPr>
  </w:style>
  <w:style w:type="paragraph" w:styleId="ListBullet">
    <w:name w:val="List Bullet"/>
    <w:basedOn w:val="Normal"/>
    <w:uiPriority w:val="4"/>
    <w:unhideWhenUsed/>
    <w:qFormat/>
    <w:rsid w:val="00113DB0"/>
    <w:pPr>
      <w:spacing w:before="100" w:after="240" w:line="276" w:lineRule="auto"/>
      <w:ind w:left="850" w:hanging="408"/>
      <w:jc w:val="both"/>
    </w:pPr>
    <w:rPr>
      <w:rFonts w:ascii="Times New Roman" w:hAnsi="Times New Roman" w:cs="Times New Roman"/>
      <w:lang w:eastAsia="zh-CN"/>
    </w:rPr>
  </w:style>
  <w:style w:type="paragraph" w:styleId="TableofFigures">
    <w:name w:val="table of figures"/>
    <w:basedOn w:val="Normal"/>
    <w:next w:val="Normal"/>
    <w:uiPriority w:val="99"/>
    <w:unhideWhenUsed/>
    <w:rsid w:val="00113DB0"/>
    <w:pPr>
      <w:spacing w:before="100" w:line="276" w:lineRule="auto"/>
      <w:jc w:val="both"/>
    </w:pPr>
    <w:rPr>
      <w:rFonts w:eastAsiaTheme="minorEastAsia"/>
      <w:lang w:eastAsia="ja-JP"/>
    </w:rPr>
  </w:style>
  <w:style w:type="paragraph" w:styleId="TOC4">
    <w:name w:val="toc 4"/>
    <w:basedOn w:val="Normal"/>
    <w:next w:val="Normal"/>
    <w:autoRedefine/>
    <w:uiPriority w:val="39"/>
    <w:unhideWhenUsed/>
    <w:rsid w:val="00113DB0"/>
    <w:pPr>
      <w:spacing w:after="100" w:line="259" w:lineRule="auto"/>
      <w:ind w:left="660"/>
      <w:jc w:val="both"/>
    </w:pPr>
    <w:rPr>
      <w:rFonts w:eastAsiaTheme="minorEastAsia"/>
      <w:lang w:eastAsia="en-AU"/>
    </w:rPr>
  </w:style>
  <w:style w:type="paragraph" w:styleId="TOC5">
    <w:name w:val="toc 5"/>
    <w:basedOn w:val="Normal"/>
    <w:next w:val="Normal"/>
    <w:autoRedefine/>
    <w:uiPriority w:val="39"/>
    <w:unhideWhenUsed/>
    <w:rsid w:val="00113DB0"/>
    <w:pPr>
      <w:spacing w:after="100" w:line="259" w:lineRule="auto"/>
      <w:ind w:left="880"/>
      <w:jc w:val="both"/>
    </w:pPr>
    <w:rPr>
      <w:rFonts w:eastAsiaTheme="minorEastAsia"/>
      <w:lang w:eastAsia="en-AU"/>
    </w:rPr>
  </w:style>
  <w:style w:type="paragraph" w:styleId="TOC6">
    <w:name w:val="toc 6"/>
    <w:basedOn w:val="Normal"/>
    <w:next w:val="Normal"/>
    <w:autoRedefine/>
    <w:uiPriority w:val="39"/>
    <w:unhideWhenUsed/>
    <w:rsid w:val="00113DB0"/>
    <w:pPr>
      <w:spacing w:after="100" w:line="259" w:lineRule="auto"/>
      <w:ind w:left="1100"/>
      <w:jc w:val="both"/>
    </w:pPr>
    <w:rPr>
      <w:rFonts w:eastAsiaTheme="minorEastAsia"/>
      <w:lang w:eastAsia="en-AU"/>
    </w:rPr>
  </w:style>
  <w:style w:type="paragraph" w:styleId="TOC7">
    <w:name w:val="toc 7"/>
    <w:basedOn w:val="Normal"/>
    <w:next w:val="Normal"/>
    <w:autoRedefine/>
    <w:uiPriority w:val="39"/>
    <w:unhideWhenUsed/>
    <w:rsid w:val="00113DB0"/>
    <w:pPr>
      <w:spacing w:after="100" w:line="259" w:lineRule="auto"/>
      <w:ind w:left="1320"/>
      <w:jc w:val="both"/>
    </w:pPr>
    <w:rPr>
      <w:rFonts w:eastAsiaTheme="minorEastAsia"/>
      <w:lang w:eastAsia="en-AU"/>
    </w:rPr>
  </w:style>
  <w:style w:type="paragraph" w:styleId="TOC8">
    <w:name w:val="toc 8"/>
    <w:basedOn w:val="Normal"/>
    <w:next w:val="Normal"/>
    <w:autoRedefine/>
    <w:uiPriority w:val="39"/>
    <w:unhideWhenUsed/>
    <w:rsid w:val="00113DB0"/>
    <w:pPr>
      <w:spacing w:after="100" w:line="259" w:lineRule="auto"/>
      <w:ind w:left="1540"/>
      <w:jc w:val="both"/>
    </w:pPr>
    <w:rPr>
      <w:rFonts w:eastAsiaTheme="minorEastAsia"/>
      <w:lang w:eastAsia="en-AU"/>
    </w:rPr>
  </w:style>
  <w:style w:type="paragraph" w:styleId="TOC9">
    <w:name w:val="toc 9"/>
    <w:basedOn w:val="Normal"/>
    <w:next w:val="Normal"/>
    <w:autoRedefine/>
    <w:uiPriority w:val="39"/>
    <w:unhideWhenUsed/>
    <w:rsid w:val="00113DB0"/>
    <w:pPr>
      <w:spacing w:after="100" w:line="259" w:lineRule="auto"/>
      <w:ind w:left="1760"/>
      <w:jc w:val="both"/>
    </w:pPr>
    <w:rPr>
      <w:rFonts w:eastAsiaTheme="minorEastAsia"/>
      <w:lang w:eastAsia="en-AU"/>
    </w:rPr>
  </w:style>
  <w:style w:type="paragraph" w:styleId="EndnoteText">
    <w:name w:val="endnote text"/>
    <w:basedOn w:val="Normal"/>
    <w:link w:val="EndnoteTextChar"/>
    <w:uiPriority w:val="99"/>
    <w:semiHidden/>
    <w:unhideWhenUsed/>
    <w:rsid w:val="00113DB0"/>
    <w:pPr>
      <w:jc w:val="both"/>
    </w:pPr>
    <w:rPr>
      <w:rFonts w:eastAsiaTheme="minorEastAsia"/>
      <w:sz w:val="20"/>
      <w:lang w:eastAsia="ja-JP"/>
    </w:rPr>
  </w:style>
  <w:style w:type="character" w:customStyle="1" w:styleId="EndnoteTextChar">
    <w:name w:val="Endnote Text Char"/>
    <w:basedOn w:val="DefaultParagraphFont"/>
    <w:link w:val="EndnoteText"/>
    <w:uiPriority w:val="99"/>
    <w:semiHidden/>
    <w:rsid w:val="00113DB0"/>
    <w:rPr>
      <w:rFonts w:eastAsiaTheme="minorEastAsia"/>
      <w:sz w:val="20"/>
      <w:lang w:eastAsia="ja-JP"/>
    </w:rPr>
  </w:style>
  <w:style w:type="character" w:styleId="EndnoteReference">
    <w:name w:val="endnote reference"/>
    <w:basedOn w:val="DefaultParagraphFont"/>
    <w:uiPriority w:val="99"/>
    <w:semiHidden/>
    <w:unhideWhenUsed/>
    <w:rsid w:val="00113DB0"/>
    <w:rPr>
      <w:vertAlign w:val="superscript"/>
    </w:rPr>
  </w:style>
  <w:style w:type="paragraph" w:customStyle="1" w:styleId="Default">
    <w:name w:val="Default"/>
    <w:rsid w:val="00113DB0"/>
    <w:pPr>
      <w:autoSpaceDE w:val="0"/>
      <w:autoSpaceDN w:val="0"/>
      <w:adjustRightInd w:val="0"/>
      <w:spacing w:after="0" w:line="240" w:lineRule="auto"/>
    </w:pPr>
    <w:rPr>
      <w:rFonts w:ascii="Calibri" w:eastAsiaTheme="minorEastAsia" w:hAnsi="Calibri" w:cs="Calibri"/>
      <w:color w:val="000000"/>
      <w:sz w:val="24"/>
      <w:szCs w:val="24"/>
      <w:lang w:eastAsia="ja-JP"/>
    </w:rPr>
  </w:style>
  <w:style w:type="paragraph" w:styleId="List">
    <w:name w:val="List"/>
    <w:basedOn w:val="Normal"/>
    <w:rsid w:val="00113DB0"/>
    <w:pPr>
      <w:spacing w:before="20" w:after="20"/>
      <w:jc w:val="both"/>
    </w:pPr>
    <w:rPr>
      <w:rFonts w:ascii="Arial" w:eastAsia="Times New Roman" w:hAnsi="Arial" w:cs="Times New Roman"/>
      <w:sz w:val="20"/>
      <w:szCs w:val="20"/>
    </w:rPr>
  </w:style>
  <w:style w:type="paragraph" w:customStyle="1" w:styleId="bullet">
    <w:name w:val="bullet"/>
    <w:basedOn w:val="Normal"/>
    <w:rsid w:val="00113DB0"/>
    <w:pPr>
      <w:numPr>
        <w:numId w:val="4"/>
      </w:numPr>
      <w:spacing w:after="240"/>
      <w:jc w:val="both"/>
    </w:pPr>
    <w:rPr>
      <w:rFonts w:ascii="Arial" w:eastAsia="Times New Roman" w:hAnsi="Arial" w:cs="Times New Roman"/>
      <w:sz w:val="24"/>
      <w:szCs w:val="20"/>
    </w:rPr>
  </w:style>
  <w:style w:type="paragraph" w:customStyle="1" w:styleId="Bullet0">
    <w:name w:val="Bullet"/>
    <w:basedOn w:val="Normal"/>
    <w:link w:val="BulletChar"/>
    <w:rsid w:val="00113DB0"/>
    <w:pPr>
      <w:numPr>
        <w:numId w:val="5"/>
      </w:numPr>
      <w:spacing w:after="120"/>
    </w:pPr>
    <w:rPr>
      <w:rFonts w:ascii="Arial" w:eastAsia="Times New Roman" w:hAnsi="Arial" w:cs="Times New Roman"/>
      <w:sz w:val="24"/>
      <w:szCs w:val="20"/>
    </w:rPr>
  </w:style>
  <w:style w:type="paragraph" w:customStyle="1" w:styleId="Bulletpoints">
    <w:name w:val="Bullet points"/>
    <w:basedOn w:val="Normal"/>
    <w:autoRedefine/>
    <w:rsid w:val="00113DB0"/>
    <w:pPr>
      <w:spacing w:after="240"/>
      <w:ind w:left="4156" w:hanging="3799"/>
      <w:jc w:val="both"/>
    </w:pPr>
    <w:rPr>
      <w:rFonts w:ascii="Arial" w:eastAsia="Times New Roman" w:hAnsi="Arial" w:cs="Arial"/>
      <w:sz w:val="24"/>
      <w:szCs w:val="24"/>
    </w:rPr>
  </w:style>
  <w:style w:type="paragraph" w:customStyle="1" w:styleId="StyleLinespacingsingle">
    <w:name w:val="Style Line spacing:  single"/>
    <w:basedOn w:val="Normal"/>
    <w:rsid w:val="00113DB0"/>
    <w:pPr>
      <w:widowControl w:val="0"/>
      <w:adjustRightInd w:val="0"/>
      <w:spacing w:after="240"/>
      <w:textAlignment w:val="baseline"/>
    </w:pPr>
    <w:rPr>
      <w:rFonts w:ascii="Arial" w:eastAsia="Times New Roman" w:hAnsi="Arial" w:cs="Times New Roman"/>
      <w:sz w:val="20"/>
      <w:szCs w:val="20"/>
      <w:lang w:val="en-GB"/>
    </w:rPr>
  </w:style>
  <w:style w:type="character" w:styleId="PageNumber">
    <w:name w:val="page number"/>
    <w:basedOn w:val="DefaultParagraphFont"/>
    <w:rsid w:val="00113DB0"/>
  </w:style>
  <w:style w:type="paragraph" w:styleId="NormalIndent">
    <w:name w:val="Normal Indent"/>
    <w:basedOn w:val="Normal"/>
    <w:next w:val="Normal"/>
    <w:rsid w:val="00113DB0"/>
    <w:pPr>
      <w:spacing w:after="240"/>
      <w:ind w:left="567"/>
      <w:jc w:val="both"/>
    </w:pPr>
    <w:rPr>
      <w:rFonts w:ascii="Arial" w:eastAsia="Times New Roman" w:hAnsi="Arial" w:cs="Times New Roman"/>
      <w:sz w:val="24"/>
      <w:szCs w:val="20"/>
    </w:rPr>
  </w:style>
  <w:style w:type="paragraph" w:styleId="BodyText2">
    <w:name w:val="Body Text 2"/>
    <w:basedOn w:val="Normal"/>
    <w:link w:val="BodyText2Char"/>
    <w:rsid w:val="00113DB0"/>
    <w:pPr>
      <w:spacing w:after="120" w:line="480" w:lineRule="auto"/>
    </w:pPr>
    <w:rPr>
      <w:rFonts w:ascii="Arial" w:eastAsia="Times New Roman" w:hAnsi="Arial" w:cs="Times New Roman"/>
      <w:sz w:val="24"/>
      <w:szCs w:val="24"/>
      <w:lang w:eastAsia="en-AU"/>
    </w:rPr>
  </w:style>
  <w:style w:type="character" w:customStyle="1" w:styleId="BodyText2Char">
    <w:name w:val="Body Text 2 Char"/>
    <w:basedOn w:val="DefaultParagraphFont"/>
    <w:link w:val="BodyText2"/>
    <w:rsid w:val="00113DB0"/>
    <w:rPr>
      <w:rFonts w:ascii="Arial" w:eastAsia="Times New Roman" w:hAnsi="Arial" w:cs="Times New Roman"/>
      <w:sz w:val="24"/>
      <w:szCs w:val="24"/>
      <w:lang w:eastAsia="en-AU"/>
    </w:rPr>
  </w:style>
  <w:style w:type="paragraph" w:customStyle="1" w:styleId="Table">
    <w:name w:val="Table"/>
    <w:basedOn w:val="Normal"/>
    <w:rsid w:val="00113DB0"/>
    <w:pPr>
      <w:spacing w:before="40" w:after="40"/>
    </w:pPr>
    <w:rPr>
      <w:rFonts w:ascii="Arial" w:eastAsia="Times New Roman" w:hAnsi="Arial" w:cs="Times New Roman"/>
      <w:sz w:val="20"/>
      <w:szCs w:val="20"/>
      <w:lang w:val="en-GB"/>
    </w:rPr>
  </w:style>
  <w:style w:type="character" w:customStyle="1" w:styleId="StyleIndigo">
    <w:name w:val="Style Indigo"/>
    <w:rsid w:val="00113DB0"/>
    <w:rPr>
      <w:color w:val="auto"/>
    </w:rPr>
  </w:style>
  <w:style w:type="character" w:customStyle="1" w:styleId="BulletChar">
    <w:name w:val="Bullet Char"/>
    <w:link w:val="Bullet0"/>
    <w:rsid w:val="00113DB0"/>
    <w:rPr>
      <w:rFonts w:ascii="Arial" w:eastAsia="Times New Roman" w:hAnsi="Arial" w:cs="Times New Roman"/>
      <w:sz w:val="24"/>
      <w:szCs w:val="20"/>
    </w:rPr>
  </w:style>
  <w:style w:type="table" w:styleId="TableElegant">
    <w:name w:val="Table Elegant"/>
    <w:basedOn w:val="TableNormal"/>
    <w:rsid w:val="00113DB0"/>
    <w:pPr>
      <w:spacing w:after="240" w:line="240" w:lineRule="auto"/>
    </w:pPr>
    <w:rPr>
      <w:rFonts w:ascii="Arial" w:eastAsia="Times New Roman" w:hAnsi="Arial"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opies">
    <w:name w:val="Copies"/>
    <w:basedOn w:val="Normal"/>
    <w:uiPriority w:val="99"/>
    <w:rsid w:val="00113DB0"/>
    <w:pPr>
      <w:tabs>
        <w:tab w:val="num" w:pos="360"/>
        <w:tab w:val="left" w:pos="1678"/>
        <w:tab w:val="left" w:pos="2398"/>
        <w:tab w:val="left" w:pos="5398"/>
        <w:tab w:val="left" w:pos="6361"/>
      </w:tabs>
      <w:spacing w:before="480"/>
      <w:ind w:left="360" w:hanging="360"/>
    </w:pPr>
    <w:rPr>
      <w:rFonts w:ascii="Times New Roman" w:eastAsia="Times New Roman" w:hAnsi="Times New Roman" w:cs="Times New Roman"/>
      <w:sz w:val="24"/>
      <w:szCs w:val="20"/>
      <w:lang w:eastAsia="en-GB"/>
    </w:rPr>
  </w:style>
  <w:style w:type="paragraph" w:customStyle="1" w:styleId="TableParagraph">
    <w:name w:val="Table Paragraph"/>
    <w:basedOn w:val="Normal"/>
    <w:uiPriority w:val="1"/>
    <w:qFormat/>
    <w:rsid w:val="00113DB0"/>
    <w:pPr>
      <w:widowControl w:val="0"/>
    </w:pPr>
  </w:style>
  <w:style w:type="paragraph" w:customStyle="1" w:styleId="APPENDIXHEADINGLEVEL2">
    <w:name w:val="APPENDIX HEADING LEVEL 2"/>
    <w:basedOn w:val="Heading3"/>
    <w:qFormat/>
    <w:rsid w:val="00113DB0"/>
    <w:pPr>
      <w:keepLines w:val="0"/>
      <w:numPr>
        <w:ilvl w:val="0"/>
        <w:numId w:val="0"/>
      </w:numPr>
      <w:spacing w:before="240" w:after="240"/>
      <w:ind w:left="576" w:hanging="576"/>
    </w:pPr>
    <w:rPr>
      <w:rFonts w:ascii="Arial" w:eastAsia="Times New Roman" w:hAnsi="Arial" w:cs="Times New Roman"/>
      <w:bCs w:val="0"/>
      <w:color w:val="auto"/>
      <w:sz w:val="24"/>
      <w:szCs w:val="20"/>
    </w:rPr>
  </w:style>
  <w:style w:type="paragraph" w:customStyle="1" w:styleId="APPENDIXHEADINGLEVEL1">
    <w:name w:val="APPENDIX HEADING LEVEL 1"/>
    <w:basedOn w:val="Normal"/>
    <w:qFormat/>
    <w:rsid w:val="00113DB0"/>
    <w:pPr>
      <w:keepNext/>
      <w:spacing w:before="240" w:after="240"/>
      <w:ind w:left="432" w:hanging="432"/>
      <w:outlineLvl w:val="2"/>
    </w:pPr>
    <w:rPr>
      <w:rFonts w:ascii="Arial" w:eastAsia="Times New Roman" w:hAnsi="Arial" w:cs="Times New Roman"/>
      <w:b/>
      <w:sz w:val="28"/>
      <w:szCs w:val="20"/>
    </w:rPr>
  </w:style>
  <w:style w:type="paragraph" w:customStyle="1" w:styleId="TableNote">
    <w:name w:val="Table Note"/>
    <w:basedOn w:val="Normal"/>
    <w:rsid w:val="00113DB0"/>
    <w:pPr>
      <w:tabs>
        <w:tab w:val="left" w:pos="425"/>
      </w:tabs>
      <w:spacing w:before="60"/>
    </w:pPr>
    <w:rPr>
      <w:rFonts w:ascii="Arial" w:eastAsia="Times New Roman" w:hAnsi="Arial" w:cs="Times New Roman"/>
      <w:sz w:val="18"/>
      <w:szCs w:val="20"/>
    </w:rPr>
  </w:style>
  <w:style w:type="paragraph" w:customStyle="1" w:styleId="Picture">
    <w:name w:val="Picture"/>
    <w:basedOn w:val="Normal"/>
    <w:next w:val="Normal"/>
    <w:rsid w:val="00113DB0"/>
    <w:pPr>
      <w:jc w:val="center"/>
    </w:pPr>
    <w:rPr>
      <w:rFonts w:ascii="Arial" w:eastAsia="Times New Roman" w:hAnsi="Arial" w:cs="Times New Roman"/>
      <w:sz w:val="28"/>
      <w:szCs w:val="28"/>
    </w:rPr>
  </w:style>
  <w:style w:type="paragraph" w:customStyle="1" w:styleId="Tablecolumntext">
    <w:name w:val="Table column text"/>
    <w:basedOn w:val="Normal"/>
    <w:rsid w:val="00113DB0"/>
    <w:pPr>
      <w:keepNext/>
      <w:keepLines/>
      <w:spacing w:before="60"/>
      <w:ind w:left="142"/>
    </w:pPr>
    <w:rPr>
      <w:rFonts w:ascii="Arial" w:eastAsia="Times New Roman" w:hAnsi="Arial" w:cs="Times New Roman"/>
      <w:sz w:val="20"/>
      <w:szCs w:val="20"/>
    </w:rPr>
  </w:style>
  <w:style w:type="numbering" w:customStyle="1" w:styleId="Style1">
    <w:name w:val="Style1"/>
    <w:uiPriority w:val="99"/>
    <w:rsid w:val="00113DB0"/>
    <w:pPr>
      <w:numPr>
        <w:numId w:val="6"/>
      </w:numPr>
    </w:pPr>
  </w:style>
  <w:style w:type="numbering" w:customStyle="1" w:styleId="NoList3">
    <w:name w:val="No List3"/>
    <w:next w:val="NoList"/>
    <w:uiPriority w:val="99"/>
    <w:semiHidden/>
    <w:unhideWhenUsed/>
    <w:rsid w:val="00113DB0"/>
  </w:style>
  <w:style w:type="table" w:customStyle="1" w:styleId="TableGrid4">
    <w:name w:val="Table Grid4"/>
    <w:basedOn w:val="TableNormal"/>
    <w:next w:val="TableGrid"/>
    <w:uiPriority w:val="59"/>
    <w:rsid w:val="00113D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CETable5">
    <w:name w:val="OCE Table5"/>
    <w:basedOn w:val="TableNormal"/>
    <w:uiPriority w:val="99"/>
    <w:rsid w:val="00113DB0"/>
    <w:pPr>
      <w:spacing w:after="0" w:line="240" w:lineRule="auto"/>
    </w:pPr>
    <w:rPr>
      <w:sz w:val="18"/>
    </w:rPr>
    <w:tblPr/>
    <w:tcPr>
      <w:shd w:val="clear" w:color="auto" w:fill="DEEAF6" w:themeFill="accent1" w:themeFillTint="33"/>
    </w:tcPr>
    <w:tblStylePr w:type="firstRow">
      <w:rPr>
        <w:rFonts w:asciiTheme="minorHAnsi" w:hAnsiTheme="minorHAnsi"/>
        <w:b w:val="0"/>
        <w:i w:val="0"/>
        <w:color w:val="44546A" w:themeColor="text2"/>
        <w:sz w:val="18"/>
      </w:rPr>
      <w:tblPr/>
      <w:tcPr>
        <w:tcBorders>
          <w:top w:val="nil"/>
          <w:left w:val="nil"/>
          <w:bottom w:val="nil"/>
          <w:right w:val="nil"/>
          <w:insideH w:val="nil"/>
          <w:insideV w:val="nil"/>
          <w:tl2br w:val="nil"/>
          <w:tr2bl w:val="nil"/>
        </w:tcBorders>
        <w:shd w:val="clear" w:color="auto" w:fill="5B9BD5" w:themeFill="accent1"/>
      </w:tcPr>
    </w:tblStylePr>
  </w:style>
  <w:style w:type="numbering" w:customStyle="1" w:styleId="OCEHeadings1">
    <w:name w:val="OCE Headings1"/>
    <w:uiPriority w:val="99"/>
    <w:rsid w:val="00113DB0"/>
    <w:pPr>
      <w:numPr>
        <w:numId w:val="2"/>
      </w:numPr>
    </w:pPr>
  </w:style>
  <w:style w:type="numbering" w:customStyle="1" w:styleId="OCEBulletedList">
    <w:name w:val="OCE Bulleted List"/>
    <w:uiPriority w:val="99"/>
    <w:rsid w:val="00113DB0"/>
    <w:pPr>
      <w:numPr>
        <w:numId w:val="7"/>
      </w:numPr>
    </w:pPr>
  </w:style>
  <w:style w:type="paragraph" w:styleId="ListBullet2">
    <w:name w:val="List Bullet 2"/>
    <w:basedOn w:val="ListBullet"/>
    <w:uiPriority w:val="4"/>
    <w:qFormat/>
    <w:rsid w:val="00113DB0"/>
    <w:pPr>
      <w:spacing w:before="0" w:after="120" w:line="270" w:lineRule="exact"/>
      <w:ind w:left="2835" w:hanging="283"/>
    </w:pPr>
    <w:rPr>
      <w:rFonts w:asciiTheme="minorHAnsi" w:hAnsiTheme="minorHAnsi" w:cstheme="minorBidi"/>
      <w:color w:val="595A5B"/>
      <w:sz w:val="20"/>
      <w:lang w:eastAsia="en-US"/>
    </w:rPr>
  </w:style>
  <w:style w:type="paragraph" w:styleId="ListBullet4">
    <w:name w:val="List Bullet 4"/>
    <w:basedOn w:val="ListBullet3"/>
    <w:rsid w:val="00113DB0"/>
    <w:pPr>
      <w:ind w:firstLine="0"/>
    </w:pPr>
  </w:style>
  <w:style w:type="paragraph" w:styleId="ListBullet3">
    <w:name w:val="List Bullet 3"/>
    <w:basedOn w:val="ListBullet2"/>
    <w:uiPriority w:val="4"/>
    <w:qFormat/>
    <w:rsid w:val="00113DB0"/>
    <w:pPr>
      <w:ind w:left="3062" w:hanging="227"/>
    </w:pPr>
  </w:style>
  <w:style w:type="character" w:customStyle="1" w:styleId="text-with-line-breaks">
    <w:name w:val="text-with-line-breaks"/>
    <w:basedOn w:val="DefaultParagraphFont"/>
    <w:rsid w:val="00113DB0"/>
  </w:style>
  <w:style w:type="paragraph" w:styleId="NormalWeb">
    <w:name w:val="Normal (Web)"/>
    <w:basedOn w:val="Normal"/>
    <w:uiPriority w:val="99"/>
    <w:unhideWhenUsed/>
    <w:rsid w:val="00113DB0"/>
    <w:rPr>
      <w:rFonts w:ascii="Times New Roman" w:hAnsi="Times New Roman" w:cs="Times New Roman"/>
      <w:sz w:val="24"/>
      <w:szCs w:val="24"/>
    </w:rPr>
  </w:style>
  <w:style w:type="paragraph" w:customStyle="1" w:styleId="PlainParagraph">
    <w:name w:val="Plain Paragraph"/>
    <w:aliases w:val="PP"/>
    <w:basedOn w:val="Normal"/>
    <w:link w:val="PlainParagraphChar"/>
    <w:qFormat/>
    <w:rsid w:val="00113DB0"/>
    <w:pPr>
      <w:spacing w:before="140" w:after="140" w:line="280" w:lineRule="atLeast"/>
    </w:pPr>
    <w:rPr>
      <w:rFonts w:ascii="Arial" w:eastAsia="Times New Roman" w:hAnsi="Arial" w:cs="Arial"/>
      <w:lang w:eastAsia="en-AU"/>
    </w:rPr>
  </w:style>
  <w:style w:type="character" w:customStyle="1" w:styleId="PlainParagraphChar">
    <w:name w:val="Plain Paragraph Char"/>
    <w:aliases w:val="PP Char"/>
    <w:basedOn w:val="DefaultParagraphFont"/>
    <w:link w:val="PlainParagraph"/>
    <w:rsid w:val="00113DB0"/>
    <w:rPr>
      <w:rFonts w:ascii="Arial" w:eastAsia="Times New Roman" w:hAnsi="Arial" w:cs="Arial"/>
      <w:lang w:eastAsia="en-AU"/>
    </w:rPr>
  </w:style>
  <w:style w:type="paragraph" w:customStyle="1" w:styleId="Style3">
    <w:name w:val="Style3"/>
    <w:basedOn w:val="Normal"/>
    <w:link w:val="Style3Char"/>
    <w:qFormat/>
    <w:rsid w:val="00113DB0"/>
    <w:pPr>
      <w:keepLines/>
      <w:pBdr>
        <w:top w:val="single" w:sz="4" w:space="1" w:color="auto"/>
        <w:left w:val="single" w:sz="4" w:space="4" w:color="auto"/>
        <w:bottom w:val="single" w:sz="4" w:space="1" w:color="auto"/>
        <w:right w:val="single" w:sz="4" w:space="4" w:color="auto"/>
      </w:pBdr>
      <w:shd w:val="clear" w:color="auto" w:fill="D9E2F3" w:themeFill="accent5" w:themeFillTint="33"/>
      <w:spacing w:after="120"/>
    </w:pPr>
  </w:style>
  <w:style w:type="character" w:customStyle="1" w:styleId="Style3Char">
    <w:name w:val="Style3 Char"/>
    <w:basedOn w:val="DefaultParagraphFont"/>
    <w:link w:val="Style3"/>
    <w:rsid w:val="00113DB0"/>
    <w:rPr>
      <w:shd w:val="clear" w:color="auto" w:fill="D9E2F3" w:themeFill="accent5" w:themeFillTint="33"/>
    </w:rPr>
  </w:style>
  <w:style w:type="paragraph" w:styleId="Revision">
    <w:name w:val="Revision"/>
    <w:hidden/>
    <w:uiPriority w:val="99"/>
    <w:semiHidden/>
    <w:rsid w:val="00113DB0"/>
    <w:pPr>
      <w:spacing w:after="0" w:line="240" w:lineRule="auto"/>
    </w:pPr>
    <w:rPr>
      <w:lang w:val="en-US"/>
    </w:rPr>
  </w:style>
  <w:style w:type="paragraph" w:styleId="PlainText">
    <w:name w:val="Plain Text"/>
    <w:basedOn w:val="Normal"/>
    <w:link w:val="PlainTextChar"/>
    <w:uiPriority w:val="99"/>
    <w:semiHidden/>
    <w:unhideWhenUsed/>
    <w:rsid w:val="00113DB0"/>
    <w:rPr>
      <w:rFonts w:ascii="Calibri" w:hAnsi="Calibri" w:cs="Times New Roman"/>
    </w:rPr>
  </w:style>
  <w:style w:type="character" w:customStyle="1" w:styleId="PlainTextChar">
    <w:name w:val="Plain Text Char"/>
    <w:basedOn w:val="DefaultParagraphFont"/>
    <w:link w:val="PlainText"/>
    <w:uiPriority w:val="99"/>
    <w:semiHidden/>
    <w:rsid w:val="00113DB0"/>
    <w:rPr>
      <w:rFonts w:ascii="Calibri" w:hAnsi="Calibri" w:cs="Times New Roman"/>
    </w:rPr>
  </w:style>
  <w:style w:type="paragraph" w:customStyle="1" w:styleId="docoreplacementtext">
    <w:name w:val="doco replacement text"/>
    <w:basedOn w:val="Normal"/>
    <w:link w:val="docoreplacementtextChar"/>
    <w:qFormat/>
    <w:rsid w:val="00113DB0"/>
    <w:pPr>
      <w:spacing w:before="120" w:after="240"/>
    </w:pPr>
    <w:rPr>
      <w:rFonts w:ascii="Arial" w:eastAsiaTheme="minorEastAsia" w:hAnsi="Arial"/>
      <w:i/>
      <w:color w:val="0000FF"/>
      <w:szCs w:val="24"/>
    </w:rPr>
  </w:style>
  <w:style w:type="character" w:customStyle="1" w:styleId="docoreplacementtextChar">
    <w:name w:val="doco replacement text Char"/>
    <w:basedOn w:val="DefaultParagraphFont"/>
    <w:link w:val="docoreplacementtext"/>
    <w:rsid w:val="00113DB0"/>
    <w:rPr>
      <w:rFonts w:ascii="Arial" w:eastAsiaTheme="minorEastAsia" w:hAnsi="Arial"/>
      <w:i/>
      <w:color w:val="0000FF"/>
      <w:szCs w:val="24"/>
    </w:rPr>
  </w:style>
  <w:style w:type="paragraph" w:customStyle="1" w:styleId="Style4">
    <w:name w:val="Style4"/>
    <w:basedOn w:val="Normal"/>
    <w:qFormat/>
    <w:rsid w:val="00113DB0"/>
    <w:pPr>
      <w:pBdr>
        <w:top w:val="single" w:sz="4" w:space="1" w:color="auto"/>
        <w:left w:val="single" w:sz="4" w:space="4" w:color="auto"/>
        <w:bottom w:val="single" w:sz="4" w:space="1" w:color="auto"/>
        <w:right w:val="single" w:sz="4" w:space="4" w:color="auto"/>
      </w:pBdr>
      <w:shd w:val="clear" w:color="auto" w:fill="DEEAF6" w:themeFill="accent1" w:themeFillTint="33"/>
    </w:pPr>
  </w:style>
  <w:style w:type="paragraph" w:customStyle="1" w:styleId="Style5">
    <w:name w:val="Style5"/>
    <w:basedOn w:val="Normal"/>
    <w:qFormat/>
    <w:rsid w:val="00113DB0"/>
    <w:pPr>
      <w:spacing w:before="120" w:after="120"/>
    </w:pPr>
  </w:style>
  <w:style w:type="paragraph" w:customStyle="1" w:styleId="Style6">
    <w:name w:val="Style6"/>
    <w:basedOn w:val="Normal"/>
    <w:qFormat/>
    <w:rsid w:val="00113DB0"/>
    <w:pPr>
      <w:keepNext/>
      <w:keepLines/>
      <w:numPr>
        <w:numId w:val="11"/>
      </w:numPr>
      <w:spacing w:before="60" w:after="60"/>
    </w:pPr>
    <w:rPr>
      <w:rFonts w:ascii="Arial" w:hAnsi="Arial" w:cs="Arial"/>
      <w:i/>
      <w:color w:val="595A5B"/>
      <w:sz w:val="18"/>
      <w:szCs w:val="18"/>
    </w:rPr>
  </w:style>
  <w:style w:type="paragraph" w:customStyle="1" w:styleId="Style7">
    <w:name w:val="Style7"/>
    <w:basedOn w:val="Normal"/>
    <w:qFormat/>
    <w:rsid w:val="00113DB0"/>
    <w:pPr>
      <w:spacing w:before="120" w:after="120"/>
    </w:pPr>
  </w:style>
  <w:style w:type="paragraph" w:customStyle="1" w:styleId="Keypointsdotpoint">
    <w:name w:val="Key points dot point"/>
    <w:basedOn w:val="Style3"/>
    <w:qFormat/>
    <w:rsid w:val="00113DB0"/>
    <w:pPr>
      <w:numPr>
        <w:numId w:val="17"/>
      </w:numPr>
    </w:pPr>
  </w:style>
  <w:style w:type="paragraph" w:customStyle="1" w:styleId="caption2">
    <w:name w:val="caption2"/>
    <w:basedOn w:val="Normal"/>
    <w:rsid w:val="0015145F"/>
    <w:pPr>
      <w:spacing w:after="150" w:line="195" w:lineRule="atLeast"/>
      <w:ind w:left="244"/>
    </w:pPr>
    <w:rPr>
      <w:rFonts w:ascii="Times New Roman" w:eastAsia="Times New Roman" w:hAnsi="Times New Roman" w:cs="Times New Roman"/>
      <w:color w:val="777777"/>
      <w:sz w:val="18"/>
      <w:szCs w:val="18"/>
      <w:lang w:eastAsia="en-AU"/>
    </w:rPr>
  </w:style>
  <w:style w:type="paragraph" w:customStyle="1" w:styleId="meta">
    <w:name w:val="meta"/>
    <w:basedOn w:val="Normal"/>
    <w:rsid w:val="00A91E2F"/>
    <w:pPr>
      <w:spacing w:after="150"/>
    </w:pPr>
    <w:rPr>
      <w:rFonts w:ascii="Times New Roman" w:eastAsia="Times New Roman" w:hAnsi="Times New Roman" w:cs="Times New Roman"/>
      <w:sz w:val="24"/>
      <w:szCs w:val="24"/>
      <w:lang w:eastAsia="en-AU"/>
    </w:rPr>
  </w:style>
  <w:style w:type="character" w:customStyle="1" w:styleId="tgc">
    <w:name w:val="_tgc"/>
    <w:basedOn w:val="DefaultParagraphFont"/>
    <w:rsid w:val="00D83565"/>
  </w:style>
  <w:style w:type="character" w:customStyle="1" w:styleId="st1">
    <w:name w:val="st1"/>
    <w:basedOn w:val="DefaultParagraphFont"/>
    <w:rsid w:val="00C924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1695918">
      <w:bodyDiv w:val="1"/>
      <w:marLeft w:val="0"/>
      <w:marRight w:val="0"/>
      <w:marTop w:val="0"/>
      <w:marBottom w:val="0"/>
      <w:divBdr>
        <w:top w:val="none" w:sz="0" w:space="0" w:color="auto"/>
        <w:left w:val="none" w:sz="0" w:space="0" w:color="auto"/>
        <w:bottom w:val="none" w:sz="0" w:space="0" w:color="auto"/>
        <w:right w:val="none" w:sz="0" w:space="0" w:color="auto"/>
      </w:divBdr>
      <w:divsChild>
        <w:div w:id="1113675029">
          <w:marLeft w:val="0"/>
          <w:marRight w:val="0"/>
          <w:marTop w:val="0"/>
          <w:marBottom w:val="0"/>
          <w:divBdr>
            <w:top w:val="none" w:sz="0" w:space="0" w:color="auto"/>
            <w:left w:val="none" w:sz="0" w:space="0" w:color="auto"/>
            <w:bottom w:val="none" w:sz="0" w:space="0" w:color="auto"/>
            <w:right w:val="none" w:sz="0" w:space="0" w:color="auto"/>
          </w:divBdr>
          <w:divsChild>
            <w:div w:id="29108922">
              <w:marLeft w:val="-225"/>
              <w:marRight w:val="-225"/>
              <w:marTop w:val="0"/>
              <w:marBottom w:val="0"/>
              <w:divBdr>
                <w:top w:val="none" w:sz="0" w:space="0" w:color="auto"/>
                <w:left w:val="none" w:sz="0" w:space="0" w:color="auto"/>
                <w:bottom w:val="none" w:sz="0" w:space="0" w:color="auto"/>
                <w:right w:val="none" w:sz="0" w:space="0" w:color="auto"/>
              </w:divBdr>
              <w:divsChild>
                <w:div w:id="1275553949">
                  <w:marLeft w:val="0"/>
                  <w:marRight w:val="0"/>
                  <w:marTop w:val="0"/>
                  <w:marBottom w:val="0"/>
                  <w:divBdr>
                    <w:top w:val="none" w:sz="0" w:space="0" w:color="auto"/>
                    <w:left w:val="none" w:sz="0" w:space="0" w:color="auto"/>
                    <w:bottom w:val="none" w:sz="0" w:space="0" w:color="auto"/>
                    <w:right w:val="none" w:sz="0" w:space="0" w:color="auto"/>
                  </w:divBdr>
                  <w:divsChild>
                    <w:div w:id="1952127877">
                      <w:marLeft w:val="-225"/>
                      <w:marRight w:val="-225"/>
                      <w:marTop w:val="0"/>
                      <w:marBottom w:val="0"/>
                      <w:divBdr>
                        <w:top w:val="none" w:sz="0" w:space="0" w:color="auto"/>
                        <w:left w:val="none" w:sz="0" w:space="0" w:color="auto"/>
                        <w:bottom w:val="none" w:sz="0" w:space="0" w:color="auto"/>
                        <w:right w:val="none" w:sz="0" w:space="0" w:color="auto"/>
                      </w:divBdr>
                      <w:divsChild>
                        <w:div w:id="142155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2311679">
      <w:bodyDiv w:val="1"/>
      <w:marLeft w:val="0"/>
      <w:marRight w:val="0"/>
      <w:marTop w:val="0"/>
      <w:marBottom w:val="0"/>
      <w:divBdr>
        <w:top w:val="none" w:sz="0" w:space="0" w:color="auto"/>
        <w:left w:val="none" w:sz="0" w:space="0" w:color="auto"/>
        <w:bottom w:val="none" w:sz="0" w:space="0" w:color="auto"/>
        <w:right w:val="none" w:sz="0" w:space="0" w:color="auto"/>
      </w:divBdr>
      <w:divsChild>
        <w:div w:id="871265770">
          <w:marLeft w:val="0"/>
          <w:marRight w:val="0"/>
          <w:marTop w:val="0"/>
          <w:marBottom w:val="0"/>
          <w:divBdr>
            <w:top w:val="none" w:sz="0" w:space="0" w:color="auto"/>
            <w:left w:val="none" w:sz="0" w:space="0" w:color="auto"/>
            <w:bottom w:val="none" w:sz="0" w:space="0" w:color="auto"/>
            <w:right w:val="none" w:sz="0" w:space="0" w:color="auto"/>
          </w:divBdr>
          <w:divsChild>
            <w:div w:id="1188057015">
              <w:marLeft w:val="0"/>
              <w:marRight w:val="0"/>
              <w:marTop w:val="0"/>
              <w:marBottom w:val="0"/>
              <w:divBdr>
                <w:top w:val="none" w:sz="0" w:space="0" w:color="auto"/>
                <w:left w:val="none" w:sz="0" w:space="0" w:color="auto"/>
                <w:bottom w:val="none" w:sz="0" w:space="0" w:color="auto"/>
                <w:right w:val="none" w:sz="0" w:space="0" w:color="auto"/>
              </w:divBdr>
              <w:divsChild>
                <w:div w:id="2048412919">
                  <w:marLeft w:val="0"/>
                  <w:marRight w:val="0"/>
                  <w:marTop w:val="0"/>
                  <w:marBottom w:val="0"/>
                  <w:divBdr>
                    <w:top w:val="none" w:sz="0" w:space="0" w:color="auto"/>
                    <w:left w:val="none" w:sz="0" w:space="0" w:color="auto"/>
                    <w:bottom w:val="none" w:sz="0" w:space="0" w:color="auto"/>
                    <w:right w:val="none" w:sz="0" w:space="0" w:color="auto"/>
                  </w:divBdr>
                  <w:divsChild>
                    <w:div w:id="1737045172">
                      <w:marLeft w:val="0"/>
                      <w:marRight w:val="0"/>
                      <w:marTop w:val="0"/>
                      <w:marBottom w:val="0"/>
                      <w:divBdr>
                        <w:top w:val="none" w:sz="0" w:space="0" w:color="auto"/>
                        <w:left w:val="none" w:sz="0" w:space="0" w:color="auto"/>
                        <w:bottom w:val="none" w:sz="0" w:space="0" w:color="auto"/>
                        <w:right w:val="none" w:sz="0" w:space="0" w:color="auto"/>
                      </w:divBdr>
                      <w:divsChild>
                        <w:div w:id="383529239">
                          <w:marLeft w:val="0"/>
                          <w:marRight w:val="450"/>
                          <w:marTop w:val="0"/>
                          <w:marBottom w:val="0"/>
                          <w:divBdr>
                            <w:top w:val="none" w:sz="0" w:space="0" w:color="auto"/>
                            <w:left w:val="none" w:sz="0" w:space="0" w:color="auto"/>
                            <w:bottom w:val="none" w:sz="0" w:space="0" w:color="auto"/>
                            <w:right w:val="none" w:sz="0" w:space="0" w:color="auto"/>
                          </w:divBdr>
                          <w:divsChild>
                            <w:div w:id="2124424195">
                              <w:marLeft w:val="0"/>
                              <w:marRight w:val="0"/>
                              <w:marTop w:val="0"/>
                              <w:marBottom w:val="0"/>
                              <w:divBdr>
                                <w:top w:val="none" w:sz="0" w:space="0" w:color="auto"/>
                                <w:left w:val="none" w:sz="0" w:space="0" w:color="auto"/>
                                <w:bottom w:val="none" w:sz="0" w:space="0" w:color="auto"/>
                                <w:right w:val="none" w:sz="0" w:space="0" w:color="auto"/>
                              </w:divBdr>
                              <w:divsChild>
                                <w:div w:id="1834759665">
                                  <w:marLeft w:val="0"/>
                                  <w:marRight w:val="0"/>
                                  <w:marTop w:val="0"/>
                                  <w:marBottom w:val="0"/>
                                  <w:divBdr>
                                    <w:top w:val="none" w:sz="0" w:space="0" w:color="auto"/>
                                    <w:left w:val="none" w:sz="0" w:space="0" w:color="auto"/>
                                    <w:bottom w:val="none" w:sz="0" w:space="0" w:color="auto"/>
                                    <w:right w:val="none" w:sz="0" w:space="0" w:color="auto"/>
                                  </w:divBdr>
                                  <w:divsChild>
                                    <w:div w:id="1984657135">
                                      <w:marLeft w:val="0"/>
                                      <w:marRight w:val="0"/>
                                      <w:marTop w:val="0"/>
                                      <w:marBottom w:val="0"/>
                                      <w:divBdr>
                                        <w:top w:val="none" w:sz="0" w:space="0" w:color="auto"/>
                                        <w:left w:val="none" w:sz="0" w:space="0" w:color="auto"/>
                                        <w:bottom w:val="none" w:sz="0" w:space="0" w:color="auto"/>
                                        <w:right w:val="none" w:sz="0" w:space="0" w:color="auto"/>
                                      </w:divBdr>
                                      <w:divsChild>
                                        <w:div w:id="168336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6274636">
      <w:bodyDiv w:val="1"/>
      <w:marLeft w:val="0"/>
      <w:marRight w:val="0"/>
      <w:marTop w:val="0"/>
      <w:marBottom w:val="0"/>
      <w:divBdr>
        <w:top w:val="none" w:sz="0" w:space="0" w:color="auto"/>
        <w:left w:val="none" w:sz="0" w:space="0" w:color="auto"/>
        <w:bottom w:val="none" w:sz="0" w:space="0" w:color="auto"/>
        <w:right w:val="none" w:sz="0" w:space="0" w:color="auto"/>
      </w:divBdr>
      <w:divsChild>
        <w:div w:id="1352872742">
          <w:marLeft w:val="0"/>
          <w:marRight w:val="0"/>
          <w:marTop w:val="0"/>
          <w:marBottom w:val="0"/>
          <w:divBdr>
            <w:top w:val="none" w:sz="0" w:space="0" w:color="auto"/>
            <w:left w:val="none" w:sz="0" w:space="0" w:color="auto"/>
            <w:bottom w:val="none" w:sz="0" w:space="0" w:color="auto"/>
            <w:right w:val="none" w:sz="0" w:space="0" w:color="auto"/>
          </w:divBdr>
          <w:divsChild>
            <w:div w:id="2037609656">
              <w:marLeft w:val="-225"/>
              <w:marRight w:val="-225"/>
              <w:marTop w:val="0"/>
              <w:marBottom w:val="0"/>
              <w:divBdr>
                <w:top w:val="none" w:sz="0" w:space="0" w:color="auto"/>
                <w:left w:val="none" w:sz="0" w:space="0" w:color="auto"/>
                <w:bottom w:val="none" w:sz="0" w:space="0" w:color="auto"/>
                <w:right w:val="none" w:sz="0" w:space="0" w:color="auto"/>
              </w:divBdr>
              <w:divsChild>
                <w:div w:id="563564616">
                  <w:marLeft w:val="0"/>
                  <w:marRight w:val="0"/>
                  <w:marTop w:val="0"/>
                  <w:marBottom w:val="0"/>
                  <w:divBdr>
                    <w:top w:val="none" w:sz="0" w:space="0" w:color="auto"/>
                    <w:left w:val="none" w:sz="0" w:space="0" w:color="auto"/>
                    <w:bottom w:val="none" w:sz="0" w:space="0" w:color="auto"/>
                    <w:right w:val="none" w:sz="0" w:space="0" w:color="auto"/>
                  </w:divBdr>
                  <w:divsChild>
                    <w:div w:id="723455905">
                      <w:marLeft w:val="-225"/>
                      <w:marRight w:val="-225"/>
                      <w:marTop w:val="0"/>
                      <w:marBottom w:val="0"/>
                      <w:divBdr>
                        <w:top w:val="none" w:sz="0" w:space="0" w:color="auto"/>
                        <w:left w:val="none" w:sz="0" w:space="0" w:color="auto"/>
                        <w:bottom w:val="none" w:sz="0" w:space="0" w:color="auto"/>
                        <w:right w:val="none" w:sz="0" w:space="0" w:color="auto"/>
                      </w:divBdr>
                      <w:divsChild>
                        <w:div w:id="168305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355303">
      <w:bodyDiv w:val="1"/>
      <w:marLeft w:val="0"/>
      <w:marRight w:val="0"/>
      <w:marTop w:val="0"/>
      <w:marBottom w:val="0"/>
      <w:divBdr>
        <w:top w:val="none" w:sz="0" w:space="0" w:color="auto"/>
        <w:left w:val="none" w:sz="0" w:space="0" w:color="auto"/>
        <w:bottom w:val="none" w:sz="0" w:space="0" w:color="auto"/>
        <w:right w:val="none" w:sz="0" w:space="0" w:color="auto"/>
      </w:divBdr>
    </w:div>
    <w:div w:id="2061589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footer" Target="footer2.xml"/><Relationship Id="rId26" Type="http://schemas.openxmlformats.org/officeDocument/2006/relationships/image" Target="media/image7.jpeg"/><Relationship Id="rId39" Type="http://schemas.openxmlformats.org/officeDocument/2006/relationships/chart" Target="charts/chart10.xml"/><Relationship Id="rId21" Type="http://schemas.openxmlformats.org/officeDocument/2006/relationships/footer" Target="footer4.xml"/><Relationship Id="rId34" Type="http://schemas.openxmlformats.org/officeDocument/2006/relationships/image" Target="media/image9.png"/><Relationship Id="rId42" Type="http://schemas.openxmlformats.org/officeDocument/2006/relationships/hyperlink" Target="http://www.adcommission.gov.au/%20cases/Pages/ArchivedCases/ADC264.aspx" TargetMode="External"/><Relationship Id="rId47" Type="http://schemas.openxmlformats.org/officeDocument/2006/relationships/hyperlink" Target="http://www.resourceinfocus.com.au/mag/RIFAUMar2014/" TargetMode="External"/><Relationship Id="rId50" Type="http://schemas.openxmlformats.org/officeDocument/2006/relationships/chart" Target="charts/chart14.xml"/><Relationship Id="rId55" Type="http://schemas.openxmlformats.org/officeDocument/2006/relationships/hyperlink" Target="http://www.usitc.gov/investigations/701731/2015/%20certain_steel_grating_china/first_review_expedited.htm"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image" Target="media/image6.jpeg"/><Relationship Id="rId33" Type="http://schemas.openxmlformats.org/officeDocument/2006/relationships/chart" Target="charts/chart6.xml"/><Relationship Id="rId38" Type="http://schemas.openxmlformats.org/officeDocument/2006/relationships/chart" Target="charts/chart9.xml"/><Relationship Id="rId46" Type="http://schemas.openxmlformats.org/officeDocument/2006/relationships/hyperlink" Target="http://www.slsteel.com.au/"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chart" Target="charts/chart2.xml"/><Relationship Id="rId41" Type="http://schemas.openxmlformats.org/officeDocument/2006/relationships/chart" Target="charts/chart12.xml"/><Relationship Id="rId54" Type="http://schemas.openxmlformats.org/officeDocument/2006/relationships/hyperlink" Target="http://www.usitc.gov/investigations/701731/2010/%20certain_steel_grating_china/final.htm"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jpeg"/><Relationship Id="rId32" Type="http://schemas.openxmlformats.org/officeDocument/2006/relationships/chart" Target="charts/chart5.xml"/><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hyperlink" Target="http://www.adcommission.gov.au/measures/Pages/default.aspx" TargetMode="External"/><Relationship Id="rId53" Type="http://schemas.openxmlformats.org/officeDocument/2006/relationships/chart" Target="charts/chart16.xml"/><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4.jpeg"/><Relationship Id="rId28" Type="http://schemas.openxmlformats.org/officeDocument/2006/relationships/chart" Target="charts/chart1.xml"/><Relationship Id="rId36" Type="http://schemas.openxmlformats.org/officeDocument/2006/relationships/chart" Target="charts/chart7.xml"/><Relationship Id="rId49" Type="http://schemas.openxmlformats.org/officeDocument/2006/relationships/chart" Target="charts/chart13.xml"/><Relationship Id="rId57" Type="http://schemas.openxmlformats.org/officeDocument/2006/relationships/chart" Target="charts/chart18.xml"/><Relationship Id="rId10" Type="http://schemas.openxmlformats.org/officeDocument/2006/relationships/footnotes" Target="footnotes.xml"/><Relationship Id="rId19" Type="http://schemas.openxmlformats.org/officeDocument/2006/relationships/header" Target="header3.xml"/><Relationship Id="rId31" Type="http://schemas.openxmlformats.org/officeDocument/2006/relationships/chart" Target="charts/chart4.xml"/><Relationship Id="rId44" Type="http://schemas.openxmlformats.org/officeDocument/2006/relationships/hyperlink" Target="http://www.bestbar.com.au/" TargetMode="External"/><Relationship Id="rId52" Type="http://schemas.openxmlformats.org/officeDocument/2006/relationships/chart" Target="charts/chart1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3.jpeg"/><Relationship Id="rId27" Type="http://schemas.openxmlformats.org/officeDocument/2006/relationships/image" Target="media/image8.png"/><Relationship Id="rId30" Type="http://schemas.openxmlformats.org/officeDocument/2006/relationships/chart" Target="charts/chart3.xml"/><Relationship Id="rId35" Type="http://schemas.openxmlformats.org/officeDocument/2006/relationships/hyperlink" Target="https://www2.bis.com.au/im-major-transport-projects-feb17.html" TargetMode="External"/><Relationship Id="rId43" Type="http://schemas.openxmlformats.org/officeDocument/2006/relationships/hyperlink" Target="http://www.bdplaw.com/content/uploads/2016/12/BDP-Construction-Newsletter-Dec.-20161.pdf" TargetMode="External"/><Relationship Id="rId48" Type="http://schemas.openxmlformats.org/officeDocument/2006/relationships/hyperlink" Target="http://www.adcommission.gov.au" TargetMode="External"/><Relationship Id="rId56" Type="http://schemas.openxmlformats.org/officeDocument/2006/relationships/chart" Target="charts/chart17.xml"/><Relationship Id="rId8" Type="http://schemas.openxmlformats.org/officeDocument/2006/relationships/settings" Target="settings.xml"/><Relationship Id="rId51" Type="http://schemas.openxmlformats.org/officeDocument/2006/relationships/hyperlink" Target="http://www.cbsa-asfc.gc.ca/sima-lmsi/mif-mev-eng.html" TargetMode="Externa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www.wto.org/english/tratop_e/tpr_e/tpr_e.htm" TargetMode="External"/><Relationship Id="rId13" Type="http://schemas.openxmlformats.org/officeDocument/2006/relationships/hyperlink" Target="http://www.lysaght.com/product-applications/fencing" TargetMode="External"/><Relationship Id="rId18" Type="http://schemas.openxmlformats.org/officeDocument/2006/relationships/hyperlink" Target="http://www.oecd.org/sti/ind/82nd-session-of-the-steel-committee.htm" TargetMode="External"/><Relationship Id="rId26" Type="http://schemas.openxmlformats.org/officeDocument/2006/relationships/hyperlink" Target="http://www.adcommission.gov.au/cases/Pages/CurrentCases/EPR-370.aspx" TargetMode="External"/><Relationship Id="rId39" Type="http://schemas.openxmlformats.org/officeDocument/2006/relationships/hyperlink" Target="http://nla.gov.au/nla.arc-141581" TargetMode="External"/><Relationship Id="rId3" Type="http://schemas.openxmlformats.org/officeDocument/2006/relationships/hyperlink" Target="http://www.adcommission.gov.au/adsystem/Pages/ITRF.aspx" TargetMode="External"/><Relationship Id="rId21" Type="http://schemas.openxmlformats.org/officeDocument/2006/relationships/hyperlink" Target="http://www.oecd.org/sti/ind/Background%20document%20No%203_FINAL_Meeting.pdf" TargetMode="External"/><Relationship Id="rId34" Type="http://schemas.openxmlformats.org/officeDocument/2006/relationships/hyperlink" Target="http://trade.ec.europa.eu/doclib/press/index.cfm?id=1579&amp;title=%20The-EU-imposes-provisional-anti-dumping-duties-on-steel-and-iron-products-from-China" TargetMode="External"/><Relationship Id="rId7" Type="http://schemas.openxmlformats.org/officeDocument/2006/relationships/hyperlink" Target="http://www.wto.org/english/news_e/news17_e/anti_10may17_e.htm" TargetMode="External"/><Relationship Id="rId12" Type="http://schemas.openxmlformats.org/officeDocument/2006/relationships/hyperlink" Target="http://www.lysaght.com/product-applications/guttering-fascia-rainwater-goods" TargetMode="External"/><Relationship Id="rId17" Type="http://schemas.openxmlformats.org/officeDocument/2006/relationships/hyperlink" Target="https://docs.wto.org/dol2fe/Pages/FE_Search/FE_S_S009-DP.aspx?language=E&amp;CatalogueIdList=235695&amp;CurrentCatalogueIdIndex=0&amp;FullTextHash=371857150&amp;HasEnglishRecord=True&amp;HasFrenchRecord=True&amp;HasSpanishRecord=True" TargetMode="External"/><Relationship Id="rId25" Type="http://schemas.openxmlformats.org/officeDocument/2006/relationships/hyperlink" Target="http://www.industry.gov.au/Office-of-the-Chief-Economist/Publications/ResourcesandEnergyQuarterlySeptember2017/documents/Resources-and-Energy-Quarterly-September-2017.pdf" TargetMode="External"/><Relationship Id="rId33" Type="http://schemas.openxmlformats.org/officeDocument/2006/relationships/hyperlink" Target="http://trade.ec.europa.eu/doclib/docs/2017/january/tradoc_155243.pdf" TargetMode="External"/><Relationship Id="rId38" Type="http://schemas.openxmlformats.org/officeDocument/2006/relationships/hyperlink" Target="http://ec.europa.eu/eurostat/statistics-explained/index.php/Archive:Manufacture_of_fabricated_metal_products_statistics_-_NACE_Rev._2" TargetMode="External"/><Relationship Id="rId2" Type="http://schemas.openxmlformats.org/officeDocument/2006/relationships/hyperlink" Target="http://www.adcommission.gov.au/adsystem/Pages/ITRF.aspx" TargetMode="External"/><Relationship Id="rId16" Type="http://schemas.openxmlformats.org/officeDocument/2006/relationships/hyperlink" Target="http://www.industry.gov.au/Office-of-the-Chief-Economist/Publications/ResourcesandEnergyQuarterlySeptember2017/documents/Resources-and-Energy-Quarterly-September-2017.pdf" TargetMode="External"/><Relationship Id="rId20" Type="http://schemas.openxmlformats.org/officeDocument/2006/relationships/hyperlink" Target="http://www.g20.org/Content/EN/_Anlagen/G20/G20-leaders-declaration.pdf?__blob=publicationFile&amp;v=10" TargetMode="External"/><Relationship Id="rId29" Type="http://schemas.openxmlformats.org/officeDocument/2006/relationships/hyperlink" Target="http://www.wto.org/english/news_e/news17_e/anti_10may17_e.htm" TargetMode="External"/><Relationship Id="rId1" Type="http://schemas.openxmlformats.org/officeDocument/2006/relationships/hyperlink" Target="http://www.adcommission.gov.au/adsystem/referencematerial/Pages/default.aspx" TargetMode="External"/><Relationship Id="rId6" Type="http://schemas.openxmlformats.org/officeDocument/2006/relationships/hyperlink" Target="http://www.g20.org/Content/EN/_Anlagen/G20/G20-leaders-declaration.pdf?__blob=publicationFile&amp;v=10" TargetMode="External"/><Relationship Id="rId11" Type="http://schemas.openxmlformats.org/officeDocument/2006/relationships/hyperlink" Target="https://prod.bluescope.com/about-us/our-business/bluescope-buildings/" TargetMode="External"/><Relationship Id="rId24" Type="http://schemas.openxmlformats.org/officeDocument/2006/relationships/hyperlink" Target="http://www.g20.org/gipfeldokumente/G20-leaders-declaration.pdf" TargetMode="External"/><Relationship Id="rId32" Type="http://schemas.openxmlformats.org/officeDocument/2006/relationships/hyperlink" Target="http://enforcement.trade.gov/stats/inv-initiations-2000-current.html" TargetMode="External"/><Relationship Id="rId37" Type="http://schemas.openxmlformats.org/officeDocument/2006/relationships/hyperlink" Target="http://www.aph.gov.au/Parliamentary_Business/Committees/%20Senate/Economics/Australias_Steel_Industry/Submissions" TargetMode="External"/><Relationship Id="rId5" Type="http://schemas.openxmlformats.org/officeDocument/2006/relationships/hyperlink" Target="http://www.oecd.org/sti/ind/82-oecd-steel-chair-statement.htm" TargetMode="External"/><Relationship Id="rId15" Type="http://schemas.openxmlformats.org/officeDocument/2006/relationships/hyperlink" Target="http://www.onesteelmetalcentre.com/industries/fabrication" TargetMode="External"/><Relationship Id="rId23" Type="http://schemas.openxmlformats.org/officeDocument/2006/relationships/hyperlink" Target="http://www.oecd.org/sti/ind/82-oecd-steel-chair-statement.htm" TargetMode="External"/><Relationship Id="rId28" Type="http://schemas.openxmlformats.org/officeDocument/2006/relationships/hyperlink" Target="http://www.adcommission.gov.au/adsystem/Pages/default.aspx" TargetMode="External"/><Relationship Id="rId36" Type="http://schemas.openxmlformats.org/officeDocument/2006/relationships/hyperlink" Target="http://www.adcommission.gov.au/cases/Pages/CurrentCases/ADC-401.aspx" TargetMode="External"/><Relationship Id="rId10" Type="http://schemas.openxmlformats.org/officeDocument/2006/relationships/hyperlink" Target="http://www.industry.gov.au/Office-of-the-Chief-Economist/Publications/%20ResourcesandEnergyQuarterlyJune2017/documents/Resources-and-Energy-Quarterly-June-2017.pdf" TargetMode="External"/><Relationship Id="rId19" Type="http://schemas.openxmlformats.org/officeDocument/2006/relationships/hyperlink" Target="http://www.oecd.org/sti/ind/82-oecd-steel-chair-statement.htm" TargetMode="External"/><Relationship Id="rId31" Type="http://schemas.openxmlformats.org/officeDocument/2006/relationships/hyperlink" Target="http://www.wto.org/english/news_e/news17_e/trdev_24jul17_e.htm" TargetMode="External"/><Relationship Id="rId4" Type="http://schemas.openxmlformats.org/officeDocument/2006/relationships/hyperlink" Target="http://www.oecd.org/sti/ind/82nd-session-of-the-steel-committee.htm" TargetMode="External"/><Relationship Id="rId9" Type="http://schemas.openxmlformats.org/officeDocument/2006/relationships/hyperlink" Target="http://www.wto.org/english/news_e/news17_e/trdev_24jul17_e.htm" TargetMode="External"/><Relationship Id="rId14" Type="http://schemas.openxmlformats.org/officeDocument/2006/relationships/hyperlink" Target="http://www.ranbuild.com.au/" TargetMode="External"/><Relationship Id="rId22" Type="http://schemas.openxmlformats.org/officeDocument/2006/relationships/hyperlink" Target="http://www.oecd.org/sti/ind/82nd-session-of-the-steel-committee.htm" TargetMode="External"/><Relationship Id="rId27" Type="http://schemas.openxmlformats.org/officeDocument/2006/relationships/hyperlink" Target="http://www.adcommission.gov.au/measures/Pages/default.aspx" TargetMode="External"/><Relationship Id="rId30" Type="http://schemas.openxmlformats.org/officeDocument/2006/relationships/hyperlink" Target="http://www.wto.org/english/tratop_e/tpr_e/tpr_e.htm" TargetMode="External"/><Relationship Id="rId35" Type="http://schemas.openxmlformats.org/officeDocument/2006/relationships/hyperlink" Target="http://adcommission.gov.au/cases/Pages/CurrentCases/EPR-355.asp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3.xml"/><Relationship Id="rId1" Type="http://schemas.microsoft.com/office/2011/relationships/chartStyle" Target="style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4.xml"/><Relationship Id="rId1" Type="http://schemas.microsoft.com/office/2011/relationships/chartStyle" Target="style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5.xml"/><Relationship Id="rId1" Type="http://schemas.microsoft.com/office/2011/relationships/chartStyle" Target="style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6.xml"/><Relationship Id="rId1" Type="http://schemas.microsoft.com/office/2011/relationships/chartStyle" Target="style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7.xml"/><Relationship Id="rId1" Type="http://schemas.microsoft.com/office/2011/relationships/chartStyle" Target="style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8.xml"/><Relationship Id="rId1" Type="http://schemas.microsoft.com/office/2011/relationships/chartStyle" Target="style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'GVA chart'!$B$1</c:f>
              <c:strCache>
                <c:ptCount val="1"/>
                <c:pt idx="0">
                  <c:v>Manufacturing</c:v>
                </c:pt>
              </c:strCache>
            </c:strRef>
          </c:tx>
          <c:spPr>
            <a:ln>
              <a:solidFill>
                <a:srgbClr val="292B67"/>
              </a:solidFill>
            </a:ln>
          </c:spPr>
          <c:marker>
            <c:symbol val="none"/>
          </c:marker>
          <c:cat>
            <c:numRef>
              <c:f>'GVA chart'!$A$8:$A$18</c:f>
              <c:numCache>
                <c:formatCode>mmm\-yyyy</c:formatCode>
                <c:ptCount val="11"/>
                <c:pt idx="0">
                  <c:v>38869</c:v>
                </c:pt>
                <c:pt idx="1">
                  <c:v>39234</c:v>
                </c:pt>
                <c:pt idx="2">
                  <c:v>39600</c:v>
                </c:pt>
                <c:pt idx="3">
                  <c:v>39965</c:v>
                </c:pt>
                <c:pt idx="4">
                  <c:v>40330</c:v>
                </c:pt>
                <c:pt idx="5">
                  <c:v>40695</c:v>
                </c:pt>
                <c:pt idx="6">
                  <c:v>41061</c:v>
                </c:pt>
                <c:pt idx="7">
                  <c:v>41426</c:v>
                </c:pt>
                <c:pt idx="8">
                  <c:v>41791</c:v>
                </c:pt>
                <c:pt idx="9">
                  <c:v>42156</c:v>
                </c:pt>
                <c:pt idx="10">
                  <c:v>42522</c:v>
                </c:pt>
              </c:numCache>
            </c:numRef>
          </c:cat>
          <c:val>
            <c:numRef>
              <c:f>'GVA chart'!$B$8:$B$18</c:f>
              <c:numCache>
                <c:formatCode>General</c:formatCode>
                <c:ptCount val="11"/>
                <c:pt idx="0">
                  <c:v>107.15900000000001</c:v>
                </c:pt>
                <c:pt idx="1">
                  <c:v>109.33199999999999</c:v>
                </c:pt>
                <c:pt idx="2">
                  <c:v>113.6</c:v>
                </c:pt>
                <c:pt idx="3">
                  <c:v>107.756</c:v>
                </c:pt>
                <c:pt idx="4">
                  <c:v>108.29900000000001</c:v>
                </c:pt>
                <c:pt idx="5">
                  <c:v>108.134</c:v>
                </c:pt>
                <c:pt idx="6">
                  <c:v>108.84699999999999</c:v>
                </c:pt>
                <c:pt idx="7">
                  <c:v>105.25</c:v>
                </c:pt>
                <c:pt idx="8">
                  <c:v>103.72199999999999</c:v>
                </c:pt>
                <c:pt idx="9">
                  <c:v>102.151</c:v>
                </c:pt>
                <c:pt idx="10">
                  <c:v>99.438999999999993</c:v>
                </c:pt>
              </c:numCache>
            </c:numRef>
          </c:val>
          <c:smooth val="0"/>
        </c:ser>
        <c:ser>
          <c:idx val="1"/>
          <c:order val="1"/>
          <c:tx>
            <c:strRef>
              <c:f>'GVA chart'!$C$1</c:f>
              <c:strCache>
                <c:ptCount val="1"/>
                <c:pt idx="0">
                  <c:v>Construction</c:v>
                </c:pt>
              </c:strCache>
            </c:strRef>
          </c:tx>
          <c:spPr>
            <a:ln>
              <a:solidFill>
                <a:srgbClr val="9ED9DF"/>
              </a:solidFill>
            </a:ln>
          </c:spPr>
          <c:marker>
            <c:symbol val="none"/>
          </c:marker>
          <c:cat>
            <c:numRef>
              <c:f>'GVA chart'!$A$8:$A$18</c:f>
              <c:numCache>
                <c:formatCode>mmm\-yyyy</c:formatCode>
                <c:ptCount val="11"/>
                <c:pt idx="0">
                  <c:v>38869</c:v>
                </c:pt>
                <c:pt idx="1">
                  <c:v>39234</c:v>
                </c:pt>
                <c:pt idx="2">
                  <c:v>39600</c:v>
                </c:pt>
                <c:pt idx="3">
                  <c:v>39965</c:v>
                </c:pt>
                <c:pt idx="4">
                  <c:v>40330</c:v>
                </c:pt>
                <c:pt idx="5">
                  <c:v>40695</c:v>
                </c:pt>
                <c:pt idx="6">
                  <c:v>41061</c:v>
                </c:pt>
                <c:pt idx="7">
                  <c:v>41426</c:v>
                </c:pt>
                <c:pt idx="8">
                  <c:v>41791</c:v>
                </c:pt>
                <c:pt idx="9">
                  <c:v>42156</c:v>
                </c:pt>
                <c:pt idx="10">
                  <c:v>42522</c:v>
                </c:pt>
              </c:numCache>
            </c:numRef>
          </c:cat>
          <c:val>
            <c:numRef>
              <c:f>'GVA chart'!$C$8:$C$18</c:f>
              <c:numCache>
                <c:formatCode>General</c:formatCode>
                <c:ptCount val="11"/>
                <c:pt idx="0">
                  <c:v>92.108999999999995</c:v>
                </c:pt>
                <c:pt idx="1">
                  <c:v>97.305999999999997</c:v>
                </c:pt>
                <c:pt idx="2">
                  <c:v>104.15900000000001</c:v>
                </c:pt>
                <c:pt idx="3">
                  <c:v>108.46599999999999</c:v>
                </c:pt>
                <c:pt idx="4">
                  <c:v>109.101</c:v>
                </c:pt>
                <c:pt idx="5">
                  <c:v>112.247</c:v>
                </c:pt>
                <c:pt idx="6">
                  <c:v>123.717</c:v>
                </c:pt>
                <c:pt idx="7">
                  <c:v>127.155</c:v>
                </c:pt>
                <c:pt idx="8">
                  <c:v>132.92500000000001</c:v>
                </c:pt>
                <c:pt idx="9">
                  <c:v>130.58500000000001</c:v>
                </c:pt>
                <c:pt idx="10">
                  <c:v>134.18199999999999</c:v>
                </c:pt>
              </c:numCache>
            </c:numRef>
          </c:val>
          <c:smooth val="0"/>
        </c:ser>
        <c:ser>
          <c:idx val="2"/>
          <c:order val="2"/>
          <c:tx>
            <c:strRef>
              <c:f>'GVA chart'!$D$1</c:f>
              <c:strCache>
                <c:ptCount val="1"/>
                <c:pt idx="0">
                  <c:v>Mining</c:v>
                </c:pt>
              </c:strCache>
            </c:strRef>
          </c:tx>
          <c:spPr>
            <a:ln>
              <a:solidFill>
                <a:srgbClr val="22789A"/>
              </a:solidFill>
              <a:prstDash val="dash"/>
            </a:ln>
          </c:spPr>
          <c:marker>
            <c:symbol val="none"/>
          </c:marker>
          <c:cat>
            <c:numRef>
              <c:f>'GVA chart'!$A$8:$A$18</c:f>
              <c:numCache>
                <c:formatCode>mmm\-yyyy</c:formatCode>
                <c:ptCount val="11"/>
                <c:pt idx="0">
                  <c:v>38869</c:v>
                </c:pt>
                <c:pt idx="1">
                  <c:v>39234</c:v>
                </c:pt>
                <c:pt idx="2">
                  <c:v>39600</c:v>
                </c:pt>
                <c:pt idx="3">
                  <c:v>39965</c:v>
                </c:pt>
                <c:pt idx="4">
                  <c:v>40330</c:v>
                </c:pt>
                <c:pt idx="5">
                  <c:v>40695</c:v>
                </c:pt>
                <c:pt idx="6">
                  <c:v>41061</c:v>
                </c:pt>
                <c:pt idx="7">
                  <c:v>41426</c:v>
                </c:pt>
                <c:pt idx="8">
                  <c:v>41791</c:v>
                </c:pt>
                <c:pt idx="9">
                  <c:v>42156</c:v>
                </c:pt>
                <c:pt idx="10">
                  <c:v>42522</c:v>
                </c:pt>
              </c:numCache>
            </c:numRef>
          </c:cat>
          <c:val>
            <c:numRef>
              <c:f>'GVA chart'!$D$8:$D$18</c:f>
              <c:numCache>
                <c:formatCode>General</c:formatCode>
                <c:ptCount val="11"/>
                <c:pt idx="0">
                  <c:v>61.029000000000003</c:v>
                </c:pt>
                <c:pt idx="1">
                  <c:v>66.643000000000001</c:v>
                </c:pt>
                <c:pt idx="2">
                  <c:v>68.412000000000006</c:v>
                </c:pt>
                <c:pt idx="3">
                  <c:v>70.653000000000006</c:v>
                </c:pt>
                <c:pt idx="4">
                  <c:v>76.224999999999994</c:v>
                </c:pt>
                <c:pt idx="5">
                  <c:v>77.876999999999995</c:v>
                </c:pt>
                <c:pt idx="6">
                  <c:v>83.741</c:v>
                </c:pt>
                <c:pt idx="7">
                  <c:v>91.546999999999997</c:v>
                </c:pt>
                <c:pt idx="8">
                  <c:v>100.425</c:v>
                </c:pt>
                <c:pt idx="9">
                  <c:v>108.178</c:v>
                </c:pt>
                <c:pt idx="10">
                  <c:v>114.896</c:v>
                </c:pt>
              </c:numCache>
            </c:numRef>
          </c:val>
          <c:smooth val="0"/>
        </c:ser>
        <c:dLbls>
          <c:showLegendKey val="0"/>
          <c:showVal val="0"/>
          <c:showCatName val="0"/>
          <c:showSerName val="0"/>
          <c:showPercent val="0"/>
          <c:showBubbleSize val="0"/>
        </c:dLbls>
        <c:smooth val="0"/>
        <c:axId val="473305624"/>
        <c:axId val="122061616"/>
      </c:lineChart>
      <c:dateAx>
        <c:axId val="473305624"/>
        <c:scaling>
          <c:orientation val="minMax"/>
        </c:scaling>
        <c:delete val="0"/>
        <c:axPos val="b"/>
        <c:numFmt formatCode="yyyy" sourceLinked="0"/>
        <c:majorTickMark val="none"/>
        <c:minorTickMark val="none"/>
        <c:tickLblPos val="nextTo"/>
        <c:crossAx val="122061616"/>
        <c:crosses val="autoZero"/>
        <c:auto val="1"/>
        <c:lblOffset val="100"/>
        <c:baseTimeUnit val="years"/>
        <c:majorUnit val="2"/>
      </c:dateAx>
      <c:valAx>
        <c:axId val="122061616"/>
        <c:scaling>
          <c:orientation val="minMax"/>
        </c:scaling>
        <c:delete val="0"/>
        <c:axPos val="l"/>
        <c:title>
          <c:tx>
            <c:rich>
              <a:bodyPr rot="-5400000" vert="horz"/>
              <a:lstStyle/>
              <a:p>
                <a:pPr>
                  <a:defRPr/>
                </a:pPr>
                <a:r>
                  <a:rPr lang="en-AU" b="0"/>
                  <a:t>Industry Value Add ($b)</a:t>
                </a:r>
              </a:p>
            </c:rich>
          </c:tx>
          <c:layout/>
          <c:overlay val="0"/>
        </c:title>
        <c:numFmt formatCode="#,##0" sourceLinked="0"/>
        <c:majorTickMark val="none"/>
        <c:minorTickMark val="none"/>
        <c:tickLblPos val="nextTo"/>
        <c:crossAx val="473305624"/>
        <c:crosses val="autoZero"/>
        <c:crossBetween val="midCat"/>
        <c:majorUnit val="50"/>
      </c:valAx>
    </c:plotArea>
    <c:legend>
      <c:legendPos val="b"/>
      <c:layout/>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73762254673788"/>
          <c:y val="5.1286128209474931E-2"/>
          <c:w val="0.84053425925925929"/>
          <c:h val="0.72283938466025077"/>
        </c:manualLayout>
      </c:layout>
      <c:barChart>
        <c:barDir val="col"/>
        <c:grouping val="clustered"/>
        <c:varyColors val="0"/>
        <c:ser>
          <c:idx val="0"/>
          <c:order val="0"/>
          <c:tx>
            <c:strRef>
              <c:f>Sheet1!$B$1</c:f>
              <c:strCache>
                <c:ptCount val="1"/>
                <c:pt idx="0">
                  <c:v>China crude steel production (Mt)</c:v>
                </c:pt>
              </c:strCache>
            </c:strRef>
          </c:tx>
          <c:invertIfNegative val="0"/>
          <c:cat>
            <c:numRef>
              <c:f>Sheet1!$A$2:$A$211</c:f>
              <c:numCache>
                <c:formatCode>mmm\-yy</c:formatCode>
                <c:ptCount val="210"/>
                <c:pt idx="0">
                  <c:v>36526</c:v>
                </c:pt>
                <c:pt idx="1">
                  <c:v>36557</c:v>
                </c:pt>
                <c:pt idx="2">
                  <c:v>36586</c:v>
                </c:pt>
                <c:pt idx="3">
                  <c:v>36617</c:v>
                </c:pt>
                <c:pt idx="4">
                  <c:v>36647</c:v>
                </c:pt>
                <c:pt idx="5">
                  <c:v>36678</c:v>
                </c:pt>
                <c:pt idx="6">
                  <c:v>36708</c:v>
                </c:pt>
                <c:pt idx="7">
                  <c:v>36739</c:v>
                </c:pt>
                <c:pt idx="8">
                  <c:v>36770</c:v>
                </c:pt>
                <c:pt idx="9">
                  <c:v>36800</c:v>
                </c:pt>
                <c:pt idx="10">
                  <c:v>36831</c:v>
                </c:pt>
                <c:pt idx="11">
                  <c:v>36861</c:v>
                </c:pt>
                <c:pt idx="12">
                  <c:v>36892</c:v>
                </c:pt>
                <c:pt idx="13">
                  <c:v>36923</c:v>
                </c:pt>
                <c:pt idx="14">
                  <c:v>36951</c:v>
                </c:pt>
                <c:pt idx="15">
                  <c:v>36982</c:v>
                </c:pt>
                <c:pt idx="16">
                  <c:v>37012</c:v>
                </c:pt>
                <c:pt idx="17">
                  <c:v>37043</c:v>
                </c:pt>
                <c:pt idx="18">
                  <c:v>37073</c:v>
                </c:pt>
                <c:pt idx="19">
                  <c:v>37104</c:v>
                </c:pt>
                <c:pt idx="20">
                  <c:v>37135</c:v>
                </c:pt>
                <c:pt idx="21">
                  <c:v>37165</c:v>
                </c:pt>
                <c:pt idx="22">
                  <c:v>37196</c:v>
                </c:pt>
                <c:pt idx="23">
                  <c:v>37226</c:v>
                </c:pt>
                <c:pt idx="24">
                  <c:v>37257</c:v>
                </c:pt>
                <c:pt idx="25">
                  <c:v>37288</c:v>
                </c:pt>
                <c:pt idx="26">
                  <c:v>37316</c:v>
                </c:pt>
                <c:pt idx="27">
                  <c:v>37347</c:v>
                </c:pt>
                <c:pt idx="28">
                  <c:v>37377</c:v>
                </c:pt>
                <c:pt idx="29">
                  <c:v>37408</c:v>
                </c:pt>
                <c:pt idx="30">
                  <c:v>37438</c:v>
                </c:pt>
                <c:pt idx="31">
                  <c:v>37469</c:v>
                </c:pt>
                <c:pt idx="32">
                  <c:v>37500</c:v>
                </c:pt>
                <c:pt idx="33">
                  <c:v>37530</c:v>
                </c:pt>
                <c:pt idx="34">
                  <c:v>37561</c:v>
                </c:pt>
                <c:pt idx="35">
                  <c:v>37591</c:v>
                </c:pt>
                <c:pt idx="36">
                  <c:v>37622</c:v>
                </c:pt>
                <c:pt idx="37">
                  <c:v>37653</c:v>
                </c:pt>
                <c:pt idx="38">
                  <c:v>37681</c:v>
                </c:pt>
                <c:pt idx="39">
                  <c:v>37712</c:v>
                </c:pt>
                <c:pt idx="40">
                  <c:v>37742</c:v>
                </c:pt>
                <c:pt idx="41">
                  <c:v>37773</c:v>
                </c:pt>
                <c:pt idx="42">
                  <c:v>37803</c:v>
                </c:pt>
                <c:pt idx="43">
                  <c:v>37834</c:v>
                </c:pt>
                <c:pt idx="44">
                  <c:v>37865</c:v>
                </c:pt>
                <c:pt idx="45">
                  <c:v>37895</c:v>
                </c:pt>
                <c:pt idx="46">
                  <c:v>37926</c:v>
                </c:pt>
                <c:pt idx="47">
                  <c:v>37956</c:v>
                </c:pt>
                <c:pt idx="48">
                  <c:v>37987</c:v>
                </c:pt>
                <c:pt idx="49">
                  <c:v>38018</c:v>
                </c:pt>
                <c:pt idx="50">
                  <c:v>38047</c:v>
                </c:pt>
                <c:pt idx="51">
                  <c:v>38078</c:v>
                </c:pt>
                <c:pt idx="52">
                  <c:v>38108</c:v>
                </c:pt>
                <c:pt idx="53">
                  <c:v>38139</c:v>
                </c:pt>
                <c:pt idx="54">
                  <c:v>38169</c:v>
                </c:pt>
                <c:pt idx="55">
                  <c:v>38200</c:v>
                </c:pt>
                <c:pt idx="56">
                  <c:v>38231</c:v>
                </c:pt>
                <c:pt idx="57">
                  <c:v>38261</c:v>
                </c:pt>
                <c:pt idx="58">
                  <c:v>38292</c:v>
                </c:pt>
                <c:pt idx="59">
                  <c:v>38322</c:v>
                </c:pt>
                <c:pt idx="60">
                  <c:v>38353</c:v>
                </c:pt>
                <c:pt idx="61">
                  <c:v>38384</c:v>
                </c:pt>
                <c:pt idx="62">
                  <c:v>38412</c:v>
                </c:pt>
                <c:pt idx="63">
                  <c:v>38443</c:v>
                </c:pt>
                <c:pt idx="64">
                  <c:v>38473</c:v>
                </c:pt>
                <c:pt idx="65">
                  <c:v>38504</c:v>
                </c:pt>
                <c:pt idx="66">
                  <c:v>38534</c:v>
                </c:pt>
                <c:pt idx="67">
                  <c:v>38565</c:v>
                </c:pt>
                <c:pt idx="68">
                  <c:v>38596</c:v>
                </c:pt>
                <c:pt idx="69">
                  <c:v>38626</c:v>
                </c:pt>
                <c:pt idx="70">
                  <c:v>38657</c:v>
                </c:pt>
                <c:pt idx="71">
                  <c:v>38687</c:v>
                </c:pt>
                <c:pt idx="72">
                  <c:v>38718</c:v>
                </c:pt>
                <c:pt idx="73">
                  <c:v>38749</c:v>
                </c:pt>
                <c:pt idx="74">
                  <c:v>38777</c:v>
                </c:pt>
                <c:pt idx="75">
                  <c:v>38808</c:v>
                </c:pt>
                <c:pt idx="76">
                  <c:v>38838</c:v>
                </c:pt>
                <c:pt idx="77">
                  <c:v>38869</c:v>
                </c:pt>
                <c:pt idx="78">
                  <c:v>38899</c:v>
                </c:pt>
                <c:pt idx="79">
                  <c:v>38930</c:v>
                </c:pt>
                <c:pt idx="80">
                  <c:v>38961</c:v>
                </c:pt>
                <c:pt idx="81">
                  <c:v>38991</c:v>
                </c:pt>
                <c:pt idx="82">
                  <c:v>39022</c:v>
                </c:pt>
                <c:pt idx="83">
                  <c:v>39052</c:v>
                </c:pt>
                <c:pt idx="84">
                  <c:v>39083</c:v>
                </c:pt>
                <c:pt idx="85">
                  <c:v>39114</c:v>
                </c:pt>
                <c:pt idx="86">
                  <c:v>39142</c:v>
                </c:pt>
                <c:pt idx="87">
                  <c:v>39173</c:v>
                </c:pt>
                <c:pt idx="88">
                  <c:v>39203</c:v>
                </c:pt>
                <c:pt idx="89">
                  <c:v>39234</c:v>
                </c:pt>
                <c:pt idx="90">
                  <c:v>39264</c:v>
                </c:pt>
                <c:pt idx="91">
                  <c:v>39295</c:v>
                </c:pt>
                <c:pt idx="92">
                  <c:v>39326</c:v>
                </c:pt>
                <c:pt idx="93">
                  <c:v>39356</c:v>
                </c:pt>
                <c:pt idx="94">
                  <c:v>39387</c:v>
                </c:pt>
                <c:pt idx="95">
                  <c:v>39417</c:v>
                </c:pt>
                <c:pt idx="96">
                  <c:v>39448</c:v>
                </c:pt>
                <c:pt idx="97">
                  <c:v>39479</c:v>
                </c:pt>
                <c:pt idx="98">
                  <c:v>39508</c:v>
                </c:pt>
                <c:pt idx="99">
                  <c:v>39539</c:v>
                </c:pt>
                <c:pt idx="100">
                  <c:v>39569</c:v>
                </c:pt>
                <c:pt idx="101">
                  <c:v>39600</c:v>
                </c:pt>
                <c:pt idx="102">
                  <c:v>39630</c:v>
                </c:pt>
                <c:pt idx="103">
                  <c:v>39661</c:v>
                </c:pt>
                <c:pt idx="104">
                  <c:v>39692</c:v>
                </c:pt>
                <c:pt idx="105">
                  <c:v>39722</c:v>
                </c:pt>
                <c:pt idx="106">
                  <c:v>39753</c:v>
                </c:pt>
                <c:pt idx="107">
                  <c:v>39783</c:v>
                </c:pt>
                <c:pt idx="108">
                  <c:v>39814</c:v>
                </c:pt>
                <c:pt idx="109">
                  <c:v>39845</c:v>
                </c:pt>
                <c:pt idx="110">
                  <c:v>39873</c:v>
                </c:pt>
                <c:pt idx="111">
                  <c:v>39904</c:v>
                </c:pt>
                <c:pt idx="112">
                  <c:v>39934</c:v>
                </c:pt>
                <c:pt idx="113">
                  <c:v>39965</c:v>
                </c:pt>
                <c:pt idx="114">
                  <c:v>39995</c:v>
                </c:pt>
                <c:pt idx="115">
                  <c:v>40026</c:v>
                </c:pt>
                <c:pt idx="116">
                  <c:v>40057</c:v>
                </c:pt>
                <c:pt idx="117">
                  <c:v>40087</c:v>
                </c:pt>
                <c:pt idx="118">
                  <c:v>40118</c:v>
                </c:pt>
                <c:pt idx="119">
                  <c:v>40148</c:v>
                </c:pt>
                <c:pt idx="120">
                  <c:v>40179</c:v>
                </c:pt>
                <c:pt idx="121">
                  <c:v>40210</c:v>
                </c:pt>
                <c:pt idx="122">
                  <c:v>40238</c:v>
                </c:pt>
                <c:pt idx="123">
                  <c:v>40269</c:v>
                </c:pt>
                <c:pt idx="124">
                  <c:v>40299</c:v>
                </c:pt>
                <c:pt idx="125">
                  <c:v>40330</c:v>
                </c:pt>
                <c:pt idx="126">
                  <c:v>40360</c:v>
                </c:pt>
                <c:pt idx="127">
                  <c:v>40391</c:v>
                </c:pt>
                <c:pt idx="128">
                  <c:v>40422</c:v>
                </c:pt>
                <c:pt idx="129">
                  <c:v>40452</c:v>
                </c:pt>
                <c:pt idx="130">
                  <c:v>40483</c:v>
                </c:pt>
                <c:pt idx="131">
                  <c:v>40513</c:v>
                </c:pt>
                <c:pt idx="132">
                  <c:v>40544</c:v>
                </c:pt>
                <c:pt idx="133">
                  <c:v>40575</c:v>
                </c:pt>
                <c:pt idx="134">
                  <c:v>40603</c:v>
                </c:pt>
                <c:pt idx="135">
                  <c:v>40634</c:v>
                </c:pt>
                <c:pt idx="136">
                  <c:v>40664</c:v>
                </c:pt>
                <c:pt idx="137">
                  <c:v>40695</c:v>
                </c:pt>
                <c:pt idx="138">
                  <c:v>40725</c:v>
                </c:pt>
                <c:pt idx="139">
                  <c:v>40756</c:v>
                </c:pt>
                <c:pt idx="140">
                  <c:v>40787</c:v>
                </c:pt>
                <c:pt idx="141">
                  <c:v>40817</c:v>
                </c:pt>
                <c:pt idx="142">
                  <c:v>40848</c:v>
                </c:pt>
                <c:pt idx="143">
                  <c:v>40878</c:v>
                </c:pt>
                <c:pt idx="144">
                  <c:v>40909</c:v>
                </c:pt>
                <c:pt idx="145">
                  <c:v>40940</c:v>
                </c:pt>
                <c:pt idx="146">
                  <c:v>40969</c:v>
                </c:pt>
                <c:pt idx="147">
                  <c:v>41000</c:v>
                </c:pt>
                <c:pt idx="148">
                  <c:v>41030</c:v>
                </c:pt>
                <c:pt idx="149">
                  <c:v>41061</c:v>
                </c:pt>
                <c:pt idx="150">
                  <c:v>41091</c:v>
                </c:pt>
                <c:pt idx="151">
                  <c:v>41122</c:v>
                </c:pt>
                <c:pt idx="152">
                  <c:v>41153</c:v>
                </c:pt>
                <c:pt idx="153">
                  <c:v>41183</c:v>
                </c:pt>
                <c:pt idx="154">
                  <c:v>41214</c:v>
                </c:pt>
                <c:pt idx="155">
                  <c:v>41244</c:v>
                </c:pt>
                <c:pt idx="156">
                  <c:v>41275</c:v>
                </c:pt>
                <c:pt idx="157">
                  <c:v>41306</c:v>
                </c:pt>
                <c:pt idx="158">
                  <c:v>41334</c:v>
                </c:pt>
                <c:pt idx="159">
                  <c:v>41365</c:v>
                </c:pt>
                <c:pt idx="160">
                  <c:v>41395</c:v>
                </c:pt>
                <c:pt idx="161">
                  <c:v>41426</c:v>
                </c:pt>
                <c:pt idx="162">
                  <c:v>41456</c:v>
                </c:pt>
                <c:pt idx="163">
                  <c:v>41487</c:v>
                </c:pt>
                <c:pt idx="164">
                  <c:v>41518</c:v>
                </c:pt>
                <c:pt idx="165">
                  <c:v>41548</c:v>
                </c:pt>
                <c:pt idx="166">
                  <c:v>41579</c:v>
                </c:pt>
                <c:pt idx="167">
                  <c:v>41609</c:v>
                </c:pt>
                <c:pt idx="168">
                  <c:v>41640</c:v>
                </c:pt>
                <c:pt idx="169">
                  <c:v>41671</c:v>
                </c:pt>
                <c:pt idx="170">
                  <c:v>41699</c:v>
                </c:pt>
                <c:pt idx="171">
                  <c:v>41730</c:v>
                </c:pt>
                <c:pt idx="172">
                  <c:v>41760</c:v>
                </c:pt>
                <c:pt idx="173">
                  <c:v>41791</c:v>
                </c:pt>
                <c:pt idx="174">
                  <c:v>41821</c:v>
                </c:pt>
                <c:pt idx="175">
                  <c:v>41852</c:v>
                </c:pt>
                <c:pt idx="176">
                  <c:v>41883</c:v>
                </c:pt>
                <c:pt idx="177">
                  <c:v>41913</c:v>
                </c:pt>
                <c:pt idx="178">
                  <c:v>41944</c:v>
                </c:pt>
                <c:pt idx="179">
                  <c:v>41974</c:v>
                </c:pt>
                <c:pt idx="180">
                  <c:v>42005</c:v>
                </c:pt>
                <c:pt idx="181">
                  <c:v>42036</c:v>
                </c:pt>
                <c:pt idx="182">
                  <c:v>42064</c:v>
                </c:pt>
                <c:pt idx="183">
                  <c:v>42095</c:v>
                </c:pt>
                <c:pt idx="184">
                  <c:v>42125</c:v>
                </c:pt>
                <c:pt idx="185">
                  <c:v>42156</c:v>
                </c:pt>
                <c:pt idx="186">
                  <c:v>42186</c:v>
                </c:pt>
                <c:pt idx="187">
                  <c:v>42217</c:v>
                </c:pt>
                <c:pt idx="188">
                  <c:v>42248</c:v>
                </c:pt>
                <c:pt idx="189">
                  <c:v>42278</c:v>
                </c:pt>
                <c:pt idx="190">
                  <c:v>42309</c:v>
                </c:pt>
                <c:pt idx="191">
                  <c:v>42339</c:v>
                </c:pt>
                <c:pt idx="192">
                  <c:v>42370</c:v>
                </c:pt>
                <c:pt idx="193">
                  <c:v>42401</c:v>
                </c:pt>
                <c:pt idx="194">
                  <c:v>42430</c:v>
                </c:pt>
                <c:pt idx="195">
                  <c:v>42461</c:v>
                </c:pt>
                <c:pt idx="196">
                  <c:v>42491</c:v>
                </c:pt>
                <c:pt idx="197">
                  <c:v>42522</c:v>
                </c:pt>
                <c:pt idx="198">
                  <c:v>42552</c:v>
                </c:pt>
                <c:pt idx="199">
                  <c:v>42583</c:v>
                </c:pt>
                <c:pt idx="200">
                  <c:v>42614</c:v>
                </c:pt>
                <c:pt idx="201">
                  <c:v>42644</c:v>
                </c:pt>
                <c:pt idx="202">
                  <c:v>42675</c:v>
                </c:pt>
                <c:pt idx="203">
                  <c:v>42705</c:v>
                </c:pt>
                <c:pt idx="204">
                  <c:v>42736</c:v>
                </c:pt>
                <c:pt idx="205">
                  <c:v>42767</c:v>
                </c:pt>
                <c:pt idx="206">
                  <c:v>42795</c:v>
                </c:pt>
                <c:pt idx="207">
                  <c:v>42826</c:v>
                </c:pt>
                <c:pt idx="208">
                  <c:v>42856</c:v>
                </c:pt>
                <c:pt idx="209">
                  <c:v>42887</c:v>
                </c:pt>
              </c:numCache>
            </c:numRef>
          </c:cat>
          <c:val>
            <c:numRef>
              <c:f>Sheet1!$B$2:$B$211</c:f>
              <c:numCache>
                <c:formatCode>General</c:formatCode>
                <c:ptCount val="210"/>
                <c:pt idx="0">
                  <c:v>10.036</c:v>
                </c:pt>
                <c:pt idx="1">
                  <c:v>9.7349999999999994</c:v>
                </c:pt>
                <c:pt idx="2">
                  <c:v>10.093</c:v>
                </c:pt>
                <c:pt idx="3">
                  <c:v>10.193</c:v>
                </c:pt>
                <c:pt idx="4">
                  <c:v>10.694000000000001</c:v>
                </c:pt>
                <c:pt idx="5">
                  <c:v>10.45</c:v>
                </c:pt>
                <c:pt idx="6">
                  <c:v>10.629</c:v>
                </c:pt>
                <c:pt idx="7">
                  <c:v>10.589</c:v>
                </c:pt>
                <c:pt idx="8">
                  <c:v>10.426</c:v>
                </c:pt>
                <c:pt idx="9">
                  <c:v>10.819000000000001</c:v>
                </c:pt>
                <c:pt idx="10">
                  <c:v>11.057</c:v>
                </c:pt>
                <c:pt idx="11">
                  <c:v>11.596</c:v>
                </c:pt>
                <c:pt idx="12">
                  <c:v>11.103</c:v>
                </c:pt>
                <c:pt idx="13">
                  <c:v>10.276</c:v>
                </c:pt>
                <c:pt idx="14">
                  <c:v>11.375999999999999</c:v>
                </c:pt>
                <c:pt idx="15">
                  <c:v>11.04</c:v>
                </c:pt>
                <c:pt idx="16">
                  <c:v>11.454000000000001</c:v>
                </c:pt>
                <c:pt idx="17">
                  <c:v>11.686999999999999</c:v>
                </c:pt>
                <c:pt idx="18">
                  <c:v>11.933999999999999</c:v>
                </c:pt>
                <c:pt idx="19">
                  <c:v>11.887</c:v>
                </c:pt>
                <c:pt idx="20">
                  <c:v>11.896000000000001</c:v>
                </c:pt>
                <c:pt idx="21">
                  <c:v>12.3</c:v>
                </c:pt>
                <c:pt idx="22">
                  <c:v>12.872</c:v>
                </c:pt>
                <c:pt idx="23">
                  <c:v>14.351000000000001</c:v>
                </c:pt>
                <c:pt idx="24">
                  <c:v>14.5</c:v>
                </c:pt>
                <c:pt idx="25">
                  <c:v>12.35</c:v>
                </c:pt>
                <c:pt idx="26">
                  <c:v>14.363</c:v>
                </c:pt>
                <c:pt idx="27">
                  <c:v>14.239000000000001</c:v>
                </c:pt>
                <c:pt idx="28">
                  <c:v>15.26</c:v>
                </c:pt>
                <c:pt idx="29">
                  <c:v>14.913</c:v>
                </c:pt>
                <c:pt idx="30">
                  <c:v>15.269</c:v>
                </c:pt>
                <c:pt idx="31">
                  <c:v>15.478999999999999</c:v>
                </c:pt>
                <c:pt idx="32">
                  <c:v>15.205</c:v>
                </c:pt>
                <c:pt idx="33">
                  <c:v>15.853999999999999</c:v>
                </c:pt>
                <c:pt idx="34">
                  <c:v>16.62</c:v>
                </c:pt>
                <c:pt idx="35">
                  <c:v>15.662000000000001</c:v>
                </c:pt>
                <c:pt idx="36">
                  <c:v>15.45</c:v>
                </c:pt>
                <c:pt idx="37">
                  <c:v>15.003</c:v>
                </c:pt>
                <c:pt idx="38">
                  <c:v>17.748000000000001</c:v>
                </c:pt>
                <c:pt idx="39">
                  <c:v>17.309999999999999</c:v>
                </c:pt>
                <c:pt idx="40">
                  <c:v>18.581</c:v>
                </c:pt>
                <c:pt idx="41">
                  <c:v>18.276</c:v>
                </c:pt>
                <c:pt idx="42">
                  <c:v>18.273</c:v>
                </c:pt>
                <c:pt idx="43">
                  <c:v>19.175999999999998</c:v>
                </c:pt>
                <c:pt idx="44">
                  <c:v>19.143999999999998</c:v>
                </c:pt>
                <c:pt idx="45">
                  <c:v>19.885999999999999</c:v>
                </c:pt>
                <c:pt idx="46">
                  <c:v>20.655999999999999</c:v>
                </c:pt>
                <c:pt idx="47">
                  <c:v>19.934999999999999</c:v>
                </c:pt>
                <c:pt idx="48">
                  <c:v>20.183</c:v>
                </c:pt>
                <c:pt idx="49">
                  <c:v>20.463000000000001</c:v>
                </c:pt>
                <c:pt idx="50">
                  <c:v>22.193999999999999</c:v>
                </c:pt>
                <c:pt idx="51">
                  <c:v>22.396999999999998</c:v>
                </c:pt>
                <c:pt idx="52">
                  <c:v>21.622</c:v>
                </c:pt>
                <c:pt idx="53">
                  <c:v>21.463000000000001</c:v>
                </c:pt>
                <c:pt idx="54">
                  <c:v>22.731000000000002</c:v>
                </c:pt>
                <c:pt idx="55">
                  <c:v>24.018999999999998</c:v>
                </c:pt>
                <c:pt idx="56">
                  <c:v>24.82</c:v>
                </c:pt>
                <c:pt idx="57">
                  <c:v>26.641999999999999</c:v>
                </c:pt>
                <c:pt idx="58">
                  <c:v>25.971</c:v>
                </c:pt>
                <c:pt idx="59">
                  <c:v>26.533000000000001</c:v>
                </c:pt>
                <c:pt idx="60">
                  <c:v>25.094999999999999</c:v>
                </c:pt>
                <c:pt idx="61">
                  <c:v>24.806000000000001</c:v>
                </c:pt>
                <c:pt idx="62">
                  <c:v>27.544</c:v>
                </c:pt>
                <c:pt idx="63">
                  <c:v>28.085999999999999</c:v>
                </c:pt>
                <c:pt idx="64">
                  <c:v>29.73</c:v>
                </c:pt>
                <c:pt idx="65">
                  <c:v>28.547000000000001</c:v>
                </c:pt>
                <c:pt idx="66">
                  <c:v>29.244</c:v>
                </c:pt>
                <c:pt idx="67">
                  <c:v>30.456</c:v>
                </c:pt>
                <c:pt idx="68">
                  <c:v>30.356999999999999</c:v>
                </c:pt>
                <c:pt idx="69">
                  <c:v>31.672999999999998</c:v>
                </c:pt>
                <c:pt idx="70">
                  <c:v>30.478000000000002</c:v>
                </c:pt>
                <c:pt idx="71">
                  <c:v>32.040999999999997</c:v>
                </c:pt>
                <c:pt idx="72">
                  <c:v>30.166</c:v>
                </c:pt>
                <c:pt idx="73">
                  <c:v>29.462</c:v>
                </c:pt>
                <c:pt idx="74">
                  <c:v>32.889000000000003</c:v>
                </c:pt>
                <c:pt idx="75">
                  <c:v>33.710999999999999</c:v>
                </c:pt>
                <c:pt idx="76">
                  <c:v>35.933999999999997</c:v>
                </c:pt>
                <c:pt idx="77">
                  <c:v>36.619</c:v>
                </c:pt>
                <c:pt idx="78">
                  <c:v>36.091000000000001</c:v>
                </c:pt>
                <c:pt idx="79">
                  <c:v>36.700000000000003</c:v>
                </c:pt>
                <c:pt idx="80">
                  <c:v>36.161999999999999</c:v>
                </c:pt>
                <c:pt idx="81">
                  <c:v>37.683999999999997</c:v>
                </c:pt>
                <c:pt idx="82">
                  <c:v>37.957000000000001</c:v>
                </c:pt>
                <c:pt idx="83">
                  <c:v>38.081000000000003</c:v>
                </c:pt>
                <c:pt idx="84">
                  <c:v>38.119</c:v>
                </c:pt>
                <c:pt idx="85">
                  <c:v>36.338999999999999</c:v>
                </c:pt>
                <c:pt idx="86">
                  <c:v>40.253</c:v>
                </c:pt>
                <c:pt idx="87">
                  <c:v>40.555999999999997</c:v>
                </c:pt>
                <c:pt idx="88">
                  <c:v>41.622</c:v>
                </c:pt>
                <c:pt idx="89">
                  <c:v>42.607999999999997</c:v>
                </c:pt>
                <c:pt idx="90">
                  <c:v>41.735999999999997</c:v>
                </c:pt>
                <c:pt idx="91">
                  <c:v>42.04</c:v>
                </c:pt>
                <c:pt idx="92">
                  <c:v>43.569000000000003</c:v>
                </c:pt>
                <c:pt idx="93">
                  <c:v>43.237000000000002</c:v>
                </c:pt>
                <c:pt idx="94">
                  <c:v>40.161000000000001</c:v>
                </c:pt>
                <c:pt idx="95">
                  <c:v>41.314</c:v>
                </c:pt>
                <c:pt idx="96">
                  <c:v>40.564</c:v>
                </c:pt>
                <c:pt idx="97">
                  <c:v>38.530999999999999</c:v>
                </c:pt>
                <c:pt idx="98">
                  <c:v>45.253999999999998</c:v>
                </c:pt>
                <c:pt idx="99">
                  <c:v>45.192999999999998</c:v>
                </c:pt>
                <c:pt idx="100">
                  <c:v>46.195</c:v>
                </c:pt>
                <c:pt idx="101">
                  <c:v>46.631</c:v>
                </c:pt>
                <c:pt idx="102">
                  <c:v>45.024999999999999</c:v>
                </c:pt>
                <c:pt idx="103">
                  <c:v>42.902999999999999</c:v>
                </c:pt>
                <c:pt idx="104">
                  <c:v>39.39</c:v>
                </c:pt>
                <c:pt idx="105">
                  <c:v>36.332999999999998</c:v>
                </c:pt>
                <c:pt idx="106">
                  <c:v>34.406999999999996</c:v>
                </c:pt>
                <c:pt idx="107">
                  <c:v>37.792000000000002</c:v>
                </c:pt>
                <c:pt idx="108">
                  <c:v>40.94</c:v>
                </c:pt>
                <c:pt idx="109">
                  <c:v>41.113</c:v>
                </c:pt>
                <c:pt idx="110">
                  <c:v>44.881</c:v>
                </c:pt>
                <c:pt idx="111">
                  <c:v>43.618000000000002</c:v>
                </c:pt>
                <c:pt idx="112">
                  <c:v>46.527999999999999</c:v>
                </c:pt>
                <c:pt idx="113">
                  <c:v>49.308999999999997</c:v>
                </c:pt>
                <c:pt idx="114">
                  <c:v>50.643999999999998</c:v>
                </c:pt>
                <c:pt idx="115">
                  <c:v>52.231000000000002</c:v>
                </c:pt>
                <c:pt idx="116">
                  <c:v>50.960999999999999</c:v>
                </c:pt>
                <c:pt idx="117">
                  <c:v>52.302</c:v>
                </c:pt>
                <c:pt idx="118">
                  <c:v>47.857999999999997</c:v>
                </c:pt>
                <c:pt idx="119">
                  <c:v>47.664000000000001</c:v>
                </c:pt>
                <c:pt idx="120">
                  <c:v>52.534999999999997</c:v>
                </c:pt>
                <c:pt idx="121">
                  <c:v>49.518000000000001</c:v>
                </c:pt>
                <c:pt idx="122">
                  <c:v>54.521000000000001</c:v>
                </c:pt>
                <c:pt idx="123">
                  <c:v>55.140999999999998</c:v>
                </c:pt>
                <c:pt idx="124">
                  <c:v>55.877000000000002</c:v>
                </c:pt>
                <c:pt idx="125">
                  <c:v>53.569000000000003</c:v>
                </c:pt>
                <c:pt idx="126">
                  <c:v>51.347999999999999</c:v>
                </c:pt>
                <c:pt idx="127">
                  <c:v>51.639000000000003</c:v>
                </c:pt>
                <c:pt idx="128">
                  <c:v>48.677999999999997</c:v>
                </c:pt>
                <c:pt idx="129">
                  <c:v>49.856000000000002</c:v>
                </c:pt>
                <c:pt idx="130">
                  <c:v>49.993000000000002</c:v>
                </c:pt>
                <c:pt idx="131">
                  <c:v>51.826000000000001</c:v>
                </c:pt>
                <c:pt idx="132">
                  <c:v>56.05</c:v>
                </c:pt>
                <c:pt idx="133">
                  <c:v>54.094999999999999</c:v>
                </c:pt>
                <c:pt idx="134">
                  <c:v>59.279000000000003</c:v>
                </c:pt>
                <c:pt idx="135">
                  <c:v>59.048000000000002</c:v>
                </c:pt>
                <c:pt idx="136">
                  <c:v>59.768999999999998</c:v>
                </c:pt>
                <c:pt idx="137">
                  <c:v>59.84</c:v>
                </c:pt>
                <c:pt idx="138">
                  <c:v>59.188000000000002</c:v>
                </c:pt>
                <c:pt idx="139">
                  <c:v>59.691000000000003</c:v>
                </c:pt>
                <c:pt idx="140">
                  <c:v>57.612000000000002</c:v>
                </c:pt>
                <c:pt idx="141">
                  <c:v>55.738999999999997</c:v>
                </c:pt>
                <c:pt idx="142">
                  <c:v>50.56</c:v>
                </c:pt>
                <c:pt idx="143">
                  <c:v>53.548000000000002</c:v>
                </c:pt>
                <c:pt idx="144">
                  <c:v>56.732999999999997</c:v>
                </c:pt>
                <c:pt idx="145">
                  <c:v>56.311</c:v>
                </c:pt>
                <c:pt idx="146">
                  <c:v>62.164000000000001</c:v>
                </c:pt>
                <c:pt idx="147">
                  <c:v>61.48</c:v>
                </c:pt>
                <c:pt idx="148">
                  <c:v>62.488999999999997</c:v>
                </c:pt>
                <c:pt idx="149">
                  <c:v>61.816000000000003</c:v>
                </c:pt>
                <c:pt idx="150">
                  <c:v>61.648000000000003</c:v>
                </c:pt>
                <c:pt idx="151">
                  <c:v>58.738999999999997</c:v>
                </c:pt>
                <c:pt idx="152">
                  <c:v>58.936999999999998</c:v>
                </c:pt>
                <c:pt idx="153">
                  <c:v>59.603000000000002</c:v>
                </c:pt>
                <c:pt idx="154">
                  <c:v>58.444000000000003</c:v>
                </c:pt>
                <c:pt idx="155">
                  <c:v>57.655999999999999</c:v>
                </c:pt>
                <c:pt idx="156">
                  <c:v>66.786000000000001</c:v>
                </c:pt>
                <c:pt idx="157">
                  <c:v>61.83</c:v>
                </c:pt>
                <c:pt idx="158">
                  <c:v>68.707999999999998</c:v>
                </c:pt>
                <c:pt idx="159">
                  <c:v>67.418999999999997</c:v>
                </c:pt>
                <c:pt idx="160">
                  <c:v>68.674999999999997</c:v>
                </c:pt>
                <c:pt idx="161">
                  <c:v>66.302000000000007</c:v>
                </c:pt>
                <c:pt idx="162">
                  <c:v>67.296999999999997</c:v>
                </c:pt>
                <c:pt idx="163">
                  <c:v>68.200999999999993</c:v>
                </c:pt>
                <c:pt idx="164">
                  <c:v>67.540000000000006</c:v>
                </c:pt>
                <c:pt idx="165">
                  <c:v>67.733999999999995</c:v>
                </c:pt>
                <c:pt idx="166">
                  <c:v>63.408999999999999</c:v>
                </c:pt>
                <c:pt idx="167">
                  <c:v>67.082999999999998</c:v>
                </c:pt>
                <c:pt idx="168">
                  <c:v>69.62</c:v>
                </c:pt>
                <c:pt idx="169">
                  <c:v>62.89</c:v>
                </c:pt>
                <c:pt idx="170">
                  <c:v>70.328999999999994</c:v>
                </c:pt>
                <c:pt idx="171">
                  <c:v>69.372</c:v>
                </c:pt>
                <c:pt idx="172">
                  <c:v>71.161000000000001</c:v>
                </c:pt>
                <c:pt idx="173">
                  <c:v>69.293999999999997</c:v>
                </c:pt>
                <c:pt idx="174">
                  <c:v>68.323999999999998</c:v>
                </c:pt>
                <c:pt idx="175">
                  <c:v>68.91</c:v>
                </c:pt>
                <c:pt idx="176">
                  <c:v>67.542000000000002</c:v>
                </c:pt>
                <c:pt idx="177">
                  <c:v>67.516000000000005</c:v>
                </c:pt>
                <c:pt idx="178">
                  <c:v>64.349999999999994</c:v>
                </c:pt>
                <c:pt idx="179">
                  <c:v>68.087999999999994</c:v>
                </c:pt>
                <c:pt idx="180">
                  <c:v>67.454999999999998</c:v>
                </c:pt>
                <c:pt idx="181">
                  <c:v>60.924999999999997</c:v>
                </c:pt>
                <c:pt idx="182">
                  <c:v>68.659000000000006</c:v>
                </c:pt>
                <c:pt idx="183">
                  <c:v>69.073999999999998</c:v>
                </c:pt>
                <c:pt idx="184">
                  <c:v>69.253</c:v>
                </c:pt>
                <c:pt idx="185">
                  <c:v>68.308999999999997</c:v>
                </c:pt>
                <c:pt idx="186">
                  <c:v>65.117000000000004</c:v>
                </c:pt>
                <c:pt idx="187">
                  <c:v>66.572999999999993</c:v>
                </c:pt>
                <c:pt idx="188">
                  <c:v>65.611000000000004</c:v>
                </c:pt>
                <c:pt idx="189">
                  <c:v>65.875</c:v>
                </c:pt>
                <c:pt idx="190">
                  <c:v>63.133000000000003</c:v>
                </c:pt>
                <c:pt idx="191">
                  <c:v>64.372</c:v>
                </c:pt>
                <c:pt idx="192">
                  <c:v>63.213999999999999</c:v>
                </c:pt>
                <c:pt idx="193">
                  <c:v>58.469000000000001</c:v>
                </c:pt>
                <c:pt idx="194">
                  <c:v>70.700999999999993</c:v>
                </c:pt>
                <c:pt idx="195">
                  <c:v>69.393000000000001</c:v>
                </c:pt>
                <c:pt idx="196">
                  <c:v>70.504000000000005</c:v>
                </c:pt>
                <c:pt idx="197">
                  <c:v>69.468999999999994</c:v>
                </c:pt>
                <c:pt idx="198">
                  <c:v>66.807000000000002</c:v>
                </c:pt>
                <c:pt idx="199">
                  <c:v>68.570999999999998</c:v>
                </c:pt>
                <c:pt idx="200">
                  <c:v>68.17</c:v>
                </c:pt>
                <c:pt idx="201">
                  <c:v>68.507999999999996</c:v>
                </c:pt>
                <c:pt idx="202">
                  <c:v>66.290000000000006</c:v>
                </c:pt>
                <c:pt idx="203">
                  <c:v>67.218999999999994</c:v>
                </c:pt>
                <c:pt idx="204">
                  <c:v>67.58</c:v>
                </c:pt>
                <c:pt idx="205">
                  <c:v>61.186999999999998</c:v>
                </c:pt>
                <c:pt idx="206">
                  <c:v>71.995000000000005</c:v>
                </c:pt>
                <c:pt idx="207">
                  <c:v>72.777000000000001</c:v>
                </c:pt>
                <c:pt idx="208">
                  <c:v>72.259</c:v>
                </c:pt>
                <c:pt idx="209">
                  <c:v>73.230999999999995</c:v>
                </c:pt>
              </c:numCache>
            </c:numRef>
          </c:val>
        </c:ser>
        <c:dLbls>
          <c:showLegendKey val="0"/>
          <c:showVal val="0"/>
          <c:showCatName val="0"/>
          <c:showSerName val="0"/>
          <c:showPercent val="0"/>
          <c:showBubbleSize val="0"/>
        </c:dLbls>
        <c:gapWidth val="0"/>
        <c:axId val="143420360"/>
        <c:axId val="143419184"/>
      </c:barChart>
      <c:dateAx>
        <c:axId val="143420360"/>
        <c:scaling>
          <c:orientation val="minMax"/>
        </c:scaling>
        <c:delete val="0"/>
        <c:axPos val="b"/>
        <c:numFmt formatCode="yyyy" sourceLinked="0"/>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43419184"/>
        <c:crosses val="autoZero"/>
        <c:auto val="1"/>
        <c:lblOffset val="100"/>
        <c:baseTimeUnit val="months"/>
        <c:majorUnit val="2"/>
        <c:majorTimeUnit val="years"/>
      </c:dateAx>
      <c:valAx>
        <c:axId val="143419184"/>
        <c:scaling>
          <c:orientation val="minMax"/>
        </c:scaling>
        <c:delete val="0"/>
        <c:axPos val="l"/>
        <c:title>
          <c:tx>
            <c:rich>
              <a:bodyPr/>
              <a:lstStyle/>
              <a:p>
                <a:pPr>
                  <a:defRPr sz="900" b="0">
                    <a:solidFill>
                      <a:srgbClr val="595A5B"/>
                    </a:solidFill>
                    <a:latin typeface="Arial"/>
                    <a:ea typeface="Arial"/>
                    <a:cs typeface="Arial"/>
                  </a:defRPr>
                </a:pPr>
                <a:r>
                  <a:rPr lang="en-AU" sz="900" b="0" i="0" u="none" strike="noStrike" baseline="0">
                    <a:effectLst/>
                  </a:rPr>
                  <a:t>China crude steel production (Mt)</a:t>
                </a:r>
                <a:r>
                  <a:rPr lang="en-AU" sz="900" b="0" i="0" u="none" strike="noStrike" baseline="0"/>
                  <a:t> </a:t>
                </a:r>
                <a:endParaRPr lang="en-AU"/>
              </a:p>
            </c:rich>
          </c:tx>
          <c:layout/>
          <c:overlay val="0"/>
        </c:title>
        <c:numFmt formatCode="General" sourceLinked="1"/>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43420360"/>
        <c:crosses val="autoZero"/>
        <c:crossBetween val="between"/>
      </c:valAx>
      <c:spPr>
        <a:ln w="25400">
          <a:noFill/>
        </a:ln>
      </c:spPr>
    </c:plotArea>
    <c:legend>
      <c:legendPos val="b"/>
      <c:layout/>
      <c:overlay val="0"/>
      <c:spPr>
        <a:effectLst/>
      </c:spPr>
      <c:txPr>
        <a:bodyPr/>
        <a:lstStyle/>
        <a:p>
          <a:pPr>
            <a:defRPr sz="900" b="0" u="none">
              <a:solidFill>
                <a:srgbClr val="595A5B"/>
              </a:solidFill>
              <a:latin typeface="Arial"/>
              <a:ea typeface="Arial"/>
              <a:cs typeface="Arial"/>
            </a:defRPr>
          </a:pPr>
          <a:endParaRPr lang="en-US"/>
        </a:p>
      </c:txPr>
    </c:legend>
    <c:plotVisOnly val="1"/>
    <c:dispBlanksAs val="gap"/>
    <c:showDLblsOverMax val="0"/>
  </c:chart>
  <c:spPr>
    <a:ln w="25400">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328357667956097E-2"/>
          <c:y val="4.214129483814523E-2"/>
          <c:w val="0.87634566768972955"/>
          <c:h val="0.7445512540099154"/>
        </c:manualLayout>
      </c:layout>
      <c:areaChart>
        <c:grouping val="stacked"/>
        <c:varyColors val="0"/>
        <c:ser>
          <c:idx val="3"/>
          <c:order val="0"/>
          <c:tx>
            <c:strRef>
              <c:f>Graphs!$A$3</c:f>
              <c:strCache>
                <c:ptCount val="1"/>
                <c:pt idx="0">
                  <c:v>Thailand</c:v>
                </c:pt>
              </c:strCache>
            </c:strRef>
          </c:tx>
          <c:spPr>
            <a:solidFill>
              <a:srgbClr val="9ED9DF"/>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Graphs!$B$3:$L$3</c:f>
              <c:numCache>
                <c:formatCode>0</c:formatCode>
                <c:ptCount val="11"/>
                <c:pt idx="0">
                  <c:v>105128194.71999994</c:v>
                </c:pt>
                <c:pt idx="1">
                  <c:v>51668242.919999987</c:v>
                </c:pt>
                <c:pt idx="2">
                  <c:v>85595539.349999994</c:v>
                </c:pt>
                <c:pt idx="3">
                  <c:v>62682796.89000003</c:v>
                </c:pt>
                <c:pt idx="4">
                  <c:v>131972471.10000016</c:v>
                </c:pt>
                <c:pt idx="5">
                  <c:v>91776951.460000053</c:v>
                </c:pt>
                <c:pt idx="6">
                  <c:v>354904496.20999992</c:v>
                </c:pt>
                <c:pt idx="7">
                  <c:v>620941484.6899997</c:v>
                </c:pt>
                <c:pt idx="8">
                  <c:v>275141301.10000002</c:v>
                </c:pt>
                <c:pt idx="9">
                  <c:v>828504854.80000055</c:v>
                </c:pt>
                <c:pt idx="10">
                  <c:v>546199150.37999988</c:v>
                </c:pt>
              </c:numCache>
            </c:numRef>
          </c:val>
        </c:ser>
        <c:ser>
          <c:idx val="4"/>
          <c:order val="1"/>
          <c:tx>
            <c:strRef>
              <c:f>Graphs!$A$4</c:f>
              <c:strCache>
                <c:ptCount val="1"/>
                <c:pt idx="0">
                  <c:v>Indonesia</c:v>
                </c:pt>
              </c:strCache>
            </c:strRef>
          </c:tx>
          <c:spPr>
            <a:solidFill>
              <a:srgbClr val="22789A"/>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Graphs!$B$4:$L$4</c:f>
              <c:numCache>
                <c:formatCode>0</c:formatCode>
                <c:ptCount val="11"/>
                <c:pt idx="0">
                  <c:v>37299974.590000004</c:v>
                </c:pt>
                <c:pt idx="1">
                  <c:v>25826982.009999976</c:v>
                </c:pt>
                <c:pt idx="2">
                  <c:v>36075516.600000001</c:v>
                </c:pt>
                <c:pt idx="3">
                  <c:v>34831222.980000004</c:v>
                </c:pt>
                <c:pt idx="4">
                  <c:v>42544957.98999998</c:v>
                </c:pt>
                <c:pt idx="5">
                  <c:v>656896345.74000001</c:v>
                </c:pt>
                <c:pt idx="6">
                  <c:v>320427409.86999989</c:v>
                </c:pt>
                <c:pt idx="7">
                  <c:v>448351476.39000005</c:v>
                </c:pt>
                <c:pt idx="8">
                  <c:v>244488024.68000001</c:v>
                </c:pt>
                <c:pt idx="9">
                  <c:v>75700335.790000021</c:v>
                </c:pt>
                <c:pt idx="10">
                  <c:v>27099007.03000002</c:v>
                </c:pt>
              </c:numCache>
            </c:numRef>
          </c:val>
        </c:ser>
        <c:ser>
          <c:idx val="5"/>
          <c:order val="2"/>
          <c:tx>
            <c:strRef>
              <c:f>Graphs!$A$5</c:f>
              <c:strCache>
                <c:ptCount val="1"/>
                <c:pt idx="0">
                  <c:v>United States of America</c:v>
                </c:pt>
              </c:strCache>
            </c:strRef>
          </c:tx>
          <c:spPr>
            <a:solidFill>
              <a:srgbClr val="BCBFC1"/>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Graphs!$B$5:$L$5</c:f>
              <c:numCache>
                <c:formatCode>0</c:formatCode>
                <c:ptCount val="11"/>
                <c:pt idx="0">
                  <c:v>88528171.75000003</c:v>
                </c:pt>
                <c:pt idx="1">
                  <c:v>95139701.609999865</c:v>
                </c:pt>
                <c:pt idx="2">
                  <c:v>116367320.37999983</c:v>
                </c:pt>
                <c:pt idx="3">
                  <c:v>119867260.13999985</c:v>
                </c:pt>
                <c:pt idx="4">
                  <c:v>105322815.35000008</c:v>
                </c:pt>
                <c:pt idx="5">
                  <c:v>101758756.98000005</c:v>
                </c:pt>
                <c:pt idx="6">
                  <c:v>123787135.82999985</c:v>
                </c:pt>
                <c:pt idx="7">
                  <c:v>129375715.77999984</c:v>
                </c:pt>
                <c:pt idx="8">
                  <c:v>134948026.31000006</c:v>
                </c:pt>
                <c:pt idx="9">
                  <c:v>139270720.5499998</c:v>
                </c:pt>
                <c:pt idx="10">
                  <c:v>107965724.04999974</c:v>
                </c:pt>
              </c:numCache>
            </c:numRef>
          </c:val>
        </c:ser>
        <c:ser>
          <c:idx val="6"/>
          <c:order val="3"/>
          <c:tx>
            <c:strRef>
              <c:f>Graphs!$A$6</c:f>
              <c:strCache>
                <c:ptCount val="1"/>
                <c:pt idx="0">
                  <c:v>Germany</c:v>
                </c:pt>
              </c:strCache>
            </c:strRef>
          </c:tx>
          <c:spPr>
            <a:solidFill>
              <a:srgbClr val="595A5B"/>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Graphs!$B$6:$L$6</c:f>
              <c:numCache>
                <c:formatCode>0</c:formatCode>
                <c:ptCount val="11"/>
                <c:pt idx="0">
                  <c:v>64277261.469999917</c:v>
                </c:pt>
                <c:pt idx="1">
                  <c:v>75071597.670000032</c:v>
                </c:pt>
                <c:pt idx="2">
                  <c:v>88172169.369999826</c:v>
                </c:pt>
                <c:pt idx="3">
                  <c:v>88790659.800000027</c:v>
                </c:pt>
                <c:pt idx="4">
                  <c:v>62615466.290000051</c:v>
                </c:pt>
                <c:pt idx="5">
                  <c:v>68453698.629999891</c:v>
                </c:pt>
                <c:pt idx="6">
                  <c:v>75699496.680000052</c:v>
                </c:pt>
                <c:pt idx="7">
                  <c:v>96326715.940000102</c:v>
                </c:pt>
                <c:pt idx="8">
                  <c:v>81122110.379999921</c:v>
                </c:pt>
                <c:pt idx="9">
                  <c:v>78469288.269999981</c:v>
                </c:pt>
                <c:pt idx="10">
                  <c:v>96636906.960000008</c:v>
                </c:pt>
              </c:numCache>
            </c:numRef>
          </c:val>
        </c:ser>
        <c:ser>
          <c:idx val="7"/>
          <c:order val="4"/>
          <c:tx>
            <c:strRef>
              <c:f>Graphs!$A$7</c:f>
              <c:strCache>
                <c:ptCount val="1"/>
                <c:pt idx="0">
                  <c:v>Republic of Korea</c:v>
                </c:pt>
              </c:strCache>
            </c:strRef>
          </c:tx>
          <c:spPr>
            <a:solidFill>
              <a:srgbClr val="56B4DF"/>
            </a:solidFill>
            <a:ln w="25400">
              <a:noFill/>
            </a:ln>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Graphs!$B$7:$L$7</c:f>
              <c:numCache>
                <c:formatCode>0</c:formatCode>
                <c:ptCount val="11"/>
                <c:pt idx="0">
                  <c:v>28026275.240000017</c:v>
                </c:pt>
                <c:pt idx="1">
                  <c:v>27451774.809999976</c:v>
                </c:pt>
                <c:pt idx="2">
                  <c:v>37108525.639999986</c:v>
                </c:pt>
                <c:pt idx="3">
                  <c:v>29672150.570000008</c:v>
                </c:pt>
                <c:pt idx="4">
                  <c:v>27797637.99000001</c:v>
                </c:pt>
                <c:pt idx="5">
                  <c:v>36455563.710000031</c:v>
                </c:pt>
                <c:pt idx="6">
                  <c:v>112784945.45</c:v>
                </c:pt>
                <c:pt idx="7">
                  <c:v>79987308.10999997</c:v>
                </c:pt>
                <c:pt idx="8">
                  <c:v>305412783.68999994</c:v>
                </c:pt>
                <c:pt idx="9">
                  <c:v>94501661.14000012</c:v>
                </c:pt>
                <c:pt idx="10">
                  <c:v>38356013.310000017</c:v>
                </c:pt>
              </c:numCache>
            </c:numRef>
          </c:val>
        </c:ser>
        <c:ser>
          <c:idx val="8"/>
          <c:order val="5"/>
          <c:tx>
            <c:strRef>
              <c:f>Graphs!$A$8</c:f>
              <c:strCache>
                <c:ptCount val="1"/>
                <c:pt idx="0">
                  <c:v>Other</c:v>
                </c:pt>
              </c:strCache>
            </c:strRef>
          </c:tx>
          <c:spPr>
            <a:solidFill>
              <a:srgbClr val="0072B2"/>
            </a:solidFill>
            <a:ln w="25400">
              <a:noFill/>
            </a:ln>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Graphs!$B$8:$L$8</c:f>
              <c:numCache>
                <c:formatCode>0</c:formatCode>
                <c:ptCount val="11"/>
                <c:pt idx="0">
                  <c:v>377879194.0399999</c:v>
                </c:pt>
                <c:pt idx="1">
                  <c:v>447586609.97000003</c:v>
                </c:pt>
                <c:pt idx="2">
                  <c:v>561138510.35000002</c:v>
                </c:pt>
                <c:pt idx="3">
                  <c:v>513873436.44999993</c:v>
                </c:pt>
                <c:pt idx="4">
                  <c:v>414827914.94999981</c:v>
                </c:pt>
                <c:pt idx="5">
                  <c:v>490422695.47999996</c:v>
                </c:pt>
                <c:pt idx="6">
                  <c:v>469292556.08999974</c:v>
                </c:pt>
                <c:pt idx="7">
                  <c:v>727524402.9400003</c:v>
                </c:pt>
                <c:pt idx="8">
                  <c:v>640350106.56000006</c:v>
                </c:pt>
                <c:pt idx="9">
                  <c:v>619765434.63999963</c:v>
                </c:pt>
                <c:pt idx="10">
                  <c:v>702021860.99999928</c:v>
                </c:pt>
              </c:numCache>
            </c:numRef>
          </c:val>
        </c:ser>
        <c:ser>
          <c:idx val="2"/>
          <c:order val="6"/>
          <c:tx>
            <c:strRef>
              <c:f>Graphs!$A$2</c:f>
              <c:strCache>
                <c:ptCount val="1"/>
                <c:pt idx="0">
                  <c:v>China</c:v>
                </c:pt>
              </c:strCache>
            </c:strRef>
          </c:tx>
          <c:spPr>
            <a:solidFill>
              <a:srgbClr val="292B67"/>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Graphs!$B$2:$L$2</c:f>
              <c:numCache>
                <c:formatCode>0</c:formatCode>
                <c:ptCount val="11"/>
                <c:pt idx="0">
                  <c:v>231249648.09999976</c:v>
                </c:pt>
                <c:pt idx="1">
                  <c:v>349212949.78000015</c:v>
                </c:pt>
                <c:pt idx="2">
                  <c:v>578315805.64000106</c:v>
                </c:pt>
                <c:pt idx="3">
                  <c:v>563502661.00999999</c:v>
                </c:pt>
                <c:pt idx="4">
                  <c:v>553633720.80999935</c:v>
                </c:pt>
                <c:pt idx="5">
                  <c:v>674448602.96999991</c:v>
                </c:pt>
                <c:pt idx="6">
                  <c:v>1067332371.7699987</c:v>
                </c:pt>
                <c:pt idx="7">
                  <c:v>1157276915.1000013</c:v>
                </c:pt>
                <c:pt idx="8">
                  <c:v>1089658361.4099989</c:v>
                </c:pt>
                <c:pt idx="9">
                  <c:v>1845528650.5600009</c:v>
                </c:pt>
                <c:pt idx="10">
                  <c:v>966020847.54000223</c:v>
                </c:pt>
              </c:numCache>
            </c:numRef>
          </c:val>
        </c:ser>
        <c:dLbls>
          <c:showLegendKey val="0"/>
          <c:showVal val="0"/>
          <c:showCatName val="0"/>
          <c:showSerName val="0"/>
          <c:showPercent val="0"/>
          <c:showBubbleSize val="0"/>
        </c:dLbls>
        <c:axId val="160874600"/>
        <c:axId val="160874992"/>
      </c:areaChart>
      <c:catAx>
        <c:axId val="160874600"/>
        <c:scaling>
          <c:orientation val="minMax"/>
        </c:scaling>
        <c:delete val="0"/>
        <c:axPos val="b"/>
        <c:numFmt formatCode="General" sourceLinked="1"/>
        <c:majorTickMark val="out"/>
        <c:minorTickMark val="none"/>
        <c:tickLblPos val="nextTo"/>
        <c:spPr>
          <a:ln w="3175">
            <a:solidFill>
              <a:srgbClr val="BCBFC1"/>
            </a:solidFill>
            <a:prstDash val="solid"/>
          </a:ln>
        </c:spPr>
        <c:txPr>
          <a:bodyPr/>
          <a:lstStyle/>
          <a:p>
            <a:pPr>
              <a:defRPr sz="900" b="0">
                <a:solidFill>
                  <a:srgbClr val="595A5B"/>
                </a:solidFill>
                <a:latin typeface="Arial"/>
                <a:ea typeface="Arial"/>
                <a:cs typeface="Arial"/>
              </a:defRPr>
            </a:pPr>
            <a:endParaRPr lang="en-US"/>
          </a:p>
        </c:txPr>
        <c:crossAx val="160874992"/>
        <c:crosses val="autoZero"/>
        <c:auto val="1"/>
        <c:lblAlgn val="ctr"/>
        <c:lblOffset val="100"/>
        <c:tickLblSkip val="2"/>
        <c:tickMarkSkip val="3"/>
        <c:noMultiLvlLbl val="0"/>
      </c:catAx>
      <c:valAx>
        <c:axId val="160874992"/>
        <c:scaling>
          <c:orientation val="minMax"/>
        </c:scaling>
        <c:delete val="0"/>
        <c:axPos val="l"/>
        <c:title>
          <c:tx>
            <c:rich>
              <a:bodyPr/>
              <a:lstStyle/>
              <a:p>
                <a:pPr>
                  <a:defRPr sz="900" b="0">
                    <a:solidFill>
                      <a:srgbClr val="595A5B"/>
                    </a:solidFill>
                    <a:latin typeface="Arial"/>
                    <a:ea typeface="Arial"/>
                    <a:cs typeface="Arial"/>
                  </a:defRPr>
                </a:pPr>
                <a:r>
                  <a:rPr lang="en-AU"/>
                  <a:t>Imports ($ billions)</a:t>
                </a:r>
              </a:p>
            </c:rich>
          </c:tx>
          <c:layout/>
          <c:overlay val="0"/>
        </c:title>
        <c:numFmt formatCode="#,##0" sourceLinked="0"/>
        <c:majorTickMark val="out"/>
        <c:minorTickMark val="none"/>
        <c:tickLblPos val="nextTo"/>
        <c:spPr>
          <a:ln w="3175">
            <a:solidFill>
              <a:srgbClr val="BCBFC1"/>
            </a:solidFill>
            <a:prstDash val="solid"/>
          </a:ln>
        </c:spPr>
        <c:txPr>
          <a:bodyPr/>
          <a:lstStyle/>
          <a:p>
            <a:pPr>
              <a:defRPr sz="900" b="0">
                <a:solidFill>
                  <a:srgbClr val="595A5B"/>
                </a:solidFill>
                <a:latin typeface="Arial"/>
                <a:ea typeface="Arial"/>
                <a:cs typeface="Arial"/>
              </a:defRPr>
            </a:pPr>
            <a:endParaRPr lang="en-US"/>
          </a:p>
        </c:txPr>
        <c:crossAx val="160874600"/>
        <c:crosses val="autoZero"/>
        <c:crossBetween val="midCat"/>
        <c:majorUnit val="1000000000"/>
        <c:dispUnits>
          <c:builtInUnit val="billions"/>
        </c:dispUnits>
      </c:valAx>
      <c:spPr>
        <a:ln w="25400">
          <a:noFill/>
        </a:ln>
      </c:spPr>
    </c:plotArea>
    <c:legend>
      <c:legendPos val="b"/>
      <c:layout/>
      <c:overlay val="0"/>
      <c:spPr>
        <a:effectLst/>
      </c:spPr>
      <c:txPr>
        <a:bodyPr/>
        <a:lstStyle/>
        <a:p>
          <a:pPr>
            <a:defRPr sz="900" b="0" u="none">
              <a:solidFill>
                <a:srgbClr val="595A5B"/>
              </a:solidFill>
              <a:latin typeface="Arial"/>
              <a:ea typeface="Arial"/>
              <a:cs typeface="Arial"/>
            </a:defRPr>
          </a:pPr>
          <a:endParaRPr lang="en-US"/>
        </a:p>
      </c:txPr>
    </c:legend>
    <c:plotVisOnly val="1"/>
    <c:dispBlanksAs val="gap"/>
    <c:showDLblsOverMax val="0"/>
  </c:chart>
  <c:spPr>
    <a:ln w="9525">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'[Measures on steel.xlsx]Historical steel measures'!$F$95</c:f>
              <c:strCache>
                <c:ptCount val="1"/>
                <c:pt idx="0">
                  <c:v>Number of measures</c:v>
                </c:pt>
              </c:strCache>
            </c:strRef>
          </c:tx>
          <c:spPr>
            <a:solidFill>
              <a:schemeClr val="accent1"/>
            </a:solidFill>
            <a:ln>
              <a:noFill/>
            </a:ln>
            <a:effectLst/>
          </c:spPr>
          <c:invertIfNegative val="0"/>
          <c:cat>
            <c:strRef>
              <c:f>'[Measures on steel.xlsx]Historical steel measures'!$E$96:$E$102</c:f>
              <c:strCache>
                <c:ptCount val="7"/>
                <c:pt idx="0">
                  <c:v>2011</c:v>
                </c:pt>
                <c:pt idx="1">
                  <c:v>2012</c:v>
                </c:pt>
                <c:pt idx="2">
                  <c:v>2013</c:v>
                </c:pt>
                <c:pt idx="3">
                  <c:v>2014</c:v>
                </c:pt>
                <c:pt idx="4">
                  <c:v>2015</c:v>
                </c:pt>
                <c:pt idx="5">
                  <c:v>2016</c:v>
                </c:pt>
                <c:pt idx="6">
                  <c:v>2017</c:v>
                </c:pt>
              </c:strCache>
            </c:strRef>
          </c:cat>
          <c:val>
            <c:numRef>
              <c:f>'[Measures on steel.xlsx]Historical steel measures'!$F$96:$F$102</c:f>
              <c:numCache>
                <c:formatCode>0</c:formatCode>
                <c:ptCount val="7"/>
                <c:pt idx="0">
                  <c:v>2</c:v>
                </c:pt>
                <c:pt idx="1">
                  <c:v>2</c:v>
                </c:pt>
                <c:pt idx="2">
                  <c:v>11</c:v>
                </c:pt>
                <c:pt idx="3">
                  <c:v>23</c:v>
                </c:pt>
                <c:pt idx="4">
                  <c:v>34</c:v>
                </c:pt>
                <c:pt idx="5">
                  <c:v>43</c:v>
                </c:pt>
                <c:pt idx="6">
                  <c:v>51</c:v>
                </c:pt>
              </c:numCache>
            </c:numRef>
          </c:val>
        </c:ser>
        <c:dLbls>
          <c:showLegendKey val="0"/>
          <c:showVal val="0"/>
          <c:showCatName val="0"/>
          <c:showSerName val="0"/>
          <c:showPercent val="0"/>
          <c:showBubbleSize val="0"/>
        </c:dLbls>
        <c:gapWidth val="219"/>
        <c:overlap val="-27"/>
        <c:axId val="160875384"/>
        <c:axId val="158662800"/>
      </c:barChart>
      <c:catAx>
        <c:axId val="160875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662800"/>
        <c:crosses val="autoZero"/>
        <c:auto val="1"/>
        <c:lblAlgn val="ctr"/>
        <c:lblOffset val="100"/>
        <c:noMultiLvlLbl val="0"/>
      </c:catAx>
      <c:valAx>
        <c:axId val="1586628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875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Canadian Anti-dumping and Countervailing Measures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Canadian AD/CV Measures at as 1 Aug 2017</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Sheet1!$A$2:$A$4</c:f>
              <c:strCache>
                <c:ptCount val="3"/>
                <c:pt idx="0">
                  <c:v>Steel (non-fabricated)</c:v>
                </c:pt>
                <c:pt idx="1">
                  <c:v>Steel (fabricated)</c:v>
                </c:pt>
                <c:pt idx="2">
                  <c:v>Other</c:v>
                </c:pt>
              </c:strCache>
            </c:strRef>
          </c:cat>
          <c:val>
            <c:numRef>
              <c:f>Sheet1!$B$2:$B$4</c:f>
              <c:numCache>
                <c:formatCode>General</c:formatCode>
                <c:ptCount val="3"/>
                <c:pt idx="0">
                  <c:v>61</c:v>
                </c:pt>
                <c:pt idx="1">
                  <c:v>10</c:v>
                </c:pt>
                <c:pt idx="2">
                  <c:v>38</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Canadian Goods</a:t>
            </a:r>
            <a:r>
              <a:rPr lang="en-US" baseline="0"/>
              <a:t> with Trade Remedy Measures</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Canadian products with AD/CV Measures at as 1 Aug 2017</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Sheet1!$A$2:$A$4</c:f>
              <c:strCache>
                <c:ptCount val="3"/>
                <c:pt idx="0">
                  <c:v>Steel (non-fabricated)</c:v>
                </c:pt>
                <c:pt idx="1">
                  <c:v>Steel (fabricated)</c:v>
                </c:pt>
                <c:pt idx="2">
                  <c:v>Other</c:v>
                </c:pt>
              </c:strCache>
            </c:strRef>
          </c:cat>
          <c:val>
            <c:numRef>
              <c:f>Sheet1!$B$2:$B$4</c:f>
              <c:numCache>
                <c:formatCode>General</c:formatCode>
                <c:ptCount val="3"/>
                <c:pt idx="0">
                  <c:v>12</c:v>
                </c:pt>
                <c:pt idx="1">
                  <c:v>4</c:v>
                </c:pt>
                <c:pt idx="2">
                  <c:v>10</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 Anti-dumping and Countervailing Measures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US AD/CV Measures at as 28 June 2017</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Sheet1!$A$2:$A$4</c:f>
              <c:strCache>
                <c:ptCount val="3"/>
                <c:pt idx="0">
                  <c:v>Steel (non-fabricated)</c:v>
                </c:pt>
                <c:pt idx="1">
                  <c:v>Steel (fabricated)</c:v>
                </c:pt>
                <c:pt idx="2">
                  <c:v>Other</c:v>
                </c:pt>
              </c:strCache>
            </c:strRef>
          </c:cat>
          <c:val>
            <c:numRef>
              <c:f>Sheet1!$B$2:$B$4</c:f>
              <c:numCache>
                <c:formatCode>General</c:formatCode>
                <c:ptCount val="3"/>
                <c:pt idx="0">
                  <c:v>196</c:v>
                </c:pt>
                <c:pt idx="1">
                  <c:v>25</c:v>
                </c:pt>
                <c:pt idx="2">
                  <c:v>178</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 Goods</a:t>
            </a:r>
            <a:r>
              <a:rPr lang="en-US" baseline="0"/>
              <a:t> with Trade Remedy Measures</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US products with AD/CV Measures at as 28 June 2017</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Sheet1!$A$2:$A$4</c:f>
              <c:strCache>
                <c:ptCount val="3"/>
                <c:pt idx="0">
                  <c:v>Steel (non-fabricated)</c:v>
                </c:pt>
                <c:pt idx="1">
                  <c:v>Steel (fabricated)</c:v>
                </c:pt>
                <c:pt idx="2">
                  <c:v>Other</c:v>
                </c:pt>
              </c:strCache>
            </c:strRef>
          </c:cat>
          <c:val>
            <c:numRef>
              <c:f>Sheet1!$B$2:$B$4</c:f>
              <c:numCache>
                <c:formatCode>General</c:formatCode>
                <c:ptCount val="3"/>
                <c:pt idx="0">
                  <c:v>49</c:v>
                </c:pt>
                <c:pt idx="1">
                  <c:v>7</c:v>
                </c:pt>
                <c:pt idx="2">
                  <c:v>92</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EU Anti-dumping and Countervailing Measures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EU AD/CV Measures at as 1 August 2017</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Sheet1!$A$2:$A$4</c:f>
              <c:strCache>
                <c:ptCount val="3"/>
                <c:pt idx="0">
                  <c:v>Steel (non-fabricated)</c:v>
                </c:pt>
                <c:pt idx="1">
                  <c:v>Steel (fabricated)</c:v>
                </c:pt>
                <c:pt idx="2">
                  <c:v>Other</c:v>
                </c:pt>
              </c:strCache>
            </c:strRef>
          </c:cat>
          <c:val>
            <c:numRef>
              <c:f>Sheet1!$B$2:$B$4</c:f>
              <c:numCache>
                <c:formatCode>General</c:formatCode>
                <c:ptCount val="3"/>
                <c:pt idx="0">
                  <c:v>43</c:v>
                </c:pt>
                <c:pt idx="1">
                  <c:v>3</c:v>
                </c:pt>
                <c:pt idx="2">
                  <c:v>64</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EU Goods</a:t>
            </a:r>
            <a:r>
              <a:rPr lang="en-US" baseline="0"/>
              <a:t> with Trade Remedy Measures</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EU products with AD/CV Measures at as 1 August 2017</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Sheet1!$A$2:$A$4</c:f>
              <c:strCache>
                <c:ptCount val="3"/>
                <c:pt idx="0">
                  <c:v>Steel (non-fabricated)</c:v>
                </c:pt>
                <c:pt idx="1">
                  <c:v>Steel (fabricated)</c:v>
                </c:pt>
                <c:pt idx="2">
                  <c:v>Other</c:v>
                </c:pt>
              </c:strCache>
            </c:strRef>
          </c:cat>
          <c:val>
            <c:numRef>
              <c:f>Sheet1!$B$2:$B$4</c:f>
              <c:numCache>
                <c:formatCode>General</c:formatCode>
                <c:ptCount val="3"/>
                <c:pt idx="0">
                  <c:v>23</c:v>
                </c:pt>
                <c:pt idx="1">
                  <c:v>2</c:v>
                </c:pt>
                <c:pt idx="2">
                  <c:v>46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'Employment chart'!$B$1</c:f>
              <c:strCache>
                <c:ptCount val="1"/>
                <c:pt idx="0">
                  <c:v>Manufacturing</c:v>
                </c:pt>
              </c:strCache>
            </c:strRef>
          </c:tx>
          <c:spPr>
            <a:ln w="25400" cap="rnd">
              <a:solidFill>
                <a:srgbClr val="292B67"/>
              </a:solidFill>
              <a:prstDash val="solid"/>
              <a:round/>
            </a:ln>
            <a:effectLst/>
          </c:spPr>
          <c:marker>
            <c:symbol val="none"/>
          </c:marker>
          <c:cat>
            <c:numRef>
              <c:f>'Employment chart'!$A$91:$A$131</c:f>
              <c:numCache>
                <c:formatCode>mmm\-yyyy</c:formatCode>
                <c:ptCount val="41"/>
                <c:pt idx="0">
                  <c:v>39114</c:v>
                </c:pt>
                <c:pt idx="1">
                  <c:v>39203</c:v>
                </c:pt>
                <c:pt idx="2">
                  <c:v>39295</c:v>
                </c:pt>
                <c:pt idx="3">
                  <c:v>39387</c:v>
                </c:pt>
                <c:pt idx="4">
                  <c:v>39479</c:v>
                </c:pt>
                <c:pt idx="5">
                  <c:v>39569</c:v>
                </c:pt>
                <c:pt idx="6">
                  <c:v>39661</c:v>
                </c:pt>
                <c:pt idx="7">
                  <c:v>39753</c:v>
                </c:pt>
                <c:pt idx="8">
                  <c:v>39845</c:v>
                </c:pt>
                <c:pt idx="9">
                  <c:v>39934</c:v>
                </c:pt>
                <c:pt idx="10">
                  <c:v>40026</c:v>
                </c:pt>
                <c:pt idx="11">
                  <c:v>40118</c:v>
                </c:pt>
                <c:pt idx="12">
                  <c:v>40210</c:v>
                </c:pt>
                <c:pt idx="13">
                  <c:v>40299</c:v>
                </c:pt>
                <c:pt idx="14">
                  <c:v>40391</c:v>
                </c:pt>
                <c:pt idx="15">
                  <c:v>40483</c:v>
                </c:pt>
                <c:pt idx="16">
                  <c:v>40575</c:v>
                </c:pt>
                <c:pt idx="17">
                  <c:v>40664</c:v>
                </c:pt>
                <c:pt idx="18">
                  <c:v>40756</c:v>
                </c:pt>
                <c:pt idx="19">
                  <c:v>40848</c:v>
                </c:pt>
                <c:pt idx="20">
                  <c:v>40940</c:v>
                </c:pt>
                <c:pt idx="21">
                  <c:v>41030</c:v>
                </c:pt>
                <c:pt idx="22">
                  <c:v>41122</c:v>
                </c:pt>
                <c:pt idx="23">
                  <c:v>41214</c:v>
                </c:pt>
                <c:pt idx="24">
                  <c:v>41306</c:v>
                </c:pt>
                <c:pt idx="25">
                  <c:v>41395</c:v>
                </c:pt>
                <c:pt idx="26">
                  <c:v>41487</c:v>
                </c:pt>
                <c:pt idx="27">
                  <c:v>41579</c:v>
                </c:pt>
                <c:pt idx="28">
                  <c:v>41671</c:v>
                </c:pt>
                <c:pt idx="29">
                  <c:v>41760</c:v>
                </c:pt>
                <c:pt idx="30">
                  <c:v>41852</c:v>
                </c:pt>
                <c:pt idx="31">
                  <c:v>41944</c:v>
                </c:pt>
                <c:pt idx="32">
                  <c:v>42036</c:v>
                </c:pt>
                <c:pt idx="33">
                  <c:v>42125</c:v>
                </c:pt>
                <c:pt idx="34">
                  <c:v>42217</c:v>
                </c:pt>
                <c:pt idx="35">
                  <c:v>42309</c:v>
                </c:pt>
                <c:pt idx="36">
                  <c:v>42401</c:v>
                </c:pt>
                <c:pt idx="37">
                  <c:v>42491</c:v>
                </c:pt>
                <c:pt idx="38">
                  <c:v>42583</c:v>
                </c:pt>
                <c:pt idx="39">
                  <c:v>42675</c:v>
                </c:pt>
                <c:pt idx="40">
                  <c:v>42767</c:v>
                </c:pt>
              </c:numCache>
            </c:numRef>
          </c:cat>
          <c:val>
            <c:numRef>
              <c:f>'Employment chart'!$B$91:$B$131</c:f>
              <c:numCache>
                <c:formatCode>0.0;\-0.0;0.0;@</c:formatCode>
                <c:ptCount val="41"/>
                <c:pt idx="0">
                  <c:v>1014.7294036</c:v>
                </c:pt>
                <c:pt idx="1">
                  <c:v>1023.4995194000001</c:v>
                </c:pt>
                <c:pt idx="2">
                  <c:v>1035.6539372</c:v>
                </c:pt>
                <c:pt idx="3">
                  <c:v>1049.1743369000001</c:v>
                </c:pt>
                <c:pt idx="4">
                  <c:v>1059.2350332000001</c:v>
                </c:pt>
                <c:pt idx="5">
                  <c:v>1058.261407</c:v>
                </c:pt>
                <c:pt idx="6">
                  <c:v>1043.2865975</c:v>
                </c:pt>
                <c:pt idx="7">
                  <c:v>1021.4589126</c:v>
                </c:pt>
                <c:pt idx="8">
                  <c:v>1007.1405693</c:v>
                </c:pt>
                <c:pt idx="9">
                  <c:v>1001.8286452999999</c:v>
                </c:pt>
                <c:pt idx="10">
                  <c:v>999.71695999999997</c:v>
                </c:pt>
                <c:pt idx="11">
                  <c:v>992.80500810000001</c:v>
                </c:pt>
                <c:pt idx="12">
                  <c:v>983.52938779999999</c:v>
                </c:pt>
                <c:pt idx="13">
                  <c:v>978.50372089999996</c:v>
                </c:pt>
                <c:pt idx="14">
                  <c:v>979.08212400000002</c:v>
                </c:pt>
                <c:pt idx="15">
                  <c:v>977.78693699999997</c:v>
                </c:pt>
                <c:pt idx="16">
                  <c:v>968.95374340000001</c:v>
                </c:pt>
                <c:pt idx="17">
                  <c:v>952.29598880000003</c:v>
                </c:pt>
                <c:pt idx="18">
                  <c:v>940.3216572</c:v>
                </c:pt>
                <c:pt idx="19">
                  <c:v>937.12887279999995</c:v>
                </c:pt>
                <c:pt idx="20">
                  <c:v>941.8971616</c:v>
                </c:pt>
                <c:pt idx="21">
                  <c:v>950.11496420000003</c:v>
                </c:pt>
                <c:pt idx="22">
                  <c:v>950.96323099999995</c:v>
                </c:pt>
                <c:pt idx="23">
                  <c:v>942.773775</c:v>
                </c:pt>
                <c:pt idx="24">
                  <c:v>928.50874639999995</c:v>
                </c:pt>
                <c:pt idx="25">
                  <c:v>918.69221589999995</c:v>
                </c:pt>
                <c:pt idx="26">
                  <c:v>920.16609679999999</c:v>
                </c:pt>
                <c:pt idx="27">
                  <c:v>925.65526820000002</c:v>
                </c:pt>
                <c:pt idx="28">
                  <c:v>926.30606179999995</c:v>
                </c:pt>
                <c:pt idx="29">
                  <c:v>920.70800459999998</c:v>
                </c:pt>
                <c:pt idx="30">
                  <c:v>912.51536299999998</c:v>
                </c:pt>
                <c:pt idx="31">
                  <c:v>908.94911300000001</c:v>
                </c:pt>
                <c:pt idx="32">
                  <c:v>911.36584379999999</c:v>
                </c:pt>
                <c:pt idx="33">
                  <c:v>905.01113280000004</c:v>
                </c:pt>
                <c:pt idx="34">
                  <c:v>888.93950700000005</c:v>
                </c:pt>
                <c:pt idx="35">
                  <c:v>875.0945428</c:v>
                </c:pt>
                <c:pt idx="36">
                  <c:v>874.69469240000001</c:v>
                </c:pt>
                <c:pt idx="37">
                  <c:v>891.24537469999996</c:v>
                </c:pt>
                <c:pt idx="38">
                  <c:v>906.64556919999995</c:v>
                </c:pt>
                <c:pt idx="39" formatCode="0.0">
                  <c:v>912.43329540000002</c:v>
                </c:pt>
                <c:pt idx="40" formatCode="0.0">
                  <c:v>914.56929079999998</c:v>
                </c:pt>
              </c:numCache>
            </c:numRef>
          </c:val>
          <c:smooth val="0"/>
        </c:ser>
        <c:ser>
          <c:idx val="1"/>
          <c:order val="1"/>
          <c:tx>
            <c:strRef>
              <c:f>'Employment chart'!$C$1</c:f>
              <c:strCache>
                <c:ptCount val="1"/>
                <c:pt idx="0">
                  <c:v>Construction</c:v>
                </c:pt>
              </c:strCache>
            </c:strRef>
          </c:tx>
          <c:spPr>
            <a:ln w="25400" cap="rnd">
              <a:solidFill>
                <a:srgbClr val="9ED9DF"/>
              </a:solidFill>
              <a:prstDash val="solid"/>
              <a:round/>
            </a:ln>
            <a:effectLst/>
          </c:spPr>
          <c:marker>
            <c:symbol val="none"/>
          </c:marker>
          <c:cat>
            <c:numRef>
              <c:f>'Employment chart'!$A$91:$A$131</c:f>
              <c:numCache>
                <c:formatCode>mmm\-yyyy</c:formatCode>
                <c:ptCount val="41"/>
                <c:pt idx="0">
                  <c:v>39114</c:v>
                </c:pt>
                <c:pt idx="1">
                  <c:v>39203</c:v>
                </c:pt>
                <c:pt idx="2">
                  <c:v>39295</c:v>
                </c:pt>
                <c:pt idx="3">
                  <c:v>39387</c:v>
                </c:pt>
                <c:pt idx="4">
                  <c:v>39479</c:v>
                </c:pt>
                <c:pt idx="5">
                  <c:v>39569</c:v>
                </c:pt>
                <c:pt idx="6">
                  <c:v>39661</c:v>
                </c:pt>
                <c:pt idx="7">
                  <c:v>39753</c:v>
                </c:pt>
                <c:pt idx="8">
                  <c:v>39845</c:v>
                </c:pt>
                <c:pt idx="9">
                  <c:v>39934</c:v>
                </c:pt>
                <c:pt idx="10">
                  <c:v>40026</c:v>
                </c:pt>
                <c:pt idx="11">
                  <c:v>40118</c:v>
                </c:pt>
                <c:pt idx="12">
                  <c:v>40210</c:v>
                </c:pt>
                <c:pt idx="13">
                  <c:v>40299</c:v>
                </c:pt>
                <c:pt idx="14">
                  <c:v>40391</c:v>
                </c:pt>
                <c:pt idx="15">
                  <c:v>40483</c:v>
                </c:pt>
                <c:pt idx="16">
                  <c:v>40575</c:v>
                </c:pt>
                <c:pt idx="17">
                  <c:v>40664</c:v>
                </c:pt>
                <c:pt idx="18">
                  <c:v>40756</c:v>
                </c:pt>
                <c:pt idx="19">
                  <c:v>40848</c:v>
                </c:pt>
                <c:pt idx="20">
                  <c:v>40940</c:v>
                </c:pt>
                <c:pt idx="21">
                  <c:v>41030</c:v>
                </c:pt>
                <c:pt idx="22">
                  <c:v>41122</c:v>
                </c:pt>
                <c:pt idx="23">
                  <c:v>41214</c:v>
                </c:pt>
                <c:pt idx="24">
                  <c:v>41306</c:v>
                </c:pt>
                <c:pt idx="25">
                  <c:v>41395</c:v>
                </c:pt>
                <c:pt idx="26">
                  <c:v>41487</c:v>
                </c:pt>
                <c:pt idx="27">
                  <c:v>41579</c:v>
                </c:pt>
                <c:pt idx="28">
                  <c:v>41671</c:v>
                </c:pt>
                <c:pt idx="29">
                  <c:v>41760</c:v>
                </c:pt>
                <c:pt idx="30">
                  <c:v>41852</c:v>
                </c:pt>
                <c:pt idx="31">
                  <c:v>41944</c:v>
                </c:pt>
                <c:pt idx="32">
                  <c:v>42036</c:v>
                </c:pt>
                <c:pt idx="33">
                  <c:v>42125</c:v>
                </c:pt>
                <c:pt idx="34">
                  <c:v>42217</c:v>
                </c:pt>
                <c:pt idx="35">
                  <c:v>42309</c:v>
                </c:pt>
                <c:pt idx="36">
                  <c:v>42401</c:v>
                </c:pt>
                <c:pt idx="37">
                  <c:v>42491</c:v>
                </c:pt>
                <c:pt idx="38">
                  <c:v>42583</c:v>
                </c:pt>
                <c:pt idx="39">
                  <c:v>42675</c:v>
                </c:pt>
                <c:pt idx="40">
                  <c:v>42767</c:v>
                </c:pt>
              </c:numCache>
            </c:numRef>
          </c:cat>
          <c:val>
            <c:numRef>
              <c:f>'Employment chart'!$C$91:$C$131</c:f>
              <c:numCache>
                <c:formatCode>0.0;\-0.0;0.0;@</c:formatCode>
                <c:ptCount val="41"/>
                <c:pt idx="0">
                  <c:v>933.11871389999999</c:v>
                </c:pt>
                <c:pt idx="1">
                  <c:v>927.36109869999996</c:v>
                </c:pt>
                <c:pt idx="2">
                  <c:v>929.18330779999997</c:v>
                </c:pt>
                <c:pt idx="3">
                  <c:v>944.64061670000001</c:v>
                </c:pt>
                <c:pt idx="4">
                  <c:v>965.10339720000002</c:v>
                </c:pt>
                <c:pt idx="5">
                  <c:v>979.85852079999995</c:v>
                </c:pt>
                <c:pt idx="6">
                  <c:v>985.19548829999997</c:v>
                </c:pt>
                <c:pt idx="7">
                  <c:v>985.28579669999999</c:v>
                </c:pt>
                <c:pt idx="8">
                  <c:v>984.07311589999995</c:v>
                </c:pt>
                <c:pt idx="9">
                  <c:v>980.06480680000004</c:v>
                </c:pt>
                <c:pt idx="10">
                  <c:v>976.57368510000003</c:v>
                </c:pt>
                <c:pt idx="11">
                  <c:v>975.97303669999997</c:v>
                </c:pt>
                <c:pt idx="12">
                  <c:v>977.87277280000001</c:v>
                </c:pt>
                <c:pt idx="13">
                  <c:v>987.01501399999995</c:v>
                </c:pt>
                <c:pt idx="14">
                  <c:v>995.25578229999996</c:v>
                </c:pt>
                <c:pt idx="15">
                  <c:v>999.98743320000005</c:v>
                </c:pt>
                <c:pt idx="16">
                  <c:v>1005.8024726</c:v>
                </c:pt>
                <c:pt idx="17">
                  <c:v>1012.4599565</c:v>
                </c:pt>
                <c:pt idx="18">
                  <c:v>1015.1863475</c:v>
                </c:pt>
                <c:pt idx="19">
                  <c:v>1009.6323489</c:v>
                </c:pt>
                <c:pt idx="20">
                  <c:v>989.75095160000001</c:v>
                </c:pt>
                <c:pt idx="21">
                  <c:v>971.90130590000001</c:v>
                </c:pt>
                <c:pt idx="22">
                  <c:v>970.02465070000005</c:v>
                </c:pt>
                <c:pt idx="23">
                  <c:v>977.64113139999995</c:v>
                </c:pt>
                <c:pt idx="24">
                  <c:v>992.46403699999996</c:v>
                </c:pt>
                <c:pt idx="25">
                  <c:v>1003.3314932</c:v>
                </c:pt>
                <c:pt idx="26">
                  <c:v>1006.2759802</c:v>
                </c:pt>
                <c:pt idx="27">
                  <c:v>1005.9023390999999</c:v>
                </c:pt>
                <c:pt idx="28">
                  <c:v>1007.395544</c:v>
                </c:pt>
                <c:pt idx="29">
                  <c:v>1018.6859082</c:v>
                </c:pt>
                <c:pt idx="30">
                  <c:v>1036.1886786</c:v>
                </c:pt>
                <c:pt idx="31">
                  <c:v>1039.2230942000001</c:v>
                </c:pt>
                <c:pt idx="32">
                  <c:v>1034.6288194000001</c:v>
                </c:pt>
                <c:pt idx="33">
                  <c:v>1033.1503800999999</c:v>
                </c:pt>
                <c:pt idx="34">
                  <c:v>1040.1173351</c:v>
                </c:pt>
                <c:pt idx="35">
                  <c:v>1052.4951295000001</c:v>
                </c:pt>
                <c:pt idx="36">
                  <c:v>1062.2282622</c:v>
                </c:pt>
                <c:pt idx="37">
                  <c:v>1066.3477132999999</c:v>
                </c:pt>
                <c:pt idx="38">
                  <c:v>1072.1290179</c:v>
                </c:pt>
                <c:pt idx="39" formatCode="0.0">
                  <c:v>1082.9912790999999</c:v>
                </c:pt>
                <c:pt idx="40" formatCode="0.0">
                  <c:v>1098.5365277000001</c:v>
                </c:pt>
              </c:numCache>
            </c:numRef>
          </c:val>
          <c:smooth val="0"/>
        </c:ser>
        <c:ser>
          <c:idx val="2"/>
          <c:order val="2"/>
          <c:tx>
            <c:strRef>
              <c:f>'Employment chart'!$D$1</c:f>
              <c:strCache>
                <c:ptCount val="1"/>
                <c:pt idx="0">
                  <c:v>Mining</c:v>
                </c:pt>
              </c:strCache>
            </c:strRef>
          </c:tx>
          <c:spPr>
            <a:ln w="25400" cap="rnd">
              <a:solidFill>
                <a:srgbClr val="22789A"/>
              </a:solidFill>
              <a:prstDash val="dash"/>
              <a:round/>
            </a:ln>
            <a:effectLst/>
          </c:spPr>
          <c:marker>
            <c:symbol val="none"/>
          </c:marker>
          <c:cat>
            <c:numRef>
              <c:f>'Employment chart'!$A$91:$A$131</c:f>
              <c:numCache>
                <c:formatCode>mmm\-yyyy</c:formatCode>
                <c:ptCount val="41"/>
                <c:pt idx="0">
                  <c:v>39114</c:v>
                </c:pt>
                <c:pt idx="1">
                  <c:v>39203</c:v>
                </c:pt>
                <c:pt idx="2">
                  <c:v>39295</c:v>
                </c:pt>
                <c:pt idx="3">
                  <c:v>39387</c:v>
                </c:pt>
                <c:pt idx="4">
                  <c:v>39479</c:v>
                </c:pt>
                <c:pt idx="5">
                  <c:v>39569</c:v>
                </c:pt>
                <c:pt idx="6">
                  <c:v>39661</c:v>
                </c:pt>
                <c:pt idx="7">
                  <c:v>39753</c:v>
                </c:pt>
                <c:pt idx="8">
                  <c:v>39845</c:v>
                </c:pt>
                <c:pt idx="9">
                  <c:v>39934</c:v>
                </c:pt>
                <c:pt idx="10">
                  <c:v>40026</c:v>
                </c:pt>
                <c:pt idx="11">
                  <c:v>40118</c:v>
                </c:pt>
                <c:pt idx="12">
                  <c:v>40210</c:v>
                </c:pt>
                <c:pt idx="13">
                  <c:v>40299</c:v>
                </c:pt>
                <c:pt idx="14">
                  <c:v>40391</c:v>
                </c:pt>
                <c:pt idx="15">
                  <c:v>40483</c:v>
                </c:pt>
                <c:pt idx="16">
                  <c:v>40575</c:v>
                </c:pt>
                <c:pt idx="17">
                  <c:v>40664</c:v>
                </c:pt>
                <c:pt idx="18">
                  <c:v>40756</c:v>
                </c:pt>
                <c:pt idx="19">
                  <c:v>40848</c:v>
                </c:pt>
                <c:pt idx="20">
                  <c:v>40940</c:v>
                </c:pt>
                <c:pt idx="21">
                  <c:v>41030</c:v>
                </c:pt>
                <c:pt idx="22">
                  <c:v>41122</c:v>
                </c:pt>
                <c:pt idx="23">
                  <c:v>41214</c:v>
                </c:pt>
                <c:pt idx="24">
                  <c:v>41306</c:v>
                </c:pt>
                <c:pt idx="25">
                  <c:v>41395</c:v>
                </c:pt>
                <c:pt idx="26">
                  <c:v>41487</c:v>
                </c:pt>
                <c:pt idx="27">
                  <c:v>41579</c:v>
                </c:pt>
                <c:pt idx="28">
                  <c:v>41671</c:v>
                </c:pt>
                <c:pt idx="29">
                  <c:v>41760</c:v>
                </c:pt>
                <c:pt idx="30">
                  <c:v>41852</c:v>
                </c:pt>
                <c:pt idx="31">
                  <c:v>41944</c:v>
                </c:pt>
                <c:pt idx="32">
                  <c:v>42036</c:v>
                </c:pt>
                <c:pt idx="33">
                  <c:v>42125</c:v>
                </c:pt>
                <c:pt idx="34">
                  <c:v>42217</c:v>
                </c:pt>
                <c:pt idx="35">
                  <c:v>42309</c:v>
                </c:pt>
                <c:pt idx="36">
                  <c:v>42401</c:v>
                </c:pt>
                <c:pt idx="37">
                  <c:v>42491</c:v>
                </c:pt>
                <c:pt idx="38">
                  <c:v>42583</c:v>
                </c:pt>
                <c:pt idx="39">
                  <c:v>42675</c:v>
                </c:pt>
                <c:pt idx="40">
                  <c:v>42767</c:v>
                </c:pt>
              </c:numCache>
            </c:numRef>
          </c:cat>
          <c:val>
            <c:numRef>
              <c:f>'Employment chart'!$D$91:$D$131</c:f>
              <c:numCache>
                <c:formatCode>0.0;\-0.0;0.0;@</c:formatCode>
                <c:ptCount val="41"/>
                <c:pt idx="0">
                  <c:v>136.8521475</c:v>
                </c:pt>
                <c:pt idx="1">
                  <c:v>137.2143963</c:v>
                </c:pt>
                <c:pt idx="2">
                  <c:v>136.04195139999999</c:v>
                </c:pt>
                <c:pt idx="3">
                  <c:v>138.08150549999999</c:v>
                </c:pt>
                <c:pt idx="4">
                  <c:v>146.88438149999999</c:v>
                </c:pt>
                <c:pt idx="5">
                  <c:v>161.3619587</c:v>
                </c:pt>
                <c:pt idx="6">
                  <c:v>174.45453789999999</c:v>
                </c:pt>
                <c:pt idx="7">
                  <c:v>176.63996900000001</c:v>
                </c:pt>
                <c:pt idx="8">
                  <c:v>170.05598939999999</c:v>
                </c:pt>
                <c:pt idx="9">
                  <c:v>163.34018159999999</c:v>
                </c:pt>
                <c:pt idx="10">
                  <c:v>162.35225439999999</c:v>
                </c:pt>
                <c:pt idx="11">
                  <c:v>168.24855199999999</c:v>
                </c:pt>
                <c:pt idx="12">
                  <c:v>176.68313649999999</c:v>
                </c:pt>
                <c:pt idx="13">
                  <c:v>185.23755629999999</c:v>
                </c:pt>
                <c:pt idx="14">
                  <c:v>193.3228264</c:v>
                </c:pt>
                <c:pt idx="15">
                  <c:v>200.71930040000001</c:v>
                </c:pt>
                <c:pt idx="16">
                  <c:v>207.6125772</c:v>
                </c:pt>
                <c:pt idx="17">
                  <c:v>215.63318330000001</c:v>
                </c:pt>
                <c:pt idx="18">
                  <c:v>226.05588950000001</c:v>
                </c:pt>
                <c:pt idx="19">
                  <c:v>240.84224850000001</c:v>
                </c:pt>
                <c:pt idx="20">
                  <c:v>258.30848459999999</c:v>
                </c:pt>
                <c:pt idx="21">
                  <c:v>270.68461719999999</c:v>
                </c:pt>
                <c:pt idx="22">
                  <c:v>274.2445788</c:v>
                </c:pt>
                <c:pt idx="23">
                  <c:v>270.89919300000003</c:v>
                </c:pt>
                <c:pt idx="24">
                  <c:v>265.91423350000002</c:v>
                </c:pt>
                <c:pt idx="25">
                  <c:v>265.97671989999998</c:v>
                </c:pt>
                <c:pt idx="26">
                  <c:v>268.74032840000001</c:v>
                </c:pt>
                <c:pt idx="27">
                  <c:v>271.42878969999998</c:v>
                </c:pt>
                <c:pt idx="28">
                  <c:v>269.8207079</c:v>
                </c:pt>
                <c:pt idx="29">
                  <c:v>260.01718770000002</c:v>
                </c:pt>
                <c:pt idx="30">
                  <c:v>245.47537940000001</c:v>
                </c:pt>
                <c:pt idx="31">
                  <c:v>231.82532259999999</c:v>
                </c:pt>
                <c:pt idx="32">
                  <c:v>226.55407</c:v>
                </c:pt>
                <c:pt idx="33">
                  <c:v>228.56528560000001</c:v>
                </c:pt>
                <c:pt idx="34">
                  <c:v>231.16585559999999</c:v>
                </c:pt>
                <c:pt idx="35">
                  <c:v>230.78634880000001</c:v>
                </c:pt>
                <c:pt idx="36">
                  <c:v>225.9073573</c:v>
                </c:pt>
                <c:pt idx="37">
                  <c:v>222.74759969999999</c:v>
                </c:pt>
                <c:pt idx="38">
                  <c:v>226.03996330000001</c:v>
                </c:pt>
                <c:pt idx="39" formatCode="0.0">
                  <c:v>232.64855009999999</c:v>
                </c:pt>
                <c:pt idx="40" formatCode="0.0">
                  <c:v>240.8308969</c:v>
                </c:pt>
              </c:numCache>
            </c:numRef>
          </c:val>
          <c:smooth val="0"/>
        </c:ser>
        <c:dLbls>
          <c:showLegendKey val="0"/>
          <c:showVal val="0"/>
          <c:showCatName val="0"/>
          <c:showSerName val="0"/>
          <c:showPercent val="0"/>
          <c:showBubbleSize val="0"/>
        </c:dLbls>
        <c:smooth val="0"/>
        <c:axId val="122062400"/>
        <c:axId val="122062008"/>
      </c:lineChart>
      <c:dateAx>
        <c:axId val="122062400"/>
        <c:scaling>
          <c:orientation val="minMax"/>
        </c:scaling>
        <c:delete val="0"/>
        <c:axPos val="b"/>
        <c:numFmt formatCode="yyyy" sourceLinked="0"/>
        <c:majorTickMark val="none"/>
        <c:minorTickMark val="none"/>
        <c:tickLblPos val="nextTo"/>
        <c:spPr>
          <a:noFill/>
          <a:ln w="9525" cap="flat" cmpd="sng" algn="ctr">
            <a:solidFill>
              <a:srgbClr val="868686"/>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chemeClr val="tx1"/>
                </a:solidFill>
                <a:latin typeface="Arial"/>
                <a:ea typeface="Arial"/>
                <a:cs typeface="Arial"/>
              </a:defRPr>
            </a:pPr>
            <a:endParaRPr lang="en-US"/>
          </a:p>
        </c:txPr>
        <c:crossAx val="122062008"/>
        <c:crosses val="autoZero"/>
        <c:auto val="0"/>
        <c:lblOffset val="100"/>
        <c:baseTimeUnit val="months"/>
        <c:majorUnit val="2"/>
        <c:majorTimeUnit val="years"/>
      </c:dateAx>
      <c:valAx>
        <c:axId val="12206200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Arial"/>
                    <a:ea typeface="Arial"/>
                    <a:cs typeface="Arial"/>
                  </a:defRPr>
                </a:pPr>
                <a:r>
                  <a:rPr lang="en-AU"/>
                  <a:t>Employment ('000)</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Arial"/>
                  <a:ea typeface="Arial"/>
                  <a:cs typeface="Arial"/>
                </a:defRPr>
              </a:pPr>
              <a:endParaRPr lang="en-US"/>
            </a:p>
          </c:txPr>
        </c:title>
        <c:numFmt formatCode="#,##0" sourceLinked="0"/>
        <c:majorTickMark val="none"/>
        <c:minorTickMark val="none"/>
        <c:tickLblPos val="nextTo"/>
        <c:spPr>
          <a:noFill/>
          <a:ln>
            <a:solidFill>
              <a:srgbClr val="868686"/>
            </a:solidFill>
          </a:ln>
          <a:effectLst/>
        </c:spPr>
        <c:txPr>
          <a:bodyPr rot="-60000000" spcFirstLastPara="1" vertOverflow="ellipsis" vert="horz" wrap="square" anchor="ctr" anchorCtr="1"/>
          <a:lstStyle/>
          <a:p>
            <a:pPr>
              <a:defRPr sz="900" b="0" i="0" u="none" strike="noStrike" kern="1200" baseline="0">
                <a:solidFill>
                  <a:schemeClr val="tx1"/>
                </a:solidFill>
                <a:latin typeface="Arial"/>
                <a:ea typeface="Arial"/>
                <a:cs typeface="Arial"/>
              </a:defRPr>
            </a:pPr>
            <a:endParaRPr lang="en-US"/>
          </a:p>
        </c:txPr>
        <c:crossAx val="122062400"/>
        <c:crosses val="autoZero"/>
        <c:crossBetween val="between"/>
      </c:valAx>
      <c:spPr>
        <a:noFill/>
        <a:ln w="25400">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sz="900" b="0">
          <a:solidFill>
            <a:schemeClr val="tx1"/>
          </a:solidFill>
          <a:latin typeface="Arial"/>
          <a:ea typeface="Arial"/>
          <a:cs typeface="Aria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14052340841535E-2"/>
          <c:y val="5.1286128209474931E-2"/>
          <c:w val="0.86813141442829422"/>
          <c:h val="0.74664899030478338"/>
        </c:manualLayout>
      </c:layout>
      <c:lineChart>
        <c:grouping val="standard"/>
        <c:varyColors val="0"/>
        <c:ser>
          <c:idx val="2"/>
          <c:order val="0"/>
          <c:tx>
            <c:strRef>
              <c:f>'8752 tab03 clean'!$C$2</c:f>
              <c:strCache>
                <c:ptCount val="1"/>
                <c:pt idx="0">
                  <c:v>New Houses</c:v>
                </c:pt>
              </c:strCache>
            </c:strRef>
          </c:tx>
          <c:spPr>
            <a:ln>
              <a:solidFill>
                <a:srgbClr val="292B67"/>
              </a:solidFill>
              <a:prstDash val="solid"/>
            </a:ln>
          </c:spPr>
          <c:marker>
            <c:symbol val="none"/>
          </c:marker>
          <c:cat>
            <c:numRef>
              <c:f>'8752 tab03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'8752 tab03 clean'!$C$7:$C$47</c:f>
              <c:numCache>
                <c:formatCode>General</c:formatCode>
                <c:ptCount val="41"/>
                <c:pt idx="0">
                  <c:v>7.6973890000000003</c:v>
                </c:pt>
                <c:pt idx="1">
                  <c:v>7.8422710000000002</c:v>
                </c:pt>
                <c:pt idx="2">
                  <c:v>7.8204630000000002</c:v>
                </c:pt>
                <c:pt idx="3">
                  <c:v>7.7259060000000002</c:v>
                </c:pt>
                <c:pt idx="4">
                  <c:v>7.7686830000000002</c:v>
                </c:pt>
                <c:pt idx="5">
                  <c:v>7.9703229999999996</c:v>
                </c:pt>
                <c:pt idx="6">
                  <c:v>8.1307419999999997</c:v>
                </c:pt>
                <c:pt idx="7">
                  <c:v>8.0629609999999996</c:v>
                </c:pt>
                <c:pt idx="8">
                  <c:v>7.775417</c:v>
                </c:pt>
                <c:pt idx="9">
                  <c:v>7.5285330000000004</c:v>
                </c:pt>
                <c:pt idx="10">
                  <c:v>7.5090409999999999</c:v>
                </c:pt>
                <c:pt idx="11">
                  <c:v>7.6550200000000004</c:v>
                </c:pt>
                <c:pt idx="12">
                  <c:v>7.9690459999999996</c:v>
                </c:pt>
                <c:pt idx="13">
                  <c:v>8.2504659999999994</c:v>
                </c:pt>
                <c:pt idx="14">
                  <c:v>8.3747220000000002</c:v>
                </c:pt>
                <c:pt idx="15">
                  <c:v>8.2779430000000005</c:v>
                </c:pt>
                <c:pt idx="16">
                  <c:v>8.0406600000000008</c:v>
                </c:pt>
                <c:pt idx="17">
                  <c:v>7.8476679999999996</c:v>
                </c:pt>
                <c:pt idx="18">
                  <c:v>7.7066939999999997</c:v>
                </c:pt>
                <c:pt idx="19">
                  <c:v>7.4663810000000002</c:v>
                </c:pt>
                <c:pt idx="20">
                  <c:v>7.2136709999999997</c:v>
                </c:pt>
                <c:pt idx="21">
                  <c:v>7.0296640000000004</c:v>
                </c:pt>
                <c:pt idx="22">
                  <c:v>7.0188769999999998</c:v>
                </c:pt>
                <c:pt idx="23">
                  <c:v>7.1340050000000002</c:v>
                </c:pt>
                <c:pt idx="24">
                  <c:v>7.2311009999999998</c:v>
                </c:pt>
                <c:pt idx="25">
                  <c:v>7.21265</c:v>
                </c:pt>
                <c:pt idx="26">
                  <c:v>7.0901240000000003</c:v>
                </c:pt>
                <c:pt idx="27">
                  <c:v>7.0501269999999998</c:v>
                </c:pt>
                <c:pt idx="28">
                  <c:v>7.2077309999999999</c:v>
                </c:pt>
                <c:pt idx="29">
                  <c:v>7.4182589999999999</c:v>
                </c:pt>
                <c:pt idx="30">
                  <c:v>7.5408109999999997</c:v>
                </c:pt>
                <c:pt idx="31">
                  <c:v>7.7430009999999996</c:v>
                </c:pt>
                <c:pt idx="32">
                  <c:v>8.0459049999999994</c:v>
                </c:pt>
                <c:pt idx="33">
                  <c:v>8.3393949999999997</c:v>
                </c:pt>
                <c:pt idx="34">
                  <c:v>8.4336070000000003</c:v>
                </c:pt>
                <c:pt idx="35">
                  <c:v>8.3219309999999993</c:v>
                </c:pt>
                <c:pt idx="36">
                  <c:v>8.2813289999999995</c:v>
                </c:pt>
                <c:pt idx="37">
                  <c:v>8.3614510000000006</c:v>
                </c:pt>
                <c:pt idx="38">
                  <c:v>8.3837440000000001</c:v>
                </c:pt>
                <c:pt idx="39">
                  <c:v>8.3630329999999997</c:v>
                </c:pt>
                <c:pt idx="40">
                  <c:v>8.3043980000000008</c:v>
                </c:pt>
              </c:numCache>
            </c:numRef>
          </c:val>
          <c:smooth val="0"/>
        </c:ser>
        <c:ser>
          <c:idx val="3"/>
          <c:order val="1"/>
          <c:tx>
            <c:strRef>
              <c:f>'8752 tab03 clean'!$E$2</c:f>
              <c:strCache>
                <c:ptCount val="1"/>
                <c:pt idx="0">
                  <c:v>New Total Other Residential</c:v>
                </c:pt>
              </c:strCache>
            </c:strRef>
          </c:tx>
          <c:spPr>
            <a:ln>
              <a:solidFill>
                <a:srgbClr val="9ED9DF"/>
              </a:solidFill>
              <a:prstDash val="solid"/>
            </a:ln>
          </c:spPr>
          <c:marker>
            <c:symbol val="none"/>
          </c:marker>
          <c:cat>
            <c:numRef>
              <c:f>'8752 tab03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'8752 tab03 clean'!$E$7:$E$47</c:f>
              <c:numCache>
                <c:formatCode>General</c:formatCode>
                <c:ptCount val="41"/>
                <c:pt idx="0">
                  <c:v>2.9800900000000001</c:v>
                </c:pt>
                <c:pt idx="1">
                  <c:v>2.8964539999999999</c:v>
                </c:pt>
                <c:pt idx="2">
                  <c:v>2.8528060000000002</c:v>
                </c:pt>
                <c:pt idx="3">
                  <c:v>2.8256420000000002</c:v>
                </c:pt>
                <c:pt idx="4">
                  <c:v>2.8232729999999999</c:v>
                </c:pt>
                <c:pt idx="5">
                  <c:v>2.8433609999999998</c:v>
                </c:pt>
                <c:pt idx="6">
                  <c:v>2.9014380000000002</c:v>
                </c:pt>
                <c:pt idx="7">
                  <c:v>2.9903659999999999</c:v>
                </c:pt>
                <c:pt idx="8">
                  <c:v>3.048079</c:v>
                </c:pt>
                <c:pt idx="9">
                  <c:v>3.0503459999999998</c:v>
                </c:pt>
                <c:pt idx="10">
                  <c:v>2.9742109999999999</c:v>
                </c:pt>
                <c:pt idx="11">
                  <c:v>2.867972</c:v>
                </c:pt>
                <c:pt idx="12">
                  <c:v>2.8760910000000002</c:v>
                </c:pt>
                <c:pt idx="13">
                  <c:v>3.0789499999999999</c:v>
                </c:pt>
                <c:pt idx="14">
                  <c:v>3.362349</c:v>
                </c:pt>
                <c:pt idx="15">
                  <c:v>3.5877620000000001</c:v>
                </c:pt>
                <c:pt idx="16">
                  <c:v>3.6585269999999999</c:v>
                </c:pt>
                <c:pt idx="17">
                  <c:v>3.6033460000000002</c:v>
                </c:pt>
                <c:pt idx="18">
                  <c:v>3.5343049999999998</c:v>
                </c:pt>
                <c:pt idx="19">
                  <c:v>3.4939019999999998</c:v>
                </c:pt>
                <c:pt idx="20">
                  <c:v>3.5002810000000002</c:v>
                </c:pt>
                <c:pt idx="21">
                  <c:v>3.537677</c:v>
                </c:pt>
                <c:pt idx="22">
                  <c:v>3.6021209999999999</c:v>
                </c:pt>
                <c:pt idx="23">
                  <c:v>3.735643</c:v>
                </c:pt>
                <c:pt idx="24">
                  <c:v>3.914949</c:v>
                </c:pt>
                <c:pt idx="25">
                  <c:v>4.104158</c:v>
                </c:pt>
                <c:pt idx="26">
                  <c:v>4.2430130000000004</c:v>
                </c:pt>
                <c:pt idx="27">
                  <c:v>4.3552850000000003</c:v>
                </c:pt>
                <c:pt idx="28">
                  <c:v>4.4964240000000002</c:v>
                </c:pt>
                <c:pt idx="29">
                  <c:v>4.6831360000000002</c:v>
                </c:pt>
                <c:pt idx="30">
                  <c:v>4.9117189999999997</c:v>
                </c:pt>
                <c:pt idx="31">
                  <c:v>5.1170109999999998</c:v>
                </c:pt>
                <c:pt idx="32">
                  <c:v>5.2758500000000002</c:v>
                </c:pt>
                <c:pt idx="33">
                  <c:v>5.4696509999999998</c:v>
                </c:pt>
                <c:pt idx="34">
                  <c:v>5.7421959999999999</c:v>
                </c:pt>
                <c:pt idx="35">
                  <c:v>6.1709350000000001</c:v>
                </c:pt>
                <c:pt idx="36">
                  <c:v>6.7089429999999997</c:v>
                </c:pt>
                <c:pt idx="37">
                  <c:v>7.1630140000000004</c:v>
                </c:pt>
                <c:pt idx="38">
                  <c:v>7.3875169999999999</c:v>
                </c:pt>
                <c:pt idx="39">
                  <c:v>7.489687</c:v>
                </c:pt>
                <c:pt idx="40">
                  <c:v>7.5453419999999998</c:v>
                </c:pt>
              </c:numCache>
            </c:numRef>
          </c:val>
          <c:smooth val="0"/>
        </c:ser>
        <c:ser>
          <c:idx val="4"/>
          <c:order val="2"/>
          <c:tx>
            <c:strRef>
              <c:f>'8752 tab03 clean'!$I$2</c:f>
              <c:strCache>
                <c:ptCount val="1"/>
                <c:pt idx="0">
                  <c:v>Alterations and additions including conversions</c:v>
                </c:pt>
              </c:strCache>
            </c:strRef>
          </c:tx>
          <c:spPr>
            <a:ln>
              <a:solidFill>
                <a:srgbClr val="22789A"/>
              </a:solidFill>
              <a:prstDash val="solid"/>
            </a:ln>
          </c:spPr>
          <c:marker>
            <c:symbol val="none"/>
          </c:marker>
          <c:cat>
            <c:numRef>
              <c:f>'8752 tab03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'8752 tab03 clean'!$I$7:$I$47</c:f>
              <c:numCache>
                <c:formatCode>General</c:formatCode>
                <c:ptCount val="41"/>
                <c:pt idx="0">
                  <c:v>2.067288</c:v>
                </c:pt>
                <c:pt idx="1">
                  <c:v>2.0678429999999999</c:v>
                </c:pt>
                <c:pt idx="2">
                  <c:v>2.0704699999999998</c:v>
                </c:pt>
                <c:pt idx="3">
                  <c:v>2.0821809999999998</c:v>
                </c:pt>
                <c:pt idx="4">
                  <c:v>2.1094550000000001</c:v>
                </c:pt>
                <c:pt idx="5">
                  <c:v>2.141127</c:v>
                </c:pt>
                <c:pt idx="6">
                  <c:v>2.1534219999999999</c:v>
                </c:pt>
                <c:pt idx="7">
                  <c:v>2.14689</c:v>
                </c:pt>
                <c:pt idx="8">
                  <c:v>2.095815</c:v>
                </c:pt>
                <c:pt idx="9">
                  <c:v>2.0057320000000001</c:v>
                </c:pt>
                <c:pt idx="10">
                  <c:v>1.9297059999999999</c:v>
                </c:pt>
                <c:pt idx="11">
                  <c:v>1.924938</c:v>
                </c:pt>
                <c:pt idx="12">
                  <c:v>1.992791</c:v>
                </c:pt>
                <c:pt idx="13">
                  <c:v>2.0810740000000001</c:v>
                </c:pt>
                <c:pt idx="14">
                  <c:v>2.126671</c:v>
                </c:pt>
                <c:pt idx="15">
                  <c:v>2.144279</c:v>
                </c:pt>
                <c:pt idx="16">
                  <c:v>2.1554660000000001</c:v>
                </c:pt>
                <c:pt idx="17">
                  <c:v>2.1794570000000002</c:v>
                </c:pt>
                <c:pt idx="18">
                  <c:v>2.202337</c:v>
                </c:pt>
                <c:pt idx="19">
                  <c:v>2.1933959999999999</c:v>
                </c:pt>
                <c:pt idx="20">
                  <c:v>2.136218</c:v>
                </c:pt>
                <c:pt idx="21">
                  <c:v>2.0552549999999998</c:v>
                </c:pt>
                <c:pt idx="22">
                  <c:v>2.0016600000000002</c:v>
                </c:pt>
                <c:pt idx="23">
                  <c:v>1.968869</c:v>
                </c:pt>
                <c:pt idx="24">
                  <c:v>1.9459759999999999</c:v>
                </c:pt>
                <c:pt idx="25">
                  <c:v>1.9244209999999999</c:v>
                </c:pt>
                <c:pt idx="26">
                  <c:v>1.9188670000000001</c:v>
                </c:pt>
                <c:pt idx="27">
                  <c:v>1.938639</c:v>
                </c:pt>
                <c:pt idx="28">
                  <c:v>1.9600820000000001</c:v>
                </c:pt>
                <c:pt idx="29">
                  <c:v>1.95902</c:v>
                </c:pt>
                <c:pt idx="30">
                  <c:v>1.946143</c:v>
                </c:pt>
                <c:pt idx="31">
                  <c:v>1.9402360000000001</c:v>
                </c:pt>
                <c:pt idx="32">
                  <c:v>1.9751650000000001</c:v>
                </c:pt>
                <c:pt idx="33">
                  <c:v>2.0330180000000002</c:v>
                </c:pt>
                <c:pt idx="34">
                  <c:v>2.0700270000000001</c:v>
                </c:pt>
                <c:pt idx="35">
                  <c:v>2.0670120000000001</c:v>
                </c:pt>
                <c:pt idx="36">
                  <c:v>2.0581740000000002</c:v>
                </c:pt>
                <c:pt idx="37">
                  <c:v>2.0730140000000001</c:v>
                </c:pt>
                <c:pt idx="38">
                  <c:v>2.107335</c:v>
                </c:pt>
                <c:pt idx="39">
                  <c:v>2.1405630000000002</c:v>
                </c:pt>
                <c:pt idx="40">
                  <c:v>2.1665939999999999</c:v>
                </c:pt>
              </c:numCache>
            </c:numRef>
          </c:val>
          <c:smooth val="0"/>
        </c:ser>
        <c:ser>
          <c:idx val="5"/>
          <c:order val="3"/>
          <c:tx>
            <c:strRef>
              <c:f>'8752 tab01 clean'!$E$2</c:f>
              <c:strCache>
                <c:ptCount val="1"/>
                <c:pt idx="0">
                  <c:v>Total Non-residential</c:v>
                </c:pt>
              </c:strCache>
            </c:strRef>
          </c:tx>
          <c:spPr>
            <a:ln>
              <a:solidFill>
                <a:srgbClr val="BCBFC1"/>
              </a:solidFill>
              <a:prstDash val="solid"/>
            </a:ln>
          </c:spPr>
          <c:marker>
            <c:symbol val="none"/>
          </c:marker>
          <c:cat>
            <c:numRef>
              <c:f>'8752 tab03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'8752 tab01 clean'!$E$7:$E$47</c:f>
              <c:numCache>
                <c:formatCode>General</c:formatCode>
                <c:ptCount val="41"/>
                <c:pt idx="0">
                  <c:v>7.6424110000000001</c:v>
                </c:pt>
                <c:pt idx="1">
                  <c:v>7.7646620000000004</c:v>
                </c:pt>
                <c:pt idx="2">
                  <c:v>7.9253419999999997</c:v>
                </c:pt>
                <c:pt idx="3">
                  <c:v>8.0822870000000009</c:v>
                </c:pt>
                <c:pt idx="4">
                  <c:v>8.2670259999999995</c:v>
                </c:pt>
                <c:pt idx="5">
                  <c:v>8.4227129999999999</c:v>
                </c:pt>
                <c:pt idx="6">
                  <c:v>8.5571549999999998</c:v>
                </c:pt>
                <c:pt idx="7">
                  <c:v>8.7799200000000006</c:v>
                </c:pt>
                <c:pt idx="8">
                  <c:v>8.8618600000000001</c:v>
                </c:pt>
                <c:pt idx="9">
                  <c:v>8.6691020000000005</c:v>
                </c:pt>
                <c:pt idx="10">
                  <c:v>8.3695310000000003</c:v>
                </c:pt>
                <c:pt idx="11">
                  <c:v>8.4114260000000005</c:v>
                </c:pt>
                <c:pt idx="12">
                  <c:v>9.0477629999999998</c:v>
                </c:pt>
                <c:pt idx="13">
                  <c:v>9.9719840000000008</c:v>
                </c:pt>
                <c:pt idx="14">
                  <c:v>10.510239</c:v>
                </c:pt>
                <c:pt idx="15">
                  <c:v>10.341678</c:v>
                </c:pt>
                <c:pt idx="16">
                  <c:v>9.7307740000000003</c:v>
                </c:pt>
                <c:pt idx="17">
                  <c:v>9.1680390000000003</c:v>
                </c:pt>
                <c:pt idx="18">
                  <c:v>8.9122869999999992</c:v>
                </c:pt>
                <c:pt idx="19">
                  <c:v>8.9378399999999996</c:v>
                </c:pt>
                <c:pt idx="20">
                  <c:v>9.0016669999999994</c:v>
                </c:pt>
                <c:pt idx="21">
                  <c:v>8.8805980000000009</c:v>
                </c:pt>
                <c:pt idx="22">
                  <c:v>8.6870840000000005</c:v>
                </c:pt>
                <c:pt idx="23">
                  <c:v>8.5795189999999995</c:v>
                </c:pt>
                <c:pt idx="24">
                  <c:v>8.6001709999999996</c:v>
                </c:pt>
                <c:pt idx="25">
                  <c:v>8.7519690000000008</c:v>
                </c:pt>
                <c:pt idx="26">
                  <c:v>8.923508</c:v>
                </c:pt>
                <c:pt idx="27">
                  <c:v>9.0421250000000004</c:v>
                </c:pt>
                <c:pt idx="28">
                  <c:v>9.1289259999999999</c:v>
                </c:pt>
                <c:pt idx="29">
                  <c:v>9.1555280000000003</c:v>
                </c:pt>
                <c:pt idx="30">
                  <c:v>9.1459299999999999</c:v>
                </c:pt>
                <c:pt idx="31">
                  <c:v>9.1580530000000007</c:v>
                </c:pt>
                <c:pt idx="32">
                  <c:v>9.1722859999999997</c:v>
                </c:pt>
                <c:pt idx="33">
                  <c:v>9.1372330000000002</c:v>
                </c:pt>
                <c:pt idx="34">
                  <c:v>9.0982909999999997</c:v>
                </c:pt>
                <c:pt idx="35">
                  <c:v>9.0430080000000004</c:v>
                </c:pt>
                <c:pt idx="36">
                  <c:v>9.0633660000000003</c:v>
                </c:pt>
                <c:pt idx="37">
                  <c:v>9.0908549999999995</c:v>
                </c:pt>
                <c:pt idx="38">
                  <c:v>8.9968210000000006</c:v>
                </c:pt>
                <c:pt idx="39">
                  <c:v>8.8320369999999997</c:v>
                </c:pt>
                <c:pt idx="40">
                  <c:v>8.6791239999999998</c:v>
                </c:pt>
              </c:numCache>
            </c:numRef>
          </c:val>
          <c:smooth val="0"/>
        </c:ser>
        <c:dLbls>
          <c:showLegendKey val="0"/>
          <c:showVal val="0"/>
          <c:showCatName val="0"/>
          <c:showSerName val="0"/>
          <c:showPercent val="0"/>
          <c:showBubbleSize val="0"/>
        </c:dLbls>
        <c:smooth val="0"/>
        <c:axId val="145266712"/>
        <c:axId val="145268280"/>
      </c:lineChart>
      <c:dateAx>
        <c:axId val="145266712"/>
        <c:scaling>
          <c:orientation val="minMax"/>
        </c:scaling>
        <c:delete val="0"/>
        <c:axPos val="b"/>
        <c:numFmt formatCode="yyyy" sourceLinked="0"/>
        <c:majorTickMark val="none"/>
        <c:minorTickMark val="none"/>
        <c:tickLblPos val="nextTo"/>
        <c:spPr>
          <a:ln w="3175">
            <a:solidFill>
              <a:srgbClr val="BCBFC1"/>
            </a:solidFill>
            <a:prstDash val="solid"/>
          </a:ln>
        </c:spPr>
        <c:txPr>
          <a:bodyPr/>
          <a:lstStyle/>
          <a:p>
            <a:pPr>
              <a:defRPr sz="900" b="0">
                <a:solidFill>
                  <a:srgbClr val="595A5B"/>
                </a:solidFill>
                <a:latin typeface="Arial"/>
                <a:ea typeface="Arial"/>
                <a:cs typeface="Arial"/>
              </a:defRPr>
            </a:pPr>
            <a:endParaRPr lang="en-US"/>
          </a:p>
        </c:txPr>
        <c:crossAx val="145268280"/>
        <c:crosses val="autoZero"/>
        <c:auto val="1"/>
        <c:lblOffset val="100"/>
        <c:baseTimeUnit val="months"/>
        <c:majorUnit val="2"/>
        <c:majorTimeUnit val="years"/>
      </c:dateAx>
      <c:valAx>
        <c:axId val="145268280"/>
        <c:scaling>
          <c:orientation val="minMax"/>
        </c:scaling>
        <c:delete val="0"/>
        <c:axPos val="l"/>
        <c:title>
          <c:tx>
            <c:rich>
              <a:bodyPr/>
              <a:lstStyle/>
              <a:p>
                <a:pPr>
                  <a:defRPr sz="900" b="0">
                    <a:solidFill>
                      <a:srgbClr val="595A5B"/>
                    </a:solidFill>
                    <a:latin typeface="Arial"/>
                    <a:ea typeface="Arial"/>
                    <a:cs typeface="Arial"/>
                  </a:defRPr>
                </a:pPr>
                <a:r>
                  <a:rPr lang="en-AU"/>
                  <a:t>Work done ($ billions)</a:t>
                </a:r>
              </a:p>
            </c:rich>
          </c:tx>
          <c:layout>
            <c:manualLayout>
              <c:xMode val="edge"/>
              <c:yMode val="edge"/>
              <c:x val="3.4901177935730832E-2"/>
              <c:y val="0.26215303444212329"/>
            </c:manualLayout>
          </c:layout>
          <c:overlay val="0"/>
        </c:title>
        <c:numFmt formatCode="General" sourceLinked="1"/>
        <c:majorTickMark val="none"/>
        <c:minorTickMark val="none"/>
        <c:tickLblPos val="nextTo"/>
        <c:spPr>
          <a:ln w="3175">
            <a:solidFill>
              <a:srgbClr val="BCBFC1"/>
            </a:solidFill>
            <a:prstDash val="solid"/>
          </a:ln>
        </c:spPr>
        <c:txPr>
          <a:bodyPr/>
          <a:lstStyle/>
          <a:p>
            <a:pPr>
              <a:defRPr sz="900" b="0">
                <a:solidFill>
                  <a:srgbClr val="595A5B"/>
                </a:solidFill>
                <a:latin typeface="Arial"/>
                <a:ea typeface="Arial"/>
                <a:cs typeface="Arial"/>
              </a:defRPr>
            </a:pPr>
            <a:endParaRPr lang="en-US"/>
          </a:p>
        </c:txPr>
        <c:crossAx val="145266712"/>
        <c:crosses val="autoZero"/>
        <c:crossBetween val="between"/>
      </c:valAx>
      <c:spPr>
        <a:ln w="25400">
          <a:noFill/>
        </a:ln>
      </c:spPr>
    </c:plotArea>
    <c:legend>
      <c:legendPos val="b"/>
      <c:layout>
        <c:manualLayout>
          <c:xMode val="edge"/>
          <c:yMode val="edge"/>
          <c:x val="3.6706503411899037E-2"/>
          <c:y val="0.89813085864266951"/>
          <c:w val="0.93988027169584853"/>
          <c:h val="9.3571714693195931E-2"/>
        </c:manualLayout>
      </c:layout>
      <c:overlay val="0"/>
      <c:spPr>
        <a:effectLst/>
      </c:spPr>
      <c:txPr>
        <a:bodyPr/>
        <a:lstStyle/>
        <a:p>
          <a:pPr>
            <a:defRPr sz="900" b="0" u="none">
              <a:solidFill>
                <a:srgbClr val="595A5B"/>
              </a:solidFill>
              <a:latin typeface="Arial"/>
              <a:ea typeface="Arial"/>
              <a:cs typeface="Arial"/>
            </a:defRPr>
          </a:pPr>
          <a:endParaRPr lang="en-US"/>
        </a:p>
      </c:txPr>
    </c:legend>
    <c:plotVisOnly val="1"/>
    <c:dispBlanksAs val="gap"/>
    <c:showDLblsOverMax val="0"/>
  </c:chart>
  <c:spPr>
    <a:ln w="9525">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274114996640482E-2"/>
          <c:y val="5.1286128209474931E-2"/>
          <c:w val="0.87399765492224779"/>
          <c:h val="0.72283938466025077"/>
        </c:manualLayout>
      </c:layout>
      <c:lineChart>
        <c:grouping val="standard"/>
        <c:varyColors val="0"/>
        <c:ser>
          <c:idx val="0"/>
          <c:order val="0"/>
          <c:tx>
            <c:strRef>
              <c:f>'8752 tab78 clean'!$T$2</c:f>
              <c:strCache>
                <c:ptCount val="1"/>
                <c:pt idx="0">
                  <c:v>Total Residential</c:v>
                </c:pt>
              </c:strCache>
            </c:strRef>
          </c:tx>
          <c:spPr>
            <a:ln>
              <a:solidFill>
                <a:srgbClr val="292B67"/>
              </a:solidFill>
              <a:prstDash val="solid"/>
            </a:ln>
          </c:spPr>
          <c:marker>
            <c:symbol val="none"/>
          </c:marker>
          <c:cat>
            <c:numRef>
              <c:f>'8752 tab78 clean'!$A$6:$A$46</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'8752 tab78 clean'!$T$6:$T$46</c:f>
              <c:numCache>
                <c:formatCode>General</c:formatCode>
                <c:ptCount val="41"/>
                <c:pt idx="0">
                  <c:v>22.931256999999999</c:v>
                </c:pt>
                <c:pt idx="1">
                  <c:v>22.218540000000001</c:v>
                </c:pt>
                <c:pt idx="2">
                  <c:v>23.255220000000001</c:v>
                </c:pt>
                <c:pt idx="3">
                  <c:v>24.177478000000001</c:v>
                </c:pt>
                <c:pt idx="4">
                  <c:v>26.023551000000001</c:v>
                </c:pt>
                <c:pt idx="5">
                  <c:v>27.325782</c:v>
                </c:pt>
                <c:pt idx="6">
                  <c:v>28.183232</c:v>
                </c:pt>
                <c:pt idx="7">
                  <c:v>28.947718999999999</c:v>
                </c:pt>
                <c:pt idx="8">
                  <c:v>27.780176999999998</c:v>
                </c:pt>
                <c:pt idx="9">
                  <c:v>26.629505000000002</c:v>
                </c:pt>
                <c:pt idx="10">
                  <c:v>25.372917999999999</c:v>
                </c:pt>
                <c:pt idx="11">
                  <c:v>25.250651999999999</c:v>
                </c:pt>
                <c:pt idx="12">
                  <c:v>26.898181000000001</c:v>
                </c:pt>
                <c:pt idx="13">
                  <c:v>27.6266</c:v>
                </c:pt>
                <c:pt idx="14">
                  <c:v>28.410063999999998</c:v>
                </c:pt>
                <c:pt idx="15">
                  <c:v>29.340814999999999</c:v>
                </c:pt>
                <c:pt idx="16">
                  <c:v>29.909631000000001</c:v>
                </c:pt>
                <c:pt idx="17">
                  <c:v>29.841034000000001</c:v>
                </c:pt>
                <c:pt idx="18">
                  <c:v>29.720244999999998</c:v>
                </c:pt>
                <c:pt idx="19">
                  <c:v>30.446007999999999</c:v>
                </c:pt>
                <c:pt idx="20">
                  <c:v>30.188739999999999</c:v>
                </c:pt>
                <c:pt idx="21">
                  <c:v>29.165963000000001</c:v>
                </c:pt>
                <c:pt idx="22">
                  <c:v>29.705701000000001</c:v>
                </c:pt>
                <c:pt idx="23">
                  <c:v>30.678561999999999</c:v>
                </c:pt>
                <c:pt idx="24">
                  <c:v>31.234064</c:v>
                </c:pt>
                <c:pt idx="25">
                  <c:v>30.564129999999999</c:v>
                </c:pt>
                <c:pt idx="26">
                  <c:v>31.092388</c:v>
                </c:pt>
                <c:pt idx="27">
                  <c:v>30.970314999999999</c:v>
                </c:pt>
                <c:pt idx="28">
                  <c:v>33.635568999999997</c:v>
                </c:pt>
                <c:pt idx="29">
                  <c:v>34.373609000000002</c:v>
                </c:pt>
                <c:pt idx="30">
                  <c:v>34.730066000000001</c:v>
                </c:pt>
                <c:pt idx="31">
                  <c:v>37.988309000000001</c:v>
                </c:pt>
                <c:pt idx="32">
                  <c:v>38.809043000000003</c:v>
                </c:pt>
                <c:pt idx="33">
                  <c:v>40.422804999999997</c:v>
                </c:pt>
                <c:pt idx="34">
                  <c:v>43.737299</c:v>
                </c:pt>
                <c:pt idx="35">
                  <c:v>45.416009000000003</c:v>
                </c:pt>
                <c:pt idx="36">
                  <c:v>47.935783999999998</c:v>
                </c:pt>
                <c:pt idx="37">
                  <c:v>49.414848999999997</c:v>
                </c:pt>
                <c:pt idx="38">
                  <c:v>50.842492</c:v>
                </c:pt>
                <c:pt idx="39">
                  <c:v>53.343501000000003</c:v>
                </c:pt>
                <c:pt idx="40">
                  <c:v>53.190598999999999</c:v>
                </c:pt>
              </c:numCache>
            </c:numRef>
          </c:val>
          <c:smooth val="0"/>
        </c:ser>
        <c:ser>
          <c:idx val="1"/>
          <c:order val="1"/>
          <c:tx>
            <c:strRef>
              <c:f>'8752 tab78 clean'!$U$2</c:f>
              <c:strCache>
                <c:ptCount val="1"/>
                <c:pt idx="0">
                  <c:v>Total Non-residential</c:v>
                </c:pt>
              </c:strCache>
            </c:strRef>
          </c:tx>
          <c:spPr>
            <a:ln>
              <a:solidFill>
                <a:srgbClr val="9ED9DF"/>
              </a:solidFill>
              <a:prstDash val="solid"/>
            </a:ln>
          </c:spPr>
          <c:marker>
            <c:symbol val="none"/>
          </c:marker>
          <c:cat>
            <c:numRef>
              <c:f>'8752 tab78 clean'!$A$6:$A$46</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'8752 tab78 clean'!$U$6:$U$46</c:f>
              <c:numCache>
                <c:formatCode>General</c:formatCode>
                <c:ptCount val="41"/>
                <c:pt idx="0">
                  <c:v>15.754281000000001</c:v>
                </c:pt>
                <c:pt idx="1">
                  <c:v>17.101873000000001</c:v>
                </c:pt>
                <c:pt idx="2">
                  <c:v>17.851400000000002</c:v>
                </c:pt>
                <c:pt idx="3">
                  <c:v>18.207125000000001</c:v>
                </c:pt>
                <c:pt idx="4">
                  <c:v>20.652726999999999</c:v>
                </c:pt>
                <c:pt idx="5">
                  <c:v>22.738192000000002</c:v>
                </c:pt>
                <c:pt idx="6">
                  <c:v>24.295062999999999</c:v>
                </c:pt>
                <c:pt idx="7">
                  <c:v>25.695649</c:v>
                </c:pt>
                <c:pt idx="8">
                  <c:v>26.013923999999999</c:v>
                </c:pt>
                <c:pt idx="9">
                  <c:v>26.688744</c:v>
                </c:pt>
                <c:pt idx="10">
                  <c:v>25.244826</c:v>
                </c:pt>
                <c:pt idx="11">
                  <c:v>31.308859999999999</c:v>
                </c:pt>
                <c:pt idx="12">
                  <c:v>33.983626999999998</c:v>
                </c:pt>
                <c:pt idx="13">
                  <c:v>33.906089999999999</c:v>
                </c:pt>
                <c:pt idx="14">
                  <c:v>30.327749000000001</c:v>
                </c:pt>
                <c:pt idx="15">
                  <c:v>28.401247999999999</c:v>
                </c:pt>
                <c:pt idx="16">
                  <c:v>26.479769999999998</c:v>
                </c:pt>
                <c:pt idx="17">
                  <c:v>25.944839000000002</c:v>
                </c:pt>
                <c:pt idx="18">
                  <c:v>28.437187000000002</c:v>
                </c:pt>
                <c:pt idx="19">
                  <c:v>31.531258000000001</c:v>
                </c:pt>
                <c:pt idx="20">
                  <c:v>27.803446000000001</c:v>
                </c:pt>
                <c:pt idx="21">
                  <c:v>29.855468999999999</c:v>
                </c:pt>
                <c:pt idx="22">
                  <c:v>29.558961</c:v>
                </c:pt>
                <c:pt idx="23">
                  <c:v>29.782890999999999</c:v>
                </c:pt>
                <c:pt idx="24">
                  <c:v>29.925915</c:v>
                </c:pt>
                <c:pt idx="25">
                  <c:v>29.589123000000001</c:v>
                </c:pt>
                <c:pt idx="26">
                  <c:v>32.341709000000002</c:v>
                </c:pt>
                <c:pt idx="27">
                  <c:v>31.278635999999999</c:v>
                </c:pt>
                <c:pt idx="28">
                  <c:v>31.750319000000001</c:v>
                </c:pt>
                <c:pt idx="29">
                  <c:v>32.659244000000001</c:v>
                </c:pt>
                <c:pt idx="30">
                  <c:v>32.300072999999998</c:v>
                </c:pt>
                <c:pt idx="31">
                  <c:v>32.178651000000002</c:v>
                </c:pt>
                <c:pt idx="32">
                  <c:v>29.271549</c:v>
                </c:pt>
                <c:pt idx="33">
                  <c:v>29.075303999999999</c:v>
                </c:pt>
                <c:pt idx="34">
                  <c:v>27.021706999999999</c:v>
                </c:pt>
                <c:pt idx="35">
                  <c:v>26.461756999999999</c:v>
                </c:pt>
                <c:pt idx="36">
                  <c:v>25.622733</c:v>
                </c:pt>
                <c:pt idx="37">
                  <c:v>26.334554000000001</c:v>
                </c:pt>
                <c:pt idx="38">
                  <c:v>25.9224</c:v>
                </c:pt>
                <c:pt idx="39">
                  <c:v>28.117374000000002</c:v>
                </c:pt>
                <c:pt idx="40">
                  <c:v>28.945677</c:v>
                </c:pt>
              </c:numCache>
            </c:numRef>
          </c:val>
          <c:smooth val="0"/>
        </c:ser>
        <c:dLbls>
          <c:showLegendKey val="0"/>
          <c:showVal val="0"/>
          <c:showCatName val="0"/>
          <c:showSerName val="0"/>
          <c:showPercent val="0"/>
          <c:showBubbleSize val="0"/>
        </c:dLbls>
        <c:smooth val="0"/>
        <c:axId val="145106592"/>
        <c:axId val="122401888"/>
      </c:lineChart>
      <c:dateAx>
        <c:axId val="145106592"/>
        <c:scaling>
          <c:orientation val="minMax"/>
        </c:scaling>
        <c:delete val="0"/>
        <c:axPos val="b"/>
        <c:numFmt formatCode="yyyy" sourceLinked="0"/>
        <c:majorTickMark val="none"/>
        <c:minorTickMark val="none"/>
        <c:tickLblPos val="nextTo"/>
        <c:spPr>
          <a:ln w="3175">
            <a:solidFill>
              <a:srgbClr val="BCBFC1"/>
            </a:solidFill>
            <a:prstDash val="solid"/>
          </a:ln>
        </c:spPr>
        <c:txPr>
          <a:bodyPr/>
          <a:lstStyle/>
          <a:p>
            <a:pPr>
              <a:defRPr sz="900" b="0">
                <a:solidFill>
                  <a:srgbClr val="595A5B"/>
                </a:solidFill>
                <a:latin typeface="Arial"/>
                <a:ea typeface="Arial"/>
                <a:cs typeface="Arial"/>
              </a:defRPr>
            </a:pPr>
            <a:endParaRPr lang="en-US"/>
          </a:p>
        </c:txPr>
        <c:crossAx val="122401888"/>
        <c:crosses val="autoZero"/>
        <c:auto val="1"/>
        <c:lblOffset val="100"/>
        <c:baseTimeUnit val="months"/>
        <c:majorUnit val="2"/>
        <c:majorTimeUnit val="years"/>
      </c:dateAx>
      <c:valAx>
        <c:axId val="122401888"/>
        <c:scaling>
          <c:orientation val="minMax"/>
        </c:scaling>
        <c:delete val="0"/>
        <c:axPos val="l"/>
        <c:title>
          <c:tx>
            <c:rich>
              <a:bodyPr/>
              <a:lstStyle/>
              <a:p>
                <a:pPr>
                  <a:defRPr sz="900" b="0">
                    <a:solidFill>
                      <a:srgbClr val="595A5B"/>
                    </a:solidFill>
                    <a:latin typeface="Arial"/>
                    <a:ea typeface="Arial"/>
                    <a:cs typeface="Arial"/>
                  </a:defRPr>
                </a:pPr>
                <a:r>
                  <a:rPr lang="en-AU"/>
                  <a:t>Work yet to be done ($ billions)</a:t>
                </a:r>
              </a:p>
            </c:rich>
          </c:tx>
          <c:overlay val="0"/>
        </c:title>
        <c:numFmt formatCode="General" sourceLinked="1"/>
        <c:majorTickMark val="none"/>
        <c:minorTickMark val="none"/>
        <c:tickLblPos val="nextTo"/>
        <c:spPr>
          <a:ln w="3175">
            <a:solidFill>
              <a:srgbClr val="BCBFC1"/>
            </a:solidFill>
            <a:prstDash val="solid"/>
          </a:ln>
        </c:spPr>
        <c:txPr>
          <a:bodyPr/>
          <a:lstStyle/>
          <a:p>
            <a:pPr>
              <a:defRPr sz="900" b="0">
                <a:solidFill>
                  <a:srgbClr val="595A5B"/>
                </a:solidFill>
                <a:latin typeface="Arial"/>
                <a:ea typeface="Arial"/>
                <a:cs typeface="Arial"/>
              </a:defRPr>
            </a:pPr>
            <a:endParaRPr lang="en-US"/>
          </a:p>
        </c:txPr>
        <c:crossAx val="145106592"/>
        <c:crosses val="autoZero"/>
        <c:crossBetween val="between"/>
        <c:majorUnit val="20"/>
      </c:valAx>
      <c:spPr>
        <a:ln w="25400">
          <a:noFill/>
        </a:ln>
      </c:spPr>
    </c:plotArea>
    <c:legend>
      <c:legendPos val="b"/>
      <c:overlay val="0"/>
      <c:spPr>
        <a:effectLst/>
      </c:spPr>
      <c:txPr>
        <a:bodyPr/>
        <a:lstStyle/>
        <a:p>
          <a:pPr>
            <a:defRPr sz="900" b="0" u="none">
              <a:solidFill>
                <a:srgbClr val="595A5B"/>
              </a:solidFill>
              <a:latin typeface="Arial"/>
              <a:ea typeface="Arial"/>
              <a:cs typeface="Arial"/>
            </a:defRPr>
          </a:pPr>
          <a:endParaRPr lang="en-US"/>
        </a:p>
      </c:txPr>
    </c:legend>
    <c:plotVisOnly val="1"/>
    <c:dispBlanksAs val="gap"/>
    <c:showDLblsOverMax val="0"/>
  </c:chart>
  <c:spPr>
    <a:ln w="9525">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73762254673788"/>
          <c:y val="5.1286128209474931E-2"/>
          <c:w val="0.84053425925925929"/>
          <c:h val="0.72283938466025077"/>
        </c:manualLayout>
      </c:layout>
      <c:lineChart>
        <c:grouping val="standard"/>
        <c:varyColors val="0"/>
        <c:ser>
          <c:idx val="0"/>
          <c:order val="0"/>
          <c:tx>
            <c:strRef>
              <c:f>'8762 tab06 clean'!$F$2</c:f>
              <c:strCache>
                <c:ptCount val="1"/>
                <c:pt idx="0">
                  <c:v>Transport</c:v>
                </c:pt>
              </c:strCache>
            </c:strRef>
          </c:tx>
          <c:spPr>
            <a:ln>
              <a:solidFill>
                <a:srgbClr val="292B67"/>
              </a:solidFill>
              <a:prstDash val="solid"/>
            </a:ln>
          </c:spPr>
          <c:marker>
            <c:symbol val="none"/>
          </c:marker>
          <c:cat>
            <c:numRef>
              <c:f>'8762 tab06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'8762 tab06 clean'!$F$7:$F$47</c:f>
              <c:numCache>
                <c:formatCode>General</c:formatCode>
                <c:ptCount val="41"/>
                <c:pt idx="0">
                  <c:v>3.8516069999999996</c:v>
                </c:pt>
                <c:pt idx="1">
                  <c:v>4.2963630000000004</c:v>
                </c:pt>
                <c:pt idx="2">
                  <c:v>4.5562969999999998</c:v>
                </c:pt>
                <c:pt idx="3">
                  <c:v>4.0622809999999996</c:v>
                </c:pt>
                <c:pt idx="4">
                  <c:v>4.5748049999999996</c:v>
                </c:pt>
                <c:pt idx="5">
                  <c:v>4.5457460000000003</c:v>
                </c:pt>
                <c:pt idx="6">
                  <c:v>5.1489120000000002</c:v>
                </c:pt>
                <c:pt idx="7">
                  <c:v>5.6270469999999992</c:v>
                </c:pt>
                <c:pt idx="8">
                  <c:v>5.7703379999999997</c:v>
                </c:pt>
                <c:pt idx="9">
                  <c:v>5.644342</c:v>
                </c:pt>
                <c:pt idx="10">
                  <c:v>5.7978529999999999</c:v>
                </c:pt>
                <c:pt idx="11">
                  <c:v>5.5947649999999998</c:v>
                </c:pt>
                <c:pt idx="12">
                  <c:v>5.4990620000000003</c:v>
                </c:pt>
                <c:pt idx="13">
                  <c:v>5.2661959999999999</c:v>
                </c:pt>
                <c:pt idx="14">
                  <c:v>6.086314999999999</c:v>
                </c:pt>
                <c:pt idx="15">
                  <c:v>5.6533030000000002</c:v>
                </c:pt>
                <c:pt idx="16">
                  <c:v>6.9971480000000001</c:v>
                </c:pt>
                <c:pt idx="17">
                  <c:v>6.6565180000000002</c:v>
                </c:pt>
                <c:pt idx="18">
                  <c:v>7.9511530000000006</c:v>
                </c:pt>
                <c:pt idx="19">
                  <c:v>7.9494590000000001</c:v>
                </c:pt>
                <c:pt idx="20">
                  <c:v>7.7506940000000002</c:v>
                </c:pt>
                <c:pt idx="21">
                  <c:v>7.7501309999999997</c:v>
                </c:pt>
                <c:pt idx="22">
                  <c:v>9.3354359999999996</c:v>
                </c:pt>
                <c:pt idx="23">
                  <c:v>8.7035289999999996</c:v>
                </c:pt>
                <c:pt idx="24">
                  <c:v>9.2942540000000005</c:v>
                </c:pt>
                <c:pt idx="25">
                  <c:v>7.8408239999999996</c:v>
                </c:pt>
                <c:pt idx="26">
                  <c:v>8.4488760000000003</c:v>
                </c:pt>
                <c:pt idx="27">
                  <c:v>7.0650490000000001</c:v>
                </c:pt>
                <c:pt idx="28">
                  <c:v>7.3734109999999999</c:v>
                </c:pt>
                <c:pt idx="29">
                  <c:v>6.7437670000000001</c:v>
                </c:pt>
                <c:pt idx="30">
                  <c:v>7.5120219999999991</c:v>
                </c:pt>
                <c:pt idx="31">
                  <c:v>5.7476140000000004</c:v>
                </c:pt>
                <c:pt idx="32">
                  <c:v>6.4462790000000005</c:v>
                </c:pt>
                <c:pt idx="33">
                  <c:v>5.5599700000000007</c:v>
                </c:pt>
                <c:pt idx="34">
                  <c:v>5.7347200000000003</c:v>
                </c:pt>
                <c:pt idx="35">
                  <c:v>4.7200050000000005</c:v>
                </c:pt>
                <c:pt idx="36">
                  <c:v>5.2979919999999998</c:v>
                </c:pt>
                <c:pt idx="37">
                  <c:v>5.0707760000000004</c:v>
                </c:pt>
                <c:pt idx="38">
                  <c:v>6.1545909999999999</c:v>
                </c:pt>
                <c:pt idx="39">
                  <c:v>5.4294780000000005</c:v>
                </c:pt>
                <c:pt idx="40">
                  <c:v>6.3293429999999997</c:v>
                </c:pt>
              </c:numCache>
            </c:numRef>
          </c:val>
          <c:smooth val="0"/>
        </c:ser>
        <c:ser>
          <c:idx val="1"/>
          <c:order val="1"/>
          <c:tx>
            <c:strRef>
              <c:f>'8762 tab06 clean'!$M$2</c:f>
              <c:strCache>
                <c:ptCount val="1"/>
                <c:pt idx="0">
                  <c:v>Utilities</c:v>
                </c:pt>
              </c:strCache>
            </c:strRef>
          </c:tx>
          <c:spPr>
            <a:ln>
              <a:solidFill>
                <a:srgbClr val="9ED9DF"/>
              </a:solidFill>
              <a:prstDash val="solid"/>
            </a:ln>
          </c:spPr>
          <c:marker>
            <c:symbol val="none"/>
          </c:marker>
          <c:cat>
            <c:numRef>
              <c:f>'8762 tab06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'8762 tab06 clean'!$M$7:$M$47</c:f>
              <c:numCache>
                <c:formatCode>General</c:formatCode>
                <c:ptCount val="41"/>
                <c:pt idx="0">
                  <c:v>4.0851509999999998</c:v>
                </c:pt>
                <c:pt idx="1">
                  <c:v>4.0487690000000001</c:v>
                </c:pt>
                <c:pt idx="2">
                  <c:v>5.2984270000000002</c:v>
                </c:pt>
                <c:pt idx="3">
                  <c:v>4.4474210000000003</c:v>
                </c:pt>
                <c:pt idx="4">
                  <c:v>4.9913270000000001</c:v>
                </c:pt>
                <c:pt idx="5">
                  <c:v>5.4628940000000004</c:v>
                </c:pt>
                <c:pt idx="6">
                  <c:v>6.2063969999999999</c:v>
                </c:pt>
                <c:pt idx="7">
                  <c:v>5.8119740000000002</c:v>
                </c:pt>
                <c:pt idx="8">
                  <c:v>6.2106600000000007</c:v>
                </c:pt>
                <c:pt idx="9">
                  <c:v>5.0982130000000003</c:v>
                </c:pt>
                <c:pt idx="10">
                  <c:v>6.7048610000000011</c:v>
                </c:pt>
                <c:pt idx="11">
                  <c:v>5.9552419999999993</c:v>
                </c:pt>
                <c:pt idx="12">
                  <c:v>6.142589000000001</c:v>
                </c:pt>
                <c:pt idx="13">
                  <c:v>5.8111879999999996</c:v>
                </c:pt>
                <c:pt idx="14">
                  <c:v>6.6862869999999992</c:v>
                </c:pt>
                <c:pt idx="15">
                  <c:v>5.8351669999999993</c:v>
                </c:pt>
                <c:pt idx="16">
                  <c:v>6.4932310000000015</c:v>
                </c:pt>
                <c:pt idx="17">
                  <c:v>6.0008569999999999</c:v>
                </c:pt>
                <c:pt idx="18">
                  <c:v>7.3511669999999993</c:v>
                </c:pt>
                <c:pt idx="19">
                  <c:v>6.0163349999999998</c:v>
                </c:pt>
                <c:pt idx="20">
                  <c:v>6.9224560000000004</c:v>
                </c:pt>
                <c:pt idx="21">
                  <c:v>6.3137420000000004</c:v>
                </c:pt>
                <c:pt idx="22">
                  <c:v>7.7529659999999989</c:v>
                </c:pt>
                <c:pt idx="23">
                  <c:v>7.3367839999999989</c:v>
                </c:pt>
                <c:pt idx="24">
                  <c:v>8.0375209999999999</c:v>
                </c:pt>
                <c:pt idx="25">
                  <c:v>6.9744949999999992</c:v>
                </c:pt>
                <c:pt idx="26">
                  <c:v>7.8317689999999995</c:v>
                </c:pt>
                <c:pt idx="27">
                  <c:v>7.5330349999999999</c:v>
                </c:pt>
                <c:pt idx="28">
                  <c:v>7.7125679999999992</c:v>
                </c:pt>
                <c:pt idx="29">
                  <c:v>6.7257670000000003</c:v>
                </c:pt>
                <c:pt idx="30">
                  <c:v>7.4922370000000003</c:v>
                </c:pt>
                <c:pt idx="31">
                  <c:v>6.5419640000000001</c:v>
                </c:pt>
                <c:pt idx="32">
                  <c:v>6.3367249999999995</c:v>
                </c:pt>
                <c:pt idx="33">
                  <c:v>5.6025260000000001</c:v>
                </c:pt>
                <c:pt idx="34">
                  <c:v>7.7071620000000003</c:v>
                </c:pt>
                <c:pt idx="35">
                  <c:v>7.002243</c:v>
                </c:pt>
                <c:pt idx="36">
                  <c:v>6.2640229999999999</c:v>
                </c:pt>
                <c:pt idx="37">
                  <c:v>5.4333600000000004</c:v>
                </c:pt>
                <c:pt idx="38">
                  <c:v>6.1001450000000004</c:v>
                </c:pt>
                <c:pt idx="39">
                  <c:v>5.4301240000000011</c:v>
                </c:pt>
                <c:pt idx="40">
                  <c:v>5.6139810000000008</c:v>
                </c:pt>
              </c:numCache>
            </c:numRef>
          </c:val>
          <c:smooth val="0"/>
        </c:ser>
        <c:ser>
          <c:idx val="2"/>
          <c:order val="2"/>
          <c:tx>
            <c:strRef>
              <c:f>'8762 tab06 clean'!$N$2</c:f>
              <c:strCache>
                <c:ptCount val="1"/>
                <c:pt idx="0">
                  <c:v>Oil, gas, coal and other minerals</c:v>
                </c:pt>
              </c:strCache>
            </c:strRef>
          </c:tx>
          <c:spPr>
            <a:ln>
              <a:solidFill>
                <a:srgbClr val="22789A"/>
              </a:solidFill>
              <a:prstDash val="solid"/>
            </a:ln>
          </c:spPr>
          <c:marker>
            <c:symbol val="none"/>
          </c:marker>
          <c:cat>
            <c:numRef>
              <c:f>'8762 tab06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'8762 tab06 clean'!$N$7:$N$47</c:f>
              <c:numCache>
                <c:formatCode>General</c:formatCode>
                <c:ptCount val="41"/>
                <c:pt idx="0">
                  <c:v>4.3572009999999999</c:v>
                </c:pt>
                <c:pt idx="1">
                  <c:v>3.8858109999999999</c:v>
                </c:pt>
                <c:pt idx="2">
                  <c:v>4.0211360000000003</c:v>
                </c:pt>
                <c:pt idx="3">
                  <c:v>4.3951099999999999</c:v>
                </c:pt>
                <c:pt idx="4">
                  <c:v>4.5083880000000001</c:v>
                </c:pt>
                <c:pt idx="5">
                  <c:v>4.5533960000000002</c:v>
                </c:pt>
                <c:pt idx="6">
                  <c:v>4.9329539999999996</c:v>
                </c:pt>
                <c:pt idx="7">
                  <c:v>5.4776829999999999</c:v>
                </c:pt>
                <c:pt idx="8">
                  <c:v>6.9881099999999998</c:v>
                </c:pt>
                <c:pt idx="9">
                  <c:v>5.3056539999999996</c:v>
                </c:pt>
                <c:pt idx="10">
                  <c:v>6.7956009999999996</c:v>
                </c:pt>
                <c:pt idx="11">
                  <c:v>6.1624730000000003</c:v>
                </c:pt>
                <c:pt idx="12">
                  <c:v>6.5575419999999998</c:v>
                </c:pt>
                <c:pt idx="13">
                  <c:v>5.0635000000000003</c:v>
                </c:pt>
                <c:pt idx="14">
                  <c:v>6.5949669999999996</c:v>
                </c:pt>
                <c:pt idx="15">
                  <c:v>6.1490600000000004</c:v>
                </c:pt>
                <c:pt idx="16">
                  <c:v>7.1616070000000001</c:v>
                </c:pt>
                <c:pt idx="17">
                  <c:v>6.9972950000000003</c:v>
                </c:pt>
                <c:pt idx="18">
                  <c:v>8.7075449999999996</c:v>
                </c:pt>
                <c:pt idx="19">
                  <c:v>12.613099</c:v>
                </c:pt>
                <c:pt idx="20">
                  <c:v>12.517184</c:v>
                </c:pt>
                <c:pt idx="21">
                  <c:v>14.357112000000001</c:v>
                </c:pt>
                <c:pt idx="22">
                  <c:v>15.590028</c:v>
                </c:pt>
                <c:pt idx="23">
                  <c:v>15.891745</c:v>
                </c:pt>
                <c:pt idx="24">
                  <c:v>15.969758000000001</c:v>
                </c:pt>
                <c:pt idx="25">
                  <c:v>14.058121999999999</c:v>
                </c:pt>
                <c:pt idx="26">
                  <c:v>14.884425999999999</c:v>
                </c:pt>
                <c:pt idx="27">
                  <c:v>17.144162999999999</c:v>
                </c:pt>
                <c:pt idx="28">
                  <c:v>18.322374</c:v>
                </c:pt>
                <c:pt idx="29">
                  <c:v>15.279769</c:v>
                </c:pt>
                <c:pt idx="30">
                  <c:v>15.501754999999999</c:v>
                </c:pt>
                <c:pt idx="31">
                  <c:v>15.043716</c:v>
                </c:pt>
                <c:pt idx="32">
                  <c:v>14.74896</c:v>
                </c:pt>
                <c:pt idx="33">
                  <c:v>12.171042999999999</c:v>
                </c:pt>
                <c:pt idx="34">
                  <c:v>14.220378999999999</c:v>
                </c:pt>
                <c:pt idx="35">
                  <c:v>12.987571000000001</c:v>
                </c:pt>
                <c:pt idx="36">
                  <c:v>12.167859999999999</c:v>
                </c:pt>
                <c:pt idx="37">
                  <c:v>10.50808</c:v>
                </c:pt>
                <c:pt idx="38">
                  <c:v>8.6799180000000007</c:v>
                </c:pt>
                <c:pt idx="39">
                  <c:v>7.8286730000000002</c:v>
                </c:pt>
                <c:pt idx="40">
                  <c:v>7.4358570000000004</c:v>
                </c:pt>
              </c:numCache>
            </c:numRef>
          </c:val>
          <c:smooth val="0"/>
        </c:ser>
        <c:ser>
          <c:idx val="3"/>
          <c:order val="3"/>
          <c:tx>
            <c:strRef>
              <c:f>'8762 tab06 clean'!$Q$2</c:f>
              <c:strCache>
                <c:ptCount val="1"/>
                <c:pt idx="0">
                  <c:v>Total</c:v>
                </c:pt>
              </c:strCache>
            </c:strRef>
          </c:tx>
          <c:spPr>
            <a:ln>
              <a:solidFill>
                <a:srgbClr val="BCBFC1"/>
              </a:solidFill>
              <a:prstDash val="solid"/>
            </a:ln>
          </c:spPr>
          <c:marker>
            <c:symbol val="none"/>
          </c:marker>
          <c:cat>
            <c:numRef>
              <c:f>'8762 tab06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'8762 tab06 clean'!$Q$7:$Q$47</c:f>
              <c:numCache>
                <c:formatCode>General</c:formatCode>
                <c:ptCount val="41"/>
                <c:pt idx="0">
                  <c:v>13.175280000000001</c:v>
                </c:pt>
                <c:pt idx="1">
                  <c:v>13.131024</c:v>
                </c:pt>
                <c:pt idx="2">
                  <c:v>14.830738999999999</c:v>
                </c:pt>
                <c:pt idx="3">
                  <c:v>13.653145</c:v>
                </c:pt>
                <c:pt idx="4">
                  <c:v>14.851034</c:v>
                </c:pt>
                <c:pt idx="5">
                  <c:v>15.451924999999999</c:v>
                </c:pt>
                <c:pt idx="6">
                  <c:v>17.143675999999999</c:v>
                </c:pt>
                <c:pt idx="7">
                  <c:v>18.004857999999999</c:v>
                </c:pt>
                <c:pt idx="8">
                  <c:v>20.234558</c:v>
                </c:pt>
                <c:pt idx="9">
                  <c:v>17.154209000000002</c:v>
                </c:pt>
                <c:pt idx="10">
                  <c:v>20.640311000000001</c:v>
                </c:pt>
                <c:pt idx="11">
                  <c:v>19.039867999999998</c:v>
                </c:pt>
                <c:pt idx="12">
                  <c:v>19.291239999999998</c:v>
                </c:pt>
                <c:pt idx="13">
                  <c:v>17.170687000000001</c:v>
                </c:pt>
                <c:pt idx="14">
                  <c:v>20.546015000000001</c:v>
                </c:pt>
                <c:pt idx="15">
                  <c:v>18.615278</c:v>
                </c:pt>
                <c:pt idx="16">
                  <c:v>21.783847000000002</c:v>
                </c:pt>
                <c:pt idx="17">
                  <c:v>20.746033000000001</c:v>
                </c:pt>
                <c:pt idx="18">
                  <c:v>25.441158999999999</c:v>
                </c:pt>
                <c:pt idx="19">
                  <c:v>27.800574000000001</c:v>
                </c:pt>
                <c:pt idx="20">
                  <c:v>28.550160000000002</c:v>
                </c:pt>
                <c:pt idx="21">
                  <c:v>29.660347000000002</c:v>
                </c:pt>
                <c:pt idx="22">
                  <c:v>34.231091999999997</c:v>
                </c:pt>
                <c:pt idx="23">
                  <c:v>33.719107999999999</c:v>
                </c:pt>
                <c:pt idx="24">
                  <c:v>35.798625000000001</c:v>
                </c:pt>
                <c:pt idx="25">
                  <c:v>30.59226</c:v>
                </c:pt>
                <c:pt idx="26">
                  <c:v>33.231161</c:v>
                </c:pt>
                <c:pt idx="27">
                  <c:v>33.703167999999998</c:v>
                </c:pt>
                <c:pt idx="28">
                  <c:v>35.346682000000001</c:v>
                </c:pt>
                <c:pt idx="29">
                  <c:v>30.436506999999999</c:v>
                </c:pt>
                <c:pt idx="30">
                  <c:v>32.299354000000001</c:v>
                </c:pt>
                <c:pt idx="31">
                  <c:v>28.892638000000002</c:v>
                </c:pt>
                <c:pt idx="32">
                  <c:v>29.182791000000002</c:v>
                </c:pt>
                <c:pt idx="33">
                  <c:v>24.521484000000001</c:v>
                </c:pt>
                <c:pt idx="34">
                  <c:v>29.074432000000002</c:v>
                </c:pt>
                <c:pt idx="35">
                  <c:v>26.036826000000001</c:v>
                </c:pt>
                <c:pt idx="36">
                  <c:v>25.190446000000001</c:v>
                </c:pt>
                <c:pt idx="37">
                  <c:v>22.304371</c:v>
                </c:pt>
                <c:pt idx="38">
                  <c:v>22.496502</c:v>
                </c:pt>
                <c:pt idx="39">
                  <c:v>19.983245</c:v>
                </c:pt>
                <c:pt idx="40">
                  <c:v>20.807646999999999</c:v>
                </c:pt>
              </c:numCache>
            </c:numRef>
          </c:val>
          <c:smooth val="0"/>
        </c:ser>
        <c:dLbls>
          <c:showLegendKey val="0"/>
          <c:showVal val="0"/>
          <c:showCatName val="0"/>
          <c:showSerName val="0"/>
          <c:showPercent val="0"/>
          <c:showBubbleSize val="0"/>
        </c:dLbls>
        <c:smooth val="0"/>
        <c:axId val="156195768"/>
        <c:axId val="432122800"/>
      </c:lineChart>
      <c:dateAx>
        <c:axId val="156195768"/>
        <c:scaling>
          <c:orientation val="minMax"/>
        </c:scaling>
        <c:delete val="0"/>
        <c:axPos val="b"/>
        <c:numFmt formatCode="yyyy" sourceLinked="0"/>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432122800"/>
        <c:crosses val="autoZero"/>
        <c:auto val="1"/>
        <c:lblOffset val="100"/>
        <c:baseTimeUnit val="months"/>
        <c:majorUnit val="2"/>
        <c:majorTimeUnit val="years"/>
      </c:dateAx>
      <c:valAx>
        <c:axId val="432122800"/>
        <c:scaling>
          <c:orientation val="minMax"/>
        </c:scaling>
        <c:delete val="0"/>
        <c:axPos val="l"/>
        <c:title>
          <c:tx>
            <c:rich>
              <a:bodyPr/>
              <a:lstStyle/>
              <a:p>
                <a:pPr>
                  <a:defRPr sz="900" b="0">
                    <a:solidFill>
                      <a:srgbClr val="595A5B"/>
                    </a:solidFill>
                    <a:latin typeface="Arial"/>
                    <a:ea typeface="Arial"/>
                    <a:cs typeface="Arial"/>
                  </a:defRPr>
                </a:pPr>
                <a:r>
                  <a:rPr lang="en-AU"/>
                  <a:t>Value of Work Done ($ billions)</a:t>
                </a:r>
              </a:p>
            </c:rich>
          </c:tx>
          <c:overlay val="0"/>
        </c:title>
        <c:numFmt formatCode="General" sourceLinked="1"/>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56195768"/>
        <c:crosses val="autoZero"/>
        <c:crossBetween val="between"/>
        <c:majorUnit val="20"/>
      </c:valAx>
      <c:spPr>
        <a:ln w="25400">
          <a:noFill/>
        </a:ln>
      </c:spPr>
    </c:plotArea>
    <c:legend>
      <c:legendPos val="b"/>
      <c:overlay val="0"/>
      <c:spPr>
        <a:effectLst/>
      </c:spPr>
      <c:txPr>
        <a:bodyPr/>
        <a:lstStyle/>
        <a:p>
          <a:pPr>
            <a:defRPr sz="900" b="0" u="none">
              <a:solidFill>
                <a:srgbClr val="595A5B"/>
              </a:solidFill>
              <a:latin typeface="Arial"/>
              <a:ea typeface="Arial"/>
              <a:cs typeface="Arial"/>
            </a:defRPr>
          </a:pPr>
          <a:endParaRPr lang="en-US"/>
        </a:p>
      </c:txPr>
    </c:legend>
    <c:plotVisOnly val="1"/>
    <c:dispBlanksAs val="gap"/>
    <c:showDLblsOverMax val="0"/>
  </c:chart>
  <c:spPr>
    <a:ln w="25400">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73762254673788"/>
          <c:y val="5.1286128209474931E-2"/>
          <c:w val="0.84053425925925929"/>
          <c:h val="0.72283938466025077"/>
        </c:manualLayout>
      </c:layout>
      <c:lineChart>
        <c:grouping val="standard"/>
        <c:varyColors val="0"/>
        <c:ser>
          <c:idx val="0"/>
          <c:order val="0"/>
          <c:tx>
            <c:strRef>
              <c:f>'8762 tab06 clean'!$V$2</c:f>
              <c:strCache>
                <c:ptCount val="1"/>
                <c:pt idx="0">
                  <c:v>Transport</c:v>
                </c:pt>
              </c:strCache>
            </c:strRef>
          </c:tx>
          <c:spPr>
            <a:ln>
              <a:solidFill>
                <a:srgbClr val="292B67"/>
              </a:solidFill>
              <a:prstDash val="solid"/>
            </a:ln>
          </c:spPr>
          <c:marker>
            <c:symbol val="none"/>
          </c:marker>
          <c:cat>
            <c:numRef>
              <c:f>'8762 tab06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'8762 tab06 clean'!$V$7:$V$47</c:f>
              <c:numCache>
                <c:formatCode>General</c:formatCode>
                <c:ptCount val="41"/>
                <c:pt idx="0">
                  <c:v>10.023775000000001</c:v>
                </c:pt>
                <c:pt idx="1">
                  <c:v>12.357673999999999</c:v>
                </c:pt>
                <c:pt idx="2">
                  <c:v>11.545483000000001</c:v>
                </c:pt>
                <c:pt idx="3">
                  <c:v>12.566404000000002</c:v>
                </c:pt>
                <c:pt idx="4">
                  <c:v>11.682239000000001</c:v>
                </c:pt>
                <c:pt idx="5">
                  <c:v>13.357543999999999</c:v>
                </c:pt>
                <c:pt idx="6">
                  <c:v>13.317005999999999</c:v>
                </c:pt>
                <c:pt idx="7">
                  <c:v>16.94182</c:v>
                </c:pt>
                <c:pt idx="8">
                  <c:v>16.390139000000001</c:v>
                </c:pt>
                <c:pt idx="9">
                  <c:v>15.673811000000001</c:v>
                </c:pt>
                <c:pt idx="10">
                  <c:v>14.934328000000001</c:v>
                </c:pt>
                <c:pt idx="11">
                  <c:v>15.18619</c:v>
                </c:pt>
                <c:pt idx="12">
                  <c:v>16.003187</c:v>
                </c:pt>
                <c:pt idx="13">
                  <c:v>15.820844999999998</c:v>
                </c:pt>
                <c:pt idx="14">
                  <c:v>16.889464</c:v>
                </c:pt>
                <c:pt idx="15">
                  <c:v>17.837448000000002</c:v>
                </c:pt>
                <c:pt idx="16">
                  <c:v>27.989464000000005</c:v>
                </c:pt>
                <c:pt idx="17">
                  <c:v>26.279771999999998</c:v>
                </c:pt>
                <c:pt idx="18">
                  <c:v>25.563737</c:v>
                </c:pt>
                <c:pt idx="19">
                  <c:v>26.394718000000001</c:v>
                </c:pt>
                <c:pt idx="20">
                  <c:v>27.860076999999997</c:v>
                </c:pt>
                <c:pt idx="21">
                  <c:v>29.092961000000003</c:v>
                </c:pt>
                <c:pt idx="22">
                  <c:v>28.179735000000001</c:v>
                </c:pt>
                <c:pt idx="23">
                  <c:v>26.813803999999998</c:v>
                </c:pt>
                <c:pt idx="24">
                  <c:v>24.514672999999998</c:v>
                </c:pt>
                <c:pt idx="25">
                  <c:v>23.001683</c:v>
                </c:pt>
                <c:pt idx="26">
                  <c:v>18.841944999999999</c:v>
                </c:pt>
                <c:pt idx="27">
                  <c:v>19.024028000000001</c:v>
                </c:pt>
                <c:pt idx="28">
                  <c:v>16.509418</c:v>
                </c:pt>
                <c:pt idx="29">
                  <c:v>15.804497</c:v>
                </c:pt>
                <c:pt idx="30">
                  <c:v>14.796082</c:v>
                </c:pt>
                <c:pt idx="31">
                  <c:v>14.121310000000001</c:v>
                </c:pt>
                <c:pt idx="32">
                  <c:v>14.365019</c:v>
                </c:pt>
                <c:pt idx="33">
                  <c:v>11.760923999999999</c:v>
                </c:pt>
                <c:pt idx="34">
                  <c:v>15.43493</c:v>
                </c:pt>
                <c:pt idx="35">
                  <c:v>15.825980000000001</c:v>
                </c:pt>
                <c:pt idx="36">
                  <c:v>17.494941000000001</c:v>
                </c:pt>
                <c:pt idx="37">
                  <c:v>20.536749999999998</c:v>
                </c:pt>
                <c:pt idx="38">
                  <c:v>21.937069999999999</c:v>
                </c:pt>
                <c:pt idx="39">
                  <c:v>23.519617000000004</c:v>
                </c:pt>
                <c:pt idx="40">
                  <c:v>25.956574000000003</c:v>
                </c:pt>
              </c:numCache>
            </c:numRef>
          </c:val>
          <c:smooth val="0"/>
        </c:ser>
        <c:ser>
          <c:idx val="1"/>
          <c:order val="1"/>
          <c:tx>
            <c:strRef>
              <c:f>'8762 tab06 clean'!$AC$2</c:f>
              <c:strCache>
                <c:ptCount val="1"/>
                <c:pt idx="0">
                  <c:v>Utilities</c:v>
                </c:pt>
              </c:strCache>
            </c:strRef>
          </c:tx>
          <c:spPr>
            <a:ln>
              <a:solidFill>
                <a:srgbClr val="9ED9DF"/>
              </a:solidFill>
              <a:prstDash val="solid"/>
            </a:ln>
          </c:spPr>
          <c:marker>
            <c:symbol val="none"/>
          </c:marker>
          <c:cat>
            <c:numRef>
              <c:f>'8762 tab06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'8762 tab06 clean'!$AC$7:$AC$47</c:f>
              <c:numCache>
                <c:formatCode>General</c:formatCode>
                <c:ptCount val="41"/>
                <c:pt idx="0">
                  <c:v>6.2556559999999992</c:v>
                </c:pt>
                <c:pt idx="1">
                  <c:v>6.4124309999999998</c:v>
                </c:pt>
                <c:pt idx="2">
                  <c:v>7.8342189999999992</c:v>
                </c:pt>
                <c:pt idx="3">
                  <c:v>8.8785200000000017</c:v>
                </c:pt>
                <c:pt idx="4">
                  <c:v>10.318197999999999</c:v>
                </c:pt>
                <c:pt idx="5">
                  <c:v>10.170516999999998</c:v>
                </c:pt>
                <c:pt idx="6">
                  <c:v>9.1522220000000001</c:v>
                </c:pt>
                <c:pt idx="7">
                  <c:v>11.788019999999999</c:v>
                </c:pt>
                <c:pt idx="8">
                  <c:v>10.052859000000002</c:v>
                </c:pt>
                <c:pt idx="9">
                  <c:v>9.0162349999999982</c:v>
                </c:pt>
                <c:pt idx="10">
                  <c:v>9.6481740000000009</c:v>
                </c:pt>
                <c:pt idx="11">
                  <c:v>11.475847999999999</c:v>
                </c:pt>
                <c:pt idx="12">
                  <c:v>16.916646999999998</c:v>
                </c:pt>
                <c:pt idx="13">
                  <c:v>15.876079000000001</c:v>
                </c:pt>
                <c:pt idx="14">
                  <c:v>14.842284999999999</c:v>
                </c:pt>
                <c:pt idx="15">
                  <c:v>16.076681999999998</c:v>
                </c:pt>
                <c:pt idx="16">
                  <c:v>17.290911000000001</c:v>
                </c:pt>
                <c:pt idx="17">
                  <c:v>16.434743999999998</c:v>
                </c:pt>
                <c:pt idx="18">
                  <c:v>14.666239000000001</c:v>
                </c:pt>
                <c:pt idx="19">
                  <c:v>15.548315000000001</c:v>
                </c:pt>
                <c:pt idx="20">
                  <c:v>15.930403</c:v>
                </c:pt>
                <c:pt idx="21">
                  <c:v>18.498393</c:v>
                </c:pt>
                <c:pt idx="22">
                  <c:v>17.633507000000002</c:v>
                </c:pt>
                <c:pt idx="23">
                  <c:v>21.535208000000001</c:v>
                </c:pt>
                <c:pt idx="24">
                  <c:v>23.120604</c:v>
                </c:pt>
                <c:pt idx="25">
                  <c:v>22.336918999999998</c:v>
                </c:pt>
                <c:pt idx="26">
                  <c:v>19.775639000000002</c:v>
                </c:pt>
                <c:pt idx="27">
                  <c:v>18.686647999999998</c:v>
                </c:pt>
                <c:pt idx="28">
                  <c:v>17.733530000000002</c:v>
                </c:pt>
                <c:pt idx="29">
                  <c:v>17.305610999999999</c:v>
                </c:pt>
                <c:pt idx="30">
                  <c:v>15.107001</c:v>
                </c:pt>
                <c:pt idx="31">
                  <c:v>13.386928999999999</c:v>
                </c:pt>
                <c:pt idx="32">
                  <c:v>12.084811</c:v>
                </c:pt>
                <c:pt idx="33">
                  <c:v>12.285687000000001</c:v>
                </c:pt>
                <c:pt idx="34">
                  <c:v>10.404646</c:v>
                </c:pt>
                <c:pt idx="35">
                  <c:v>7.9222719999999995</c:v>
                </c:pt>
                <c:pt idx="36">
                  <c:v>7.0853150000000005</c:v>
                </c:pt>
                <c:pt idx="37">
                  <c:v>5.9902580000000007</c:v>
                </c:pt>
                <c:pt idx="38">
                  <c:v>5.5496439999999998</c:v>
                </c:pt>
                <c:pt idx="39">
                  <c:v>5.9626500000000009</c:v>
                </c:pt>
                <c:pt idx="40">
                  <c:v>6.2672050000000006</c:v>
                </c:pt>
              </c:numCache>
            </c:numRef>
          </c:val>
          <c:smooth val="0"/>
        </c:ser>
        <c:ser>
          <c:idx val="2"/>
          <c:order val="2"/>
          <c:tx>
            <c:strRef>
              <c:f>'8762 tab06 clean'!$AD$2</c:f>
              <c:strCache>
                <c:ptCount val="1"/>
                <c:pt idx="0">
                  <c:v>Oil, gas, coal and other minerals</c:v>
                </c:pt>
              </c:strCache>
            </c:strRef>
          </c:tx>
          <c:spPr>
            <a:ln>
              <a:solidFill>
                <a:srgbClr val="22789A"/>
              </a:solidFill>
              <a:prstDash val="solid"/>
            </a:ln>
          </c:spPr>
          <c:marker>
            <c:symbol val="none"/>
          </c:marker>
          <c:cat>
            <c:numRef>
              <c:f>'8762 tab06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'8762 tab06 clean'!$AD$7:$AD$47</c:f>
              <c:numCache>
                <c:formatCode>General</c:formatCode>
                <c:ptCount val="41"/>
                <c:pt idx="0">
                  <c:v>12.474072</c:v>
                </c:pt>
                <c:pt idx="1">
                  <c:v>13.440661</c:v>
                </c:pt>
                <c:pt idx="2">
                  <c:v>12.35947</c:v>
                </c:pt>
                <c:pt idx="3">
                  <c:v>24.928332999999999</c:v>
                </c:pt>
                <c:pt idx="4">
                  <c:v>24.847778000000002</c:v>
                </c:pt>
                <c:pt idx="5">
                  <c:v>27.848465000000001</c:v>
                </c:pt>
                <c:pt idx="6">
                  <c:v>28.403333</c:v>
                </c:pt>
                <c:pt idx="7">
                  <c:v>25.451896999999999</c:v>
                </c:pt>
                <c:pt idx="8">
                  <c:v>24.584986000000001</c:v>
                </c:pt>
                <c:pt idx="9">
                  <c:v>22.631124</c:v>
                </c:pt>
                <c:pt idx="10">
                  <c:v>20.772604000000001</c:v>
                </c:pt>
                <c:pt idx="11">
                  <c:v>19.055398</c:v>
                </c:pt>
                <c:pt idx="12">
                  <c:v>52.205821999999998</c:v>
                </c:pt>
                <c:pt idx="13">
                  <c:v>52.885455999999998</c:v>
                </c:pt>
                <c:pt idx="14">
                  <c:v>49.952466000000001</c:v>
                </c:pt>
                <c:pt idx="15">
                  <c:v>48.612428000000001</c:v>
                </c:pt>
                <c:pt idx="16">
                  <c:v>65.325889000000004</c:v>
                </c:pt>
                <c:pt idx="17">
                  <c:v>77.461297000000002</c:v>
                </c:pt>
                <c:pt idx="18">
                  <c:v>80.43741</c:v>
                </c:pt>
                <c:pt idx="19">
                  <c:v>88.777063999999996</c:v>
                </c:pt>
                <c:pt idx="20">
                  <c:v>90.868987000000004</c:v>
                </c:pt>
                <c:pt idx="21">
                  <c:v>102.80096399999999</c:v>
                </c:pt>
                <c:pt idx="22">
                  <c:v>97.240954000000002</c:v>
                </c:pt>
                <c:pt idx="23">
                  <c:v>117.683393</c:v>
                </c:pt>
                <c:pt idx="24">
                  <c:v>104.946247</c:v>
                </c:pt>
                <c:pt idx="25">
                  <c:v>106.56514799999999</c:v>
                </c:pt>
                <c:pt idx="26">
                  <c:v>95.396855000000002</c:v>
                </c:pt>
                <c:pt idx="27">
                  <c:v>88.259259</c:v>
                </c:pt>
                <c:pt idx="28">
                  <c:v>79.662593000000001</c:v>
                </c:pt>
                <c:pt idx="29">
                  <c:v>78.302774999999997</c:v>
                </c:pt>
                <c:pt idx="30">
                  <c:v>73.161530999999997</c:v>
                </c:pt>
                <c:pt idx="31">
                  <c:v>72.756291000000004</c:v>
                </c:pt>
                <c:pt idx="32">
                  <c:v>65.562426000000002</c:v>
                </c:pt>
                <c:pt idx="33">
                  <c:v>58.766376000000001</c:v>
                </c:pt>
                <c:pt idx="34">
                  <c:v>50.413321000000003</c:v>
                </c:pt>
                <c:pt idx="35">
                  <c:v>52.077427999999998</c:v>
                </c:pt>
                <c:pt idx="36">
                  <c:v>46.012008999999999</c:v>
                </c:pt>
                <c:pt idx="37">
                  <c:v>44.144441</c:v>
                </c:pt>
                <c:pt idx="38">
                  <c:v>41.191580000000002</c:v>
                </c:pt>
                <c:pt idx="39">
                  <c:v>38.635511000000001</c:v>
                </c:pt>
                <c:pt idx="40">
                  <c:v>34.827514000000001</c:v>
                </c:pt>
              </c:numCache>
            </c:numRef>
          </c:val>
          <c:smooth val="0"/>
        </c:ser>
        <c:ser>
          <c:idx val="3"/>
          <c:order val="3"/>
          <c:tx>
            <c:strRef>
              <c:f>'8762 tab06 clean'!$AG$2</c:f>
              <c:strCache>
                <c:ptCount val="1"/>
                <c:pt idx="0">
                  <c:v>Total</c:v>
                </c:pt>
              </c:strCache>
            </c:strRef>
          </c:tx>
          <c:spPr>
            <a:ln>
              <a:solidFill>
                <a:srgbClr val="BCBFC1"/>
              </a:solidFill>
              <a:prstDash val="solid"/>
            </a:ln>
          </c:spPr>
          <c:marker>
            <c:symbol val="none"/>
          </c:marker>
          <c:cat>
            <c:numRef>
              <c:f>'8762 tab06 clean'!$A$7:$A$47</c:f>
              <c:numCache>
                <c:formatCode>mmm\-yyyy</c:formatCode>
                <c:ptCount val="41"/>
                <c:pt idx="0">
                  <c:v>39052</c:v>
                </c:pt>
                <c:pt idx="1">
                  <c:v>39142</c:v>
                </c:pt>
                <c:pt idx="2">
                  <c:v>39234</c:v>
                </c:pt>
                <c:pt idx="3">
                  <c:v>39326</c:v>
                </c:pt>
                <c:pt idx="4">
                  <c:v>39417</c:v>
                </c:pt>
                <c:pt idx="5">
                  <c:v>39508</c:v>
                </c:pt>
                <c:pt idx="6">
                  <c:v>39600</c:v>
                </c:pt>
                <c:pt idx="7">
                  <c:v>39692</c:v>
                </c:pt>
                <c:pt idx="8">
                  <c:v>39783</c:v>
                </c:pt>
                <c:pt idx="9">
                  <c:v>39873</c:v>
                </c:pt>
                <c:pt idx="10">
                  <c:v>39965</c:v>
                </c:pt>
                <c:pt idx="11">
                  <c:v>40057</c:v>
                </c:pt>
                <c:pt idx="12">
                  <c:v>40148</c:v>
                </c:pt>
                <c:pt idx="13">
                  <c:v>40238</c:v>
                </c:pt>
                <c:pt idx="14">
                  <c:v>40330</c:v>
                </c:pt>
                <c:pt idx="15">
                  <c:v>40422</c:v>
                </c:pt>
                <c:pt idx="16">
                  <c:v>40513</c:v>
                </c:pt>
                <c:pt idx="17">
                  <c:v>40603</c:v>
                </c:pt>
                <c:pt idx="18">
                  <c:v>40695</c:v>
                </c:pt>
                <c:pt idx="19">
                  <c:v>40787</c:v>
                </c:pt>
                <c:pt idx="20">
                  <c:v>40878</c:v>
                </c:pt>
                <c:pt idx="21">
                  <c:v>40969</c:v>
                </c:pt>
                <c:pt idx="22">
                  <c:v>41061</c:v>
                </c:pt>
                <c:pt idx="23">
                  <c:v>41153</c:v>
                </c:pt>
                <c:pt idx="24">
                  <c:v>41244</c:v>
                </c:pt>
                <c:pt idx="25">
                  <c:v>41334</c:v>
                </c:pt>
                <c:pt idx="26">
                  <c:v>41426</c:v>
                </c:pt>
                <c:pt idx="27">
                  <c:v>41518</c:v>
                </c:pt>
                <c:pt idx="28">
                  <c:v>41609</c:v>
                </c:pt>
                <c:pt idx="29">
                  <c:v>41699</c:v>
                </c:pt>
                <c:pt idx="30">
                  <c:v>41791</c:v>
                </c:pt>
                <c:pt idx="31">
                  <c:v>41883</c:v>
                </c:pt>
                <c:pt idx="32">
                  <c:v>41974</c:v>
                </c:pt>
                <c:pt idx="33">
                  <c:v>42064</c:v>
                </c:pt>
                <c:pt idx="34">
                  <c:v>42156</c:v>
                </c:pt>
                <c:pt idx="35">
                  <c:v>42248</c:v>
                </c:pt>
                <c:pt idx="36">
                  <c:v>42339</c:v>
                </c:pt>
                <c:pt idx="37">
                  <c:v>42430</c:v>
                </c:pt>
                <c:pt idx="38">
                  <c:v>42522</c:v>
                </c:pt>
                <c:pt idx="39">
                  <c:v>42614</c:v>
                </c:pt>
                <c:pt idx="40">
                  <c:v>42705</c:v>
                </c:pt>
              </c:numCache>
            </c:numRef>
          </c:cat>
          <c:val>
            <c:numRef>
              <c:f>'8762 tab06 clean'!$AG$7:$AG$47</c:f>
              <c:numCache>
                <c:formatCode>General</c:formatCode>
                <c:ptCount val="41"/>
                <c:pt idx="0">
                  <c:v>29.731930999999999</c:v>
                </c:pt>
                <c:pt idx="1">
                  <c:v>33.011744999999998</c:v>
                </c:pt>
                <c:pt idx="2">
                  <c:v>32.510272000000001</c:v>
                </c:pt>
                <c:pt idx="3">
                  <c:v>47.470117999999999</c:v>
                </c:pt>
                <c:pt idx="4">
                  <c:v>48.008892000000003</c:v>
                </c:pt>
                <c:pt idx="5">
                  <c:v>52.471536</c:v>
                </c:pt>
                <c:pt idx="6">
                  <c:v>52.090414000000003</c:v>
                </c:pt>
                <c:pt idx="7">
                  <c:v>55.665770000000002</c:v>
                </c:pt>
                <c:pt idx="8">
                  <c:v>52.449086000000001</c:v>
                </c:pt>
                <c:pt idx="9">
                  <c:v>49.246606999999997</c:v>
                </c:pt>
                <c:pt idx="10">
                  <c:v>47.066808000000002</c:v>
                </c:pt>
                <c:pt idx="11">
                  <c:v>47.214706</c:v>
                </c:pt>
                <c:pt idx="12">
                  <c:v>87.075557000000003</c:v>
                </c:pt>
                <c:pt idx="13">
                  <c:v>86.091380999999998</c:v>
                </c:pt>
                <c:pt idx="14">
                  <c:v>83.330194000000006</c:v>
                </c:pt>
                <c:pt idx="15">
                  <c:v>84.124208999999993</c:v>
                </c:pt>
                <c:pt idx="16">
                  <c:v>111.78275600000001</c:v>
                </c:pt>
                <c:pt idx="17">
                  <c:v>121.648257</c:v>
                </c:pt>
                <c:pt idx="18">
                  <c:v>121.944475</c:v>
                </c:pt>
                <c:pt idx="19">
                  <c:v>132.18416099999999</c:v>
                </c:pt>
                <c:pt idx="20">
                  <c:v>136.14673300000001</c:v>
                </c:pt>
                <c:pt idx="21">
                  <c:v>152.93253799999999</c:v>
                </c:pt>
                <c:pt idx="22">
                  <c:v>145.99155200000001</c:v>
                </c:pt>
                <c:pt idx="23">
                  <c:v>168.90887799999999</c:v>
                </c:pt>
                <c:pt idx="24">
                  <c:v>155.885615</c:v>
                </c:pt>
                <c:pt idx="25">
                  <c:v>155.54081099999999</c:v>
                </c:pt>
                <c:pt idx="26">
                  <c:v>137.29121599999999</c:v>
                </c:pt>
                <c:pt idx="27">
                  <c:v>128.47912400000001</c:v>
                </c:pt>
                <c:pt idx="28">
                  <c:v>115.5668</c:v>
                </c:pt>
                <c:pt idx="29">
                  <c:v>113.785319</c:v>
                </c:pt>
                <c:pt idx="30">
                  <c:v>105.416775</c:v>
                </c:pt>
                <c:pt idx="31">
                  <c:v>102.808847</c:v>
                </c:pt>
                <c:pt idx="32">
                  <c:v>93.864112000000006</c:v>
                </c:pt>
                <c:pt idx="33">
                  <c:v>84.351966000000004</c:v>
                </c:pt>
                <c:pt idx="34">
                  <c:v>77.190990999999997</c:v>
                </c:pt>
                <c:pt idx="35">
                  <c:v>76.930580000000006</c:v>
                </c:pt>
                <c:pt idx="36">
                  <c:v>71.733186000000003</c:v>
                </c:pt>
                <c:pt idx="37">
                  <c:v>71.743433999999993</c:v>
                </c:pt>
                <c:pt idx="38">
                  <c:v>70.065647999999996</c:v>
                </c:pt>
                <c:pt idx="39">
                  <c:v>69.581102000000001</c:v>
                </c:pt>
                <c:pt idx="40">
                  <c:v>68.626576</c:v>
                </c:pt>
              </c:numCache>
            </c:numRef>
          </c:val>
          <c:smooth val="0"/>
        </c:ser>
        <c:dLbls>
          <c:showLegendKey val="0"/>
          <c:showVal val="0"/>
          <c:showCatName val="0"/>
          <c:showSerName val="0"/>
          <c:showPercent val="0"/>
          <c:showBubbleSize val="0"/>
        </c:dLbls>
        <c:smooth val="0"/>
        <c:axId val="157283000"/>
        <c:axId val="157283392"/>
      </c:lineChart>
      <c:dateAx>
        <c:axId val="157283000"/>
        <c:scaling>
          <c:orientation val="minMax"/>
        </c:scaling>
        <c:delete val="0"/>
        <c:axPos val="b"/>
        <c:numFmt formatCode="yyyy" sourceLinked="0"/>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57283392"/>
        <c:crosses val="autoZero"/>
        <c:auto val="1"/>
        <c:lblOffset val="100"/>
        <c:baseTimeUnit val="months"/>
        <c:majorUnit val="2"/>
        <c:majorTimeUnit val="years"/>
      </c:dateAx>
      <c:valAx>
        <c:axId val="157283392"/>
        <c:scaling>
          <c:orientation val="minMax"/>
        </c:scaling>
        <c:delete val="0"/>
        <c:axPos val="l"/>
        <c:title>
          <c:tx>
            <c:rich>
              <a:bodyPr/>
              <a:lstStyle/>
              <a:p>
                <a:pPr>
                  <a:defRPr sz="900" b="0">
                    <a:solidFill>
                      <a:srgbClr val="595A5B"/>
                    </a:solidFill>
                    <a:latin typeface="Arial"/>
                    <a:ea typeface="Arial"/>
                    <a:cs typeface="Arial"/>
                  </a:defRPr>
                </a:pPr>
                <a:r>
                  <a:rPr lang="en-AU"/>
                  <a:t>Work yet to be done ($ billions)</a:t>
                </a:r>
              </a:p>
            </c:rich>
          </c:tx>
          <c:overlay val="0"/>
        </c:title>
        <c:numFmt formatCode="General" sourceLinked="1"/>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57283000"/>
        <c:crosses val="autoZero"/>
        <c:crossBetween val="between"/>
        <c:majorUnit val="60"/>
      </c:valAx>
      <c:spPr>
        <a:ln w="25400">
          <a:noFill/>
        </a:ln>
      </c:spPr>
    </c:plotArea>
    <c:legend>
      <c:legendPos val="b"/>
      <c:overlay val="0"/>
      <c:spPr>
        <a:effectLst/>
      </c:spPr>
      <c:txPr>
        <a:bodyPr/>
        <a:lstStyle/>
        <a:p>
          <a:pPr>
            <a:defRPr sz="900" b="0" u="none">
              <a:solidFill>
                <a:srgbClr val="595A5B"/>
              </a:solidFill>
              <a:latin typeface="Arial"/>
              <a:ea typeface="Arial"/>
              <a:cs typeface="Arial"/>
            </a:defRPr>
          </a:pPr>
          <a:endParaRPr lang="en-US"/>
        </a:p>
      </c:txPr>
    </c:legend>
    <c:plotVisOnly val="1"/>
    <c:dispBlanksAs val="gap"/>
    <c:showDLblsOverMax val="0"/>
  </c:chart>
  <c:spPr>
    <a:ln w="25400">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73762254673788"/>
          <c:y val="5.1286128209474931E-2"/>
          <c:w val="0.84053425925925929"/>
          <c:h val="0.72283938466025077"/>
        </c:manualLayout>
      </c:layout>
      <c:lineChart>
        <c:grouping val="standard"/>
        <c:varyColors val="0"/>
        <c:ser>
          <c:idx val="0"/>
          <c:order val="0"/>
          <c:tx>
            <c:strRef>
              <c:f>'5625 tab01a clean'!$B$2</c:f>
              <c:strCache>
                <c:ptCount val="1"/>
                <c:pt idx="0">
                  <c:v>Buildings and Structures</c:v>
                </c:pt>
              </c:strCache>
            </c:strRef>
          </c:tx>
          <c:spPr>
            <a:ln>
              <a:solidFill>
                <a:srgbClr val="292B67"/>
              </a:solidFill>
              <a:prstDash val="solid"/>
            </a:ln>
          </c:spPr>
          <c:marker>
            <c:symbol val="none"/>
          </c:marker>
          <c:cat>
            <c:numRef>
              <c:f>'5625 tab01a clean'!$A$7:$A$47</c:f>
              <c:numCache>
                <c:formatCode>mmm\-yyyy</c:formatCode>
                <c:ptCount val="41"/>
                <c:pt idx="0">
                  <c:v>39142</c:v>
                </c:pt>
                <c:pt idx="1">
                  <c:v>39234</c:v>
                </c:pt>
                <c:pt idx="2">
                  <c:v>39326</c:v>
                </c:pt>
                <c:pt idx="3">
                  <c:v>39417</c:v>
                </c:pt>
                <c:pt idx="4">
                  <c:v>39508</c:v>
                </c:pt>
                <c:pt idx="5">
                  <c:v>39600</c:v>
                </c:pt>
                <c:pt idx="6">
                  <c:v>39692</c:v>
                </c:pt>
                <c:pt idx="7">
                  <c:v>39783</c:v>
                </c:pt>
                <c:pt idx="8">
                  <c:v>39873</c:v>
                </c:pt>
                <c:pt idx="9">
                  <c:v>39965</c:v>
                </c:pt>
                <c:pt idx="10">
                  <c:v>40057</c:v>
                </c:pt>
                <c:pt idx="11">
                  <c:v>40148</c:v>
                </c:pt>
                <c:pt idx="12">
                  <c:v>40238</c:v>
                </c:pt>
                <c:pt idx="13">
                  <c:v>40330</c:v>
                </c:pt>
                <c:pt idx="14">
                  <c:v>40422</c:v>
                </c:pt>
                <c:pt idx="15">
                  <c:v>40513</c:v>
                </c:pt>
                <c:pt idx="16">
                  <c:v>40603</c:v>
                </c:pt>
                <c:pt idx="17">
                  <c:v>40695</c:v>
                </c:pt>
                <c:pt idx="18">
                  <c:v>40787</c:v>
                </c:pt>
                <c:pt idx="19">
                  <c:v>40878</c:v>
                </c:pt>
                <c:pt idx="20">
                  <c:v>40969</c:v>
                </c:pt>
                <c:pt idx="21">
                  <c:v>41061</c:v>
                </c:pt>
                <c:pt idx="22">
                  <c:v>41153</c:v>
                </c:pt>
                <c:pt idx="23">
                  <c:v>41244</c:v>
                </c:pt>
                <c:pt idx="24">
                  <c:v>41334</c:v>
                </c:pt>
                <c:pt idx="25">
                  <c:v>41426</c:v>
                </c:pt>
                <c:pt idx="26">
                  <c:v>41518</c:v>
                </c:pt>
                <c:pt idx="27">
                  <c:v>41609</c:v>
                </c:pt>
                <c:pt idx="28">
                  <c:v>41699</c:v>
                </c:pt>
                <c:pt idx="29">
                  <c:v>41791</c:v>
                </c:pt>
                <c:pt idx="30">
                  <c:v>41883</c:v>
                </c:pt>
                <c:pt idx="31">
                  <c:v>41974</c:v>
                </c:pt>
                <c:pt idx="32">
                  <c:v>42064</c:v>
                </c:pt>
                <c:pt idx="33">
                  <c:v>42156</c:v>
                </c:pt>
                <c:pt idx="34">
                  <c:v>42248</c:v>
                </c:pt>
                <c:pt idx="35">
                  <c:v>42339</c:v>
                </c:pt>
                <c:pt idx="36">
                  <c:v>42430</c:v>
                </c:pt>
                <c:pt idx="37">
                  <c:v>42522</c:v>
                </c:pt>
                <c:pt idx="38">
                  <c:v>42614</c:v>
                </c:pt>
                <c:pt idx="39">
                  <c:v>42705</c:v>
                </c:pt>
                <c:pt idx="40">
                  <c:v>42795</c:v>
                </c:pt>
              </c:numCache>
            </c:numRef>
          </c:cat>
          <c:val>
            <c:numRef>
              <c:f>'5625 tab01a clean'!$B$7:$B$47</c:f>
              <c:numCache>
                <c:formatCode>General</c:formatCode>
                <c:ptCount val="41"/>
                <c:pt idx="0">
                  <c:v>4.0460000000000003</c:v>
                </c:pt>
                <c:pt idx="1">
                  <c:v>4.9580000000000002</c:v>
                </c:pt>
                <c:pt idx="2">
                  <c:v>4.4379999999999997</c:v>
                </c:pt>
                <c:pt idx="3">
                  <c:v>5.4409999999999998</c:v>
                </c:pt>
                <c:pt idx="4">
                  <c:v>4.8319999999999999</c:v>
                </c:pt>
                <c:pt idx="5">
                  <c:v>5.9779999999999998</c:v>
                </c:pt>
                <c:pt idx="6">
                  <c:v>6.3310000000000004</c:v>
                </c:pt>
                <c:pt idx="7">
                  <c:v>8.1210000000000004</c:v>
                </c:pt>
                <c:pt idx="8">
                  <c:v>6.8070000000000004</c:v>
                </c:pt>
                <c:pt idx="9">
                  <c:v>6.8310000000000004</c:v>
                </c:pt>
                <c:pt idx="10">
                  <c:v>6.0439999999999996</c:v>
                </c:pt>
                <c:pt idx="11">
                  <c:v>6.7919999999999998</c:v>
                </c:pt>
                <c:pt idx="12">
                  <c:v>6.1890000000000001</c:v>
                </c:pt>
                <c:pt idx="13">
                  <c:v>7.4489999999999998</c:v>
                </c:pt>
                <c:pt idx="14">
                  <c:v>8.35</c:v>
                </c:pt>
                <c:pt idx="15">
                  <c:v>8.9719999999999995</c:v>
                </c:pt>
                <c:pt idx="16">
                  <c:v>8.4269999999999996</c:v>
                </c:pt>
                <c:pt idx="17">
                  <c:v>11.13</c:v>
                </c:pt>
                <c:pt idx="18">
                  <c:v>14.468</c:v>
                </c:pt>
                <c:pt idx="19">
                  <c:v>16.431000000000001</c:v>
                </c:pt>
                <c:pt idx="20">
                  <c:v>16.645</c:v>
                </c:pt>
                <c:pt idx="21">
                  <c:v>20.739000000000001</c:v>
                </c:pt>
                <c:pt idx="22">
                  <c:v>19.731000000000002</c:v>
                </c:pt>
                <c:pt idx="23">
                  <c:v>21.681999999999999</c:v>
                </c:pt>
                <c:pt idx="24">
                  <c:v>17.783999999999999</c:v>
                </c:pt>
                <c:pt idx="25">
                  <c:v>21.027000000000001</c:v>
                </c:pt>
                <c:pt idx="26">
                  <c:v>21.478000000000002</c:v>
                </c:pt>
                <c:pt idx="27">
                  <c:v>22.234000000000002</c:v>
                </c:pt>
                <c:pt idx="28">
                  <c:v>17.123999999999999</c:v>
                </c:pt>
                <c:pt idx="29">
                  <c:v>20.113</c:v>
                </c:pt>
                <c:pt idx="30">
                  <c:v>18.699000000000002</c:v>
                </c:pt>
                <c:pt idx="31">
                  <c:v>18.562999999999999</c:v>
                </c:pt>
                <c:pt idx="32">
                  <c:v>15.068</c:v>
                </c:pt>
                <c:pt idx="33">
                  <c:v>15.292</c:v>
                </c:pt>
                <c:pt idx="34">
                  <c:v>13.39</c:v>
                </c:pt>
                <c:pt idx="35">
                  <c:v>14.452999999999999</c:v>
                </c:pt>
                <c:pt idx="36">
                  <c:v>10.228</c:v>
                </c:pt>
                <c:pt idx="37">
                  <c:v>9.4429999999999996</c:v>
                </c:pt>
                <c:pt idx="38">
                  <c:v>8.8350000000000009</c:v>
                </c:pt>
                <c:pt idx="39">
                  <c:v>8.8789999999999996</c:v>
                </c:pt>
                <c:pt idx="40">
                  <c:v>7.6550000000000002</c:v>
                </c:pt>
              </c:numCache>
            </c:numRef>
          </c:val>
          <c:smooth val="0"/>
        </c:ser>
        <c:ser>
          <c:idx val="1"/>
          <c:order val="1"/>
          <c:tx>
            <c:strRef>
              <c:f>'5625 tab01a clean'!$C$2</c:f>
              <c:strCache>
                <c:ptCount val="1"/>
                <c:pt idx="0">
                  <c:v>Equipment, Plant and Machinery</c:v>
                </c:pt>
              </c:strCache>
            </c:strRef>
          </c:tx>
          <c:spPr>
            <a:ln>
              <a:solidFill>
                <a:srgbClr val="9ED9DF"/>
              </a:solidFill>
              <a:prstDash val="solid"/>
            </a:ln>
          </c:spPr>
          <c:marker>
            <c:symbol val="none"/>
          </c:marker>
          <c:cat>
            <c:numRef>
              <c:f>'5625 tab01a clean'!$A$7:$A$47</c:f>
              <c:numCache>
                <c:formatCode>mmm\-yyyy</c:formatCode>
                <c:ptCount val="41"/>
                <c:pt idx="0">
                  <c:v>39142</c:v>
                </c:pt>
                <c:pt idx="1">
                  <c:v>39234</c:v>
                </c:pt>
                <c:pt idx="2">
                  <c:v>39326</c:v>
                </c:pt>
                <c:pt idx="3">
                  <c:v>39417</c:v>
                </c:pt>
                <c:pt idx="4">
                  <c:v>39508</c:v>
                </c:pt>
                <c:pt idx="5">
                  <c:v>39600</c:v>
                </c:pt>
                <c:pt idx="6">
                  <c:v>39692</c:v>
                </c:pt>
                <c:pt idx="7">
                  <c:v>39783</c:v>
                </c:pt>
                <c:pt idx="8">
                  <c:v>39873</c:v>
                </c:pt>
                <c:pt idx="9">
                  <c:v>39965</c:v>
                </c:pt>
                <c:pt idx="10">
                  <c:v>40057</c:v>
                </c:pt>
                <c:pt idx="11">
                  <c:v>40148</c:v>
                </c:pt>
                <c:pt idx="12">
                  <c:v>40238</c:v>
                </c:pt>
                <c:pt idx="13">
                  <c:v>40330</c:v>
                </c:pt>
                <c:pt idx="14">
                  <c:v>40422</c:v>
                </c:pt>
                <c:pt idx="15">
                  <c:v>40513</c:v>
                </c:pt>
                <c:pt idx="16">
                  <c:v>40603</c:v>
                </c:pt>
                <c:pt idx="17">
                  <c:v>40695</c:v>
                </c:pt>
                <c:pt idx="18">
                  <c:v>40787</c:v>
                </c:pt>
                <c:pt idx="19">
                  <c:v>40878</c:v>
                </c:pt>
                <c:pt idx="20">
                  <c:v>40969</c:v>
                </c:pt>
                <c:pt idx="21">
                  <c:v>41061</c:v>
                </c:pt>
                <c:pt idx="22">
                  <c:v>41153</c:v>
                </c:pt>
                <c:pt idx="23">
                  <c:v>41244</c:v>
                </c:pt>
                <c:pt idx="24">
                  <c:v>41334</c:v>
                </c:pt>
                <c:pt idx="25">
                  <c:v>41426</c:v>
                </c:pt>
                <c:pt idx="26">
                  <c:v>41518</c:v>
                </c:pt>
                <c:pt idx="27">
                  <c:v>41609</c:v>
                </c:pt>
                <c:pt idx="28">
                  <c:v>41699</c:v>
                </c:pt>
                <c:pt idx="29">
                  <c:v>41791</c:v>
                </c:pt>
                <c:pt idx="30">
                  <c:v>41883</c:v>
                </c:pt>
                <c:pt idx="31">
                  <c:v>41974</c:v>
                </c:pt>
                <c:pt idx="32">
                  <c:v>42064</c:v>
                </c:pt>
                <c:pt idx="33">
                  <c:v>42156</c:v>
                </c:pt>
                <c:pt idx="34">
                  <c:v>42248</c:v>
                </c:pt>
                <c:pt idx="35">
                  <c:v>42339</c:v>
                </c:pt>
                <c:pt idx="36">
                  <c:v>42430</c:v>
                </c:pt>
                <c:pt idx="37">
                  <c:v>42522</c:v>
                </c:pt>
                <c:pt idx="38">
                  <c:v>42614</c:v>
                </c:pt>
                <c:pt idx="39">
                  <c:v>42705</c:v>
                </c:pt>
                <c:pt idx="40">
                  <c:v>42795</c:v>
                </c:pt>
              </c:numCache>
            </c:numRef>
          </c:cat>
          <c:val>
            <c:numRef>
              <c:f>'5625 tab01a clean'!$C$7:$C$47</c:f>
              <c:numCache>
                <c:formatCode>General</c:formatCode>
                <c:ptCount val="41"/>
                <c:pt idx="0">
                  <c:v>1.4450000000000001</c:v>
                </c:pt>
                <c:pt idx="1">
                  <c:v>1.9870000000000001</c:v>
                </c:pt>
                <c:pt idx="2">
                  <c:v>1.728</c:v>
                </c:pt>
                <c:pt idx="3">
                  <c:v>2.093</c:v>
                </c:pt>
                <c:pt idx="4">
                  <c:v>1.89</c:v>
                </c:pt>
                <c:pt idx="5">
                  <c:v>2.8010000000000002</c:v>
                </c:pt>
                <c:pt idx="6">
                  <c:v>2.2410000000000001</c:v>
                </c:pt>
                <c:pt idx="7">
                  <c:v>2.9209999999999998</c:v>
                </c:pt>
                <c:pt idx="8">
                  <c:v>2.2839999999999998</c:v>
                </c:pt>
                <c:pt idx="9">
                  <c:v>2.4420000000000002</c:v>
                </c:pt>
                <c:pt idx="10">
                  <c:v>1.9159999999999999</c:v>
                </c:pt>
                <c:pt idx="11">
                  <c:v>2.5339999999999998</c:v>
                </c:pt>
                <c:pt idx="12">
                  <c:v>1.9</c:v>
                </c:pt>
                <c:pt idx="13">
                  <c:v>2.3610000000000002</c:v>
                </c:pt>
                <c:pt idx="14">
                  <c:v>2.0699999999999998</c:v>
                </c:pt>
                <c:pt idx="15">
                  <c:v>2.5720000000000001</c:v>
                </c:pt>
                <c:pt idx="16">
                  <c:v>2.0979999999999999</c:v>
                </c:pt>
                <c:pt idx="17">
                  <c:v>3.2290000000000001</c:v>
                </c:pt>
                <c:pt idx="18">
                  <c:v>2.8290000000000002</c:v>
                </c:pt>
                <c:pt idx="19">
                  <c:v>3.508</c:v>
                </c:pt>
                <c:pt idx="20">
                  <c:v>2.9670000000000001</c:v>
                </c:pt>
                <c:pt idx="21">
                  <c:v>4.4080000000000004</c:v>
                </c:pt>
                <c:pt idx="22">
                  <c:v>3.9449999999999998</c:v>
                </c:pt>
                <c:pt idx="23">
                  <c:v>4.3630000000000004</c:v>
                </c:pt>
                <c:pt idx="24">
                  <c:v>2.851</c:v>
                </c:pt>
                <c:pt idx="25">
                  <c:v>3.327</c:v>
                </c:pt>
                <c:pt idx="26">
                  <c:v>2.7250000000000001</c:v>
                </c:pt>
                <c:pt idx="27">
                  <c:v>2.4729999999999999</c:v>
                </c:pt>
                <c:pt idx="28">
                  <c:v>1.968</c:v>
                </c:pt>
                <c:pt idx="29">
                  <c:v>2.2770000000000001</c:v>
                </c:pt>
                <c:pt idx="30">
                  <c:v>2.1080000000000001</c:v>
                </c:pt>
                <c:pt idx="31">
                  <c:v>2.694</c:v>
                </c:pt>
                <c:pt idx="32">
                  <c:v>1.7430000000000001</c:v>
                </c:pt>
                <c:pt idx="33">
                  <c:v>1.95</c:v>
                </c:pt>
                <c:pt idx="34">
                  <c:v>1.498</c:v>
                </c:pt>
                <c:pt idx="35">
                  <c:v>1.7729999999999999</c:v>
                </c:pt>
                <c:pt idx="36">
                  <c:v>1.1719999999999999</c:v>
                </c:pt>
                <c:pt idx="37">
                  <c:v>1.4319999999999999</c:v>
                </c:pt>
                <c:pt idx="38">
                  <c:v>1.2330000000000001</c:v>
                </c:pt>
                <c:pt idx="39">
                  <c:v>1.704</c:v>
                </c:pt>
                <c:pt idx="40">
                  <c:v>1.141</c:v>
                </c:pt>
              </c:numCache>
            </c:numRef>
          </c:val>
          <c:smooth val="0"/>
        </c:ser>
        <c:dLbls>
          <c:showLegendKey val="0"/>
          <c:showVal val="0"/>
          <c:showCatName val="0"/>
          <c:showSerName val="0"/>
          <c:showPercent val="0"/>
          <c:showBubbleSize val="0"/>
        </c:dLbls>
        <c:smooth val="0"/>
        <c:axId val="157284176"/>
        <c:axId val="147066320"/>
      </c:lineChart>
      <c:dateAx>
        <c:axId val="157284176"/>
        <c:scaling>
          <c:orientation val="minMax"/>
        </c:scaling>
        <c:delete val="0"/>
        <c:axPos val="b"/>
        <c:numFmt formatCode="yyyy" sourceLinked="0"/>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47066320"/>
        <c:crosses val="autoZero"/>
        <c:auto val="1"/>
        <c:lblOffset val="100"/>
        <c:baseTimeUnit val="months"/>
        <c:majorUnit val="2"/>
        <c:majorTimeUnit val="years"/>
      </c:dateAx>
      <c:valAx>
        <c:axId val="147066320"/>
        <c:scaling>
          <c:orientation val="minMax"/>
        </c:scaling>
        <c:delete val="0"/>
        <c:axPos val="l"/>
        <c:title>
          <c:tx>
            <c:rich>
              <a:bodyPr/>
              <a:lstStyle/>
              <a:p>
                <a:pPr>
                  <a:defRPr sz="900" b="0">
                    <a:solidFill>
                      <a:srgbClr val="595A5B"/>
                    </a:solidFill>
                    <a:latin typeface="Arial"/>
                    <a:ea typeface="Arial"/>
                    <a:cs typeface="Arial"/>
                  </a:defRPr>
                </a:pPr>
                <a:r>
                  <a:rPr lang="en-AU"/>
                  <a:t>Private actual expenditure ($ billions)</a:t>
                </a:r>
              </a:p>
            </c:rich>
          </c:tx>
          <c:layout/>
          <c:overlay val="0"/>
        </c:title>
        <c:numFmt formatCode="General" sourceLinked="1"/>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57284176"/>
        <c:crosses val="autoZero"/>
        <c:crossBetween val="between"/>
        <c:majorUnit val="20"/>
      </c:valAx>
      <c:spPr>
        <a:ln w="25400">
          <a:noFill/>
        </a:ln>
      </c:spPr>
    </c:plotArea>
    <c:legend>
      <c:legendPos val="b"/>
      <c:layout/>
      <c:overlay val="0"/>
      <c:spPr>
        <a:effectLst/>
      </c:spPr>
      <c:txPr>
        <a:bodyPr/>
        <a:lstStyle/>
        <a:p>
          <a:pPr>
            <a:defRPr sz="900" b="0" u="none">
              <a:solidFill>
                <a:srgbClr val="595A5B"/>
              </a:solidFill>
              <a:latin typeface="Arial"/>
              <a:ea typeface="Arial"/>
              <a:cs typeface="Arial"/>
            </a:defRPr>
          </a:pPr>
          <a:endParaRPr lang="en-US"/>
        </a:p>
      </c:txPr>
    </c:legend>
    <c:plotVisOnly val="1"/>
    <c:dispBlanksAs val="gap"/>
    <c:showDLblsOverMax val="0"/>
  </c:chart>
  <c:spPr>
    <a:ln w="25400">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73762254673788"/>
          <c:y val="5.1286128209474931E-2"/>
          <c:w val="0.84053425925925929"/>
          <c:h val="0.72283938466025077"/>
        </c:manualLayout>
      </c:layout>
      <c:lineChart>
        <c:grouping val="standard"/>
        <c:varyColors val="0"/>
        <c:ser>
          <c:idx val="0"/>
          <c:order val="0"/>
          <c:tx>
            <c:strRef>
              <c:f>'5625 tab01bc clean'!$B$2</c:f>
              <c:strCache>
                <c:ptCount val="1"/>
                <c:pt idx="0">
                  <c:v>Buildings and Structures: Short Term</c:v>
                </c:pt>
              </c:strCache>
            </c:strRef>
          </c:tx>
          <c:spPr>
            <a:ln>
              <a:solidFill>
                <a:srgbClr val="292B67"/>
              </a:solidFill>
              <a:prstDash val="solid"/>
            </a:ln>
          </c:spPr>
          <c:marker>
            <c:symbol val="none"/>
          </c:marker>
          <c:cat>
            <c:numRef>
              <c:f>'5625 tab01bc clean'!$A$7:$A$47</c:f>
              <c:numCache>
                <c:formatCode>mmm\-yyyy</c:formatCode>
                <c:ptCount val="41"/>
                <c:pt idx="0">
                  <c:v>39142</c:v>
                </c:pt>
                <c:pt idx="1">
                  <c:v>39234</c:v>
                </c:pt>
                <c:pt idx="2">
                  <c:v>39326</c:v>
                </c:pt>
                <c:pt idx="3">
                  <c:v>39417</c:v>
                </c:pt>
                <c:pt idx="4">
                  <c:v>39508</c:v>
                </c:pt>
                <c:pt idx="5">
                  <c:v>39600</c:v>
                </c:pt>
                <c:pt idx="6">
                  <c:v>39692</c:v>
                </c:pt>
                <c:pt idx="7">
                  <c:v>39783</c:v>
                </c:pt>
                <c:pt idx="8">
                  <c:v>39873</c:v>
                </c:pt>
                <c:pt idx="9">
                  <c:v>39965</c:v>
                </c:pt>
                <c:pt idx="10">
                  <c:v>40057</c:v>
                </c:pt>
                <c:pt idx="11">
                  <c:v>40148</c:v>
                </c:pt>
                <c:pt idx="12">
                  <c:v>40238</c:v>
                </c:pt>
                <c:pt idx="13">
                  <c:v>40330</c:v>
                </c:pt>
                <c:pt idx="14">
                  <c:v>40422</c:v>
                </c:pt>
                <c:pt idx="15">
                  <c:v>40513</c:v>
                </c:pt>
                <c:pt idx="16">
                  <c:v>40603</c:v>
                </c:pt>
                <c:pt idx="17">
                  <c:v>40695</c:v>
                </c:pt>
                <c:pt idx="18">
                  <c:v>40787</c:v>
                </c:pt>
                <c:pt idx="19">
                  <c:v>40878</c:v>
                </c:pt>
                <c:pt idx="20">
                  <c:v>40969</c:v>
                </c:pt>
                <c:pt idx="21">
                  <c:v>41061</c:v>
                </c:pt>
                <c:pt idx="22">
                  <c:v>41153</c:v>
                </c:pt>
                <c:pt idx="23">
                  <c:v>41244</c:v>
                </c:pt>
                <c:pt idx="24">
                  <c:v>41334</c:v>
                </c:pt>
                <c:pt idx="25">
                  <c:v>41426</c:v>
                </c:pt>
                <c:pt idx="26">
                  <c:v>41518</c:v>
                </c:pt>
                <c:pt idx="27">
                  <c:v>41609</c:v>
                </c:pt>
                <c:pt idx="28">
                  <c:v>41699</c:v>
                </c:pt>
                <c:pt idx="29">
                  <c:v>41791</c:v>
                </c:pt>
                <c:pt idx="30">
                  <c:v>41883</c:v>
                </c:pt>
                <c:pt idx="31">
                  <c:v>41974</c:v>
                </c:pt>
                <c:pt idx="32">
                  <c:v>42064</c:v>
                </c:pt>
                <c:pt idx="33">
                  <c:v>42156</c:v>
                </c:pt>
                <c:pt idx="34">
                  <c:v>42248</c:v>
                </c:pt>
                <c:pt idx="35">
                  <c:v>42339</c:v>
                </c:pt>
                <c:pt idx="36">
                  <c:v>42430</c:v>
                </c:pt>
                <c:pt idx="37">
                  <c:v>42522</c:v>
                </c:pt>
                <c:pt idx="38">
                  <c:v>42614</c:v>
                </c:pt>
                <c:pt idx="39">
                  <c:v>42705</c:v>
                </c:pt>
                <c:pt idx="40">
                  <c:v>42795</c:v>
                </c:pt>
              </c:numCache>
            </c:numRef>
          </c:cat>
          <c:val>
            <c:numRef>
              <c:f>'5625 tab01bc clean'!$B$7:$B$47</c:f>
              <c:numCache>
                <c:formatCode>General</c:formatCode>
                <c:ptCount val="41"/>
                <c:pt idx="0">
                  <c:v>6.2309999999999999</c:v>
                </c:pt>
                <c:pt idx="1">
                  <c:v>11.504</c:v>
                </c:pt>
                <c:pt idx="2">
                  <c:v>6.1120000000000001</c:v>
                </c:pt>
                <c:pt idx="3">
                  <c:v>13.920999999999999</c:v>
                </c:pt>
                <c:pt idx="4">
                  <c:v>7.827</c:v>
                </c:pt>
                <c:pt idx="5">
                  <c:v>14.949</c:v>
                </c:pt>
                <c:pt idx="6">
                  <c:v>8.8010000000000002</c:v>
                </c:pt>
                <c:pt idx="7">
                  <c:v>17.277000000000001</c:v>
                </c:pt>
                <c:pt idx="8">
                  <c:v>7.4039999999999999</c:v>
                </c:pt>
                <c:pt idx="9">
                  <c:v>14.46</c:v>
                </c:pt>
                <c:pt idx="10">
                  <c:v>7.5380000000000003</c:v>
                </c:pt>
                <c:pt idx="11">
                  <c:v>18.809999999999999</c:v>
                </c:pt>
                <c:pt idx="12">
                  <c:v>9.2669999999999995</c:v>
                </c:pt>
                <c:pt idx="13">
                  <c:v>21.678000000000001</c:v>
                </c:pt>
                <c:pt idx="14">
                  <c:v>11.4</c:v>
                </c:pt>
                <c:pt idx="15">
                  <c:v>27.611999999999998</c:v>
                </c:pt>
                <c:pt idx="16">
                  <c:v>14.974</c:v>
                </c:pt>
                <c:pt idx="17">
                  <c:v>32.073999999999998</c:v>
                </c:pt>
                <c:pt idx="18">
                  <c:v>18.832999999999998</c:v>
                </c:pt>
                <c:pt idx="19">
                  <c:v>46.62</c:v>
                </c:pt>
                <c:pt idx="20">
                  <c:v>24.206</c:v>
                </c:pt>
                <c:pt idx="21">
                  <c:v>49.133000000000003</c:v>
                </c:pt>
                <c:pt idx="22">
                  <c:v>23.927</c:v>
                </c:pt>
                <c:pt idx="23">
                  <c:v>47.055</c:v>
                </c:pt>
                <c:pt idx="24">
                  <c:v>23.975000000000001</c:v>
                </c:pt>
                <c:pt idx="25">
                  <c:v>46.383000000000003</c:v>
                </c:pt>
                <c:pt idx="26">
                  <c:v>24.091999999999999</c:v>
                </c:pt>
                <c:pt idx="27">
                  <c:v>48.581000000000003</c:v>
                </c:pt>
                <c:pt idx="28">
                  <c:v>24.143000000000001</c:v>
                </c:pt>
                <c:pt idx="29">
                  <c:v>39.953000000000003</c:v>
                </c:pt>
                <c:pt idx="30">
                  <c:v>20.988</c:v>
                </c:pt>
                <c:pt idx="31">
                  <c:v>33.887999999999998</c:v>
                </c:pt>
                <c:pt idx="32">
                  <c:v>16.527000000000001</c:v>
                </c:pt>
                <c:pt idx="33">
                  <c:v>28.875</c:v>
                </c:pt>
                <c:pt idx="34">
                  <c:v>17.257999999999999</c:v>
                </c:pt>
                <c:pt idx="35">
                  <c:v>21.148</c:v>
                </c:pt>
                <c:pt idx="36">
                  <c:v>11.634</c:v>
                </c:pt>
                <c:pt idx="37">
                  <c:v>19.161999999999999</c:v>
                </c:pt>
                <c:pt idx="38">
                  <c:v>9.0229999999999997</c:v>
                </c:pt>
                <c:pt idx="39">
                  <c:v>16.306999999999999</c:v>
                </c:pt>
                <c:pt idx="40">
                  <c:v>7.7430000000000003</c:v>
                </c:pt>
              </c:numCache>
            </c:numRef>
          </c:val>
          <c:smooth val="0"/>
        </c:ser>
        <c:ser>
          <c:idx val="1"/>
          <c:order val="1"/>
          <c:tx>
            <c:strRef>
              <c:f>'5625 tab01bc clean'!$C$2</c:f>
              <c:strCache>
                <c:ptCount val="1"/>
                <c:pt idx="0">
                  <c:v>Equipment, Plant and Machinery: Short Term</c:v>
                </c:pt>
              </c:strCache>
            </c:strRef>
          </c:tx>
          <c:spPr>
            <a:ln>
              <a:solidFill>
                <a:srgbClr val="9ED9DF"/>
              </a:solidFill>
              <a:prstDash val="solid"/>
            </a:ln>
          </c:spPr>
          <c:marker>
            <c:symbol val="none"/>
          </c:marker>
          <c:cat>
            <c:numRef>
              <c:f>'5625 tab01bc clean'!$A$7:$A$47</c:f>
              <c:numCache>
                <c:formatCode>mmm\-yyyy</c:formatCode>
                <c:ptCount val="41"/>
                <c:pt idx="0">
                  <c:v>39142</c:v>
                </c:pt>
                <c:pt idx="1">
                  <c:v>39234</c:v>
                </c:pt>
                <c:pt idx="2">
                  <c:v>39326</c:v>
                </c:pt>
                <c:pt idx="3">
                  <c:v>39417</c:v>
                </c:pt>
                <c:pt idx="4">
                  <c:v>39508</c:v>
                </c:pt>
                <c:pt idx="5">
                  <c:v>39600</c:v>
                </c:pt>
                <c:pt idx="6">
                  <c:v>39692</c:v>
                </c:pt>
                <c:pt idx="7">
                  <c:v>39783</c:v>
                </c:pt>
                <c:pt idx="8">
                  <c:v>39873</c:v>
                </c:pt>
                <c:pt idx="9">
                  <c:v>39965</c:v>
                </c:pt>
                <c:pt idx="10">
                  <c:v>40057</c:v>
                </c:pt>
                <c:pt idx="11">
                  <c:v>40148</c:v>
                </c:pt>
                <c:pt idx="12">
                  <c:v>40238</c:v>
                </c:pt>
                <c:pt idx="13">
                  <c:v>40330</c:v>
                </c:pt>
                <c:pt idx="14">
                  <c:v>40422</c:v>
                </c:pt>
                <c:pt idx="15">
                  <c:v>40513</c:v>
                </c:pt>
                <c:pt idx="16">
                  <c:v>40603</c:v>
                </c:pt>
                <c:pt idx="17">
                  <c:v>40695</c:v>
                </c:pt>
                <c:pt idx="18">
                  <c:v>40787</c:v>
                </c:pt>
                <c:pt idx="19">
                  <c:v>40878</c:v>
                </c:pt>
                <c:pt idx="20">
                  <c:v>40969</c:v>
                </c:pt>
                <c:pt idx="21">
                  <c:v>41061</c:v>
                </c:pt>
                <c:pt idx="22">
                  <c:v>41153</c:v>
                </c:pt>
                <c:pt idx="23">
                  <c:v>41244</c:v>
                </c:pt>
                <c:pt idx="24">
                  <c:v>41334</c:v>
                </c:pt>
                <c:pt idx="25">
                  <c:v>41426</c:v>
                </c:pt>
                <c:pt idx="26">
                  <c:v>41518</c:v>
                </c:pt>
                <c:pt idx="27">
                  <c:v>41609</c:v>
                </c:pt>
                <c:pt idx="28">
                  <c:v>41699</c:v>
                </c:pt>
                <c:pt idx="29">
                  <c:v>41791</c:v>
                </c:pt>
                <c:pt idx="30">
                  <c:v>41883</c:v>
                </c:pt>
                <c:pt idx="31">
                  <c:v>41974</c:v>
                </c:pt>
                <c:pt idx="32">
                  <c:v>42064</c:v>
                </c:pt>
                <c:pt idx="33">
                  <c:v>42156</c:v>
                </c:pt>
                <c:pt idx="34">
                  <c:v>42248</c:v>
                </c:pt>
                <c:pt idx="35">
                  <c:v>42339</c:v>
                </c:pt>
                <c:pt idx="36">
                  <c:v>42430</c:v>
                </c:pt>
                <c:pt idx="37">
                  <c:v>42522</c:v>
                </c:pt>
                <c:pt idx="38">
                  <c:v>42614</c:v>
                </c:pt>
                <c:pt idx="39">
                  <c:v>42705</c:v>
                </c:pt>
                <c:pt idx="40">
                  <c:v>42795</c:v>
                </c:pt>
              </c:numCache>
            </c:numRef>
          </c:cat>
          <c:val>
            <c:numRef>
              <c:f>'5625 tab01bc clean'!$C$7:$C$47</c:f>
              <c:numCache>
                <c:formatCode>General</c:formatCode>
                <c:ptCount val="41"/>
                <c:pt idx="0">
                  <c:v>1.889</c:v>
                </c:pt>
                <c:pt idx="1">
                  <c:v>3.819</c:v>
                </c:pt>
                <c:pt idx="2">
                  <c:v>2.109</c:v>
                </c:pt>
                <c:pt idx="3">
                  <c:v>4.2210000000000001</c:v>
                </c:pt>
                <c:pt idx="4">
                  <c:v>2.7709999999999999</c:v>
                </c:pt>
                <c:pt idx="5">
                  <c:v>5.6529999999999996</c:v>
                </c:pt>
                <c:pt idx="6">
                  <c:v>3.4809999999999999</c:v>
                </c:pt>
                <c:pt idx="7">
                  <c:v>4.8</c:v>
                </c:pt>
                <c:pt idx="8">
                  <c:v>2.5680000000000001</c:v>
                </c:pt>
                <c:pt idx="9">
                  <c:v>4.4980000000000002</c:v>
                </c:pt>
                <c:pt idx="10">
                  <c:v>2.0950000000000002</c:v>
                </c:pt>
                <c:pt idx="11">
                  <c:v>5.298</c:v>
                </c:pt>
                <c:pt idx="12">
                  <c:v>2.7250000000000001</c:v>
                </c:pt>
                <c:pt idx="13">
                  <c:v>5.7140000000000004</c:v>
                </c:pt>
                <c:pt idx="14">
                  <c:v>3.2</c:v>
                </c:pt>
                <c:pt idx="15">
                  <c:v>7.3689999999999998</c:v>
                </c:pt>
                <c:pt idx="16">
                  <c:v>3.895</c:v>
                </c:pt>
                <c:pt idx="17">
                  <c:v>7.7160000000000002</c:v>
                </c:pt>
                <c:pt idx="18">
                  <c:v>4.5209999999999999</c:v>
                </c:pt>
                <c:pt idx="19">
                  <c:v>8.39</c:v>
                </c:pt>
                <c:pt idx="20">
                  <c:v>5.3150000000000004</c:v>
                </c:pt>
                <c:pt idx="21">
                  <c:v>9.7170000000000005</c:v>
                </c:pt>
                <c:pt idx="22">
                  <c:v>4.7389999999999999</c:v>
                </c:pt>
                <c:pt idx="23">
                  <c:v>6.8460000000000001</c:v>
                </c:pt>
                <c:pt idx="24">
                  <c:v>3.2559999999999998</c:v>
                </c:pt>
                <c:pt idx="25">
                  <c:v>5.9710000000000001</c:v>
                </c:pt>
                <c:pt idx="26">
                  <c:v>2.6080000000000001</c:v>
                </c:pt>
                <c:pt idx="27">
                  <c:v>5.0369999999999999</c:v>
                </c:pt>
                <c:pt idx="28">
                  <c:v>3.2189999999999999</c:v>
                </c:pt>
                <c:pt idx="29">
                  <c:v>5.4909999999999997</c:v>
                </c:pt>
                <c:pt idx="30">
                  <c:v>2.7639999999999998</c:v>
                </c:pt>
                <c:pt idx="31">
                  <c:v>4.8</c:v>
                </c:pt>
                <c:pt idx="32">
                  <c:v>2.4300000000000002</c:v>
                </c:pt>
                <c:pt idx="33">
                  <c:v>3.661</c:v>
                </c:pt>
                <c:pt idx="34">
                  <c:v>1.9690000000000001</c:v>
                </c:pt>
                <c:pt idx="35">
                  <c:v>2.988</c:v>
                </c:pt>
                <c:pt idx="36">
                  <c:v>1.548</c:v>
                </c:pt>
                <c:pt idx="37">
                  <c:v>3.1440000000000001</c:v>
                </c:pt>
                <c:pt idx="38">
                  <c:v>1.7769999999999999</c:v>
                </c:pt>
                <c:pt idx="39">
                  <c:v>3.5070000000000001</c:v>
                </c:pt>
                <c:pt idx="40">
                  <c:v>2.0289999999999999</c:v>
                </c:pt>
              </c:numCache>
            </c:numRef>
          </c:val>
          <c:smooth val="0"/>
        </c:ser>
        <c:ser>
          <c:idx val="3"/>
          <c:order val="2"/>
          <c:tx>
            <c:strRef>
              <c:f>'5625 tab01bc clean'!$E$2</c:f>
              <c:strCache>
                <c:ptCount val="1"/>
                <c:pt idx="0">
                  <c:v>Buildings and Structures: Long Term</c:v>
                </c:pt>
              </c:strCache>
            </c:strRef>
          </c:tx>
          <c:spPr>
            <a:ln>
              <a:solidFill>
                <a:srgbClr val="22789A"/>
              </a:solidFill>
              <a:prstDash val="solid"/>
            </a:ln>
          </c:spPr>
          <c:marker>
            <c:symbol val="none"/>
          </c:marker>
          <c:cat>
            <c:numRef>
              <c:f>'5625 tab01bc clean'!$A$7:$A$47</c:f>
              <c:numCache>
                <c:formatCode>mmm\-yyyy</c:formatCode>
                <c:ptCount val="41"/>
                <c:pt idx="0">
                  <c:v>39142</c:v>
                </c:pt>
                <c:pt idx="1">
                  <c:v>39234</c:v>
                </c:pt>
                <c:pt idx="2">
                  <c:v>39326</c:v>
                </c:pt>
                <c:pt idx="3">
                  <c:v>39417</c:v>
                </c:pt>
                <c:pt idx="4">
                  <c:v>39508</c:v>
                </c:pt>
                <c:pt idx="5">
                  <c:v>39600</c:v>
                </c:pt>
                <c:pt idx="6">
                  <c:v>39692</c:v>
                </c:pt>
                <c:pt idx="7">
                  <c:v>39783</c:v>
                </c:pt>
                <c:pt idx="8">
                  <c:v>39873</c:v>
                </c:pt>
                <c:pt idx="9">
                  <c:v>39965</c:v>
                </c:pt>
                <c:pt idx="10">
                  <c:v>40057</c:v>
                </c:pt>
                <c:pt idx="11">
                  <c:v>40148</c:v>
                </c:pt>
                <c:pt idx="12">
                  <c:v>40238</c:v>
                </c:pt>
                <c:pt idx="13">
                  <c:v>40330</c:v>
                </c:pt>
                <c:pt idx="14">
                  <c:v>40422</c:v>
                </c:pt>
                <c:pt idx="15">
                  <c:v>40513</c:v>
                </c:pt>
                <c:pt idx="16">
                  <c:v>40603</c:v>
                </c:pt>
                <c:pt idx="17">
                  <c:v>40695</c:v>
                </c:pt>
                <c:pt idx="18">
                  <c:v>40787</c:v>
                </c:pt>
                <c:pt idx="19">
                  <c:v>40878</c:v>
                </c:pt>
                <c:pt idx="20">
                  <c:v>40969</c:v>
                </c:pt>
                <c:pt idx="21">
                  <c:v>41061</c:v>
                </c:pt>
                <c:pt idx="22">
                  <c:v>41153</c:v>
                </c:pt>
                <c:pt idx="23">
                  <c:v>41244</c:v>
                </c:pt>
                <c:pt idx="24">
                  <c:v>41334</c:v>
                </c:pt>
                <c:pt idx="25">
                  <c:v>41426</c:v>
                </c:pt>
                <c:pt idx="26">
                  <c:v>41518</c:v>
                </c:pt>
                <c:pt idx="27">
                  <c:v>41609</c:v>
                </c:pt>
                <c:pt idx="28">
                  <c:v>41699</c:v>
                </c:pt>
                <c:pt idx="29">
                  <c:v>41791</c:v>
                </c:pt>
                <c:pt idx="30">
                  <c:v>41883</c:v>
                </c:pt>
                <c:pt idx="31">
                  <c:v>41974</c:v>
                </c:pt>
                <c:pt idx="32">
                  <c:v>42064</c:v>
                </c:pt>
                <c:pt idx="33">
                  <c:v>42156</c:v>
                </c:pt>
                <c:pt idx="34">
                  <c:v>42248</c:v>
                </c:pt>
                <c:pt idx="35">
                  <c:v>42339</c:v>
                </c:pt>
                <c:pt idx="36">
                  <c:v>42430</c:v>
                </c:pt>
                <c:pt idx="37">
                  <c:v>42522</c:v>
                </c:pt>
                <c:pt idx="38">
                  <c:v>42614</c:v>
                </c:pt>
                <c:pt idx="39">
                  <c:v>42705</c:v>
                </c:pt>
                <c:pt idx="40">
                  <c:v>42795</c:v>
                </c:pt>
              </c:numCache>
            </c:numRef>
          </c:cat>
          <c:val>
            <c:numRef>
              <c:f>'5625 tab01bc clean'!$E$7:$E$47</c:f>
              <c:numCache>
                <c:formatCode>General</c:formatCode>
                <c:ptCount val="41"/>
                <c:pt idx="0">
                  <c:v>21.821000000000002</c:v>
                </c:pt>
                <c:pt idx="1">
                  <c:v>11.105</c:v>
                </c:pt>
                <c:pt idx="2">
                  <c:v>12.401999999999999</c:v>
                </c:pt>
                <c:pt idx="3">
                  <c:v>24.440999999999999</c:v>
                </c:pt>
                <c:pt idx="4">
                  <c:v>26.593</c:v>
                </c:pt>
                <c:pt idx="5">
                  <c:v>17.695</c:v>
                </c:pt>
                <c:pt idx="6">
                  <c:v>18.152000000000001</c:v>
                </c:pt>
                <c:pt idx="7">
                  <c:v>26.968</c:v>
                </c:pt>
                <c:pt idx="8">
                  <c:v>26.007000000000001</c:v>
                </c:pt>
                <c:pt idx="9">
                  <c:v>13.750999999999999</c:v>
                </c:pt>
                <c:pt idx="10">
                  <c:v>15.205</c:v>
                </c:pt>
                <c:pt idx="11">
                  <c:v>39.981999999999999</c:v>
                </c:pt>
                <c:pt idx="12">
                  <c:v>38.670999999999999</c:v>
                </c:pt>
                <c:pt idx="13">
                  <c:v>24.091000000000001</c:v>
                </c:pt>
                <c:pt idx="14">
                  <c:v>24.053999999999998</c:v>
                </c:pt>
                <c:pt idx="15">
                  <c:v>67.007999999999996</c:v>
                </c:pt>
                <c:pt idx="16">
                  <c:v>69.308999999999997</c:v>
                </c:pt>
                <c:pt idx="17">
                  <c:v>35.844999999999999</c:v>
                </c:pt>
                <c:pt idx="18">
                  <c:v>42.777999999999999</c:v>
                </c:pt>
                <c:pt idx="19">
                  <c:v>96.83</c:v>
                </c:pt>
                <c:pt idx="20">
                  <c:v>101.85</c:v>
                </c:pt>
                <c:pt idx="21">
                  <c:v>51.465000000000003</c:v>
                </c:pt>
                <c:pt idx="22">
                  <c:v>48.01</c:v>
                </c:pt>
                <c:pt idx="23">
                  <c:v>86.501000000000005</c:v>
                </c:pt>
                <c:pt idx="24">
                  <c:v>89.406999999999996</c:v>
                </c:pt>
                <c:pt idx="25">
                  <c:v>44.55</c:v>
                </c:pt>
                <c:pt idx="26">
                  <c:v>47.156999999999996</c:v>
                </c:pt>
                <c:pt idx="27">
                  <c:v>65.835999999999999</c:v>
                </c:pt>
                <c:pt idx="28">
                  <c:v>69.921000000000006</c:v>
                </c:pt>
                <c:pt idx="29">
                  <c:v>35.356000000000002</c:v>
                </c:pt>
                <c:pt idx="30">
                  <c:v>36.162999999999997</c:v>
                </c:pt>
                <c:pt idx="31">
                  <c:v>45.933</c:v>
                </c:pt>
                <c:pt idx="32">
                  <c:v>46.185000000000002</c:v>
                </c:pt>
                <c:pt idx="33">
                  <c:v>18.760000000000002</c:v>
                </c:pt>
                <c:pt idx="34">
                  <c:v>22.358000000000001</c:v>
                </c:pt>
                <c:pt idx="35">
                  <c:v>27.931999999999999</c:v>
                </c:pt>
                <c:pt idx="36">
                  <c:v>30.324999999999999</c:v>
                </c:pt>
                <c:pt idx="37">
                  <c:v>15.794</c:v>
                </c:pt>
                <c:pt idx="38">
                  <c:v>15.93</c:v>
                </c:pt>
                <c:pt idx="39">
                  <c:v>21.007000000000001</c:v>
                </c:pt>
                <c:pt idx="40">
                  <c:v>21.802</c:v>
                </c:pt>
              </c:numCache>
            </c:numRef>
          </c:val>
          <c:smooth val="0"/>
        </c:ser>
        <c:ser>
          <c:idx val="4"/>
          <c:order val="3"/>
          <c:tx>
            <c:strRef>
              <c:f>'5625 tab01bc clean'!$F$2</c:f>
              <c:strCache>
                <c:ptCount val="1"/>
                <c:pt idx="0">
                  <c:v>Equipment, Plant and Machinery: Long Term</c:v>
                </c:pt>
              </c:strCache>
            </c:strRef>
          </c:tx>
          <c:spPr>
            <a:ln>
              <a:solidFill>
                <a:srgbClr val="BCBFC1"/>
              </a:solidFill>
              <a:prstDash val="solid"/>
            </a:ln>
          </c:spPr>
          <c:marker>
            <c:symbol val="none"/>
          </c:marker>
          <c:cat>
            <c:numRef>
              <c:f>'5625 tab01bc clean'!$A$7:$A$47</c:f>
              <c:numCache>
                <c:formatCode>mmm\-yyyy</c:formatCode>
                <c:ptCount val="41"/>
                <c:pt idx="0">
                  <c:v>39142</c:v>
                </c:pt>
                <c:pt idx="1">
                  <c:v>39234</c:v>
                </c:pt>
                <c:pt idx="2">
                  <c:v>39326</c:v>
                </c:pt>
                <c:pt idx="3">
                  <c:v>39417</c:v>
                </c:pt>
                <c:pt idx="4">
                  <c:v>39508</c:v>
                </c:pt>
                <c:pt idx="5">
                  <c:v>39600</c:v>
                </c:pt>
                <c:pt idx="6">
                  <c:v>39692</c:v>
                </c:pt>
                <c:pt idx="7">
                  <c:v>39783</c:v>
                </c:pt>
                <c:pt idx="8">
                  <c:v>39873</c:v>
                </c:pt>
                <c:pt idx="9">
                  <c:v>39965</c:v>
                </c:pt>
                <c:pt idx="10">
                  <c:v>40057</c:v>
                </c:pt>
                <c:pt idx="11">
                  <c:v>40148</c:v>
                </c:pt>
                <c:pt idx="12">
                  <c:v>40238</c:v>
                </c:pt>
                <c:pt idx="13">
                  <c:v>40330</c:v>
                </c:pt>
                <c:pt idx="14">
                  <c:v>40422</c:v>
                </c:pt>
                <c:pt idx="15">
                  <c:v>40513</c:v>
                </c:pt>
                <c:pt idx="16">
                  <c:v>40603</c:v>
                </c:pt>
                <c:pt idx="17">
                  <c:v>40695</c:v>
                </c:pt>
                <c:pt idx="18">
                  <c:v>40787</c:v>
                </c:pt>
                <c:pt idx="19">
                  <c:v>40878</c:v>
                </c:pt>
                <c:pt idx="20">
                  <c:v>40969</c:v>
                </c:pt>
                <c:pt idx="21">
                  <c:v>41061</c:v>
                </c:pt>
                <c:pt idx="22">
                  <c:v>41153</c:v>
                </c:pt>
                <c:pt idx="23">
                  <c:v>41244</c:v>
                </c:pt>
                <c:pt idx="24">
                  <c:v>41334</c:v>
                </c:pt>
                <c:pt idx="25">
                  <c:v>41426</c:v>
                </c:pt>
                <c:pt idx="26">
                  <c:v>41518</c:v>
                </c:pt>
                <c:pt idx="27">
                  <c:v>41609</c:v>
                </c:pt>
                <c:pt idx="28">
                  <c:v>41699</c:v>
                </c:pt>
                <c:pt idx="29">
                  <c:v>41791</c:v>
                </c:pt>
                <c:pt idx="30">
                  <c:v>41883</c:v>
                </c:pt>
                <c:pt idx="31">
                  <c:v>41974</c:v>
                </c:pt>
                <c:pt idx="32">
                  <c:v>42064</c:v>
                </c:pt>
                <c:pt idx="33">
                  <c:v>42156</c:v>
                </c:pt>
                <c:pt idx="34">
                  <c:v>42248</c:v>
                </c:pt>
                <c:pt idx="35">
                  <c:v>42339</c:v>
                </c:pt>
                <c:pt idx="36">
                  <c:v>42430</c:v>
                </c:pt>
                <c:pt idx="37">
                  <c:v>42522</c:v>
                </c:pt>
                <c:pt idx="38">
                  <c:v>42614</c:v>
                </c:pt>
                <c:pt idx="39">
                  <c:v>42705</c:v>
                </c:pt>
                <c:pt idx="40">
                  <c:v>42795</c:v>
                </c:pt>
              </c:numCache>
            </c:numRef>
          </c:cat>
          <c:val>
            <c:numRef>
              <c:f>'5625 tab01bc clean'!$F$7:$F$47</c:f>
              <c:numCache>
                <c:formatCode>General</c:formatCode>
                <c:ptCount val="41"/>
                <c:pt idx="0">
                  <c:v>6.1029999999999998</c:v>
                </c:pt>
                <c:pt idx="1">
                  <c:v>3.484</c:v>
                </c:pt>
                <c:pt idx="2">
                  <c:v>3.9079999999999999</c:v>
                </c:pt>
                <c:pt idx="3">
                  <c:v>7.2759999999999998</c:v>
                </c:pt>
                <c:pt idx="4">
                  <c:v>8.7609999999999992</c:v>
                </c:pt>
                <c:pt idx="5">
                  <c:v>5.4539999999999997</c:v>
                </c:pt>
                <c:pt idx="6">
                  <c:v>5.8949999999999996</c:v>
                </c:pt>
                <c:pt idx="7">
                  <c:v>8.5609999999999999</c:v>
                </c:pt>
                <c:pt idx="8">
                  <c:v>8.8049999999999997</c:v>
                </c:pt>
                <c:pt idx="9">
                  <c:v>4.2309999999999999</c:v>
                </c:pt>
                <c:pt idx="10">
                  <c:v>4.9640000000000004</c:v>
                </c:pt>
                <c:pt idx="11">
                  <c:v>9.1189999999999998</c:v>
                </c:pt>
                <c:pt idx="12">
                  <c:v>10.169</c:v>
                </c:pt>
                <c:pt idx="13">
                  <c:v>5.3109999999999999</c:v>
                </c:pt>
                <c:pt idx="14">
                  <c:v>5.8650000000000002</c:v>
                </c:pt>
                <c:pt idx="15">
                  <c:v>11.996</c:v>
                </c:pt>
                <c:pt idx="16">
                  <c:v>13.071</c:v>
                </c:pt>
                <c:pt idx="17">
                  <c:v>8.5020000000000007</c:v>
                </c:pt>
                <c:pt idx="18">
                  <c:v>9.9480000000000004</c:v>
                </c:pt>
                <c:pt idx="19">
                  <c:v>16.565999999999999</c:v>
                </c:pt>
                <c:pt idx="20">
                  <c:v>17.440000000000001</c:v>
                </c:pt>
                <c:pt idx="21">
                  <c:v>8.6679999999999993</c:v>
                </c:pt>
                <c:pt idx="22">
                  <c:v>7.7130000000000001</c:v>
                </c:pt>
                <c:pt idx="23">
                  <c:v>12.723000000000001</c:v>
                </c:pt>
                <c:pt idx="24">
                  <c:v>12.074999999999999</c:v>
                </c:pt>
                <c:pt idx="25">
                  <c:v>6.4749999999999996</c:v>
                </c:pt>
                <c:pt idx="26">
                  <c:v>5.548</c:v>
                </c:pt>
                <c:pt idx="27">
                  <c:v>8.3629999999999995</c:v>
                </c:pt>
                <c:pt idx="28">
                  <c:v>10.28</c:v>
                </c:pt>
                <c:pt idx="29">
                  <c:v>5.1269999999999998</c:v>
                </c:pt>
                <c:pt idx="30">
                  <c:v>4.6040000000000001</c:v>
                </c:pt>
                <c:pt idx="31">
                  <c:v>7.8869999999999996</c:v>
                </c:pt>
                <c:pt idx="32">
                  <c:v>6.8730000000000002</c:v>
                </c:pt>
                <c:pt idx="33">
                  <c:v>3.6949999999999998</c:v>
                </c:pt>
                <c:pt idx="34">
                  <c:v>3.637</c:v>
                </c:pt>
                <c:pt idx="35">
                  <c:v>6.2110000000000003</c:v>
                </c:pt>
                <c:pt idx="36">
                  <c:v>6.1130000000000004</c:v>
                </c:pt>
                <c:pt idx="37">
                  <c:v>3.1240000000000001</c:v>
                </c:pt>
                <c:pt idx="38">
                  <c:v>3.3140000000000001</c:v>
                </c:pt>
                <c:pt idx="39">
                  <c:v>6.2370000000000001</c:v>
                </c:pt>
                <c:pt idx="40">
                  <c:v>6.7240000000000002</c:v>
                </c:pt>
              </c:numCache>
            </c:numRef>
          </c:val>
          <c:smooth val="0"/>
        </c:ser>
        <c:dLbls>
          <c:showLegendKey val="0"/>
          <c:showVal val="0"/>
          <c:showCatName val="0"/>
          <c:showSerName val="0"/>
          <c:showPercent val="0"/>
          <c:showBubbleSize val="0"/>
        </c:dLbls>
        <c:smooth val="0"/>
        <c:axId val="156194592"/>
        <c:axId val="147067104"/>
      </c:lineChart>
      <c:dateAx>
        <c:axId val="156194592"/>
        <c:scaling>
          <c:orientation val="minMax"/>
        </c:scaling>
        <c:delete val="0"/>
        <c:axPos val="b"/>
        <c:numFmt formatCode="yyyy" sourceLinked="0"/>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47067104"/>
        <c:crosses val="autoZero"/>
        <c:auto val="1"/>
        <c:lblOffset val="100"/>
        <c:baseTimeUnit val="months"/>
        <c:majorUnit val="2"/>
        <c:majorTimeUnit val="years"/>
      </c:dateAx>
      <c:valAx>
        <c:axId val="147067104"/>
        <c:scaling>
          <c:orientation val="minMax"/>
        </c:scaling>
        <c:delete val="0"/>
        <c:axPos val="l"/>
        <c:title>
          <c:tx>
            <c:rich>
              <a:bodyPr/>
              <a:lstStyle/>
              <a:p>
                <a:pPr>
                  <a:defRPr sz="900" b="0">
                    <a:solidFill>
                      <a:srgbClr val="595A5B"/>
                    </a:solidFill>
                    <a:latin typeface="Arial"/>
                    <a:ea typeface="Arial"/>
                    <a:cs typeface="Arial"/>
                  </a:defRPr>
                </a:pPr>
                <a:r>
                  <a:rPr lang="en-AU"/>
                  <a:t>Private</a:t>
                </a:r>
                <a:r>
                  <a:rPr lang="en-AU" baseline="0"/>
                  <a:t> expected expenditure</a:t>
                </a:r>
                <a:r>
                  <a:rPr lang="en-AU"/>
                  <a:t> ($ billions)</a:t>
                </a:r>
              </a:p>
            </c:rich>
          </c:tx>
          <c:layout/>
          <c:overlay val="0"/>
        </c:title>
        <c:numFmt formatCode="General" sourceLinked="1"/>
        <c:majorTickMark val="none"/>
        <c:minorTickMark val="none"/>
        <c:tickLblPos val="nextTo"/>
        <c:spPr>
          <a:ln w="3175" cap="flat" cmpd="sng" algn="ctr">
            <a:solidFill>
              <a:srgbClr val="BCBFC1"/>
            </a:solidFill>
            <a:prstDash val="solid"/>
            <a:round/>
            <a:headEnd type="none" w="med" len="med"/>
            <a:tailEnd type="none" w="med" len="med"/>
          </a:ln>
        </c:spPr>
        <c:txPr>
          <a:bodyPr/>
          <a:lstStyle/>
          <a:p>
            <a:pPr>
              <a:defRPr sz="900" b="0">
                <a:solidFill>
                  <a:srgbClr val="595A5B"/>
                </a:solidFill>
                <a:latin typeface="Arial"/>
                <a:ea typeface="Arial"/>
                <a:cs typeface="Arial"/>
              </a:defRPr>
            </a:pPr>
            <a:endParaRPr lang="en-US"/>
          </a:p>
        </c:txPr>
        <c:crossAx val="156194592"/>
        <c:crosses val="autoZero"/>
        <c:crossBetween val="between"/>
        <c:majorUnit val="20"/>
      </c:valAx>
      <c:spPr>
        <a:ln w="25400">
          <a:noFill/>
        </a:ln>
      </c:spPr>
    </c:plotArea>
    <c:legend>
      <c:legendPos val="b"/>
      <c:layout>
        <c:manualLayout>
          <c:xMode val="edge"/>
          <c:yMode val="edge"/>
          <c:x val="6.5668436510241818E-2"/>
          <c:y val="0.8436305483601042"/>
          <c:w val="0.91519003793518827"/>
          <c:h val="0.12732079514025887"/>
        </c:manualLayout>
      </c:layout>
      <c:overlay val="0"/>
      <c:spPr>
        <a:effectLst/>
      </c:spPr>
      <c:txPr>
        <a:bodyPr/>
        <a:lstStyle/>
        <a:p>
          <a:pPr>
            <a:defRPr sz="900" b="0" u="none">
              <a:solidFill>
                <a:srgbClr val="595A5B"/>
              </a:solidFill>
              <a:latin typeface="Arial"/>
              <a:ea typeface="Arial"/>
              <a:cs typeface="Arial"/>
            </a:defRPr>
          </a:pPr>
          <a:endParaRPr lang="en-US"/>
        </a:p>
      </c:txPr>
    </c:legend>
    <c:plotVisOnly val="1"/>
    <c:dispBlanksAs val="gap"/>
    <c:showDLblsOverMax val="0"/>
  </c:chart>
  <c:spPr>
    <a:ln w="25400">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59832408589375"/>
          <c:y val="4.214129483814523E-2"/>
          <c:w val="0.84208814523184605"/>
          <c:h val="0.7445512540099154"/>
        </c:manualLayout>
      </c:layout>
      <c:areaChart>
        <c:grouping val="stacked"/>
        <c:varyColors val="0"/>
        <c:ser>
          <c:idx val="1"/>
          <c:order val="0"/>
          <c:tx>
            <c:strRef>
              <c:f>Graphs!$A$2</c:f>
              <c:strCache>
                <c:ptCount val="1"/>
                <c:pt idx="0">
                  <c:v>New Zealand</c:v>
                </c:pt>
              </c:strCache>
            </c:strRef>
          </c:tx>
          <c:spPr>
            <a:solidFill>
              <a:srgbClr val="9ED9DF"/>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Graphs!$B$2:$L$2</c:f>
              <c:numCache>
                <c:formatCode>General</c:formatCode>
                <c:ptCount val="11"/>
                <c:pt idx="0">
                  <c:v>52043376</c:v>
                </c:pt>
                <c:pt idx="1">
                  <c:v>45079381</c:v>
                </c:pt>
                <c:pt idx="2">
                  <c:v>47280941</c:v>
                </c:pt>
                <c:pt idx="3">
                  <c:v>37836729</c:v>
                </c:pt>
                <c:pt idx="4">
                  <c:v>33698125</c:v>
                </c:pt>
                <c:pt idx="5">
                  <c:v>34432888</c:v>
                </c:pt>
                <c:pt idx="6">
                  <c:v>49415153</c:v>
                </c:pt>
                <c:pt idx="7">
                  <c:v>41435757</c:v>
                </c:pt>
                <c:pt idx="8">
                  <c:v>48146119</c:v>
                </c:pt>
                <c:pt idx="9">
                  <c:v>47232950</c:v>
                </c:pt>
                <c:pt idx="10">
                  <c:v>87034146</c:v>
                </c:pt>
              </c:numCache>
            </c:numRef>
          </c:val>
        </c:ser>
        <c:ser>
          <c:idx val="2"/>
          <c:order val="1"/>
          <c:tx>
            <c:strRef>
              <c:f>Graphs!$A$3</c:f>
              <c:strCache>
                <c:ptCount val="1"/>
                <c:pt idx="0">
                  <c:v>Indonesia</c:v>
                </c:pt>
              </c:strCache>
            </c:strRef>
          </c:tx>
          <c:spPr>
            <a:solidFill>
              <a:srgbClr val="22789A"/>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Graphs!$B$3:$L$3</c:f>
              <c:numCache>
                <c:formatCode>General</c:formatCode>
                <c:ptCount val="11"/>
                <c:pt idx="0">
                  <c:v>27902486</c:v>
                </c:pt>
                <c:pt idx="1">
                  <c:v>38528426</c:v>
                </c:pt>
                <c:pt idx="2">
                  <c:v>30805098</c:v>
                </c:pt>
                <c:pt idx="3">
                  <c:v>29861511</c:v>
                </c:pt>
                <c:pt idx="4">
                  <c:v>28381954</c:v>
                </c:pt>
                <c:pt idx="5">
                  <c:v>22488318</c:v>
                </c:pt>
                <c:pt idx="6">
                  <c:v>25534751</c:v>
                </c:pt>
                <c:pt idx="7">
                  <c:v>33789329</c:v>
                </c:pt>
                <c:pt idx="8">
                  <c:v>49712302</c:v>
                </c:pt>
                <c:pt idx="9">
                  <c:v>46416032</c:v>
                </c:pt>
                <c:pt idx="10">
                  <c:v>84898944</c:v>
                </c:pt>
              </c:numCache>
            </c:numRef>
          </c:val>
        </c:ser>
        <c:ser>
          <c:idx val="3"/>
          <c:order val="2"/>
          <c:tx>
            <c:strRef>
              <c:f>Graphs!$A$4</c:f>
              <c:strCache>
                <c:ptCount val="1"/>
                <c:pt idx="0">
                  <c:v>Papua New Guinea</c:v>
                </c:pt>
              </c:strCache>
            </c:strRef>
          </c:tx>
          <c:spPr>
            <a:solidFill>
              <a:srgbClr val="BCBFC1"/>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Graphs!$B$4:$L$4</c:f>
              <c:numCache>
                <c:formatCode>General</c:formatCode>
                <c:ptCount val="11"/>
                <c:pt idx="0">
                  <c:v>18130844</c:v>
                </c:pt>
                <c:pt idx="1">
                  <c:v>21137257</c:v>
                </c:pt>
                <c:pt idx="2">
                  <c:v>20966254</c:v>
                </c:pt>
                <c:pt idx="3">
                  <c:v>21215836</c:v>
                </c:pt>
                <c:pt idx="4">
                  <c:v>29609096</c:v>
                </c:pt>
                <c:pt idx="5">
                  <c:v>45310779</c:v>
                </c:pt>
                <c:pt idx="6">
                  <c:v>34695010</c:v>
                </c:pt>
                <c:pt idx="7">
                  <c:v>32669053</c:v>
                </c:pt>
                <c:pt idx="8">
                  <c:v>22043687</c:v>
                </c:pt>
                <c:pt idx="9">
                  <c:v>21092094</c:v>
                </c:pt>
                <c:pt idx="10">
                  <c:v>25276249</c:v>
                </c:pt>
              </c:numCache>
            </c:numRef>
          </c:val>
        </c:ser>
        <c:ser>
          <c:idx val="4"/>
          <c:order val="3"/>
          <c:tx>
            <c:strRef>
              <c:f>Graphs!$A$5</c:f>
              <c:strCache>
                <c:ptCount val="1"/>
                <c:pt idx="0">
                  <c:v>United States of America</c:v>
                </c:pt>
              </c:strCache>
            </c:strRef>
          </c:tx>
          <c:spPr>
            <a:solidFill>
              <a:srgbClr val="595A5B"/>
            </a:solidFill>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Graphs!$B$5:$L$5</c:f>
              <c:numCache>
                <c:formatCode>General</c:formatCode>
                <c:ptCount val="11"/>
                <c:pt idx="0">
                  <c:v>18034671</c:v>
                </c:pt>
                <c:pt idx="1">
                  <c:v>24196265</c:v>
                </c:pt>
                <c:pt idx="2">
                  <c:v>20227467</c:v>
                </c:pt>
                <c:pt idx="3">
                  <c:v>10492072</c:v>
                </c:pt>
                <c:pt idx="4">
                  <c:v>11688127</c:v>
                </c:pt>
                <c:pt idx="5">
                  <c:v>11422622</c:v>
                </c:pt>
                <c:pt idx="6">
                  <c:v>13047945</c:v>
                </c:pt>
                <c:pt idx="7">
                  <c:v>12010218</c:v>
                </c:pt>
                <c:pt idx="8">
                  <c:v>15557592</c:v>
                </c:pt>
                <c:pt idx="9">
                  <c:v>17875844</c:v>
                </c:pt>
                <c:pt idx="10">
                  <c:v>26541063</c:v>
                </c:pt>
              </c:numCache>
            </c:numRef>
          </c:val>
        </c:ser>
        <c:ser>
          <c:idx val="5"/>
          <c:order val="4"/>
          <c:tx>
            <c:strRef>
              <c:f>Graphs!$A$6</c:f>
              <c:strCache>
                <c:ptCount val="1"/>
                <c:pt idx="0">
                  <c:v>Singapore</c:v>
                </c:pt>
              </c:strCache>
            </c:strRef>
          </c:tx>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Graphs!$B$6:$L$6</c:f>
              <c:numCache>
                <c:formatCode>General</c:formatCode>
                <c:ptCount val="11"/>
                <c:pt idx="0">
                  <c:v>6024326</c:v>
                </c:pt>
                <c:pt idx="1">
                  <c:v>6962204</c:v>
                </c:pt>
                <c:pt idx="2">
                  <c:v>13585828</c:v>
                </c:pt>
                <c:pt idx="3">
                  <c:v>21743427</c:v>
                </c:pt>
                <c:pt idx="4">
                  <c:v>8034153</c:v>
                </c:pt>
                <c:pt idx="5">
                  <c:v>9119517</c:v>
                </c:pt>
                <c:pt idx="6">
                  <c:v>7997189</c:v>
                </c:pt>
                <c:pt idx="7">
                  <c:v>11777535</c:v>
                </c:pt>
                <c:pt idx="8">
                  <c:v>5610892</c:v>
                </c:pt>
                <c:pt idx="9">
                  <c:v>7581154</c:v>
                </c:pt>
                <c:pt idx="10">
                  <c:v>14825766</c:v>
                </c:pt>
              </c:numCache>
            </c:numRef>
          </c:val>
        </c:ser>
        <c:ser>
          <c:idx val="6"/>
          <c:order val="5"/>
          <c:tx>
            <c:strRef>
              <c:f>Graphs!$A$7</c:f>
              <c:strCache>
                <c:ptCount val="1"/>
                <c:pt idx="0">
                  <c:v>China</c:v>
                </c:pt>
              </c:strCache>
            </c:strRef>
          </c:tx>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Graphs!$B$7:$L$7</c:f>
              <c:numCache>
                <c:formatCode>General</c:formatCode>
                <c:ptCount val="11"/>
                <c:pt idx="0">
                  <c:v>3996243</c:v>
                </c:pt>
                <c:pt idx="1">
                  <c:v>10093727</c:v>
                </c:pt>
                <c:pt idx="2">
                  <c:v>10950079</c:v>
                </c:pt>
                <c:pt idx="3">
                  <c:v>5359693</c:v>
                </c:pt>
                <c:pt idx="4">
                  <c:v>6524178</c:v>
                </c:pt>
                <c:pt idx="5">
                  <c:v>7725311</c:v>
                </c:pt>
                <c:pt idx="6">
                  <c:v>12130161</c:v>
                </c:pt>
                <c:pt idx="7">
                  <c:v>7399124</c:v>
                </c:pt>
                <c:pt idx="8">
                  <c:v>16786099</c:v>
                </c:pt>
                <c:pt idx="9">
                  <c:v>6577962</c:v>
                </c:pt>
                <c:pt idx="10">
                  <c:v>9197444</c:v>
                </c:pt>
              </c:numCache>
            </c:numRef>
          </c:val>
        </c:ser>
        <c:ser>
          <c:idx val="7"/>
          <c:order val="6"/>
          <c:tx>
            <c:strRef>
              <c:f>Graphs!$A$8</c:f>
              <c:strCache>
                <c:ptCount val="1"/>
                <c:pt idx="0">
                  <c:v>International Waters</c:v>
                </c:pt>
              </c:strCache>
            </c:strRef>
          </c:tx>
          <c:spPr>
            <a:ln w="25400">
              <a:noFill/>
            </a:ln>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Graphs!$B$8:$L$8</c:f>
              <c:numCache>
                <c:formatCode>General</c:formatCode>
                <c:ptCount val="11"/>
                <c:pt idx="0">
                  <c:v>1209491</c:v>
                </c:pt>
                <c:pt idx="1">
                  <c:v>2444993</c:v>
                </c:pt>
                <c:pt idx="2">
                  <c:v>2794528</c:v>
                </c:pt>
                <c:pt idx="3">
                  <c:v>1122779</c:v>
                </c:pt>
                <c:pt idx="4">
                  <c:v>995769</c:v>
                </c:pt>
                <c:pt idx="5">
                  <c:v>132311</c:v>
                </c:pt>
                <c:pt idx="6">
                  <c:v>6625403</c:v>
                </c:pt>
                <c:pt idx="7">
                  <c:v>16131038</c:v>
                </c:pt>
                <c:pt idx="8">
                  <c:v>20228210</c:v>
                </c:pt>
                <c:pt idx="9">
                  <c:v>18810230</c:v>
                </c:pt>
                <c:pt idx="10">
                  <c:v>19375623</c:v>
                </c:pt>
              </c:numCache>
            </c:numRef>
          </c:val>
        </c:ser>
        <c:ser>
          <c:idx val="8"/>
          <c:order val="7"/>
          <c:tx>
            <c:strRef>
              <c:f>Graphs!$A$9</c:f>
              <c:strCache>
                <c:ptCount val="1"/>
                <c:pt idx="0">
                  <c:v>Other</c:v>
                </c:pt>
              </c:strCache>
            </c:strRef>
          </c:tx>
          <c:spPr>
            <a:ln w="25400">
              <a:noFill/>
            </a:ln>
          </c:spPr>
          <c:cat>
            <c:numRef>
              <c:f>Graphs!$B$1:$L$1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Graphs!$B$9:$L$9</c:f>
              <c:numCache>
                <c:formatCode>General</c:formatCode>
                <c:ptCount val="11"/>
                <c:pt idx="0">
                  <c:v>91855602</c:v>
                </c:pt>
                <c:pt idx="1">
                  <c:v>109942128</c:v>
                </c:pt>
                <c:pt idx="2">
                  <c:v>103307510</c:v>
                </c:pt>
                <c:pt idx="3">
                  <c:v>89867815</c:v>
                </c:pt>
                <c:pt idx="4">
                  <c:v>72672678</c:v>
                </c:pt>
                <c:pt idx="5">
                  <c:v>68311199</c:v>
                </c:pt>
                <c:pt idx="6">
                  <c:v>72658712</c:v>
                </c:pt>
                <c:pt idx="7">
                  <c:v>73595989</c:v>
                </c:pt>
                <c:pt idx="8">
                  <c:v>69794801</c:v>
                </c:pt>
                <c:pt idx="9">
                  <c:v>73682427</c:v>
                </c:pt>
                <c:pt idx="10">
                  <c:v>128829094</c:v>
                </c:pt>
              </c:numCache>
            </c:numRef>
          </c:val>
        </c:ser>
        <c:dLbls>
          <c:showLegendKey val="0"/>
          <c:showVal val="0"/>
          <c:showCatName val="0"/>
          <c:showSerName val="0"/>
          <c:showPercent val="0"/>
          <c:showBubbleSize val="0"/>
        </c:dLbls>
        <c:axId val="147067888"/>
        <c:axId val="143418792"/>
      </c:areaChart>
      <c:catAx>
        <c:axId val="147067888"/>
        <c:scaling>
          <c:orientation val="minMax"/>
        </c:scaling>
        <c:delete val="0"/>
        <c:axPos val="b"/>
        <c:numFmt formatCode="General" sourceLinked="1"/>
        <c:majorTickMark val="none"/>
        <c:minorTickMark val="none"/>
        <c:tickLblPos val="nextTo"/>
        <c:spPr>
          <a:ln>
            <a:solidFill>
              <a:srgbClr val="BCBFC1"/>
            </a:solidFill>
          </a:ln>
        </c:spPr>
        <c:crossAx val="143418792"/>
        <c:crosses val="autoZero"/>
        <c:auto val="1"/>
        <c:lblAlgn val="ctr"/>
        <c:lblOffset val="100"/>
        <c:tickLblSkip val="2"/>
        <c:tickMarkSkip val="3"/>
        <c:noMultiLvlLbl val="0"/>
      </c:catAx>
      <c:valAx>
        <c:axId val="143418792"/>
        <c:scaling>
          <c:orientation val="minMax"/>
        </c:scaling>
        <c:delete val="0"/>
        <c:axPos val="l"/>
        <c:numFmt formatCode="#,##0" sourceLinked="0"/>
        <c:majorTickMark val="none"/>
        <c:minorTickMark val="none"/>
        <c:tickLblPos val="nextTo"/>
        <c:spPr>
          <a:ln>
            <a:solidFill>
              <a:srgbClr val="BCBFC1"/>
            </a:solidFill>
          </a:ln>
        </c:spPr>
        <c:crossAx val="147067888"/>
        <c:crosses val="autoZero"/>
        <c:crossBetween val="midCat"/>
        <c:dispUnits>
          <c:builtInUnit val="millions"/>
          <c:dispUnitsLbl>
            <c:layout>
              <c:manualLayout>
                <c:xMode val="edge"/>
                <c:yMode val="edge"/>
                <c:x val="1.825143070048478E-2"/>
                <c:y val="0.31065991751031119"/>
              </c:manualLayout>
            </c:layout>
            <c:tx>
              <c:rich>
                <a:bodyPr/>
                <a:lstStyle/>
                <a:p>
                  <a:pPr>
                    <a:defRPr/>
                  </a:pPr>
                  <a:r>
                    <a:rPr lang="en-AU" b="0"/>
                    <a:t>Exports ($ millions) </a:t>
                  </a:r>
                </a:p>
              </c:rich>
            </c:tx>
          </c:dispUnitsLbl>
        </c:dispUnits>
      </c:valAx>
    </c:plotArea>
    <c:legend>
      <c:legendPos val="b"/>
      <c:layout>
        <c:manualLayout>
          <c:xMode val="edge"/>
          <c:yMode val="edge"/>
          <c:x val="0.10506299212598424"/>
          <c:y val="0.89968175853018373"/>
          <c:w val="0.8268240851651385"/>
          <c:h val="0.10031836929474724"/>
        </c:manualLayout>
      </c:layout>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97DD23011795449B932F560863B4E7" ma:contentTypeVersion="23" ma:contentTypeDescription="Create a new document." ma:contentTypeScope="" ma:versionID="10842a74e2e7fd594be77f44b77adc92">
  <xsd:schema xmlns:xsd="http://www.w3.org/2001/XMLSchema" xmlns:xs="http://www.w3.org/2001/XMLSchema" xmlns:p="http://schemas.microsoft.com/office/2006/metadata/properties" xmlns:ns1="http://schemas.microsoft.com/sharepoint/v3" xmlns:ns2="e47d1c65-9f6c-49e5-a774-2c92ccb46d02" targetNamespace="http://schemas.microsoft.com/office/2006/metadata/properties" ma:root="true" ma:fieldsID="41a191b56c094471945e0c3a46464d2e" ns1:_="" ns2:_="">
    <xsd:import namespace="http://schemas.microsoft.com/sharepoint/v3"/>
    <xsd:import namespace="e47d1c65-9f6c-49e5-a774-2c92ccb46d02"/>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2:k34f87f5f1f24dafa503ace013459550" minOccurs="0"/>
                <xsd:element ref="ns2:cc6b24fe6b8a48bba255d8ab3ef79b4c" minOccurs="0"/>
                <xsd:element ref="ns2:c70817445b2c43e38919a0ddfc1ebe4d" minOccurs="0"/>
                <xsd:element ref="ns2:hbc39832b83a41fc9ce4394cc02a543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7d1c65-9f6c-49e5-a774-2c92ccb46d02"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835f851f-72f6-498a-a802-dc52b0f6bebd}" ma:internalName="TaxCatchAll" ma:showField="CatchAllData" ma:web="e47d1c65-9f6c-49e5-a774-2c92ccb46d02">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3990c95c-aaef-4b88-979c-1afb69c61976"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element name="k34f87f5f1f24dafa503ace013459550" ma:index="24" nillable="true" ma:taxonomy="true" ma:internalName="k34f87f5f1f24dafa503ace013459550" ma:taxonomyFieldName="DocHub_State" ma:displayName="State" ma:fieldId="{434f87f5-f1f2-4daf-a503-ace013459550}" ma:sspId="fb0313f7-9433-48c0-866e-9e0bbee59a50" ma:termSetId="02c17606-9a55-462b-9271-46ecf30c2934" ma:anchorId="00000000-0000-0000-0000-000000000000" ma:open="false" ma:isKeyword="false">
      <xsd:complexType>
        <xsd:sequence>
          <xsd:element ref="pc:Terms" minOccurs="0" maxOccurs="1"/>
        </xsd:sequence>
      </xsd:complexType>
    </xsd:element>
    <xsd:element name="cc6b24fe6b8a48bba255d8ab3ef79b4c" ma:index="26" nillable="true" ma:taxonomy="true" ma:internalName="cc6b24fe6b8a48bba255d8ab3ef79b4c" ma:taxonomyFieldName="DocHub_Industry" ma:displayName="Industry" ma:fieldId="{cc6b24fe-6b8a-48bb-a255-d8ab3ef79b4c}" ma:taxonomyMulti="true" ma:sspId="fb0313f7-9433-48c0-866e-9e0bbee59a50" ma:termSetId="855039ae-e8d6-4f5c-acf0-9413f8b727f5" ma:anchorId="00000000-0000-0000-0000-000000000000" ma:open="true" ma:isKeyword="false">
      <xsd:complexType>
        <xsd:sequence>
          <xsd:element ref="pc:Terms" minOccurs="0" maxOccurs="1"/>
        </xsd:sequence>
      </xsd:complexType>
    </xsd:element>
    <xsd:element name="c70817445b2c43e38919a0ddfc1ebe4d" ma:index="28" nillable="true" ma:taxonomy="true" ma:internalName="c70817445b2c43e38919a0ddfc1ebe4d" ma:taxonomyFieldName="DocHub_EASDRegion" ma:displayName="Region" ma:indexed="true" ma:default="" ma:fieldId="{c7081744-5b2c-43e3-8919-a0ddfc1ebe4d}" ma:sspId="fb0313f7-9433-48c0-866e-9e0bbee59a50" ma:termSetId="7c30b6bf-3372-4b5f-a7ae-99ed2400e749" ma:anchorId="00000000-0000-0000-0000-000000000000" ma:open="true" ma:isKeyword="false">
      <xsd:complexType>
        <xsd:sequence>
          <xsd:element ref="pc:Terms" minOccurs="0" maxOccurs="1"/>
        </xsd:sequence>
      </xsd:complexType>
    </xsd:element>
    <xsd:element name="hbc39832b83a41fc9ce4394cc02a543e" ma:index="30" nillable="true" ma:taxonomy="true" ma:internalName="hbc39832b83a41fc9ce4394cc02a543e" ma:taxonomyFieldName="DocHub_Client" ma:displayName="Client" ma:default="" ma:fieldId="{1bc39832-b83a-41fc-9ce4-394cc02a543e}" ma:sspId="fb0313f7-9433-48c0-866e-9e0bbee59a50" ma:termSetId="f7a9f0b0-c732-450b-ae89-d6e516b6122a" ma:anchorId="00000000-0000-0000-0000-000000000000"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mments xmlns="http://schemas.microsoft.com/sharepoint/v3" xsi:nil="true"/>
    <pe2555c81638466f9eb614edb9ecde52 xmlns="e47d1c65-9f6c-49e5-a774-2c92ccb46d02">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116a9244-cef6-47ce-a9a5-088c9cf21292</TermId>
        </TermInfo>
      </Terms>
    </pe2555c81638466f9eb614edb9ecde52>
    <TaxCatchAll xmlns="e47d1c65-9f6c-49e5-a774-2c92ccb46d02">
      <Value>503</Value>
      <Value>45</Value>
      <Value>418</Value>
      <Value>619</Value>
      <Value>702</Value>
      <Value>479</Value>
      <Value>17</Value>
    </TaxCatchAll>
    <g7bcb40ba23249a78edca7d43a67c1c9 xmlns="e47d1c65-9f6c-49e5-a774-2c92ccb46d02">
      <Terms xmlns="http://schemas.microsoft.com/office/infopath/2007/PartnerControls">
        <TermInfo xmlns="http://schemas.microsoft.com/office/infopath/2007/PartnerControls">
          <TermName xmlns="http://schemas.microsoft.com/office/infopath/2007/PartnerControls">Issues Management</TermName>
          <TermId xmlns="http://schemas.microsoft.com/office/infopath/2007/PartnerControls">424fae5f-6747-4bec-8660-050ec0862b05</TermId>
        </TermInfo>
      </Terms>
    </g7bcb40ba23249a78edca7d43a67c1c9>
    <n99e4c9942c6404eb103464a00e6097b xmlns="e47d1c65-9f6c-49e5-a774-2c92ccb46d02">
      <Terms xmlns="http://schemas.microsoft.com/office/infopath/2007/PartnerControls">
        <TermInfo xmlns="http://schemas.microsoft.com/office/infopath/2007/PartnerControls">
          <TermName xmlns="http://schemas.microsoft.com/office/infopath/2007/PartnerControls">2017</TermName>
          <TermId xmlns="http://schemas.microsoft.com/office/infopath/2007/PartnerControls">5f6de30b-6e1e-4c09-9e51-982258231536</TermId>
        </TermInfo>
      </Terms>
    </n99e4c9942c6404eb103464a00e6097b>
    <adb9bed2e36e4a93af574aeb444da63e xmlns="e47d1c65-9f6c-49e5-a774-2c92ccb46d02">
      <Terms xmlns="http://schemas.microsoft.com/office/infopath/2007/PartnerControls">
        <TermInfo xmlns="http://schemas.microsoft.com/office/infopath/2007/PartnerControls">
          <TermName xmlns="http://schemas.microsoft.com/office/infopath/2007/PartnerControls">Anti-dumping</TermName>
          <TermId xmlns="http://schemas.microsoft.com/office/infopath/2007/PartnerControls">316757a8-e5bf-4f6c-be74-249fd7a19cd0</TermId>
        </TermInfo>
      </Terms>
    </adb9bed2e36e4a93af574aeb444da63e>
    <aa25a1a23adf4c92a153145de6afe324 xmlns="e47d1c65-9f6c-49e5-a774-2c92ccb46d02">
      <Terms xmlns="http://schemas.microsoft.com/office/infopath/2007/PartnerControls">
        <TermInfo xmlns="http://schemas.microsoft.com/office/infopath/2007/PartnerControls">
          <TermName xmlns="http://schemas.microsoft.com/office/infopath/2007/PartnerControls">For Official Use Only</TermName>
          <TermId xmlns="http://schemas.microsoft.com/office/infopath/2007/PartnerControls">11f6fb0b-52ce-4109-8f7f-521b2a62f692</TermId>
        </TermInfo>
      </Terms>
    </aa25a1a23adf4c92a153145de6afe324>
    <_dlc_DocId xmlns="e47d1c65-9f6c-49e5-a774-2c92ccb46d02">EUCW2WRC2PUD-1692464546-289</_dlc_DocId>
    <_dlc_DocIdUrl xmlns="e47d1c65-9f6c-49e5-a774-2c92ccb46d02">
      <Url>http://dochub/div/economicanalyticalservices/businessfunctions/dataanalyticalservices/profiles/_layouts/15/DocIdRedir.aspx?ID=EUCW2WRC2PUD-1692464546-289</Url>
      <Description>EUCW2WRC2PUD-1692464546-289</Description>
    </_dlc_DocIdUrl>
    <k34f87f5f1f24dafa503ace013459550 xmlns="e47d1c65-9f6c-49e5-a774-2c92ccb46d02">
      <Terms xmlns="http://schemas.microsoft.com/office/infopath/2007/PartnerControls"/>
    </k34f87f5f1f24dafa503ace013459550>
    <c70817445b2c43e38919a0ddfc1ebe4d xmlns="e47d1c65-9f6c-49e5-a774-2c92ccb46d02">
      <Terms xmlns="http://schemas.microsoft.com/office/infopath/2007/PartnerControls"/>
    </c70817445b2c43e38919a0ddfc1ebe4d>
    <hbc39832b83a41fc9ce4394cc02a543e xmlns="e47d1c65-9f6c-49e5-a774-2c92ccb46d02">
      <Terms xmlns="http://schemas.microsoft.com/office/infopath/2007/PartnerControls">
        <TermInfo xmlns="http://schemas.microsoft.com/office/infopath/2007/PartnerControls">
          <TermName xmlns="http://schemas.microsoft.com/office/infopath/2007/PartnerControls">Anti-Dumping Commission</TermName>
          <TermId xmlns="http://schemas.microsoft.com/office/infopath/2007/PartnerControls">2a19dbf0-d69f-4d26-884b-fc71a3a7b85e</TermId>
        </TermInfo>
      </Terms>
    </hbc39832b83a41fc9ce4394cc02a543e>
    <cc6b24fe6b8a48bba255d8ab3ef79b4c xmlns="e47d1c65-9f6c-49e5-a774-2c92ccb46d02">
      <Terms xmlns="http://schemas.microsoft.com/office/infopath/2007/PartnerControls">
        <TermInfo xmlns="http://schemas.microsoft.com/office/infopath/2007/PartnerControls">
          <TermName xmlns="http://schemas.microsoft.com/office/infopath/2007/PartnerControls">Steel</TermName>
          <TermId xmlns="http://schemas.microsoft.com/office/infopath/2007/PartnerControls">7cb75f5c-29c1-4fba-9f93-b38cfa591651</TermId>
        </TermInfo>
      </Terms>
    </cc6b24fe6b8a48bba255d8ab3ef79b4c>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D7480D-71B3-4A63-A4BE-5353CB63D0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7d1c65-9f6c-49e5-a774-2c92ccb46d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9E85C5-1EEC-412F-BFF1-4CA648B337B4}">
  <ds:schemaRefs>
    <ds:schemaRef ds:uri="http://purl.org/dc/terms/"/>
    <ds:schemaRef ds:uri="http://www.w3.org/XML/1998/namespace"/>
    <ds:schemaRef ds:uri="http://schemas.microsoft.com/sharepoint/v3"/>
    <ds:schemaRef ds:uri="http://purl.org/dc/elements/1.1/"/>
    <ds:schemaRef ds:uri="http://schemas.microsoft.com/office/2006/documentManagement/types"/>
    <ds:schemaRef ds:uri="http://schemas.openxmlformats.org/package/2006/metadata/core-properties"/>
    <ds:schemaRef ds:uri="http://schemas.microsoft.com/office/2006/metadata/properties"/>
    <ds:schemaRef ds:uri="http://schemas.microsoft.com/office/infopath/2007/PartnerControls"/>
    <ds:schemaRef ds:uri="http://purl.org/dc/dcmitype/"/>
    <ds:schemaRef ds:uri="e47d1c65-9f6c-49e5-a774-2c92ccb46d02"/>
  </ds:schemaRefs>
</ds:datastoreItem>
</file>

<file path=customXml/itemProps3.xml><?xml version="1.0" encoding="utf-8"?>
<ds:datastoreItem xmlns:ds="http://schemas.openxmlformats.org/officeDocument/2006/customXml" ds:itemID="{CC4FE195-07EC-44A1-8E70-6892B436792C}">
  <ds:schemaRefs>
    <ds:schemaRef ds:uri="http://schemas.microsoft.com/sharepoint/v3/contenttype/forms"/>
  </ds:schemaRefs>
</ds:datastoreItem>
</file>

<file path=customXml/itemProps4.xml><?xml version="1.0" encoding="utf-8"?>
<ds:datastoreItem xmlns:ds="http://schemas.openxmlformats.org/officeDocument/2006/customXml" ds:itemID="{0913EA76-E3EF-438D-B31C-63CA64D2F713}">
  <ds:schemaRefs>
    <ds:schemaRef ds:uri="http://schemas.microsoft.com/sharepoint/events"/>
  </ds:schemaRefs>
</ds:datastoreItem>
</file>

<file path=customXml/itemProps5.xml><?xml version="1.0" encoding="utf-8"?>
<ds:datastoreItem xmlns:ds="http://schemas.openxmlformats.org/officeDocument/2006/customXml" ds:itemID="{57BE3C00-F34F-4FDF-9C6B-5CC26AD07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71</Pages>
  <Words>28048</Words>
  <Characters>169411</Characters>
  <Application>Microsoft Office Word</Application>
  <DocSecurity>0</DocSecurity>
  <Lines>2823</Lines>
  <Paragraphs>1028</Paragraphs>
  <ScaleCrop>false</ScaleCrop>
  <HeadingPairs>
    <vt:vector size="2" baseType="variant">
      <vt:variant>
        <vt:lpstr>Title</vt:lpstr>
      </vt:variant>
      <vt:variant>
        <vt:i4>1</vt:i4>
      </vt:variant>
    </vt:vector>
  </HeadingPairs>
  <TitlesOfParts>
    <vt:vector size="1" baseType="lpstr">
      <vt:lpstr/>
    </vt:vector>
  </TitlesOfParts>
  <Company>Department of Industry, Innovation and Science</Company>
  <LinksUpToDate>false</LinksUpToDate>
  <CharactersWithSpaces>196431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Weier, Annette</dc:creator>
  <cp:keywords/>
  <dc:description/>
  <cp:lastModifiedBy>Le, Kim</cp:lastModifiedBy>
  <cp:revision>17</cp:revision>
  <cp:lastPrinted>2017-08-28T05:40:00Z</cp:lastPrinted>
  <dcterms:created xsi:type="dcterms:W3CDTF">2017-10-31T23:09:00Z</dcterms:created>
  <dcterms:modified xsi:type="dcterms:W3CDTF">2017-11-01T01:20:00Z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0x0101005397DD23011795449B932F560863B4E7</vt:lpwstr>
  </property>
  <property fmtid="{D5CDD505-2E9C-101B-9397-08002B2CF9AE}" pid="3" name="Metal">
    <vt:lpwstr>545;#Steel|42efe150-699c-4ad9-98f7-d7d3f9310879</vt:lpwstr>
  </property>
  <property fmtid="{D5CDD505-2E9C-101B-9397-08002B2CF9AE}" pid="4" name="DocHub_Year">
    <vt:lpwstr>503;#2017|5f6de30b-6e1e-4c09-9e51-982258231536</vt:lpwstr>
  </property>
  <property fmtid="{D5CDD505-2E9C-101B-9397-08002B2CF9AE}" pid="5" name="DocHub_DocumentType">
    <vt:lpwstr>45;#Report|116a9244-cef6-47ce-a9a5-088c9cf21292</vt:lpwstr>
  </property>
  <property fmtid="{D5CDD505-2E9C-101B-9397-08002B2CF9AE}" pid="6" name="DocHub_SecurityClassification">
    <vt:lpwstr>17;#For Official Use Only|11f6fb0b-52ce-4109-8f7f-521b2a62f692</vt:lpwstr>
  </property>
  <property fmtid="{D5CDD505-2E9C-101B-9397-08002B2CF9AE}" pid="7" name="DocHub_Keywords">
    <vt:lpwstr>479;#Anti-dumping|316757a8-e5bf-4f6c-be74-249fd7a19cd0</vt:lpwstr>
  </property>
  <property fmtid="{D5CDD505-2E9C-101B-9397-08002B2CF9AE}" pid="8" name="DocHub_Stakeholder">
    <vt:lpwstr/>
  </property>
  <property fmtid="{D5CDD505-2E9C-101B-9397-08002B2CF9AE}" pid="9" name="DocHub_BriefingCorrespondenceType">
    <vt:lpwstr/>
  </property>
  <property fmtid="{D5CDD505-2E9C-101B-9397-08002B2CF9AE}" pid="10" name="DocHub_WorkActivity">
    <vt:lpwstr>418;#Issues Management|424fae5f-6747-4bec-8660-050ec0862b05</vt:lpwstr>
  </property>
  <property fmtid="{D5CDD505-2E9C-101B-9397-08002B2CF9AE}" pid="11" name="_dlc_DocIdItemGuid">
    <vt:lpwstr>785a6add-e2bd-4197-bb9f-fc3aa45d3df9</vt:lpwstr>
  </property>
  <property fmtid="{D5CDD505-2E9C-101B-9397-08002B2CF9AE}" pid="12" name="DocHub_EASDRegion">
    <vt:lpwstr/>
  </property>
  <property fmtid="{D5CDD505-2E9C-101B-9397-08002B2CF9AE}" pid="13" name="DocHub_Client">
    <vt:lpwstr>702;#Anti-Dumping Commission|2a19dbf0-d69f-4d26-884b-fc71a3a7b85e</vt:lpwstr>
  </property>
  <property fmtid="{D5CDD505-2E9C-101B-9397-08002B2CF9AE}" pid="14" name="DocHub_State">
    <vt:lpwstr/>
  </property>
  <property fmtid="{D5CDD505-2E9C-101B-9397-08002B2CF9AE}" pid="15" name="DocHub_Industry">
    <vt:lpwstr>619;#Steel|7cb75f5c-29c1-4fba-9f93-b38cfa591651</vt:lpwstr>
  </property>
</Properties>
</file>