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6707" w14:textId="77777777" w:rsidR="003C796A" w:rsidRDefault="003C796A" w:rsidP="009918EF"/>
    <w:p w14:paraId="4FD75979" w14:textId="77777777" w:rsidR="00431CFA" w:rsidRPr="00F91E7B" w:rsidRDefault="00431CFA" w:rsidP="009918EF"/>
    <w:p w14:paraId="13906062" w14:textId="77777777" w:rsidR="00431CFA" w:rsidRDefault="00431CFA" w:rsidP="009918EF"/>
    <w:p w14:paraId="24CE58E2" w14:textId="77777777" w:rsidR="00FF555F" w:rsidRPr="00D57922" w:rsidRDefault="00FF555F" w:rsidP="003C796A">
      <w:pPr>
        <w:pStyle w:val="Heading1"/>
      </w:pPr>
      <w:r w:rsidRPr="008049E5">
        <w:t>instructions and guidelines</w:t>
      </w:r>
    </w:p>
    <w:p w14:paraId="1B34A24E" w14:textId="77777777" w:rsidR="009918EF" w:rsidRDefault="009918EF" w:rsidP="009918EF"/>
    <w:p w14:paraId="4D4359C2" w14:textId="77777777" w:rsidR="009918EF" w:rsidRDefault="009918EF" w:rsidP="009918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494"/>
      </w:tblGrid>
      <w:tr w:rsidR="003E02B4" w14:paraId="7A2F750F" w14:textId="77777777" w:rsidTr="00695BA3">
        <w:trPr>
          <w:trHeight w:val="2700"/>
        </w:trPr>
        <w:tc>
          <w:tcPr>
            <w:tcW w:w="8720" w:type="dxa"/>
            <w:shd w:val="clear" w:color="auto" w:fill="E6E6E6"/>
          </w:tcPr>
          <w:p w14:paraId="2BD755FF" w14:textId="77777777" w:rsidR="003E02B4" w:rsidRDefault="00653652" w:rsidP="00F91E7B">
            <w:pPr>
              <w:pStyle w:val="Heading2"/>
            </w:pPr>
            <w:r>
              <w:t>ANTI-DUMPING COMMISSION</w:t>
            </w:r>
          </w:p>
          <w:p w14:paraId="7F0AEE66" w14:textId="77777777" w:rsidR="00FA30DE" w:rsidRPr="00FA30DE" w:rsidRDefault="00FA30DE" w:rsidP="00FA30DE">
            <w:pPr>
              <w:jc w:val="center"/>
              <w:rPr>
                <w:b/>
                <w:sz w:val="22"/>
                <w:szCs w:val="22"/>
              </w:rPr>
            </w:pPr>
            <w:r w:rsidRPr="00FA30DE">
              <w:rPr>
                <w:b/>
                <w:sz w:val="22"/>
                <w:szCs w:val="22"/>
              </w:rPr>
              <w:t>Pre-lodgement documentation check guidelines</w:t>
            </w:r>
          </w:p>
          <w:p w14:paraId="0C724239" w14:textId="11825E0C" w:rsidR="00FA30DE" w:rsidRPr="00751F69" w:rsidRDefault="00751F69" w:rsidP="00FA30DE">
            <w:pPr>
              <w:jc w:val="center"/>
              <w:rPr>
                <w:b/>
                <w:bCs/>
                <w:sz w:val="22"/>
                <w:szCs w:val="28"/>
              </w:rPr>
            </w:pPr>
            <w:r w:rsidRPr="00751F69">
              <w:rPr>
                <w:b/>
                <w:bCs/>
                <w:sz w:val="22"/>
                <w:szCs w:val="28"/>
              </w:rPr>
              <w:t>December 2015</w:t>
            </w:r>
          </w:p>
          <w:p w14:paraId="16634A8B" w14:textId="77777777" w:rsidR="00FA30DE" w:rsidRPr="00FA30DE" w:rsidRDefault="00FA30DE" w:rsidP="00FA30DE">
            <w:pPr>
              <w:jc w:val="center"/>
            </w:pPr>
          </w:p>
        </w:tc>
      </w:tr>
    </w:tbl>
    <w:p w14:paraId="09AAB3FE" w14:textId="77777777" w:rsidR="00FF555F" w:rsidRPr="000944F2" w:rsidRDefault="00FF555F" w:rsidP="009918E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F555F" w14:paraId="5D92F96F" w14:textId="77777777" w:rsidTr="696D1F04">
        <w:tc>
          <w:tcPr>
            <w:tcW w:w="8720" w:type="dxa"/>
            <w:shd w:val="clear" w:color="auto" w:fill="auto"/>
          </w:tcPr>
          <w:p w14:paraId="74C7CE58" w14:textId="110CDC01" w:rsidR="00FF555F" w:rsidRPr="00F91E7B" w:rsidRDefault="00FF555F" w:rsidP="009918EF">
            <w:pPr>
              <w:rPr>
                <w:bCs/>
                <w:szCs w:val="20"/>
              </w:rPr>
            </w:pPr>
            <w:r w:rsidRPr="00F91E7B">
              <w:rPr>
                <w:b/>
                <w:szCs w:val="20"/>
              </w:rPr>
              <w:t>Published date:</w:t>
            </w:r>
            <w:r w:rsidR="0043494A">
              <w:rPr>
                <w:b/>
                <w:szCs w:val="20"/>
              </w:rPr>
              <w:t xml:space="preserve">           </w:t>
            </w:r>
            <w:r w:rsidR="00751F69">
              <w:rPr>
                <w:b/>
                <w:szCs w:val="20"/>
              </w:rPr>
              <w:t xml:space="preserve"> </w:t>
            </w:r>
            <w:r w:rsidR="00751F69" w:rsidRPr="00751F69">
              <w:rPr>
                <w:bCs/>
                <w:szCs w:val="20"/>
              </w:rPr>
              <w:t>December 2015</w:t>
            </w:r>
          </w:p>
          <w:p w14:paraId="3043F337" w14:textId="77777777" w:rsidR="00FF555F" w:rsidRPr="00F91E7B" w:rsidRDefault="00FF555F" w:rsidP="009918EF">
            <w:pPr>
              <w:rPr>
                <w:szCs w:val="20"/>
              </w:rPr>
            </w:pPr>
            <w:r w:rsidRPr="00F91E7B">
              <w:rPr>
                <w:b/>
                <w:szCs w:val="20"/>
              </w:rPr>
              <w:t>Availability</w:t>
            </w:r>
            <w:r w:rsidRPr="00F91E7B">
              <w:rPr>
                <w:szCs w:val="20"/>
              </w:rPr>
              <w:t xml:space="preserve">: </w:t>
            </w:r>
            <w:r w:rsidRPr="00F91E7B">
              <w:rPr>
                <w:szCs w:val="20"/>
              </w:rPr>
              <w:tab/>
            </w:r>
            <w:r w:rsidRPr="00F91E7B">
              <w:rPr>
                <w:szCs w:val="20"/>
              </w:rPr>
              <w:tab/>
              <w:t xml:space="preserve">Internal </w:t>
            </w:r>
            <w:r w:rsidR="00B40E51" w:rsidRPr="00F91E7B">
              <w:rPr>
                <w:szCs w:val="20"/>
              </w:rPr>
              <w:t xml:space="preserve">and </w:t>
            </w:r>
            <w:r w:rsidRPr="00F91E7B">
              <w:rPr>
                <w:szCs w:val="20"/>
              </w:rPr>
              <w:t>external</w:t>
            </w:r>
          </w:p>
          <w:p w14:paraId="39D65887" w14:textId="77777777" w:rsidR="00FF555F" w:rsidRPr="00F91E7B" w:rsidRDefault="00FF555F" w:rsidP="004806D9">
            <w:pPr>
              <w:ind w:left="2160" w:hanging="2160"/>
              <w:rPr>
                <w:szCs w:val="20"/>
              </w:rPr>
            </w:pPr>
            <w:r w:rsidRPr="00F91E7B">
              <w:rPr>
                <w:b/>
                <w:szCs w:val="20"/>
              </w:rPr>
              <w:t>Subject</w:t>
            </w:r>
            <w:r w:rsidRPr="00F91E7B">
              <w:rPr>
                <w:szCs w:val="20"/>
              </w:rPr>
              <w:t>:</w:t>
            </w:r>
            <w:r w:rsidRPr="00F91E7B">
              <w:rPr>
                <w:szCs w:val="20"/>
              </w:rPr>
              <w:tab/>
            </w:r>
            <w:r w:rsidR="00FA30DE">
              <w:rPr>
                <w:szCs w:val="20"/>
              </w:rPr>
              <w:t>Pre-lodgement documentation check guidelines</w:t>
            </w:r>
          </w:p>
          <w:p w14:paraId="6F0EFAD2" w14:textId="77777777" w:rsidR="0053340A" w:rsidRPr="00F91E7B" w:rsidRDefault="00FF555F" w:rsidP="004806D9">
            <w:pPr>
              <w:ind w:left="2160" w:hanging="2160"/>
              <w:rPr>
                <w:szCs w:val="20"/>
              </w:rPr>
            </w:pPr>
            <w:r w:rsidRPr="00F91E7B">
              <w:rPr>
                <w:b/>
                <w:szCs w:val="20"/>
              </w:rPr>
              <w:t>Purpose</w:t>
            </w:r>
            <w:r w:rsidRPr="00F91E7B">
              <w:rPr>
                <w:szCs w:val="20"/>
              </w:rPr>
              <w:t>:</w:t>
            </w:r>
            <w:r w:rsidRPr="00F91E7B">
              <w:rPr>
                <w:szCs w:val="20"/>
              </w:rPr>
              <w:tab/>
            </w:r>
            <w:r w:rsidR="0053340A" w:rsidRPr="00F91E7B">
              <w:rPr>
                <w:szCs w:val="20"/>
              </w:rPr>
              <w:t xml:space="preserve">To </w:t>
            </w:r>
            <w:r w:rsidR="00FA30DE">
              <w:rPr>
                <w:szCs w:val="20"/>
              </w:rPr>
              <w:t>outline the principles and procedures for pre-lodgement documentation check of a draft application for dumping and/or countervailing duties</w:t>
            </w:r>
          </w:p>
          <w:p w14:paraId="2CB94AF1" w14:textId="77777777" w:rsidR="00FF555F" w:rsidRPr="00F91E7B" w:rsidRDefault="00FF555F" w:rsidP="009918EF">
            <w:pPr>
              <w:rPr>
                <w:szCs w:val="20"/>
              </w:rPr>
            </w:pPr>
          </w:p>
          <w:p w14:paraId="5C43E57E" w14:textId="77777777" w:rsidR="00310123" w:rsidRDefault="00FF555F" w:rsidP="00310123">
            <w:pPr>
              <w:rPr>
                <w:szCs w:val="20"/>
              </w:rPr>
            </w:pPr>
            <w:r w:rsidRPr="00F91E7B">
              <w:rPr>
                <w:b/>
                <w:szCs w:val="20"/>
              </w:rPr>
              <w:t>Contact</w:t>
            </w:r>
            <w:r w:rsidRPr="00F91E7B">
              <w:rPr>
                <w:szCs w:val="20"/>
              </w:rPr>
              <w:t xml:space="preserve">: </w:t>
            </w:r>
            <w:r w:rsidRPr="00F91E7B">
              <w:rPr>
                <w:szCs w:val="20"/>
              </w:rPr>
              <w:tab/>
            </w:r>
            <w:r w:rsidR="00F91E7B">
              <w:rPr>
                <w:szCs w:val="20"/>
              </w:rPr>
              <w:tab/>
            </w:r>
            <w:r w:rsidR="00C4447C">
              <w:rPr>
                <w:szCs w:val="20"/>
              </w:rPr>
              <w:t>Post</w:t>
            </w:r>
            <w:r w:rsidR="003C63C9" w:rsidRPr="00F91E7B">
              <w:rPr>
                <w:szCs w:val="20"/>
              </w:rPr>
              <w:t xml:space="preserve"> to:</w:t>
            </w:r>
          </w:p>
          <w:p w14:paraId="372D7C0E" w14:textId="7CE79B75" w:rsidR="00310123" w:rsidRPr="004F310D" w:rsidRDefault="003C63C9" w:rsidP="00310123">
            <w:pPr>
              <w:spacing w:before="0" w:after="0"/>
              <w:rPr>
                <w:szCs w:val="20"/>
              </w:rPr>
            </w:pPr>
            <w:r w:rsidRPr="00F91E7B">
              <w:rPr>
                <w:szCs w:val="20"/>
              </w:rPr>
              <w:br/>
            </w:r>
            <w:r w:rsidR="00CB2F61" w:rsidRPr="00CB2F61">
              <w:rPr>
                <w:rFonts w:cs="Arial"/>
                <w:szCs w:val="20"/>
              </w:rPr>
              <w:tab/>
            </w:r>
            <w:r w:rsidR="00CB2F61" w:rsidRPr="00CB2F61">
              <w:rPr>
                <w:rFonts w:cs="Arial"/>
                <w:szCs w:val="20"/>
              </w:rPr>
              <w:tab/>
            </w:r>
            <w:r w:rsidR="00CB2F61" w:rsidRPr="00CB2F61">
              <w:rPr>
                <w:rFonts w:cs="Arial"/>
                <w:szCs w:val="20"/>
              </w:rPr>
              <w:tab/>
            </w:r>
            <w:r w:rsidR="00310123">
              <w:rPr>
                <w:szCs w:val="20"/>
              </w:rPr>
              <w:t>The Commissioner of the Anti-Dumping Commission</w:t>
            </w:r>
            <w:r w:rsidR="00310123" w:rsidRPr="00496511">
              <w:br/>
            </w:r>
            <w:r w:rsidR="00310123">
              <w:rPr>
                <w:szCs w:val="20"/>
              </w:rPr>
              <w:tab/>
            </w:r>
            <w:r w:rsidR="00310123">
              <w:rPr>
                <w:szCs w:val="20"/>
              </w:rPr>
              <w:tab/>
            </w:r>
            <w:r w:rsidR="00310123">
              <w:rPr>
                <w:szCs w:val="20"/>
              </w:rPr>
              <w:tab/>
            </w:r>
            <w:r w:rsidR="00310123">
              <w:t>GPO BOX 2013</w:t>
            </w:r>
          </w:p>
          <w:p w14:paraId="66FCE48C" w14:textId="77777777" w:rsidR="00310123" w:rsidRPr="004F310D" w:rsidRDefault="00310123" w:rsidP="00310123">
            <w:pPr>
              <w:spacing w:before="0" w:after="0"/>
              <w:rPr>
                <w:szCs w:val="20"/>
              </w:rPr>
            </w:pPr>
            <w:r w:rsidRPr="004F310D">
              <w:rPr>
                <w:szCs w:val="20"/>
              </w:rPr>
              <w:tab/>
            </w:r>
            <w:r w:rsidRPr="004F310D">
              <w:rPr>
                <w:szCs w:val="20"/>
              </w:rPr>
              <w:tab/>
            </w:r>
            <w:r w:rsidRPr="004F310D">
              <w:rPr>
                <w:szCs w:val="20"/>
              </w:rPr>
              <w:tab/>
            </w:r>
            <w:r>
              <w:rPr>
                <w:szCs w:val="20"/>
              </w:rPr>
              <w:t>Canberra ACT 2601</w:t>
            </w:r>
          </w:p>
          <w:p w14:paraId="47E86B2B" w14:textId="6E26EFEF" w:rsidR="00F91E7B" w:rsidRPr="00306841" w:rsidRDefault="00310123" w:rsidP="00310123">
            <w:pPr>
              <w:spacing w:before="0" w:after="0"/>
              <w:rPr>
                <w:rFonts w:eastAsia="Arial" w:cs="Arial"/>
                <w:szCs w:val="20"/>
              </w:rPr>
            </w:pPr>
            <w:r w:rsidRPr="00496511">
              <w:tab/>
            </w:r>
            <w:r w:rsidRPr="00496511">
              <w:tab/>
            </w:r>
            <w:r w:rsidRPr="00496511">
              <w:tab/>
              <w:t>AUSTRALIA</w:t>
            </w:r>
            <w:r w:rsidR="003C63C9" w:rsidRPr="00F91E7B">
              <w:rPr>
                <w:szCs w:val="20"/>
              </w:rPr>
              <w:br/>
            </w:r>
            <w:r w:rsidR="003C63C9" w:rsidRPr="00F91E7B">
              <w:rPr>
                <w:szCs w:val="20"/>
              </w:rPr>
              <w:br/>
            </w:r>
            <w:r w:rsidR="00F91E7B">
              <w:rPr>
                <w:rFonts w:cs="Arial"/>
                <w:szCs w:val="20"/>
              </w:rPr>
              <w:tab/>
            </w:r>
            <w:r w:rsidR="00F91E7B">
              <w:rPr>
                <w:rFonts w:cs="Arial"/>
                <w:szCs w:val="20"/>
              </w:rPr>
              <w:tab/>
            </w:r>
            <w:r w:rsidR="00F91E7B">
              <w:rPr>
                <w:rFonts w:cs="Arial"/>
                <w:szCs w:val="20"/>
              </w:rPr>
              <w:tab/>
            </w:r>
            <w:r w:rsidR="00F91E7B" w:rsidRPr="0F09FEC4">
              <w:rPr>
                <w:rFonts w:cs="Arial"/>
              </w:rPr>
              <w:t xml:space="preserve">Phone: </w:t>
            </w:r>
            <w:r w:rsidR="00FA4086" w:rsidRPr="0F09FEC4">
              <w:rPr>
                <w:rFonts w:cs="Arial"/>
              </w:rPr>
              <w:t>13 28 46</w:t>
            </w:r>
            <w:r w:rsidR="10760053" w:rsidRPr="0F09FEC4">
              <w:rPr>
                <w:rFonts w:cs="Arial"/>
              </w:rPr>
              <w:t xml:space="preserve"> </w:t>
            </w:r>
            <w:r w:rsidR="10760053" w:rsidRPr="00A47009">
              <w:rPr>
                <w:rFonts w:cs="Arial"/>
              </w:rPr>
              <w:t>or +61 2 6213 6000</w:t>
            </w:r>
            <w:r w:rsidR="00E50609">
              <w:rPr>
                <w:rFonts w:cs="Arial"/>
              </w:rPr>
              <w:t xml:space="preserve"> (outside Australia)</w:t>
            </w:r>
          </w:p>
          <w:p w14:paraId="3044DC76" w14:textId="153ED104" w:rsidR="00F91E7B" w:rsidRPr="00306841" w:rsidRDefault="00F91E7B" w:rsidP="00F91E7B">
            <w:pPr>
              <w:spacing w:before="0" w:after="0"/>
              <w:rPr>
                <w:rFonts w:cs="Arial"/>
                <w:szCs w:val="20"/>
              </w:rPr>
            </w:pPr>
            <w:r w:rsidRPr="00306841">
              <w:rPr>
                <w:rFonts w:cs="Arial"/>
                <w:szCs w:val="20"/>
              </w:rPr>
              <w:tab/>
            </w:r>
            <w:r w:rsidRPr="00306841">
              <w:rPr>
                <w:rFonts w:cs="Arial"/>
                <w:szCs w:val="20"/>
              </w:rPr>
              <w:tab/>
            </w:r>
            <w:r w:rsidRPr="00306841">
              <w:rPr>
                <w:rFonts w:cs="Arial"/>
                <w:szCs w:val="20"/>
              </w:rPr>
              <w:tab/>
              <w:t xml:space="preserve">Email: </w:t>
            </w:r>
            <w:hyperlink r:id="rId8" w:history="1">
              <w:r w:rsidR="00F6463B" w:rsidRPr="00CC7B27">
                <w:rPr>
                  <w:rStyle w:val="Hyperlink"/>
                  <w:rFonts w:cs="Arial"/>
                  <w:szCs w:val="20"/>
                </w:rPr>
                <w:t>clientsupport@adcommission.gov.au</w:t>
              </w:r>
            </w:hyperlink>
          </w:p>
          <w:p w14:paraId="5CCA7262" w14:textId="77777777" w:rsidR="00FF555F" w:rsidRPr="00AD15F9" w:rsidRDefault="00FF555F" w:rsidP="00AD15F9">
            <w:pPr>
              <w:rPr>
                <w:szCs w:val="20"/>
              </w:rPr>
            </w:pPr>
          </w:p>
        </w:tc>
      </w:tr>
    </w:tbl>
    <w:p w14:paraId="6A77FD60" w14:textId="77777777" w:rsidR="001A7ADE" w:rsidRDefault="001A7ADE" w:rsidP="009918EF"/>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351C7B" w14:paraId="312C8A96" w14:textId="77777777" w:rsidTr="00C1230F">
        <w:trPr>
          <w:trHeight w:val="1790"/>
        </w:trPr>
        <w:tc>
          <w:tcPr>
            <w:tcW w:w="8500" w:type="dxa"/>
            <w:shd w:val="clear" w:color="auto" w:fill="auto"/>
          </w:tcPr>
          <w:p w14:paraId="184034DA" w14:textId="77777777" w:rsidR="00351C7B" w:rsidRDefault="001A7ADE" w:rsidP="001A7ADE">
            <w:pPr>
              <w:rPr>
                <w:b/>
              </w:rPr>
            </w:pPr>
            <w:r>
              <w:rPr>
                <w:b/>
              </w:rPr>
              <w:t>Summary of main points</w:t>
            </w:r>
          </w:p>
          <w:p w14:paraId="72385507" w14:textId="77777777" w:rsidR="001A7ADE" w:rsidRDefault="001A7ADE" w:rsidP="001A7ADE">
            <w:r>
              <w:t>This Instruction and Guideline outlines the purpose, information needed, assessment of a draft application, principles (documentation check), procedure and an example Pre-lodgement Documentation Check Response related to a pre-lodgement documentation check.</w:t>
            </w:r>
          </w:p>
          <w:p w14:paraId="7622D278" w14:textId="77777777" w:rsidR="001A7ADE" w:rsidRDefault="001A7ADE" w:rsidP="001A7ADE">
            <w:pPr>
              <w:rPr>
                <w:b/>
                <w:u w:val="single"/>
              </w:rPr>
            </w:pPr>
            <w:r w:rsidRPr="001A7ADE">
              <w:rPr>
                <w:b/>
                <w:u w:val="single"/>
              </w:rPr>
              <w:t>This I &amp; G applies to staff in:</w:t>
            </w:r>
          </w:p>
          <w:p w14:paraId="30F13936" w14:textId="77777777" w:rsidR="001A7ADE" w:rsidRPr="001A7ADE" w:rsidRDefault="00653652" w:rsidP="001A7ADE">
            <w:pPr>
              <w:pStyle w:val="ListParagraph"/>
              <w:numPr>
                <w:ilvl w:val="0"/>
                <w:numId w:val="28"/>
              </w:numPr>
              <w:rPr>
                <w:b/>
                <w:u w:val="single"/>
              </w:rPr>
            </w:pPr>
            <w:r>
              <w:t>Anti-Dumping Commission</w:t>
            </w:r>
          </w:p>
        </w:tc>
      </w:tr>
    </w:tbl>
    <w:p w14:paraId="55469C91" w14:textId="77777777" w:rsidR="00F6463B" w:rsidRDefault="00F6463B">
      <w:pPr>
        <w:spacing w:before="0" w:after="0"/>
        <w:rPr>
          <w:rFonts w:cs="Arial"/>
          <w:b/>
          <w:i/>
          <w:iCs/>
          <w:sz w:val="24"/>
          <w:lang w:eastAsia="en-AU"/>
        </w:rPr>
      </w:pPr>
      <w:r>
        <w:rPr>
          <w:rFonts w:cs="Arial"/>
          <w:bCs/>
          <w:i/>
          <w:iCs/>
          <w:sz w:val="24"/>
          <w:lang w:eastAsia="en-AU"/>
        </w:rPr>
        <w:br w:type="page"/>
      </w:r>
    </w:p>
    <w:p w14:paraId="14CD584A" w14:textId="14CB45EF" w:rsidR="00FF555F" w:rsidRPr="00B04B08" w:rsidRDefault="009918EF" w:rsidP="00B04B08">
      <w:pPr>
        <w:pStyle w:val="Heading4"/>
        <w:keepNext w:val="0"/>
        <w:pBdr>
          <w:bottom w:val="single" w:sz="4" w:space="2" w:color="B8CCE4"/>
        </w:pBdr>
        <w:spacing w:before="200" w:after="80"/>
        <w:rPr>
          <w:rFonts w:cs="Arial"/>
          <w:bCs w:val="0"/>
          <w:i/>
          <w:iCs/>
          <w:sz w:val="24"/>
          <w:szCs w:val="24"/>
          <w:u w:val="none"/>
          <w:lang w:eastAsia="en-AU"/>
        </w:rPr>
      </w:pPr>
      <w:r w:rsidRPr="00B04B08">
        <w:rPr>
          <w:rFonts w:cs="Arial"/>
          <w:bCs w:val="0"/>
          <w:i/>
          <w:iCs/>
          <w:sz w:val="24"/>
          <w:szCs w:val="24"/>
          <w:u w:val="none"/>
          <w:lang w:eastAsia="en-AU"/>
        </w:rPr>
        <w:lastRenderedPageBreak/>
        <w:t>Introduction</w:t>
      </w:r>
    </w:p>
    <w:p w14:paraId="24C0C06A" w14:textId="77777777" w:rsidR="004F07E4" w:rsidRDefault="004F07E4" w:rsidP="00E456D4">
      <w:pPr>
        <w:rPr>
          <w:rFonts w:cs="Arial"/>
        </w:rPr>
      </w:pPr>
      <w:r>
        <w:rPr>
          <w:rFonts w:cs="Arial"/>
        </w:rPr>
        <w:t xml:space="preserve">This </w:t>
      </w:r>
      <w:r w:rsidRPr="004F07E4">
        <w:rPr>
          <w:rFonts w:cs="Arial"/>
          <w:i/>
        </w:rPr>
        <w:t>Instruction and Guideline</w:t>
      </w:r>
      <w:r>
        <w:rPr>
          <w:rFonts w:cs="Arial"/>
          <w:i/>
        </w:rPr>
        <w:t xml:space="preserve"> </w:t>
      </w:r>
      <w:r>
        <w:rPr>
          <w:rFonts w:cs="Arial"/>
        </w:rPr>
        <w:t xml:space="preserve">– </w:t>
      </w:r>
      <w:r w:rsidRPr="004F07E4">
        <w:rPr>
          <w:rFonts w:cs="Arial"/>
          <w:i/>
        </w:rPr>
        <w:t>Pre-lodgement documentation check guidelines</w:t>
      </w:r>
      <w:r>
        <w:rPr>
          <w:rFonts w:cs="Arial"/>
        </w:rPr>
        <w:t xml:space="preserve"> </w:t>
      </w:r>
    </w:p>
    <w:p w14:paraId="11A25876" w14:textId="5BE0FEE4" w:rsidR="00AC5EC9" w:rsidRDefault="004F07E4" w:rsidP="00E456D4">
      <w:pPr>
        <w:rPr>
          <w:rFonts w:cs="Arial"/>
        </w:rPr>
      </w:pPr>
      <w:r>
        <w:rPr>
          <w:rFonts w:cs="Arial"/>
        </w:rPr>
        <w:t>(Guidelines) pro</w:t>
      </w:r>
      <w:r w:rsidR="00653652">
        <w:rPr>
          <w:rFonts w:cs="Arial"/>
        </w:rPr>
        <w:t xml:space="preserve">vide guidance to Anti-Dumping Commission </w:t>
      </w:r>
      <w:r>
        <w:rPr>
          <w:rFonts w:cs="Arial"/>
        </w:rPr>
        <w:t xml:space="preserve">officers involved in a </w:t>
      </w:r>
      <w:r w:rsidR="00653652">
        <w:rPr>
          <w:rFonts w:cs="Arial"/>
        </w:rPr>
        <w:br/>
      </w:r>
      <w:r>
        <w:rPr>
          <w:rFonts w:cs="Arial"/>
        </w:rPr>
        <w:t>pre-lodgement</w:t>
      </w:r>
      <w:r w:rsidR="00286C9F">
        <w:rPr>
          <w:rFonts w:cs="Arial"/>
        </w:rPr>
        <w:t xml:space="preserve"> documentation check of a draft dumping and/or countervailing application</w:t>
      </w:r>
      <w:r w:rsidR="00C4447C">
        <w:rPr>
          <w:rFonts w:cs="Arial"/>
        </w:rPr>
        <w:t>.</w:t>
      </w:r>
    </w:p>
    <w:p w14:paraId="1C2851F4" w14:textId="77777777" w:rsidR="00286C9F" w:rsidRDefault="00286C9F" w:rsidP="00E456D4">
      <w:pPr>
        <w:rPr>
          <w:rFonts w:cs="Arial"/>
        </w:rPr>
      </w:pPr>
    </w:p>
    <w:p w14:paraId="51DCC220" w14:textId="77777777" w:rsidR="00286C9F" w:rsidRPr="004F07E4" w:rsidRDefault="00286C9F" w:rsidP="00E456D4">
      <w:pPr>
        <w:rPr>
          <w:sz w:val="22"/>
          <w:szCs w:val="22"/>
        </w:rPr>
      </w:pPr>
      <w:r>
        <w:rPr>
          <w:rFonts w:cs="Arial"/>
        </w:rPr>
        <w:t xml:space="preserve">The Guidelines are also publicly available to inform applicants about the pre-lodgement </w:t>
      </w:r>
      <w:r w:rsidR="001B5514">
        <w:rPr>
          <w:rFonts w:cs="Arial"/>
        </w:rPr>
        <w:t xml:space="preserve">documentation check processes. </w:t>
      </w:r>
      <w:r>
        <w:rPr>
          <w:rFonts w:cs="Arial"/>
        </w:rPr>
        <w:t xml:space="preserve">Applicants should read the Guidelines in conjunction with other publicly available documents </w:t>
      </w:r>
      <w:r w:rsidR="00653652">
        <w:rPr>
          <w:rFonts w:cs="Arial"/>
        </w:rPr>
        <w:t>available on the Anti-Dumping Commission</w:t>
      </w:r>
      <w:r>
        <w:rPr>
          <w:rFonts w:cs="Arial"/>
        </w:rPr>
        <w:t xml:space="preserve"> website</w:t>
      </w:r>
      <w:r w:rsidR="00351C7B">
        <w:rPr>
          <w:rFonts w:cs="Arial"/>
        </w:rPr>
        <w:t>.</w:t>
      </w:r>
    </w:p>
    <w:p w14:paraId="1D102037" w14:textId="77777777" w:rsidR="009918EF" w:rsidRPr="00B04B08" w:rsidRDefault="009918EF" w:rsidP="00B04B08">
      <w:pPr>
        <w:pStyle w:val="Heading4"/>
        <w:keepNext w:val="0"/>
        <w:pBdr>
          <w:bottom w:val="single" w:sz="4" w:space="2" w:color="B8CCE4"/>
        </w:pBdr>
        <w:spacing w:before="200" w:after="80"/>
        <w:rPr>
          <w:rFonts w:cs="Arial"/>
          <w:bCs w:val="0"/>
          <w:i/>
          <w:iCs/>
          <w:sz w:val="24"/>
          <w:szCs w:val="24"/>
          <w:u w:val="none"/>
          <w:lang w:eastAsia="en-AU"/>
        </w:rPr>
      </w:pPr>
      <w:r w:rsidRPr="00B04B08">
        <w:rPr>
          <w:rFonts w:cs="Arial"/>
          <w:bCs w:val="0"/>
          <w:i/>
          <w:iCs/>
          <w:sz w:val="24"/>
          <w:szCs w:val="24"/>
          <w:u w:val="none"/>
          <w:lang w:eastAsia="en-AU"/>
        </w:rPr>
        <w:t>Instructions and Guidelines</w:t>
      </w:r>
    </w:p>
    <w:p w14:paraId="0EB0A89D" w14:textId="77777777" w:rsidR="002143E7" w:rsidRDefault="002143E7" w:rsidP="009918EF">
      <w:pPr>
        <w:pStyle w:val="italic"/>
        <w:rPr>
          <w:i w:val="0"/>
          <w:sz w:val="22"/>
          <w:szCs w:val="22"/>
        </w:rPr>
      </w:pPr>
      <w:r>
        <w:rPr>
          <w:i w:val="0"/>
          <w:sz w:val="22"/>
          <w:szCs w:val="22"/>
        </w:rPr>
        <w:t xml:space="preserve">The Guidelines </w:t>
      </w:r>
      <w:r w:rsidR="00351C7B">
        <w:rPr>
          <w:i w:val="0"/>
          <w:sz w:val="22"/>
          <w:szCs w:val="22"/>
        </w:rPr>
        <w:t>are divided into the following sections</w:t>
      </w:r>
      <w:r>
        <w:rPr>
          <w:i w:val="0"/>
          <w:sz w:val="22"/>
          <w:szCs w:val="22"/>
        </w:rPr>
        <w:t>:</w:t>
      </w:r>
    </w:p>
    <w:p w14:paraId="2A413F37" w14:textId="77777777" w:rsidR="002143E7" w:rsidRPr="00267369" w:rsidRDefault="00351C7B" w:rsidP="00F91E7B">
      <w:pPr>
        <w:pStyle w:val="italic"/>
        <w:numPr>
          <w:ilvl w:val="0"/>
          <w:numId w:val="7"/>
        </w:numPr>
        <w:spacing w:before="0" w:after="0"/>
        <w:rPr>
          <w:i w:val="0"/>
          <w:sz w:val="22"/>
          <w:szCs w:val="22"/>
        </w:rPr>
      </w:pPr>
      <w:r>
        <w:rPr>
          <w:i w:val="0"/>
          <w:sz w:val="22"/>
          <w:szCs w:val="22"/>
        </w:rPr>
        <w:t>Purpose</w:t>
      </w:r>
    </w:p>
    <w:p w14:paraId="2422F2F4" w14:textId="77777777" w:rsidR="00267369" w:rsidRPr="00267369" w:rsidRDefault="00351C7B" w:rsidP="00F91E7B">
      <w:pPr>
        <w:pStyle w:val="italic"/>
        <w:numPr>
          <w:ilvl w:val="0"/>
          <w:numId w:val="7"/>
        </w:numPr>
        <w:spacing w:before="0" w:after="0"/>
        <w:rPr>
          <w:i w:val="0"/>
          <w:sz w:val="22"/>
          <w:szCs w:val="22"/>
        </w:rPr>
      </w:pPr>
      <w:r>
        <w:rPr>
          <w:i w:val="0"/>
          <w:sz w:val="22"/>
          <w:szCs w:val="22"/>
        </w:rPr>
        <w:t xml:space="preserve">Information </w:t>
      </w:r>
      <w:proofErr w:type="gramStart"/>
      <w:r>
        <w:rPr>
          <w:i w:val="0"/>
          <w:sz w:val="22"/>
          <w:szCs w:val="22"/>
        </w:rPr>
        <w:t>needed</w:t>
      </w:r>
      <w:r w:rsidR="002143E7" w:rsidRPr="00267369">
        <w:rPr>
          <w:i w:val="0"/>
          <w:sz w:val="22"/>
          <w:szCs w:val="22"/>
        </w:rPr>
        <w:t>;</w:t>
      </w:r>
      <w:proofErr w:type="gramEnd"/>
    </w:p>
    <w:p w14:paraId="6BCF498A" w14:textId="77777777" w:rsidR="00267369" w:rsidRPr="00267369" w:rsidRDefault="00351C7B" w:rsidP="00F91E7B">
      <w:pPr>
        <w:pStyle w:val="italic"/>
        <w:numPr>
          <w:ilvl w:val="0"/>
          <w:numId w:val="7"/>
        </w:numPr>
        <w:spacing w:before="0" w:after="0"/>
        <w:rPr>
          <w:i w:val="0"/>
          <w:sz w:val="22"/>
          <w:szCs w:val="22"/>
        </w:rPr>
      </w:pPr>
      <w:r>
        <w:rPr>
          <w:i w:val="0"/>
          <w:sz w:val="22"/>
          <w:szCs w:val="22"/>
        </w:rPr>
        <w:t xml:space="preserve">Assessment of a draft </w:t>
      </w:r>
      <w:proofErr w:type="gramStart"/>
      <w:r>
        <w:rPr>
          <w:i w:val="0"/>
          <w:sz w:val="22"/>
          <w:szCs w:val="22"/>
        </w:rPr>
        <w:t>application</w:t>
      </w:r>
      <w:r w:rsidR="002E0DBF">
        <w:rPr>
          <w:i w:val="0"/>
          <w:sz w:val="22"/>
          <w:szCs w:val="22"/>
        </w:rPr>
        <w:t>;</w:t>
      </w:r>
      <w:proofErr w:type="gramEnd"/>
    </w:p>
    <w:p w14:paraId="0A45173E" w14:textId="77777777" w:rsidR="00267369" w:rsidRDefault="00351C7B" w:rsidP="00F91E7B">
      <w:pPr>
        <w:pStyle w:val="italic"/>
        <w:numPr>
          <w:ilvl w:val="0"/>
          <w:numId w:val="7"/>
        </w:numPr>
        <w:spacing w:before="0" w:after="0"/>
        <w:rPr>
          <w:i w:val="0"/>
          <w:sz w:val="22"/>
          <w:szCs w:val="22"/>
        </w:rPr>
      </w:pPr>
      <w:r>
        <w:rPr>
          <w:i w:val="0"/>
          <w:sz w:val="22"/>
          <w:szCs w:val="22"/>
        </w:rPr>
        <w:t>Principles (documentation check</w:t>
      </w:r>
      <w:proofErr w:type="gramStart"/>
      <w:r>
        <w:rPr>
          <w:i w:val="0"/>
          <w:sz w:val="22"/>
          <w:szCs w:val="22"/>
        </w:rPr>
        <w:t>)</w:t>
      </w:r>
      <w:r w:rsidR="00267369" w:rsidRPr="00267369">
        <w:rPr>
          <w:i w:val="0"/>
          <w:sz w:val="22"/>
          <w:szCs w:val="22"/>
        </w:rPr>
        <w:t>;</w:t>
      </w:r>
      <w:proofErr w:type="gramEnd"/>
      <w:r w:rsidR="00267369" w:rsidRPr="00267369">
        <w:rPr>
          <w:i w:val="0"/>
          <w:sz w:val="22"/>
          <w:szCs w:val="22"/>
        </w:rPr>
        <w:t xml:space="preserve"> </w:t>
      </w:r>
    </w:p>
    <w:p w14:paraId="17994C6A" w14:textId="77777777" w:rsidR="00351C7B" w:rsidRPr="00267369" w:rsidRDefault="00351C7B" w:rsidP="00F91E7B">
      <w:pPr>
        <w:pStyle w:val="italic"/>
        <w:numPr>
          <w:ilvl w:val="0"/>
          <w:numId w:val="7"/>
        </w:numPr>
        <w:spacing w:before="0" w:after="0"/>
        <w:rPr>
          <w:i w:val="0"/>
          <w:sz w:val="22"/>
          <w:szCs w:val="22"/>
        </w:rPr>
      </w:pPr>
      <w:r>
        <w:rPr>
          <w:i w:val="0"/>
          <w:sz w:val="22"/>
          <w:szCs w:val="22"/>
        </w:rPr>
        <w:t>Procedure; and</w:t>
      </w:r>
    </w:p>
    <w:p w14:paraId="6F153C65" w14:textId="77777777" w:rsidR="00267369" w:rsidRDefault="00351C7B" w:rsidP="00F91E7B">
      <w:pPr>
        <w:pStyle w:val="italic"/>
        <w:numPr>
          <w:ilvl w:val="0"/>
          <w:numId w:val="7"/>
        </w:numPr>
        <w:spacing w:before="0" w:after="0"/>
        <w:rPr>
          <w:i w:val="0"/>
          <w:sz w:val="22"/>
          <w:szCs w:val="22"/>
        </w:rPr>
      </w:pPr>
      <w:r>
        <w:rPr>
          <w:i w:val="0"/>
          <w:sz w:val="22"/>
          <w:szCs w:val="22"/>
        </w:rPr>
        <w:t xml:space="preserve">Attachment 1 – Example Pre–lodgement Documentation Check Response </w:t>
      </w:r>
    </w:p>
    <w:p w14:paraId="1CBAF03F" w14:textId="77777777" w:rsidR="00F91E7B" w:rsidRPr="00267369" w:rsidRDefault="00F91E7B" w:rsidP="00F91E7B">
      <w:pPr>
        <w:pStyle w:val="italic"/>
        <w:spacing w:before="0" w:after="0"/>
        <w:ind w:left="1021"/>
        <w:rPr>
          <w:i w:val="0"/>
          <w:sz w:val="22"/>
          <w:szCs w:val="22"/>
        </w:rPr>
      </w:pPr>
    </w:p>
    <w:p w14:paraId="4A9F569C" w14:textId="77777777" w:rsidR="009918EF" w:rsidRPr="00B04B08" w:rsidRDefault="009918EF" w:rsidP="00B04B08">
      <w:pPr>
        <w:pStyle w:val="Heading4"/>
        <w:keepNext w:val="0"/>
        <w:pBdr>
          <w:bottom w:val="single" w:sz="4" w:space="2" w:color="B8CCE4"/>
        </w:pBdr>
        <w:spacing w:before="200" w:after="80"/>
        <w:rPr>
          <w:rFonts w:cs="Arial"/>
          <w:bCs w:val="0"/>
          <w:i/>
          <w:iCs/>
          <w:sz w:val="24"/>
          <w:szCs w:val="24"/>
          <w:u w:val="none"/>
          <w:lang w:eastAsia="en-AU"/>
        </w:rPr>
      </w:pPr>
      <w:r w:rsidRPr="00B04B08">
        <w:rPr>
          <w:rFonts w:cs="Arial"/>
          <w:bCs w:val="0"/>
          <w:i/>
          <w:iCs/>
          <w:sz w:val="24"/>
          <w:szCs w:val="24"/>
          <w:u w:val="none"/>
          <w:lang w:eastAsia="en-AU"/>
        </w:rPr>
        <w:t>Related Policies and References</w:t>
      </w:r>
    </w:p>
    <w:p w14:paraId="5DCA8193" w14:textId="77777777" w:rsidR="00351C7B" w:rsidRDefault="00351C7B" w:rsidP="00351C7B">
      <w:pPr>
        <w:pStyle w:val="italic"/>
        <w:rPr>
          <w:b/>
          <w:i w:val="0"/>
          <w:sz w:val="22"/>
          <w:szCs w:val="22"/>
        </w:rPr>
      </w:pPr>
      <w:r w:rsidRPr="00351C7B">
        <w:rPr>
          <w:b/>
          <w:i w:val="0"/>
          <w:sz w:val="22"/>
          <w:szCs w:val="22"/>
        </w:rPr>
        <w:t>Other Instructions and Guidelines:</w:t>
      </w:r>
    </w:p>
    <w:p w14:paraId="3E85E258" w14:textId="1E41E768" w:rsidR="00E83CC0" w:rsidRPr="00E83CC0" w:rsidRDefault="00351C7B" w:rsidP="00E83CC0">
      <w:pPr>
        <w:pStyle w:val="italic"/>
        <w:numPr>
          <w:ilvl w:val="0"/>
          <w:numId w:val="27"/>
        </w:numPr>
        <w:rPr>
          <w:i w:val="0"/>
          <w:sz w:val="22"/>
          <w:szCs w:val="22"/>
        </w:rPr>
      </w:pPr>
      <w:r w:rsidRPr="00351C7B">
        <w:rPr>
          <w:i w:val="0"/>
          <w:sz w:val="22"/>
          <w:szCs w:val="22"/>
        </w:rPr>
        <w:t>Dumping and Subsidy Manual</w:t>
      </w:r>
      <w:bookmarkStart w:id="0" w:name="_Toc204402521"/>
      <w:bookmarkStart w:id="1" w:name="_Toc204402582"/>
    </w:p>
    <w:p w14:paraId="6E845FB5" w14:textId="77777777" w:rsidR="00E83CC0" w:rsidRDefault="00E83CC0" w:rsidP="00E83CC0">
      <w:pPr>
        <w:pStyle w:val="Heading4"/>
        <w:keepNext w:val="0"/>
        <w:pBdr>
          <w:bottom w:val="single" w:sz="4" w:space="2" w:color="B8CCE4" w:themeColor="accent1" w:themeTint="66"/>
        </w:pBdr>
        <w:spacing w:before="200" w:after="80"/>
        <w:rPr>
          <w:rFonts w:eastAsiaTheme="majorEastAsia"/>
        </w:rPr>
      </w:pPr>
    </w:p>
    <w:p w14:paraId="740D2D3D" w14:textId="615755D3" w:rsidR="00E83CC0" w:rsidRPr="00C82085" w:rsidRDefault="00E83CC0" w:rsidP="00E83CC0">
      <w:pPr>
        <w:pStyle w:val="Heading4"/>
        <w:keepNext w:val="0"/>
        <w:pBdr>
          <w:bottom w:val="single" w:sz="4" w:space="2" w:color="B8CCE4" w:themeColor="accent1" w:themeTint="66"/>
        </w:pBdr>
        <w:spacing w:before="200" w:after="80"/>
        <w:rPr>
          <w:rFonts w:eastAsiaTheme="majorEastAsia"/>
        </w:rPr>
      </w:pPr>
      <w:r w:rsidRPr="00C82085">
        <w:rPr>
          <w:rFonts w:eastAsiaTheme="majorEastAsia"/>
        </w:rPr>
        <w:t>Approval</w:t>
      </w:r>
      <w:bookmarkEnd w:id="0"/>
      <w:bookmarkEnd w:id="1"/>
      <w:r>
        <w:rPr>
          <w:rFonts w:eastAsiaTheme="majorEastAsia"/>
        </w:rPr>
        <w:t xml:space="preserve"> and version history</w:t>
      </w:r>
    </w:p>
    <w:p w14:paraId="388D6BAE" w14:textId="77777777" w:rsidR="00E83CC0" w:rsidRDefault="00E83CC0" w:rsidP="00E83CC0"/>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701"/>
        <w:gridCol w:w="1275"/>
        <w:gridCol w:w="4338"/>
      </w:tblGrid>
      <w:tr w:rsidR="00E83CC0" w:rsidRPr="008213E2" w14:paraId="3AFA798D" w14:textId="77777777" w:rsidTr="00102140">
        <w:trPr>
          <w:cantSplit/>
        </w:trPr>
        <w:tc>
          <w:tcPr>
            <w:tcW w:w="988" w:type="dxa"/>
            <w:shd w:val="clear" w:color="auto" w:fill="D9D9D9" w:themeFill="background1" w:themeFillShade="D9"/>
            <w:tcMar>
              <w:top w:w="85" w:type="dxa"/>
              <w:bottom w:w="85" w:type="dxa"/>
            </w:tcMar>
          </w:tcPr>
          <w:p w14:paraId="2468C90E" w14:textId="77777777" w:rsidR="00E83CC0" w:rsidRPr="00F8048B" w:rsidRDefault="00E83CC0" w:rsidP="00102140">
            <w:pPr>
              <w:tabs>
                <w:tab w:val="left" w:pos="720"/>
                <w:tab w:val="right" w:leader="dot" w:pos="10246"/>
              </w:tabs>
              <w:rPr>
                <w:b/>
                <w:bCs/>
                <w:caps/>
              </w:rPr>
            </w:pPr>
            <w:r w:rsidRPr="00F8048B">
              <w:rPr>
                <w:b/>
                <w:bCs/>
              </w:rPr>
              <w:t>Version</w:t>
            </w:r>
          </w:p>
        </w:tc>
        <w:tc>
          <w:tcPr>
            <w:tcW w:w="1701" w:type="dxa"/>
            <w:shd w:val="clear" w:color="auto" w:fill="D9D9D9" w:themeFill="background1" w:themeFillShade="D9"/>
          </w:tcPr>
          <w:p w14:paraId="62F5E591" w14:textId="77777777" w:rsidR="00E83CC0" w:rsidRPr="00F8048B" w:rsidRDefault="00E83CC0" w:rsidP="00102140">
            <w:pPr>
              <w:tabs>
                <w:tab w:val="left" w:pos="720"/>
                <w:tab w:val="right" w:leader="dot" w:pos="10246"/>
              </w:tabs>
              <w:rPr>
                <w:b/>
                <w:bCs/>
              </w:rPr>
            </w:pPr>
            <w:r w:rsidRPr="00F8048B">
              <w:rPr>
                <w:b/>
                <w:bCs/>
              </w:rPr>
              <w:t>Change</w:t>
            </w:r>
          </w:p>
        </w:tc>
        <w:tc>
          <w:tcPr>
            <w:tcW w:w="1275" w:type="dxa"/>
            <w:shd w:val="clear" w:color="auto" w:fill="D9D9D9" w:themeFill="background1" w:themeFillShade="D9"/>
            <w:tcMar>
              <w:top w:w="85" w:type="dxa"/>
              <w:bottom w:w="85" w:type="dxa"/>
            </w:tcMar>
          </w:tcPr>
          <w:p w14:paraId="0E74D075" w14:textId="77777777" w:rsidR="00E83CC0" w:rsidRPr="00F8048B" w:rsidRDefault="00E83CC0" w:rsidP="00102140">
            <w:pPr>
              <w:tabs>
                <w:tab w:val="left" w:pos="720"/>
                <w:tab w:val="right" w:leader="dot" w:pos="10246"/>
              </w:tabs>
              <w:rPr>
                <w:b/>
                <w:bCs/>
                <w:caps/>
              </w:rPr>
            </w:pPr>
            <w:r w:rsidRPr="00F8048B">
              <w:rPr>
                <w:b/>
                <w:bCs/>
              </w:rPr>
              <w:t>Date</w:t>
            </w:r>
          </w:p>
        </w:tc>
        <w:tc>
          <w:tcPr>
            <w:tcW w:w="4338" w:type="dxa"/>
            <w:shd w:val="clear" w:color="auto" w:fill="D9D9D9" w:themeFill="background1" w:themeFillShade="D9"/>
          </w:tcPr>
          <w:p w14:paraId="326DD7BF" w14:textId="77777777" w:rsidR="00E83CC0" w:rsidRPr="00F8048B" w:rsidRDefault="00E83CC0" w:rsidP="00102140">
            <w:pPr>
              <w:tabs>
                <w:tab w:val="left" w:pos="720"/>
                <w:tab w:val="right" w:leader="dot" w:pos="10246"/>
              </w:tabs>
              <w:rPr>
                <w:b/>
                <w:bCs/>
              </w:rPr>
            </w:pPr>
            <w:r w:rsidRPr="00F8048B">
              <w:rPr>
                <w:b/>
                <w:bCs/>
              </w:rPr>
              <w:t>Approver</w:t>
            </w:r>
          </w:p>
        </w:tc>
      </w:tr>
      <w:tr w:rsidR="00E83CC0" w:rsidRPr="008213E2" w14:paraId="4768BC02" w14:textId="77777777" w:rsidTr="00102140">
        <w:trPr>
          <w:cantSplit/>
          <w:trHeight w:val="583"/>
        </w:trPr>
        <w:tc>
          <w:tcPr>
            <w:tcW w:w="988" w:type="dxa"/>
            <w:shd w:val="clear" w:color="auto" w:fill="auto"/>
            <w:tcMar>
              <w:top w:w="85" w:type="dxa"/>
              <w:bottom w:w="85" w:type="dxa"/>
            </w:tcMar>
          </w:tcPr>
          <w:p w14:paraId="3615F4C8" w14:textId="77777777" w:rsidR="00E83CC0" w:rsidRPr="00E83CC0" w:rsidRDefault="00E83CC0" w:rsidP="00102140">
            <w:pPr>
              <w:tabs>
                <w:tab w:val="left" w:pos="720"/>
                <w:tab w:val="right" w:leader="dot" w:pos="10246"/>
              </w:tabs>
              <w:rPr>
                <w:caps/>
              </w:rPr>
            </w:pPr>
            <w:r w:rsidRPr="00E83CC0">
              <w:t>1.0</w:t>
            </w:r>
          </w:p>
        </w:tc>
        <w:tc>
          <w:tcPr>
            <w:tcW w:w="1701" w:type="dxa"/>
          </w:tcPr>
          <w:p w14:paraId="035C7F57" w14:textId="77777777" w:rsidR="00E83CC0" w:rsidRDefault="00E83CC0" w:rsidP="00102140">
            <w:pPr>
              <w:tabs>
                <w:tab w:val="left" w:pos="720"/>
                <w:tab w:val="right" w:leader="dot" w:pos="10246"/>
              </w:tabs>
              <w:rPr>
                <w:bCs/>
              </w:rPr>
            </w:pPr>
            <w:r>
              <w:rPr>
                <w:bCs/>
              </w:rPr>
              <w:t>Original version</w:t>
            </w:r>
          </w:p>
        </w:tc>
        <w:tc>
          <w:tcPr>
            <w:tcW w:w="1275" w:type="dxa"/>
            <w:shd w:val="clear" w:color="auto" w:fill="auto"/>
            <w:tcMar>
              <w:top w:w="85" w:type="dxa"/>
              <w:bottom w:w="85" w:type="dxa"/>
            </w:tcMar>
          </w:tcPr>
          <w:p w14:paraId="0E8DE88D" w14:textId="77777777" w:rsidR="00E83CC0" w:rsidRPr="00E03790" w:rsidRDefault="00E83CC0" w:rsidP="00102140">
            <w:pPr>
              <w:tabs>
                <w:tab w:val="left" w:pos="720"/>
                <w:tab w:val="right" w:leader="dot" w:pos="10246"/>
              </w:tabs>
              <w:rPr>
                <w:bCs/>
                <w:caps/>
              </w:rPr>
            </w:pPr>
            <w:r>
              <w:rPr>
                <w:bCs/>
              </w:rPr>
              <w:t>December 2015</w:t>
            </w:r>
          </w:p>
        </w:tc>
        <w:tc>
          <w:tcPr>
            <w:tcW w:w="4338" w:type="dxa"/>
          </w:tcPr>
          <w:p w14:paraId="751F28AF" w14:textId="70615FED" w:rsidR="00E83CC0" w:rsidRDefault="00E83CC0" w:rsidP="00102140">
            <w:pPr>
              <w:tabs>
                <w:tab w:val="left" w:pos="720"/>
                <w:tab w:val="right" w:leader="dot" w:pos="10246"/>
              </w:tabs>
              <w:rPr>
                <w:bCs/>
              </w:rPr>
            </w:pPr>
            <w:r>
              <w:rPr>
                <w:bCs/>
              </w:rPr>
              <w:t>Paul Sexton - General Manager</w:t>
            </w:r>
            <w:r w:rsidR="00FB1B2B">
              <w:rPr>
                <w:bCs/>
              </w:rPr>
              <w:t xml:space="preserve"> of the</w:t>
            </w:r>
            <w:r>
              <w:rPr>
                <w:bCs/>
              </w:rPr>
              <w:t xml:space="preserve"> Anti-Dumping Commission</w:t>
            </w:r>
          </w:p>
        </w:tc>
      </w:tr>
      <w:tr w:rsidR="00E83CC0" w:rsidRPr="008213E2" w14:paraId="6A670D2D" w14:textId="77777777" w:rsidTr="00102140">
        <w:trPr>
          <w:cantSplit/>
          <w:trHeight w:val="554"/>
        </w:trPr>
        <w:tc>
          <w:tcPr>
            <w:tcW w:w="988" w:type="dxa"/>
            <w:shd w:val="clear" w:color="auto" w:fill="auto"/>
            <w:tcMar>
              <w:top w:w="85" w:type="dxa"/>
              <w:bottom w:w="85" w:type="dxa"/>
            </w:tcMar>
          </w:tcPr>
          <w:p w14:paraId="18016B13" w14:textId="77777777" w:rsidR="00E83CC0" w:rsidRPr="00E83CC0" w:rsidRDefault="00E83CC0" w:rsidP="00102140">
            <w:pPr>
              <w:tabs>
                <w:tab w:val="left" w:pos="720"/>
                <w:tab w:val="right" w:leader="dot" w:pos="10246"/>
              </w:tabs>
            </w:pPr>
            <w:r w:rsidRPr="00E83CC0">
              <w:t>1.1</w:t>
            </w:r>
          </w:p>
        </w:tc>
        <w:tc>
          <w:tcPr>
            <w:tcW w:w="1701" w:type="dxa"/>
          </w:tcPr>
          <w:p w14:paraId="09758349" w14:textId="77777777" w:rsidR="00E83CC0" w:rsidRPr="00E03790" w:rsidRDefault="00E83CC0" w:rsidP="00102140">
            <w:pPr>
              <w:tabs>
                <w:tab w:val="left" w:pos="720"/>
                <w:tab w:val="right" w:leader="dot" w:pos="10246"/>
              </w:tabs>
              <w:rPr>
                <w:bCs/>
              </w:rPr>
            </w:pPr>
            <w:r>
              <w:rPr>
                <w:bCs/>
              </w:rPr>
              <w:t>Contact details updated</w:t>
            </w:r>
          </w:p>
        </w:tc>
        <w:tc>
          <w:tcPr>
            <w:tcW w:w="1275" w:type="dxa"/>
            <w:shd w:val="clear" w:color="auto" w:fill="auto"/>
            <w:tcMar>
              <w:top w:w="85" w:type="dxa"/>
              <w:bottom w:w="85" w:type="dxa"/>
            </w:tcMar>
          </w:tcPr>
          <w:p w14:paraId="7C3A30A7" w14:textId="77777777" w:rsidR="00E83CC0" w:rsidRPr="008213E2" w:rsidRDefault="00E83CC0" w:rsidP="00102140">
            <w:pPr>
              <w:tabs>
                <w:tab w:val="left" w:pos="720"/>
                <w:tab w:val="right" w:leader="dot" w:pos="10246"/>
              </w:tabs>
              <w:rPr>
                <w:bCs/>
              </w:rPr>
            </w:pPr>
            <w:r w:rsidRPr="00E03790">
              <w:rPr>
                <w:bCs/>
              </w:rPr>
              <w:t>October 2024</w:t>
            </w:r>
          </w:p>
        </w:tc>
        <w:tc>
          <w:tcPr>
            <w:tcW w:w="4338" w:type="dxa"/>
          </w:tcPr>
          <w:p w14:paraId="5F696C27" w14:textId="77777777" w:rsidR="00E83CC0" w:rsidRDefault="00E83CC0" w:rsidP="00102140">
            <w:pPr>
              <w:tabs>
                <w:tab w:val="left" w:pos="720"/>
                <w:tab w:val="right" w:leader="dot" w:pos="10246"/>
              </w:tabs>
              <w:rPr>
                <w:bCs/>
              </w:rPr>
            </w:pPr>
            <w:r>
              <w:rPr>
                <w:bCs/>
              </w:rPr>
              <w:t xml:space="preserve">Isolde </w:t>
            </w:r>
            <w:proofErr w:type="spellStart"/>
            <w:r>
              <w:rPr>
                <w:bCs/>
              </w:rPr>
              <w:t>Lueckenhausen</w:t>
            </w:r>
            <w:proofErr w:type="spellEnd"/>
            <w:r>
              <w:rPr>
                <w:bCs/>
              </w:rPr>
              <w:t xml:space="preserve"> – Acting Commissioner of the Anti-Dumping Commission</w:t>
            </w:r>
          </w:p>
        </w:tc>
      </w:tr>
    </w:tbl>
    <w:p w14:paraId="32F2B29B" w14:textId="77777777" w:rsidR="009918EF" w:rsidRDefault="009918EF" w:rsidP="009918EF"/>
    <w:p w14:paraId="23BAB7B5" w14:textId="77777777" w:rsidR="009C0C39" w:rsidRDefault="009C0C39" w:rsidP="009918EF"/>
    <w:p w14:paraId="4D265499" w14:textId="77777777" w:rsidR="009C0C39" w:rsidRDefault="009C0C39" w:rsidP="009918EF"/>
    <w:p w14:paraId="5288541D" w14:textId="77777777" w:rsidR="009C0C39" w:rsidRDefault="009C0C39" w:rsidP="009918EF">
      <w:pPr>
        <w:sectPr w:rsidR="009C0C39" w:rsidSect="003C796A">
          <w:headerReference w:type="default" r:id="rId9"/>
          <w:footerReference w:type="default" r:id="rId10"/>
          <w:headerReference w:type="first" r:id="rId11"/>
          <w:pgSz w:w="11906" w:h="16838" w:code="9"/>
          <w:pgMar w:top="1440" w:right="1701" w:bottom="1440" w:left="1701" w:header="283" w:footer="709" w:gutter="0"/>
          <w:cols w:space="708"/>
          <w:titlePg/>
          <w:docGrid w:linePitch="360"/>
        </w:sectPr>
      </w:pPr>
    </w:p>
    <w:p w14:paraId="530FB0E7" w14:textId="77777777" w:rsidR="00653652" w:rsidRPr="00D558A3" w:rsidRDefault="00653652" w:rsidP="00653652">
      <w:pPr>
        <w:keepNext/>
        <w:spacing w:before="240" w:after="60"/>
        <w:outlineLvl w:val="0"/>
        <w:rPr>
          <w:rFonts w:cs="Arial"/>
          <w:b/>
          <w:bCs/>
          <w:kern w:val="32"/>
          <w:sz w:val="32"/>
          <w:szCs w:val="32"/>
        </w:rPr>
      </w:pPr>
      <w:r>
        <w:rPr>
          <w:rFonts w:cs="Arial"/>
          <w:b/>
          <w:bCs/>
          <w:kern w:val="32"/>
          <w:sz w:val="32"/>
          <w:szCs w:val="32"/>
        </w:rPr>
        <w:lastRenderedPageBreak/>
        <w:t>P</w:t>
      </w:r>
      <w:r w:rsidRPr="00D558A3">
        <w:rPr>
          <w:rFonts w:cs="Arial"/>
          <w:b/>
          <w:bCs/>
          <w:kern w:val="32"/>
          <w:sz w:val="32"/>
          <w:szCs w:val="32"/>
        </w:rPr>
        <w:t>re-lodgement – documentation check</w:t>
      </w:r>
    </w:p>
    <w:p w14:paraId="1C027BFD" w14:textId="77777777" w:rsidR="00653652" w:rsidRPr="00D558A3" w:rsidRDefault="00653652" w:rsidP="00653652">
      <w:pPr>
        <w:keepNext/>
        <w:spacing w:before="240" w:after="60"/>
        <w:outlineLvl w:val="2"/>
        <w:rPr>
          <w:rFonts w:cs="Arial"/>
          <w:b/>
          <w:bCs/>
          <w:sz w:val="26"/>
          <w:szCs w:val="26"/>
        </w:rPr>
      </w:pPr>
      <w:r w:rsidRPr="00D558A3">
        <w:rPr>
          <w:rFonts w:cs="Arial"/>
          <w:b/>
          <w:bCs/>
          <w:sz w:val="26"/>
          <w:szCs w:val="26"/>
        </w:rPr>
        <w:t>1. Purpose of guidelines</w:t>
      </w:r>
    </w:p>
    <w:p w14:paraId="265B6C3B" w14:textId="77777777" w:rsidR="00653652" w:rsidRPr="00D558A3" w:rsidRDefault="00653652" w:rsidP="00653652">
      <w:pPr>
        <w:spacing w:before="0" w:after="0"/>
        <w:rPr>
          <w:rFonts w:ascii="Times New Roman" w:hAnsi="Times New Roman"/>
          <w:sz w:val="24"/>
        </w:rPr>
      </w:pPr>
    </w:p>
    <w:p w14:paraId="1C53ECAD"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This paper describes the principles and procedures for the pre-lodgement documentation check of a draft application for dumping and/or countervailing duties.</w:t>
      </w:r>
    </w:p>
    <w:p w14:paraId="5AAB6923" w14:textId="77777777" w:rsidR="00653652" w:rsidRPr="00D558A3" w:rsidRDefault="00653652" w:rsidP="00653652">
      <w:pPr>
        <w:spacing w:before="0" w:after="0"/>
        <w:rPr>
          <w:rFonts w:ascii="Times New Roman" w:hAnsi="Times New Roman"/>
          <w:sz w:val="24"/>
        </w:rPr>
      </w:pPr>
    </w:p>
    <w:p w14:paraId="7CED37B5"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The pre-lodgement documentation check is a service p</w:t>
      </w:r>
      <w:r w:rsidR="001B5514">
        <w:rPr>
          <w:rFonts w:ascii="Times New Roman" w:hAnsi="Times New Roman"/>
          <w:sz w:val="24"/>
        </w:rPr>
        <w:t>rovided by the Anti-Dumping Commission</w:t>
      </w:r>
      <w:r w:rsidRPr="00D558A3">
        <w:rPr>
          <w:rFonts w:ascii="Times New Roman" w:hAnsi="Times New Roman"/>
          <w:sz w:val="24"/>
        </w:rPr>
        <w:t xml:space="preserve"> to advise applicants about the documentary completeness of an application before it is formally lodged in accordance with s. 269</w:t>
      </w:r>
      <w:proofErr w:type="gramStart"/>
      <w:r w:rsidRPr="00D558A3">
        <w:rPr>
          <w:rFonts w:ascii="Times New Roman" w:hAnsi="Times New Roman"/>
          <w:sz w:val="24"/>
        </w:rPr>
        <w:t>TB(</w:t>
      </w:r>
      <w:proofErr w:type="gramEnd"/>
      <w:r w:rsidRPr="00D558A3">
        <w:rPr>
          <w:rFonts w:ascii="Times New Roman" w:hAnsi="Times New Roman"/>
          <w:sz w:val="24"/>
        </w:rPr>
        <w:t xml:space="preserve">1) of the </w:t>
      </w:r>
      <w:r w:rsidRPr="00D558A3">
        <w:rPr>
          <w:rFonts w:ascii="Times New Roman" w:hAnsi="Times New Roman"/>
          <w:i/>
          <w:iCs/>
          <w:sz w:val="24"/>
        </w:rPr>
        <w:t xml:space="preserve">Customs Act 1901 </w:t>
      </w:r>
      <w:r w:rsidRPr="00D558A3">
        <w:rPr>
          <w:rFonts w:ascii="Times New Roman" w:hAnsi="Times New Roman"/>
          <w:sz w:val="24"/>
        </w:rPr>
        <w:t xml:space="preserve">(the Act).  </w:t>
      </w:r>
    </w:p>
    <w:p w14:paraId="337F0C59" w14:textId="77777777" w:rsidR="00653652" w:rsidRPr="00D558A3" w:rsidRDefault="00653652" w:rsidP="00653652">
      <w:pPr>
        <w:spacing w:before="0" w:after="0"/>
        <w:rPr>
          <w:rFonts w:ascii="Times New Roman" w:hAnsi="Times New Roman"/>
          <w:sz w:val="24"/>
        </w:rPr>
      </w:pPr>
    </w:p>
    <w:p w14:paraId="2C0973E5"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 xml:space="preserve">The pre-lodgement documentation check aims to assist potential applicants by minimising requests by </w:t>
      </w:r>
      <w:r w:rsidR="001B5514">
        <w:rPr>
          <w:rFonts w:ascii="Times New Roman" w:hAnsi="Times New Roman"/>
          <w:sz w:val="24"/>
        </w:rPr>
        <w:t>Anti-Dumping Commission</w:t>
      </w:r>
      <w:r w:rsidRPr="00D558A3">
        <w:rPr>
          <w:rFonts w:ascii="Times New Roman" w:hAnsi="Times New Roman"/>
          <w:sz w:val="24"/>
        </w:rPr>
        <w:t xml:space="preserve"> for further information once an application is formally lodged.  The documentation check also aims to reduce the potential for a formally lodged application to be rejected on the grounds that the information necessary for the assessment of the merits of an application is missing, inconsistent or unclear.</w:t>
      </w:r>
    </w:p>
    <w:p w14:paraId="01AFEF90" w14:textId="77777777" w:rsidR="00653652" w:rsidRPr="00D558A3" w:rsidRDefault="00653652" w:rsidP="00653652">
      <w:pPr>
        <w:spacing w:before="0" w:after="0"/>
        <w:rPr>
          <w:rFonts w:ascii="Times New Roman" w:hAnsi="Times New Roman"/>
          <w:sz w:val="24"/>
        </w:rPr>
      </w:pPr>
    </w:p>
    <w:p w14:paraId="558612D8"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While these guidelines are written</w:t>
      </w:r>
      <w:r w:rsidR="001B5514">
        <w:rPr>
          <w:rFonts w:ascii="Times New Roman" w:hAnsi="Times New Roman"/>
          <w:sz w:val="24"/>
        </w:rPr>
        <w:t xml:space="preserve"> to assist Anti-Dumping Commission</w:t>
      </w:r>
      <w:r w:rsidRPr="00D558A3">
        <w:rPr>
          <w:rFonts w:ascii="Times New Roman" w:hAnsi="Times New Roman"/>
          <w:sz w:val="24"/>
        </w:rPr>
        <w:t xml:space="preserve"> officers involved in a pre-lodgement documentation check of a draft application, they also inform applicants about the pre-lodgement documentation check processes.</w:t>
      </w:r>
    </w:p>
    <w:p w14:paraId="138DD6C5" w14:textId="77777777" w:rsidR="00653652" w:rsidRPr="00D558A3" w:rsidRDefault="00653652" w:rsidP="00653652">
      <w:pPr>
        <w:keepNext/>
        <w:spacing w:before="240" w:after="60"/>
        <w:outlineLvl w:val="2"/>
        <w:rPr>
          <w:rFonts w:cs="Arial"/>
          <w:b/>
          <w:bCs/>
          <w:sz w:val="26"/>
          <w:szCs w:val="26"/>
        </w:rPr>
      </w:pPr>
      <w:r w:rsidRPr="00D558A3">
        <w:rPr>
          <w:rFonts w:cs="Arial"/>
          <w:b/>
          <w:bCs/>
          <w:sz w:val="26"/>
          <w:szCs w:val="26"/>
        </w:rPr>
        <w:t xml:space="preserve">2. Information needed </w:t>
      </w:r>
    </w:p>
    <w:p w14:paraId="4374F611" w14:textId="77777777" w:rsidR="00653652" w:rsidRPr="00D558A3" w:rsidRDefault="00653652" w:rsidP="00653652">
      <w:pPr>
        <w:spacing w:before="0" w:after="0"/>
        <w:rPr>
          <w:rFonts w:ascii="Times New Roman" w:hAnsi="Times New Roman"/>
          <w:sz w:val="24"/>
        </w:rPr>
      </w:pPr>
    </w:p>
    <w:p w14:paraId="7910D459"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Australian legislation and the World Trade Organization agreements relating to anti</w:t>
      </w:r>
      <w:r w:rsidRPr="00D558A3">
        <w:rPr>
          <w:rFonts w:ascii="Times New Roman" w:hAnsi="Times New Roman"/>
          <w:sz w:val="24"/>
        </w:rPr>
        <w:noBreakHyphen/>
        <w:t>dumping and countervailing duties require the submission of a significant amount of information in a formally lodged application.  The information is needed to sati</w:t>
      </w:r>
      <w:r w:rsidR="001B5514">
        <w:rPr>
          <w:rFonts w:ascii="Times New Roman" w:hAnsi="Times New Roman"/>
          <w:sz w:val="24"/>
        </w:rPr>
        <w:t xml:space="preserve">sfy the Commissioner </w:t>
      </w:r>
      <w:r w:rsidRPr="00D558A3">
        <w:rPr>
          <w:rFonts w:ascii="Times New Roman" w:hAnsi="Times New Roman"/>
          <w:sz w:val="24"/>
        </w:rPr>
        <w:t xml:space="preserve">of </w:t>
      </w:r>
      <w:r w:rsidR="001B5514">
        <w:rPr>
          <w:rFonts w:ascii="Times New Roman" w:hAnsi="Times New Roman"/>
          <w:sz w:val="24"/>
        </w:rPr>
        <w:t>Anti-Dumping Commission</w:t>
      </w:r>
      <w:r w:rsidRPr="00D558A3">
        <w:rPr>
          <w:rFonts w:ascii="Times New Roman" w:hAnsi="Times New Roman"/>
          <w:sz w:val="24"/>
        </w:rPr>
        <w:t xml:space="preserve"> that:</w:t>
      </w:r>
    </w:p>
    <w:p w14:paraId="15AF42EF" w14:textId="77777777" w:rsidR="00653652" w:rsidRPr="00D558A3" w:rsidRDefault="00653652" w:rsidP="00653652">
      <w:pPr>
        <w:numPr>
          <w:ilvl w:val="0"/>
          <w:numId w:val="32"/>
        </w:numPr>
        <w:spacing w:before="0" w:after="0"/>
        <w:rPr>
          <w:rFonts w:ascii="Times New Roman" w:hAnsi="Times New Roman"/>
          <w:sz w:val="24"/>
        </w:rPr>
      </w:pPr>
      <w:r w:rsidRPr="00D558A3">
        <w:rPr>
          <w:rFonts w:ascii="Times New Roman" w:hAnsi="Times New Roman"/>
          <w:sz w:val="24"/>
        </w:rPr>
        <w:t>the application complies with subsection 269</w:t>
      </w:r>
      <w:proofErr w:type="gramStart"/>
      <w:r w:rsidRPr="00D558A3">
        <w:rPr>
          <w:rFonts w:ascii="Times New Roman" w:hAnsi="Times New Roman"/>
          <w:sz w:val="24"/>
        </w:rPr>
        <w:t>TB(</w:t>
      </w:r>
      <w:proofErr w:type="gramEnd"/>
      <w:r w:rsidRPr="00D558A3">
        <w:rPr>
          <w:rFonts w:ascii="Times New Roman" w:hAnsi="Times New Roman"/>
          <w:sz w:val="24"/>
        </w:rPr>
        <w:t xml:space="preserve">4); </w:t>
      </w:r>
    </w:p>
    <w:p w14:paraId="7FA7942D" w14:textId="77777777" w:rsidR="00653652" w:rsidRPr="00D558A3" w:rsidRDefault="00653652" w:rsidP="00653652">
      <w:pPr>
        <w:numPr>
          <w:ilvl w:val="0"/>
          <w:numId w:val="32"/>
        </w:numPr>
        <w:spacing w:before="0" w:after="0"/>
        <w:rPr>
          <w:rFonts w:ascii="Times New Roman" w:hAnsi="Times New Roman"/>
          <w:sz w:val="24"/>
        </w:rPr>
      </w:pPr>
      <w:r w:rsidRPr="00D558A3">
        <w:rPr>
          <w:rFonts w:ascii="Times New Roman" w:hAnsi="Times New Roman"/>
          <w:sz w:val="24"/>
        </w:rPr>
        <w:t xml:space="preserve">there is, or is likely to be established an Australian industry in respect of the </w:t>
      </w:r>
      <w:proofErr w:type="gramStart"/>
      <w:r w:rsidRPr="00D558A3">
        <w:rPr>
          <w:rFonts w:ascii="Times New Roman" w:hAnsi="Times New Roman"/>
          <w:sz w:val="24"/>
        </w:rPr>
        <w:t>goods;</w:t>
      </w:r>
      <w:proofErr w:type="gramEnd"/>
      <w:r w:rsidRPr="00D558A3">
        <w:rPr>
          <w:rFonts w:ascii="Times New Roman" w:hAnsi="Times New Roman"/>
          <w:sz w:val="24"/>
        </w:rPr>
        <w:t xml:space="preserve"> </w:t>
      </w:r>
    </w:p>
    <w:p w14:paraId="5AEC7BE1" w14:textId="77777777" w:rsidR="00653652" w:rsidRPr="00D558A3" w:rsidRDefault="00653652" w:rsidP="00653652">
      <w:pPr>
        <w:numPr>
          <w:ilvl w:val="0"/>
          <w:numId w:val="32"/>
        </w:numPr>
        <w:spacing w:before="0" w:after="0"/>
        <w:rPr>
          <w:rFonts w:ascii="Times New Roman" w:hAnsi="Times New Roman"/>
          <w:sz w:val="24"/>
        </w:rPr>
      </w:pPr>
      <w:r w:rsidRPr="00D558A3">
        <w:rPr>
          <w:rFonts w:ascii="Times New Roman" w:hAnsi="Times New Roman"/>
          <w:sz w:val="24"/>
        </w:rPr>
        <w:t>there appear to be reasonable grounds for the publication of a dumping and/or countervailing duty notice, within the terms set out in s. 269TC(1)(c).</w:t>
      </w:r>
    </w:p>
    <w:p w14:paraId="3D59588E"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‘Reasonable grounds’ is a reference to evidence of:</w:t>
      </w:r>
    </w:p>
    <w:p w14:paraId="27A7160E" w14:textId="77777777" w:rsidR="00653652" w:rsidRPr="00D558A3" w:rsidRDefault="00653652" w:rsidP="00653652">
      <w:pPr>
        <w:numPr>
          <w:ilvl w:val="1"/>
          <w:numId w:val="32"/>
        </w:numPr>
        <w:spacing w:before="0" w:after="0"/>
        <w:rPr>
          <w:rFonts w:ascii="Times New Roman" w:hAnsi="Times New Roman"/>
          <w:sz w:val="24"/>
        </w:rPr>
      </w:pPr>
      <w:r w:rsidRPr="00D558A3">
        <w:rPr>
          <w:rFonts w:ascii="Times New Roman" w:hAnsi="Times New Roman"/>
          <w:sz w:val="24"/>
        </w:rPr>
        <w:t>dumping and/or subsidisation; and</w:t>
      </w:r>
    </w:p>
    <w:p w14:paraId="5005E217" w14:textId="77777777" w:rsidR="00653652" w:rsidRPr="00D558A3" w:rsidRDefault="00653652" w:rsidP="00653652">
      <w:pPr>
        <w:numPr>
          <w:ilvl w:val="1"/>
          <w:numId w:val="32"/>
        </w:numPr>
        <w:spacing w:before="0" w:after="0"/>
        <w:rPr>
          <w:rFonts w:ascii="Times New Roman" w:hAnsi="Times New Roman"/>
          <w:sz w:val="24"/>
        </w:rPr>
      </w:pPr>
      <w:r w:rsidRPr="00D558A3">
        <w:rPr>
          <w:rFonts w:ascii="Times New Roman" w:hAnsi="Times New Roman"/>
          <w:sz w:val="24"/>
        </w:rPr>
        <w:t xml:space="preserve">injury to an Australian industry </w:t>
      </w:r>
      <w:r w:rsidRPr="00D558A3">
        <w:rPr>
          <w:rFonts w:ascii="Times New Roman" w:hAnsi="Times New Roman"/>
          <w:sz w:val="24"/>
          <w:u w:val="single"/>
        </w:rPr>
        <w:t>caused or threatened by the dumping and/or subsidisation</w:t>
      </w:r>
      <w:r w:rsidRPr="00D558A3">
        <w:rPr>
          <w:rFonts w:ascii="Times New Roman" w:hAnsi="Times New Roman"/>
          <w:sz w:val="24"/>
        </w:rPr>
        <w:t>.</w:t>
      </w:r>
    </w:p>
    <w:p w14:paraId="0CBF5F61" w14:textId="77777777" w:rsidR="00653652" w:rsidRPr="00D558A3" w:rsidRDefault="00653652" w:rsidP="00653652">
      <w:pPr>
        <w:spacing w:before="0" w:after="0"/>
        <w:rPr>
          <w:rFonts w:ascii="Times New Roman" w:hAnsi="Times New Roman"/>
          <w:sz w:val="24"/>
        </w:rPr>
      </w:pPr>
    </w:p>
    <w:p w14:paraId="24BAC99B"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 xml:space="preserve">However, </w:t>
      </w:r>
      <w:r w:rsidR="001B5514">
        <w:rPr>
          <w:rFonts w:ascii="Times New Roman" w:hAnsi="Times New Roman"/>
          <w:sz w:val="24"/>
        </w:rPr>
        <w:t>Anti-Dumping Commission</w:t>
      </w:r>
      <w:r w:rsidRPr="00D558A3">
        <w:rPr>
          <w:rFonts w:ascii="Times New Roman" w:hAnsi="Times New Roman"/>
          <w:sz w:val="24"/>
        </w:rPr>
        <w:t xml:space="preserve"> is not required to have before it </w:t>
      </w:r>
      <w:proofErr w:type="gramStart"/>
      <w:r w:rsidRPr="00D558A3">
        <w:rPr>
          <w:rFonts w:ascii="Times New Roman" w:hAnsi="Times New Roman"/>
          <w:sz w:val="24"/>
        </w:rPr>
        <w:t>evidence</w:t>
      </w:r>
      <w:proofErr w:type="gramEnd"/>
      <w:r w:rsidRPr="00D558A3">
        <w:rPr>
          <w:rFonts w:ascii="Times New Roman" w:hAnsi="Times New Roman"/>
          <w:sz w:val="24"/>
        </w:rPr>
        <w:t xml:space="preserve"> of the quality and kind necessary to support a preliminary or final determination.  </w:t>
      </w:r>
    </w:p>
    <w:p w14:paraId="2CD51015" w14:textId="77777777" w:rsidR="00653652" w:rsidRPr="00D558A3" w:rsidRDefault="00653652" w:rsidP="00653652">
      <w:pPr>
        <w:keepNext/>
        <w:spacing w:before="240" w:after="60"/>
        <w:outlineLvl w:val="2"/>
        <w:rPr>
          <w:rFonts w:cs="Arial"/>
          <w:b/>
          <w:bCs/>
          <w:sz w:val="26"/>
          <w:szCs w:val="26"/>
        </w:rPr>
      </w:pPr>
      <w:r w:rsidRPr="00D558A3">
        <w:rPr>
          <w:rFonts w:cs="Arial"/>
          <w:b/>
          <w:bCs/>
          <w:sz w:val="26"/>
          <w:szCs w:val="26"/>
        </w:rPr>
        <w:br w:type="page"/>
      </w:r>
      <w:r w:rsidRPr="00D558A3">
        <w:rPr>
          <w:rFonts w:cs="Arial"/>
          <w:b/>
          <w:bCs/>
          <w:sz w:val="26"/>
          <w:szCs w:val="26"/>
        </w:rPr>
        <w:lastRenderedPageBreak/>
        <w:t>3. Assessment of a draft application</w:t>
      </w:r>
    </w:p>
    <w:p w14:paraId="04D6C821" w14:textId="77777777" w:rsidR="00653652" w:rsidRPr="00D558A3" w:rsidRDefault="00653652" w:rsidP="00653652">
      <w:pPr>
        <w:spacing w:before="0" w:after="0"/>
        <w:rPr>
          <w:rFonts w:ascii="Times New Roman" w:hAnsi="Times New Roman"/>
          <w:sz w:val="24"/>
        </w:rPr>
      </w:pPr>
    </w:p>
    <w:p w14:paraId="3EC84CF1"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 xml:space="preserve">A draft application can be assessed by </w:t>
      </w:r>
      <w:r w:rsidR="001B5514">
        <w:rPr>
          <w:rFonts w:ascii="Times New Roman" w:hAnsi="Times New Roman"/>
          <w:sz w:val="24"/>
        </w:rPr>
        <w:t>the Anti-Dumping Commission</w:t>
      </w:r>
      <w:r w:rsidRPr="00D558A3">
        <w:rPr>
          <w:rFonts w:ascii="Times New Roman" w:hAnsi="Times New Roman"/>
          <w:sz w:val="24"/>
        </w:rPr>
        <w:t xml:space="preserve"> for</w:t>
      </w:r>
      <w:r w:rsidR="001B5514">
        <w:rPr>
          <w:rFonts w:ascii="Times New Roman" w:hAnsi="Times New Roman"/>
          <w:sz w:val="24"/>
        </w:rPr>
        <w:t xml:space="preserve"> its documentary completeness. </w:t>
      </w:r>
      <w:r w:rsidRPr="00D558A3">
        <w:rPr>
          <w:rFonts w:ascii="Times New Roman" w:hAnsi="Times New Roman"/>
          <w:sz w:val="24"/>
        </w:rPr>
        <w:t>This is known as a pre-lodgement documentation check.</w:t>
      </w:r>
    </w:p>
    <w:p w14:paraId="253C80CF" w14:textId="77777777" w:rsidR="00653652" w:rsidRPr="00D558A3" w:rsidRDefault="00653652" w:rsidP="00653652">
      <w:pPr>
        <w:spacing w:before="0" w:after="0"/>
        <w:rPr>
          <w:rFonts w:ascii="Times New Roman" w:hAnsi="Times New Roman"/>
          <w:sz w:val="24"/>
        </w:rPr>
      </w:pPr>
    </w:p>
    <w:p w14:paraId="1D265513" w14:textId="77777777" w:rsidR="00653652" w:rsidRDefault="001B5514" w:rsidP="00653652">
      <w:pPr>
        <w:spacing w:before="0" w:after="0"/>
        <w:rPr>
          <w:rFonts w:ascii="Times New Roman" w:hAnsi="Times New Roman"/>
          <w:sz w:val="24"/>
        </w:rPr>
      </w:pPr>
      <w:r>
        <w:rPr>
          <w:rFonts w:ascii="Times New Roman" w:hAnsi="Times New Roman"/>
          <w:sz w:val="24"/>
        </w:rPr>
        <w:t>The Anti-Dumping Commission</w:t>
      </w:r>
      <w:r w:rsidR="00653652" w:rsidRPr="00D558A3">
        <w:rPr>
          <w:rFonts w:ascii="Times New Roman" w:hAnsi="Times New Roman"/>
          <w:sz w:val="24"/>
        </w:rPr>
        <w:t xml:space="preserve"> cannot consider whether a formally lodged application has established ‘reasonable grounds’ unless there is sufficient information to do so.  Where information is incomplete, </w:t>
      </w:r>
      <w:proofErr w:type="gramStart"/>
      <w:r w:rsidR="00653652" w:rsidRPr="00D558A3">
        <w:rPr>
          <w:rFonts w:ascii="Times New Roman" w:hAnsi="Times New Roman"/>
          <w:sz w:val="24"/>
        </w:rPr>
        <w:t>unclear</w:t>
      </w:r>
      <w:proofErr w:type="gramEnd"/>
      <w:r w:rsidR="00653652" w:rsidRPr="00D558A3">
        <w:rPr>
          <w:rFonts w:ascii="Times New Roman" w:hAnsi="Times New Roman"/>
          <w:sz w:val="24"/>
        </w:rPr>
        <w:t xml:space="preserve"> or inconsistent it creates doubt about whether reasonable grounds exist.  To assist applicants with meeting information requirements, </w:t>
      </w:r>
      <w:r>
        <w:rPr>
          <w:rFonts w:ascii="Times New Roman" w:hAnsi="Times New Roman"/>
          <w:sz w:val="24"/>
        </w:rPr>
        <w:t>the Anti-Dumping Commission</w:t>
      </w:r>
      <w:r w:rsidR="00653652" w:rsidRPr="00D558A3">
        <w:rPr>
          <w:rFonts w:ascii="Times New Roman" w:hAnsi="Times New Roman"/>
          <w:sz w:val="24"/>
        </w:rPr>
        <w:t xml:space="preserve"> has staff available on request to check a draft of an application for documentary completeness.  </w:t>
      </w:r>
    </w:p>
    <w:p w14:paraId="629A8581" w14:textId="77777777" w:rsidR="001B5514" w:rsidRPr="00D558A3" w:rsidRDefault="001B5514" w:rsidP="00653652">
      <w:pPr>
        <w:spacing w:before="0" w:after="0"/>
        <w:rPr>
          <w:rFonts w:ascii="Times New Roman" w:hAnsi="Times New Roman"/>
          <w:sz w:val="24"/>
        </w:rPr>
      </w:pPr>
    </w:p>
    <w:p w14:paraId="5D008A44"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 xml:space="preserve">Following the pre-lodgement documentation check, </w:t>
      </w:r>
      <w:r w:rsidR="001B5514">
        <w:rPr>
          <w:rFonts w:ascii="Times New Roman" w:hAnsi="Times New Roman"/>
          <w:sz w:val="24"/>
        </w:rPr>
        <w:t>the Anti-Dumping Commission</w:t>
      </w:r>
      <w:r w:rsidRPr="00D558A3">
        <w:rPr>
          <w:rFonts w:ascii="Times New Roman" w:hAnsi="Times New Roman"/>
          <w:sz w:val="24"/>
        </w:rPr>
        <w:t xml:space="preserve"> will offer suggestions to an applicant about whether the standard of information provided could be improved so that when a formal application is lodged any requests for additional information are minimised.</w:t>
      </w:r>
    </w:p>
    <w:p w14:paraId="78C53BD3" w14:textId="77777777" w:rsidR="00653652" w:rsidRPr="00D558A3" w:rsidRDefault="00653652" w:rsidP="00653652">
      <w:pPr>
        <w:spacing w:before="0" w:after="0"/>
        <w:rPr>
          <w:rFonts w:ascii="Times New Roman" w:hAnsi="Times New Roman"/>
          <w:sz w:val="24"/>
        </w:rPr>
      </w:pPr>
    </w:p>
    <w:p w14:paraId="419507C9"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This paper contains the principles and procedures for the pre-lodgement documentation check of a draft application.  This stage is voluntary.  There is no requirement for an applicant to submit a draft prior to formal lodgement.</w:t>
      </w:r>
    </w:p>
    <w:p w14:paraId="0D5886DC" w14:textId="77777777" w:rsidR="00653652" w:rsidRPr="00D558A3" w:rsidRDefault="00653652" w:rsidP="00653652">
      <w:pPr>
        <w:spacing w:before="0" w:after="0"/>
        <w:rPr>
          <w:rFonts w:ascii="Times New Roman" w:hAnsi="Times New Roman"/>
          <w:sz w:val="24"/>
        </w:rPr>
      </w:pPr>
    </w:p>
    <w:p w14:paraId="183A5B6C"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 xml:space="preserve">Once an application is formally lodged, </w:t>
      </w:r>
      <w:r w:rsidR="001B5514">
        <w:rPr>
          <w:rFonts w:ascii="Times New Roman" w:hAnsi="Times New Roman"/>
          <w:sz w:val="24"/>
        </w:rPr>
        <w:t>the Anti-Dumping Commission</w:t>
      </w:r>
      <w:r w:rsidRPr="00D558A3">
        <w:rPr>
          <w:rFonts w:ascii="Times New Roman" w:hAnsi="Times New Roman"/>
          <w:sz w:val="24"/>
        </w:rPr>
        <w:t xml:space="preserve"> will assess the merits of the application in accordance with s. 269</w:t>
      </w:r>
      <w:proofErr w:type="gramStart"/>
      <w:r w:rsidRPr="00D558A3">
        <w:rPr>
          <w:rFonts w:ascii="Times New Roman" w:hAnsi="Times New Roman"/>
          <w:sz w:val="24"/>
        </w:rPr>
        <w:t>TC(</w:t>
      </w:r>
      <w:proofErr w:type="gramEnd"/>
      <w:r w:rsidRPr="00D558A3">
        <w:rPr>
          <w:rFonts w:ascii="Times New Roman" w:hAnsi="Times New Roman"/>
          <w:sz w:val="24"/>
        </w:rPr>
        <w:t>1) of the Act.</w:t>
      </w:r>
    </w:p>
    <w:p w14:paraId="11D20C3D" w14:textId="77777777" w:rsidR="00653652" w:rsidRPr="00D558A3" w:rsidRDefault="00653652" w:rsidP="00653652">
      <w:pPr>
        <w:keepNext/>
        <w:spacing w:before="240" w:after="60"/>
        <w:outlineLvl w:val="2"/>
        <w:rPr>
          <w:rFonts w:cs="Arial"/>
          <w:b/>
          <w:bCs/>
          <w:sz w:val="26"/>
          <w:szCs w:val="26"/>
        </w:rPr>
      </w:pPr>
      <w:r w:rsidRPr="00D558A3">
        <w:rPr>
          <w:rFonts w:cs="Arial"/>
          <w:b/>
          <w:bCs/>
          <w:sz w:val="26"/>
          <w:szCs w:val="26"/>
        </w:rPr>
        <w:t>4. Principles (documentation check)</w:t>
      </w:r>
    </w:p>
    <w:p w14:paraId="422C3702" w14:textId="77777777" w:rsidR="00653652" w:rsidRPr="00D558A3" w:rsidRDefault="00653652" w:rsidP="00653652">
      <w:pPr>
        <w:spacing w:before="0" w:after="0"/>
        <w:rPr>
          <w:rFonts w:ascii="Times New Roman" w:hAnsi="Times New Roman"/>
          <w:sz w:val="24"/>
          <w:u w:val="single"/>
        </w:rPr>
      </w:pPr>
    </w:p>
    <w:p w14:paraId="35472011"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u w:val="single"/>
        </w:rPr>
        <w:t>Principle 1</w:t>
      </w:r>
      <w:r w:rsidRPr="00D558A3">
        <w:rPr>
          <w:rFonts w:ascii="Times New Roman" w:hAnsi="Times New Roman"/>
          <w:sz w:val="24"/>
        </w:rPr>
        <w:t xml:space="preserve">:  </w:t>
      </w:r>
      <w:r w:rsidR="001B5514">
        <w:rPr>
          <w:rFonts w:ascii="Times New Roman" w:hAnsi="Times New Roman"/>
          <w:sz w:val="24"/>
        </w:rPr>
        <w:t>The Anti-Dumping Commission</w:t>
      </w:r>
      <w:r w:rsidRPr="00D558A3">
        <w:rPr>
          <w:rFonts w:ascii="Times New Roman" w:hAnsi="Times New Roman"/>
          <w:sz w:val="24"/>
        </w:rPr>
        <w:t xml:space="preserve"> cannot supply information to make or support an application on behalf of an Australian industry. </w:t>
      </w:r>
    </w:p>
    <w:p w14:paraId="04A60BF0" w14:textId="77777777" w:rsidR="00653652" w:rsidRPr="00D558A3" w:rsidRDefault="001B5514" w:rsidP="00653652">
      <w:pPr>
        <w:numPr>
          <w:ilvl w:val="0"/>
          <w:numId w:val="34"/>
        </w:numPr>
        <w:spacing w:before="0" w:after="0"/>
        <w:rPr>
          <w:rFonts w:ascii="Times New Roman" w:hAnsi="Times New Roman"/>
          <w:sz w:val="24"/>
        </w:rPr>
      </w:pPr>
      <w:r>
        <w:rPr>
          <w:rFonts w:ascii="Times New Roman" w:hAnsi="Times New Roman"/>
          <w:sz w:val="24"/>
        </w:rPr>
        <w:t>Anti-Dumping Commission</w:t>
      </w:r>
      <w:r w:rsidR="00653652" w:rsidRPr="00D558A3">
        <w:rPr>
          <w:rFonts w:ascii="Times New Roman" w:hAnsi="Times New Roman"/>
          <w:sz w:val="24"/>
        </w:rPr>
        <w:t xml:space="preserve">’s assistance, in the form of a pre-lodgement documentation check, will be in response to material prepared by a potential applicant.  </w:t>
      </w:r>
    </w:p>
    <w:p w14:paraId="7124AEE8" w14:textId="77777777" w:rsidR="00653652" w:rsidRPr="00D558A3" w:rsidRDefault="001B5514" w:rsidP="00653652">
      <w:pPr>
        <w:numPr>
          <w:ilvl w:val="0"/>
          <w:numId w:val="34"/>
        </w:numPr>
        <w:spacing w:before="0" w:after="0"/>
        <w:rPr>
          <w:rFonts w:ascii="Times New Roman" w:hAnsi="Times New Roman"/>
          <w:sz w:val="24"/>
        </w:rPr>
      </w:pPr>
      <w:r>
        <w:rPr>
          <w:rFonts w:ascii="Times New Roman" w:hAnsi="Times New Roman"/>
          <w:sz w:val="24"/>
        </w:rPr>
        <w:t>Anti-Dumping Commission</w:t>
      </w:r>
      <w:r w:rsidR="00653652" w:rsidRPr="00D558A3">
        <w:rPr>
          <w:rFonts w:ascii="Times New Roman" w:hAnsi="Times New Roman"/>
          <w:sz w:val="24"/>
        </w:rPr>
        <w:t>’s response to the submission of a draft may include suggestions about how an application may be improved, including potential information sources.</w:t>
      </w:r>
    </w:p>
    <w:p w14:paraId="2756E761" w14:textId="77777777" w:rsidR="00653652" w:rsidRPr="00D558A3" w:rsidRDefault="00653652" w:rsidP="00653652">
      <w:pPr>
        <w:spacing w:before="0" w:after="0"/>
        <w:rPr>
          <w:rFonts w:ascii="Times New Roman" w:hAnsi="Times New Roman"/>
          <w:sz w:val="24"/>
        </w:rPr>
      </w:pPr>
    </w:p>
    <w:p w14:paraId="4BF739B2"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u w:val="single"/>
        </w:rPr>
        <w:t>Principle 2</w:t>
      </w:r>
      <w:r w:rsidRPr="00D558A3">
        <w:rPr>
          <w:rFonts w:ascii="Times New Roman" w:hAnsi="Times New Roman"/>
          <w:sz w:val="24"/>
        </w:rPr>
        <w:t>:  The pre-lodgement documentation check is informal.</w:t>
      </w:r>
    </w:p>
    <w:p w14:paraId="666D4A1D" w14:textId="77777777" w:rsidR="00653652" w:rsidRPr="00D558A3" w:rsidRDefault="00653652" w:rsidP="00653652">
      <w:pPr>
        <w:numPr>
          <w:ilvl w:val="0"/>
          <w:numId w:val="33"/>
        </w:numPr>
        <w:spacing w:before="0" w:after="0"/>
        <w:rPr>
          <w:rFonts w:ascii="Times New Roman" w:hAnsi="Times New Roman"/>
          <w:sz w:val="24"/>
        </w:rPr>
      </w:pPr>
      <w:r w:rsidRPr="00D558A3">
        <w:rPr>
          <w:rFonts w:ascii="Times New Roman" w:hAnsi="Times New Roman"/>
          <w:sz w:val="24"/>
        </w:rPr>
        <w:t xml:space="preserve">For clarity and transparency purposes, responses by </w:t>
      </w:r>
      <w:r w:rsidR="001B5514">
        <w:rPr>
          <w:rFonts w:ascii="Times New Roman" w:hAnsi="Times New Roman"/>
          <w:sz w:val="24"/>
        </w:rPr>
        <w:t>the Anti-Dumping Commission</w:t>
      </w:r>
      <w:r w:rsidRPr="00D558A3">
        <w:rPr>
          <w:rFonts w:ascii="Times New Roman" w:hAnsi="Times New Roman"/>
          <w:sz w:val="24"/>
        </w:rPr>
        <w:t xml:space="preserve"> will be documented and recorded.  </w:t>
      </w:r>
      <w:r w:rsidRPr="00D558A3">
        <w:rPr>
          <w:rFonts w:ascii="Times New Roman" w:hAnsi="Times New Roman"/>
          <w:b/>
          <w:sz w:val="24"/>
        </w:rPr>
        <w:t xml:space="preserve">Attachment </w:t>
      </w:r>
      <w:r w:rsidR="001B5514">
        <w:rPr>
          <w:rFonts w:ascii="Times New Roman" w:hAnsi="Times New Roman"/>
          <w:b/>
          <w:sz w:val="24"/>
        </w:rPr>
        <w:t>A</w:t>
      </w:r>
      <w:r w:rsidRPr="00D558A3">
        <w:rPr>
          <w:rFonts w:ascii="Times New Roman" w:hAnsi="Times New Roman"/>
          <w:sz w:val="24"/>
        </w:rPr>
        <w:t xml:space="preserve"> provides an example of the Pre-lodgement Documentation Check Response.</w:t>
      </w:r>
    </w:p>
    <w:p w14:paraId="09C11C52" w14:textId="77777777" w:rsidR="00653652" w:rsidRPr="00D558A3" w:rsidRDefault="00653652" w:rsidP="00653652">
      <w:pPr>
        <w:numPr>
          <w:ilvl w:val="0"/>
          <w:numId w:val="33"/>
        </w:numPr>
        <w:spacing w:before="0" w:after="0"/>
        <w:rPr>
          <w:rFonts w:ascii="Times New Roman" w:hAnsi="Times New Roman"/>
          <w:sz w:val="24"/>
        </w:rPr>
      </w:pPr>
      <w:r w:rsidRPr="00D558A3">
        <w:rPr>
          <w:rFonts w:ascii="Times New Roman" w:hAnsi="Times New Roman"/>
          <w:sz w:val="24"/>
        </w:rPr>
        <w:t>Because the pre-lodgement documentation check is informal, responses are not definitive.  They take the form of suggestions and guidance.</w:t>
      </w:r>
    </w:p>
    <w:p w14:paraId="50682AD6"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u w:val="single"/>
        </w:rPr>
        <w:br w:type="page"/>
      </w:r>
      <w:r w:rsidRPr="00D558A3">
        <w:rPr>
          <w:rFonts w:ascii="Times New Roman" w:hAnsi="Times New Roman"/>
          <w:sz w:val="24"/>
          <w:u w:val="single"/>
        </w:rPr>
        <w:lastRenderedPageBreak/>
        <w:t>Principle 3</w:t>
      </w:r>
      <w:r w:rsidRPr="00D558A3">
        <w:rPr>
          <w:rFonts w:ascii="Times New Roman" w:hAnsi="Times New Roman"/>
          <w:sz w:val="24"/>
        </w:rPr>
        <w:t>:  The pre-lodgement procedure only addresses the information requirements of making an application.</w:t>
      </w:r>
    </w:p>
    <w:p w14:paraId="474044A9" w14:textId="77777777" w:rsidR="00653652" w:rsidRPr="00D558A3" w:rsidRDefault="00653652" w:rsidP="00653652">
      <w:pPr>
        <w:numPr>
          <w:ilvl w:val="0"/>
          <w:numId w:val="36"/>
        </w:numPr>
        <w:spacing w:before="0" w:after="0"/>
        <w:rPr>
          <w:rFonts w:ascii="Times New Roman" w:hAnsi="Times New Roman"/>
          <w:sz w:val="24"/>
        </w:rPr>
      </w:pPr>
      <w:r w:rsidRPr="00D558A3">
        <w:rPr>
          <w:rFonts w:ascii="Times New Roman" w:hAnsi="Times New Roman"/>
          <w:sz w:val="24"/>
        </w:rPr>
        <w:t>Usually, a pre-lodgement documentation check will result in suggestions for the provision of additional information or clarification of information.</w:t>
      </w:r>
    </w:p>
    <w:p w14:paraId="0796D6F9" w14:textId="77777777" w:rsidR="00653652" w:rsidRPr="00D558A3" w:rsidRDefault="00653652" w:rsidP="00653652">
      <w:pPr>
        <w:numPr>
          <w:ilvl w:val="0"/>
          <w:numId w:val="36"/>
        </w:numPr>
        <w:spacing w:before="0" w:after="0"/>
        <w:rPr>
          <w:rFonts w:ascii="Times New Roman" w:hAnsi="Times New Roman"/>
          <w:sz w:val="24"/>
        </w:rPr>
      </w:pPr>
      <w:r w:rsidRPr="00D558A3">
        <w:rPr>
          <w:rFonts w:ascii="Times New Roman" w:hAnsi="Times New Roman"/>
          <w:sz w:val="24"/>
        </w:rPr>
        <w:t>A pre-lodgement documentation check cannot assess the accuracy of the evidence in a draft application. The merits of the claims made in a draft application are not assessed at this stage.</w:t>
      </w:r>
    </w:p>
    <w:p w14:paraId="40C1BE30" w14:textId="77777777" w:rsidR="00653652" w:rsidRPr="00D558A3" w:rsidRDefault="001B5514" w:rsidP="00653652">
      <w:pPr>
        <w:numPr>
          <w:ilvl w:val="0"/>
          <w:numId w:val="36"/>
        </w:numPr>
        <w:spacing w:before="0" w:after="0"/>
        <w:rPr>
          <w:rFonts w:ascii="Times New Roman" w:hAnsi="Times New Roman"/>
          <w:sz w:val="24"/>
        </w:rPr>
      </w:pPr>
      <w:r>
        <w:rPr>
          <w:rFonts w:ascii="Times New Roman" w:hAnsi="Times New Roman"/>
          <w:sz w:val="24"/>
        </w:rPr>
        <w:t>The Anti-Dumping Commission</w:t>
      </w:r>
      <w:r w:rsidR="00653652" w:rsidRPr="00D558A3">
        <w:rPr>
          <w:rFonts w:ascii="Times New Roman" w:hAnsi="Times New Roman"/>
          <w:sz w:val="24"/>
        </w:rPr>
        <w:t xml:space="preserve"> cannot determine the reliability of information in a draft application during a pre-lodgement documentation check.  This task is undertaken during the application examination phase, once the application has been formally lodged in accordance with s. 269</w:t>
      </w:r>
      <w:proofErr w:type="gramStart"/>
      <w:r w:rsidR="00653652" w:rsidRPr="00D558A3">
        <w:rPr>
          <w:rFonts w:ascii="Times New Roman" w:hAnsi="Times New Roman"/>
          <w:sz w:val="24"/>
        </w:rPr>
        <w:t>TB(</w:t>
      </w:r>
      <w:proofErr w:type="gramEnd"/>
      <w:r w:rsidR="00653652" w:rsidRPr="00D558A3">
        <w:rPr>
          <w:rFonts w:ascii="Times New Roman" w:hAnsi="Times New Roman"/>
          <w:sz w:val="24"/>
        </w:rPr>
        <w:t>1) of the Act.</w:t>
      </w:r>
    </w:p>
    <w:p w14:paraId="63AA05F6" w14:textId="77777777" w:rsidR="00653652" w:rsidRPr="00D558A3" w:rsidRDefault="00653652" w:rsidP="00653652">
      <w:pPr>
        <w:spacing w:before="0" w:after="0"/>
        <w:rPr>
          <w:rFonts w:ascii="Times New Roman" w:hAnsi="Times New Roman"/>
          <w:sz w:val="24"/>
        </w:rPr>
      </w:pPr>
    </w:p>
    <w:p w14:paraId="0CB395FF"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u w:val="single"/>
        </w:rPr>
        <w:t>Principle 4</w:t>
      </w:r>
      <w:r w:rsidRPr="00D558A3">
        <w:rPr>
          <w:rFonts w:ascii="Times New Roman" w:hAnsi="Times New Roman"/>
          <w:sz w:val="24"/>
        </w:rPr>
        <w:t xml:space="preserve">: </w:t>
      </w:r>
      <w:r w:rsidR="001B5514">
        <w:rPr>
          <w:rFonts w:ascii="Times New Roman" w:hAnsi="Times New Roman"/>
          <w:sz w:val="24"/>
        </w:rPr>
        <w:t>The</w:t>
      </w:r>
      <w:r w:rsidRPr="00D558A3">
        <w:rPr>
          <w:rFonts w:ascii="Times New Roman" w:hAnsi="Times New Roman"/>
          <w:sz w:val="24"/>
        </w:rPr>
        <w:t xml:space="preserve"> </w:t>
      </w:r>
      <w:r w:rsidR="001B5514">
        <w:rPr>
          <w:rFonts w:ascii="Times New Roman" w:hAnsi="Times New Roman"/>
          <w:sz w:val="24"/>
        </w:rPr>
        <w:t>Anti-Dumping Commission</w:t>
      </w:r>
      <w:r w:rsidRPr="00D558A3">
        <w:rPr>
          <w:rFonts w:ascii="Times New Roman" w:hAnsi="Times New Roman"/>
          <w:sz w:val="24"/>
        </w:rPr>
        <w:t xml:space="preserve"> cannot guarantee that addressing all the issues raised in the Pre-lodgement Documentation Check Response will result in an investigation being initiated.</w:t>
      </w:r>
    </w:p>
    <w:p w14:paraId="608E1321" w14:textId="77777777" w:rsidR="00653652" w:rsidRPr="00D558A3" w:rsidRDefault="00653652" w:rsidP="00653652">
      <w:pPr>
        <w:numPr>
          <w:ilvl w:val="0"/>
          <w:numId w:val="37"/>
        </w:numPr>
        <w:spacing w:before="0" w:after="0"/>
        <w:rPr>
          <w:rFonts w:ascii="Times New Roman" w:hAnsi="Times New Roman"/>
          <w:sz w:val="24"/>
        </w:rPr>
      </w:pPr>
      <w:r w:rsidRPr="00D558A3">
        <w:rPr>
          <w:rFonts w:ascii="Times New Roman" w:hAnsi="Times New Roman"/>
          <w:sz w:val="24"/>
        </w:rPr>
        <w:t>If supplied, the additional information itself may be inconsistent or unclear, or highlight that other information is still missing.</w:t>
      </w:r>
    </w:p>
    <w:p w14:paraId="4580BB5E" w14:textId="77777777" w:rsidR="00653652" w:rsidRPr="00D558A3" w:rsidRDefault="00653652" w:rsidP="00653652">
      <w:pPr>
        <w:numPr>
          <w:ilvl w:val="0"/>
          <w:numId w:val="37"/>
        </w:numPr>
        <w:spacing w:before="0" w:after="0"/>
        <w:rPr>
          <w:rFonts w:ascii="Times New Roman" w:hAnsi="Times New Roman"/>
          <w:sz w:val="24"/>
          <w:lang w:val="en-US"/>
        </w:rPr>
      </w:pPr>
      <w:r w:rsidRPr="00D558A3">
        <w:rPr>
          <w:rFonts w:ascii="Times New Roman" w:hAnsi="Times New Roman"/>
          <w:sz w:val="24"/>
        </w:rPr>
        <w:t>Potential applicants should rely on their own inquiries or obtain additional advice in finalising their applications, to ensure that the information provided is as complete as possible and presents the strongest possible case for imposition of measures.</w:t>
      </w:r>
    </w:p>
    <w:p w14:paraId="76A0F1F1" w14:textId="77777777" w:rsidR="00653652" w:rsidRPr="00D558A3" w:rsidRDefault="00653652" w:rsidP="00653652">
      <w:pPr>
        <w:numPr>
          <w:ilvl w:val="0"/>
          <w:numId w:val="37"/>
        </w:numPr>
        <w:spacing w:before="0" w:after="0"/>
        <w:rPr>
          <w:rFonts w:ascii="Times New Roman" w:hAnsi="Times New Roman"/>
          <w:sz w:val="24"/>
        </w:rPr>
      </w:pPr>
      <w:r w:rsidRPr="00D558A3">
        <w:rPr>
          <w:rFonts w:ascii="Times New Roman" w:hAnsi="Times New Roman" w:cs="Arial"/>
          <w:sz w:val="24"/>
        </w:rPr>
        <w:t xml:space="preserve">Where an application has undergone a pre-lodgement documentation check, and is later submitted for formal consideration, the comments made on the draft application by </w:t>
      </w:r>
      <w:r w:rsidR="001B5514">
        <w:rPr>
          <w:rFonts w:ascii="Times New Roman" w:hAnsi="Times New Roman" w:cs="Arial"/>
          <w:sz w:val="24"/>
        </w:rPr>
        <w:t>the Anti-Dumping Commission</w:t>
      </w:r>
      <w:r w:rsidRPr="00D558A3">
        <w:rPr>
          <w:rFonts w:ascii="Times New Roman" w:hAnsi="Times New Roman" w:cs="Arial"/>
          <w:sz w:val="24"/>
        </w:rPr>
        <w:t xml:space="preserve">, as set out in the Pre-lodgement Documentation Check Response, will be forwarded to those officers who will carry out the formal </w:t>
      </w:r>
      <w:r w:rsidRPr="00D558A3">
        <w:rPr>
          <w:rFonts w:ascii="Times New Roman" w:hAnsi="Times New Roman" w:cs="Arial"/>
          <w:color w:val="000000"/>
          <w:sz w:val="24"/>
        </w:rPr>
        <w:t>examination</w:t>
      </w:r>
      <w:r w:rsidRPr="00D558A3">
        <w:rPr>
          <w:rFonts w:ascii="Times New Roman" w:hAnsi="Times New Roman" w:cs="Arial"/>
          <w:color w:val="0000FF"/>
          <w:sz w:val="24"/>
        </w:rPr>
        <w:t xml:space="preserve"> </w:t>
      </w:r>
      <w:r w:rsidRPr="00D558A3">
        <w:rPr>
          <w:rFonts w:ascii="Times New Roman" w:hAnsi="Times New Roman" w:cs="Arial"/>
          <w:sz w:val="24"/>
        </w:rPr>
        <w:t>of the application under s. 269TC of the Act.</w:t>
      </w:r>
    </w:p>
    <w:p w14:paraId="176EA0DE" w14:textId="77777777" w:rsidR="00653652" w:rsidRPr="00D558A3" w:rsidRDefault="00653652" w:rsidP="00653652">
      <w:pPr>
        <w:keepNext/>
        <w:spacing w:before="240" w:after="60"/>
        <w:outlineLvl w:val="2"/>
        <w:rPr>
          <w:rFonts w:cs="Arial"/>
          <w:b/>
          <w:bCs/>
          <w:sz w:val="26"/>
          <w:szCs w:val="26"/>
        </w:rPr>
      </w:pPr>
      <w:r w:rsidRPr="00D558A3">
        <w:rPr>
          <w:rFonts w:cs="Arial"/>
          <w:b/>
          <w:bCs/>
          <w:sz w:val="26"/>
          <w:szCs w:val="26"/>
        </w:rPr>
        <w:t>5. Procedure</w:t>
      </w:r>
    </w:p>
    <w:p w14:paraId="0A1E10EF" w14:textId="77777777" w:rsidR="00653652" w:rsidRPr="00D558A3" w:rsidRDefault="00653652" w:rsidP="00653652">
      <w:pPr>
        <w:spacing w:before="0" w:after="0"/>
        <w:rPr>
          <w:rFonts w:ascii="Times New Roman" w:hAnsi="Times New Roman"/>
          <w:sz w:val="24"/>
        </w:rPr>
      </w:pPr>
    </w:p>
    <w:p w14:paraId="3E7C61B6"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The potential applicant will be advised of:</w:t>
      </w:r>
    </w:p>
    <w:p w14:paraId="44BD687F" w14:textId="77777777" w:rsidR="00653652" w:rsidRPr="00D558A3" w:rsidRDefault="00653652" w:rsidP="00653652">
      <w:pPr>
        <w:numPr>
          <w:ilvl w:val="0"/>
          <w:numId w:val="35"/>
        </w:numPr>
        <w:spacing w:before="0" w:after="0"/>
        <w:rPr>
          <w:rFonts w:ascii="Times New Roman" w:hAnsi="Times New Roman"/>
          <w:sz w:val="24"/>
        </w:rPr>
      </w:pPr>
      <w:r w:rsidRPr="00D558A3">
        <w:rPr>
          <w:rFonts w:ascii="Times New Roman" w:hAnsi="Times New Roman"/>
          <w:sz w:val="24"/>
        </w:rPr>
        <w:t xml:space="preserve">the date the document is </w:t>
      </w:r>
      <w:proofErr w:type="gramStart"/>
      <w:r w:rsidRPr="00D558A3">
        <w:rPr>
          <w:rFonts w:ascii="Times New Roman" w:hAnsi="Times New Roman"/>
          <w:sz w:val="24"/>
        </w:rPr>
        <w:t>received;</w:t>
      </w:r>
      <w:proofErr w:type="gramEnd"/>
    </w:p>
    <w:p w14:paraId="315EA0C3" w14:textId="77777777" w:rsidR="00653652" w:rsidRPr="00D558A3" w:rsidRDefault="00653652" w:rsidP="00653652">
      <w:pPr>
        <w:numPr>
          <w:ilvl w:val="0"/>
          <w:numId w:val="35"/>
        </w:numPr>
        <w:spacing w:before="0" w:after="0"/>
        <w:rPr>
          <w:rFonts w:ascii="Times New Roman" w:hAnsi="Times New Roman"/>
          <w:sz w:val="24"/>
        </w:rPr>
      </w:pPr>
      <w:r w:rsidRPr="00D558A3">
        <w:rPr>
          <w:rFonts w:ascii="Times New Roman" w:hAnsi="Times New Roman"/>
          <w:sz w:val="24"/>
        </w:rPr>
        <w:t>the name of the contact offi</w:t>
      </w:r>
      <w:r w:rsidR="001B5514">
        <w:rPr>
          <w:rFonts w:ascii="Times New Roman" w:hAnsi="Times New Roman"/>
          <w:sz w:val="24"/>
        </w:rPr>
        <w:t>cer in the Anti-Dumping Commission</w:t>
      </w:r>
      <w:r w:rsidRPr="00D558A3">
        <w:rPr>
          <w:rFonts w:ascii="Times New Roman" w:hAnsi="Times New Roman"/>
          <w:sz w:val="24"/>
        </w:rPr>
        <w:t>; and</w:t>
      </w:r>
    </w:p>
    <w:p w14:paraId="164A1D67" w14:textId="77777777" w:rsidR="00653652" w:rsidRPr="00D558A3" w:rsidRDefault="00653652" w:rsidP="00653652">
      <w:pPr>
        <w:numPr>
          <w:ilvl w:val="0"/>
          <w:numId w:val="35"/>
        </w:numPr>
        <w:spacing w:before="0" w:after="0"/>
        <w:rPr>
          <w:rFonts w:ascii="Times New Roman" w:hAnsi="Times New Roman"/>
          <w:sz w:val="24"/>
        </w:rPr>
      </w:pPr>
      <w:r w:rsidRPr="00D558A3">
        <w:rPr>
          <w:rFonts w:ascii="Times New Roman" w:hAnsi="Times New Roman"/>
          <w:sz w:val="24"/>
        </w:rPr>
        <w:t>the expected date that the outcomes of the documentation check will be provided, normally within 10 days of receipt.</w:t>
      </w:r>
    </w:p>
    <w:p w14:paraId="3456B39D" w14:textId="77777777" w:rsidR="00653652" w:rsidRPr="00D558A3" w:rsidRDefault="00653652" w:rsidP="00653652">
      <w:pPr>
        <w:spacing w:before="0" w:after="0"/>
        <w:rPr>
          <w:rFonts w:ascii="Times New Roman" w:hAnsi="Times New Roman"/>
          <w:sz w:val="24"/>
        </w:rPr>
      </w:pPr>
    </w:p>
    <w:p w14:paraId="7D35548A"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 xml:space="preserve">The documentation check will be about whether responses to questions in the application form are complete, </w:t>
      </w:r>
      <w:proofErr w:type="gramStart"/>
      <w:r w:rsidRPr="00D558A3">
        <w:rPr>
          <w:rFonts w:ascii="Times New Roman" w:hAnsi="Times New Roman"/>
          <w:sz w:val="24"/>
        </w:rPr>
        <w:t>clear</w:t>
      </w:r>
      <w:proofErr w:type="gramEnd"/>
      <w:r w:rsidRPr="00D558A3">
        <w:rPr>
          <w:rFonts w:ascii="Times New Roman" w:hAnsi="Times New Roman"/>
          <w:sz w:val="24"/>
        </w:rPr>
        <w:t xml:space="preserve"> and consistent.  At this stage in the process </w:t>
      </w:r>
      <w:r w:rsidR="001B5514">
        <w:rPr>
          <w:rFonts w:ascii="Times New Roman" w:hAnsi="Times New Roman"/>
          <w:sz w:val="24"/>
        </w:rPr>
        <w:t>the Anti-Dumping Commission</w:t>
      </w:r>
      <w:r w:rsidRPr="00D558A3">
        <w:rPr>
          <w:rFonts w:ascii="Times New Roman" w:hAnsi="Times New Roman"/>
          <w:sz w:val="24"/>
        </w:rPr>
        <w:t xml:space="preserve"> will not examine or provide advice about whether the application satisfies the tests of ‘reasonable grounds’ for the publication of a dumping duty or countervailing duty notice.</w:t>
      </w:r>
    </w:p>
    <w:p w14:paraId="01F92F6B" w14:textId="77777777" w:rsidR="00653652" w:rsidRPr="00D558A3" w:rsidRDefault="00653652" w:rsidP="00653652">
      <w:pPr>
        <w:spacing w:before="0" w:after="0"/>
        <w:rPr>
          <w:rFonts w:ascii="Times New Roman" w:hAnsi="Times New Roman"/>
          <w:sz w:val="24"/>
        </w:rPr>
      </w:pPr>
    </w:p>
    <w:p w14:paraId="4F9CC3F5" w14:textId="77777777" w:rsidR="00653652" w:rsidRPr="00D558A3" w:rsidRDefault="00653652" w:rsidP="00653652">
      <w:pPr>
        <w:spacing w:before="0" w:after="0"/>
        <w:rPr>
          <w:rFonts w:ascii="Times New Roman" w:hAnsi="Times New Roman"/>
          <w:sz w:val="24"/>
        </w:rPr>
      </w:pPr>
      <w:r w:rsidRPr="00D558A3">
        <w:rPr>
          <w:rFonts w:ascii="Times New Roman" w:hAnsi="Times New Roman"/>
          <w:sz w:val="24"/>
        </w:rPr>
        <w:t xml:space="preserve">Wherever possible, </w:t>
      </w:r>
      <w:r w:rsidR="001B5514">
        <w:rPr>
          <w:rFonts w:ascii="Times New Roman" w:hAnsi="Times New Roman"/>
          <w:sz w:val="24"/>
        </w:rPr>
        <w:t>the Anti-Dumping Commission</w:t>
      </w:r>
      <w:r w:rsidRPr="00D558A3">
        <w:rPr>
          <w:rFonts w:ascii="Times New Roman" w:hAnsi="Times New Roman"/>
          <w:sz w:val="24"/>
        </w:rPr>
        <w:t xml:space="preserve"> will make suggestions about how an application may be improved.  The response will be</w:t>
      </w:r>
      <w:r w:rsidR="001B5514">
        <w:rPr>
          <w:rFonts w:ascii="Times New Roman" w:hAnsi="Times New Roman"/>
          <w:sz w:val="24"/>
        </w:rPr>
        <w:t xml:space="preserve"> along the lines of Attachment A</w:t>
      </w:r>
      <w:r w:rsidRPr="00D558A3">
        <w:rPr>
          <w:rFonts w:ascii="Times New Roman" w:hAnsi="Times New Roman"/>
          <w:sz w:val="24"/>
        </w:rPr>
        <w:t xml:space="preserve"> and will specify if the information is missing, inconsistent or unclear.</w:t>
      </w:r>
    </w:p>
    <w:p w14:paraId="4C166EAA" w14:textId="77777777" w:rsidR="00653652" w:rsidRPr="00D558A3" w:rsidRDefault="00653652" w:rsidP="00653652">
      <w:pPr>
        <w:spacing w:before="0" w:after="0"/>
        <w:rPr>
          <w:rFonts w:ascii="Times New Roman" w:hAnsi="Times New Roman"/>
          <w:sz w:val="24"/>
        </w:rPr>
        <w:sectPr w:rsidR="00653652" w:rsidRPr="00D558A3">
          <w:footerReference w:type="default" r:id="rId12"/>
          <w:pgSz w:w="11906" w:h="16838" w:code="9"/>
          <w:pgMar w:top="1440" w:right="1797" w:bottom="1440" w:left="1797" w:header="709" w:footer="709" w:gutter="0"/>
          <w:pgNumType w:start="1"/>
          <w:cols w:space="708"/>
          <w:docGrid w:linePitch="360"/>
        </w:sectPr>
      </w:pPr>
    </w:p>
    <w:p w14:paraId="13A04661" w14:textId="77777777" w:rsidR="00653652" w:rsidRDefault="00653652" w:rsidP="00653652">
      <w:pPr>
        <w:keepNext/>
        <w:spacing w:before="0" w:after="0"/>
        <w:jc w:val="right"/>
        <w:outlineLvl w:val="2"/>
        <w:rPr>
          <w:rFonts w:cs="Arial"/>
          <w:b/>
          <w:bCs/>
          <w:sz w:val="26"/>
          <w:szCs w:val="26"/>
        </w:rPr>
      </w:pPr>
      <w:r>
        <w:rPr>
          <w:rFonts w:cs="Arial"/>
          <w:b/>
          <w:bCs/>
          <w:sz w:val="26"/>
          <w:szCs w:val="26"/>
        </w:rPr>
        <w:lastRenderedPageBreak/>
        <w:t>Attachment A</w:t>
      </w:r>
    </w:p>
    <w:p w14:paraId="06B8A9D2" w14:textId="77777777" w:rsidR="00653652" w:rsidRDefault="00653652" w:rsidP="00653652">
      <w:pPr>
        <w:keepNext/>
        <w:spacing w:before="0" w:after="0"/>
        <w:jc w:val="center"/>
        <w:outlineLvl w:val="2"/>
        <w:rPr>
          <w:rFonts w:cs="Arial"/>
          <w:b/>
          <w:bCs/>
          <w:sz w:val="26"/>
          <w:szCs w:val="26"/>
        </w:rPr>
      </w:pPr>
      <w:r w:rsidRPr="00D558A3">
        <w:rPr>
          <w:rFonts w:cs="Arial"/>
          <w:b/>
          <w:bCs/>
          <w:sz w:val="26"/>
          <w:szCs w:val="26"/>
        </w:rPr>
        <w:t>Pre-lodgement Documentation Check Response</w:t>
      </w:r>
    </w:p>
    <w:p w14:paraId="755781B4" w14:textId="77777777" w:rsidR="00653652" w:rsidRPr="00D558A3" w:rsidRDefault="00653652" w:rsidP="00653652">
      <w:pPr>
        <w:keepNext/>
        <w:spacing w:before="0" w:after="0"/>
        <w:jc w:val="center"/>
        <w:outlineLvl w:val="2"/>
        <w:rPr>
          <w:rFonts w:cs="Arial"/>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160"/>
        <w:gridCol w:w="10286"/>
      </w:tblGrid>
      <w:tr w:rsidR="00653652" w:rsidRPr="00D558A3" w14:paraId="3C8DAB70" w14:textId="77777777" w:rsidTr="00653652">
        <w:trPr>
          <w:jc w:val="center"/>
        </w:trPr>
        <w:tc>
          <w:tcPr>
            <w:tcW w:w="1728" w:type="dxa"/>
          </w:tcPr>
          <w:p w14:paraId="3917BADF" w14:textId="77777777" w:rsidR="00653652" w:rsidRPr="00D558A3" w:rsidRDefault="00653652" w:rsidP="00AA4255">
            <w:pPr>
              <w:spacing w:before="0" w:after="0"/>
              <w:rPr>
                <w:rFonts w:ascii="Times New Roman" w:hAnsi="Times New Roman"/>
                <w:b/>
                <w:bCs/>
                <w:sz w:val="24"/>
              </w:rPr>
            </w:pPr>
            <w:r w:rsidRPr="00D558A3">
              <w:rPr>
                <w:rFonts w:ascii="Times New Roman" w:hAnsi="Times New Roman"/>
                <w:b/>
                <w:bCs/>
                <w:sz w:val="24"/>
              </w:rPr>
              <w:t>Question</w:t>
            </w:r>
          </w:p>
        </w:tc>
        <w:tc>
          <w:tcPr>
            <w:tcW w:w="2160" w:type="dxa"/>
          </w:tcPr>
          <w:p w14:paraId="5E68C6D1" w14:textId="77777777" w:rsidR="00653652" w:rsidRPr="00D558A3" w:rsidRDefault="00653652" w:rsidP="00AA4255">
            <w:pPr>
              <w:spacing w:before="0" w:after="0"/>
              <w:rPr>
                <w:rFonts w:ascii="Times New Roman" w:hAnsi="Times New Roman"/>
                <w:b/>
                <w:bCs/>
                <w:sz w:val="24"/>
              </w:rPr>
            </w:pPr>
            <w:r w:rsidRPr="00D558A3">
              <w:rPr>
                <w:rFonts w:ascii="Times New Roman" w:hAnsi="Times New Roman"/>
                <w:b/>
                <w:bCs/>
                <w:sz w:val="24"/>
              </w:rPr>
              <w:t>Issue</w:t>
            </w:r>
            <w:r>
              <w:rPr>
                <w:rStyle w:val="FootnoteReference"/>
                <w:rFonts w:ascii="Times New Roman" w:hAnsi="Times New Roman"/>
                <w:b/>
                <w:bCs/>
                <w:sz w:val="24"/>
              </w:rPr>
              <w:footnoteReference w:id="1"/>
            </w:r>
          </w:p>
        </w:tc>
        <w:tc>
          <w:tcPr>
            <w:tcW w:w="10286" w:type="dxa"/>
          </w:tcPr>
          <w:p w14:paraId="74A0168A" w14:textId="77777777" w:rsidR="00653652" w:rsidRPr="00D558A3" w:rsidRDefault="00653652" w:rsidP="00AA4255">
            <w:pPr>
              <w:spacing w:before="0" w:after="0"/>
              <w:rPr>
                <w:rFonts w:ascii="Times New Roman" w:hAnsi="Times New Roman"/>
                <w:b/>
                <w:bCs/>
                <w:sz w:val="24"/>
              </w:rPr>
            </w:pPr>
            <w:r w:rsidRPr="00D558A3">
              <w:rPr>
                <w:rFonts w:ascii="Times New Roman" w:hAnsi="Times New Roman"/>
                <w:b/>
                <w:bCs/>
                <w:sz w:val="24"/>
              </w:rPr>
              <w:t>Would be improved by…</w:t>
            </w:r>
          </w:p>
        </w:tc>
      </w:tr>
      <w:tr w:rsidR="00653652" w:rsidRPr="00D558A3" w14:paraId="07279DDD" w14:textId="77777777" w:rsidTr="00653652">
        <w:trPr>
          <w:jc w:val="center"/>
        </w:trPr>
        <w:tc>
          <w:tcPr>
            <w:tcW w:w="1728" w:type="dxa"/>
          </w:tcPr>
          <w:p w14:paraId="21F6B28B" w14:textId="77777777" w:rsidR="00653652" w:rsidRPr="00D558A3" w:rsidRDefault="00653652" w:rsidP="00AA4255">
            <w:pPr>
              <w:spacing w:before="0" w:after="0"/>
              <w:rPr>
                <w:rFonts w:cs="Arial"/>
                <w:i/>
                <w:iCs/>
              </w:rPr>
            </w:pPr>
            <w:r w:rsidRPr="00D558A3">
              <w:rPr>
                <w:rFonts w:cs="Arial"/>
                <w:i/>
                <w:iCs/>
              </w:rPr>
              <w:t xml:space="preserve">B-2 2 </w:t>
            </w:r>
          </w:p>
          <w:p w14:paraId="102C4395" w14:textId="77777777" w:rsidR="00653652" w:rsidRPr="00D558A3" w:rsidRDefault="00653652" w:rsidP="00AA4255">
            <w:pPr>
              <w:spacing w:before="0" w:after="0"/>
              <w:rPr>
                <w:rFonts w:cs="Arial"/>
                <w:i/>
                <w:iCs/>
              </w:rPr>
            </w:pPr>
            <w:r w:rsidRPr="00D558A3">
              <w:rPr>
                <w:rFonts w:cs="Arial"/>
                <w:i/>
                <w:iCs/>
              </w:rPr>
              <w:t>(example)</w:t>
            </w:r>
          </w:p>
        </w:tc>
        <w:tc>
          <w:tcPr>
            <w:tcW w:w="2160" w:type="dxa"/>
          </w:tcPr>
          <w:p w14:paraId="0D2970BE" w14:textId="77777777" w:rsidR="00653652" w:rsidRPr="00D558A3" w:rsidRDefault="00653652" w:rsidP="00AA4255">
            <w:pPr>
              <w:spacing w:before="0" w:after="0"/>
              <w:rPr>
                <w:rFonts w:cs="Arial"/>
                <w:i/>
                <w:iCs/>
              </w:rPr>
            </w:pPr>
            <w:r w:rsidRPr="00D558A3">
              <w:rPr>
                <w:rFonts w:cs="Arial"/>
                <w:i/>
                <w:iCs/>
              </w:rPr>
              <w:t xml:space="preserve">Missing </w:t>
            </w:r>
          </w:p>
        </w:tc>
        <w:tc>
          <w:tcPr>
            <w:tcW w:w="10286" w:type="dxa"/>
          </w:tcPr>
          <w:p w14:paraId="09D6D2B0" w14:textId="77777777" w:rsidR="00653652" w:rsidRPr="00D558A3" w:rsidRDefault="00653652" w:rsidP="00AA4255">
            <w:pPr>
              <w:spacing w:before="60" w:after="0"/>
              <w:rPr>
                <w:rFonts w:cs="Arial"/>
                <w:i/>
                <w:iCs/>
              </w:rPr>
            </w:pPr>
            <w:r w:rsidRPr="00D558A3">
              <w:rPr>
                <w:rFonts w:cs="Arial"/>
                <w:i/>
                <w:iCs/>
              </w:rPr>
              <w:t xml:space="preserve">If sales terms are unknown, you can improve your application with a statement about why it is unreasonable to obtain this information.  </w:t>
            </w:r>
          </w:p>
          <w:p w14:paraId="115D5D1E" w14:textId="77777777" w:rsidR="00653652" w:rsidRPr="00D558A3" w:rsidRDefault="00653652" w:rsidP="00653652">
            <w:pPr>
              <w:numPr>
                <w:ilvl w:val="0"/>
                <w:numId w:val="29"/>
              </w:numPr>
              <w:spacing w:before="0" w:after="0"/>
              <w:rPr>
                <w:rFonts w:cs="Arial"/>
                <w:i/>
                <w:iCs/>
              </w:rPr>
            </w:pPr>
            <w:r w:rsidRPr="00D558A3">
              <w:rPr>
                <w:rFonts w:cs="Arial"/>
                <w:i/>
                <w:iCs/>
              </w:rPr>
              <w:t xml:space="preserve">NB It is not necessary that the sales terms be exactly known.  The expected terms or conditions of export sales in the country of export may be estimated, provided that the estimation is reasonably based using terms and conditions that may be reasonably anticipated for a transaction of this type.  </w:t>
            </w:r>
          </w:p>
          <w:p w14:paraId="45C9FDB2" w14:textId="77777777" w:rsidR="00653652" w:rsidRPr="00D558A3" w:rsidRDefault="00653652" w:rsidP="00653652">
            <w:pPr>
              <w:numPr>
                <w:ilvl w:val="0"/>
                <w:numId w:val="29"/>
              </w:numPr>
              <w:spacing w:before="0" w:after="0"/>
              <w:rPr>
                <w:rFonts w:cs="Arial"/>
                <w:i/>
                <w:iCs/>
              </w:rPr>
            </w:pPr>
            <w:r w:rsidRPr="00D558A3">
              <w:rPr>
                <w:rFonts w:cs="Arial"/>
                <w:i/>
                <w:iCs/>
              </w:rPr>
              <w:t xml:space="preserve">Some </w:t>
            </w:r>
            <w:proofErr w:type="gramStart"/>
            <w:r w:rsidRPr="00D558A3">
              <w:rPr>
                <w:rFonts w:cs="Arial"/>
                <w:i/>
                <w:iCs/>
              </w:rPr>
              <w:t>basis</w:t>
            </w:r>
            <w:proofErr w:type="gramEnd"/>
            <w:r w:rsidRPr="00D558A3">
              <w:rPr>
                <w:rFonts w:cs="Arial"/>
                <w:i/>
                <w:iCs/>
              </w:rPr>
              <w:t xml:space="preserve"> to support the estimation would assist its evaluation</w:t>
            </w:r>
          </w:p>
          <w:p w14:paraId="71167F89" w14:textId="77777777" w:rsidR="00653652" w:rsidRPr="00D558A3" w:rsidRDefault="00653652" w:rsidP="00AA4255">
            <w:pPr>
              <w:spacing w:after="60"/>
              <w:rPr>
                <w:rFonts w:cs="Arial"/>
                <w:i/>
                <w:iCs/>
              </w:rPr>
            </w:pPr>
            <w:r w:rsidRPr="00D558A3">
              <w:rPr>
                <w:rFonts w:cs="Arial"/>
                <w:i/>
                <w:iCs/>
              </w:rPr>
              <w:t>Information about terms and conditions of export sales is needed to assess whether the export price and normal value are comparable.</w:t>
            </w:r>
          </w:p>
        </w:tc>
      </w:tr>
      <w:tr w:rsidR="00653652" w:rsidRPr="00D558A3" w14:paraId="192DD969" w14:textId="77777777" w:rsidTr="00653652">
        <w:trPr>
          <w:jc w:val="center"/>
        </w:trPr>
        <w:tc>
          <w:tcPr>
            <w:tcW w:w="1728" w:type="dxa"/>
          </w:tcPr>
          <w:p w14:paraId="15DFDAC4" w14:textId="77777777" w:rsidR="00653652" w:rsidRPr="00D558A3" w:rsidRDefault="00653652" w:rsidP="00AA4255">
            <w:pPr>
              <w:spacing w:before="0" w:after="0"/>
              <w:rPr>
                <w:rFonts w:cs="Arial"/>
                <w:i/>
                <w:iCs/>
              </w:rPr>
            </w:pPr>
            <w:r w:rsidRPr="00D558A3">
              <w:rPr>
                <w:rFonts w:cs="Arial"/>
                <w:i/>
                <w:iCs/>
              </w:rPr>
              <w:t>Appendix A4</w:t>
            </w:r>
          </w:p>
        </w:tc>
        <w:tc>
          <w:tcPr>
            <w:tcW w:w="2160" w:type="dxa"/>
          </w:tcPr>
          <w:p w14:paraId="47D83C83" w14:textId="77777777" w:rsidR="00653652" w:rsidRPr="00D558A3" w:rsidRDefault="00653652" w:rsidP="00AA4255">
            <w:pPr>
              <w:spacing w:before="0" w:after="0"/>
              <w:rPr>
                <w:rFonts w:cs="Arial"/>
                <w:i/>
                <w:iCs/>
              </w:rPr>
            </w:pPr>
            <w:r w:rsidRPr="00D558A3">
              <w:rPr>
                <w:rFonts w:cs="Arial"/>
                <w:i/>
                <w:iCs/>
              </w:rPr>
              <w:t>Missing</w:t>
            </w:r>
          </w:p>
        </w:tc>
        <w:tc>
          <w:tcPr>
            <w:tcW w:w="10286" w:type="dxa"/>
          </w:tcPr>
          <w:p w14:paraId="4D9646FB" w14:textId="77777777" w:rsidR="00653652" w:rsidRPr="00D558A3" w:rsidRDefault="00653652" w:rsidP="00AA4255">
            <w:pPr>
              <w:spacing w:before="60" w:after="60"/>
              <w:rPr>
                <w:rFonts w:cs="Arial"/>
                <w:i/>
                <w:iCs/>
              </w:rPr>
            </w:pPr>
            <w:r w:rsidRPr="00D558A3">
              <w:rPr>
                <w:rFonts w:cs="Arial"/>
                <w:i/>
                <w:iCs/>
              </w:rPr>
              <w:t xml:space="preserve">Rebate and discount information is missing from appendix A4.  If this is not applicable this must be specified in the application form.  All rebates and discounts need to be shown and explained so </w:t>
            </w:r>
            <w:r w:rsidR="001B5514">
              <w:rPr>
                <w:rFonts w:cs="Arial"/>
                <w:i/>
                <w:iCs/>
              </w:rPr>
              <w:t>Anti-Dumping Commission</w:t>
            </w:r>
            <w:r w:rsidRPr="00D558A3">
              <w:rPr>
                <w:rFonts w:cs="Arial"/>
                <w:i/>
                <w:iCs/>
              </w:rPr>
              <w:t xml:space="preserve"> can establish net selling prices to be used in injury analysis.</w:t>
            </w:r>
          </w:p>
        </w:tc>
      </w:tr>
      <w:tr w:rsidR="00653652" w:rsidRPr="00D558A3" w14:paraId="4A540858" w14:textId="77777777" w:rsidTr="00653652">
        <w:trPr>
          <w:jc w:val="center"/>
        </w:trPr>
        <w:tc>
          <w:tcPr>
            <w:tcW w:w="1728" w:type="dxa"/>
          </w:tcPr>
          <w:p w14:paraId="0EFA5CE6" w14:textId="77777777" w:rsidR="00653652" w:rsidRPr="00D558A3" w:rsidRDefault="00653652" w:rsidP="00AA4255">
            <w:pPr>
              <w:spacing w:before="0" w:after="0"/>
              <w:rPr>
                <w:rFonts w:cs="Arial"/>
                <w:i/>
                <w:iCs/>
              </w:rPr>
            </w:pPr>
            <w:r w:rsidRPr="00D558A3">
              <w:rPr>
                <w:rFonts w:cs="Arial"/>
                <w:i/>
                <w:iCs/>
              </w:rPr>
              <w:t>Appendix A4</w:t>
            </w:r>
          </w:p>
          <w:p w14:paraId="35CAAF88" w14:textId="77777777" w:rsidR="00653652" w:rsidRPr="00D558A3" w:rsidRDefault="00653652" w:rsidP="00AA4255">
            <w:pPr>
              <w:spacing w:before="0" w:after="0"/>
              <w:rPr>
                <w:rFonts w:cs="Arial"/>
                <w:i/>
                <w:iCs/>
              </w:rPr>
            </w:pPr>
            <w:r w:rsidRPr="00D558A3">
              <w:rPr>
                <w:rFonts w:cs="Arial"/>
                <w:i/>
                <w:iCs/>
              </w:rPr>
              <w:t>Appendix A6.1</w:t>
            </w:r>
          </w:p>
          <w:p w14:paraId="3BBCD54A" w14:textId="77777777" w:rsidR="00653652" w:rsidRPr="00D558A3" w:rsidRDefault="00653652" w:rsidP="00AA4255">
            <w:pPr>
              <w:spacing w:before="0" w:after="0"/>
              <w:rPr>
                <w:rFonts w:cs="Arial"/>
                <w:i/>
                <w:iCs/>
              </w:rPr>
            </w:pPr>
            <w:r w:rsidRPr="00D558A3">
              <w:rPr>
                <w:rFonts w:cs="Arial"/>
                <w:i/>
                <w:iCs/>
              </w:rPr>
              <w:t>(example)</w:t>
            </w:r>
          </w:p>
        </w:tc>
        <w:tc>
          <w:tcPr>
            <w:tcW w:w="2160" w:type="dxa"/>
          </w:tcPr>
          <w:p w14:paraId="564F4C67" w14:textId="77777777" w:rsidR="00653652" w:rsidRPr="00D558A3" w:rsidRDefault="00653652" w:rsidP="00AA4255">
            <w:pPr>
              <w:spacing w:before="0" w:after="0"/>
              <w:rPr>
                <w:rFonts w:cs="Arial"/>
                <w:i/>
                <w:iCs/>
              </w:rPr>
            </w:pPr>
            <w:r w:rsidRPr="00D558A3">
              <w:rPr>
                <w:rFonts w:cs="Arial"/>
                <w:i/>
                <w:iCs/>
              </w:rPr>
              <w:t xml:space="preserve">Inconsistent </w:t>
            </w:r>
          </w:p>
        </w:tc>
        <w:tc>
          <w:tcPr>
            <w:tcW w:w="10286" w:type="dxa"/>
          </w:tcPr>
          <w:p w14:paraId="3B32E110" w14:textId="77777777" w:rsidR="00653652" w:rsidRPr="00D558A3" w:rsidRDefault="00653652" w:rsidP="00AA4255">
            <w:pPr>
              <w:spacing w:before="60" w:after="0"/>
              <w:rPr>
                <w:rFonts w:cs="Arial"/>
                <w:i/>
                <w:iCs/>
              </w:rPr>
            </w:pPr>
            <w:r w:rsidRPr="00D558A3">
              <w:rPr>
                <w:rFonts w:cs="Arial"/>
                <w:i/>
                <w:iCs/>
              </w:rPr>
              <w:t xml:space="preserve">Appendix A4 data (domestic sales) does not reconcile to sales information in Appendix A6.1 (cost to make and sell for domestic sales).  </w:t>
            </w:r>
          </w:p>
          <w:p w14:paraId="29F0EDE4" w14:textId="77777777" w:rsidR="00653652" w:rsidRPr="00D558A3" w:rsidRDefault="00653652" w:rsidP="00653652">
            <w:pPr>
              <w:numPr>
                <w:ilvl w:val="0"/>
                <w:numId w:val="30"/>
              </w:numPr>
              <w:spacing w:before="0" w:after="0"/>
              <w:rPr>
                <w:rFonts w:cs="Arial"/>
                <w:i/>
                <w:iCs/>
              </w:rPr>
            </w:pPr>
            <w:r w:rsidRPr="00D558A3">
              <w:rPr>
                <w:rFonts w:cs="Arial"/>
                <w:i/>
                <w:iCs/>
              </w:rPr>
              <w:t>Both appendices require information about the same accounting events (i.e. domestic sales)</w:t>
            </w:r>
          </w:p>
          <w:p w14:paraId="1AE31DD2" w14:textId="77777777" w:rsidR="00653652" w:rsidRPr="00D558A3" w:rsidRDefault="001B5514" w:rsidP="00653652">
            <w:pPr>
              <w:numPr>
                <w:ilvl w:val="0"/>
                <w:numId w:val="30"/>
              </w:numPr>
              <w:spacing w:before="0" w:after="0"/>
              <w:rPr>
                <w:rFonts w:cs="Arial"/>
                <w:i/>
                <w:iCs/>
              </w:rPr>
            </w:pPr>
            <w:r>
              <w:rPr>
                <w:rFonts w:cs="Arial"/>
                <w:i/>
                <w:iCs/>
              </w:rPr>
              <w:t>Anti-Dumping Commission</w:t>
            </w:r>
            <w:r w:rsidR="00653652" w:rsidRPr="00D558A3">
              <w:rPr>
                <w:rFonts w:cs="Arial"/>
                <w:i/>
                <w:iCs/>
              </w:rPr>
              <w:t xml:space="preserve"> expects that information in an application should be internally consistent.</w:t>
            </w:r>
          </w:p>
          <w:p w14:paraId="15FBBA8A" w14:textId="77777777" w:rsidR="00653652" w:rsidRPr="00D558A3" w:rsidRDefault="00653652" w:rsidP="00653652">
            <w:pPr>
              <w:numPr>
                <w:ilvl w:val="0"/>
                <w:numId w:val="30"/>
              </w:numPr>
              <w:spacing w:before="0" w:after="0"/>
              <w:rPr>
                <w:rFonts w:cs="Arial"/>
                <w:i/>
                <w:iCs/>
              </w:rPr>
            </w:pPr>
            <w:r w:rsidRPr="00D558A3">
              <w:rPr>
                <w:rFonts w:cs="Arial"/>
                <w:i/>
                <w:iCs/>
              </w:rPr>
              <w:t xml:space="preserve">Inconsistencies indicate there may be an error(s) in </w:t>
            </w:r>
            <w:proofErr w:type="gramStart"/>
            <w:r w:rsidRPr="00D558A3">
              <w:rPr>
                <w:rFonts w:cs="Arial"/>
                <w:i/>
                <w:iCs/>
              </w:rPr>
              <w:t>reporting</w:t>
            </w:r>
            <w:proofErr w:type="gramEnd"/>
          </w:p>
          <w:p w14:paraId="752FEAEA" w14:textId="77777777" w:rsidR="00653652" w:rsidRPr="00D558A3" w:rsidRDefault="00653652" w:rsidP="00AA4255">
            <w:pPr>
              <w:spacing w:after="60"/>
              <w:rPr>
                <w:rFonts w:cs="Arial"/>
                <w:i/>
                <w:iCs/>
              </w:rPr>
            </w:pPr>
            <w:r w:rsidRPr="00D558A3">
              <w:rPr>
                <w:rFonts w:cs="Arial"/>
                <w:i/>
                <w:iCs/>
              </w:rPr>
              <w:t>You can improve your application by reconciling inconsistent data, or explaining how differences have arisen (e.g. reports may be derived from different components of the accounting system, timing differences, inventory recording systems, etc.)</w:t>
            </w:r>
          </w:p>
        </w:tc>
      </w:tr>
      <w:tr w:rsidR="00653652" w:rsidRPr="00D558A3" w14:paraId="0AED10E9" w14:textId="77777777" w:rsidTr="00653652">
        <w:trPr>
          <w:trHeight w:val="846"/>
          <w:jc w:val="center"/>
        </w:trPr>
        <w:tc>
          <w:tcPr>
            <w:tcW w:w="1728" w:type="dxa"/>
          </w:tcPr>
          <w:p w14:paraId="14D10332" w14:textId="77777777" w:rsidR="00653652" w:rsidRPr="00D558A3" w:rsidRDefault="00653652" w:rsidP="00AA4255">
            <w:pPr>
              <w:spacing w:before="0" w:after="0"/>
              <w:rPr>
                <w:rFonts w:cs="Arial"/>
                <w:i/>
                <w:iCs/>
              </w:rPr>
            </w:pPr>
            <w:r w:rsidRPr="00D558A3">
              <w:rPr>
                <w:rFonts w:cs="Arial"/>
                <w:i/>
                <w:iCs/>
              </w:rPr>
              <w:t>A-5 8</w:t>
            </w:r>
          </w:p>
          <w:p w14:paraId="317445DE" w14:textId="77777777" w:rsidR="00653652" w:rsidRPr="00D558A3" w:rsidRDefault="00653652" w:rsidP="00AA4255">
            <w:pPr>
              <w:spacing w:before="0" w:after="0"/>
              <w:rPr>
                <w:rFonts w:cs="Arial"/>
                <w:i/>
                <w:iCs/>
              </w:rPr>
            </w:pPr>
            <w:r w:rsidRPr="00D558A3">
              <w:rPr>
                <w:rFonts w:cs="Arial"/>
                <w:i/>
                <w:iCs/>
              </w:rPr>
              <w:t>(example)</w:t>
            </w:r>
          </w:p>
        </w:tc>
        <w:tc>
          <w:tcPr>
            <w:tcW w:w="2160" w:type="dxa"/>
          </w:tcPr>
          <w:p w14:paraId="54A93209" w14:textId="77777777" w:rsidR="00653652" w:rsidRPr="00D558A3" w:rsidRDefault="00653652" w:rsidP="00AA4255">
            <w:pPr>
              <w:spacing w:before="0" w:after="0"/>
              <w:rPr>
                <w:rFonts w:cs="Arial"/>
                <w:i/>
                <w:iCs/>
              </w:rPr>
            </w:pPr>
            <w:r w:rsidRPr="00D558A3">
              <w:rPr>
                <w:rFonts w:cs="Arial"/>
                <w:i/>
                <w:iCs/>
              </w:rPr>
              <w:t>Unclear</w:t>
            </w:r>
          </w:p>
        </w:tc>
        <w:tc>
          <w:tcPr>
            <w:tcW w:w="10286" w:type="dxa"/>
          </w:tcPr>
          <w:p w14:paraId="79F15BAF" w14:textId="77777777" w:rsidR="00653652" w:rsidRPr="00D558A3" w:rsidRDefault="00653652" w:rsidP="00AA4255">
            <w:pPr>
              <w:spacing w:before="60" w:after="0"/>
              <w:rPr>
                <w:rFonts w:cs="Arial"/>
                <w:i/>
                <w:iCs/>
              </w:rPr>
            </w:pPr>
            <w:r w:rsidRPr="00D558A3">
              <w:rPr>
                <w:rFonts w:cs="Arial"/>
                <w:i/>
                <w:iCs/>
              </w:rPr>
              <w:t xml:space="preserve">Although information about the price reductions has been included in your application, their commercial operation is unclear.  To avoid the need for follow up questions by </w:t>
            </w:r>
            <w:r w:rsidR="00095FC2">
              <w:rPr>
                <w:rFonts w:cs="Arial"/>
                <w:i/>
                <w:iCs/>
              </w:rPr>
              <w:t xml:space="preserve">the </w:t>
            </w:r>
            <w:r w:rsidR="001B5514">
              <w:rPr>
                <w:rFonts w:cs="Arial"/>
                <w:i/>
                <w:iCs/>
              </w:rPr>
              <w:t>Anti-Dumping Commission</w:t>
            </w:r>
            <w:r w:rsidRPr="00D558A3">
              <w:rPr>
                <w:rFonts w:cs="Arial"/>
                <w:i/>
                <w:iCs/>
              </w:rPr>
              <w:t xml:space="preserve"> (which may delay the initiation of an investigation) the following should be provided, e.g.:</w:t>
            </w:r>
          </w:p>
          <w:p w14:paraId="3B572F4D" w14:textId="77777777" w:rsidR="00653652" w:rsidRPr="00D558A3" w:rsidRDefault="00653652" w:rsidP="00653652">
            <w:pPr>
              <w:numPr>
                <w:ilvl w:val="0"/>
                <w:numId w:val="31"/>
              </w:numPr>
              <w:spacing w:before="0" w:after="0"/>
              <w:rPr>
                <w:rFonts w:cs="Arial"/>
                <w:i/>
                <w:iCs/>
              </w:rPr>
            </w:pPr>
            <w:r w:rsidRPr="00D558A3">
              <w:rPr>
                <w:rFonts w:cs="Arial"/>
                <w:i/>
                <w:iCs/>
              </w:rPr>
              <w:t>Rebates seem to operate differently from discounts.  Please provide further information.</w:t>
            </w:r>
          </w:p>
          <w:p w14:paraId="1ABE7803" w14:textId="77777777" w:rsidR="00653652" w:rsidRPr="00D558A3" w:rsidRDefault="00653652" w:rsidP="00653652">
            <w:pPr>
              <w:numPr>
                <w:ilvl w:val="0"/>
                <w:numId w:val="31"/>
              </w:numPr>
              <w:spacing w:before="0" w:after="0"/>
              <w:rPr>
                <w:rFonts w:cs="Arial"/>
                <w:i/>
                <w:iCs/>
              </w:rPr>
            </w:pPr>
            <w:r w:rsidRPr="00D558A3">
              <w:rPr>
                <w:rFonts w:cs="Arial"/>
                <w:i/>
                <w:iCs/>
              </w:rPr>
              <w:t xml:space="preserve">Commissions are not paid on all sales to x.  Please provide information about how exceptions apply. </w:t>
            </w:r>
          </w:p>
          <w:p w14:paraId="180ED92B" w14:textId="77777777" w:rsidR="00653652" w:rsidRPr="00D558A3" w:rsidRDefault="00653652" w:rsidP="00653652">
            <w:pPr>
              <w:numPr>
                <w:ilvl w:val="0"/>
                <w:numId w:val="31"/>
              </w:numPr>
              <w:spacing w:before="0" w:after="0"/>
              <w:rPr>
                <w:rFonts w:cs="Arial"/>
                <w:i/>
                <w:iCs/>
              </w:rPr>
            </w:pPr>
            <w:r w:rsidRPr="00D558A3">
              <w:rPr>
                <w:rFonts w:cs="Arial"/>
                <w:i/>
                <w:iCs/>
              </w:rPr>
              <w:t>Etc.</w:t>
            </w:r>
          </w:p>
          <w:p w14:paraId="0CAE0471" w14:textId="77777777" w:rsidR="00653652" w:rsidRPr="00D558A3" w:rsidRDefault="00653652" w:rsidP="00AA4255">
            <w:pPr>
              <w:spacing w:after="0"/>
              <w:rPr>
                <w:rFonts w:cs="Arial"/>
                <w:i/>
                <w:iCs/>
              </w:rPr>
            </w:pPr>
            <w:r w:rsidRPr="00D558A3">
              <w:rPr>
                <w:rFonts w:cs="Arial"/>
                <w:i/>
                <w:iCs/>
              </w:rPr>
              <w:t>Information about price reductions is needed to assess the application because net sales prices are required for the injury analysis.</w:t>
            </w:r>
          </w:p>
        </w:tc>
      </w:tr>
    </w:tbl>
    <w:p w14:paraId="43AE746A" w14:textId="77777777" w:rsidR="00377AEB" w:rsidRDefault="00377AEB" w:rsidP="009713F2">
      <w:pPr>
        <w:autoSpaceDE w:val="0"/>
        <w:autoSpaceDN w:val="0"/>
        <w:adjustRightInd w:val="0"/>
        <w:spacing w:before="0" w:after="0"/>
        <w:jc w:val="both"/>
        <w:rPr>
          <w:rFonts w:cs="Arial"/>
          <w:sz w:val="22"/>
          <w:szCs w:val="22"/>
          <w:lang w:eastAsia="en-AU"/>
        </w:rPr>
      </w:pPr>
    </w:p>
    <w:sectPr w:rsidR="00377AEB" w:rsidSect="00653652">
      <w:headerReference w:type="default" r:id="rId13"/>
      <w:footerReference w:type="even" r:id="rId14"/>
      <w:footerReference w:type="default" r:id="rId15"/>
      <w:headerReference w:type="first" r:id="rId16"/>
      <w:footerReference w:type="first" r:id="rId17"/>
      <w:pgSz w:w="16838" w:h="11906" w:orient="landscape" w:code="9"/>
      <w:pgMar w:top="720" w:right="720" w:bottom="720" w:left="720" w:header="39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9FD9" w14:textId="77777777" w:rsidR="00041AC5" w:rsidRDefault="00041AC5" w:rsidP="009918EF">
      <w:r>
        <w:separator/>
      </w:r>
    </w:p>
  </w:endnote>
  <w:endnote w:type="continuationSeparator" w:id="0">
    <w:p w14:paraId="62E5443B" w14:textId="77777777" w:rsidR="00041AC5" w:rsidRDefault="00041AC5" w:rsidP="0099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4F4B" w14:textId="77777777" w:rsidR="008B7506" w:rsidRPr="008B7506" w:rsidRDefault="008B7506" w:rsidP="00D57922">
    <w:pPr>
      <w:tabs>
        <w:tab w:val="center" w:pos="2700"/>
      </w:tabs>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289C" w14:textId="77777777" w:rsidR="00653652" w:rsidRPr="00D87551" w:rsidRDefault="00653652" w:rsidP="001D318D">
    <w:pPr>
      <w:pStyle w:val="Footer"/>
      <w:tabs>
        <w:tab w:val="clear" w:pos="4153"/>
        <w:tab w:val="clear" w:pos="8306"/>
        <w:tab w:val="center" w:pos="3780"/>
        <w:tab w:val="left" w:pos="6480"/>
        <w:tab w:val="left" w:pos="7020"/>
        <w:tab w:val="left" w:pos="7200"/>
        <w:tab w:val="left" w:pos="7560"/>
      </w:tabs>
      <w:rPr>
        <w:rFonts w:cs="Arial"/>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6523" w14:textId="77777777" w:rsidR="008B7506" w:rsidRDefault="008B7506" w:rsidP="004742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CCDAD" w14:textId="77777777" w:rsidR="008B7506" w:rsidRDefault="008B7506" w:rsidP="00A94F3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635A" w14:textId="77777777" w:rsidR="00653652" w:rsidRDefault="00653652">
    <w:pPr>
      <w:pStyle w:val="Footer"/>
    </w:pPr>
  </w:p>
  <w:p w14:paraId="66035686" w14:textId="77777777" w:rsidR="008B7506" w:rsidRPr="008B7506" w:rsidRDefault="008B7506" w:rsidP="008B7506">
    <w:pPr>
      <w:pStyle w:val="Footer"/>
      <w:spacing w:before="0" w:after="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AED4" w14:textId="77777777" w:rsidR="008B7506" w:rsidRDefault="008B7506" w:rsidP="00AC5D37">
    <w:pPr>
      <w:pStyle w:val="Footer"/>
      <w:tabs>
        <w:tab w:val="clear" w:pos="8306"/>
        <w:tab w:val="right" w:pos="8789"/>
      </w:tabs>
      <w:ind w:right="-120"/>
    </w:pPr>
    <w:r>
      <w:t>_______________________________________________________________________________</w:t>
    </w:r>
  </w:p>
  <w:p w14:paraId="2768B59D" w14:textId="77777777" w:rsidR="008B7506" w:rsidRDefault="008B7506" w:rsidP="00776BFB">
    <w:pPr>
      <w:pStyle w:val="Footer"/>
    </w:pPr>
    <w:r>
      <w:t xml:space="preserve">June 2013 Instructions and Guidelines – Application for </w:t>
    </w:r>
    <w:r w:rsidRPr="00800163">
      <w:t>an anti-circumvention inquiry</w:t>
    </w:r>
    <w:r>
      <w:t>: Guidelines for applicants</w:t>
    </w:r>
  </w:p>
  <w:p w14:paraId="770BFD28" w14:textId="77777777" w:rsidR="008B7506" w:rsidRDefault="008B7506" w:rsidP="00807997">
    <w:pPr>
      <w:pStyle w:val="Footer"/>
    </w:pPr>
  </w:p>
  <w:p w14:paraId="21FBDF6B" w14:textId="77777777" w:rsidR="008B7506" w:rsidRDefault="008B7506">
    <w:pPr>
      <w:pStyle w:val="Footer"/>
    </w:pPr>
    <w:r>
      <w:t xml:space="preserve">Page </w:t>
    </w:r>
    <w:r>
      <w:rPr>
        <w:rStyle w:val="PageNumb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E213" w14:textId="77777777" w:rsidR="00041AC5" w:rsidRDefault="00041AC5" w:rsidP="009918EF">
      <w:r>
        <w:separator/>
      </w:r>
    </w:p>
  </w:footnote>
  <w:footnote w:type="continuationSeparator" w:id="0">
    <w:p w14:paraId="3B34EB3D" w14:textId="77777777" w:rsidR="00041AC5" w:rsidRDefault="00041AC5" w:rsidP="009918EF">
      <w:r>
        <w:continuationSeparator/>
      </w:r>
    </w:p>
  </w:footnote>
  <w:footnote w:id="1">
    <w:p w14:paraId="2B308B70" w14:textId="77777777" w:rsidR="00653652" w:rsidRDefault="00653652" w:rsidP="00653652">
      <w:pPr>
        <w:pStyle w:val="FootnoteText"/>
      </w:pPr>
      <w:r>
        <w:rPr>
          <w:rStyle w:val="FootnoteReference"/>
        </w:rPr>
        <w:footnoteRef/>
      </w:r>
      <w:r>
        <w:t xml:space="preserve"> Issues are classified into three groups; unclear, inconsistent or missing.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3A27" w14:textId="77777777" w:rsidR="008B7506" w:rsidRDefault="008B7506" w:rsidP="008910AA">
    <w:pPr>
      <w:pStyle w:val="Header"/>
      <w:jc w:val="center"/>
    </w:pPr>
    <w:r>
      <w:t>INTERNAL AND EXTERNAL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2481" w14:textId="29240D91" w:rsidR="008B7506" w:rsidRPr="00F91E7B" w:rsidRDefault="00FA1FC4" w:rsidP="00B40E51">
    <w:pPr>
      <w:jc w:val="center"/>
      <w:rPr>
        <w:b/>
        <w:lang w:val="en-US"/>
      </w:rPr>
    </w:pPr>
    <w:r>
      <w:rPr>
        <w:b/>
        <w:noProof/>
        <w:sz w:val="24"/>
        <w:lang w:eastAsia="en-AU"/>
      </w:rPr>
      <w:drawing>
        <wp:inline distT="0" distB="0" distL="0" distR="0" wp14:anchorId="6729401A" wp14:editId="371F6DC5">
          <wp:extent cx="4087376" cy="701041"/>
          <wp:effectExtent l="0" t="0" r="8890"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7376" cy="7010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15B9" w14:textId="77777777" w:rsidR="008B7506" w:rsidRDefault="008B7506" w:rsidP="00807997">
    <w:pPr>
      <w:pStyle w:val="Header"/>
      <w:jc w:val="center"/>
    </w:pPr>
    <w:r>
      <w:t>INTERNAL AND EXTERNAL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3553" w14:textId="77777777" w:rsidR="008B7506" w:rsidRPr="009C0C39" w:rsidRDefault="008B7506" w:rsidP="00807997">
    <w:pPr>
      <w:pStyle w:val="Header"/>
      <w:jc w:val="center"/>
    </w:pPr>
    <w:r>
      <w:t>INTERNAL AND EXTERNAL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534"/>
    <w:multiLevelType w:val="hybridMultilevel"/>
    <w:tmpl w:val="AFA4C40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BA86242"/>
    <w:multiLevelType w:val="multilevel"/>
    <w:tmpl w:val="DF94CE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4942E1D"/>
    <w:multiLevelType w:val="hybridMultilevel"/>
    <w:tmpl w:val="84BC9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70923"/>
    <w:multiLevelType w:val="multilevel"/>
    <w:tmpl w:val="DF94CE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8F339AF"/>
    <w:multiLevelType w:val="multilevel"/>
    <w:tmpl w:val="DF94CE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92C2BDA"/>
    <w:multiLevelType w:val="multilevel"/>
    <w:tmpl w:val="DF94CE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D4D20A6"/>
    <w:multiLevelType w:val="hybridMultilevel"/>
    <w:tmpl w:val="8A2E8A7E"/>
    <w:lvl w:ilvl="0" w:tplc="65747E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E74A1"/>
    <w:multiLevelType w:val="hybridMultilevel"/>
    <w:tmpl w:val="1778DC1A"/>
    <w:lvl w:ilvl="0" w:tplc="65747E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D79A7"/>
    <w:multiLevelType w:val="hybridMultilevel"/>
    <w:tmpl w:val="8ABE11F8"/>
    <w:lvl w:ilvl="0" w:tplc="65747E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01970"/>
    <w:multiLevelType w:val="hybridMultilevel"/>
    <w:tmpl w:val="8D92B7DE"/>
    <w:lvl w:ilvl="0" w:tplc="95567A8A">
      <w:start w:val="1"/>
      <w:numFmt w:val="bullet"/>
      <w:lvlText w:val=""/>
      <w:lvlJc w:val="left"/>
      <w:pPr>
        <w:tabs>
          <w:tab w:val="num" w:pos="1021"/>
        </w:tabs>
        <w:ind w:left="1021" w:hanging="301"/>
      </w:pPr>
      <w:rPr>
        <w:rFonts w:ascii="Symbol" w:hAnsi="Symbol" w:hint="default"/>
      </w:rPr>
    </w:lvl>
    <w:lvl w:ilvl="1" w:tplc="920A03BE">
      <w:start w:val="1"/>
      <w:numFmt w:val="bullet"/>
      <w:lvlText w:val=""/>
      <w:lvlJc w:val="left"/>
      <w:pPr>
        <w:tabs>
          <w:tab w:val="num" w:pos="1211"/>
        </w:tabs>
        <w:ind w:left="-207" w:firstLine="128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E7624"/>
    <w:multiLevelType w:val="hybridMultilevel"/>
    <w:tmpl w:val="E5A0B08C"/>
    <w:lvl w:ilvl="0" w:tplc="1B26C5D2">
      <w:start w:val="1"/>
      <w:numFmt w:val="bullet"/>
      <w:pStyle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907216"/>
    <w:multiLevelType w:val="hybridMultilevel"/>
    <w:tmpl w:val="1B004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A063F4"/>
    <w:multiLevelType w:val="hybridMultilevel"/>
    <w:tmpl w:val="92C660B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E2E21B3"/>
    <w:multiLevelType w:val="multilevel"/>
    <w:tmpl w:val="DF94CE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F251DC9"/>
    <w:multiLevelType w:val="hybridMultilevel"/>
    <w:tmpl w:val="C65EA30C"/>
    <w:lvl w:ilvl="0" w:tplc="0C9C04DC">
      <w:start w:val="8"/>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A4081"/>
    <w:multiLevelType w:val="hybridMultilevel"/>
    <w:tmpl w:val="B9AA36BC"/>
    <w:lvl w:ilvl="0" w:tplc="65747E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4755F"/>
    <w:multiLevelType w:val="hybridMultilevel"/>
    <w:tmpl w:val="140EC1CA"/>
    <w:lvl w:ilvl="0" w:tplc="99C46284">
      <w:start w:val="27"/>
      <w:numFmt w:val="bullet"/>
      <w:lvlText w:val=""/>
      <w:lvlJc w:val="left"/>
      <w:pPr>
        <w:tabs>
          <w:tab w:val="num" w:pos="567"/>
        </w:tabs>
        <w:ind w:left="567" w:hanging="567"/>
      </w:pPr>
      <w:rPr>
        <w:rFonts w:ascii="Symbol" w:hAnsi="Symbol" w:hint="default"/>
        <w:sz w:val="24"/>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A44AC"/>
    <w:multiLevelType w:val="hybridMultilevel"/>
    <w:tmpl w:val="37EE0250"/>
    <w:lvl w:ilvl="0" w:tplc="0C090001">
      <w:start w:val="1"/>
      <w:numFmt w:val="bullet"/>
      <w:lvlText w:val=""/>
      <w:lvlJc w:val="left"/>
      <w:pPr>
        <w:tabs>
          <w:tab w:val="num" w:pos="1080"/>
        </w:tabs>
        <w:ind w:left="1080" w:hanging="360"/>
      </w:pPr>
      <w:rPr>
        <w:rFonts w:ascii="Symbol" w:hAnsi="Symbol" w:hint="default"/>
      </w:rPr>
    </w:lvl>
    <w:lvl w:ilvl="1" w:tplc="D3B67708">
      <w:numFmt w:val="bullet"/>
      <w:lvlText w:val="-"/>
      <w:lvlJc w:val="left"/>
      <w:pPr>
        <w:tabs>
          <w:tab w:val="num" w:pos="1800"/>
        </w:tabs>
        <w:ind w:left="1800" w:hanging="360"/>
      </w:pPr>
      <w:rPr>
        <w:rFonts w:ascii="Times New Roman" w:eastAsia="Times New Roman" w:hAnsi="Times New Roman" w:cs="Times New Roman"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8F100B9"/>
    <w:multiLevelType w:val="hybridMultilevel"/>
    <w:tmpl w:val="E580EC64"/>
    <w:lvl w:ilvl="0" w:tplc="8D72EA1E">
      <w:start w:val="27"/>
      <w:numFmt w:val="bullet"/>
      <w:lvlText w:val=""/>
      <w:lvlJc w:val="left"/>
      <w:pPr>
        <w:tabs>
          <w:tab w:val="num" w:pos="567"/>
        </w:tabs>
        <w:ind w:left="567" w:hanging="567"/>
      </w:pPr>
      <w:rPr>
        <w:rFonts w:ascii="Symbol" w:hAnsi="Symbol" w:hint="default"/>
        <w:sz w:val="24"/>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56470"/>
    <w:multiLevelType w:val="hybridMultilevel"/>
    <w:tmpl w:val="C77C9468"/>
    <w:lvl w:ilvl="0" w:tplc="EF205E90">
      <w:numFmt w:val="bullet"/>
      <w:lvlText w:val="•"/>
      <w:lvlJc w:val="left"/>
      <w:pPr>
        <w:ind w:left="1081" w:hanging="720"/>
      </w:pPr>
      <w:rPr>
        <w:rFonts w:ascii="Calibri" w:eastAsia="Calibri" w:hAnsi="Calibri" w:cs="Calibri"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0" w15:restartNumberingAfterBreak="0">
    <w:nsid w:val="4D032A30"/>
    <w:multiLevelType w:val="hybridMultilevel"/>
    <w:tmpl w:val="A510C4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D4045BB"/>
    <w:multiLevelType w:val="hybridMultilevel"/>
    <w:tmpl w:val="8FAE7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E72A99"/>
    <w:multiLevelType w:val="hybridMultilevel"/>
    <w:tmpl w:val="B500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EA3AE7"/>
    <w:multiLevelType w:val="singleLevel"/>
    <w:tmpl w:val="77B4EF46"/>
    <w:lvl w:ilvl="0">
      <w:numFmt w:val="bullet"/>
      <w:lvlText w:val="·"/>
      <w:lvlJc w:val="left"/>
      <w:pPr>
        <w:tabs>
          <w:tab w:val="num" w:pos="288"/>
        </w:tabs>
      </w:pPr>
      <w:rPr>
        <w:rFonts w:ascii="Symbol" w:hAnsi="Symbol" w:cs="Times New Roman" w:hint="default"/>
        <w:color w:val="000000"/>
      </w:rPr>
    </w:lvl>
  </w:abstractNum>
  <w:abstractNum w:abstractNumId="24" w15:restartNumberingAfterBreak="0">
    <w:nsid w:val="5F6C099C"/>
    <w:multiLevelType w:val="hybridMultilevel"/>
    <w:tmpl w:val="AED6BAE8"/>
    <w:lvl w:ilvl="0" w:tplc="920A03BE">
      <w:start w:val="1"/>
      <w:numFmt w:val="bullet"/>
      <w:lvlText w:val=""/>
      <w:lvlJc w:val="left"/>
      <w:pPr>
        <w:tabs>
          <w:tab w:val="num" w:pos="851"/>
        </w:tabs>
        <w:ind w:left="-567" w:firstLine="128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81069"/>
    <w:multiLevelType w:val="multilevel"/>
    <w:tmpl w:val="DF94CE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A321F1"/>
    <w:multiLevelType w:val="hybridMultilevel"/>
    <w:tmpl w:val="82B25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8195455"/>
    <w:multiLevelType w:val="hybridMultilevel"/>
    <w:tmpl w:val="31F26B80"/>
    <w:lvl w:ilvl="0" w:tplc="65747E6C">
      <w:start w:val="1"/>
      <w:numFmt w:val="bullet"/>
      <w:lvlText w:val=""/>
      <w:lvlJc w:val="left"/>
      <w:pPr>
        <w:tabs>
          <w:tab w:val="num" w:pos="641"/>
        </w:tabs>
        <w:ind w:left="641" w:hanging="357"/>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71173D72"/>
    <w:multiLevelType w:val="hybridMultilevel"/>
    <w:tmpl w:val="92C660B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38B5F7A"/>
    <w:multiLevelType w:val="hybridMultilevel"/>
    <w:tmpl w:val="0DF6D94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9DC4332"/>
    <w:multiLevelType w:val="hybridMultilevel"/>
    <w:tmpl w:val="49107A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374EC2"/>
    <w:multiLevelType w:val="multilevel"/>
    <w:tmpl w:val="DF94CE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B99770C"/>
    <w:multiLevelType w:val="hybridMultilevel"/>
    <w:tmpl w:val="F9AE3342"/>
    <w:lvl w:ilvl="0" w:tplc="49EE7D02">
      <w:start w:val="1"/>
      <w:numFmt w:val="decimal"/>
      <w:lvlText w:val="%1."/>
      <w:lvlJc w:val="left"/>
      <w:pPr>
        <w:tabs>
          <w:tab w:val="num" w:pos="360"/>
        </w:tabs>
        <w:ind w:left="360" w:hanging="360"/>
      </w:pPr>
      <w:rPr>
        <w:color w:val="auto"/>
      </w:rPr>
    </w:lvl>
    <w:lvl w:ilvl="1" w:tplc="0C090017">
      <w:start w:val="1"/>
      <w:numFmt w:val="lowerLetter"/>
      <w:lvlText w:val="%2)"/>
      <w:lvlJc w:val="left"/>
      <w:pPr>
        <w:tabs>
          <w:tab w:val="num" w:pos="1080"/>
        </w:tabs>
        <w:ind w:left="1080" w:hanging="360"/>
      </w:pPr>
      <w:rPr>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7EA565B0"/>
    <w:multiLevelType w:val="hybridMultilevel"/>
    <w:tmpl w:val="3CE468EC"/>
    <w:lvl w:ilvl="0" w:tplc="EF205E90">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014601">
    <w:abstractNumId w:val="10"/>
  </w:num>
  <w:num w:numId="2" w16cid:durableId="1866553292">
    <w:abstractNumId w:val="10"/>
  </w:num>
  <w:num w:numId="3" w16cid:durableId="1897817384">
    <w:abstractNumId w:val="29"/>
  </w:num>
  <w:num w:numId="4" w16cid:durableId="871459039">
    <w:abstractNumId w:val="32"/>
  </w:num>
  <w:num w:numId="5" w16cid:durableId="1274750646">
    <w:abstractNumId w:val="17"/>
  </w:num>
  <w:num w:numId="6" w16cid:durableId="238638589">
    <w:abstractNumId w:val="10"/>
  </w:num>
  <w:num w:numId="7" w16cid:durableId="588543005">
    <w:abstractNumId w:val="9"/>
  </w:num>
  <w:num w:numId="8" w16cid:durableId="733351494">
    <w:abstractNumId w:val="10"/>
  </w:num>
  <w:num w:numId="9" w16cid:durableId="1536967683">
    <w:abstractNumId w:val="0"/>
  </w:num>
  <w:num w:numId="10" w16cid:durableId="1071074515">
    <w:abstractNumId w:val="24"/>
  </w:num>
  <w:num w:numId="11" w16cid:durableId="1786920918">
    <w:abstractNumId w:val="15"/>
  </w:num>
  <w:num w:numId="12" w16cid:durableId="1336883283">
    <w:abstractNumId w:val="6"/>
  </w:num>
  <w:num w:numId="13" w16cid:durableId="1115757121">
    <w:abstractNumId w:val="23"/>
  </w:num>
  <w:num w:numId="14" w16cid:durableId="2076508412">
    <w:abstractNumId w:val="14"/>
  </w:num>
  <w:num w:numId="15" w16cid:durableId="706566600">
    <w:abstractNumId w:val="27"/>
  </w:num>
  <w:num w:numId="16" w16cid:durableId="1806728995">
    <w:abstractNumId w:val="7"/>
  </w:num>
  <w:num w:numId="17" w16cid:durableId="859898679">
    <w:abstractNumId w:val="8"/>
  </w:num>
  <w:num w:numId="18" w16cid:durableId="907690688">
    <w:abstractNumId w:val="22"/>
  </w:num>
  <w:num w:numId="19" w16cid:durableId="1288198947">
    <w:abstractNumId w:val="33"/>
  </w:num>
  <w:num w:numId="20" w16cid:durableId="1788306229">
    <w:abstractNumId w:val="19"/>
  </w:num>
  <w:num w:numId="21" w16cid:durableId="1414547847">
    <w:abstractNumId w:val="21"/>
  </w:num>
  <w:num w:numId="22" w16cid:durableId="509216769">
    <w:abstractNumId w:val="30"/>
  </w:num>
  <w:num w:numId="23" w16cid:durableId="221446864">
    <w:abstractNumId w:val="11"/>
  </w:num>
  <w:num w:numId="24" w16cid:durableId="59990151">
    <w:abstractNumId w:val="12"/>
  </w:num>
  <w:num w:numId="25" w16cid:durableId="1524981197">
    <w:abstractNumId w:val="28"/>
  </w:num>
  <w:num w:numId="26" w16cid:durableId="421419005">
    <w:abstractNumId w:val="20"/>
  </w:num>
  <w:num w:numId="27" w16cid:durableId="1562129909">
    <w:abstractNumId w:val="26"/>
  </w:num>
  <w:num w:numId="28" w16cid:durableId="743916909">
    <w:abstractNumId w:val="2"/>
  </w:num>
  <w:num w:numId="29" w16cid:durableId="705910885">
    <w:abstractNumId w:val="31"/>
  </w:num>
  <w:num w:numId="30" w16cid:durableId="1733575938">
    <w:abstractNumId w:val="13"/>
  </w:num>
  <w:num w:numId="31" w16cid:durableId="1988850601">
    <w:abstractNumId w:val="1"/>
  </w:num>
  <w:num w:numId="32" w16cid:durableId="199633424">
    <w:abstractNumId w:val="25"/>
  </w:num>
  <w:num w:numId="33" w16cid:durableId="1291978740">
    <w:abstractNumId w:val="3"/>
  </w:num>
  <w:num w:numId="34" w16cid:durableId="2078700824">
    <w:abstractNumId w:val="4"/>
  </w:num>
  <w:num w:numId="35" w16cid:durableId="960066654">
    <w:abstractNumId w:val="5"/>
  </w:num>
  <w:num w:numId="36" w16cid:durableId="2136677816">
    <w:abstractNumId w:val="18"/>
  </w:num>
  <w:num w:numId="37" w16cid:durableId="12152409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EF"/>
    <w:rsid w:val="00014957"/>
    <w:rsid w:val="00020EA5"/>
    <w:rsid w:val="00031251"/>
    <w:rsid w:val="000321CF"/>
    <w:rsid w:val="00033C35"/>
    <w:rsid w:val="00037F56"/>
    <w:rsid w:val="00041AC5"/>
    <w:rsid w:val="00045A08"/>
    <w:rsid w:val="00046319"/>
    <w:rsid w:val="00050408"/>
    <w:rsid w:val="000513F2"/>
    <w:rsid w:val="000625E3"/>
    <w:rsid w:val="000638B6"/>
    <w:rsid w:val="00063CEF"/>
    <w:rsid w:val="00065B04"/>
    <w:rsid w:val="00067B99"/>
    <w:rsid w:val="00075B88"/>
    <w:rsid w:val="00082C72"/>
    <w:rsid w:val="00090C61"/>
    <w:rsid w:val="000944F2"/>
    <w:rsid w:val="00095FC2"/>
    <w:rsid w:val="00096E17"/>
    <w:rsid w:val="000A44A3"/>
    <w:rsid w:val="000A7AB4"/>
    <w:rsid w:val="000B03D3"/>
    <w:rsid w:val="000B4762"/>
    <w:rsid w:val="000C3D39"/>
    <w:rsid w:val="000D263E"/>
    <w:rsid w:val="000D3900"/>
    <w:rsid w:val="000E0F1C"/>
    <w:rsid w:val="00103263"/>
    <w:rsid w:val="0011650D"/>
    <w:rsid w:val="001200E3"/>
    <w:rsid w:val="00130EDA"/>
    <w:rsid w:val="00131E71"/>
    <w:rsid w:val="00135191"/>
    <w:rsid w:val="0013559B"/>
    <w:rsid w:val="00135E8D"/>
    <w:rsid w:val="001364B7"/>
    <w:rsid w:val="00150262"/>
    <w:rsid w:val="00150655"/>
    <w:rsid w:val="00150F06"/>
    <w:rsid w:val="00153AE7"/>
    <w:rsid w:val="001544EC"/>
    <w:rsid w:val="00154B82"/>
    <w:rsid w:val="001600B7"/>
    <w:rsid w:val="00164867"/>
    <w:rsid w:val="0016597F"/>
    <w:rsid w:val="0017538F"/>
    <w:rsid w:val="00175875"/>
    <w:rsid w:val="001774BB"/>
    <w:rsid w:val="00181E4B"/>
    <w:rsid w:val="001831A4"/>
    <w:rsid w:val="00183AFD"/>
    <w:rsid w:val="00191A82"/>
    <w:rsid w:val="001A0020"/>
    <w:rsid w:val="001A3D02"/>
    <w:rsid w:val="001A7ADE"/>
    <w:rsid w:val="001B5514"/>
    <w:rsid w:val="001D34C8"/>
    <w:rsid w:val="001D460C"/>
    <w:rsid w:val="001D5CD8"/>
    <w:rsid w:val="001D69A8"/>
    <w:rsid w:val="001E60E4"/>
    <w:rsid w:val="001F5D30"/>
    <w:rsid w:val="00201527"/>
    <w:rsid w:val="002057CD"/>
    <w:rsid w:val="002143E7"/>
    <w:rsid w:val="00232255"/>
    <w:rsid w:val="00232DB2"/>
    <w:rsid w:val="00250080"/>
    <w:rsid w:val="00256864"/>
    <w:rsid w:val="002605EF"/>
    <w:rsid w:val="00267369"/>
    <w:rsid w:val="0028623A"/>
    <w:rsid w:val="00286C9F"/>
    <w:rsid w:val="002936BF"/>
    <w:rsid w:val="00294271"/>
    <w:rsid w:val="002945C6"/>
    <w:rsid w:val="0029633C"/>
    <w:rsid w:val="002A4BB2"/>
    <w:rsid w:val="002B139A"/>
    <w:rsid w:val="002B4B4B"/>
    <w:rsid w:val="002B51EE"/>
    <w:rsid w:val="002C2F93"/>
    <w:rsid w:val="002C3E93"/>
    <w:rsid w:val="002C5375"/>
    <w:rsid w:val="002D1BF6"/>
    <w:rsid w:val="002D3898"/>
    <w:rsid w:val="002D3DFD"/>
    <w:rsid w:val="002D5D71"/>
    <w:rsid w:val="002E0DBF"/>
    <w:rsid w:val="002E1907"/>
    <w:rsid w:val="002E2DB1"/>
    <w:rsid w:val="002F116F"/>
    <w:rsid w:val="002F4937"/>
    <w:rsid w:val="002F5CA8"/>
    <w:rsid w:val="0030295B"/>
    <w:rsid w:val="00307B14"/>
    <w:rsid w:val="00310123"/>
    <w:rsid w:val="0031357C"/>
    <w:rsid w:val="00314594"/>
    <w:rsid w:val="003202D2"/>
    <w:rsid w:val="00320429"/>
    <w:rsid w:val="003359C7"/>
    <w:rsid w:val="00335ACF"/>
    <w:rsid w:val="00337995"/>
    <w:rsid w:val="00343A29"/>
    <w:rsid w:val="0034469E"/>
    <w:rsid w:val="00344D95"/>
    <w:rsid w:val="00346C53"/>
    <w:rsid w:val="003506AA"/>
    <w:rsid w:val="00351C7B"/>
    <w:rsid w:val="00363BDD"/>
    <w:rsid w:val="00373101"/>
    <w:rsid w:val="00373B35"/>
    <w:rsid w:val="00375AFD"/>
    <w:rsid w:val="00377AEB"/>
    <w:rsid w:val="00385C90"/>
    <w:rsid w:val="00390D51"/>
    <w:rsid w:val="003926E2"/>
    <w:rsid w:val="003A0C96"/>
    <w:rsid w:val="003A0E62"/>
    <w:rsid w:val="003A5478"/>
    <w:rsid w:val="003B0F60"/>
    <w:rsid w:val="003B481F"/>
    <w:rsid w:val="003C591A"/>
    <w:rsid w:val="003C63C9"/>
    <w:rsid w:val="003C7356"/>
    <w:rsid w:val="003C796A"/>
    <w:rsid w:val="003D373A"/>
    <w:rsid w:val="003E02B4"/>
    <w:rsid w:val="003E4894"/>
    <w:rsid w:val="003E562B"/>
    <w:rsid w:val="003F17C4"/>
    <w:rsid w:val="0040236A"/>
    <w:rsid w:val="0040342F"/>
    <w:rsid w:val="00417265"/>
    <w:rsid w:val="00423B24"/>
    <w:rsid w:val="004271EC"/>
    <w:rsid w:val="00431209"/>
    <w:rsid w:val="00431BD6"/>
    <w:rsid w:val="00431CFA"/>
    <w:rsid w:val="00432328"/>
    <w:rsid w:val="0043494A"/>
    <w:rsid w:val="00441A1D"/>
    <w:rsid w:val="0045498E"/>
    <w:rsid w:val="00455F73"/>
    <w:rsid w:val="00456C5E"/>
    <w:rsid w:val="0045794F"/>
    <w:rsid w:val="00466978"/>
    <w:rsid w:val="00471FFD"/>
    <w:rsid w:val="0047420B"/>
    <w:rsid w:val="00474EBA"/>
    <w:rsid w:val="004751B6"/>
    <w:rsid w:val="00475A18"/>
    <w:rsid w:val="00475EF5"/>
    <w:rsid w:val="0048017D"/>
    <w:rsid w:val="004806D9"/>
    <w:rsid w:val="00481BFF"/>
    <w:rsid w:val="00481DDC"/>
    <w:rsid w:val="00482221"/>
    <w:rsid w:val="0048434C"/>
    <w:rsid w:val="00486A97"/>
    <w:rsid w:val="00486BAB"/>
    <w:rsid w:val="00486F18"/>
    <w:rsid w:val="004A3B23"/>
    <w:rsid w:val="004A40AC"/>
    <w:rsid w:val="004A78EB"/>
    <w:rsid w:val="004B3149"/>
    <w:rsid w:val="004B6A9C"/>
    <w:rsid w:val="004C0FA2"/>
    <w:rsid w:val="004C13B2"/>
    <w:rsid w:val="004C78BA"/>
    <w:rsid w:val="004D10AF"/>
    <w:rsid w:val="004D35BF"/>
    <w:rsid w:val="004D6ADC"/>
    <w:rsid w:val="004E16D5"/>
    <w:rsid w:val="004E4A4D"/>
    <w:rsid w:val="004E7BAD"/>
    <w:rsid w:val="004F07E4"/>
    <w:rsid w:val="004F0D28"/>
    <w:rsid w:val="004F3C69"/>
    <w:rsid w:val="004F51AF"/>
    <w:rsid w:val="005133BA"/>
    <w:rsid w:val="005170CD"/>
    <w:rsid w:val="005179EF"/>
    <w:rsid w:val="005217CA"/>
    <w:rsid w:val="0052285C"/>
    <w:rsid w:val="00525816"/>
    <w:rsid w:val="0053178F"/>
    <w:rsid w:val="0053340A"/>
    <w:rsid w:val="00540003"/>
    <w:rsid w:val="00543259"/>
    <w:rsid w:val="0055316F"/>
    <w:rsid w:val="00560122"/>
    <w:rsid w:val="005627AB"/>
    <w:rsid w:val="00562DBA"/>
    <w:rsid w:val="00563CB7"/>
    <w:rsid w:val="00567B32"/>
    <w:rsid w:val="00594141"/>
    <w:rsid w:val="005964E2"/>
    <w:rsid w:val="005A04EA"/>
    <w:rsid w:val="005A4546"/>
    <w:rsid w:val="005A49DB"/>
    <w:rsid w:val="005A6142"/>
    <w:rsid w:val="005A67FE"/>
    <w:rsid w:val="005B01D0"/>
    <w:rsid w:val="005B787B"/>
    <w:rsid w:val="005D55C4"/>
    <w:rsid w:val="005E732F"/>
    <w:rsid w:val="005F1760"/>
    <w:rsid w:val="005F474F"/>
    <w:rsid w:val="006001F4"/>
    <w:rsid w:val="006078F0"/>
    <w:rsid w:val="00612D15"/>
    <w:rsid w:val="006278FC"/>
    <w:rsid w:val="0063101C"/>
    <w:rsid w:val="006332AD"/>
    <w:rsid w:val="00641D72"/>
    <w:rsid w:val="00642F73"/>
    <w:rsid w:val="00653652"/>
    <w:rsid w:val="00657E4D"/>
    <w:rsid w:val="00664537"/>
    <w:rsid w:val="00667052"/>
    <w:rsid w:val="00672307"/>
    <w:rsid w:val="00672371"/>
    <w:rsid w:val="006776C8"/>
    <w:rsid w:val="0067788D"/>
    <w:rsid w:val="0067798D"/>
    <w:rsid w:val="00690A10"/>
    <w:rsid w:val="00697550"/>
    <w:rsid w:val="006A1C27"/>
    <w:rsid w:val="006A7400"/>
    <w:rsid w:val="006B1120"/>
    <w:rsid w:val="006B1172"/>
    <w:rsid w:val="006B56FB"/>
    <w:rsid w:val="006C3BE8"/>
    <w:rsid w:val="006C60E9"/>
    <w:rsid w:val="006D00D7"/>
    <w:rsid w:val="006D2B63"/>
    <w:rsid w:val="006F3DD3"/>
    <w:rsid w:val="006F6CCF"/>
    <w:rsid w:val="0070191D"/>
    <w:rsid w:val="007042A1"/>
    <w:rsid w:val="00712986"/>
    <w:rsid w:val="00715369"/>
    <w:rsid w:val="007202EF"/>
    <w:rsid w:val="00725656"/>
    <w:rsid w:val="00726120"/>
    <w:rsid w:val="007262D8"/>
    <w:rsid w:val="007271FC"/>
    <w:rsid w:val="00736CB9"/>
    <w:rsid w:val="00742341"/>
    <w:rsid w:val="0075148E"/>
    <w:rsid w:val="00751F69"/>
    <w:rsid w:val="007539BB"/>
    <w:rsid w:val="00757E5E"/>
    <w:rsid w:val="007649DE"/>
    <w:rsid w:val="0076595E"/>
    <w:rsid w:val="00766302"/>
    <w:rsid w:val="00770A7E"/>
    <w:rsid w:val="0077442E"/>
    <w:rsid w:val="00776BFB"/>
    <w:rsid w:val="00777507"/>
    <w:rsid w:val="00781382"/>
    <w:rsid w:val="00783AE2"/>
    <w:rsid w:val="00785E8D"/>
    <w:rsid w:val="007908D9"/>
    <w:rsid w:val="00792992"/>
    <w:rsid w:val="007A0FAB"/>
    <w:rsid w:val="007A707D"/>
    <w:rsid w:val="007B0496"/>
    <w:rsid w:val="007B3683"/>
    <w:rsid w:val="007B4445"/>
    <w:rsid w:val="007B7DD8"/>
    <w:rsid w:val="007C440B"/>
    <w:rsid w:val="007C52E0"/>
    <w:rsid w:val="007C5C7D"/>
    <w:rsid w:val="007D0835"/>
    <w:rsid w:val="007E00CA"/>
    <w:rsid w:val="007E27D3"/>
    <w:rsid w:val="007E5E08"/>
    <w:rsid w:val="007F1697"/>
    <w:rsid w:val="007F46E4"/>
    <w:rsid w:val="00800163"/>
    <w:rsid w:val="00800DD0"/>
    <w:rsid w:val="00802375"/>
    <w:rsid w:val="00804386"/>
    <w:rsid w:val="008049E5"/>
    <w:rsid w:val="00805729"/>
    <w:rsid w:val="00807997"/>
    <w:rsid w:val="00810907"/>
    <w:rsid w:val="00816698"/>
    <w:rsid w:val="008277F7"/>
    <w:rsid w:val="00827BBB"/>
    <w:rsid w:val="00836203"/>
    <w:rsid w:val="00841EA2"/>
    <w:rsid w:val="00844640"/>
    <w:rsid w:val="00844C7A"/>
    <w:rsid w:val="00854550"/>
    <w:rsid w:val="00864C1F"/>
    <w:rsid w:val="00865A81"/>
    <w:rsid w:val="008674E9"/>
    <w:rsid w:val="00883F73"/>
    <w:rsid w:val="008910AA"/>
    <w:rsid w:val="00891117"/>
    <w:rsid w:val="00895072"/>
    <w:rsid w:val="008A7B21"/>
    <w:rsid w:val="008B7506"/>
    <w:rsid w:val="008C0DDB"/>
    <w:rsid w:val="008C5AEC"/>
    <w:rsid w:val="008D189E"/>
    <w:rsid w:val="008E5ADB"/>
    <w:rsid w:val="008F001A"/>
    <w:rsid w:val="008F0254"/>
    <w:rsid w:val="008F1FEF"/>
    <w:rsid w:val="008F52C7"/>
    <w:rsid w:val="00905B22"/>
    <w:rsid w:val="009278FB"/>
    <w:rsid w:val="00930BF0"/>
    <w:rsid w:val="00934487"/>
    <w:rsid w:val="009367FA"/>
    <w:rsid w:val="00936A66"/>
    <w:rsid w:val="009452C2"/>
    <w:rsid w:val="009610DF"/>
    <w:rsid w:val="00961AFF"/>
    <w:rsid w:val="0096234D"/>
    <w:rsid w:val="009713F2"/>
    <w:rsid w:val="009723BC"/>
    <w:rsid w:val="00972889"/>
    <w:rsid w:val="00975255"/>
    <w:rsid w:val="009918EF"/>
    <w:rsid w:val="009A1083"/>
    <w:rsid w:val="009A40E4"/>
    <w:rsid w:val="009A4C9A"/>
    <w:rsid w:val="009B5C00"/>
    <w:rsid w:val="009C0C39"/>
    <w:rsid w:val="009C6282"/>
    <w:rsid w:val="009D138F"/>
    <w:rsid w:val="009D2495"/>
    <w:rsid w:val="009E1EFD"/>
    <w:rsid w:val="009E4321"/>
    <w:rsid w:val="009E52BB"/>
    <w:rsid w:val="009E5FF6"/>
    <w:rsid w:val="009E66C1"/>
    <w:rsid w:val="009F415C"/>
    <w:rsid w:val="009F46E4"/>
    <w:rsid w:val="009F5DFA"/>
    <w:rsid w:val="009F71EA"/>
    <w:rsid w:val="00A05057"/>
    <w:rsid w:val="00A116EF"/>
    <w:rsid w:val="00A11773"/>
    <w:rsid w:val="00A12880"/>
    <w:rsid w:val="00A17330"/>
    <w:rsid w:val="00A24BA5"/>
    <w:rsid w:val="00A27B55"/>
    <w:rsid w:val="00A43588"/>
    <w:rsid w:val="00A447B2"/>
    <w:rsid w:val="00A45004"/>
    <w:rsid w:val="00A45D24"/>
    <w:rsid w:val="00A47009"/>
    <w:rsid w:val="00A5421D"/>
    <w:rsid w:val="00A543D9"/>
    <w:rsid w:val="00A62A5E"/>
    <w:rsid w:val="00A63572"/>
    <w:rsid w:val="00A70217"/>
    <w:rsid w:val="00A71F60"/>
    <w:rsid w:val="00A71FEE"/>
    <w:rsid w:val="00A80370"/>
    <w:rsid w:val="00A83FA2"/>
    <w:rsid w:val="00A94CCD"/>
    <w:rsid w:val="00A94F3E"/>
    <w:rsid w:val="00AA0D57"/>
    <w:rsid w:val="00AA1AA8"/>
    <w:rsid w:val="00AC1404"/>
    <w:rsid w:val="00AC5D37"/>
    <w:rsid w:val="00AC5EC9"/>
    <w:rsid w:val="00AC72FF"/>
    <w:rsid w:val="00AD15F9"/>
    <w:rsid w:val="00AD4668"/>
    <w:rsid w:val="00AE4311"/>
    <w:rsid w:val="00AE4A6B"/>
    <w:rsid w:val="00AE62AF"/>
    <w:rsid w:val="00AF067E"/>
    <w:rsid w:val="00AF2C3A"/>
    <w:rsid w:val="00AF64BB"/>
    <w:rsid w:val="00AF6E1B"/>
    <w:rsid w:val="00B005B7"/>
    <w:rsid w:val="00B00C47"/>
    <w:rsid w:val="00B0361A"/>
    <w:rsid w:val="00B03E19"/>
    <w:rsid w:val="00B046FA"/>
    <w:rsid w:val="00B04B08"/>
    <w:rsid w:val="00B057F1"/>
    <w:rsid w:val="00B11880"/>
    <w:rsid w:val="00B15B17"/>
    <w:rsid w:val="00B15CB0"/>
    <w:rsid w:val="00B16139"/>
    <w:rsid w:val="00B25537"/>
    <w:rsid w:val="00B33F41"/>
    <w:rsid w:val="00B40E51"/>
    <w:rsid w:val="00B439DD"/>
    <w:rsid w:val="00B63E56"/>
    <w:rsid w:val="00B71384"/>
    <w:rsid w:val="00B73398"/>
    <w:rsid w:val="00B735AE"/>
    <w:rsid w:val="00B8269F"/>
    <w:rsid w:val="00B935FD"/>
    <w:rsid w:val="00B93F0A"/>
    <w:rsid w:val="00B96A08"/>
    <w:rsid w:val="00B9711D"/>
    <w:rsid w:val="00B97927"/>
    <w:rsid w:val="00BA0DD2"/>
    <w:rsid w:val="00BA4B48"/>
    <w:rsid w:val="00BA7869"/>
    <w:rsid w:val="00BB082D"/>
    <w:rsid w:val="00BB44D7"/>
    <w:rsid w:val="00BC2A89"/>
    <w:rsid w:val="00BD2B9B"/>
    <w:rsid w:val="00BD4082"/>
    <w:rsid w:val="00BE1727"/>
    <w:rsid w:val="00BE1E4A"/>
    <w:rsid w:val="00BE7FD1"/>
    <w:rsid w:val="00BF1AC0"/>
    <w:rsid w:val="00BF5EB1"/>
    <w:rsid w:val="00BF698C"/>
    <w:rsid w:val="00C1230F"/>
    <w:rsid w:val="00C1454C"/>
    <w:rsid w:val="00C14C6E"/>
    <w:rsid w:val="00C17F8B"/>
    <w:rsid w:val="00C22C3E"/>
    <w:rsid w:val="00C25D04"/>
    <w:rsid w:val="00C26A6E"/>
    <w:rsid w:val="00C424A1"/>
    <w:rsid w:val="00C4447C"/>
    <w:rsid w:val="00C53121"/>
    <w:rsid w:val="00C63DE9"/>
    <w:rsid w:val="00C829FA"/>
    <w:rsid w:val="00C94A58"/>
    <w:rsid w:val="00CA036D"/>
    <w:rsid w:val="00CA063D"/>
    <w:rsid w:val="00CA2C0F"/>
    <w:rsid w:val="00CA40C0"/>
    <w:rsid w:val="00CB135D"/>
    <w:rsid w:val="00CB2F61"/>
    <w:rsid w:val="00CB69D1"/>
    <w:rsid w:val="00CB79E4"/>
    <w:rsid w:val="00CC5ED8"/>
    <w:rsid w:val="00CC6A8C"/>
    <w:rsid w:val="00CD28FA"/>
    <w:rsid w:val="00CD5110"/>
    <w:rsid w:val="00CE031A"/>
    <w:rsid w:val="00CE2F9A"/>
    <w:rsid w:val="00CF3631"/>
    <w:rsid w:val="00CF5934"/>
    <w:rsid w:val="00CF6B11"/>
    <w:rsid w:val="00D065C0"/>
    <w:rsid w:val="00D0678C"/>
    <w:rsid w:val="00D1045D"/>
    <w:rsid w:val="00D10B18"/>
    <w:rsid w:val="00D25959"/>
    <w:rsid w:val="00D416B0"/>
    <w:rsid w:val="00D46339"/>
    <w:rsid w:val="00D47F53"/>
    <w:rsid w:val="00D5578A"/>
    <w:rsid w:val="00D55A26"/>
    <w:rsid w:val="00D577CF"/>
    <w:rsid w:val="00D57922"/>
    <w:rsid w:val="00D64C57"/>
    <w:rsid w:val="00D7783B"/>
    <w:rsid w:val="00D779EB"/>
    <w:rsid w:val="00D80426"/>
    <w:rsid w:val="00D8053C"/>
    <w:rsid w:val="00DA144D"/>
    <w:rsid w:val="00DA6F5F"/>
    <w:rsid w:val="00DB678D"/>
    <w:rsid w:val="00DC5C3A"/>
    <w:rsid w:val="00DF5748"/>
    <w:rsid w:val="00DF71CF"/>
    <w:rsid w:val="00E011BA"/>
    <w:rsid w:val="00E11505"/>
    <w:rsid w:val="00E116EE"/>
    <w:rsid w:val="00E16438"/>
    <w:rsid w:val="00E30F60"/>
    <w:rsid w:val="00E33960"/>
    <w:rsid w:val="00E438B5"/>
    <w:rsid w:val="00E456D4"/>
    <w:rsid w:val="00E471E6"/>
    <w:rsid w:val="00E50609"/>
    <w:rsid w:val="00E53579"/>
    <w:rsid w:val="00E54EBD"/>
    <w:rsid w:val="00E579A4"/>
    <w:rsid w:val="00E648AE"/>
    <w:rsid w:val="00E66A63"/>
    <w:rsid w:val="00E83CC0"/>
    <w:rsid w:val="00E958B0"/>
    <w:rsid w:val="00EA3083"/>
    <w:rsid w:val="00EB2C75"/>
    <w:rsid w:val="00EC6EAB"/>
    <w:rsid w:val="00EC7E08"/>
    <w:rsid w:val="00ED3AF6"/>
    <w:rsid w:val="00ED7A9C"/>
    <w:rsid w:val="00EE7BC2"/>
    <w:rsid w:val="00EF5502"/>
    <w:rsid w:val="00F04585"/>
    <w:rsid w:val="00F05B3E"/>
    <w:rsid w:val="00F13F5A"/>
    <w:rsid w:val="00F14F9A"/>
    <w:rsid w:val="00F22A5F"/>
    <w:rsid w:val="00F42B87"/>
    <w:rsid w:val="00F4738F"/>
    <w:rsid w:val="00F6462D"/>
    <w:rsid w:val="00F6463B"/>
    <w:rsid w:val="00F825B7"/>
    <w:rsid w:val="00F91E7B"/>
    <w:rsid w:val="00F93014"/>
    <w:rsid w:val="00F952D2"/>
    <w:rsid w:val="00FA0855"/>
    <w:rsid w:val="00FA1FC4"/>
    <w:rsid w:val="00FA30DE"/>
    <w:rsid w:val="00FA4086"/>
    <w:rsid w:val="00FB1B2B"/>
    <w:rsid w:val="00FC0382"/>
    <w:rsid w:val="00FC44B0"/>
    <w:rsid w:val="00FD3A80"/>
    <w:rsid w:val="00FE4267"/>
    <w:rsid w:val="00FF047F"/>
    <w:rsid w:val="00FF1019"/>
    <w:rsid w:val="00FF246D"/>
    <w:rsid w:val="00FF2585"/>
    <w:rsid w:val="00FF36B9"/>
    <w:rsid w:val="00FF555F"/>
    <w:rsid w:val="0F09FEC4"/>
    <w:rsid w:val="10760053"/>
    <w:rsid w:val="696D1F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D12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8EF"/>
    <w:pPr>
      <w:spacing w:before="120" w:after="120"/>
    </w:pPr>
    <w:rPr>
      <w:rFonts w:ascii="Arial" w:hAnsi="Arial"/>
      <w:szCs w:val="24"/>
      <w:lang w:eastAsia="en-US"/>
    </w:rPr>
  </w:style>
  <w:style w:type="paragraph" w:styleId="Heading1">
    <w:name w:val="heading 1"/>
    <w:basedOn w:val="Normal"/>
    <w:next w:val="Normal"/>
    <w:qFormat/>
    <w:rsid w:val="00D57922"/>
    <w:pPr>
      <w:keepNext/>
      <w:spacing w:before="240" w:after="60"/>
      <w:jc w:val="center"/>
      <w:outlineLvl w:val="0"/>
    </w:pPr>
    <w:rPr>
      <w:rFonts w:cs="Arial"/>
      <w:b/>
      <w:bCs/>
      <w:caps/>
      <w:spacing w:val="40"/>
      <w:sz w:val="32"/>
      <w:szCs w:val="32"/>
    </w:rPr>
  </w:style>
  <w:style w:type="paragraph" w:styleId="Heading2">
    <w:name w:val="heading 2"/>
    <w:basedOn w:val="Normal"/>
    <w:next w:val="Normal"/>
    <w:qFormat/>
    <w:rsid w:val="00FF555F"/>
    <w:pPr>
      <w:keepNext/>
      <w:spacing w:before="240" w:after="60"/>
      <w:jc w:val="center"/>
      <w:outlineLvl w:val="1"/>
    </w:pPr>
    <w:rPr>
      <w:rFonts w:cs="Arial"/>
      <w:b/>
      <w:bCs/>
      <w:iCs/>
      <w:sz w:val="28"/>
      <w:szCs w:val="28"/>
    </w:rPr>
  </w:style>
  <w:style w:type="paragraph" w:styleId="Heading3">
    <w:name w:val="heading 3"/>
    <w:basedOn w:val="Normal"/>
    <w:next w:val="Normal"/>
    <w:autoRedefine/>
    <w:qFormat/>
    <w:rsid w:val="00F91E7B"/>
    <w:pPr>
      <w:keepNext/>
      <w:spacing w:after="60"/>
      <w:jc w:val="center"/>
      <w:outlineLvl w:val="2"/>
    </w:pPr>
    <w:rPr>
      <w:rFonts w:cs="Arial"/>
      <w:bCs/>
      <w:sz w:val="22"/>
      <w:szCs w:val="22"/>
    </w:rPr>
  </w:style>
  <w:style w:type="paragraph" w:styleId="Heading4">
    <w:name w:val="heading 4"/>
    <w:basedOn w:val="Normal"/>
    <w:next w:val="Normal"/>
    <w:link w:val="Heading4Char"/>
    <w:autoRedefine/>
    <w:uiPriority w:val="9"/>
    <w:qFormat/>
    <w:rsid w:val="001831A4"/>
    <w:pPr>
      <w:keepNext/>
      <w:spacing w:before="240" w:after="60"/>
      <w:outlineLvl w:val="3"/>
    </w:pPr>
    <w:rPr>
      <w:b/>
      <w:bCs/>
      <w:sz w:val="22"/>
      <w:szCs w:val="28"/>
      <w:u w:val="single"/>
    </w:rPr>
  </w:style>
  <w:style w:type="paragraph" w:styleId="Heading5">
    <w:name w:val="heading 5"/>
    <w:basedOn w:val="Normal"/>
    <w:next w:val="Normal"/>
    <w:qFormat/>
    <w:pPr>
      <w:spacing w:before="240" w:after="60"/>
      <w:outlineLvl w:val="4"/>
    </w:pPr>
    <w:rPr>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9918EF"/>
    <w:pPr>
      <w:widowControl w:val="0"/>
      <w:numPr>
        <w:numId w:val="1"/>
      </w:numPr>
      <w:autoSpaceDE w:val="0"/>
      <w:autoSpaceDN w:val="0"/>
      <w:adjustRightInd w:val="0"/>
    </w:pPr>
    <w:rPr>
      <w:rFonts w:cs="Arial"/>
      <w:sz w:val="22"/>
      <w:szCs w:val="22"/>
      <w:lang w:eastAsia="en-AU"/>
    </w:rPr>
  </w:style>
  <w:style w:type="paragraph" w:styleId="Header">
    <w:name w:val="header"/>
    <w:basedOn w:val="Normal"/>
    <w:rsid w:val="00335ACF"/>
    <w:pPr>
      <w:tabs>
        <w:tab w:val="center" w:pos="4153"/>
        <w:tab w:val="right" w:pos="8306"/>
      </w:tabs>
    </w:pPr>
  </w:style>
  <w:style w:type="table" w:styleId="TableGrid">
    <w:name w:val="Table Grid"/>
    <w:basedOn w:val="TableNormal"/>
    <w:rsid w:val="00FF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
    <w:name w:val="italic"/>
    <w:basedOn w:val="Normal"/>
    <w:link w:val="italicChar"/>
    <w:rsid w:val="009918EF"/>
    <w:rPr>
      <w:i/>
    </w:rPr>
  </w:style>
  <w:style w:type="character" w:customStyle="1" w:styleId="italicChar">
    <w:name w:val="italic Char"/>
    <w:link w:val="italic"/>
    <w:rsid w:val="00201527"/>
    <w:rPr>
      <w:rFonts w:ascii="Arial" w:hAnsi="Arial"/>
      <w:i/>
      <w:szCs w:val="24"/>
      <w:lang w:val="en-AU" w:eastAsia="en-US" w:bidi="ar-SA"/>
    </w:rPr>
  </w:style>
  <w:style w:type="paragraph" w:styleId="Footer">
    <w:name w:val="footer"/>
    <w:basedOn w:val="Normal"/>
    <w:link w:val="FooterChar"/>
    <w:uiPriority w:val="99"/>
    <w:rsid w:val="00335ACF"/>
    <w:pPr>
      <w:tabs>
        <w:tab w:val="center" w:pos="4153"/>
        <w:tab w:val="right" w:pos="8306"/>
      </w:tabs>
    </w:pPr>
  </w:style>
  <w:style w:type="character" w:styleId="CommentReference">
    <w:name w:val="annotation reference"/>
    <w:semiHidden/>
    <w:rPr>
      <w:rFonts w:ascii="Arial" w:hAnsi="Arial"/>
      <w:sz w:val="16"/>
      <w:szCs w:val="16"/>
    </w:rPr>
  </w:style>
  <w:style w:type="table" w:customStyle="1" w:styleId="TableGrid1">
    <w:name w:val="Table Grid1"/>
    <w:basedOn w:val="TableNormal"/>
    <w:next w:val="TableGrid"/>
    <w:rsid w:val="00DF574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5110"/>
  </w:style>
  <w:style w:type="paragraph" w:styleId="TOC1">
    <w:name w:val="toc 1"/>
    <w:basedOn w:val="Normal"/>
    <w:next w:val="Normal"/>
    <w:autoRedefine/>
    <w:semiHidden/>
    <w:rsid w:val="004E16D5"/>
    <w:pPr>
      <w:tabs>
        <w:tab w:val="left" w:pos="720"/>
        <w:tab w:val="right" w:leader="dot" w:pos="10246"/>
      </w:tabs>
    </w:pPr>
    <w:rPr>
      <w:rFonts w:ascii="Times New Roman" w:hAnsi="Times New Roman"/>
      <w:b/>
      <w:bCs/>
      <w:caps/>
    </w:rPr>
  </w:style>
  <w:style w:type="paragraph" w:styleId="TOC2">
    <w:name w:val="toc 2"/>
    <w:basedOn w:val="Normal"/>
    <w:next w:val="Normal"/>
    <w:autoRedefine/>
    <w:semiHidden/>
    <w:rsid w:val="004E16D5"/>
    <w:pPr>
      <w:spacing w:before="0" w:after="0"/>
      <w:ind w:left="240"/>
    </w:pPr>
    <w:rPr>
      <w:rFonts w:ascii="Times New Roman" w:hAnsi="Times New Roman"/>
      <w:smallCaps/>
      <w:sz w:val="24"/>
    </w:rPr>
  </w:style>
  <w:style w:type="character" w:styleId="Hyperlink">
    <w:name w:val="Hyperlink"/>
    <w:rsid w:val="004E16D5"/>
    <w:rPr>
      <w:color w:val="0000FF"/>
      <w:u w:val="single"/>
    </w:rPr>
  </w:style>
  <w:style w:type="paragraph" w:styleId="BalloonText">
    <w:name w:val="Balloon Text"/>
    <w:basedOn w:val="Normal"/>
    <w:semiHidden/>
    <w:rsid w:val="00BD2B9B"/>
    <w:rPr>
      <w:rFonts w:ascii="Tahoma" w:hAnsi="Tahoma" w:cs="Tahoma"/>
      <w:sz w:val="16"/>
      <w:szCs w:val="16"/>
    </w:rPr>
  </w:style>
  <w:style w:type="character" w:styleId="FootnoteReference">
    <w:name w:val="footnote reference"/>
    <w:semiHidden/>
    <w:rsid w:val="0045794F"/>
    <w:rPr>
      <w:vertAlign w:val="superscript"/>
    </w:rPr>
  </w:style>
  <w:style w:type="paragraph" w:styleId="FootnoteText">
    <w:name w:val="footnote text"/>
    <w:basedOn w:val="Normal"/>
    <w:semiHidden/>
    <w:rsid w:val="00AF2C3A"/>
    <w:rPr>
      <w:szCs w:val="20"/>
    </w:rPr>
  </w:style>
  <w:style w:type="paragraph" w:customStyle="1" w:styleId="Default">
    <w:name w:val="Default"/>
    <w:rsid w:val="00AF2C3A"/>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AF2C3A"/>
    <w:rPr>
      <w:rFonts w:cs="Times New Roman"/>
      <w:color w:val="auto"/>
    </w:rPr>
  </w:style>
  <w:style w:type="paragraph" w:customStyle="1" w:styleId="CM3">
    <w:name w:val="CM3"/>
    <w:basedOn w:val="Default"/>
    <w:next w:val="Default"/>
    <w:rsid w:val="00AF2C3A"/>
    <w:rPr>
      <w:rFonts w:cs="Times New Roman"/>
      <w:color w:val="auto"/>
    </w:rPr>
  </w:style>
  <w:style w:type="paragraph" w:styleId="NormalWeb">
    <w:name w:val="Normal (Web)"/>
    <w:basedOn w:val="Normal"/>
    <w:rsid w:val="00A447B2"/>
    <w:rPr>
      <w:rFonts w:ascii="Times New Roman" w:hAnsi="Times New Roman"/>
      <w:sz w:val="24"/>
    </w:rPr>
  </w:style>
  <w:style w:type="paragraph" w:styleId="ListParagraph">
    <w:name w:val="List Paragraph"/>
    <w:basedOn w:val="Normal"/>
    <w:uiPriority w:val="34"/>
    <w:qFormat/>
    <w:rsid w:val="00B9711D"/>
    <w:pPr>
      <w:spacing w:before="0" w:after="200" w:line="276" w:lineRule="auto"/>
      <w:ind w:left="720"/>
      <w:contextualSpacing/>
    </w:pPr>
    <w:rPr>
      <w:rFonts w:eastAsia="Calibri"/>
      <w:szCs w:val="22"/>
    </w:rPr>
  </w:style>
  <w:style w:type="paragraph" w:styleId="CommentText">
    <w:name w:val="annotation text"/>
    <w:basedOn w:val="Normal"/>
    <w:link w:val="CommentTextChar"/>
    <w:rsid w:val="00F952D2"/>
    <w:rPr>
      <w:szCs w:val="20"/>
    </w:rPr>
  </w:style>
  <w:style w:type="character" w:customStyle="1" w:styleId="CommentTextChar">
    <w:name w:val="Comment Text Char"/>
    <w:link w:val="CommentText"/>
    <w:rsid w:val="00F952D2"/>
    <w:rPr>
      <w:rFonts w:ascii="Arial" w:hAnsi="Arial"/>
      <w:lang w:eastAsia="en-US"/>
    </w:rPr>
  </w:style>
  <w:style w:type="paragraph" w:styleId="CommentSubject">
    <w:name w:val="annotation subject"/>
    <w:basedOn w:val="CommentText"/>
    <w:next w:val="CommentText"/>
    <w:link w:val="CommentSubjectChar"/>
    <w:rsid w:val="00F952D2"/>
    <w:rPr>
      <w:b/>
      <w:bCs/>
    </w:rPr>
  </w:style>
  <w:style w:type="character" w:customStyle="1" w:styleId="CommentSubjectChar">
    <w:name w:val="Comment Subject Char"/>
    <w:link w:val="CommentSubject"/>
    <w:rsid w:val="00F952D2"/>
    <w:rPr>
      <w:rFonts w:ascii="Arial" w:hAnsi="Arial"/>
      <w:b/>
      <w:bCs/>
      <w:lang w:eastAsia="en-US"/>
    </w:rPr>
  </w:style>
  <w:style w:type="character" w:customStyle="1" w:styleId="Heading4Char">
    <w:name w:val="Heading 4 Char"/>
    <w:link w:val="Heading4"/>
    <w:uiPriority w:val="9"/>
    <w:rsid w:val="00F91E7B"/>
    <w:rPr>
      <w:rFonts w:ascii="Arial" w:hAnsi="Arial"/>
      <w:b/>
      <w:bCs/>
      <w:sz w:val="22"/>
      <w:szCs w:val="28"/>
      <w:u w:val="single"/>
      <w:lang w:eastAsia="en-US"/>
    </w:rPr>
  </w:style>
  <w:style w:type="character" w:customStyle="1" w:styleId="FooterChar">
    <w:name w:val="Footer Char"/>
    <w:basedOn w:val="DefaultParagraphFont"/>
    <w:link w:val="Footer"/>
    <w:uiPriority w:val="99"/>
    <w:rsid w:val="00653652"/>
    <w:rPr>
      <w:rFonts w:ascii="Arial" w:hAnsi="Arial"/>
      <w:szCs w:val="24"/>
      <w:lang w:eastAsia="en-US"/>
    </w:rPr>
  </w:style>
  <w:style w:type="character" w:styleId="UnresolvedMention">
    <w:name w:val="Unresolved Mention"/>
    <w:basedOn w:val="DefaultParagraphFont"/>
    <w:uiPriority w:val="99"/>
    <w:semiHidden/>
    <w:unhideWhenUsed/>
    <w:rsid w:val="00F64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entsupport@adcommission.gov.a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9FAF-ED58-46DD-B0DF-07A6C4A1FFD8}">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2024-10-16T01:05:00Z</dcterms:created>
  <dcterms:modified xsi:type="dcterms:W3CDTF">2024-10-16T01:05:00Z</dcterms:modified>
</cp:coreProperties>
</file>